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CDA03" w14:textId="0B17E18E" w:rsidR="004B3220" w:rsidRPr="00D34F5F" w:rsidRDefault="004B3220" w:rsidP="008449A7">
      <w:pPr>
        <w:jc w:val="both"/>
      </w:pPr>
      <w:bookmarkStart w:id="0" w:name="_GoBack"/>
      <w:bookmarkEnd w:id="0"/>
    </w:p>
    <w:p w14:paraId="4CBDC862" w14:textId="77777777" w:rsidR="00D34F5F" w:rsidRDefault="00D34F5F" w:rsidP="00D34F5F">
      <w:pPr>
        <w:pStyle w:val="TYTUAKTUprzedmiotregulacjiustawylubrozporzdzenia"/>
        <w:spacing w:before="100" w:beforeAutospacing="1" w:after="0"/>
      </w:pPr>
      <w:r>
        <w:t>Stanowisko Rządu</w:t>
      </w:r>
    </w:p>
    <w:p w14:paraId="27BD3B55" w14:textId="4BEEDA7A" w:rsidR="00D34F5F" w:rsidRPr="00D34F5F" w:rsidRDefault="004B3220" w:rsidP="004B3220">
      <w:pPr>
        <w:pStyle w:val="TYTUAKTUprzedmiotregulacjiustawylubrozporzdzenia"/>
      </w:pPr>
      <w:r>
        <w:t>d</w:t>
      </w:r>
      <w:r w:rsidR="00D34F5F">
        <w:t>o</w:t>
      </w:r>
      <w:r>
        <w:t xml:space="preserve"> poselskiego</w:t>
      </w:r>
      <w:r w:rsidR="00D34F5F">
        <w:t xml:space="preserve"> projektu ustawy o zmianie ustawy – Prawo o prokuraturze (druk nr </w:t>
      </w:r>
      <w:r w:rsidR="008C10CD">
        <w:t>139</w:t>
      </w:r>
      <w:r w:rsidR="00D34F5F">
        <w:t>)</w:t>
      </w:r>
    </w:p>
    <w:p w14:paraId="2199FCA7" w14:textId="77777777" w:rsidR="00D34F5F" w:rsidRDefault="002E2D95" w:rsidP="00D34F5F">
      <w:pPr>
        <w:pStyle w:val="ARTartustawynprozporzdzenia"/>
      </w:pPr>
      <w:r>
        <w:t xml:space="preserve">Projekt ustawy zawiera przepisy nowelizujące </w:t>
      </w:r>
      <w:r w:rsidRPr="00A47968">
        <w:rPr>
          <w:i/>
        </w:rPr>
        <w:t>ustawę z dnia 28 stycznia 2016 r. – Prawo o prokuraturze (Dz. U. z 2019 r. poz. 740</w:t>
      </w:r>
      <w:r w:rsidR="0020349B">
        <w:rPr>
          <w:i/>
        </w:rPr>
        <w:t xml:space="preserve">, z </w:t>
      </w:r>
      <w:proofErr w:type="spellStart"/>
      <w:r w:rsidR="0020349B">
        <w:rPr>
          <w:i/>
        </w:rPr>
        <w:t>późn</w:t>
      </w:r>
      <w:proofErr w:type="spellEnd"/>
      <w:r w:rsidR="0020349B">
        <w:rPr>
          <w:i/>
        </w:rPr>
        <w:t>. zm.</w:t>
      </w:r>
      <w:r w:rsidRPr="00A47968">
        <w:rPr>
          <w:i/>
        </w:rPr>
        <w:t>)</w:t>
      </w:r>
      <w:r>
        <w:t xml:space="preserve"> i przewiduje:</w:t>
      </w:r>
    </w:p>
    <w:p w14:paraId="2B7E652A" w14:textId="77777777" w:rsidR="002E2D95" w:rsidRDefault="002E2D95" w:rsidP="002E2D95">
      <w:pPr>
        <w:pStyle w:val="ARTartustawynprozporzdzenia"/>
        <w:numPr>
          <w:ilvl w:val="0"/>
          <w:numId w:val="1"/>
        </w:numPr>
      </w:pPr>
      <w:r>
        <w:t>rozdzielenie urzędu Ministra Sprawiedliwości i urzędu Prokuratora Generalnego;</w:t>
      </w:r>
    </w:p>
    <w:p w14:paraId="2AFBD593" w14:textId="77777777" w:rsidR="002E2D95" w:rsidRPr="00AB2EA2" w:rsidRDefault="00AB2EA2" w:rsidP="002E2D95">
      <w:pPr>
        <w:pStyle w:val="ARTartustawynprozporzdzenia"/>
        <w:numPr>
          <w:ilvl w:val="0"/>
          <w:numId w:val="1"/>
        </w:numPr>
      </w:pPr>
      <w:r>
        <w:t>zmianę</w:t>
      </w:r>
      <w:r w:rsidR="002E2D95">
        <w:t xml:space="preserve"> trybu powołania Prokuratora Generalnego i odwołania go ze stanowiska (Prokuratora Generalnego ma powoływać Sejm za zgod</w:t>
      </w:r>
      <w:r>
        <w:t>ą</w:t>
      </w:r>
      <w:r w:rsidR="002E2D95">
        <w:t xml:space="preserve"> Senatu spośród kandydatów zgłoszonych </w:t>
      </w:r>
      <w:r w:rsidRPr="00EB2FCB">
        <w:rPr>
          <w:rFonts w:ascii="Times New Roman" w:hAnsi="Times New Roman"/>
          <w:bCs/>
          <w:szCs w:val="24"/>
        </w:rPr>
        <w:t xml:space="preserve">przez Kluby Parlamentarne, samorządy zawodowe adwokatów i radców prawnych, rady wydziałów </w:t>
      </w:r>
      <w:r>
        <w:rPr>
          <w:rFonts w:ascii="Times New Roman" w:hAnsi="Times New Roman"/>
          <w:bCs/>
          <w:szCs w:val="24"/>
        </w:rPr>
        <w:t>prawa polskich uczelni oraz</w:t>
      </w:r>
      <w:r w:rsidRPr="00EB2FCB">
        <w:rPr>
          <w:rFonts w:ascii="Times New Roman" w:hAnsi="Times New Roman"/>
          <w:bCs/>
          <w:szCs w:val="24"/>
        </w:rPr>
        <w:t xml:space="preserve"> Krajową Radę Sądownictwa</w:t>
      </w:r>
      <w:r>
        <w:rPr>
          <w:rFonts w:ascii="Times New Roman" w:hAnsi="Times New Roman"/>
          <w:bCs/>
          <w:szCs w:val="24"/>
        </w:rPr>
        <w:t>);</w:t>
      </w:r>
    </w:p>
    <w:p w14:paraId="1A3D2FA9" w14:textId="77777777" w:rsidR="00AB2EA2" w:rsidRPr="00AB2EA2" w:rsidRDefault="00AB2EA2" w:rsidP="002E2D95">
      <w:pPr>
        <w:pStyle w:val="ARTartustawynprozporzdzenia"/>
        <w:numPr>
          <w:ilvl w:val="0"/>
          <w:numId w:val="1"/>
        </w:numPr>
      </w:pPr>
      <w:r>
        <w:rPr>
          <w:rFonts w:ascii="Times New Roman" w:hAnsi="Times New Roman"/>
          <w:bCs/>
          <w:szCs w:val="24"/>
        </w:rPr>
        <w:t>wprowadzenie kadencyjności stanowiska Prokuratora Generalnego, prokuratorów regionalnych, okręgowych i rejonowych;</w:t>
      </w:r>
    </w:p>
    <w:p w14:paraId="385A3645" w14:textId="69F86926" w:rsidR="00AB2EA2" w:rsidRPr="00AB2EA2" w:rsidRDefault="00AB2EA2" w:rsidP="002E2D95">
      <w:pPr>
        <w:pStyle w:val="ARTartustawynprozporzdzenia"/>
        <w:numPr>
          <w:ilvl w:val="0"/>
          <w:numId w:val="1"/>
        </w:numPr>
      </w:pPr>
      <w:r>
        <w:rPr>
          <w:rFonts w:ascii="Times New Roman" w:hAnsi="Times New Roman"/>
          <w:bCs/>
          <w:szCs w:val="24"/>
        </w:rPr>
        <w:t>obowiązek sprawozdawczy Prokuratora Generalnego w stosunku do Sejmu i Senatu oraz</w:t>
      </w:r>
      <w:r w:rsidR="00BE2D64">
        <w:rPr>
          <w:rFonts w:ascii="Times New Roman" w:hAnsi="Times New Roman"/>
          <w:bCs/>
          <w:szCs w:val="24"/>
        </w:rPr>
        <w:t> </w:t>
      </w:r>
      <w:r>
        <w:rPr>
          <w:rFonts w:ascii="Times New Roman" w:hAnsi="Times New Roman"/>
          <w:bCs/>
          <w:szCs w:val="24"/>
        </w:rPr>
        <w:t>prokuratora regionalnego w stosunku do</w:t>
      </w:r>
      <w:r w:rsidR="00363C41">
        <w:rPr>
          <w:rFonts w:ascii="Times New Roman" w:hAnsi="Times New Roman"/>
          <w:bCs/>
          <w:szCs w:val="24"/>
        </w:rPr>
        <w:t xml:space="preserve"> właściwego sejmiku województwa;</w:t>
      </w:r>
    </w:p>
    <w:p w14:paraId="7CEDB1CD" w14:textId="3224EDB4" w:rsidR="001B2416" w:rsidRPr="00BA440D" w:rsidRDefault="00AB2EA2" w:rsidP="00BA440D">
      <w:pPr>
        <w:pStyle w:val="ARTartustawynprozporzdzenia"/>
        <w:numPr>
          <w:ilvl w:val="0"/>
          <w:numId w:val="1"/>
        </w:numPr>
      </w:pPr>
      <w:r>
        <w:rPr>
          <w:rFonts w:ascii="Times New Roman" w:hAnsi="Times New Roman"/>
          <w:bCs/>
          <w:szCs w:val="24"/>
        </w:rPr>
        <w:t>kompetencj</w:t>
      </w:r>
      <w:r w:rsidR="001B2416">
        <w:rPr>
          <w:rFonts w:ascii="Times New Roman" w:hAnsi="Times New Roman"/>
          <w:bCs/>
          <w:szCs w:val="24"/>
        </w:rPr>
        <w:t>ę</w:t>
      </w:r>
      <w:r>
        <w:rPr>
          <w:rFonts w:ascii="Times New Roman" w:hAnsi="Times New Roman"/>
          <w:bCs/>
          <w:szCs w:val="24"/>
        </w:rPr>
        <w:t xml:space="preserve"> Prokuratora Generalnego do powoływania swoich zastępców.</w:t>
      </w:r>
    </w:p>
    <w:p w14:paraId="45CAFF9B" w14:textId="24E04FDE" w:rsidR="00AA274B" w:rsidRDefault="00E379CA" w:rsidP="00C907F8">
      <w:pPr>
        <w:pStyle w:val="ARTartustawynprozporzdzenia"/>
        <w:ind w:firstLine="360"/>
      </w:pPr>
      <w:r>
        <w:t xml:space="preserve">Projekt w zakresie </w:t>
      </w:r>
      <w:r w:rsidR="006436E4">
        <w:t xml:space="preserve">rozdzielenie urzędu Ministra Sprawiedliwości i urzędu Prokuratora Generalnego oraz </w:t>
      </w:r>
      <w:r w:rsidR="006436E4">
        <w:rPr>
          <w:rFonts w:ascii="Times New Roman" w:hAnsi="Times New Roman"/>
          <w:bCs/>
          <w:szCs w:val="24"/>
        </w:rPr>
        <w:t xml:space="preserve">wprowadzenia kadencyjności stanowiska Prokuratora Generalnego, prokuratorów regionalnych, okręgowych i rejonowych proponuje powrót do regulacji wprowadzonych </w:t>
      </w:r>
      <w:r w:rsidR="006436E4" w:rsidRPr="00A47968">
        <w:rPr>
          <w:rFonts w:ascii="Times New Roman" w:hAnsi="Times New Roman"/>
          <w:bCs/>
          <w:i/>
          <w:szCs w:val="24"/>
        </w:rPr>
        <w:t xml:space="preserve">ustawą z dnia </w:t>
      </w:r>
      <w:r w:rsidR="00A47968" w:rsidRPr="00A47968">
        <w:rPr>
          <w:rFonts w:ascii="Times New Roman" w:hAnsi="Times New Roman"/>
          <w:bCs/>
          <w:i/>
          <w:szCs w:val="24"/>
        </w:rPr>
        <w:t>9 października 2009 r. o zmianie ustawy o prokuraturze oraz</w:t>
      </w:r>
      <w:r w:rsidR="00BE2D64">
        <w:rPr>
          <w:rFonts w:ascii="Times New Roman" w:hAnsi="Times New Roman"/>
          <w:bCs/>
          <w:i/>
          <w:szCs w:val="24"/>
        </w:rPr>
        <w:t> </w:t>
      </w:r>
      <w:r w:rsidR="00A47968" w:rsidRPr="00A47968">
        <w:rPr>
          <w:rFonts w:ascii="Times New Roman" w:hAnsi="Times New Roman"/>
          <w:bCs/>
          <w:i/>
          <w:szCs w:val="24"/>
        </w:rPr>
        <w:t>niektórych innych ustaw (Dz. U. poz. 1375)</w:t>
      </w:r>
      <w:r w:rsidR="006436E4" w:rsidRPr="00A47968">
        <w:rPr>
          <w:rFonts w:ascii="Times New Roman" w:hAnsi="Times New Roman"/>
          <w:bCs/>
          <w:i/>
          <w:szCs w:val="24"/>
        </w:rPr>
        <w:t>.</w:t>
      </w:r>
      <w:r w:rsidR="006436E4">
        <w:rPr>
          <w:rFonts w:ascii="Times New Roman" w:hAnsi="Times New Roman"/>
          <w:bCs/>
          <w:szCs w:val="24"/>
        </w:rPr>
        <w:t xml:space="preserve"> Należy jednak podkreślić, iż projektodawcy nie proponują powrotu do pozosta</w:t>
      </w:r>
      <w:r w:rsidR="00C5323A">
        <w:rPr>
          <w:rFonts w:ascii="Times New Roman" w:hAnsi="Times New Roman"/>
          <w:bCs/>
          <w:szCs w:val="24"/>
        </w:rPr>
        <w:t xml:space="preserve">łych </w:t>
      </w:r>
      <w:r w:rsidR="00C907F8">
        <w:rPr>
          <w:rFonts w:ascii="Times New Roman" w:hAnsi="Times New Roman"/>
          <w:bCs/>
          <w:szCs w:val="24"/>
        </w:rPr>
        <w:t>unormowań</w:t>
      </w:r>
      <w:r w:rsidR="00C5323A">
        <w:rPr>
          <w:rFonts w:ascii="Times New Roman" w:hAnsi="Times New Roman"/>
          <w:bCs/>
          <w:szCs w:val="24"/>
        </w:rPr>
        <w:t xml:space="preserve"> przewidzianych tą</w:t>
      </w:r>
      <w:r w:rsidR="006436E4">
        <w:rPr>
          <w:rFonts w:ascii="Times New Roman" w:hAnsi="Times New Roman"/>
          <w:bCs/>
          <w:szCs w:val="24"/>
        </w:rPr>
        <w:t xml:space="preserve"> ustawą, </w:t>
      </w:r>
      <w:r w:rsidR="00C907F8">
        <w:rPr>
          <w:rFonts w:ascii="Times New Roman" w:hAnsi="Times New Roman"/>
          <w:bCs/>
          <w:szCs w:val="24"/>
        </w:rPr>
        <w:t xml:space="preserve">a </w:t>
      </w:r>
      <w:r w:rsidR="00C5323A">
        <w:rPr>
          <w:rFonts w:ascii="Times New Roman" w:hAnsi="Times New Roman"/>
          <w:bCs/>
          <w:szCs w:val="24"/>
        </w:rPr>
        <w:t xml:space="preserve">odnoszących się do organizacji pracy prokuratury, </w:t>
      </w:r>
      <w:r w:rsidR="00AA274B">
        <w:t>w tym niezwykle ograniczających pozycje Prokuratora Generalnego</w:t>
      </w:r>
      <w:r w:rsidR="003D54C2">
        <w:t>,</w:t>
      </w:r>
      <w:r w:rsidR="00AA274B">
        <w:t xml:space="preserve"> i to zarówno w aspekcie wewnętrznym jak i zewnętrznym,</w:t>
      </w:r>
      <w:r w:rsidR="00BB59FA">
        <w:t xml:space="preserve"> </w:t>
      </w:r>
      <w:r w:rsidR="00C5323A">
        <w:rPr>
          <w:rFonts w:ascii="Times New Roman" w:hAnsi="Times New Roman"/>
          <w:bCs/>
          <w:szCs w:val="24"/>
        </w:rPr>
        <w:t xml:space="preserve">które </w:t>
      </w:r>
      <w:r w:rsidR="000324D0">
        <w:rPr>
          <w:rFonts w:ascii="Times New Roman" w:hAnsi="Times New Roman"/>
          <w:bCs/>
          <w:szCs w:val="24"/>
        </w:rPr>
        <w:t xml:space="preserve">stanowiły </w:t>
      </w:r>
      <w:r w:rsidR="00C907F8">
        <w:rPr>
          <w:rFonts w:ascii="Times New Roman" w:hAnsi="Times New Roman"/>
          <w:bCs/>
          <w:szCs w:val="24"/>
        </w:rPr>
        <w:t xml:space="preserve">jedną z przesłanek powodujących konieczność zmian wprowadzonych </w:t>
      </w:r>
      <w:r w:rsidR="00C907F8" w:rsidRPr="00A47968">
        <w:rPr>
          <w:rFonts w:ascii="Times New Roman" w:hAnsi="Times New Roman"/>
          <w:bCs/>
          <w:i/>
          <w:szCs w:val="24"/>
        </w:rPr>
        <w:t xml:space="preserve">ustawą </w:t>
      </w:r>
      <w:r w:rsidR="00C907F8" w:rsidRPr="00A47968">
        <w:rPr>
          <w:i/>
        </w:rPr>
        <w:t>z dnia 28 stycznia 2016 r. – Prawo o prokuraturze.</w:t>
      </w:r>
      <w:r w:rsidR="00C907F8">
        <w:t xml:space="preserve"> Nie wpływa to jednak na całościową opinię o tym projekcie</w:t>
      </w:r>
      <w:r w:rsidR="00260065">
        <w:t>,</w:t>
      </w:r>
      <w:r w:rsidR="00C907F8">
        <w:t xml:space="preserve"> bowiem proponowane rozdzielenie </w:t>
      </w:r>
      <w:r w:rsidR="003F54DE" w:rsidRPr="0074208B">
        <w:t>stanowiska Prokuratora Generalnego od stan</w:t>
      </w:r>
      <w:r w:rsidR="00260065">
        <w:t>owiska Ministra Sprawiedliwości</w:t>
      </w:r>
      <w:r w:rsidR="003F54DE" w:rsidRPr="0074208B">
        <w:t xml:space="preserve"> </w:t>
      </w:r>
      <w:r w:rsidR="00A47968">
        <w:t xml:space="preserve">ogranicza </w:t>
      </w:r>
      <w:r w:rsidR="00C6155D">
        <w:t>możliwoś</w:t>
      </w:r>
      <w:r w:rsidR="00A47968">
        <w:t>ć</w:t>
      </w:r>
      <w:r w:rsidR="00C6155D">
        <w:t xml:space="preserve"> realizacji, zawartej w </w:t>
      </w:r>
      <w:r w:rsidR="003F54DE">
        <w:t>art.</w:t>
      </w:r>
      <w:r w:rsidR="003F54DE" w:rsidRPr="00FE2A21">
        <w:t>146</w:t>
      </w:r>
      <w:r w:rsidR="003F54DE">
        <w:t xml:space="preserve"> ust.</w:t>
      </w:r>
      <w:r w:rsidR="003F54DE" w:rsidRPr="00FE2A21">
        <w:t>4</w:t>
      </w:r>
      <w:r w:rsidR="003F54DE">
        <w:t xml:space="preserve"> pkt</w:t>
      </w:r>
      <w:r w:rsidR="00887631">
        <w:t xml:space="preserve"> 7 </w:t>
      </w:r>
      <w:r w:rsidR="003F54DE">
        <w:t>Konstytucji</w:t>
      </w:r>
      <w:r w:rsidR="008C10CD">
        <w:t xml:space="preserve"> RP</w:t>
      </w:r>
      <w:r w:rsidR="00C6155D">
        <w:t>, j</w:t>
      </w:r>
      <w:r w:rsidR="003F54DE">
        <w:t>edn</w:t>
      </w:r>
      <w:r w:rsidR="00C6155D">
        <w:t>ej</w:t>
      </w:r>
      <w:r w:rsidR="003F54DE">
        <w:t xml:space="preserve"> z podstawowych funkcji pań</w:t>
      </w:r>
      <w:r w:rsidR="00B3508E">
        <w:t xml:space="preserve">stwa i jednocześnie obowiązków </w:t>
      </w:r>
      <w:r w:rsidR="00887631">
        <w:t>Rady Ministrów</w:t>
      </w:r>
      <w:r w:rsidR="00260065">
        <w:t>,</w:t>
      </w:r>
      <w:r w:rsidR="00BB59FA">
        <w:t xml:space="preserve"> </w:t>
      </w:r>
      <w:r w:rsidR="00C6155D">
        <w:t xml:space="preserve">jaką </w:t>
      </w:r>
      <w:r w:rsidR="003F54DE">
        <w:t xml:space="preserve">jest </w:t>
      </w:r>
      <w:r w:rsidR="003F54DE" w:rsidRPr="00462DEF">
        <w:t>zapewnieni</w:t>
      </w:r>
      <w:r w:rsidR="003F54DE">
        <w:t>e</w:t>
      </w:r>
      <w:r w:rsidR="003F54DE" w:rsidRPr="00462DEF">
        <w:t xml:space="preserve"> bezpieczeństwa wewnętrznego i porządku publicznego</w:t>
      </w:r>
      <w:r w:rsidR="003F54DE">
        <w:t xml:space="preserve">. </w:t>
      </w:r>
      <w:r w:rsidR="00C6155D">
        <w:lastRenderedPageBreak/>
        <w:t>Trzeba bowiem zwrócić uwagę, że n</w:t>
      </w:r>
      <w:r w:rsidR="003F54DE">
        <w:t xml:space="preserve">iezwykle istotny element w realizacji tego zobowiązania stanowi </w:t>
      </w:r>
      <w:r w:rsidR="00C6155D">
        <w:t xml:space="preserve">działalność </w:t>
      </w:r>
      <w:r w:rsidR="003F54DE" w:rsidRPr="00A42C58">
        <w:t>prokuratur</w:t>
      </w:r>
      <w:r w:rsidR="00C6155D">
        <w:t>y</w:t>
      </w:r>
      <w:r w:rsidR="003F54DE">
        <w:t xml:space="preserve">. </w:t>
      </w:r>
      <w:r w:rsidR="00DC146F">
        <w:t xml:space="preserve">Trudno koordynować działalność organów realizujących zadania w tym zakresie </w:t>
      </w:r>
      <w:r w:rsidR="003945BA">
        <w:t>bez wpływu na ich funkcjonowanie.</w:t>
      </w:r>
    </w:p>
    <w:p w14:paraId="17BCBA26" w14:textId="7A4527BB" w:rsidR="00914967" w:rsidRDefault="0073121F" w:rsidP="00914967">
      <w:pPr>
        <w:pStyle w:val="NIEARTTEKSTtekstnieartykuowanynppodstprawnarozplubpreambua"/>
      </w:pPr>
      <w:r>
        <w:t>Rezygnacja</w:t>
      </w:r>
      <w:r w:rsidR="00BB59FA">
        <w:t xml:space="preserve"> </w:t>
      </w:r>
      <w:r>
        <w:t>z</w:t>
      </w:r>
      <w:r w:rsidR="00BB59FA">
        <w:t xml:space="preserve"> </w:t>
      </w:r>
      <w:r w:rsidR="008C1AA3">
        <w:t>połączenia funkcji</w:t>
      </w:r>
      <w:r w:rsidR="00AA274B">
        <w:t xml:space="preserve"> Ministra Sprawiedliwo</w:t>
      </w:r>
      <w:r>
        <w:t xml:space="preserve">ści i Prokuratora Generalnego </w:t>
      </w:r>
      <w:r w:rsidR="00AA274B">
        <w:t xml:space="preserve">prowadzi </w:t>
      </w:r>
      <w:r>
        <w:t xml:space="preserve">też </w:t>
      </w:r>
      <w:r w:rsidR="00AA274B">
        <w:t xml:space="preserve">do </w:t>
      </w:r>
      <w:r>
        <w:t>utraty</w:t>
      </w:r>
      <w:r w:rsidR="00AA274B">
        <w:t xml:space="preserve"> przez osobę kierującą proku</w:t>
      </w:r>
      <w:r>
        <w:t xml:space="preserve">raturą silnej pozycji </w:t>
      </w:r>
      <w:r w:rsidR="00AA274B">
        <w:t>wobec organów zewnętrznych</w:t>
      </w:r>
      <w:r>
        <w:t xml:space="preserve">, </w:t>
      </w:r>
      <w:r w:rsidR="001714F4">
        <w:t>która</w:t>
      </w:r>
      <w:r>
        <w:t xml:space="preserve"> stanowi niezbędny element </w:t>
      </w:r>
      <w:r w:rsidR="00AA274B">
        <w:t>właściwej realizacji zadań nałożonych pr</w:t>
      </w:r>
      <w:r>
        <w:t>zez ustawodawcę na tę instytucję</w:t>
      </w:r>
      <w:r w:rsidR="00AA274B">
        <w:t xml:space="preserve">. </w:t>
      </w:r>
      <w:r w:rsidR="00CB374B">
        <w:t>Przyjęcie</w:t>
      </w:r>
      <w:r w:rsidR="00441D80">
        <w:t xml:space="preserve"> takiego </w:t>
      </w:r>
      <w:r w:rsidR="00CB374B">
        <w:t>rozwiązania</w:t>
      </w:r>
      <w:r w:rsidR="00914967" w:rsidRPr="00FE2A21">
        <w:t xml:space="preserve"> doprowadziło</w:t>
      </w:r>
      <w:r w:rsidR="001714F4">
        <w:t>by</w:t>
      </w:r>
      <w:r w:rsidR="00914967" w:rsidRPr="00FE2A21">
        <w:t xml:space="preserve"> także do utraty przez prokuraturę realnego wpływu na funkcjonowanie innych instytucji bezpośredni</w:t>
      </w:r>
      <w:r w:rsidR="00914967">
        <w:t>o</w:t>
      </w:r>
      <w:r w:rsidR="00914967" w:rsidRPr="00FE2A21">
        <w:t xml:space="preserve"> z</w:t>
      </w:r>
      <w:r w:rsidR="00914967">
        <w:t> </w:t>
      </w:r>
      <w:r w:rsidR="00914967" w:rsidRPr="00FE2A21">
        <w:t>nią związanych</w:t>
      </w:r>
      <w:r w:rsidR="009B6C90">
        <w:t>,</w:t>
      </w:r>
      <w:r w:rsidR="00914967" w:rsidRPr="00FE2A21">
        <w:t xml:space="preserve"> </w:t>
      </w:r>
      <w:r w:rsidR="00914967">
        <w:t>m.in.</w:t>
      </w:r>
      <w:r w:rsidR="00914967" w:rsidRPr="00FE2A21">
        <w:t xml:space="preserve"> Instytutu Ekspertyz Sądowych w</w:t>
      </w:r>
      <w:r w:rsidR="00914967">
        <w:t> </w:t>
      </w:r>
      <w:r w:rsidR="009B6C90">
        <w:t>Krakowie</w:t>
      </w:r>
      <w:r w:rsidR="00914967" w:rsidRPr="00FE2A21">
        <w:t xml:space="preserve"> czy Krajowej Szkoły Sądownictwa i</w:t>
      </w:r>
      <w:r w:rsidR="00914967">
        <w:t> </w:t>
      </w:r>
      <w:r w:rsidR="00914967" w:rsidRPr="00FE2A21">
        <w:t>Prokuratury, przygotowującej nowe kadry prokuratorskie</w:t>
      </w:r>
      <w:r w:rsidR="00CB374B">
        <w:t>, a nadzorowanych przez Ministra Sprawiedliwości</w:t>
      </w:r>
      <w:r w:rsidR="00914967" w:rsidRPr="00FE2A21">
        <w:t>.</w:t>
      </w:r>
    </w:p>
    <w:p w14:paraId="3E3DF94E" w14:textId="1F3C3176" w:rsidR="00191BB8" w:rsidRPr="00191BB8" w:rsidRDefault="00191BB8" w:rsidP="00191BB8">
      <w:pPr>
        <w:pStyle w:val="ARTartustawynprozporzdzenia"/>
      </w:pPr>
      <w:r>
        <w:t xml:space="preserve">Proponowane </w:t>
      </w:r>
      <w:r w:rsidR="007E2949">
        <w:t>regulacje</w:t>
      </w:r>
      <w:r w:rsidR="00B93503">
        <w:t xml:space="preserve"> powodowały</w:t>
      </w:r>
      <w:r>
        <w:t xml:space="preserve">by również nieuzasadnione rozproszenie odpowiedzialności za </w:t>
      </w:r>
      <w:r w:rsidR="004977CE">
        <w:t>szeroko pojęty</w:t>
      </w:r>
      <w:r w:rsidR="00BB59FA">
        <w:t xml:space="preserve"> </w:t>
      </w:r>
      <w:r w:rsidR="004977CE">
        <w:t>wymiar</w:t>
      </w:r>
      <w:r>
        <w:t xml:space="preserve"> sprawiedliwości</w:t>
      </w:r>
      <w:r w:rsidR="00260065">
        <w:t>,</w:t>
      </w:r>
      <w:r>
        <w:t xml:space="preserve"> skutkujące tym, iż Minister Sprawiedliwości – odpowiedzialny </w:t>
      </w:r>
      <w:r w:rsidR="004977CE">
        <w:t xml:space="preserve">za niego </w:t>
      </w:r>
      <w:r>
        <w:t>politycznie</w:t>
      </w:r>
      <w:r w:rsidR="0031584C">
        <w:t>,</w:t>
      </w:r>
      <w:r>
        <w:t xml:space="preserve"> </w:t>
      </w:r>
      <w:r w:rsidR="007E2949">
        <w:t>miałby</w:t>
      </w:r>
      <w:r>
        <w:t xml:space="preserve"> zbyt mały wpływ na</w:t>
      </w:r>
      <w:r w:rsidR="00892231">
        <w:t> </w:t>
      </w:r>
      <w:r>
        <w:t>kształtowanie walki z przestępczością</w:t>
      </w:r>
      <w:r w:rsidR="00BB59FA">
        <w:t xml:space="preserve"> </w:t>
      </w:r>
      <w:r>
        <w:t>i ochronę praworządności.</w:t>
      </w:r>
    </w:p>
    <w:p w14:paraId="30389C41" w14:textId="2FD00813" w:rsidR="00711AA9" w:rsidRDefault="003F54DE" w:rsidP="00BB70F9">
      <w:pPr>
        <w:pStyle w:val="Style12"/>
        <w:widowControl/>
        <w:spacing w:before="62" w:line="446" w:lineRule="exact"/>
        <w:ind w:firstLine="510"/>
        <w:rPr>
          <w:rStyle w:val="FontStyle25"/>
        </w:rPr>
      </w:pPr>
      <w:r w:rsidRPr="00012E7D">
        <w:t xml:space="preserve">Podkreślić należy, że w państwach demokratycznych istnieją różne modele funkcjonowania prokuratury. Ustawodawca nie jest tu ograniczony normami prawa międzynarodowego, które nie wprowadzają sztywnych reguł nakazujących usytuowanie prokuratury w określonej relacji z władzą wykonawczą, ustawodawczą czy sądowniczą. </w:t>
      </w:r>
      <w:r w:rsidR="000E04F9">
        <w:t xml:space="preserve">Istnieją m.in. </w:t>
      </w:r>
      <w:r w:rsidRPr="00012E7D">
        <w:t xml:space="preserve">rozwiązania, gdzie prokuratura </w:t>
      </w:r>
      <w:r w:rsidR="004359A0">
        <w:t xml:space="preserve">w różnym stopniu </w:t>
      </w:r>
      <w:r w:rsidRPr="00012E7D">
        <w:t>jest podporządkowana Ministrowi Sprawiedliwości, a więc władzy wykonawczej</w:t>
      </w:r>
      <w:r w:rsidR="00260065">
        <w:t>,</w:t>
      </w:r>
      <w:r w:rsidR="00D22DA2" w:rsidRPr="00012E7D">
        <w:t xml:space="preserve"> mimo braku </w:t>
      </w:r>
      <w:r w:rsidR="00145102">
        <w:t>połączenia tych funkcji</w:t>
      </w:r>
      <w:r w:rsidRPr="00012E7D">
        <w:t xml:space="preserve">. Taki model prokuratury </w:t>
      </w:r>
      <w:r w:rsidR="00012E7D">
        <w:t>funkcjonuje</w:t>
      </w:r>
      <w:r w:rsidRPr="00012E7D">
        <w:t xml:space="preserve"> m.in. we Francji, Austrii, Belgii, C</w:t>
      </w:r>
      <w:r w:rsidR="00CB374B" w:rsidRPr="00012E7D">
        <w:t>zechach, Holandii czy</w:t>
      </w:r>
      <w:r w:rsidR="00BE2D64">
        <w:t> </w:t>
      </w:r>
      <w:r w:rsidR="00CB374B" w:rsidRPr="00012E7D">
        <w:t>Rumunii.</w:t>
      </w:r>
      <w:r w:rsidR="006308FD" w:rsidRPr="00012E7D">
        <w:t xml:space="preserve"> Wybór właściwego modelu w zakresie relacji z władzą wykonawczą jest najczęściej skorelowany z tradycją ustrojową i prawną danego państwa. W </w:t>
      </w:r>
      <w:r w:rsidR="00BA440D">
        <w:t>Polsce,</w:t>
      </w:r>
      <w:r w:rsidR="006308FD" w:rsidRPr="00012E7D">
        <w:t xml:space="preserve"> jak</w:t>
      </w:r>
      <w:r w:rsidR="00260065">
        <w:t> </w:t>
      </w:r>
      <w:r w:rsidR="006308FD" w:rsidRPr="00012E7D">
        <w:t xml:space="preserve">wyżej wskazano, </w:t>
      </w:r>
      <w:r w:rsidR="00032B93">
        <w:t xml:space="preserve">zgodnie z </w:t>
      </w:r>
      <w:r w:rsidR="006308FD" w:rsidRPr="00012E7D">
        <w:t>art. 14</w:t>
      </w:r>
      <w:r w:rsidR="00887631">
        <w:t>6</w:t>
      </w:r>
      <w:r w:rsidR="006308FD" w:rsidRPr="00012E7D">
        <w:t xml:space="preserve"> Konstytucji</w:t>
      </w:r>
      <w:r w:rsidR="00A84562">
        <w:t xml:space="preserve"> RP</w:t>
      </w:r>
      <w:r w:rsidR="003F15E7">
        <w:t>,</w:t>
      </w:r>
      <w:r w:rsidR="00032B93">
        <w:t xml:space="preserve"> </w:t>
      </w:r>
      <w:r w:rsidR="00032B93" w:rsidRPr="00462DEF">
        <w:t>za</w:t>
      </w:r>
      <w:r w:rsidR="00032B93">
        <w:t xml:space="preserve"> za</w:t>
      </w:r>
      <w:r w:rsidR="00032B93" w:rsidRPr="00462DEF">
        <w:t>pewnieni</w:t>
      </w:r>
      <w:r w:rsidR="00032B93">
        <w:t>e</w:t>
      </w:r>
      <w:r w:rsidR="00032B93" w:rsidRPr="00462DEF">
        <w:t xml:space="preserve"> bezpieczeństwa wewnętrznego i</w:t>
      </w:r>
      <w:r w:rsidR="00BE2D64">
        <w:t> </w:t>
      </w:r>
      <w:r w:rsidR="00032B93" w:rsidRPr="00462DEF">
        <w:t>porządku public</w:t>
      </w:r>
      <w:r w:rsidR="0031584C">
        <w:t>znego odpowiada Rada</w:t>
      </w:r>
      <w:r w:rsidR="00032B93">
        <w:t xml:space="preserve"> Ministrów</w:t>
      </w:r>
      <w:r w:rsidR="003F15E7">
        <w:t>. Dlatego też połączenie funkcji Ministra Sprawiedliwości i Prokuratora Generalnego jest wymogiem konstytucyjnym</w:t>
      </w:r>
      <w:r w:rsidR="006308FD" w:rsidRPr="00012E7D">
        <w:t xml:space="preserve">. </w:t>
      </w:r>
      <w:r w:rsidR="003F15E7">
        <w:t>P</w:t>
      </w:r>
      <w:r w:rsidR="006308FD" w:rsidRPr="00012E7D">
        <w:t xml:space="preserve">ołączenie </w:t>
      </w:r>
      <w:r w:rsidR="003F15E7">
        <w:t xml:space="preserve">tych funkcji </w:t>
      </w:r>
      <w:r w:rsidR="006308FD" w:rsidRPr="00012E7D">
        <w:t xml:space="preserve">znajduje również swoje oparcie w tradycji historycznej, sięgającej jeszcze okresu dwudziestolecia międzywojennego, gdy </w:t>
      </w:r>
      <w:r w:rsidR="00CD48A3" w:rsidRPr="00012E7D">
        <w:t xml:space="preserve">zgodnie z </w:t>
      </w:r>
      <w:r w:rsidR="006308FD" w:rsidRPr="00012E7D">
        <w:rPr>
          <w:i/>
        </w:rPr>
        <w:t xml:space="preserve">rozporządzeniem Prezydenta RP z </w:t>
      </w:r>
      <w:r w:rsidR="00CD48A3" w:rsidRPr="00012E7D">
        <w:rPr>
          <w:i/>
        </w:rPr>
        <w:t>dnia 6</w:t>
      </w:r>
      <w:r w:rsidR="00BE2D64">
        <w:rPr>
          <w:i/>
        </w:rPr>
        <w:t> </w:t>
      </w:r>
      <w:r w:rsidR="00CD48A3" w:rsidRPr="00012E7D">
        <w:rPr>
          <w:i/>
        </w:rPr>
        <w:t>lutego 1928 r. –</w:t>
      </w:r>
      <w:r w:rsidR="006308FD" w:rsidRPr="00012E7D">
        <w:rPr>
          <w:i/>
        </w:rPr>
        <w:t xml:space="preserve"> Prawo o ustroju sądów powszechnych</w:t>
      </w:r>
      <w:r w:rsidR="0031584C">
        <w:rPr>
          <w:i/>
        </w:rPr>
        <w:t xml:space="preserve"> (Dz. U. poz. 93)</w:t>
      </w:r>
      <w:r w:rsidR="006308FD" w:rsidRPr="00012E7D">
        <w:t xml:space="preserve"> Min</w:t>
      </w:r>
      <w:r w:rsidR="00CD48A3" w:rsidRPr="00012E7D">
        <w:t xml:space="preserve">ister Sprawiedliwości sprawował również funkcję </w:t>
      </w:r>
      <w:r w:rsidR="006308FD" w:rsidRPr="00012E7D">
        <w:t>Prokurator</w:t>
      </w:r>
      <w:r w:rsidR="00CD48A3" w:rsidRPr="00012E7D">
        <w:t>a Naczelnego</w:t>
      </w:r>
      <w:r w:rsidR="006308FD" w:rsidRPr="00012E7D">
        <w:t>.</w:t>
      </w:r>
      <w:r w:rsidR="00EC756D">
        <w:t xml:space="preserve"> </w:t>
      </w:r>
      <w:r w:rsidR="00012E7D">
        <w:t xml:space="preserve">Nadto </w:t>
      </w:r>
      <w:r w:rsidR="008C1AA3">
        <w:t>połączenie</w:t>
      </w:r>
      <w:r w:rsidR="00CD48A3" w:rsidRPr="00012E7D">
        <w:t xml:space="preserve"> tych </w:t>
      </w:r>
      <w:r w:rsidR="00CD48A3" w:rsidRPr="00012E7D">
        <w:lastRenderedPageBreak/>
        <w:t>urzędów obowiązywał</w:t>
      </w:r>
      <w:r w:rsidR="00073F14">
        <w:t>o</w:t>
      </w:r>
      <w:r w:rsidR="00EC756D">
        <w:t xml:space="preserve"> </w:t>
      </w:r>
      <w:r w:rsidR="00012E7D">
        <w:t>także</w:t>
      </w:r>
      <w:r w:rsidR="00CD48A3" w:rsidRPr="00012E7D">
        <w:t xml:space="preserve"> w okresie od </w:t>
      </w:r>
      <w:r w:rsidR="00012E7D" w:rsidRPr="00012E7D">
        <w:t xml:space="preserve">31 marca 1990 r. </w:t>
      </w:r>
      <w:r w:rsidR="00CD48A3" w:rsidRPr="00012E7D">
        <w:t xml:space="preserve">do 31 marca 2010 r. na mocy </w:t>
      </w:r>
      <w:r w:rsidR="00CD48A3" w:rsidRPr="00012E7D">
        <w:rPr>
          <w:i/>
        </w:rPr>
        <w:t xml:space="preserve">ustawy z dnia </w:t>
      </w:r>
      <w:r w:rsidR="00012E7D" w:rsidRPr="00012E7D">
        <w:rPr>
          <w:i/>
        </w:rPr>
        <w:t>22 marca 1990 r. o</w:t>
      </w:r>
      <w:r w:rsidR="00012E7D" w:rsidRPr="00012E7D">
        <w:rPr>
          <w:rFonts w:eastAsia="Times New Roman"/>
          <w:bCs/>
          <w:i/>
        </w:rPr>
        <w:t xml:space="preserve"> zmianie ustawy o Prokuraturze Polskiej Rzeczypospolitej Ludowej, Kodeksu postępowania w sprawach o wykroczenia oraz ustawy o Sądzie Najwyższym (Dz. U. poz. 121)</w:t>
      </w:r>
      <w:r w:rsidR="00073F14">
        <w:rPr>
          <w:rFonts w:eastAsia="Times New Roman"/>
          <w:bCs/>
          <w:i/>
        </w:rPr>
        <w:t xml:space="preserve">, </w:t>
      </w:r>
      <w:r w:rsidR="00073F14" w:rsidRPr="009B00AD">
        <w:rPr>
          <w:rFonts w:eastAsia="Times New Roman"/>
          <w:bCs/>
          <w:iCs/>
        </w:rPr>
        <w:t>co</w:t>
      </w:r>
      <w:r w:rsidR="00EC756D">
        <w:rPr>
          <w:rFonts w:eastAsia="Times New Roman"/>
          <w:bCs/>
          <w:iCs/>
        </w:rPr>
        <w:t xml:space="preserve"> </w:t>
      </w:r>
      <w:r w:rsidR="00073F14" w:rsidRPr="009B00AD">
        <w:rPr>
          <w:rFonts w:eastAsia="Times New Roman"/>
          <w:bCs/>
          <w:iCs/>
        </w:rPr>
        <w:t>było</w:t>
      </w:r>
      <w:r w:rsidR="00EC756D">
        <w:rPr>
          <w:rFonts w:eastAsia="Times New Roman"/>
          <w:bCs/>
          <w:iCs/>
        </w:rPr>
        <w:t xml:space="preserve"> </w:t>
      </w:r>
      <w:r w:rsidR="00073F14" w:rsidRPr="009B00AD">
        <w:rPr>
          <w:rFonts w:eastAsia="Times New Roman"/>
          <w:bCs/>
          <w:iCs/>
        </w:rPr>
        <w:t>wynikiem</w:t>
      </w:r>
      <w:r w:rsidR="00073F14">
        <w:rPr>
          <w:rStyle w:val="FontStyle25"/>
        </w:rPr>
        <w:t xml:space="preserve"> obrad „Okrągłego Stołu” i ścierania się rożnego rodzaju poglądów na temat umiejscowienia prokuratury w systemie organów państwowych i jej zadań. To wówczas wypracowane i przyjęte zostało stanowisko o podporządkowaniu prokuratury, jako organu powołanego w głównej mierze do walki z przestępczością, władzy wykonawczej, z jednoczesnym powierzeniem jej przedstawicielowi, tj. Ministrowi Sprawiedliwości</w:t>
      </w:r>
      <w:r w:rsidR="00260065">
        <w:rPr>
          <w:rStyle w:val="FontStyle25"/>
        </w:rPr>
        <w:t>,</w:t>
      </w:r>
      <w:r w:rsidR="00073F14">
        <w:rPr>
          <w:rStyle w:val="FontStyle25"/>
        </w:rPr>
        <w:t xml:space="preserve"> funkcji Prokuratora Generalnego, jako podmiotowi, który w ustroju demokratycznym sprawować będzie zewnętrzną kontrolę nad działalnością prokuratury i ponosić w związku z tym pełną odpowiedzialność polityczną i prawną za jej pracę.</w:t>
      </w:r>
    </w:p>
    <w:p w14:paraId="6A91F356" w14:textId="4F7FBDC9" w:rsidR="00FD08ED" w:rsidRPr="00B11EC3" w:rsidRDefault="00711AA9" w:rsidP="00BB70F9">
      <w:pPr>
        <w:pStyle w:val="Style12"/>
        <w:widowControl/>
        <w:spacing w:before="62" w:line="446" w:lineRule="exact"/>
        <w:ind w:firstLine="510"/>
        <w:rPr>
          <w:rStyle w:val="FontStyle25"/>
        </w:rPr>
      </w:pPr>
      <w:r>
        <w:rPr>
          <w:iCs/>
          <w:shd w:val="clear" w:color="auto" w:fill="FFFFFF"/>
        </w:rPr>
        <w:t>Należy r</w:t>
      </w:r>
      <w:r w:rsidR="00BB70F9" w:rsidRPr="00B11EC3">
        <w:rPr>
          <w:iCs/>
          <w:shd w:val="clear" w:color="auto" w:fill="FFFFFF"/>
        </w:rPr>
        <w:t xml:space="preserve">ównież </w:t>
      </w:r>
      <w:r>
        <w:rPr>
          <w:iCs/>
          <w:shd w:val="clear" w:color="auto" w:fill="FFFFFF"/>
        </w:rPr>
        <w:t xml:space="preserve">zwrócić uwagę, że </w:t>
      </w:r>
      <w:r w:rsidR="00BB70F9" w:rsidRPr="00B11EC3">
        <w:rPr>
          <w:iCs/>
          <w:shd w:val="clear" w:color="auto" w:fill="FFFFFF"/>
        </w:rPr>
        <w:t>doświadczenia związane z organizacją prokuratury w</w:t>
      </w:r>
      <w:r w:rsidR="00BE2D64">
        <w:rPr>
          <w:iCs/>
          <w:shd w:val="clear" w:color="auto" w:fill="FFFFFF"/>
        </w:rPr>
        <w:t> </w:t>
      </w:r>
      <w:r w:rsidR="00BB70F9" w:rsidRPr="00B11EC3">
        <w:rPr>
          <w:iCs/>
          <w:shd w:val="clear" w:color="auto" w:fill="FFFFFF"/>
        </w:rPr>
        <w:t>okresie od dnia 31 marca 2010 r. do dnia 3 marca 2016 r. pokazały, iż funkcjonujący wówczas model ustrojowy prokuratury okazał się dysfunkcjonalny</w:t>
      </w:r>
      <w:r w:rsidR="0031584C">
        <w:rPr>
          <w:iCs/>
          <w:shd w:val="clear" w:color="auto" w:fill="FFFFFF"/>
        </w:rPr>
        <w:t>, a rozdzielenie urzędu Ministra</w:t>
      </w:r>
      <w:r w:rsidR="00BB70F9" w:rsidRPr="00B11EC3">
        <w:rPr>
          <w:iCs/>
          <w:shd w:val="clear" w:color="auto" w:fill="FFFFFF"/>
        </w:rPr>
        <w:t xml:space="preserve"> Sprawiedliwości i urzędu Prokuratora Generalnego nie zapewniło warunków do</w:t>
      </w:r>
      <w:r w:rsidR="00BE2D64">
        <w:rPr>
          <w:iCs/>
          <w:shd w:val="clear" w:color="auto" w:fill="FFFFFF"/>
        </w:rPr>
        <w:t> </w:t>
      </w:r>
      <w:r w:rsidR="00BB70F9" w:rsidRPr="00B11EC3">
        <w:rPr>
          <w:iCs/>
          <w:shd w:val="clear" w:color="auto" w:fill="FFFFFF"/>
        </w:rPr>
        <w:t>efektywnego wykonywania przez prokuraturę nałożonych na nią zadań.</w:t>
      </w:r>
      <w:r>
        <w:rPr>
          <w:iCs/>
          <w:shd w:val="clear" w:color="auto" w:fill="FFFFFF"/>
        </w:rPr>
        <w:t xml:space="preserve"> </w:t>
      </w:r>
      <w:r w:rsidR="009548E6">
        <w:rPr>
          <w:iCs/>
          <w:shd w:val="clear" w:color="auto" w:fill="FFFFFF"/>
        </w:rPr>
        <w:t>Świadczą o tym chociażby kolejne opinie Ministrów Sprawiedliwości do corocznych sprawozdań Prokuratora Generalnego z działalności prokuratury, w tym opini</w:t>
      </w:r>
      <w:r w:rsidR="00AA31C6">
        <w:rPr>
          <w:iCs/>
          <w:shd w:val="clear" w:color="auto" w:fill="FFFFFF"/>
        </w:rPr>
        <w:t>e</w:t>
      </w:r>
      <w:r w:rsidR="009548E6">
        <w:rPr>
          <w:iCs/>
          <w:shd w:val="clear" w:color="auto" w:fill="FFFFFF"/>
        </w:rPr>
        <w:t xml:space="preserve"> Ministra Sprawiedliwości pana Marka B</w:t>
      </w:r>
      <w:r w:rsidR="00260065">
        <w:rPr>
          <w:iCs/>
          <w:shd w:val="clear" w:color="auto" w:fill="FFFFFF"/>
        </w:rPr>
        <w:t>i</w:t>
      </w:r>
      <w:r w:rsidR="009548E6">
        <w:rPr>
          <w:iCs/>
          <w:shd w:val="clear" w:color="auto" w:fill="FFFFFF"/>
        </w:rPr>
        <w:t>ernackiego do sprawozda</w:t>
      </w:r>
      <w:r w:rsidR="00AA31C6">
        <w:rPr>
          <w:iCs/>
          <w:shd w:val="clear" w:color="auto" w:fill="FFFFFF"/>
        </w:rPr>
        <w:t>ń</w:t>
      </w:r>
      <w:r w:rsidR="009548E6">
        <w:rPr>
          <w:iCs/>
          <w:shd w:val="clear" w:color="auto" w:fill="FFFFFF"/>
        </w:rPr>
        <w:t xml:space="preserve"> za </w:t>
      </w:r>
      <w:r w:rsidR="003111AA">
        <w:rPr>
          <w:iCs/>
          <w:shd w:val="clear" w:color="auto" w:fill="FFFFFF"/>
        </w:rPr>
        <w:t>2012 i</w:t>
      </w:r>
      <w:r w:rsidR="00AA31C6">
        <w:rPr>
          <w:iCs/>
          <w:shd w:val="clear" w:color="auto" w:fill="FFFFFF"/>
        </w:rPr>
        <w:t xml:space="preserve"> </w:t>
      </w:r>
      <w:r w:rsidR="009548E6">
        <w:rPr>
          <w:iCs/>
          <w:shd w:val="clear" w:color="auto" w:fill="FFFFFF"/>
        </w:rPr>
        <w:t xml:space="preserve">2013 r. Również sam Prokurator Generalny </w:t>
      </w:r>
      <w:r w:rsidR="000652A9">
        <w:rPr>
          <w:iCs/>
          <w:shd w:val="clear" w:color="auto" w:fill="FFFFFF"/>
        </w:rPr>
        <w:t xml:space="preserve">pan Andrzej </w:t>
      </w:r>
      <w:proofErr w:type="spellStart"/>
      <w:r w:rsidR="000652A9">
        <w:rPr>
          <w:iCs/>
          <w:shd w:val="clear" w:color="auto" w:fill="FFFFFF"/>
        </w:rPr>
        <w:t>Seremet</w:t>
      </w:r>
      <w:proofErr w:type="spellEnd"/>
      <w:r w:rsidR="000652A9">
        <w:rPr>
          <w:iCs/>
          <w:shd w:val="clear" w:color="auto" w:fill="FFFFFF"/>
        </w:rPr>
        <w:t xml:space="preserve"> wielokrotnie zwracał uwagę na mankamenty obowiązującej wówczas regulacji, w tym przy okazji sprawy zabójstwa pana gen. Marka Papały.</w:t>
      </w:r>
    </w:p>
    <w:p w14:paraId="7C310773" w14:textId="3EC377B2" w:rsidR="00E32990" w:rsidRDefault="001714F4" w:rsidP="00E32990">
      <w:pPr>
        <w:pStyle w:val="Style9"/>
        <w:widowControl/>
        <w:spacing w:line="446" w:lineRule="exact"/>
        <w:ind w:right="43" w:firstLine="696"/>
        <w:rPr>
          <w:rStyle w:val="FontStyle25"/>
        </w:rPr>
      </w:pPr>
      <w:r>
        <w:t>Proponowany</w:t>
      </w:r>
      <w:r w:rsidR="00BB70F9">
        <w:t xml:space="preserve"> </w:t>
      </w:r>
      <w:r>
        <w:t>powrót do kadencyjności</w:t>
      </w:r>
      <w:r w:rsidR="003F54DE" w:rsidRPr="0074208B">
        <w:t xml:space="preserve"> funkcji kierowniczych w</w:t>
      </w:r>
      <w:r w:rsidR="003F54DE">
        <w:t> </w:t>
      </w:r>
      <w:r>
        <w:t>p</w:t>
      </w:r>
      <w:r w:rsidR="003F54DE" w:rsidRPr="0074208B">
        <w:t xml:space="preserve">rokuraturze </w:t>
      </w:r>
      <w:r>
        <w:t xml:space="preserve">spowoduje ograniczenie </w:t>
      </w:r>
      <w:r w:rsidR="003F54DE" w:rsidRPr="0074208B">
        <w:t>zasady hi</w:t>
      </w:r>
      <w:r w:rsidR="003F54DE">
        <w:t>erarchicznego podporządkowania. Stan taki utrudni</w:t>
      </w:r>
      <w:r w:rsidR="00A84562">
        <w:t>a</w:t>
      </w:r>
      <w:r w:rsidR="003F54DE">
        <w:t>ł</w:t>
      </w:r>
      <w:r w:rsidR="006D09B9">
        <w:t>,</w:t>
      </w:r>
      <w:r w:rsidR="003F54DE">
        <w:t xml:space="preserve"> a</w:t>
      </w:r>
      <w:r w:rsidR="00BE2D64">
        <w:t> </w:t>
      </w:r>
      <w:r w:rsidR="003F54DE">
        <w:t>nierzadko wręcz uniemożliwi</w:t>
      </w:r>
      <w:r w:rsidR="00CB374B">
        <w:t>a</w:t>
      </w:r>
      <w:r w:rsidR="003F54DE">
        <w:t>ł Prokuratorowi Generalnemu realne kierowanie podległą mu instytucją.</w:t>
      </w:r>
      <w:r w:rsidR="00914967">
        <w:t xml:space="preserve"> Prokurator Generalny</w:t>
      </w:r>
      <w:r w:rsidR="00123425">
        <w:t>,</w:t>
      </w:r>
      <w:r w:rsidR="00914967">
        <w:t xml:space="preserve"> ponoszący pełną odpowiedzialność za funkcjonowanie całej prokuratury, </w:t>
      </w:r>
      <w:r>
        <w:t>musi mieć</w:t>
      </w:r>
      <w:r w:rsidR="00914967">
        <w:t xml:space="preserve"> możliwość swobodnej </w:t>
      </w:r>
      <w:r w:rsidR="00D87666">
        <w:t>–</w:t>
      </w:r>
      <w:r w:rsidR="00914967">
        <w:t xml:space="preserve"> ograniczonej tylko ustawą </w:t>
      </w:r>
      <w:r w:rsidR="00D87666">
        <w:t>–</w:t>
      </w:r>
      <w:r w:rsidR="00914967">
        <w:t xml:space="preserve"> polityki kadrowej.</w:t>
      </w:r>
      <w:r w:rsidR="00EF15C9">
        <w:t xml:space="preserve"> Stan prawny</w:t>
      </w:r>
      <w:r w:rsidR="00E32990">
        <w:t>,</w:t>
      </w:r>
      <w:r w:rsidR="00EF15C9">
        <w:t xml:space="preserve"> do którego proponuje się powrócić</w:t>
      </w:r>
      <w:r w:rsidR="00EC756D">
        <w:t xml:space="preserve"> </w:t>
      </w:r>
      <w:r w:rsidR="00E32990">
        <w:rPr>
          <w:rStyle w:val="FontStyle25"/>
        </w:rPr>
        <w:t>skutkował tym, że Prokurator Generalny, jako naczelny organ prokuratury, do którego ustawowych zadań należało kierowanie dzi</w:t>
      </w:r>
      <w:r w:rsidR="004365D4">
        <w:rPr>
          <w:rStyle w:val="FontStyle25"/>
        </w:rPr>
        <w:t>ałalnością prokuratury, pozbawio</w:t>
      </w:r>
      <w:r w:rsidR="00E32990">
        <w:rPr>
          <w:rStyle w:val="FontStyle25"/>
        </w:rPr>
        <w:t xml:space="preserve">ny został instrumentów prawnych gwarantujących mu realny wpływ na sposób funkcjonowania tej instytucji </w:t>
      </w:r>
      <w:r w:rsidR="00E32990">
        <w:rPr>
          <w:rStyle w:val="FontStyle25"/>
        </w:rPr>
        <w:lastRenderedPageBreak/>
        <w:t>oraz</w:t>
      </w:r>
      <w:r w:rsidR="00BE2D64">
        <w:rPr>
          <w:rStyle w:val="FontStyle25"/>
        </w:rPr>
        <w:t> </w:t>
      </w:r>
      <w:r w:rsidR="00E32990">
        <w:rPr>
          <w:rStyle w:val="FontStyle25"/>
        </w:rPr>
        <w:t>umożliwiających podejmowanie konstruktywnych czynności w przedmiocie usprawnienia organizacji jej działalności, w tym pozwalających na realizację spójnego programu w zakresie zwalczania przestępczości. Powrót do tego typu rozwiązań nie jest więc uzasadniony. Poza tym ewentualne wejście w życie podanej regulacji może doprowadzić do</w:t>
      </w:r>
      <w:r w:rsidR="00123425">
        <w:rPr>
          <w:rStyle w:val="FontStyle25"/>
        </w:rPr>
        <w:t> </w:t>
      </w:r>
      <w:r w:rsidR="00E32990">
        <w:rPr>
          <w:rStyle w:val="FontStyle25"/>
        </w:rPr>
        <w:t>ryzyka wystąpienia zjawiska polegającego na niewłaściwym angażowaniu się przez prokuratorów pełniących stanowiska funkcyjne w prowadzone i nadzorowane przez nich sprawy, co sprzyja podejmowaniu decyzji procesowych w sposób partykularny, podporządkowany różnego rodzaju grupom interesów, bez możliwości stosowania w takich przypadkach adekwatnych środków zaradczych ze strony Prokuratora Generalnego. Obecnie Prokurator Generalny wyposażony jest w narzędzia prawne, które dają mu sposobność właściwego reagowania na tego typu zachowania, a tym samym umożliwiają sprawne i</w:t>
      </w:r>
      <w:r w:rsidR="00BE2D64">
        <w:rPr>
          <w:rStyle w:val="FontStyle25"/>
        </w:rPr>
        <w:t> </w:t>
      </w:r>
      <w:r w:rsidR="00E32990">
        <w:rPr>
          <w:rStyle w:val="FontStyle25"/>
        </w:rPr>
        <w:t>efektywne kierowanie podległą mu instytucją oraz wzięcie rzeczywistej odpowiedzialności za prawidłowe jej funkcjonowanie. Elementem, który to zapewnia</w:t>
      </w:r>
      <w:r w:rsidR="00123425">
        <w:rPr>
          <w:rStyle w:val="FontStyle25"/>
        </w:rPr>
        <w:t>,</w:t>
      </w:r>
      <w:r w:rsidR="00E32990">
        <w:rPr>
          <w:rStyle w:val="FontStyle25"/>
        </w:rPr>
        <w:t xml:space="preserve"> jest m. in. możliwość odpowiedniego doboru przez Prokuratora Generalnego kadry prokuratorskiej, w tym powierzania funkcji kierowniczych w jednostkach organizacyjnych prokuratury osobom o</w:t>
      </w:r>
      <w:r w:rsidR="00BE2D64">
        <w:rPr>
          <w:rStyle w:val="FontStyle25"/>
        </w:rPr>
        <w:t> </w:t>
      </w:r>
      <w:r w:rsidR="00E32990">
        <w:rPr>
          <w:rStyle w:val="FontStyle25"/>
        </w:rPr>
        <w:t>najszerszej wiedzy merytorycznej i odpowiednim doświadczeniu zawodowym, cechującym się przy tym nieposzlakowaną opinią oraz umiejętnościami pozwalającymi na wspieranie swą wiedzą i doświadczeniem podległych sobie pracowników.</w:t>
      </w:r>
    </w:p>
    <w:p w14:paraId="7FF7C57A" w14:textId="3971A98C" w:rsidR="00914967" w:rsidRDefault="000056F4" w:rsidP="00914967">
      <w:pPr>
        <w:pStyle w:val="NIEARTTEKSTtekstnieartykuowanynppodstprawnarozplubpreambua"/>
      </w:pPr>
      <w:r>
        <w:t>O zasadności i skuteczności obecnie obowiązujących rozwiązań normatywnych odnoszących się do organizacji prokuratury świadczą przede wszystkim wyniki jej działań</w:t>
      </w:r>
      <w:r w:rsidR="00123425">
        <w:t>,</w:t>
      </w:r>
      <w:r>
        <w:t xml:space="preserve"> chociażby w zakresie zwalczania przestępczości gospodarczej oraz przestępczości zorganizowanej</w:t>
      </w:r>
      <w:r w:rsidR="001C2057">
        <w:t xml:space="preserve"> i korupcji</w:t>
      </w:r>
      <w:r w:rsidR="00CD26B6">
        <w:t xml:space="preserve">, </w:t>
      </w:r>
      <w:r w:rsidR="00DC476A">
        <w:t xml:space="preserve">w tym </w:t>
      </w:r>
      <w:r w:rsidR="00CD26B6">
        <w:t xml:space="preserve">dzięki utworzeniu specjalnych pionów </w:t>
      </w:r>
      <w:r w:rsidR="00F11209">
        <w:t>do walki z tymi rodzajami przestępczości, zarówno na poziomie Prokuratury Krajowej, prokuratur regionalnych i prokuratur okręgowych.</w:t>
      </w:r>
      <w:r w:rsidR="00CD26B6">
        <w:t xml:space="preserve"> </w:t>
      </w:r>
      <w:r w:rsidR="00F551EC">
        <w:t>W przypadku spraw związanych z wyłudzeniami i</w:t>
      </w:r>
      <w:r w:rsidR="00637E80">
        <w:t> </w:t>
      </w:r>
      <w:r w:rsidR="00F551EC">
        <w:t xml:space="preserve">uszczupleniami w podatku od towarów i usług liczba osób objętych aktami oskarżenia wzrosła </w:t>
      </w:r>
      <w:r w:rsidR="00B610B7">
        <w:t>z</w:t>
      </w:r>
      <w:r w:rsidR="00BB70F9">
        <w:t xml:space="preserve"> </w:t>
      </w:r>
      <w:r w:rsidR="00227358">
        <w:t>3</w:t>
      </w:r>
      <w:r w:rsidR="00F551EC">
        <w:t>29</w:t>
      </w:r>
      <w:r w:rsidR="0082049D">
        <w:t xml:space="preserve"> w 2015 r. </w:t>
      </w:r>
      <w:r w:rsidR="00B610B7">
        <w:t>do 1064</w:t>
      </w:r>
      <w:r w:rsidR="00F551EC">
        <w:t xml:space="preserve"> w 2018 r.</w:t>
      </w:r>
      <w:r w:rsidR="00C10D0D">
        <w:t>, liczba nadzorowanych postępowań zakończonych aktem oskarżenia</w:t>
      </w:r>
      <w:r w:rsidR="00AE1CA3">
        <w:t xml:space="preserve"> </w:t>
      </w:r>
      <w:r w:rsidR="00C10D0D">
        <w:t xml:space="preserve">wzrosła </w:t>
      </w:r>
      <w:r w:rsidR="00B610B7">
        <w:t>z</w:t>
      </w:r>
      <w:r w:rsidR="00C10D0D">
        <w:t xml:space="preserve"> 138</w:t>
      </w:r>
      <w:r w:rsidR="00B610B7">
        <w:t xml:space="preserve"> w 2015 r. do 307</w:t>
      </w:r>
      <w:r w:rsidR="00C10D0D">
        <w:t xml:space="preserve"> w 2018 r. Kwoty uszczupleń podatkowych objętych zarzutami, a także kwoty narażenia na uszczuplenie wzrosły </w:t>
      </w:r>
      <w:r w:rsidR="00B610B7">
        <w:t>z</w:t>
      </w:r>
      <w:r w:rsidR="000B7698">
        <w:t xml:space="preserve"> 6.998.5</w:t>
      </w:r>
      <w:r w:rsidR="006F68E1">
        <w:t>55.004 zł</w:t>
      </w:r>
      <w:r w:rsidR="000B7698">
        <w:t xml:space="preserve"> w </w:t>
      </w:r>
      <w:r w:rsidR="00B610B7">
        <w:t>20</w:t>
      </w:r>
      <w:r w:rsidR="009321A4">
        <w:t>1</w:t>
      </w:r>
      <w:r w:rsidR="00B610B7">
        <w:t>5 r. do</w:t>
      </w:r>
      <w:r w:rsidR="00637E80">
        <w:t> </w:t>
      </w:r>
      <w:r w:rsidR="000B7698">
        <w:t>10.850.428.515 zł</w:t>
      </w:r>
      <w:r w:rsidR="00B610B7">
        <w:t xml:space="preserve"> w 2018 r.</w:t>
      </w:r>
      <w:r w:rsidR="00BB70F9">
        <w:t xml:space="preserve"> </w:t>
      </w:r>
      <w:r w:rsidR="001C2057">
        <w:t>W spraw</w:t>
      </w:r>
      <w:r w:rsidR="009321A4">
        <w:t>ach</w:t>
      </w:r>
      <w:r w:rsidR="001C2057">
        <w:t xml:space="preserve"> związanych ze zwalczaniem przestępczości zorganizowanej i korupcji liczba </w:t>
      </w:r>
      <w:r w:rsidR="009321A4">
        <w:t xml:space="preserve">osób oskarżonych </w:t>
      </w:r>
      <w:r w:rsidR="00B610B7">
        <w:t>wzrosła z 1040 w 2016 r. do</w:t>
      </w:r>
      <w:r w:rsidR="00637E80">
        <w:t> </w:t>
      </w:r>
      <w:r w:rsidR="00B610B7">
        <w:t>1538</w:t>
      </w:r>
      <w:r w:rsidR="00637E80">
        <w:t> </w:t>
      </w:r>
      <w:r w:rsidR="00B610B7">
        <w:t>w</w:t>
      </w:r>
      <w:r w:rsidR="00637E80">
        <w:t> </w:t>
      </w:r>
      <w:r w:rsidR="00B610B7">
        <w:t>2018</w:t>
      </w:r>
      <w:r w:rsidR="00637E80">
        <w:t> </w:t>
      </w:r>
      <w:r w:rsidR="00B610B7">
        <w:t xml:space="preserve">r., zaś liczba wniesionych aktów oskarżenia wzrosła z 173 </w:t>
      </w:r>
      <w:r w:rsidR="009321A4">
        <w:t xml:space="preserve">w </w:t>
      </w:r>
      <w:r w:rsidR="00B610B7">
        <w:t xml:space="preserve">2016 r. </w:t>
      </w:r>
      <w:r w:rsidR="00B610B7">
        <w:lastRenderedPageBreak/>
        <w:t>do</w:t>
      </w:r>
      <w:r w:rsidR="00637E80">
        <w:t> </w:t>
      </w:r>
      <w:r w:rsidR="00B610B7">
        <w:t>360</w:t>
      </w:r>
      <w:r w:rsidR="00637E80">
        <w:t> </w:t>
      </w:r>
      <w:r w:rsidR="00B610B7">
        <w:t>w</w:t>
      </w:r>
      <w:r w:rsidR="00637E80">
        <w:t> </w:t>
      </w:r>
      <w:r w:rsidR="00B610B7">
        <w:t>2018 r.</w:t>
      </w:r>
      <w:r w:rsidR="006025B1">
        <w:t xml:space="preserve"> Warto </w:t>
      </w:r>
      <w:r w:rsidR="00621590">
        <w:t>nadto</w:t>
      </w:r>
      <w:r w:rsidR="006025B1">
        <w:t xml:space="preserve"> wskazać, że wzro</w:t>
      </w:r>
      <w:r w:rsidR="00621590">
        <w:t xml:space="preserve">sła </w:t>
      </w:r>
      <w:r w:rsidR="006025B1">
        <w:t>równie</w:t>
      </w:r>
      <w:r w:rsidR="00621590">
        <w:t>ż</w:t>
      </w:r>
      <w:r w:rsidR="006025B1">
        <w:t xml:space="preserve"> wartość zabezpieczeń majątkowych zastosowanych we wszystkich postępowaniach prokuratury z 755.112.583 zł w</w:t>
      </w:r>
      <w:r w:rsidR="00637E80">
        <w:t> </w:t>
      </w:r>
      <w:r w:rsidR="006025B1">
        <w:t>2015 r. do</w:t>
      </w:r>
      <w:r w:rsidR="00637E80">
        <w:t> </w:t>
      </w:r>
      <w:r w:rsidR="006025B1">
        <w:t>1.015.171.182, 94 zł w 2018 r</w:t>
      </w:r>
      <w:r w:rsidR="00BB70F9">
        <w:t>.</w:t>
      </w:r>
      <w:r w:rsidR="00621590">
        <w:t xml:space="preserve">, </w:t>
      </w:r>
      <w:r w:rsidR="006B5906">
        <w:t>a także</w:t>
      </w:r>
      <w:r w:rsidR="00621590">
        <w:t xml:space="preserve"> wartość zabezpieczonego mienia w</w:t>
      </w:r>
      <w:r w:rsidR="00637E80">
        <w:t> </w:t>
      </w:r>
      <w:r w:rsidR="00621590">
        <w:t>sprawach skierowanych do sądu z 303.509.100 zł w 2015 r. do 1.0</w:t>
      </w:r>
      <w:r w:rsidR="00EF1190">
        <w:t>58</w:t>
      </w:r>
      <w:r w:rsidR="00621590">
        <w:t>.80</w:t>
      </w:r>
      <w:r w:rsidR="00EF1190">
        <w:t>7</w:t>
      </w:r>
      <w:r w:rsidR="00621590">
        <w:t>.</w:t>
      </w:r>
      <w:r w:rsidR="00EF1190">
        <w:t>657</w:t>
      </w:r>
      <w:r w:rsidR="00621590">
        <w:t xml:space="preserve"> zł w 201</w:t>
      </w:r>
      <w:r w:rsidR="00EF1190">
        <w:t>9</w:t>
      </w:r>
      <w:r w:rsidR="00621590">
        <w:t xml:space="preserve"> r.</w:t>
      </w:r>
      <w:r w:rsidR="004A3FF2">
        <w:t xml:space="preserve"> </w:t>
      </w:r>
      <w:r w:rsidR="00BB70F9" w:rsidRPr="00B11EC3">
        <w:rPr>
          <w:color w:val="000000" w:themeColor="text1"/>
        </w:rPr>
        <w:t xml:space="preserve">Poza tym zaakcentowania wymaga, iż </w:t>
      </w:r>
      <w:r w:rsidR="00BB70F9" w:rsidRPr="00B11EC3">
        <w:t>p</w:t>
      </w:r>
      <w:r w:rsidR="004A3FF2">
        <w:t>rokuratorzy rozpoznali i zakończyli 834.287 spraw karnych w</w:t>
      </w:r>
      <w:r w:rsidR="00637E80">
        <w:t> </w:t>
      </w:r>
      <w:r w:rsidR="004A3FF2">
        <w:t>2015 r., podczas gdy w 2018 r. tych spraw było 1.076.123. Poprawie uległa również skuteczność ścigania z 67,3% w 2015 r. do 74,9% w 2018 r.</w:t>
      </w:r>
      <w:r w:rsidR="00EF1190">
        <w:t xml:space="preserve"> Zmalała</w:t>
      </w:r>
      <w:r w:rsidR="0094555E">
        <w:t xml:space="preserve"> nadto</w:t>
      </w:r>
      <w:r w:rsidR="00EF1190">
        <w:t xml:space="preserve"> ilość spraw, w</w:t>
      </w:r>
      <w:r w:rsidR="00637E80">
        <w:t> </w:t>
      </w:r>
      <w:r w:rsidR="00EF1190">
        <w:t>których wydano wyrok uniewinniający</w:t>
      </w:r>
      <w:r w:rsidR="00663AE1">
        <w:t>,</w:t>
      </w:r>
      <w:r w:rsidR="00EF1190">
        <w:t xml:space="preserve"> z 6.701 w 2015 r. do 5.795 w 2019 r.</w:t>
      </w:r>
    </w:p>
    <w:p w14:paraId="5F5FDF84" w14:textId="1758BDCF" w:rsidR="009D5E1F" w:rsidRPr="00A47968" w:rsidRDefault="00A47968" w:rsidP="00A47968">
      <w:pPr>
        <w:jc w:val="both"/>
        <w:rPr>
          <w:b/>
        </w:rPr>
      </w:pPr>
      <w:r>
        <w:tab/>
      </w:r>
      <w:r w:rsidRPr="00A47968">
        <w:rPr>
          <w:b/>
        </w:rPr>
        <w:t>Mając powyższe na uwadze</w:t>
      </w:r>
      <w:r w:rsidR="00BE2D64">
        <w:rPr>
          <w:b/>
        </w:rPr>
        <w:t>,</w:t>
      </w:r>
      <w:r w:rsidRPr="00A47968">
        <w:rPr>
          <w:b/>
        </w:rPr>
        <w:t xml:space="preserve"> Rada Ministrów rekomenduje </w:t>
      </w:r>
      <w:r w:rsidR="004977CE">
        <w:rPr>
          <w:b/>
        </w:rPr>
        <w:t>zaprzestanie prac nad projektem.</w:t>
      </w:r>
    </w:p>
    <w:sectPr w:rsidR="009D5E1F" w:rsidRPr="00A47968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F8FC0" w14:textId="77777777" w:rsidR="005B1885" w:rsidRDefault="005B1885">
      <w:pPr>
        <w:spacing w:line="240" w:lineRule="auto"/>
      </w:pPr>
      <w:r>
        <w:separator/>
      </w:r>
    </w:p>
  </w:endnote>
  <w:endnote w:type="continuationSeparator" w:id="0">
    <w:p w14:paraId="13F81D2D" w14:textId="77777777" w:rsidR="005B1885" w:rsidRDefault="005B1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EBB07" w14:textId="77777777" w:rsidR="005B1885" w:rsidRDefault="005B1885">
      <w:pPr>
        <w:spacing w:line="240" w:lineRule="auto"/>
      </w:pPr>
      <w:r>
        <w:separator/>
      </w:r>
    </w:p>
  </w:footnote>
  <w:footnote w:type="continuationSeparator" w:id="0">
    <w:p w14:paraId="46FFBF27" w14:textId="77777777" w:rsidR="005B1885" w:rsidRDefault="005B18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E4731" w14:textId="55E36EE3" w:rsidR="00CA2629" w:rsidRPr="00B371CC" w:rsidRDefault="003F54DE" w:rsidP="00B371CC">
    <w:pPr>
      <w:pStyle w:val="Nagwek"/>
      <w:jc w:val="center"/>
    </w:pPr>
    <w:r>
      <w:t xml:space="preserve">– </w:t>
    </w:r>
    <w:r w:rsidR="009F1FC2">
      <w:fldChar w:fldCharType="begin"/>
    </w:r>
    <w:r>
      <w:instrText xml:space="preserve"> PAGE  \* MERGEFORMAT </w:instrText>
    </w:r>
    <w:r w:rsidR="009F1FC2">
      <w:fldChar w:fldCharType="separate"/>
    </w:r>
    <w:r w:rsidR="004B3220">
      <w:rPr>
        <w:noProof/>
      </w:rPr>
      <w:t>5</w:t>
    </w:r>
    <w:r w:rsidR="009F1FC2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B5A95"/>
    <w:multiLevelType w:val="hybridMultilevel"/>
    <w:tmpl w:val="C2281A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4DE"/>
    <w:rsid w:val="000056F4"/>
    <w:rsid w:val="00012E7D"/>
    <w:rsid w:val="0002699F"/>
    <w:rsid w:val="000324D0"/>
    <w:rsid w:val="00032B93"/>
    <w:rsid w:val="000652A9"/>
    <w:rsid w:val="00073F14"/>
    <w:rsid w:val="0008153D"/>
    <w:rsid w:val="000857E3"/>
    <w:rsid w:val="000A390A"/>
    <w:rsid w:val="000B7698"/>
    <w:rsid w:val="000C78B3"/>
    <w:rsid w:val="000E04F9"/>
    <w:rsid w:val="0010759E"/>
    <w:rsid w:val="00121AA9"/>
    <w:rsid w:val="00123425"/>
    <w:rsid w:val="00145102"/>
    <w:rsid w:val="001466EA"/>
    <w:rsid w:val="001714F4"/>
    <w:rsid w:val="00191BB8"/>
    <w:rsid w:val="00197AC5"/>
    <w:rsid w:val="00197FA5"/>
    <w:rsid w:val="001B2416"/>
    <w:rsid w:val="001C2057"/>
    <w:rsid w:val="0020349B"/>
    <w:rsid w:val="00227358"/>
    <w:rsid w:val="00234F26"/>
    <w:rsid w:val="00260065"/>
    <w:rsid w:val="002E2D95"/>
    <w:rsid w:val="003111AA"/>
    <w:rsid w:val="0031584C"/>
    <w:rsid w:val="00345C7C"/>
    <w:rsid w:val="00363C41"/>
    <w:rsid w:val="003945BA"/>
    <w:rsid w:val="003D54C2"/>
    <w:rsid w:val="003F15E7"/>
    <w:rsid w:val="003F54DE"/>
    <w:rsid w:val="0040532E"/>
    <w:rsid w:val="0040540B"/>
    <w:rsid w:val="004359A0"/>
    <w:rsid w:val="004365D4"/>
    <w:rsid w:val="00441D80"/>
    <w:rsid w:val="004624F7"/>
    <w:rsid w:val="004874C8"/>
    <w:rsid w:val="004977CE"/>
    <w:rsid w:val="004A3FF2"/>
    <w:rsid w:val="004B3220"/>
    <w:rsid w:val="00522EF7"/>
    <w:rsid w:val="005849D4"/>
    <w:rsid w:val="005A7D98"/>
    <w:rsid w:val="005B1885"/>
    <w:rsid w:val="005B3ED2"/>
    <w:rsid w:val="006025B1"/>
    <w:rsid w:val="00621590"/>
    <w:rsid w:val="006308FD"/>
    <w:rsid w:val="00637E80"/>
    <w:rsid w:val="006436E4"/>
    <w:rsid w:val="006468E2"/>
    <w:rsid w:val="006622C7"/>
    <w:rsid w:val="00663AE1"/>
    <w:rsid w:val="006706F9"/>
    <w:rsid w:val="006B5906"/>
    <w:rsid w:val="006B7211"/>
    <w:rsid w:val="006D09B9"/>
    <w:rsid w:val="006F68E1"/>
    <w:rsid w:val="00711AA9"/>
    <w:rsid w:val="0073121F"/>
    <w:rsid w:val="00741161"/>
    <w:rsid w:val="0076433F"/>
    <w:rsid w:val="00786EBA"/>
    <w:rsid w:val="007C38F3"/>
    <w:rsid w:val="007E2949"/>
    <w:rsid w:val="0082049D"/>
    <w:rsid w:val="0083383E"/>
    <w:rsid w:val="008449A7"/>
    <w:rsid w:val="008537C4"/>
    <w:rsid w:val="00862DC8"/>
    <w:rsid w:val="00887631"/>
    <w:rsid w:val="008908D4"/>
    <w:rsid w:val="00892231"/>
    <w:rsid w:val="008B0DA5"/>
    <w:rsid w:val="008C10CD"/>
    <w:rsid w:val="008C1AA3"/>
    <w:rsid w:val="008D6F56"/>
    <w:rsid w:val="00914967"/>
    <w:rsid w:val="009321A4"/>
    <w:rsid w:val="0094555E"/>
    <w:rsid w:val="009548E6"/>
    <w:rsid w:val="009B00AD"/>
    <w:rsid w:val="009B6C90"/>
    <w:rsid w:val="009D5E1F"/>
    <w:rsid w:val="009E166E"/>
    <w:rsid w:val="009F1FC2"/>
    <w:rsid w:val="00A47968"/>
    <w:rsid w:val="00A84562"/>
    <w:rsid w:val="00AA274B"/>
    <w:rsid w:val="00AA31C6"/>
    <w:rsid w:val="00AB2EA2"/>
    <w:rsid w:val="00AE1CA3"/>
    <w:rsid w:val="00AF6CD4"/>
    <w:rsid w:val="00B11EC3"/>
    <w:rsid w:val="00B3083C"/>
    <w:rsid w:val="00B3508E"/>
    <w:rsid w:val="00B610B7"/>
    <w:rsid w:val="00B93503"/>
    <w:rsid w:val="00BA440D"/>
    <w:rsid w:val="00BA6C94"/>
    <w:rsid w:val="00BB59FA"/>
    <w:rsid w:val="00BB70F9"/>
    <w:rsid w:val="00BE2D64"/>
    <w:rsid w:val="00C00B2F"/>
    <w:rsid w:val="00C10D0D"/>
    <w:rsid w:val="00C34D17"/>
    <w:rsid w:val="00C512AA"/>
    <w:rsid w:val="00C5323A"/>
    <w:rsid w:val="00C6155D"/>
    <w:rsid w:val="00C907F8"/>
    <w:rsid w:val="00CB23B8"/>
    <w:rsid w:val="00CB374B"/>
    <w:rsid w:val="00CD26B6"/>
    <w:rsid w:val="00CD48A3"/>
    <w:rsid w:val="00D165BC"/>
    <w:rsid w:val="00D22DA2"/>
    <w:rsid w:val="00D34F5F"/>
    <w:rsid w:val="00D87666"/>
    <w:rsid w:val="00DC146F"/>
    <w:rsid w:val="00DC476A"/>
    <w:rsid w:val="00DE2565"/>
    <w:rsid w:val="00E32990"/>
    <w:rsid w:val="00E379CA"/>
    <w:rsid w:val="00E72A63"/>
    <w:rsid w:val="00EB3117"/>
    <w:rsid w:val="00EC756D"/>
    <w:rsid w:val="00EE4C8F"/>
    <w:rsid w:val="00EE5F53"/>
    <w:rsid w:val="00EF1190"/>
    <w:rsid w:val="00EF15C9"/>
    <w:rsid w:val="00F11209"/>
    <w:rsid w:val="00F551EC"/>
    <w:rsid w:val="00FA5BE3"/>
    <w:rsid w:val="00FC6E5E"/>
    <w:rsid w:val="00FD0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4E724"/>
  <w15:docId w15:val="{6588197C-413F-46CE-B8F6-F70D15BA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4D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F54D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3F54D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qFormat/>
    <w:rsid w:val="003F54D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3F54D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F54DE"/>
    <w:rPr>
      <w:bCs/>
    </w:rPr>
  </w:style>
  <w:style w:type="paragraph" w:styleId="Akapitzlist">
    <w:name w:val="List Paragraph"/>
    <w:basedOn w:val="Normalny"/>
    <w:uiPriority w:val="34"/>
    <w:qFormat/>
    <w:rsid w:val="001B241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07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7F8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7F8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7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7F8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F8"/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Style9">
    <w:name w:val="Style9"/>
    <w:basedOn w:val="Normalny"/>
    <w:uiPriority w:val="99"/>
    <w:rsid w:val="00073F14"/>
    <w:pPr>
      <w:spacing w:line="448" w:lineRule="exact"/>
      <w:ind w:firstLine="710"/>
      <w:jc w:val="both"/>
    </w:pPr>
    <w:rPr>
      <w:rFonts w:cs="Times New Roman"/>
      <w:szCs w:val="24"/>
    </w:rPr>
  </w:style>
  <w:style w:type="character" w:customStyle="1" w:styleId="FontStyle25">
    <w:name w:val="Font Style25"/>
    <w:basedOn w:val="Domylnaczcionkaakapitu"/>
    <w:uiPriority w:val="99"/>
    <w:rsid w:val="00073F14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Normalny"/>
    <w:uiPriority w:val="99"/>
    <w:rsid w:val="00FD08ED"/>
    <w:pPr>
      <w:spacing w:line="448" w:lineRule="exact"/>
      <w:jc w:val="both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9A83B-52C3-4E91-9A19-495D659B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1504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 Adam  (DLPK)</dc:creator>
  <cp:lastModifiedBy>Sabiniewicz Marcin</cp:lastModifiedBy>
  <cp:revision>20</cp:revision>
  <dcterms:created xsi:type="dcterms:W3CDTF">2020-06-16T08:32:00Z</dcterms:created>
  <dcterms:modified xsi:type="dcterms:W3CDTF">2020-06-19T07:52:00Z</dcterms:modified>
</cp:coreProperties>
</file>