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AB0" w:rsidRPr="001330AF" w:rsidRDefault="00B43AB0" w:rsidP="00191EA8">
      <w:pPr>
        <w:pStyle w:val="OZNRODZAKTUtznustawalubrozporzdzenieiorganwydajcy"/>
        <w:spacing w:after="360"/>
      </w:pPr>
      <w:r w:rsidRPr="001330AF">
        <w:t>UZASADNIENIE</w:t>
      </w:r>
    </w:p>
    <w:p w:rsidR="00B43AB0" w:rsidRPr="001330AF" w:rsidRDefault="00B43AB0" w:rsidP="001D5D48">
      <w:pPr>
        <w:pStyle w:val="Tekstpodstawowy"/>
        <w:keepNext/>
        <w:spacing w:before="360" w:after="0"/>
        <w:rPr>
          <w:b/>
          <w:szCs w:val="24"/>
        </w:rPr>
      </w:pPr>
      <w:r w:rsidRPr="001330AF">
        <w:rPr>
          <w:b/>
          <w:szCs w:val="24"/>
        </w:rPr>
        <w:t>1. Cel projektowanej ustawy</w:t>
      </w:r>
    </w:p>
    <w:p w:rsidR="00B43AB0" w:rsidRPr="002E1B86" w:rsidRDefault="00B43AB0" w:rsidP="002E1B86">
      <w:pPr>
        <w:pStyle w:val="NIEARTTEKSTtekstnieartykuowanynppreambua"/>
      </w:pPr>
      <w:r>
        <w:t xml:space="preserve">Projekt poszerza prawo do odszkodowania za szkody łowieckie także o przypadki, w których żądający odszkodowania odmówił </w:t>
      </w:r>
      <w:r w:rsidRPr="002E1B86">
        <w:t xml:space="preserve">zgody na budowę urządzeń lub wykonywanie zabiegów zapobiegających </w:t>
      </w:r>
      <w:r w:rsidRPr="00F47C7B">
        <w:rPr>
          <w:b/>
        </w:rPr>
        <w:t>wyrządzonym</w:t>
      </w:r>
      <w:r>
        <w:t xml:space="preserve"> </w:t>
      </w:r>
      <w:r w:rsidRPr="002E1B86">
        <w:t>szkodom</w:t>
      </w:r>
      <w:r>
        <w:t xml:space="preserve">, jeżeli </w:t>
      </w:r>
      <w:r w:rsidRPr="002E1B86">
        <w:t xml:space="preserve">szkody </w:t>
      </w:r>
      <w:r>
        <w:t>te nie pozostawały w </w:t>
      </w:r>
      <w:r w:rsidRPr="002E1B86">
        <w:t>związku przyczynowym z odmową zgody</w:t>
      </w:r>
      <w:r>
        <w:t>. Dotychczasowa regulacja oznaczała</w:t>
      </w:r>
      <w:r w:rsidRPr="002E1B86">
        <w:t xml:space="preserve">, </w:t>
      </w:r>
      <w:r>
        <w:t>że odszkodowanie nie przysługiwało</w:t>
      </w:r>
      <w:r w:rsidRPr="002E1B86">
        <w:t xml:space="preserve"> posiadaczom uszkodzonych upraw lub plonów rolnych, którzy nie wyrazili zgody na budowę przez dzierżawcę lub zarządcę obwodu łowieckiego urządzeń lub wykonywanie zabiegów zapobiegających </w:t>
      </w:r>
      <w:r>
        <w:t xml:space="preserve">jakimkolwiek (potencjalnym, możliwym) </w:t>
      </w:r>
      <w:r w:rsidRPr="002E1B86">
        <w:t>szkodom</w:t>
      </w:r>
      <w:r>
        <w:t>.</w:t>
      </w:r>
    </w:p>
    <w:p w:rsidR="00B43AB0" w:rsidRPr="001330AF" w:rsidRDefault="00B43AB0" w:rsidP="00484C52">
      <w:pPr>
        <w:pStyle w:val="NIEARTTEKSTtekstnieartykuowanynppreambua"/>
      </w:pPr>
      <w:r w:rsidRPr="001330AF">
        <w:t xml:space="preserve">Projekt dostosowuje system prawa do </w:t>
      </w:r>
      <w:r>
        <w:t>wyroku</w:t>
      </w:r>
      <w:r w:rsidRPr="001330AF">
        <w:t xml:space="preserve"> Trybunału Konstytucyjnego </w:t>
      </w:r>
      <w:r w:rsidRPr="00E26EB5">
        <w:t xml:space="preserve">z </w:t>
      </w:r>
      <w:r w:rsidRPr="002E1B86">
        <w:t>8 maja 2019 r. (sygn. akt K 45/16</w:t>
      </w:r>
      <w:r w:rsidRPr="001330AF">
        <w:t>)</w:t>
      </w:r>
      <w:r>
        <w:t xml:space="preserve">. </w:t>
      </w:r>
      <w:r w:rsidRPr="00F403A2">
        <w:t xml:space="preserve">Jego sentencja została ogłoszona </w:t>
      </w:r>
      <w:r w:rsidRPr="002E1B86">
        <w:t>14 maja 2019 r. w Dz. U. poz. 897, a jego pełna treść wraz z uzasadnieniem w OTK ZU A z 2019 r. poz. 22</w:t>
      </w:r>
      <w:r w:rsidRPr="001330AF">
        <w:t>.</w:t>
      </w:r>
    </w:p>
    <w:p w:rsidR="00B43AB0" w:rsidRPr="001330AF" w:rsidRDefault="00B43AB0" w:rsidP="001D5D48">
      <w:pPr>
        <w:pStyle w:val="Tekstpodstawowy"/>
        <w:keepNext/>
        <w:spacing w:before="360" w:after="0"/>
        <w:rPr>
          <w:b/>
          <w:szCs w:val="24"/>
        </w:rPr>
      </w:pPr>
      <w:r w:rsidRPr="001330AF">
        <w:rPr>
          <w:b/>
          <w:szCs w:val="24"/>
        </w:rPr>
        <w:t>2. Przedmiot i istota rozstrzygnięcia Trybunału Konstytucyjnego</w:t>
      </w:r>
    </w:p>
    <w:p w:rsidR="00B43AB0" w:rsidRPr="00CB1123" w:rsidRDefault="00B43AB0" w:rsidP="005B490C">
      <w:pPr>
        <w:pStyle w:val="ARTartustawynprozporzdzenia"/>
        <w:rPr>
          <w:bCs/>
        </w:rPr>
      </w:pPr>
      <w:r>
        <w:rPr>
          <w:bCs/>
        </w:rPr>
        <w:t xml:space="preserve">2.1. </w:t>
      </w:r>
      <w:r w:rsidRPr="00E26EB5">
        <w:rPr>
          <w:bCs/>
        </w:rPr>
        <w:t xml:space="preserve">TK orzekł, </w:t>
      </w:r>
      <w:r w:rsidRPr="005B490C">
        <w:rPr>
          <w:bCs/>
        </w:rPr>
        <w:t xml:space="preserve">że art. </w:t>
      </w:r>
      <w:r w:rsidRPr="002E1B86">
        <w:rPr>
          <w:bCs/>
        </w:rPr>
        <w:t>48 pk</w:t>
      </w:r>
      <w:r>
        <w:rPr>
          <w:bCs/>
        </w:rPr>
        <w:t>t 3 ustawy powołanej w punkcie 1</w:t>
      </w:r>
      <w:r w:rsidRPr="002E1B86">
        <w:rPr>
          <w:bCs/>
        </w:rPr>
        <w:t xml:space="preserve"> w zakresie, w jakim przewiduje - jako skutek odmowy zgody na budowę urządzeń lub wykonywanie zabiegów zapobiegających szkodom - zwolnienie dzierżawcy lub zarządcy obwodu łowieckiego od odpowiedzialności za szkody łowieckie niepozostające w związku przyczynowym z taką odmową zgody, jest niezgodny z art. 64 ust. 2 w związku z art. 31 ust. 3 Konstytucji</w:t>
      </w:r>
      <w:r w:rsidRPr="005B490C">
        <w:rPr>
          <w:bCs/>
        </w:rPr>
        <w:t xml:space="preserve"> RP</w:t>
      </w:r>
      <w:r w:rsidRPr="00CB1123">
        <w:rPr>
          <w:bCs/>
        </w:rPr>
        <w:t>.</w:t>
      </w:r>
    </w:p>
    <w:p w:rsidR="00B43AB0" w:rsidRPr="002E1B86" w:rsidRDefault="00B43AB0" w:rsidP="002E1B86">
      <w:pPr>
        <w:pStyle w:val="ARTartustawynprozporzdzenia"/>
        <w:rPr>
          <w:bCs/>
        </w:rPr>
      </w:pPr>
      <w:r w:rsidRPr="00CB1123">
        <w:rPr>
          <w:bCs/>
        </w:rPr>
        <w:t>2.</w:t>
      </w:r>
      <w:r>
        <w:rPr>
          <w:bCs/>
        </w:rPr>
        <w:t>2</w:t>
      </w:r>
      <w:r w:rsidRPr="00CB1123">
        <w:rPr>
          <w:bCs/>
        </w:rPr>
        <w:t xml:space="preserve">. </w:t>
      </w:r>
      <w:r w:rsidRPr="002E1B86">
        <w:rPr>
          <w:bCs/>
        </w:rPr>
        <w:t>Gospodarka łowiecka, definiowana jako działalnoś</w:t>
      </w:r>
      <w:r>
        <w:rPr>
          <w:bCs/>
        </w:rPr>
        <w:t>ć w zakresie ochrony, hodowli i </w:t>
      </w:r>
      <w:r w:rsidRPr="002E1B86">
        <w:rPr>
          <w:bCs/>
        </w:rPr>
        <w:t xml:space="preserve">pozyskiwania zwierzyny, jest prowadzona w obwodach łowieckich przez dzierżawców albo zarządców. Dzierżawcy i zarządcy obwodów łowieckich mogą, po uzyskaniu zgody właściciela, posiadacza lub zarządcy gruntu, </w:t>
      </w:r>
      <w:r w:rsidRPr="000A2150">
        <w:rPr>
          <w:b/>
          <w:bCs/>
        </w:rPr>
        <w:t>wyznaczać i oznakowywać zakazem wstępu obszary stanowiące ostoje zwierzyny oraz wznosić urządzenia związane z prowadzeniem gospodarki łowieckiej</w:t>
      </w:r>
      <w:r w:rsidRPr="002E1B86">
        <w:rPr>
          <w:bCs/>
        </w:rPr>
        <w:t>.</w:t>
      </w:r>
      <w:r>
        <w:rPr>
          <w:bCs/>
        </w:rPr>
        <w:t xml:space="preserve"> </w:t>
      </w:r>
      <w:r w:rsidRPr="002E1B86">
        <w:rPr>
          <w:bCs/>
        </w:rPr>
        <w:t>Dzierżawca lub zarządca obwodu łowieckiego jest obowiązany do wynagradzania szkód wyrządzonych: 1) w uprawach i płodach rolnych przez dziki, łosie, jelenie, daniele i sarny; 2) przy wykonywaniu polowania.</w:t>
      </w:r>
    </w:p>
    <w:p w:rsidR="00B43AB0" w:rsidRDefault="00B43AB0" w:rsidP="002E1B86">
      <w:pPr>
        <w:pStyle w:val="ARTartustawynprozporzdzenia"/>
        <w:rPr>
          <w:bCs/>
        </w:rPr>
      </w:pPr>
      <w:r w:rsidRPr="002E1B86">
        <w:rPr>
          <w:bCs/>
        </w:rPr>
        <w:t xml:space="preserve">Kwestionowany przepis przewiduje, że odszkodowanie nie przysługuje (m.in.) posiadaczom uszkodzonych upraw lub plonów rolnych, którzy nie wyrazili zgody na budowę </w:t>
      </w:r>
      <w:r w:rsidRPr="002E1B86">
        <w:rPr>
          <w:bCs/>
        </w:rPr>
        <w:lastRenderedPageBreak/>
        <w:t>przez dzierżawcę lub zarządcę obwodu łowieckiego urządzeń lub wykonywanie zabiegów zapobiegających szkodom</w:t>
      </w:r>
      <w:r w:rsidRPr="00D50B2E">
        <w:rPr>
          <w:bCs/>
        </w:rPr>
        <w:t>.</w:t>
      </w:r>
    </w:p>
    <w:p w:rsidR="00B43AB0" w:rsidRPr="006726EE" w:rsidRDefault="00B43AB0" w:rsidP="006726EE">
      <w:pPr>
        <w:pStyle w:val="ARTartustawynprozporzdzenia"/>
        <w:rPr>
          <w:bCs/>
        </w:rPr>
      </w:pPr>
      <w:r>
        <w:rPr>
          <w:bCs/>
        </w:rPr>
        <w:t xml:space="preserve">2.3. </w:t>
      </w:r>
      <w:r w:rsidRPr="006726EE">
        <w:rPr>
          <w:bCs/>
        </w:rPr>
        <w:t>Zgodnie z art. 64 ust. 2 Konstytucji własność, inne prawa majątkowe oraz prawo dziedziczenia podlegają równej dla wszystkich ochronie prawnej. Przepis „art. 31 ust. 3 zdanie pierwsze Konstytucji, w związku z wymagan</w:t>
      </w:r>
      <w:r>
        <w:rPr>
          <w:bCs/>
        </w:rPr>
        <w:t>iem aby ustawowe ograniczenia w </w:t>
      </w:r>
      <w:r w:rsidRPr="006726EE">
        <w:rPr>
          <w:bCs/>
        </w:rPr>
        <w:t xml:space="preserve">zakresie korzystania z konstytucyjnych wolności [jaką jest m.in. własność] i praw były konieczne w demokratycznym państwie z uwagi na wymienione w tym przepisie kryteria, ustanawia </w:t>
      </w:r>
      <w:r w:rsidRPr="004A0EC3">
        <w:rPr>
          <w:b/>
          <w:bCs/>
        </w:rPr>
        <w:t>zasadę proporcjonalności ingerencji ustawodawcy w sferę</w:t>
      </w:r>
      <w:r w:rsidRPr="006726EE">
        <w:rPr>
          <w:bCs/>
        </w:rPr>
        <w:t xml:space="preserve"> tych </w:t>
      </w:r>
      <w:r w:rsidRPr="004A0EC3">
        <w:rPr>
          <w:b/>
          <w:bCs/>
        </w:rPr>
        <w:t>praw</w:t>
      </w:r>
      <w:r w:rsidRPr="006726EE">
        <w:rPr>
          <w:bCs/>
        </w:rPr>
        <w:t xml:space="preserve">. Kryteria uzasadniające wprowadzenie ograniczeń to bezpieczeństwo państwa lub porządek publiczny, ochrona środowiska, zdrowia i moralności publicznej albo wolności i praw innych osób. Na zasadę proporcjonalności składają się z kolei trzy dalsze kryteria: przydatności, konieczności i proporcjonalności w ścisłym znaczeniu. Przez </w:t>
      </w:r>
      <w:r w:rsidRPr="004A0EC3">
        <w:rPr>
          <w:b/>
          <w:bCs/>
        </w:rPr>
        <w:t>przydatność</w:t>
      </w:r>
      <w:r w:rsidRPr="006726EE">
        <w:rPr>
          <w:bCs/>
        </w:rPr>
        <w:t xml:space="preserve"> należy rozumieć zdatność zastosowanego ograniczenia do wywołania pożądanych przez ustawodawcę skutków; </w:t>
      </w:r>
      <w:r w:rsidRPr="004A0EC3">
        <w:rPr>
          <w:b/>
          <w:bCs/>
        </w:rPr>
        <w:t>konieczność</w:t>
      </w:r>
      <w:r w:rsidRPr="006726EE">
        <w:rPr>
          <w:bCs/>
        </w:rPr>
        <w:t xml:space="preserve"> polega na niezbędności danego ograniczenia dla ochrony wskazanych przez ustawodawcę kryteriów; wreszcie </w:t>
      </w:r>
      <w:r w:rsidRPr="004A0EC3">
        <w:rPr>
          <w:b/>
          <w:bCs/>
        </w:rPr>
        <w:t>proporcjonalność</w:t>
      </w:r>
      <w:r w:rsidRPr="006726EE">
        <w:rPr>
          <w:bCs/>
        </w:rPr>
        <w:t xml:space="preserve"> oznacza potrzebę wyważenia znaczenia chronionego interesu publicznego i ciężaru nakładanego na obywatela, tzn. dolegliwości ingerencji w sferę jego praw i wolności”.</w:t>
      </w:r>
    </w:p>
    <w:p w:rsidR="00B43AB0" w:rsidRDefault="00B43AB0" w:rsidP="006726EE">
      <w:pPr>
        <w:pStyle w:val="ARTartustawynprozporzdzenia"/>
        <w:rPr>
          <w:bCs/>
        </w:rPr>
      </w:pPr>
      <w:r w:rsidRPr="006726EE">
        <w:rPr>
          <w:bCs/>
        </w:rPr>
        <w:t xml:space="preserve">„Za cel, do osiągnięcia którego zmierza ustawodawca, formułując określoną w art. 48 pkt 3 prawa łowieckiego przesłankę egzoneracyjną </w:t>
      </w:r>
      <w:r>
        <w:rPr>
          <w:bCs/>
        </w:rPr>
        <w:t xml:space="preserve">[uwalniającą] </w:t>
      </w:r>
      <w:r w:rsidRPr="006726EE">
        <w:rPr>
          <w:bCs/>
        </w:rPr>
        <w:t xml:space="preserve">od odpowiedzialności za szkody łowieckie, uznać należy przede wszystkim tzw. prewencję ogólną, tzn. </w:t>
      </w:r>
      <w:r w:rsidRPr="00DE0D32">
        <w:rPr>
          <w:b/>
          <w:bCs/>
        </w:rPr>
        <w:t>zapobieganie występowaniu szkód łowieckich w zakresie, w jakim jest to możliwe przez budowę określonych urządzeń lub dokonywanie określonych zabiegów</w:t>
      </w:r>
      <w:r w:rsidRPr="006726EE">
        <w:rPr>
          <w:bCs/>
        </w:rPr>
        <w:t>”.</w:t>
      </w:r>
    </w:p>
    <w:p w:rsidR="00B43AB0" w:rsidRDefault="00B43AB0" w:rsidP="006726EE">
      <w:pPr>
        <w:pStyle w:val="ARTartustawynprozporzdzenia"/>
        <w:rPr>
          <w:bCs/>
        </w:rPr>
      </w:pPr>
      <w:r w:rsidRPr="006726EE">
        <w:rPr>
          <w:bCs/>
        </w:rPr>
        <w:t xml:space="preserve">Kwestionowany przepis zwalnia dzierżawcę lub zarządcę obwodu z odpowiedzialności za szkody w przypadku odmowy zgody właściciela gruntu na budowę urządzeń lub dokonanie zabiegów, także wówczas gdy między taką odmową a szkodą nie istnieje związek przyczynowy. „W zakresie, w jakim takiego związku brak, zakwestionować można wszakże zgodność wyrażonej przez ten przepis normy z każdym ze wskazanych wyżej kryteriów proporcjonalności ingerencji w prawo własności </w:t>
      </w:r>
      <w:r>
        <w:rPr>
          <w:bCs/>
        </w:rPr>
        <w:t>przysługujące do tego gruntu. W </w:t>
      </w:r>
      <w:r w:rsidRPr="006726EE">
        <w:rPr>
          <w:bCs/>
        </w:rPr>
        <w:t xml:space="preserve">szczególności takie ograniczenie odpowiedzialności nie jest przydatne do osiągnięcia założonego celu, ponieważ sankcja niezależna od oceny zasadności i racjonalności zachowania adresata nie może skutecznie spełniać funkcji prewencyjnej. Nie jest ono także niezbędne, skoro taką funkcję prewencyjną spełnia już w wystarczającym stopniu </w:t>
      </w:r>
      <w:r w:rsidRPr="006726EE">
        <w:rPr>
          <w:bCs/>
        </w:rPr>
        <w:lastRenderedPageBreak/>
        <w:t>odpowiedzialność ograniczona wymaganiem związk</w:t>
      </w:r>
      <w:r>
        <w:rPr>
          <w:bCs/>
        </w:rPr>
        <w:t>u przyczynowego między szkodą a </w:t>
      </w:r>
      <w:r w:rsidRPr="006726EE">
        <w:rPr>
          <w:bCs/>
        </w:rPr>
        <w:t>zachowaniem uprawnionego do odszkodowania. Wreszcie nie spełnia ono także kryterium proporcjonalności w węższym znaczeniu, ponieważ (wątpliwa zresztą) korzyść publiczna wynikająca z takiej regulacji nie została należycie wyważona z poświęconym dobrem, jakim jest - poddane dotkliwemu i nieracjonalnemu ograniczeniu - prawo własności. (…) Przepis ten bowiem wprowadza sankcję całkowitej utraty prawa do odszkodowania bez względu na potencjalny zakres oddziaływania i skuteczność pro</w:t>
      </w:r>
      <w:r>
        <w:rPr>
          <w:bCs/>
        </w:rPr>
        <w:t>ponowanego środka zaradczego. W </w:t>
      </w:r>
      <w:r w:rsidRPr="006726EE">
        <w:rPr>
          <w:bCs/>
        </w:rPr>
        <w:t>efekcie właściciel, który odmówił zgody np. na wzniesienie ogrodzenia na jakimś odcinku granicy jego nieruchomości, traci prawo do odszkodowania: po pierwsze, za szkody, które wyrządziły także zwierzęta należące do gatunku, wobec którego proponowane zabezpieczenie z założenia nie byłoby skuteczne; po drugie, za szkody wyrządzone przez zwierzęta wchodzące na jego grunt innymi możliwymi drogami; po trzecie wreszcie, co już zupełnie niezrozumiałe i irracjonalne, za szkody wyrządzone przy wykonywaniu polowania, które zasadniczo wręcz nie mogą mieć żadnego związku z ewentualnymi środkami ochrony przed szkodami łowieckimi (…). Ponadto treść zaskarżonego przepisu całkowicie abstrahuje od skuteczności i racjonalności środka, na który właściciel nie wyraził zgody. Pominięta została także oczywista potrzeba wyważenia pomiędzy</w:t>
      </w:r>
      <w:r>
        <w:rPr>
          <w:bCs/>
        </w:rPr>
        <w:t xml:space="preserve"> skutecznością zabezpieczenia a </w:t>
      </w:r>
      <w:r w:rsidRPr="006726EE">
        <w:rPr>
          <w:bCs/>
        </w:rPr>
        <w:t>powodowanymi przez nie utrudnieniami w korzystaniu z gruntu”.</w:t>
      </w:r>
    </w:p>
    <w:p w:rsidR="00B43AB0" w:rsidRDefault="00B43AB0" w:rsidP="006726EE">
      <w:pPr>
        <w:pStyle w:val="ARTartustawynprozporzdzenia"/>
        <w:rPr>
          <w:bCs/>
        </w:rPr>
      </w:pPr>
      <w:r w:rsidRPr="006726EE">
        <w:rPr>
          <w:bCs/>
        </w:rPr>
        <w:t>„Tak ukształtowana przesłanka egzoneracyjna z art. 48 pkt 3 prawa łowieckiego nie spełnia kryterium proporcjonalności w jego szerokim rozu</w:t>
      </w:r>
      <w:r>
        <w:rPr>
          <w:bCs/>
        </w:rPr>
        <w:t>mieniu, ponieważ nie istnieje w </w:t>
      </w:r>
      <w:r w:rsidRPr="006726EE">
        <w:rPr>
          <w:bCs/>
        </w:rPr>
        <w:t>ogóle żaden godny ochrony interes publiczny wymagający wyłączenia odpowiedzialności za szkodę łowiecką z powodu odmowy zgody, która następuje w ramach jego uprawnienia do dysponowania swoim gruntem, nawet jeśli powstała później szkoda nie pozostaje w związku przyczynowym z taką odmową</w:t>
      </w:r>
      <w:r>
        <w:rPr>
          <w:bCs/>
        </w:rPr>
        <w:t>”.</w:t>
      </w:r>
    </w:p>
    <w:p w:rsidR="00B43AB0" w:rsidRDefault="00B43AB0" w:rsidP="006726EE">
      <w:pPr>
        <w:pStyle w:val="ARTartustawynprozporzdzenia"/>
        <w:rPr>
          <w:bCs/>
        </w:rPr>
      </w:pPr>
      <w:r>
        <w:rPr>
          <w:bCs/>
        </w:rPr>
        <w:t xml:space="preserve">2.4. </w:t>
      </w:r>
      <w:r w:rsidRPr="008A3047">
        <w:rPr>
          <w:bCs/>
        </w:rPr>
        <w:t xml:space="preserve">TK „wyraża przekonanie, że kwestia współdziałania pomiędzy właścicielem nieruchomości włączonej do obwodu łowieckiego a dzierżawcą lub zarządcą obwodu przy zapobieganiu szkodom łowieckim wymaga bardziej szczegółowego uregulowania w ustawie. Do czasu takiego uregulowania art. 48 pkt 3 prawa łowieckiego, rozumiany jednak jako przewidujący </w:t>
      </w:r>
      <w:r w:rsidRPr="004A0EC3">
        <w:rPr>
          <w:b/>
          <w:bCs/>
        </w:rPr>
        <w:t>wyłączenie odpowiedzialności dzierża</w:t>
      </w:r>
      <w:r>
        <w:rPr>
          <w:b/>
          <w:bCs/>
        </w:rPr>
        <w:t>wcy lub zarządcy obwodu tylko w </w:t>
      </w:r>
      <w:r w:rsidRPr="004A0EC3">
        <w:rPr>
          <w:b/>
          <w:bCs/>
        </w:rPr>
        <w:t>stosunku do szkód pozostających w związku przyczynowym z odmową zgody na zastosowanie przez nich określonych środków zabezpieczających</w:t>
      </w:r>
      <w:r w:rsidRPr="008A3047">
        <w:rPr>
          <w:bCs/>
        </w:rPr>
        <w:t xml:space="preserve">, może pełnić funkcję podstawy niezbędnego kompromisu pomiędzy wymaganiami gospodarki łowieckiej </w:t>
      </w:r>
      <w:r w:rsidRPr="008A3047">
        <w:rPr>
          <w:bCs/>
        </w:rPr>
        <w:lastRenderedPageBreak/>
        <w:t>a</w:t>
      </w:r>
      <w:r>
        <w:rPr>
          <w:bCs/>
        </w:rPr>
        <w:t> </w:t>
      </w:r>
      <w:r w:rsidRPr="008A3047">
        <w:rPr>
          <w:bCs/>
        </w:rPr>
        <w:t>ochroną praw właściciela. W szczególności, w ramach badania związku przyczynowego, ocenie może podlegać także racjonalność i zakres skuteczności proponowanych środków zabezpieczających, a zatem i zasadność odmowy zgody na ich zastosowanie. Jeśli odmowa zgody byłaby w tym świetle zasadna, nie można trakt</w:t>
      </w:r>
      <w:r>
        <w:rPr>
          <w:bCs/>
        </w:rPr>
        <w:t>ować szkody jako pozostającej w </w:t>
      </w:r>
      <w:r w:rsidRPr="008A3047">
        <w:rPr>
          <w:bCs/>
        </w:rPr>
        <w:t>adekwatnym związku z odmową”.</w:t>
      </w:r>
    </w:p>
    <w:p w:rsidR="00B43AB0" w:rsidRPr="001330AF" w:rsidRDefault="00B43AB0" w:rsidP="0018591E">
      <w:pPr>
        <w:pStyle w:val="Tekstpodstawowy"/>
        <w:keepNext/>
        <w:spacing w:before="360" w:after="0"/>
        <w:rPr>
          <w:b/>
          <w:szCs w:val="24"/>
        </w:rPr>
      </w:pPr>
      <w:r>
        <w:rPr>
          <w:b/>
          <w:szCs w:val="24"/>
        </w:rPr>
        <w:t>3</w:t>
      </w:r>
      <w:r w:rsidRPr="001330AF">
        <w:rPr>
          <w:b/>
          <w:szCs w:val="24"/>
        </w:rPr>
        <w:t>. Różnice między dotychczasowym a projektowanym stanem prawnym</w:t>
      </w:r>
    </w:p>
    <w:p w:rsidR="00B43AB0" w:rsidRDefault="00B43AB0" w:rsidP="00F70600">
      <w:pPr>
        <w:pStyle w:val="ARTartustawynprozporzdzenia"/>
      </w:pPr>
      <w:r>
        <w:t xml:space="preserve">Proponowana zmiana sprowadza się do dodania do obowiązującego przepisu zwalniającego z odpowiedzialności za szkody (art. 48 pkt 3), </w:t>
      </w:r>
      <w:r w:rsidRPr="00F70600">
        <w:t>fragment</w:t>
      </w:r>
      <w:r>
        <w:t>u przesądzającego</w:t>
      </w:r>
      <w:r w:rsidRPr="00F70600">
        <w:t xml:space="preserve">, że odszkodowanie należy się w przypadku „szkód wyrządzonych przy wykonywaniu polowania oraz szkód, które powstałyby niezależnie od wzniesienia urządzeń lub wykonania zabiegów, na które posiadacz uszkodzonych upraw lub </w:t>
      </w:r>
      <w:r>
        <w:t>płodów</w:t>
      </w:r>
      <w:r w:rsidRPr="00F70600">
        <w:t xml:space="preserve"> rolnych nie wyraził zgody</w:t>
      </w:r>
      <w:r>
        <w:t>”. Znowelizowany przepis będzie rodził, po stronie zespołu szacującego szkody (art. 46a, art. 46c, art. 46d), obowiązek ustalenia związku przyczynowego między brakiem „</w:t>
      </w:r>
      <w:r w:rsidRPr="0047579C">
        <w:t xml:space="preserve">zgody na budowę przez dzierżawcę lub zarządcę obwodu łowieckiego urządzeń lub wykonywanie </w:t>
      </w:r>
      <w:r>
        <w:t>zabiegów” lub wykonywanym polowaniem, a „wyrządzoną szkodą”.</w:t>
      </w:r>
    </w:p>
    <w:p w:rsidR="00B43AB0" w:rsidRDefault="00B43AB0" w:rsidP="00DE0D32">
      <w:pPr>
        <w:pStyle w:val="ARTartustawynprozporzdzenia"/>
      </w:pPr>
      <w:r>
        <w:t>Jednocześnie w nowelizowanym przepisie wyrażenie „plony rolne”, zmieniono na wyrażenie „płody rolne”.</w:t>
      </w:r>
    </w:p>
    <w:p w:rsidR="00B43AB0" w:rsidRPr="00A64BD5" w:rsidRDefault="00B43AB0" w:rsidP="00305D26">
      <w:pPr>
        <w:pStyle w:val="akapit"/>
        <w:keepNext/>
        <w:spacing w:before="240"/>
        <w:ind w:firstLine="0"/>
        <w:rPr>
          <w:b/>
          <w:szCs w:val="24"/>
        </w:rPr>
      </w:pPr>
      <w:r w:rsidRPr="00A64BD5">
        <w:rPr>
          <w:b/>
          <w:szCs w:val="24"/>
        </w:rPr>
        <w:t>4. Konsultacje</w:t>
      </w:r>
    </w:p>
    <w:p w:rsidR="00B43AB0" w:rsidRDefault="00B43AB0" w:rsidP="00305D26">
      <w:pPr>
        <w:pStyle w:val="ARTartustawynprozporzdzenia"/>
      </w:pPr>
      <w:r w:rsidRPr="000415CB">
        <w:t>Nadesłane w ramach konsultacji opinie i uwagi są zamieszczone na senackiej stronie internetowej. Wyniki konsultacji przedstawiono w Ocenie Skutków Regulacji.</w:t>
      </w:r>
    </w:p>
    <w:p w:rsidR="00B43AB0" w:rsidRPr="001330AF" w:rsidRDefault="00B43AB0" w:rsidP="00C62C0C">
      <w:pPr>
        <w:pStyle w:val="akapit"/>
        <w:keepNext/>
        <w:spacing w:before="240"/>
        <w:ind w:firstLine="0"/>
        <w:rPr>
          <w:b/>
          <w:szCs w:val="24"/>
        </w:rPr>
      </w:pPr>
      <w:r>
        <w:rPr>
          <w:b/>
          <w:szCs w:val="24"/>
        </w:rPr>
        <w:t>5</w:t>
      </w:r>
      <w:r w:rsidRPr="00A64BD5">
        <w:rPr>
          <w:b/>
          <w:szCs w:val="24"/>
        </w:rPr>
        <w:t xml:space="preserve">. </w:t>
      </w:r>
      <w:r w:rsidRPr="001330AF">
        <w:rPr>
          <w:b/>
          <w:szCs w:val="24"/>
        </w:rPr>
        <w:t>Oświadczenie o zgodności z prawem Unii Europejskiej</w:t>
      </w:r>
    </w:p>
    <w:p w:rsidR="00B43AB0" w:rsidRPr="001330AF" w:rsidRDefault="00B43AB0" w:rsidP="00A254B4">
      <w:pPr>
        <w:pStyle w:val="NIEARTTEKSTtekstnieartykuowanynppreambua"/>
      </w:pPr>
      <w:r w:rsidRPr="001330AF">
        <w:t xml:space="preserve">Projektowana ustawa </w:t>
      </w:r>
      <w:r>
        <w:t>nie jest objęta</w:t>
      </w:r>
      <w:r w:rsidRPr="001330AF">
        <w:t xml:space="preserve"> prawem Unii Europejskiej.</w:t>
      </w:r>
    </w:p>
    <w:p w:rsidR="00B43AB0" w:rsidRDefault="00B43AB0" w:rsidP="00C70646">
      <w:pPr>
        <w:sectPr w:rsidR="00B43AB0" w:rsidSect="001A7F15">
          <w:pgSz w:w="11906" w:h="16838"/>
          <w:pgMar w:top="1560" w:right="1434" w:bottom="1560" w:left="1418" w:header="709" w:footer="709" w:gutter="0"/>
          <w:cols w:space="708"/>
          <w:titlePg/>
          <w:docGrid w:linePitch="254"/>
        </w:sectPr>
      </w:pPr>
      <w:bookmarkStart w:id="0" w:name="_GoBack"/>
      <w:bookmarkEnd w:id="0"/>
    </w:p>
    <w:p w:rsidR="00B43AB0" w:rsidRPr="00B43AB0" w:rsidRDefault="00B43AB0" w:rsidP="00B43AB0">
      <w:pPr>
        <w:keepNext/>
        <w:widowControl/>
        <w:autoSpaceDE/>
        <w:autoSpaceDN/>
        <w:adjustRightInd/>
        <w:spacing w:before="80" w:line="264" w:lineRule="auto"/>
        <w:jc w:val="left"/>
        <w:outlineLvl w:val="0"/>
        <w:rPr>
          <w:rFonts w:eastAsia="Times New Roman"/>
          <w:b/>
          <w:bCs/>
          <w:kern w:val="32"/>
          <w:sz w:val="20"/>
        </w:rPr>
      </w:pPr>
    </w:p>
    <w:p w:rsidR="00C70646" w:rsidRPr="00621566" w:rsidRDefault="00C70646" w:rsidP="00C70646"/>
    <w:p w:rsidR="00C70646" w:rsidRPr="001B342E" w:rsidRDefault="00C70646" w:rsidP="00C70646"/>
    <w:sectPr w:rsidR="00C70646" w:rsidRPr="001B342E" w:rsidSect="00B43AB0">
      <w:headerReference w:type="default" r:id="rId8"/>
      <w:pgSz w:w="11906" w:h="16838"/>
      <w:pgMar w:top="426" w:right="1434" w:bottom="567" w:left="1418" w:header="57" w:footer="5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533E" w:rsidRDefault="005A533E">
      <w:r>
        <w:separator/>
      </w:r>
    </w:p>
  </w:endnote>
  <w:endnote w:type="continuationSeparator" w:id="0">
    <w:p w:rsidR="005A533E" w:rsidRDefault="005A5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533E" w:rsidRDefault="005A533E">
      <w:r>
        <w:separator/>
      </w:r>
    </w:p>
  </w:footnote>
  <w:footnote w:type="continuationSeparator" w:id="0">
    <w:p w:rsidR="005A533E" w:rsidRDefault="005A53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3AB0" w:rsidRPr="00B371CC" w:rsidRDefault="00B43AB0" w:rsidP="00B43AB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3FF4390"/>
    <w:multiLevelType w:val="hybridMultilevel"/>
    <w:tmpl w:val="590484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7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8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1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4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6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30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4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6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9" w15:restartNumberingAfterBreak="0">
    <w:nsid w:val="74BB6ECC"/>
    <w:multiLevelType w:val="hybridMultilevel"/>
    <w:tmpl w:val="A24E32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1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A7F3D83"/>
    <w:multiLevelType w:val="hybridMultilevel"/>
    <w:tmpl w:val="2818A1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5"/>
  </w:num>
  <w:num w:numId="3">
    <w:abstractNumId w:val="20"/>
  </w:num>
  <w:num w:numId="4">
    <w:abstractNumId w:val="20"/>
  </w:num>
  <w:num w:numId="5">
    <w:abstractNumId w:val="40"/>
  </w:num>
  <w:num w:numId="6">
    <w:abstractNumId w:val="35"/>
  </w:num>
  <w:num w:numId="7">
    <w:abstractNumId w:val="40"/>
  </w:num>
  <w:num w:numId="8">
    <w:abstractNumId w:val="35"/>
  </w:num>
  <w:num w:numId="9">
    <w:abstractNumId w:val="40"/>
  </w:num>
  <w:num w:numId="10">
    <w:abstractNumId w:val="35"/>
  </w:num>
  <w:num w:numId="11">
    <w:abstractNumId w:val="16"/>
  </w:num>
  <w:num w:numId="12">
    <w:abstractNumId w:val="11"/>
  </w:num>
  <w:num w:numId="13">
    <w:abstractNumId w:val="17"/>
  </w:num>
  <w:num w:numId="14">
    <w:abstractNumId w:val="29"/>
  </w:num>
  <w:num w:numId="15">
    <w:abstractNumId w:val="16"/>
  </w:num>
  <w:num w:numId="16">
    <w:abstractNumId w:val="18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7"/>
  </w:num>
  <w:num w:numId="28">
    <w:abstractNumId w:val="28"/>
  </w:num>
  <w:num w:numId="29">
    <w:abstractNumId w:val="41"/>
  </w:num>
  <w:num w:numId="30">
    <w:abstractNumId w:val="36"/>
  </w:num>
  <w:num w:numId="31">
    <w:abstractNumId w:val="21"/>
  </w:num>
  <w:num w:numId="32">
    <w:abstractNumId w:val="12"/>
  </w:num>
  <w:num w:numId="33">
    <w:abstractNumId w:val="34"/>
  </w:num>
  <w:num w:numId="34">
    <w:abstractNumId w:val="22"/>
  </w:num>
  <w:num w:numId="35">
    <w:abstractNumId w:val="19"/>
  </w:num>
  <w:num w:numId="36">
    <w:abstractNumId w:val="24"/>
  </w:num>
  <w:num w:numId="37">
    <w:abstractNumId w:val="30"/>
  </w:num>
  <w:num w:numId="38">
    <w:abstractNumId w:val="27"/>
  </w:num>
  <w:num w:numId="39">
    <w:abstractNumId w:val="14"/>
  </w:num>
  <w:num w:numId="40">
    <w:abstractNumId w:val="33"/>
  </w:num>
  <w:num w:numId="41">
    <w:abstractNumId w:val="31"/>
  </w:num>
  <w:num w:numId="42">
    <w:abstractNumId w:val="23"/>
  </w:num>
  <w:num w:numId="43">
    <w:abstractNumId w:val="38"/>
  </w:num>
  <w:num w:numId="44">
    <w:abstractNumId w:val="13"/>
  </w:num>
  <w:num w:numId="45">
    <w:abstractNumId w:val="32"/>
  </w:num>
  <w:num w:numId="46">
    <w:abstractNumId w:val="10"/>
  </w:num>
  <w:num w:numId="47">
    <w:abstractNumId w:val="26"/>
  </w:num>
  <w:num w:numId="48">
    <w:abstractNumId w:val="39"/>
  </w:num>
  <w:num w:numId="49">
    <w:abstractNumId w:val="15"/>
  </w:num>
  <w:num w:numId="50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B87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533E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1B87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AB0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3EC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F00B73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569ECFE-0168-4923-983D-1BD79EA1F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D1B87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B43AB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1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1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2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99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99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1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6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7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25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2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character" w:customStyle="1" w:styleId="Ppogrubienie">
    <w:name w:val="_P_ – pogrubienie"/>
    <w:basedOn w:val="Domylnaczcionkaakapitu"/>
    <w:uiPriority w:val="1"/>
    <w:qFormat/>
    <w:rsid w:val="00B43AB0"/>
    <w:rPr>
      <w:b/>
    </w:rPr>
  </w:style>
  <w:style w:type="paragraph" w:styleId="Tekstpodstawowy">
    <w:name w:val="Body Text"/>
    <w:basedOn w:val="Normalny"/>
    <w:link w:val="TekstpodstawowyZnak"/>
    <w:uiPriority w:val="99"/>
    <w:semiHidden/>
    <w:rsid w:val="00B43AB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43AB0"/>
    <w:rPr>
      <w:rFonts w:ascii="Times New Roman" w:eastAsiaTheme="minorEastAsia" w:hAnsi="Times New Roman" w:cs="Arial"/>
      <w:szCs w:val="20"/>
    </w:rPr>
  </w:style>
  <w:style w:type="paragraph" w:customStyle="1" w:styleId="akapit">
    <w:name w:val="akapit"/>
    <w:basedOn w:val="Normalny"/>
    <w:uiPriority w:val="99"/>
    <w:rsid w:val="00B43AB0"/>
    <w:pPr>
      <w:widowControl/>
      <w:autoSpaceDE/>
      <w:autoSpaceDN/>
      <w:adjustRightInd/>
      <w:ind w:firstLine="851"/>
    </w:pPr>
    <w:rPr>
      <w:rFonts w:eastAsia="Times New Roman" w:cs="Times New Roman"/>
    </w:rPr>
  </w:style>
  <w:style w:type="character" w:customStyle="1" w:styleId="Nagwek3Znak">
    <w:name w:val="Nagłówek 3 Znak"/>
    <w:basedOn w:val="Domylnaczcionkaakapitu"/>
    <w:link w:val="Nagwek3"/>
    <w:uiPriority w:val="99"/>
    <w:semiHidden/>
    <w:rsid w:val="00B43AB0"/>
    <w:rPr>
      <w:rFonts w:asciiTheme="majorHAnsi" w:eastAsiaTheme="majorEastAsia" w:hAnsiTheme="majorHAnsi" w:cstheme="majorBidi"/>
      <w:b/>
      <w:bCs/>
      <w:color w:val="4F81BD" w:themeColor="accent1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D5D695-347A-4429-AD9C-BACB727EA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9</TotalTime>
  <Pages>5</Pages>
  <Words>1271</Words>
  <Characters>7629</Characters>
  <Application>Microsoft Office Word</Application>
  <DocSecurity>0</DocSecurity>
  <Lines>63</Lines>
  <Paragraphs>17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8883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Justyna Mazur</dc:creator>
  <cp:lastModifiedBy>Grzegorz Molesztak</cp:lastModifiedBy>
  <cp:revision>3</cp:revision>
  <cp:lastPrinted>2012-07-23T08:40:00Z</cp:lastPrinted>
  <dcterms:created xsi:type="dcterms:W3CDTF">2021-01-13T08:02:00Z</dcterms:created>
  <dcterms:modified xsi:type="dcterms:W3CDTF">2021-01-15T08:19:00Z</dcterms:modified>
</cp:coreProperties>
</file>