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95" w:rsidRDefault="00995ED5" w:rsidP="0041664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753BA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</w:p>
    <w:p w:rsidR="007753BA" w:rsidRDefault="007753BA" w:rsidP="007753B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:rsidR="007753BA" w:rsidRDefault="007753BA" w:rsidP="007753B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Ustawa o inwestycjach w zakresie elektrowni wiatrowych (Dz. U. z 2016 r. poz. 961  z późn. zm.) w art. 4 ust. 1 określa odległość, w której mogą być lokalizowane i budowane elektrownie wiatrowe. Jest ona równa lub większa od dziesięciokrotności wysokości elektrowni wiatrowej mierzonej od poziomu gruntu do najwyższego punktu budowli, wliczając elementy techniczne, w szczególności wirnik wraz z łopatami. Zgodnie z art. 14 ust. 1 i 2 ww. ustawy, postępowania w przedmiocie wydania decyzji WZ, dotyczące budynku mieszkalnego (...) wszczęte i niezakończone do dnia wejścia w życie ustawy prowadzi się przez 36 miesięcy od dnia wejścia w życie ustawy na podstawie przepisów dotychczasowych. Elektrownie wiatrowe oddane do użytku przed wejściem w życie ww. ustawy zostały wybudowane na podstawie miejscowych planów zagospodarowania przestrzennego, publikowanych w Wojewódzkich Dziennikach Urzędowych. </w:t>
      </w: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Wprowadzone przepisy ww. ustawy w sposób jednakowy traktują elektrownie wiatrowe powstałe przed nowelizacją przepisów, jak i te projektowane i budowane obecnie. W praktyce oznaczają zakaz wznoszenia budynków mieszkalnych po 16 lipca 2019 r. w dużo większych odległościach od istniejących elektrowni wiatrowych, niż miało to miejsce przed wejściem w życie ustawy. W mniejszych gminach wiejskich oraz miejsko-wiejskich, w których funkcjonują duże elektrownie wiatrowe, nowe budynki mieszkalne nie będą mogły być wznoszone na obszarach obejmujących nawet kilkanaście procent terytorium gminy. W konsekwencji ograniczy to znacznie rozwój budownictwa mieszkaniowego oraz zabudowy zagrodowej. Mając zatem na uwadze ochronę praw nabytych oraz zaufanie obywateli do państwa, należy rozróżnić sytuację podmiotów planujących lokalizację zabudowy mieszkaniowej w sąsiedztwie elektrowni wiatrowych powstałych przed dniem wejście w życie ustawy, od tych które będą lokalizowane i budowane w przyszłości. </w:t>
      </w: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Projekt ustawy nie pociąga za sobą obciążenia budżetu państwa lub budżetów jednostek samorządu terytorialnego.</w:t>
      </w: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Wejście w życie projektu ustawy nie będzie miało wpływu na konkurencyjność gospodarki, a także na działalność mikro przedsiębiorców oraz małych i średnich przedsiębiorców. </w:t>
      </w: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Przedmiot projektu niniejszej ustawy nie jest objęty prawem Unii Europejskiej. </w:t>
      </w:r>
    </w:p>
    <w:p w:rsidR="007753BA" w:rsidRDefault="007753BA" w:rsidP="007753B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53BA" w:rsidRDefault="007753BA" w:rsidP="007753BA">
      <w:pPr>
        <w:spacing w:line="360" w:lineRule="auto"/>
        <w:rPr>
          <w:rFonts w:ascii="Times New Roman" w:eastAsia="Times New Roman" w:hAnsi="Times New Roman" w:cs="Times New Roman"/>
        </w:rPr>
      </w:pPr>
    </w:p>
    <w:sectPr w:rsidR="007753B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E4673"/>
    <w:multiLevelType w:val="multilevel"/>
    <w:tmpl w:val="DAF2F92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95"/>
    <w:rsid w:val="001D3DC3"/>
    <w:rsid w:val="002A4C5D"/>
    <w:rsid w:val="00416640"/>
    <w:rsid w:val="005846A8"/>
    <w:rsid w:val="006416C2"/>
    <w:rsid w:val="007753BA"/>
    <w:rsid w:val="00995ED5"/>
    <w:rsid w:val="00AB35C3"/>
    <w:rsid w:val="00D56ACB"/>
    <w:rsid w:val="00E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8A9ED-2F57-4CAC-B696-F932090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BiuroPoselskie</dc:creator>
  <cp:lastModifiedBy>Grzegorz Molesztak</cp:lastModifiedBy>
  <cp:revision>3</cp:revision>
  <dcterms:created xsi:type="dcterms:W3CDTF">2019-12-17T12:57:00Z</dcterms:created>
  <dcterms:modified xsi:type="dcterms:W3CDTF">2019-12-18T11:29:00Z</dcterms:modified>
</cp:coreProperties>
</file>