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7D9A67F" w14:textId="508C006E" w:rsidR="004B6EA3" w:rsidRDefault="004B6EA3" w:rsidP="00A23AFD">
      <w:pPr>
        <w:pStyle w:val="Style3"/>
        <w:widowControl/>
        <w:spacing w:line="240" w:lineRule="auto"/>
        <w:rPr>
          <w:rStyle w:val="FontStyle11"/>
          <w:rFonts w:ascii="Tahoma" w:hAnsi="Tahoma" w:cs="Tahoma"/>
          <w:sz w:val="24"/>
          <w:szCs w:val="24"/>
        </w:rPr>
      </w:pPr>
      <w:r w:rsidRPr="00960BC2">
        <w:rPr>
          <w:rStyle w:val="FontStyle11"/>
          <w:rFonts w:ascii="Tahoma" w:hAnsi="Tahoma" w:cs="Tahoma"/>
          <w:sz w:val="24"/>
          <w:szCs w:val="24"/>
        </w:rPr>
        <w:t>Uzasadnienie</w:t>
      </w:r>
    </w:p>
    <w:p w14:paraId="152AC4AB" w14:textId="77777777" w:rsidR="00505E26" w:rsidRPr="00960BC2" w:rsidRDefault="00505E26" w:rsidP="00A23AFD">
      <w:pPr>
        <w:pStyle w:val="Style3"/>
        <w:widowControl/>
        <w:spacing w:line="240" w:lineRule="auto"/>
        <w:rPr>
          <w:rStyle w:val="FontStyle11"/>
          <w:rFonts w:ascii="Tahoma" w:hAnsi="Tahoma" w:cs="Tahoma"/>
          <w:sz w:val="24"/>
          <w:szCs w:val="24"/>
        </w:rPr>
      </w:pPr>
    </w:p>
    <w:p w14:paraId="53D54421" w14:textId="2FC14578" w:rsidR="004B6EA3" w:rsidRPr="00960BC2" w:rsidRDefault="004B6EA3" w:rsidP="00A23AFD">
      <w:pPr>
        <w:pStyle w:val="Style2"/>
        <w:widowControl/>
        <w:spacing w:line="240" w:lineRule="auto"/>
        <w:rPr>
          <w:rFonts w:ascii="Tahoma" w:hAnsi="Tahoma" w:cs="Tahoma"/>
        </w:rPr>
      </w:pPr>
    </w:p>
    <w:p w14:paraId="2492E71C" w14:textId="10571125" w:rsidR="00A6786F" w:rsidRPr="00960BC2" w:rsidRDefault="00D17AFD" w:rsidP="00A23AFD">
      <w:pPr>
        <w:pStyle w:val="Style2"/>
        <w:widowControl/>
        <w:numPr>
          <w:ilvl w:val="0"/>
          <w:numId w:val="8"/>
        </w:numPr>
        <w:spacing w:line="240" w:lineRule="auto"/>
        <w:rPr>
          <w:rFonts w:ascii="Tahoma" w:hAnsi="Tahoma" w:cs="Tahoma"/>
          <w:b/>
          <w:bCs/>
        </w:rPr>
      </w:pPr>
      <w:r w:rsidRPr="00960BC2">
        <w:rPr>
          <w:rFonts w:ascii="Tahoma" w:hAnsi="Tahoma" w:cs="Tahoma"/>
          <w:b/>
          <w:bCs/>
        </w:rPr>
        <w:t>Potrzeba i cel uchwalenia ustawy</w:t>
      </w:r>
    </w:p>
    <w:p w14:paraId="2FEE3B09" w14:textId="77777777" w:rsidR="001F375F" w:rsidRPr="00960BC2" w:rsidRDefault="001F375F" w:rsidP="00A23AFD">
      <w:pPr>
        <w:pStyle w:val="Style2"/>
        <w:widowControl/>
        <w:spacing w:line="240" w:lineRule="auto"/>
        <w:rPr>
          <w:rFonts w:ascii="Tahoma" w:hAnsi="Tahoma" w:cs="Tahoma"/>
        </w:rPr>
      </w:pPr>
    </w:p>
    <w:p w14:paraId="37A398B4" w14:textId="6DCF436D" w:rsidR="00393E01" w:rsidRPr="00960BC2" w:rsidRDefault="004B6EA3" w:rsidP="00781605">
      <w:pPr>
        <w:pStyle w:val="Style2"/>
        <w:widowControl/>
        <w:spacing w:line="360" w:lineRule="auto"/>
        <w:ind w:firstLine="720"/>
        <w:rPr>
          <w:rStyle w:val="FontStyle14"/>
          <w:rFonts w:ascii="Tahoma" w:hAnsi="Tahoma" w:cs="Tahoma"/>
          <w:sz w:val="24"/>
          <w:szCs w:val="24"/>
        </w:rPr>
      </w:pPr>
      <w:r w:rsidRPr="00960BC2">
        <w:rPr>
          <w:rStyle w:val="FontStyle14"/>
          <w:rFonts w:ascii="Tahoma" w:hAnsi="Tahoma" w:cs="Tahoma"/>
          <w:sz w:val="24"/>
          <w:szCs w:val="24"/>
        </w:rPr>
        <w:t>Sąd Najwyższy stwierdził w uchwale składu siedmiu sędziów z dnia 24 maja 2013 r., III</w:t>
      </w:r>
      <w:r w:rsidR="00A6786F" w:rsidRPr="00960BC2">
        <w:rPr>
          <w:rStyle w:val="FontStyle14"/>
          <w:rFonts w:ascii="Tahoma" w:hAnsi="Tahoma" w:cs="Tahoma"/>
          <w:sz w:val="24"/>
          <w:szCs w:val="24"/>
        </w:rPr>
        <w:t> </w:t>
      </w:r>
      <w:r w:rsidRPr="00960BC2">
        <w:rPr>
          <w:rStyle w:val="FontStyle14"/>
          <w:rFonts w:ascii="Tahoma" w:hAnsi="Tahoma" w:cs="Tahoma"/>
          <w:sz w:val="24"/>
          <w:szCs w:val="24"/>
        </w:rPr>
        <w:t>CZP 104/12, że "Spółdzielcze własnościow</w:t>
      </w:r>
      <w:r w:rsidR="00505E26">
        <w:rPr>
          <w:rStyle w:val="FontStyle14"/>
          <w:rFonts w:ascii="Tahoma" w:hAnsi="Tahoma" w:cs="Tahoma"/>
          <w:sz w:val="24"/>
          <w:szCs w:val="24"/>
        </w:rPr>
        <w:t>e prawo do lokalu ustanowione w </w:t>
      </w:r>
      <w:r w:rsidRPr="00960BC2">
        <w:rPr>
          <w:rStyle w:val="FontStyle14"/>
          <w:rFonts w:ascii="Tahoma" w:hAnsi="Tahoma" w:cs="Tahoma"/>
          <w:sz w:val="24"/>
          <w:szCs w:val="24"/>
        </w:rPr>
        <w:t>budynku położonym na gruncie, do którego spółdzielni nie przysługuje własność albo użytkowanie wieczyste, stanowi ekspektatywę tego prawa; niedopuszczalne jest założenie księgi wieczystej w</w:t>
      </w:r>
      <w:r w:rsidR="00A6786F" w:rsidRPr="00960BC2">
        <w:rPr>
          <w:rStyle w:val="FontStyle14"/>
          <w:rFonts w:ascii="Tahoma" w:hAnsi="Tahoma" w:cs="Tahoma"/>
          <w:sz w:val="24"/>
          <w:szCs w:val="24"/>
        </w:rPr>
        <w:t> </w:t>
      </w:r>
      <w:r w:rsidRPr="00960BC2">
        <w:rPr>
          <w:rStyle w:val="FontStyle14"/>
          <w:rFonts w:ascii="Tahoma" w:hAnsi="Tahoma" w:cs="Tahoma"/>
          <w:sz w:val="24"/>
          <w:szCs w:val="24"/>
        </w:rPr>
        <w:t xml:space="preserve">celu jej ujawnienia". Uchwała ta, z jednej strony w pełni prawidłowa i nawiązująca do obowiązującej w polskim prawie zasady </w:t>
      </w:r>
      <w:r w:rsidRPr="00960BC2">
        <w:rPr>
          <w:rStyle w:val="FontStyle16"/>
          <w:rFonts w:ascii="Tahoma" w:hAnsi="Tahoma" w:cs="Tahoma"/>
          <w:sz w:val="24"/>
          <w:szCs w:val="24"/>
        </w:rPr>
        <w:t>superficies solo c</w:t>
      </w:r>
      <w:r w:rsidR="001F375F" w:rsidRPr="00960BC2">
        <w:rPr>
          <w:rStyle w:val="FontStyle16"/>
          <w:rFonts w:ascii="Tahoma" w:hAnsi="Tahoma" w:cs="Tahoma"/>
          <w:sz w:val="24"/>
          <w:szCs w:val="24"/>
        </w:rPr>
        <w:t>e</w:t>
      </w:r>
      <w:r w:rsidRPr="00960BC2">
        <w:rPr>
          <w:rStyle w:val="FontStyle16"/>
          <w:rFonts w:ascii="Tahoma" w:hAnsi="Tahoma" w:cs="Tahoma"/>
          <w:sz w:val="24"/>
          <w:szCs w:val="24"/>
        </w:rPr>
        <w:t xml:space="preserve">dit </w:t>
      </w:r>
      <w:r w:rsidRPr="00960BC2">
        <w:rPr>
          <w:rStyle w:val="FontStyle14"/>
          <w:rFonts w:ascii="Tahoma" w:hAnsi="Tahoma" w:cs="Tahoma"/>
          <w:sz w:val="24"/>
          <w:szCs w:val="24"/>
        </w:rPr>
        <w:t>(art. 48 Kodeksu cywilnego), z</w:t>
      </w:r>
      <w:r w:rsidR="00A6786F" w:rsidRPr="00960BC2">
        <w:rPr>
          <w:rStyle w:val="FontStyle14"/>
          <w:rFonts w:ascii="Tahoma" w:hAnsi="Tahoma" w:cs="Tahoma"/>
          <w:sz w:val="24"/>
          <w:szCs w:val="24"/>
        </w:rPr>
        <w:t> </w:t>
      </w:r>
      <w:r w:rsidRPr="00960BC2">
        <w:rPr>
          <w:rStyle w:val="FontStyle14"/>
          <w:rFonts w:ascii="Tahoma" w:hAnsi="Tahoma" w:cs="Tahoma"/>
          <w:sz w:val="24"/>
          <w:szCs w:val="24"/>
        </w:rPr>
        <w:t>drugiej jednak strony wywołuje nega</w:t>
      </w:r>
      <w:r w:rsidR="00E53D68" w:rsidRPr="00960BC2">
        <w:rPr>
          <w:rStyle w:val="FontStyle14"/>
          <w:rFonts w:ascii="Tahoma" w:hAnsi="Tahoma" w:cs="Tahoma"/>
          <w:sz w:val="24"/>
          <w:szCs w:val="24"/>
        </w:rPr>
        <w:t>tywne skutki społeczne przez to,</w:t>
      </w:r>
      <w:r w:rsidRPr="00960BC2">
        <w:rPr>
          <w:rStyle w:val="FontStyle14"/>
          <w:rFonts w:ascii="Tahoma" w:hAnsi="Tahoma" w:cs="Tahoma"/>
          <w:sz w:val="24"/>
          <w:szCs w:val="24"/>
        </w:rPr>
        <w:t xml:space="preserve"> że uniemożliwia zakładanie ksiąg wieczystych i w konsekwencji zaciąganie kredytów hipotecznych przez osoby, które nabyły spółdzielcze własnościowe prawa do lokali w budynkach znajdujących się na gruntach, do których spółdzielniom mieszkaniowym nie przysługuje prawo własności albo prawo użytkowania wieczystego. Z tego powodu niezbędne stało się pilne uchwalenie ustawy regulującej status prawny lokali lokatorskich i własnościowych w rozważanej sytuacji oraz skutecznie rozwiązującej zagadnienie braku tytułu prawnego spółdzielni mieszkaniowej do gruntu.</w:t>
      </w:r>
    </w:p>
    <w:p w14:paraId="1A260EC1" w14:textId="3B32F867" w:rsidR="00E2365A" w:rsidRPr="00960BC2" w:rsidRDefault="00E2365A" w:rsidP="00A23AFD">
      <w:pPr>
        <w:pStyle w:val="Style6"/>
        <w:widowControl/>
        <w:tabs>
          <w:tab w:val="left" w:pos="202"/>
        </w:tabs>
        <w:spacing w:line="360" w:lineRule="auto"/>
        <w:rPr>
          <w:rStyle w:val="FontStyle14"/>
          <w:rFonts w:ascii="Tahoma" w:hAnsi="Tahoma" w:cs="Tahoma"/>
          <w:sz w:val="24"/>
          <w:szCs w:val="24"/>
        </w:rPr>
      </w:pPr>
      <w:r w:rsidRPr="00960BC2">
        <w:rPr>
          <w:rStyle w:val="FontStyle14"/>
          <w:rFonts w:ascii="Tahoma" w:hAnsi="Tahoma" w:cs="Tahoma"/>
          <w:sz w:val="24"/>
          <w:szCs w:val="24"/>
        </w:rPr>
        <w:tab/>
        <w:t xml:space="preserve">    Przemilczenie jest instytucją znaną w polskim prawie. Została ona zastosowania w</w:t>
      </w:r>
      <w:r w:rsidR="00A6786F" w:rsidRPr="00960BC2">
        <w:rPr>
          <w:rStyle w:val="FontStyle14"/>
          <w:rFonts w:ascii="Tahoma" w:hAnsi="Tahoma" w:cs="Tahoma"/>
          <w:sz w:val="24"/>
          <w:szCs w:val="24"/>
        </w:rPr>
        <w:t> </w:t>
      </w:r>
      <w:r w:rsidRPr="00960BC2">
        <w:rPr>
          <w:rStyle w:val="FontStyle14"/>
          <w:rFonts w:ascii="Tahoma" w:hAnsi="Tahoma" w:cs="Tahoma"/>
          <w:sz w:val="24"/>
          <w:szCs w:val="24"/>
        </w:rPr>
        <w:t>szczególności w art. 34 dekretu z dnia 8 marca 1946 r. o majątkach opuszczonych i</w:t>
      </w:r>
      <w:r w:rsidR="00A6786F" w:rsidRPr="00960BC2">
        <w:rPr>
          <w:rStyle w:val="FontStyle14"/>
          <w:rFonts w:ascii="Tahoma" w:hAnsi="Tahoma" w:cs="Tahoma"/>
          <w:sz w:val="24"/>
          <w:szCs w:val="24"/>
        </w:rPr>
        <w:t> </w:t>
      </w:r>
      <w:r w:rsidRPr="00960BC2">
        <w:rPr>
          <w:rStyle w:val="FontStyle14"/>
          <w:rFonts w:ascii="Tahoma" w:hAnsi="Tahoma" w:cs="Tahoma"/>
          <w:sz w:val="24"/>
          <w:szCs w:val="24"/>
        </w:rPr>
        <w:t xml:space="preserve">poniemieckich (Dz. U. Nr 13. poz. 87 ze zm.), w którym </w:t>
      </w:r>
      <w:r w:rsidRPr="00960BC2">
        <w:rPr>
          <w:rStyle w:val="FontStyle16"/>
          <w:rFonts w:ascii="Tahoma" w:hAnsi="Tahoma" w:cs="Tahoma"/>
          <w:sz w:val="24"/>
          <w:szCs w:val="24"/>
        </w:rPr>
        <w:t xml:space="preserve">expressis verbis </w:t>
      </w:r>
      <w:r w:rsidRPr="00960BC2">
        <w:rPr>
          <w:rStyle w:val="FontStyle14"/>
          <w:rFonts w:ascii="Tahoma" w:hAnsi="Tahoma" w:cs="Tahoma"/>
          <w:sz w:val="24"/>
          <w:szCs w:val="24"/>
        </w:rPr>
        <w:t>wspomniano o</w:t>
      </w:r>
      <w:r w:rsidR="00A6786F" w:rsidRPr="00960BC2">
        <w:rPr>
          <w:rStyle w:val="FontStyle14"/>
          <w:rFonts w:ascii="Tahoma" w:hAnsi="Tahoma" w:cs="Tahoma"/>
          <w:sz w:val="24"/>
          <w:szCs w:val="24"/>
        </w:rPr>
        <w:t> </w:t>
      </w:r>
      <w:r w:rsidRPr="00960BC2">
        <w:rPr>
          <w:rStyle w:val="FontStyle14"/>
          <w:rFonts w:ascii="Tahoma" w:hAnsi="Tahoma" w:cs="Tahoma"/>
          <w:sz w:val="24"/>
          <w:szCs w:val="24"/>
        </w:rPr>
        <w:t>przedawnieniu (zasiedzeniu). Instytucja ta w doktrynie była nazywana przemilczeniem, takie też określenie proponuje się przyjąć w projektowanej ustawie, dawne bowiem sformułowanie (przedawnienie -zasiedzenie) z punktu widzenia współczesnej terminologii byłoby nieprecyzyjne i mylące.</w:t>
      </w:r>
    </w:p>
    <w:p w14:paraId="4110C207" w14:textId="579BDB07" w:rsidR="00393E01" w:rsidRPr="00960BC2" w:rsidRDefault="00393E01" w:rsidP="00A23AFD">
      <w:pPr>
        <w:pStyle w:val="Style2"/>
        <w:widowControl/>
        <w:spacing w:line="360" w:lineRule="auto"/>
        <w:rPr>
          <w:rStyle w:val="FontStyle14"/>
          <w:rFonts w:ascii="Tahoma" w:hAnsi="Tahoma" w:cs="Tahoma"/>
          <w:sz w:val="24"/>
          <w:szCs w:val="24"/>
        </w:rPr>
      </w:pPr>
      <w:r w:rsidRPr="00960BC2">
        <w:rPr>
          <w:rStyle w:val="FontStyle14"/>
          <w:rFonts w:ascii="Tahoma" w:hAnsi="Tahoma" w:cs="Tahoma"/>
          <w:sz w:val="24"/>
          <w:szCs w:val="24"/>
        </w:rPr>
        <w:t xml:space="preserve">Należy ponadto podkreślić, </w:t>
      </w:r>
      <w:r w:rsidRPr="00960BC2">
        <w:rPr>
          <w:rStyle w:val="FontStyle17"/>
          <w:rFonts w:ascii="Tahoma" w:hAnsi="Tahoma" w:cs="Tahoma"/>
          <w:sz w:val="24"/>
          <w:szCs w:val="24"/>
        </w:rPr>
        <w:t xml:space="preserve">że </w:t>
      </w:r>
      <w:r w:rsidRPr="00960BC2">
        <w:rPr>
          <w:rStyle w:val="FontStyle14"/>
          <w:rFonts w:ascii="Tahoma" w:hAnsi="Tahoma" w:cs="Tahoma"/>
          <w:sz w:val="24"/>
          <w:szCs w:val="24"/>
        </w:rPr>
        <w:t>ostateczne rozwiązanie problemu praw spółdzielni mieszkaniowych do gruntów jest obowiązkiem usta</w:t>
      </w:r>
      <w:r w:rsidR="00505E26">
        <w:rPr>
          <w:rStyle w:val="FontStyle14"/>
          <w:rFonts w:ascii="Tahoma" w:hAnsi="Tahoma" w:cs="Tahoma"/>
          <w:sz w:val="24"/>
          <w:szCs w:val="24"/>
        </w:rPr>
        <w:t>wodawcy. Okoliczność bowiem, że </w:t>
      </w:r>
      <w:r w:rsidRPr="00960BC2">
        <w:rPr>
          <w:rStyle w:val="FontStyle14"/>
          <w:rFonts w:ascii="Tahoma" w:hAnsi="Tahoma" w:cs="Tahoma"/>
          <w:sz w:val="24"/>
          <w:szCs w:val="24"/>
        </w:rPr>
        <w:t>wiele spółdzielni mieszkaniowych w Polsce nadal nie ma tytułu prawnego do gruntów, na których</w:t>
      </w:r>
      <w:r w:rsidR="00022A91" w:rsidRPr="00960BC2">
        <w:rPr>
          <w:rStyle w:val="FontStyle14"/>
          <w:rFonts w:ascii="Tahoma" w:hAnsi="Tahoma" w:cs="Tahoma"/>
          <w:sz w:val="24"/>
          <w:szCs w:val="24"/>
        </w:rPr>
        <w:t xml:space="preserve"> wznosiły osiedla mieszkaniowe</w:t>
      </w:r>
      <w:r w:rsidRPr="00960BC2">
        <w:rPr>
          <w:rStyle w:val="FontStyle14"/>
          <w:rFonts w:ascii="Tahoma" w:hAnsi="Tahoma" w:cs="Tahoma"/>
          <w:sz w:val="24"/>
          <w:szCs w:val="24"/>
        </w:rPr>
        <w:t xml:space="preserve">, obciąża w znacznie większym </w:t>
      </w:r>
      <w:r w:rsidRPr="00960BC2">
        <w:rPr>
          <w:rStyle w:val="FontStyle17"/>
          <w:rFonts w:ascii="Tahoma" w:hAnsi="Tahoma" w:cs="Tahoma"/>
          <w:sz w:val="24"/>
          <w:szCs w:val="24"/>
        </w:rPr>
        <w:t xml:space="preserve">stopniu Państwo </w:t>
      </w:r>
      <w:r w:rsidRPr="00960BC2">
        <w:rPr>
          <w:rStyle w:val="FontStyle14"/>
          <w:rFonts w:ascii="Tahoma" w:hAnsi="Tahoma" w:cs="Tahoma"/>
          <w:sz w:val="24"/>
          <w:szCs w:val="24"/>
        </w:rPr>
        <w:t xml:space="preserve">niż </w:t>
      </w:r>
      <w:r w:rsidRPr="00960BC2">
        <w:rPr>
          <w:rStyle w:val="FontStyle17"/>
          <w:rFonts w:ascii="Tahoma" w:hAnsi="Tahoma" w:cs="Tahoma"/>
          <w:sz w:val="24"/>
          <w:szCs w:val="24"/>
        </w:rPr>
        <w:t xml:space="preserve">spółdzielnie. </w:t>
      </w:r>
      <w:r w:rsidRPr="00960BC2">
        <w:rPr>
          <w:rStyle w:val="FontStyle14"/>
          <w:rFonts w:ascii="Tahoma" w:hAnsi="Tahoma" w:cs="Tahoma"/>
          <w:sz w:val="24"/>
          <w:szCs w:val="24"/>
        </w:rPr>
        <w:t xml:space="preserve">Są to </w:t>
      </w:r>
      <w:r w:rsidRPr="00960BC2">
        <w:rPr>
          <w:rStyle w:val="FontStyle17"/>
          <w:rFonts w:ascii="Tahoma" w:hAnsi="Tahoma" w:cs="Tahoma"/>
          <w:sz w:val="24"/>
          <w:szCs w:val="24"/>
        </w:rPr>
        <w:t xml:space="preserve">głównie zaszłości z czasów PRL-u, </w:t>
      </w:r>
      <w:r w:rsidR="00D7606C" w:rsidRPr="00960BC2">
        <w:rPr>
          <w:rStyle w:val="FontStyle14"/>
          <w:rFonts w:ascii="Tahoma" w:hAnsi="Tahoma" w:cs="Tahoma"/>
          <w:sz w:val="24"/>
          <w:szCs w:val="24"/>
        </w:rPr>
        <w:t>realizacji</w:t>
      </w:r>
      <w:r w:rsidRPr="00960BC2">
        <w:rPr>
          <w:rStyle w:val="FontStyle14"/>
          <w:rFonts w:ascii="Tahoma" w:hAnsi="Tahoma" w:cs="Tahoma"/>
          <w:sz w:val="24"/>
          <w:szCs w:val="24"/>
        </w:rPr>
        <w:t xml:space="preserve"> planu gospodarczego (spółdzielnie mieszkaniowe jako jednostki gospodarki uspołecznionej były jedynie wykonawcami takiego planu).</w:t>
      </w:r>
      <w:bookmarkStart w:id="0" w:name="_GoBack"/>
      <w:bookmarkEnd w:id="0"/>
    </w:p>
    <w:p w14:paraId="3AF05E0F" w14:textId="12C4A614" w:rsidR="002A6ACC" w:rsidRPr="00960BC2" w:rsidRDefault="002A6ACC" w:rsidP="00A23AFD">
      <w:pPr>
        <w:spacing w:line="360" w:lineRule="auto"/>
        <w:ind w:firstLine="456"/>
        <w:jc w:val="both"/>
        <w:rPr>
          <w:rStyle w:val="FontStyle14"/>
          <w:rFonts w:ascii="Tahoma" w:hAnsi="Tahoma" w:cs="Tahoma"/>
          <w:sz w:val="24"/>
          <w:szCs w:val="24"/>
        </w:rPr>
      </w:pPr>
      <w:r w:rsidRPr="00960BC2">
        <w:rPr>
          <w:rFonts w:ascii="Tahoma" w:hAnsi="Tahoma" w:cs="Tahoma"/>
        </w:rPr>
        <w:lastRenderedPageBreak/>
        <w:t>Główną przyczyną braku regulacji stanu prawnego gruntów w Warszawie oraz w innych miastach jest nierealizowanie przez jednostki samorządu terytorialnego i Skarb Państwa ustawy z dnia 10 maja 1990 r. przepisy wprowadzające ustawę o samorządzie terytorialnym i ustawę o</w:t>
      </w:r>
      <w:r w:rsidR="00A6786F" w:rsidRPr="00960BC2">
        <w:rPr>
          <w:rFonts w:ascii="Tahoma" w:hAnsi="Tahoma" w:cs="Tahoma"/>
        </w:rPr>
        <w:t> </w:t>
      </w:r>
      <w:r w:rsidRPr="00960BC2">
        <w:rPr>
          <w:rFonts w:ascii="Tahoma" w:hAnsi="Tahoma" w:cs="Tahoma"/>
        </w:rPr>
        <w:t>pracownikach samorządowych oraz ustawy z dnia 29 września 1990 r. o zmianie ustawy o</w:t>
      </w:r>
      <w:r w:rsidR="00A6786F" w:rsidRPr="00960BC2">
        <w:rPr>
          <w:rFonts w:ascii="Tahoma" w:hAnsi="Tahoma" w:cs="Tahoma"/>
        </w:rPr>
        <w:t> </w:t>
      </w:r>
      <w:r w:rsidRPr="00960BC2">
        <w:rPr>
          <w:rFonts w:ascii="Tahoma" w:hAnsi="Tahoma" w:cs="Tahoma"/>
        </w:rPr>
        <w:t>gospodarce gruntami i wywłaszczaniu nieruchomości, na podstawie których jednostki samorządu terytorialnego zobowiązane są ustanowić prawo wieczystego użytkowania, jeżeli spółdzielnie do dnia 31 grudnia 1996 r. wniosły wnioski o ustanowienie wieczystego użytkowania.</w:t>
      </w:r>
      <w:r w:rsidR="000B332E" w:rsidRPr="00960BC2">
        <w:rPr>
          <w:rFonts w:ascii="Tahoma" w:hAnsi="Tahoma" w:cs="Tahoma"/>
        </w:rPr>
        <w:t xml:space="preserve"> Pomimo złożenia tych wniosków miasta</w:t>
      </w:r>
      <w:r w:rsidRPr="00960BC2">
        <w:rPr>
          <w:rFonts w:ascii="Tahoma" w:hAnsi="Tahoma" w:cs="Tahoma"/>
        </w:rPr>
        <w:t xml:space="preserve"> w wielu przypadkach zasłaniają się roszczeniami byłych właścicieli i nie realizują ww. ustawy. Jeśli spółdzielnia wniosła do sądu sprawę o ustanowienie wieczystego użytkowania. Sądy każdorazowo przy pojawieniu się osób z</w:t>
      </w:r>
      <w:r w:rsidR="00A6786F" w:rsidRPr="00960BC2">
        <w:rPr>
          <w:rFonts w:ascii="Tahoma" w:hAnsi="Tahoma" w:cs="Tahoma"/>
        </w:rPr>
        <w:t> </w:t>
      </w:r>
      <w:r w:rsidRPr="00960BC2">
        <w:rPr>
          <w:rFonts w:ascii="Tahoma" w:hAnsi="Tahoma" w:cs="Tahoma"/>
        </w:rPr>
        <w:t>roszczeniami zawieszają sprawy sądowe na wiele lat.</w:t>
      </w:r>
    </w:p>
    <w:p w14:paraId="72220D84" w14:textId="77777777" w:rsidR="00D17AFD" w:rsidRPr="00960BC2" w:rsidRDefault="00D17AFD" w:rsidP="00A23AFD">
      <w:pPr>
        <w:widowControl/>
        <w:autoSpaceDE/>
        <w:autoSpaceDN/>
        <w:adjustRightInd/>
        <w:spacing w:line="360" w:lineRule="auto"/>
        <w:ind w:right="20"/>
        <w:jc w:val="both"/>
        <w:rPr>
          <w:rFonts w:ascii="Tahoma" w:eastAsia="Times New Roman" w:hAnsi="Tahoma" w:cs="Tahoma"/>
          <w:b/>
          <w:bCs/>
        </w:rPr>
      </w:pPr>
    </w:p>
    <w:p w14:paraId="21BEB592" w14:textId="3D4DF9E3" w:rsidR="00D17AFD" w:rsidRPr="00960BC2" w:rsidRDefault="00D17AFD" w:rsidP="00A23AFD">
      <w:pPr>
        <w:pStyle w:val="Akapitzlist"/>
        <w:numPr>
          <w:ilvl w:val="0"/>
          <w:numId w:val="8"/>
        </w:numPr>
        <w:spacing w:after="0" w:line="360" w:lineRule="auto"/>
        <w:ind w:right="20"/>
        <w:jc w:val="both"/>
        <w:rPr>
          <w:rFonts w:ascii="Tahoma" w:eastAsia="Times New Roman" w:hAnsi="Tahoma" w:cs="Tahoma"/>
          <w:b/>
          <w:bCs/>
          <w:sz w:val="24"/>
          <w:szCs w:val="24"/>
        </w:rPr>
      </w:pPr>
      <w:r w:rsidRPr="00960BC2">
        <w:rPr>
          <w:rFonts w:ascii="Tahoma" w:eastAsia="Times New Roman" w:hAnsi="Tahoma" w:cs="Tahoma"/>
          <w:b/>
          <w:bCs/>
          <w:sz w:val="24"/>
          <w:szCs w:val="24"/>
        </w:rPr>
        <w:t>Różnice między dotychczasowym za projektowanym stanem prawnym</w:t>
      </w:r>
    </w:p>
    <w:p w14:paraId="37F1EDD9" w14:textId="6FE7BDF1" w:rsidR="001513E0" w:rsidRPr="00960BC2" w:rsidRDefault="001513E0" w:rsidP="00A23AFD">
      <w:pPr>
        <w:pStyle w:val="Style3"/>
        <w:widowControl/>
        <w:spacing w:line="360" w:lineRule="auto"/>
        <w:ind w:firstLine="461"/>
        <w:jc w:val="both"/>
        <w:rPr>
          <w:rFonts w:ascii="Tahoma" w:hAnsi="Tahoma" w:cs="Tahoma"/>
        </w:rPr>
      </w:pPr>
      <w:r w:rsidRPr="00960BC2">
        <w:rPr>
          <w:rFonts w:ascii="Tahoma" w:hAnsi="Tahoma" w:cs="Tahoma"/>
        </w:rPr>
        <w:t>Ustawa reguluje</w:t>
      </w:r>
      <w:r w:rsidRPr="00960BC2">
        <w:rPr>
          <w:rFonts w:ascii="Tahoma" w:hAnsi="Tahoma" w:cs="Tahoma"/>
          <w:b/>
          <w:bCs/>
        </w:rPr>
        <w:t xml:space="preserve"> </w:t>
      </w:r>
      <w:r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>prawo spółdzielni mieszkaniowych do gruntów oraz zasady nabycia nieruchomości w przypadkach nieregulowanych przepisami odrębnymi. Stanowi zatem uzupełnienie obecnych przepisów w tym zakresie, wypełniając lukę prawną.</w:t>
      </w:r>
      <w:r w:rsidRPr="00960BC2">
        <w:rPr>
          <w:rStyle w:val="FontStyle11"/>
          <w:rFonts w:ascii="Tahoma" w:hAnsi="Tahoma" w:cs="Tahoma"/>
          <w:sz w:val="24"/>
          <w:szCs w:val="24"/>
        </w:rPr>
        <w:t xml:space="preserve"> </w:t>
      </w:r>
      <w:r w:rsidRPr="00960BC2">
        <w:rPr>
          <w:rFonts w:ascii="Tahoma" w:eastAsia="Times New Roman" w:hAnsi="Tahoma" w:cs="Tahoma"/>
        </w:rPr>
        <w:t xml:space="preserve">W </w:t>
      </w:r>
      <w:r w:rsidRPr="00960BC2">
        <w:rPr>
          <w:rFonts w:ascii="Tahoma" w:eastAsia="Times New Roman" w:hAnsi="Tahoma" w:cs="Tahoma"/>
          <w:b/>
          <w:bCs/>
        </w:rPr>
        <w:t>art. 2</w:t>
      </w:r>
      <w:r w:rsidRPr="00960BC2">
        <w:rPr>
          <w:rFonts w:ascii="Tahoma" w:eastAsia="Times New Roman" w:hAnsi="Tahoma" w:cs="Tahoma"/>
        </w:rPr>
        <w:t xml:space="preserve"> wskazuje się przypadki, w których własność nieruchomości nabywa spółdzielnia mieszkaniowa:</w:t>
      </w:r>
    </w:p>
    <w:p w14:paraId="573E6144" w14:textId="6CB39E36" w:rsidR="001513E0" w:rsidRPr="00960BC2" w:rsidRDefault="001513E0" w:rsidP="00A23AFD">
      <w:pPr>
        <w:pStyle w:val="Akapitzlist"/>
        <w:numPr>
          <w:ilvl w:val="0"/>
          <w:numId w:val="11"/>
        </w:numPr>
        <w:spacing w:after="0" w:line="360" w:lineRule="auto"/>
        <w:ind w:right="20"/>
        <w:jc w:val="both"/>
        <w:rPr>
          <w:rFonts w:ascii="Tahoma" w:eastAsia="Times New Roman" w:hAnsi="Tahoma" w:cs="Tahoma"/>
          <w:sz w:val="24"/>
          <w:szCs w:val="24"/>
        </w:rPr>
      </w:pPr>
      <w:r w:rsidRPr="00960BC2">
        <w:rPr>
          <w:rFonts w:ascii="Tahoma" w:eastAsia="Times New Roman" w:hAnsi="Tahoma" w:cs="Tahoma"/>
          <w:sz w:val="24"/>
          <w:szCs w:val="24"/>
        </w:rPr>
        <w:t xml:space="preserve">gdy nie dokonano zniesienia współwłasności nieruchomości stanowiących współwłasność spółdzielni mieszkaniowej i Skarbu Państwa lub jednostki samorządu terytorialnego lub </w:t>
      </w:r>
    </w:p>
    <w:p w14:paraId="2B2B1236" w14:textId="4B62AC66" w:rsidR="001513E0" w:rsidRPr="00960BC2" w:rsidRDefault="001513E0" w:rsidP="00A23AFD">
      <w:pPr>
        <w:pStyle w:val="Akapitzlist"/>
        <w:numPr>
          <w:ilvl w:val="0"/>
          <w:numId w:val="11"/>
        </w:numPr>
        <w:spacing w:after="0" w:line="360" w:lineRule="auto"/>
        <w:ind w:right="20"/>
        <w:jc w:val="both"/>
        <w:rPr>
          <w:rFonts w:ascii="Tahoma" w:eastAsia="Times New Roman" w:hAnsi="Tahoma" w:cs="Tahoma"/>
          <w:sz w:val="24"/>
          <w:szCs w:val="24"/>
        </w:rPr>
      </w:pPr>
      <w:r w:rsidRPr="00960BC2">
        <w:rPr>
          <w:rFonts w:ascii="Tahoma" w:eastAsia="Times New Roman" w:hAnsi="Tahoma" w:cs="Tahoma"/>
          <w:sz w:val="24"/>
          <w:szCs w:val="24"/>
        </w:rPr>
        <w:t>gdy nie ustalono właściciela nieruchomości będącej co najmniej od dnia 5 grudnia 1990 r. nieprzerwanie w posiadaniu spółdzielni mieszkaniowej, która na podstawie pozwolenia na budowę i decyzji lokalizacyjnej lub innych właściwych decyzji organów budowlanych wybudowała na tej nieruchomości budynek.</w:t>
      </w:r>
    </w:p>
    <w:p w14:paraId="3D1F7A5D" w14:textId="126D7457" w:rsidR="001513E0" w:rsidRPr="00960BC2" w:rsidRDefault="001513E0" w:rsidP="00A23AFD">
      <w:pPr>
        <w:spacing w:line="360" w:lineRule="auto"/>
        <w:ind w:right="20" w:firstLine="567"/>
        <w:jc w:val="both"/>
        <w:rPr>
          <w:rStyle w:val="FontStyle11"/>
          <w:rFonts w:ascii="Tahoma" w:hAnsi="Tahoma" w:cs="Tahoma"/>
          <w:b w:val="0"/>
          <w:sz w:val="24"/>
          <w:szCs w:val="24"/>
        </w:rPr>
      </w:pPr>
      <w:r w:rsidRPr="00960BC2">
        <w:rPr>
          <w:rFonts w:ascii="Tahoma" w:eastAsia="Times New Roman" w:hAnsi="Tahoma" w:cs="Tahoma"/>
          <w:b/>
          <w:bCs/>
        </w:rPr>
        <w:t>Art. 3</w:t>
      </w:r>
      <w:r w:rsidRPr="00960BC2">
        <w:rPr>
          <w:rFonts w:ascii="Tahoma" w:eastAsia="Times New Roman" w:hAnsi="Tahoma" w:cs="Tahoma"/>
        </w:rPr>
        <w:t xml:space="preserve"> określa tryb stwierdzenia własności nieruchomości – dokonuje tego sąd właściwy miejscowo ze względu na położenie nieruchomości w drodze postanowienia. Stanowi ono podstawę </w:t>
      </w:r>
      <w:r w:rsidRPr="00960BC2">
        <w:rPr>
          <w:rStyle w:val="FontStyle11"/>
          <w:rFonts w:ascii="Tahoma" w:hAnsi="Tahoma" w:cs="Tahoma"/>
          <w:b w:val="0"/>
          <w:sz w:val="24"/>
          <w:szCs w:val="24"/>
        </w:rPr>
        <w:t>wpisu nabywcy jako właściciela w księdze wieczystej.</w:t>
      </w:r>
      <w:r w:rsidRPr="00960BC2">
        <w:rPr>
          <w:rStyle w:val="FontStyle11"/>
          <w:rFonts w:ascii="Tahoma" w:hAnsi="Tahoma" w:cs="Tahoma"/>
          <w:sz w:val="24"/>
          <w:szCs w:val="24"/>
        </w:rPr>
        <w:t xml:space="preserve"> </w:t>
      </w:r>
      <w:r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>Z chwilą</w:t>
      </w:r>
      <w:r w:rsidR="00BF206C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 xml:space="preserve"> wydania</w:t>
      </w:r>
      <w:r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 xml:space="preserve"> postanowienie, </w:t>
      </w:r>
      <w:r w:rsidR="00BF206C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 xml:space="preserve">wygasają </w:t>
      </w:r>
      <w:r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 xml:space="preserve">roszczenia </w:t>
      </w:r>
      <w:r w:rsidR="00BF206C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>na nieruchomości</w:t>
      </w:r>
      <w:r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>, z wyjątkiem roszczeń niezbędnych do korzystania z innych nieruchomości. Obciążenia nieruchomości zachowują moc.</w:t>
      </w:r>
      <w:r w:rsidR="00BF206C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t xml:space="preserve"> Wierzycielom i innym osobom uprawnionym przysługuje </w:t>
      </w:r>
      <w:r w:rsidR="00BF206C" w:rsidRPr="00960BC2">
        <w:rPr>
          <w:rStyle w:val="FontStyle11"/>
          <w:rFonts w:ascii="Tahoma" w:hAnsi="Tahoma" w:cs="Tahoma"/>
          <w:b w:val="0"/>
          <w:bCs w:val="0"/>
          <w:sz w:val="24"/>
          <w:szCs w:val="24"/>
        </w:rPr>
        <w:lastRenderedPageBreak/>
        <w:t xml:space="preserve">odszkodowanie </w:t>
      </w:r>
      <w:r w:rsidR="00BF206C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od </w:t>
      </w:r>
      <w:r w:rsidRPr="00960BC2">
        <w:rPr>
          <w:rStyle w:val="FontStyle11"/>
          <w:rFonts w:ascii="Tahoma" w:hAnsi="Tahoma" w:cs="Tahoma"/>
          <w:b w:val="0"/>
          <w:sz w:val="24"/>
          <w:szCs w:val="24"/>
        </w:rPr>
        <w:t>Skarbu Państwu lub jednostki samorządu terytorialnego</w:t>
      </w:r>
      <w:r w:rsidR="00BF206C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 – w zależności od poprzedniego statusu własności nieruchomości (</w:t>
      </w:r>
      <w:r w:rsidR="00BF206C" w:rsidRPr="00960BC2">
        <w:rPr>
          <w:rStyle w:val="FontStyle11"/>
          <w:rFonts w:ascii="Tahoma" w:hAnsi="Tahoma" w:cs="Tahoma"/>
          <w:bCs w:val="0"/>
          <w:sz w:val="24"/>
          <w:szCs w:val="24"/>
        </w:rPr>
        <w:t>art.4</w:t>
      </w:r>
      <w:r w:rsidR="00BF206C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). W </w:t>
      </w:r>
      <w:r w:rsidR="00BF206C" w:rsidRPr="00960BC2">
        <w:rPr>
          <w:rStyle w:val="FontStyle11"/>
          <w:rFonts w:ascii="Tahoma" w:hAnsi="Tahoma" w:cs="Tahoma"/>
          <w:bCs w:val="0"/>
          <w:sz w:val="24"/>
          <w:szCs w:val="24"/>
        </w:rPr>
        <w:t>art. 5</w:t>
      </w:r>
      <w:r w:rsidR="00BF206C"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 projektodawcy proponują odpowiednie stosowanie procedury stwierdzenia zasiedzenia. </w:t>
      </w:r>
    </w:p>
    <w:p w14:paraId="1BB0A973" w14:textId="256DBD4E" w:rsidR="00BF206C" w:rsidRPr="00960BC2" w:rsidRDefault="00BF206C" w:rsidP="00A23AFD">
      <w:pPr>
        <w:pStyle w:val="Style3"/>
        <w:widowControl/>
        <w:spacing w:line="360" w:lineRule="auto"/>
        <w:ind w:firstLine="709"/>
        <w:jc w:val="both"/>
        <w:rPr>
          <w:rFonts w:ascii="Tahoma" w:hAnsi="Tahoma" w:cs="Tahoma"/>
        </w:rPr>
      </w:pPr>
      <w:r w:rsidRPr="00960BC2">
        <w:rPr>
          <w:rStyle w:val="FontStyle11"/>
          <w:rFonts w:ascii="Tahoma" w:hAnsi="Tahoma" w:cs="Tahoma"/>
          <w:b w:val="0"/>
          <w:sz w:val="24"/>
          <w:szCs w:val="24"/>
        </w:rPr>
        <w:tab/>
        <w:t xml:space="preserve">Proponuje się w sposób analogiczny uregulować pozostałe sprawy, w których spółdzielnia mieszkaniowa </w:t>
      </w:r>
      <w:r w:rsidRPr="00960BC2">
        <w:rPr>
          <w:rFonts w:ascii="Tahoma" w:hAnsi="Tahoma" w:cs="Tahoma"/>
          <w:iCs/>
        </w:rPr>
        <w:t>od 30 lat jest w posiadaniu</w:t>
      </w:r>
      <w:r w:rsidRPr="00960BC2">
        <w:rPr>
          <w:rFonts w:ascii="Tahoma" w:hAnsi="Tahoma" w:cs="Tahoma"/>
        </w:rPr>
        <w:t xml:space="preserve"> gruntu stanowiącego własność Skarbu Państwa lub jednostki samorządu terytorialnego, która wybudowała budynki lub inne urządzenia trwale związane z gruntem – w tym przypadku proponuje się ustanowienie użytkowania wieczystego na wniosek spółdzielni mieszkaniowej </w:t>
      </w:r>
      <w:r w:rsidRPr="00960BC2">
        <w:rPr>
          <w:rFonts w:ascii="Tahoma" w:hAnsi="Tahoma" w:cs="Tahoma"/>
          <w:b/>
          <w:bCs/>
        </w:rPr>
        <w:t>(art. 6</w:t>
      </w:r>
      <w:r w:rsidRPr="00960BC2">
        <w:rPr>
          <w:rFonts w:ascii="Tahoma" w:hAnsi="Tahoma" w:cs="Tahoma"/>
        </w:rPr>
        <w:t>).</w:t>
      </w:r>
    </w:p>
    <w:p w14:paraId="7E041FD7" w14:textId="58C7D4E0" w:rsidR="00BF206C" w:rsidRPr="00960BC2" w:rsidRDefault="00BF206C" w:rsidP="00A23AFD">
      <w:pPr>
        <w:pStyle w:val="Style3"/>
        <w:widowControl/>
        <w:spacing w:line="360" w:lineRule="auto"/>
        <w:ind w:firstLine="709"/>
        <w:jc w:val="both"/>
        <w:rPr>
          <w:rFonts w:ascii="Tahoma" w:hAnsi="Tahoma" w:cs="Tahoma"/>
        </w:rPr>
      </w:pPr>
      <w:r w:rsidRPr="00960BC2">
        <w:rPr>
          <w:rFonts w:ascii="Tahoma" w:hAnsi="Tahoma" w:cs="Tahoma"/>
        </w:rPr>
        <w:t xml:space="preserve"> W </w:t>
      </w:r>
      <w:r w:rsidRPr="00960BC2">
        <w:rPr>
          <w:rFonts w:ascii="Tahoma" w:hAnsi="Tahoma" w:cs="Tahoma"/>
          <w:b/>
          <w:bCs/>
        </w:rPr>
        <w:t>art. 7</w:t>
      </w:r>
      <w:r w:rsidRPr="00960BC2">
        <w:rPr>
          <w:rFonts w:ascii="Tahoma" w:hAnsi="Tahoma" w:cs="Tahoma"/>
        </w:rPr>
        <w:t xml:space="preserve"> wyłącza się stosowanie przepisów o zakazie zbycia nieruchomości, jeżeli toczy się postępowanie administracyjne dotyczące prawidłowości nabycia nieruchomości przez Skarb Państwa lub jednostkę samorządu terytorialnego.</w:t>
      </w:r>
    </w:p>
    <w:p w14:paraId="15843B88" w14:textId="1735C61F" w:rsidR="00BF206C" w:rsidRPr="00960BC2" w:rsidRDefault="00BF206C" w:rsidP="00A23AFD">
      <w:pPr>
        <w:pStyle w:val="Style3"/>
        <w:widowControl/>
        <w:spacing w:line="360" w:lineRule="auto"/>
        <w:ind w:firstLine="709"/>
        <w:jc w:val="both"/>
        <w:rPr>
          <w:rStyle w:val="FontStyle14"/>
          <w:rFonts w:ascii="Tahoma" w:hAnsi="Tahoma" w:cs="Tahoma"/>
          <w:sz w:val="24"/>
          <w:szCs w:val="24"/>
        </w:rPr>
      </w:pPr>
      <w:r w:rsidRPr="00960BC2">
        <w:rPr>
          <w:rStyle w:val="FontStyle11"/>
          <w:rFonts w:ascii="Tahoma" w:hAnsi="Tahoma" w:cs="Tahoma"/>
          <w:b w:val="0"/>
          <w:sz w:val="24"/>
          <w:szCs w:val="24"/>
        </w:rPr>
        <w:t xml:space="preserve">W </w:t>
      </w:r>
      <w:r w:rsidRPr="00960BC2">
        <w:rPr>
          <w:rStyle w:val="FontStyle11"/>
          <w:rFonts w:ascii="Tahoma" w:hAnsi="Tahoma" w:cs="Tahoma"/>
          <w:bCs w:val="0"/>
          <w:sz w:val="24"/>
          <w:szCs w:val="24"/>
        </w:rPr>
        <w:t>art.</w:t>
      </w:r>
      <w:r w:rsidRPr="00960BC2">
        <w:rPr>
          <w:rStyle w:val="FontStyle17"/>
          <w:rFonts w:ascii="Tahoma" w:hAnsi="Tahoma" w:cs="Tahoma"/>
          <w:b/>
          <w:sz w:val="24"/>
          <w:szCs w:val="24"/>
        </w:rPr>
        <w:t xml:space="preserve"> 8-11 </w:t>
      </w:r>
      <w:r w:rsidRPr="00960BC2">
        <w:rPr>
          <w:rStyle w:val="FontStyle17"/>
          <w:rFonts w:ascii="Tahoma" w:hAnsi="Tahoma" w:cs="Tahoma"/>
          <w:bCs/>
          <w:sz w:val="24"/>
          <w:szCs w:val="24"/>
        </w:rPr>
        <w:t>proponuje się odpowiednie stosowanie przepisów do</w:t>
      </w:r>
      <w:r w:rsidRPr="00960BC2">
        <w:rPr>
          <w:rStyle w:val="FontStyle14"/>
          <w:rFonts w:ascii="Tahoma" w:hAnsi="Tahoma" w:cs="Tahoma"/>
          <w:sz w:val="24"/>
          <w:szCs w:val="24"/>
        </w:rPr>
        <w:t xml:space="preserve"> spółdzielczego lokatorskiego prawa do lokalu mieszkalnego, ustanowionego przed dniem wejścia w życie niniejszej ustawy w budynku położonym na gruncie, do którego spółdzielni mieszkaniowej nie przysługuje własność albo użytkowanie wieczyste oraz spółdzielczego własnościowego prawa do lokalu, ustanowionego przed dniem wejścia w życie niniejszej ustawy w budynku położonym na gruncie, do którego spółdzielni mieszkaniowej nie przysługuje własność albo użytkowanie wieczyste.</w:t>
      </w:r>
    </w:p>
    <w:p w14:paraId="0C14F10B" w14:textId="12B81CB8" w:rsidR="00BF206C" w:rsidRDefault="00A23AFD" w:rsidP="00A23AFD">
      <w:pPr>
        <w:spacing w:line="360" w:lineRule="auto"/>
        <w:ind w:right="20" w:firstLine="567"/>
        <w:jc w:val="both"/>
        <w:rPr>
          <w:rFonts w:ascii="Tahoma" w:hAnsi="Tahoma" w:cs="Tahoma"/>
        </w:rPr>
      </w:pPr>
      <w:r w:rsidRPr="00960BC2">
        <w:rPr>
          <w:rStyle w:val="FontStyle14"/>
          <w:rFonts w:ascii="Tahoma" w:hAnsi="Tahoma" w:cs="Tahoma"/>
          <w:sz w:val="24"/>
          <w:szCs w:val="24"/>
        </w:rPr>
        <w:t xml:space="preserve">Zgodnie z </w:t>
      </w:r>
      <w:r w:rsidRPr="00960BC2">
        <w:rPr>
          <w:rStyle w:val="FontStyle14"/>
          <w:rFonts w:ascii="Tahoma" w:hAnsi="Tahoma" w:cs="Tahoma"/>
          <w:b/>
          <w:bCs/>
          <w:sz w:val="24"/>
          <w:szCs w:val="24"/>
        </w:rPr>
        <w:t>art. 12</w:t>
      </w:r>
      <w:r w:rsidRPr="00960BC2">
        <w:rPr>
          <w:rStyle w:val="FontStyle14"/>
          <w:rFonts w:ascii="Tahoma" w:hAnsi="Tahoma" w:cs="Tahoma"/>
          <w:sz w:val="24"/>
          <w:szCs w:val="24"/>
        </w:rPr>
        <w:t>, w</w:t>
      </w:r>
      <w:r w:rsidR="00BF206C" w:rsidRPr="00960BC2">
        <w:rPr>
          <w:rStyle w:val="FontStyle14"/>
          <w:rFonts w:ascii="Tahoma" w:hAnsi="Tahoma" w:cs="Tahoma"/>
          <w:sz w:val="24"/>
          <w:szCs w:val="24"/>
        </w:rPr>
        <w:t xml:space="preserve"> stosunku do gruntów, które pozostają w posiadaniu spółdzielni mieszkaniowej, spółdzielnie są stroną postępowań prowadzonych w trybie</w:t>
      </w:r>
      <w:r w:rsidR="00BF206C" w:rsidRPr="00960BC2">
        <w:rPr>
          <w:rFonts w:ascii="Tahoma" w:hAnsi="Tahoma" w:cs="Tahoma"/>
        </w:rPr>
        <w:t xml:space="preserve"> dekretu z dnia 26 października 1945 r. o własności i użytkowaniu gruntów na obszarze m. st. Warszawy</w:t>
      </w:r>
      <w:r w:rsidRPr="00960BC2">
        <w:rPr>
          <w:rFonts w:ascii="Tahoma" w:hAnsi="Tahoma" w:cs="Tahoma"/>
        </w:rPr>
        <w:t xml:space="preserve">, czyli tzw. dekretu Bieruta. </w:t>
      </w:r>
    </w:p>
    <w:p w14:paraId="3C327B63" w14:textId="37A79619" w:rsidR="00505E26" w:rsidRPr="00960BC2" w:rsidRDefault="00505E26" w:rsidP="00A23AFD">
      <w:pPr>
        <w:spacing w:line="360" w:lineRule="auto"/>
        <w:ind w:right="20" w:firstLine="567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W </w:t>
      </w:r>
      <w:r w:rsidRPr="00505E26">
        <w:rPr>
          <w:rFonts w:ascii="Tahoma" w:hAnsi="Tahoma" w:cs="Tahoma"/>
          <w:b/>
        </w:rPr>
        <w:t>art. 13</w:t>
      </w:r>
      <w:r>
        <w:rPr>
          <w:rFonts w:ascii="Tahoma" w:hAnsi="Tahoma" w:cs="Tahoma"/>
        </w:rPr>
        <w:t xml:space="preserve"> proponuje się określenie terminu wygaśnięcia roszczeń – 24 miesiące po wejściu ustawy w życie. </w:t>
      </w:r>
    </w:p>
    <w:p w14:paraId="3D7CB7A0" w14:textId="7F681015" w:rsidR="00A23AFD" w:rsidRPr="00960BC2" w:rsidRDefault="00A23AFD" w:rsidP="00A23AFD">
      <w:pPr>
        <w:spacing w:line="360" w:lineRule="auto"/>
        <w:ind w:right="20" w:firstLine="567"/>
        <w:jc w:val="both"/>
        <w:rPr>
          <w:rStyle w:val="FontStyle11"/>
          <w:rFonts w:ascii="Tahoma" w:hAnsi="Tahoma" w:cs="Tahoma"/>
          <w:b w:val="0"/>
          <w:sz w:val="24"/>
          <w:szCs w:val="24"/>
        </w:rPr>
      </w:pPr>
      <w:r w:rsidRPr="00960BC2">
        <w:rPr>
          <w:rFonts w:ascii="Tahoma" w:hAnsi="Tahoma" w:cs="Tahoma"/>
        </w:rPr>
        <w:t xml:space="preserve">Proponuje się wejście w życie ustawy pod upływie 30 dni od dnia ogłoszenia. </w:t>
      </w:r>
    </w:p>
    <w:p w14:paraId="0DE55B7D" w14:textId="447E84A0" w:rsidR="00BF206C" w:rsidRPr="00960BC2" w:rsidRDefault="00BF206C" w:rsidP="00A23AFD">
      <w:pPr>
        <w:spacing w:line="360" w:lineRule="auto"/>
        <w:ind w:left="461" w:right="20"/>
        <w:jc w:val="both"/>
        <w:rPr>
          <w:rStyle w:val="FontStyle11"/>
          <w:rFonts w:ascii="Tahoma" w:hAnsi="Tahoma" w:cs="Tahoma"/>
          <w:sz w:val="24"/>
          <w:szCs w:val="24"/>
        </w:rPr>
      </w:pPr>
      <w:r w:rsidRPr="00960BC2">
        <w:rPr>
          <w:rStyle w:val="FontStyle11"/>
          <w:rFonts w:ascii="Tahoma" w:hAnsi="Tahoma" w:cs="Tahoma"/>
          <w:b w:val="0"/>
          <w:sz w:val="24"/>
          <w:szCs w:val="24"/>
        </w:rPr>
        <w:tab/>
      </w:r>
      <w:r w:rsidRPr="00960BC2">
        <w:rPr>
          <w:rStyle w:val="FontStyle11"/>
          <w:rFonts w:ascii="Tahoma" w:hAnsi="Tahoma" w:cs="Tahoma"/>
          <w:b w:val="0"/>
          <w:sz w:val="24"/>
          <w:szCs w:val="24"/>
        </w:rPr>
        <w:tab/>
      </w:r>
    </w:p>
    <w:p w14:paraId="6E05F309" w14:textId="7549923C" w:rsidR="001513E0" w:rsidRPr="00960BC2" w:rsidRDefault="001513E0" w:rsidP="00A23AFD">
      <w:pPr>
        <w:spacing w:line="360" w:lineRule="auto"/>
        <w:ind w:right="20"/>
        <w:jc w:val="both"/>
        <w:rPr>
          <w:rFonts w:ascii="Tahoma" w:eastAsia="Times New Roman" w:hAnsi="Tahoma" w:cs="Tahoma"/>
          <w:b/>
          <w:bCs/>
        </w:rPr>
      </w:pPr>
    </w:p>
    <w:p w14:paraId="1A178C42" w14:textId="569094BA" w:rsidR="00D17AFD" w:rsidRPr="00960BC2" w:rsidRDefault="00D17AFD" w:rsidP="00A23AFD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ahoma" w:eastAsia="Times New Roman" w:hAnsi="Tahoma" w:cs="Tahoma"/>
          <w:b/>
          <w:bCs/>
          <w:sz w:val="24"/>
          <w:szCs w:val="24"/>
        </w:rPr>
      </w:pPr>
      <w:r w:rsidRPr="00960BC2">
        <w:rPr>
          <w:rFonts w:ascii="Tahoma" w:eastAsia="Times New Roman" w:hAnsi="Tahoma" w:cs="Tahoma"/>
          <w:b/>
          <w:bCs/>
          <w:sz w:val="24"/>
          <w:szCs w:val="24"/>
        </w:rPr>
        <w:t>Przewidywane skutki społeczne i finansowe</w:t>
      </w:r>
    </w:p>
    <w:p w14:paraId="560E6C0D" w14:textId="2842EF2A" w:rsidR="00D17AFD" w:rsidRPr="00960BC2" w:rsidRDefault="00960BC2" w:rsidP="00505E26">
      <w:pPr>
        <w:widowControl/>
        <w:autoSpaceDE/>
        <w:autoSpaceDN/>
        <w:adjustRightInd/>
        <w:spacing w:line="360" w:lineRule="auto"/>
        <w:ind w:left="-142" w:firstLine="862"/>
        <w:jc w:val="both"/>
        <w:rPr>
          <w:rFonts w:ascii="Tahoma" w:eastAsia="Times New Roman" w:hAnsi="Tahoma" w:cs="Tahoma"/>
        </w:rPr>
      </w:pPr>
      <w:r w:rsidRPr="00960BC2">
        <w:rPr>
          <w:rFonts w:ascii="Tahoma" w:eastAsia="Times New Roman" w:hAnsi="Tahoma" w:cs="Tahoma"/>
        </w:rPr>
        <w:t>Projektowana ustawa uporządkuje prawa własności na zabudowanych gruntach przeznaczonych pod zamieszkania, co wpłynie pozytywnie na ich zarządzanie i obrót gospodarczy.</w:t>
      </w:r>
    </w:p>
    <w:p w14:paraId="70D89FF1" w14:textId="77777777" w:rsidR="00D17AFD" w:rsidRPr="00960BC2" w:rsidRDefault="00D17AFD" w:rsidP="00A23AFD">
      <w:pPr>
        <w:widowControl/>
        <w:autoSpaceDE/>
        <w:autoSpaceDN/>
        <w:adjustRightInd/>
        <w:spacing w:line="360" w:lineRule="auto"/>
        <w:ind w:left="461"/>
        <w:jc w:val="both"/>
        <w:rPr>
          <w:rFonts w:ascii="Tahoma" w:eastAsia="Times New Roman" w:hAnsi="Tahoma" w:cs="Tahoma"/>
          <w:b/>
          <w:bCs/>
        </w:rPr>
      </w:pPr>
    </w:p>
    <w:p w14:paraId="78F41331" w14:textId="77777777" w:rsidR="00D17AFD" w:rsidRPr="00960BC2" w:rsidRDefault="00D17AFD" w:rsidP="00A23AFD">
      <w:pPr>
        <w:widowControl/>
        <w:numPr>
          <w:ilvl w:val="0"/>
          <w:numId w:val="8"/>
        </w:numPr>
        <w:autoSpaceDE/>
        <w:autoSpaceDN/>
        <w:adjustRightInd/>
        <w:spacing w:line="360" w:lineRule="auto"/>
        <w:jc w:val="both"/>
        <w:rPr>
          <w:rFonts w:ascii="Tahoma" w:eastAsia="Times New Roman" w:hAnsi="Tahoma" w:cs="Tahoma"/>
          <w:b/>
          <w:bCs/>
        </w:rPr>
      </w:pPr>
      <w:r w:rsidRPr="00960BC2">
        <w:rPr>
          <w:rFonts w:ascii="Tahoma" w:eastAsia="Times New Roman" w:hAnsi="Tahoma" w:cs="Tahoma"/>
          <w:b/>
          <w:bCs/>
        </w:rPr>
        <w:t>Źródła finansowania</w:t>
      </w:r>
    </w:p>
    <w:p w14:paraId="46912D18" w14:textId="77777777" w:rsidR="00D17AFD" w:rsidRPr="00960BC2" w:rsidRDefault="00D17AFD" w:rsidP="00A23AFD">
      <w:pPr>
        <w:spacing w:line="360" w:lineRule="auto"/>
        <w:ind w:left="366"/>
        <w:jc w:val="both"/>
        <w:rPr>
          <w:rFonts w:ascii="Tahoma" w:eastAsia="Times New Roman" w:hAnsi="Tahoma" w:cs="Tahoma"/>
          <w:b/>
          <w:bCs/>
        </w:rPr>
      </w:pPr>
    </w:p>
    <w:p w14:paraId="15D05E29" w14:textId="0ACDCF6F" w:rsidR="00D17AFD" w:rsidRDefault="00505E26" w:rsidP="00505E26">
      <w:pPr>
        <w:spacing w:line="360" w:lineRule="auto"/>
        <w:ind w:left="6" w:firstLine="714"/>
        <w:jc w:val="both"/>
      </w:pPr>
      <w:r>
        <w:t xml:space="preserve">Na podstawie opinii ekspertów można oszacować, że wysokość ewentualnych odszkodowań może wynieść ok. 400 mln zł. Koszty zostaną pokryte przez budżet państwa. </w:t>
      </w:r>
    </w:p>
    <w:p w14:paraId="7631BC3B" w14:textId="77777777" w:rsidR="00505E26" w:rsidRPr="00960BC2" w:rsidRDefault="00505E26" w:rsidP="00A23AFD">
      <w:pPr>
        <w:spacing w:line="360" w:lineRule="auto"/>
        <w:ind w:left="6"/>
        <w:jc w:val="both"/>
        <w:rPr>
          <w:rFonts w:ascii="Tahoma" w:eastAsia="Times New Roman" w:hAnsi="Tahoma" w:cs="Tahoma"/>
        </w:rPr>
      </w:pPr>
    </w:p>
    <w:p w14:paraId="75B91452" w14:textId="77777777" w:rsidR="00D17AFD" w:rsidRPr="00960BC2" w:rsidRDefault="00D17AFD" w:rsidP="00A23AFD">
      <w:pPr>
        <w:widowControl/>
        <w:numPr>
          <w:ilvl w:val="0"/>
          <w:numId w:val="8"/>
        </w:numPr>
        <w:autoSpaceDE/>
        <w:autoSpaceDN/>
        <w:adjustRightInd/>
        <w:spacing w:line="360" w:lineRule="auto"/>
        <w:jc w:val="both"/>
        <w:rPr>
          <w:rFonts w:ascii="Tahoma" w:eastAsia="Times New Roman" w:hAnsi="Tahoma" w:cs="Tahoma"/>
          <w:b/>
          <w:bCs/>
          <w:color w:val="000000"/>
        </w:rPr>
      </w:pPr>
      <w:r w:rsidRPr="00960BC2">
        <w:rPr>
          <w:rFonts w:ascii="Tahoma" w:eastAsia="Times New Roman" w:hAnsi="Tahoma" w:cs="Tahoma"/>
          <w:b/>
          <w:bCs/>
        </w:rPr>
        <w:t>Oświadczenie o zgodności projektu ustawy z prawem Unii Europejskiej</w:t>
      </w:r>
    </w:p>
    <w:p w14:paraId="584D8E4A" w14:textId="77777777" w:rsidR="00D17AFD" w:rsidRPr="00960BC2" w:rsidRDefault="00D17AFD" w:rsidP="00A23AFD">
      <w:pPr>
        <w:spacing w:line="360" w:lineRule="auto"/>
        <w:jc w:val="both"/>
        <w:rPr>
          <w:rFonts w:ascii="Tahoma" w:eastAsia="Times New Roman" w:hAnsi="Tahoma" w:cs="Tahoma"/>
        </w:rPr>
      </w:pPr>
    </w:p>
    <w:p w14:paraId="32589A81" w14:textId="49615747" w:rsidR="00D17AFD" w:rsidRPr="00960BC2" w:rsidRDefault="00D17AFD" w:rsidP="00A23AFD">
      <w:pPr>
        <w:spacing w:line="360" w:lineRule="auto"/>
        <w:ind w:firstLine="720"/>
        <w:jc w:val="both"/>
        <w:rPr>
          <w:rFonts w:ascii="Tahoma" w:eastAsia="Times New Roman" w:hAnsi="Tahoma" w:cs="Tahoma"/>
        </w:rPr>
      </w:pPr>
      <w:r w:rsidRPr="00960BC2">
        <w:rPr>
          <w:rFonts w:ascii="Tahoma" w:eastAsia="Times New Roman" w:hAnsi="Tahoma" w:cs="Tahoma"/>
        </w:rPr>
        <w:t>Przedmiot projektowanej ustawy nie jest objęty z prawem Unii Europejskiej.</w:t>
      </w:r>
    </w:p>
    <w:p w14:paraId="0C2C16BE" w14:textId="77777777" w:rsidR="00D17AFD" w:rsidRPr="00960BC2" w:rsidRDefault="00D17AFD" w:rsidP="00A23AFD">
      <w:pPr>
        <w:spacing w:line="360" w:lineRule="auto"/>
        <w:jc w:val="both"/>
        <w:rPr>
          <w:rFonts w:ascii="Tahoma" w:eastAsia="Times New Roman" w:hAnsi="Tahoma" w:cs="Tahoma"/>
        </w:rPr>
      </w:pPr>
    </w:p>
    <w:p w14:paraId="12711C44" w14:textId="77777777" w:rsidR="00D17AFD" w:rsidRPr="00960BC2" w:rsidRDefault="00D17AFD" w:rsidP="00A23AFD">
      <w:pPr>
        <w:widowControl/>
        <w:numPr>
          <w:ilvl w:val="0"/>
          <w:numId w:val="8"/>
        </w:numPr>
        <w:autoSpaceDE/>
        <w:autoSpaceDN/>
        <w:adjustRightInd/>
        <w:spacing w:line="360" w:lineRule="auto"/>
        <w:jc w:val="both"/>
        <w:rPr>
          <w:rFonts w:ascii="Tahoma" w:hAnsi="Tahoma" w:cs="Tahoma"/>
          <w:b/>
          <w:bCs/>
        </w:rPr>
      </w:pPr>
      <w:r w:rsidRPr="00960BC2">
        <w:rPr>
          <w:rFonts w:ascii="Tahoma" w:hAnsi="Tahoma" w:cs="Tahoma"/>
          <w:b/>
          <w:bCs/>
        </w:rPr>
        <w:t>Oświadczenie o notyfikacji zgodnie z przepisami dotyczącymi funkcjonowania krajowego sytemu notyfikacji norm i aktów prawnych</w:t>
      </w:r>
    </w:p>
    <w:p w14:paraId="18561ABF" w14:textId="77777777" w:rsidR="00D17AFD" w:rsidRPr="00960BC2" w:rsidRDefault="00D17AFD" w:rsidP="00A23AFD">
      <w:pPr>
        <w:spacing w:line="360" w:lineRule="auto"/>
        <w:jc w:val="both"/>
        <w:rPr>
          <w:rFonts w:ascii="Tahoma" w:hAnsi="Tahoma" w:cs="Tahoma"/>
        </w:rPr>
      </w:pPr>
    </w:p>
    <w:p w14:paraId="3A4CD426" w14:textId="77777777" w:rsidR="00D17AFD" w:rsidRPr="00960BC2" w:rsidRDefault="00D17AFD" w:rsidP="00A23AFD">
      <w:pPr>
        <w:spacing w:line="360" w:lineRule="auto"/>
        <w:ind w:firstLine="720"/>
        <w:jc w:val="both"/>
        <w:rPr>
          <w:rFonts w:ascii="Tahoma" w:hAnsi="Tahoma" w:cs="Tahoma"/>
        </w:rPr>
      </w:pPr>
      <w:r w:rsidRPr="00960BC2">
        <w:rPr>
          <w:rFonts w:ascii="Tahoma" w:hAnsi="Tahoma" w:cs="Tahoma"/>
        </w:rPr>
        <w:t>Projekt ustawy nie wymaga przedstawienia właściwym organom i instytucjom Unii Europejskiej w tym Europejskiemu Bankowi Centralnemu, w celu uzyskania opinii, dokonania powiadomienia, konsultacji lub uzgodnienia.</w:t>
      </w:r>
    </w:p>
    <w:p w14:paraId="30738993" w14:textId="77777777" w:rsidR="00D17AFD" w:rsidRPr="00960BC2" w:rsidRDefault="00D17AFD" w:rsidP="00A23AFD">
      <w:pPr>
        <w:spacing w:line="360" w:lineRule="auto"/>
        <w:jc w:val="both"/>
        <w:rPr>
          <w:rFonts w:ascii="Tahoma" w:hAnsi="Tahoma" w:cs="Tahoma"/>
          <w:b/>
          <w:bCs/>
        </w:rPr>
      </w:pPr>
    </w:p>
    <w:p w14:paraId="5B71A916" w14:textId="77777777" w:rsidR="00D17AFD" w:rsidRPr="00960BC2" w:rsidRDefault="00D17AFD" w:rsidP="00A23AFD">
      <w:pPr>
        <w:widowControl/>
        <w:numPr>
          <w:ilvl w:val="0"/>
          <w:numId w:val="8"/>
        </w:numPr>
        <w:autoSpaceDE/>
        <w:autoSpaceDN/>
        <w:adjustRightInd/>
        <w:spacing w:line="360" w:lineRule="auto"/>
        <w:jc w:val="both"/>
        <w:rPr>
          <w:rFonts w:ascii="Tahoma" w:hAnsi="Tahoma" w:cs="Tahoma"/>
          <w:b/>
          <w:bCs/>
        </w:rPr>
      </w:pPr>
      <w:r w:rsidRPr="00960BC2">
        <w:rPr>
          <w:rFonts w:ascii="Tahoma" w:hAnsi="Tahoma" w:cs="Tahoma"/>
          <w:b/>
          <w:bCs/>
        </w:rPr>
        <w:t>Zgodność z Konstytucją RP</w:t>
      </w:r>
    </w:p>
    <w:p w14:paraId="3270A548" w14:textId="77777777" w:rsidR="00D17AFD" w:rsidRPr="00960BC2" w:rsidRDefault="00D17AFD" w:rsidP="00A23AFD">
      <w:pPr>
        <w:spacing w:line="360" w:lineRule="auto"/>
        <w:ind w:left="366"/>
        <w:jc w:val="both"/>
        <w:rPr>
          <w:rFonts w:ascii="Tahoma" w:hAnsi="Tahoma" w:cs="Tahoma"/>
          <w:b/>
          <w:bCs/>
        </w:rPr>
      </w:pPr>
    </w:p>
    <w:p w14:paraId="26819167" w14:textId="77777777" w:rsidR="00D17AFD" w:rsidRPr="00960BC2" w:rsidRDefault="00D17AFD" w:rsidP="00A23AFD">
      <w:pPr>
        <w:spacing w:line="360" w:lineRule="auto"/>
        <w:ind w:firstLine="720"/>
        <w:jc w:val="both"/>
        <w:rPr>
          <w:rFonts w:ascii="Tahoma" w:hAnsi="Tahoma" w:cs="Tahoma"/>
        </w:rPr>
      </w:pPr>
      <w:r w:rsidRPr="00960BC2">
        <w:rPr>
          <w:rFonts w:ascii="Tahoma" w:hAnsi="Tahoma" w:cs="Tahoma"/>
        </w:rPr>
        <w:t>Projektodawcy oświadczają, iż przedstawiony projekt ustawy w ich ocenie jest zgodny z Konstytucją RP.</w:t>
      </w:r>
    </w:p>
    <w:p w14:paraId="53B3D284" w14:textId="77777777" w:rsidR="00D17AFD" w:rsidRPr="00960BC2" w:rsidRDefault="00D17AFD" w:rsidP="00A23AFD">
      <w:pPr>
        <w:spacing w:line="360" w:lineRule="auto"/>
        <w:jc w:val="both"/>
        <w:rPr>
          <w:rFonts w:ascii="Tahoma" w:hAnsi="Tahoma" w:cs="Tahoma"/>
        </w:rPr>
      </w:pPr>
    </w:p>
    <w:p w14:paraId="349FF156" w14:textId="77777777" w:rsidR="00D17AFD" w:rsidRPr="00960BC2" w:rsidRDefault="00D17AFD" w:rsidP="00A23AFD">
      <w:pPr>
        <w:widowControl/>
        <w:numPr>
          <w:ilvl w:val="0"/>
          <w:numId w:val="8"/>
        </w:numPr>
        <w:autoSpaceDE/>
        <w:autoSpaceDN/>
        <w:adjustRightInd/>
        <w:spacing w:line="360" w:lineRule="auto"/>
        <w:jc w:val="both"/>
        <w:rPr>
          <w:rFonts w:ascii="Tahoma" w:hAnsi="Tahoma" w:cs="Tahoma"/>
          <w:b/>
          <w:bCs/>
        </w:rPr>
      </w:pPr>
      <w:r w:rsidRPr="00960BC2">
        <w:rPr>
          <w:rFonts w:ascii="Tahoma" w:hAnsi="Tahoma" w:cs="Tahoma"/>
          <w:b/>
          <w:bCs/>
        </w:rPr>
        <w:t>Założenia projektów aktów wykonawczych</w:t>
      </w:r>
    </w:p>
    <w:p w14:paraId="76FA52D8" w14:textId="77777777" w:rsidR="00D17AFD" w:rsidRPr="00960BC2" w:rsidRDefault="00D17AFD" w:rsidP="00A23AFD">
      <w:pPr>
        <w:spacing w:line="360" w:lineRule="auto"/>
        <w:ind w:left="366"/>
        <w:jc w:val="both"/>
        <w:rPr>
          <w:rFonts w:ascii="Tahoma" w:hAnsi="Tahoma" w:cs="Tahoma"/>
          <w:b/>
          <w:bCs/>
        </w:rPr>
      </w:pPr>
    </w:p>
    <w:p w14:paraId="7C492A2B" w14:textId="77777777" w:rsidR="00D17AFD" w:rsidRPr="00960BC2" w:rsidRDefault="00D17AFD" w:rsidP="00A23AFD">
      <w:pPr>
        <w:spacing w:line="360" w:lineRule="auto"/>
        <w:ind w:firstLine="720"/>
        <w:jc w:val="both"/>
        <w:rPr>
          <w:rFonts w:ascii="Tahoma" w:hAnsi="Tahoma" w:cs="Tahoma"/>
        </w:rPr>
      </w:pPr>
      <w:r w:rsidRPr="00960BC2">
        <w:rPr>
          <w:rFonts w:ascii="Tahoma" w:hAnsi="Tahoma" w:cs="Tahoma"/>
        </w:rPr>
        <w:t xml:space="preserve">Projekt nie wymaga wydania dodatkowych aktów wykonawczych. </w:t>
      </w:r>
    </w:p>
    <w:p w14:paraId="1DE39DA6" w14:textId="77777777" w:rsidR="00D17AFD" w:rsidRPr="00960BC2" w:rsidRDefault="00D17AFD" w:rsidP="00A23AFD">
      <w:pPr>
        <w:spacing w:line="360" w:lineRule="auto"/>
        <w:jc w:val="both"/>
        <w:rPr>
          <w:rFonts w:ascii="Tahoma" w:hAnsi="Tahoma" w:cs="Tahoma"/>
        </w:rPr>
      </w:pPr>
    </w:p>
    <w:p w14:paraId="40239DAE" w14:textId="77777777" w:rsidR="00D17AFD" w:rsidRPr="00960BC2" w:rsidRDefault="00D17AFD" w:rsidP="00A23AFD">
      <w:pPr>
        <w:widowControl/>
        <w:numPr>
          <w:ilvl w:val="0"/>
          <w:numId w:val="8"/>
        </w:numPr>
        <w:autoSpaceDE/>
        <w:autoSpaceDN/>
        <w:adjustRightInd/>
        <w:spacing w:line="360" w:lineRule="auto"/>
        <w:jc w:val="both"/>
        <w:rPr>
          <w:rFonts w:ascii="Tahoma" w:hAnsi="Tahoma" w:cs="Tahoma"/>
          <w:b/>
          <w:bCs/>
        </w:rPr>
      </w:pPr>
      <w:r w:rsidRPr="00960BC2">
        <w:rPr>
          <w:rFonts w:ascii="Tahoma" w:hAnsi="Tahoma" w:cs="Tahoma"/>
          <w:b/>
          <w:bCs/>
        </w:rPr>
        <w:t>Konsultacje społeczne</w:t>
      </w:r>
    </w:p>
    <w:p w14:paraId="5E05DE68" w14:textId="01FBBD67" w:rsidR="00D17AFD" w:rsidRDefault="00D17AFD" w:rsidP="00A23AFD">
      <w:pPr>
        <w:spacing w:line="360" w:lineRule="auto"/>
        <w:ind w:left="340"/>
        <w:jc w:val="both"/>
        <w:rPr>
          <w:rFonts w:ascii="Tahoma" w:hAnsi="Tahoma" w:cs="Tahoma"/>
        </w:rPr>
      </w:pPr>
    </w:p>
    <w:p w14:paraId="319DBBB6" w14:textId="62FA4AE8" w:rsidR="00960BC2" w:rsidRPr="00960BC2" w:rsidRDefault="00960BC2" w:rsidP="00960BC2">
      <w:pPr>
        <w:spacing w:line="360" w:lineRule="auto"/>
        <w:ind w:left="340" w:firstLine="380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Projekt został skonsultowany z przedstawicielami spółdzielców. </w:t>
      </w:r>
    </w:p>
    <w:p w14:paraId="43E5A82A" w14:textId="77777777" w:rsidR="00D17AFD" w:rsidRPr="00960BC2" w:rsidRDefault="00D17AFD" w:rsidP="00A23AFD">
      <w:pPr>
        <w:pStyle w:val="Style2"/>
        <w:widowControl/>
        <w:spacing w:line="360" w:lineRule="auto"/>
        <w:ind w:firstLine="456"/>
        <w:rPr>
          <w:rStyle w:val="FontStyle14"/>
          <w:rFonts w:ascii="Tahoma" w:hAnsi="Tahoma" w:cs="Tahoma"/>
          <w:sz w:val="24"/>
          <w:szCs w:val="24"/>
        </w:rPr>
      </w:pPr>
    </w:p>
    <w:sectPr w:rsidR="00D17AFD" w:rsidRPr="00960BC2" w:rsidSect="00A91312">
      <w:footerReference w:type="default" r:id="rId7"/>
      <w:pgSz w:w="11907" w:h="16839" w:code="9"/>
      <w:pgMar w:top="1560" w:right="1327" w:bottom="1418" w:left="1327" w:header="709" w:footer="709" w:gutter="0"/>
      <w:pgNumType w:start="5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6DBE5FE" w14:textId="77777777" w:rsidR="009404DE" w:rsidRDefault="009404DE">
      <w:r>
        <w:separator/>
      </w:r>
    </w:p>
  </w:endnote>
  <w:endnote w:type="continuationSeparator" w:id="0">
    <w:p w14:paraId="4D88E14C" w14:textId="77777777" w:rsidR="009404DE" w:rsidRDefault="009404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ahoma" w:hAnsi="Tahoma" w:cs="Tahoma"/>
        <w:sz w:val="22"/>
      </w:rPr>
      <w:id w:val="47663658"/>
      <w:docPartObj>
        <w:docPartGallery w:val="Page Numbers (Bottom of Page)"/>
        <w:docPartUnique/>
      </w:docPartObj>
    </w:sdtPr>
    <w:sdtEndPr/>
    <w:sdtContent>
      <w:p w14:paraId="19F7B02F" w14:textId="21A3F936" w:rsidR="00A23AFD" w:rsidRPr="00505E26" w:rsidRDefault="00A23AFD">
        <w:pPr>
          <w:pStyle w:val="Stopka"/>
          <w:jc w:val="center"/>
          <w:rPr>
            <w:rFonts w:ascii="Tahoma" w:hAnsi="Tahoma" w:cs="Tahoma"/>
            <w:sz w:val="22"/>
          </w:rPr>
        </w:pPr>
        <w:r w:rsidRPr="00505E26">
          <w:rPr>
            <w:rFonts w:ascii="Tahoma" w:hAnsi="Tahoma" w:cs="Tahoma"/>
            <w:sz w:val="22"/>
          </w:rPr>
          <w:fldChar w:fldCharType="begin"/>
        </w:r>
        <w:r w:rsidRPr="00505E26">
          <w:rPr>
            <w:rFonts w:ascii="Tahoma" w:hAnsi="Tahoma" w:cs="Tahoma"/>
            <w:sz w:val="22"/>
          </w:rPr>
          <w:instrText>PAGE   \* MERGEFORMAT</w:instrText>
        </w:r>
        <w:r w:rsidRPr="00505E26">
          <w:rPr>
            <w:rFonts w:ascii="Tahoma" w:hAnsi="Tahoma" w:cs="Tahoma"/>
            <w:sz w:val="22"/>
          </w:rPr>
          <w:fldChar w:fldCharType="separate"/>
        </w:r>
        <w:r w:rsidR="00A91312">
          <w:rPr>
            <w:rFonts w:ascii="Tahoma" w:hAnsi="Tahoma" w:cs="Tahoma"/>
            <w:noProof/>
            <w:sz w:val="22"/>
          </w:rPr>
          <w:t>8</w:t>
        </w:r>
        <w:r w:rsidRPr="00505E26">
          <w:rPr>
            <w:rFonts w:ascii="Tahoma" w:hAnsi="Tahoma" w:cs="Tahoma"/>
            <w:sz w:val="22"/>
          </w:rPr>
          <w:fldChar w:fldCharType="end"/>
        </w:r>
      </w:p>
    </w:sdtContent>
  </w:sdt>
  <w:p w14:paraId="14CB9D7C" w14:textId="77777777" w:rsidR="00A23AFD" w:rsidRPr="00505E26" w:rsidRDefault="00A23AFD" w:rsidP="00A23AFD">
    <w:pPr>
      <w:pStyle w:val="Stopka"/>
      <w:rPr>
        <w:rFonts w:ascii="Tahoma" w:hAnsi="Tahoma" w:cs="Tahoma"/>
        <w:sz w:val="2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073DF5F" w14:textId="77777777" w:rsidR="009404DE" w:rsidRDefault="009404DE">
      <w:r>
        <w:separator/>
      </w:r>
    </w:p>
  </w:footnote>
  <w:footnote w:type="continuationSeparator" w:id="0">
    <w:p w14:paraId="25029321" w14:textId="77777777" w:rsidR="009404DE" w:rsidRDefault="009404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F02EF7"/>
    <w:multiLevelType w:val="hybridMultilevel"/>
    <w:tmpl w:val="66146EF0"/>
    <w:lvl w:ilvl="0" w:tplc="28105C5A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1" w:hanging="360"/>
      </w:pPr>
    </w:lvl>
    <w:lvl w:ilvl="2" w:tplc="0415001B" w:tentative="1">
      <w:start w:val="1"/>
      <w:numFmt w:val="lowerRoman"/>
      <w:lvlText w:val="%3."/>
      <w:lvlJc w:val="right"/>
      <w:pPr>
        <w:ind w:left="2261" w:hanging="180"/>
      </w:pPr>
    </w:lvl>
    <w:lvl w:ilvl="3" w:tplc="0415000F" w:tentative="1">
      <w:start w:val="1"/>
      <w:numFmt w:val="decimal"/>
      <w:lvlText w:val="%4."/>
      <w:lvlJc w:val="left"/>
      <w:pPr>
        <w:ind w:left="2981" w:hanging="360"/>
      </w:pPr>
    </w:lvl>
    <w:lvl w:ilvl="4" w:tplc="04150019" w:tentative="1">
      <w:start w:val="1"/>
      <w:numFmt w:val="lowerLetter"/>
      <w:lvlText w:val="%5."/>
      <w:lvlJc w:val="left"/>
      <w:pPr>
        <w:ind w:left="3701" w:hanging="360"/>
      </w:pPr>
    </w:lvl>
    <w:lvl w:ilvl="5" w:tplc="0415001B" w:tentative="1">
      <w:start w:val="1"/>
      <w:numFmt w:val="lowerRoman"/>
      <w:lvlText w:val="%6."/>
      <w:lvlJc w:val="right"/>
      <w:pPr>
        <w:ind w:left="4421" w:hanging="180"/>
      </w:pPr>
    </w:lvl>
    <w:lvl w:ilvl="6" w:tplc="0415000F" w:tentative="1">
      <w:start w:val="1"/>
      <w:numFmt w:val="decimal"/>
      <w:lvlText w:val="%7."/>
      <w:lvlJc w:val="left"/>
      <w:pPr>
        <w:ind w:left="5141" w:hanging="360"/>
      </w:pPr>
    </w:lvl>
    <w:lvl w:ilvl="7" w:tplc="04150019" w:tentative="1">
      <w:start w:val="1"/>
      <w:numFmt w:val="lowerLetter"/>
      <w:lvlText w:val="%8."/>
      <w:lvlJc w:val="left"/>
      <w:pPr>
        <w:ind w:left="5861" w:hanging="360"/>
      </w:pPr>
    </w:lvl>
    <w:lvl w:ilvl="8" w:tplc="0415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1" w15:restartNumberingAfterBreak="0">
    <w:nsid w:val="14DB5B57"/>
    <w:multiLevelType w:val="hybridMultilevel"/>
    <w:tmpl w:val="BA3AC2CE"/>
    <w:lvl w:ilvl="0" w:tplc="04150011">
      <w:start w:val="1"/>
      <w:numFmt w:val="decimal"/>
      <w:lvlText w:val="%1)"/>
      <w:lvlJc w:val="left"/>
      <w:pPr>
        <w:ind w:left="8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1" w:hanging="360"/>
      </w:pPr>
    </w:lvl>
    <w:lvl w:ilvl="2" w:tplc="0415001B" w:tentative="1">
      <w:start w:val="1"/>
      <w:numFmt w:val="lowerRoman"/>
      <w:lvlText w:val="%3."/>
      <w:lvlJc w:val="right"/>
      <w:pPr>
        <w:ind w:left="2261" w:hanging="180"/>
      </w:pPr>
    </w:lvl>
    <w:lvl w:ilvl="3" w:tplc="0415000F" w:tentative="1">
      <w:start w:val="1"/>
      <w:numFmt w:val="decimal"/>
      <w:lvlText w:val="%4."/>
      <w:lvlJc w:val="left"/>
      <w:pPr>
        <w:ind w:left="2981" w:hanging="360"/>
      </w:pPr>
    </w:lvl>
    <w:lvl w:ilvl="4" w:tplc="04150019" w:tentative="1">
      <w:start w:val="1"/>
      <w:numFmt w:val="lowerLetter"/>
      <w:lvlText w:val="%5."/>
      <w:lvlJc w:val="left"/>
      <w:pPr>
        <w:ind w:left="3701" w:hanging="360"/>
      </w:pPr>
    </w:lvl>
    <w:lvl w:ilvl="5" w:tplc="0415001B" w:tentative="1">
      <w:start w:val="1"/>
      <w:numFmt w:val="lowerRoman"/>
      <w:lvlText w:val="%6."/>
      <w:lvlJc w:val="right"/>
      <w:pPr>
        <w:ind w:left="4421" w:hanging="180"/>
      </w:pPr>
    </w:lvl>
    <w:lvl w:ilvl="6" w:tplc="0415000F" w:tentative="1">
      <w:start w:val="1"/>
      <w:numFmt w:val="decimal"/>
      <w:lvlText w:val="%7."/>
      <w:lvlJc w:val="left"/>
      <w:pPr>
        <w:ind w:left="5141" w:hanging="360"/>
      </w:pPr>
    </w:lvl>
    <w:lvl w:ilvl="7" w:tplc="04150019" w:tentative="1">
      <w:start w:val="1"/>
      <w:numFmt w:val="lowerLetter"/>
      <w:lvlText w:val="%8."/>
      <w:lvlJc w:val="left"/>
      <w:pPr>
        <w:ind w:left="5861" w:hanging="360"/>
      </w:pPr>
    </w:lvl>
    <w:lvl w:ilvl="8" w:tplc="0415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2" w15:restartNumberingAfterBreak="0">
    <w:nsid w:val="28840545"/>
    <w:multiLevelType w:val="singleLevel"/>
    <w:tmpl w:val="988CDBA4"/>
    <w:lvl w:ilvl="0">
      <w:start w:val="1"/>
      <w:numFmt w:val="decimal"/>
      <w:lvlText w:val="%1."/>
      <w:legacy w:legacy="1" w:legacySpace="0" w:legacyIndent="178"/>
      <w:lvlJc w:val="left"/>
      <w:rPr>
        <w:rFonts w:ascii="Microsoft Sans Serif" w:hAnsi="Microsoft Sans Serif" w:cs="Microsoft Sans Serif" w:hint="default"/>
      </w:rPr>
    </w:lvl>
  </w:abstractNum>
  <w:abstractNum w:abstractNumId="3" w15:restartNumberingAfterBreak="0">
    <w:nsid w:val="29915C9B"/>
    <w:multiLevelType w:val="singleLevel"/>
    <w:tmpl w:val="BAACCBB4"/>
    <w:lvl w:ilvl="0">
      <w:start w:val="3"/>
      <w:numFmt w:val="decimal"/>
      <w:lvlText w:val="%1."/>
      <w:legacy w:legacy="1" w:legacySpace="0" w:legacyIndent="182"/>
      <w:lvlJc w:val="left"/>
      <w:rPr>
        <w:rFonts w:ascii="Microsoft Sans Serif" w:hAnsi="Microsoft Sans Serif" w:cs="Microsoft Sans Serif" w:hint="default"/>
      </w:rPr>
    </w:lvl>
  </w:abstractNum>
  <w:abstractNum w:abstractNumId="4" w15:restartNumberingAfterBreak="0">
    <w:nsid w:val="3F43297B"/>
    <w:multiLevelType w:val="singleLevel"/>
    <w:tmpl w:val="988CDBA4"/>
    <w:lvl w:ilvl="0">
      <w:start w:val="1"/>
      <w:numFmt w:val="decimal"/>
      <w:lvlText w:val="%1."/>
      <w:legacy w:legacy="1" w:legacySpace="0" w:legacyIndent="178"/>
      <w:lvlJc w:val="left"/>
      <w:rPr>
        <w:rFonts w:ascii="Microsoft Sans Serif" w:hAnsi="Microsoft Sans Serif" w:cs="Microsoft Sans Serif" w:hint="default"/>
      </w:rPr>
    </w:lvl>
  </w:abstractNum>
  <w:abstractNum w:abstractNumId="5" w15:restartNumberingAfterBreak="0">
    <w:nsid w:val="5DB064EE"/>
    <w:multiLevelType w:val="singleLevel"/>
    <w:tmpl w:val="851E4EB2"/>
    <w:lvl w:ilvl="0">
      <w:start w:val="1"/>
      <w:numFmt w:val="decimal"/>
      <w:lvlText w:val="%1."/>
      <w:legacy w:legacy="1" w:legacySpace="0" w:legacyIndent="202"/>
      <w:lvlJc w:val="left"/>
      <w:rPr>
        <w:rFonts w:ascii="Microsoft Sans Serif" w:hAnsi="Microsoft Sans Serif" w:cs="Microsoft Sans Serif" w:hint="default"/>
      </w:rPr>
    </w:lvl>
  </w:abstractNum>
  <w:abstractNum w:abstractNumId="6" w15:restartNumberingAfterBreak="0">
    <w:nsid w:val="60A4302C"/>
    <w:multiLevelType w:val="singleLevel"/>
    <w:tmpl w:val="896C7534"/>
    <w:lvl w:ilvl="0">
      <w:start w:val="2"/>
      <w:numFmt w:val="decimal"/>
      <w:lvlText w:val="%1."/>
      <w:legacy w:legacy="1" w:legacySpace="0" w:legacyIndent="178"/>
      <w:lvlJc w:val="left"/>
      <w:rPr>
        <w:rFonts w:ascii="Microsoft Sans Serif" w:hAnsi="Microsoft Sans Serif" w:cs="Microsoft Sans Serif" w:hint="default"/>
      </w:rPr>
    </w:lvl>
  </w:abstractNum>
  <w:abstractNum w:abstractNumId="7" w15:restartNumberingAfterBreak="0">
    <w:nsid w:val="63B43D3F"/>
    <w:multiLevelType w:val="hybridMultilevel"/>
    <w:tmpl w:val="51E4197C"/>
    <w:lvl w:ilvl="0" w:tplc="272AD1D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D9389A"/>
    <w:multiLevelType w:val="hybridMultilevel"/>
    <w:tmpl w:val="66146EF0"/>
    <w:lvl w:ilvl="0" w:tplc="28105C5A">
      <w:start w:val="1"/>
      <w:numFmt w:val="decimal"/>
      <w:lvlText w:val="%1."/>
      <w:lvlJc w:val="left"/>
      <w:pPr>
        <w:ind w:left="8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1" w:hanging="360"/>
      </w:pPr>
    </w:lvl>
    <w:lvl w:ilvl="2" w:tplc="0415001B" w:tentative="1">
      <w:start w:val="1"/>
      <w:numFmt w:val="lowerRoman"/>
      <w:lvlText w:val="%3."/>
      <w:lvlJc w:val="right"/>
      <w:pPr>
        <w:ind w:left="2261" w:hanging="180"/>
      </w:pPr>
    </w:lvl>
    <w:lvl w:ilvl="3" w:tplc="0415000F" w:tentative="1">
      <w:start w:val="1"/>
      <w:numFmt w:val="decimal"/>
      <w:lvlText w:val="%4."/>
      <w:lvlJc w:val="left"/>
      <w:pPr>
        <w:ind w:left="2981" w:hanging="360"/>
      </w:pPr>
    </w:lvl>
    <w:lvl w:ilvl="4" w:tplc="04150019" w:tentative="1">
      <w:start w:val="1"/>
      <w:numFmt w:val="lowerLetter"/>
      <w:lvlText w:val="%5."/>
      <w:lvlJc w:val="left"/>
      <w:pPr>
        <w:ind w:left="3701" w:hanging="360"/>
      </w:pPr>
    </w:lvl>
    <w:lvl w:ilvl="5" w:tplc="0415001B" w:tentative="1">
      <w:start w:val="1"/>
      <w:numFmt w:val="lowerRoman"/>
      <w:lvlText w:val="%6."/>
      <w:lvlJc w:val="right"/>
      <w:pPr>
        <w:ind w:left="4421" w:hanging="180"/>
      </w:pPr>
    </w:lvl>
    <w:lvl w:ilvl="6" w:tplc="0415000F" w:tentative="1">
      <w:start w:val="1"/>
      <w:numFmt w:val="decimal"/>
      <w:lvlText w:val="%7."/>
      <w:lvlJc w:val="left"/>
      <w:pPr>
        <w:ind w:left="5141" w:hanging="360"/>
      </w:pPr>
    </w:lvl>
    <w:lvl w:ilvl="7" w:tplc="04150019" w:tentative="1">
      <w:start w:val="1"/>
      <w:numFmt w:val="lowerLetter"/>
      <w:lvlText w:val="%8."/>
      <w:lvlJc w:val="left"/>
      <w:pPr>
        <w:ind w:left="5861" w:hanging="360"/>
      </w:pPr>
    </w:lvl>
    <w:lvl w:ilvl="8" w:tplc="0415001B" w:tentative="1">
      <w:start w:val="1"/>
      <w:numFmt w:val="lowerRoman"/>
      <w:lvlText w:val="%9."/>
      <w:lvlJc w:val="right"/>
      <w:pPr>
        <w:ind w:left="6581" w:hanging="180"/>
      </w:pPr>
    </w:lvl>
  </w:abstractNum>
  <w:abstractNum w:abstractNumId="9" w15:restartNumberingAfterBreak="0">
    <w:nsid w:val="73AB44F7"/>
    <w:multiLevelType w:val="hybridMultilevel"/>
    <w:tmpl w:val="2E0CE2C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CC6A03"/>
    <w:multiLevelType w:val="hybridMultilevel"/>
    <w:tmpl w:val="1D12A2B0"/>
    <w:lvl w:ilvl="0" w:tplc="02EC7EA6">
      <w:start w:val="1"/>
      <w:numFmt w:val="decimal"/>
      <w:lvlText w:val="%1.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</w:lvl>
    <w:lvl w:ilvl="3" w:tplc="0415000F" w:tentative="1">
      <w:start w:val="1"/>
      <w:numFmt w:val="decimal"/>
      <w:lvlText w:val="%4."/>
      <w:lvlJc w:val="left"/>
      <w:pPr>
        <w:ind w:left="2526" w:hanging="360"/>
      </w:p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</w:lvl>
    <w:lvl w:ilvl="6" w:tplc="0415000F" w:tentative="1">
      <w:start w:val="1"/>
      <w:numFmt w:val="decimal"/>
      <w:lvlText w:val="%7."/>
      <w:lvlJc w:val="left"/>
      <w:pPr>
        <w:ind w:left="4686" w:hanging="360"/>
      </w:p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</w:lvl>
  </w:abstractNum>
  <w:num w:numId="1">
    <w:abstractNumId w:val="4"/>
  </w:num>
  <w:num w:numId="2">
    <w:abstractNumId w:val="6"/>
  </w:num>
  <w:num w:numId="3">
    <w:abstractNumId w:val="5"/>
  </w:num>
  <w:num w:numId="4">
    <w:abstractNumId w:val="3"/>
  </w:num>
  <w:num w:numId="5">
    <w:abstractNumId w:val="2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8"/>
  </w:num>
  <w:num w:numId="9">
    <w:abstractNumId w:val="10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64D0"/>
    <w:rsid w:val="00022A91"/>
    <w:rsid w:val="00027DB4"/>
    <w:rsid w:val="00036F1F"/>
    <w:rsid w:val="000419FE"/>
    <w:rsid w:val="00043166"/>
    <w:rsid w:val="00044EC2"/>
    <w:rsid w:val="00057011"/>
    <w:rsid w:val="00092AF5"/>
    <w:rsid w:val="000944A6"/>
    <w:rsid w:val="000971FB"/>
    <w:rsid w:val="000B332E"/>
    <w:rsid w:val="000C5B42"/>
    <w:rsid w:val="001070D6"/>
    <w:rsid w:val="001513E0"/>
    <w:rsid w:val="00152F11"/>
    <w:rsid w:val="00164807"/>
    <w:rsid w:val="0017036C"/>
    <w:rsid w:val="00186A5B"/>
    <w:rsid w:val="001A4BBD"/>
    <w:rsid w:val="001C357F"/>
    <w:rsid w:val="001F375F"/>
    <w:rsid w:val="00215466"/>
    <w:rsid w:val="00222B15"/>
    <w:rsid w:val="002352A8"/>
    <w:rsid w:val="002539AF"/>
    <w:rsid w:val="002A6ACC"/>
    <w:rsid w:val="002C3706"/>
    <w:rsid w:val="002D60E4"/>
    <w:rsid w:val="002F258A"/>
    <w:rsid w:val="003116B8"/>
    <w:rsid w:val="00321EA8"/>
    <w:rsid w:val="003460FC"/>
    <w:rsid w:val="00373280"/>
    <w:rsid w:val="00393E01"/>
    <w:rsid w:val="003C775C"/>
    <w:rsid w:val="003F3AD4"/>
    <w:rsid w:val="003F403F"/>
    <w:rsid w:val="003F78B4"/>
    <w:rsid w:val="004015A6"/>
    <w:rsid w:val="00424FA3"/>
    <w:rsid w:val="00427690"/>
    <w:rsid w:val="00471366"/>
    <w:rsid w:val="004752FA"/>
    <w:rsid w:val="004B6EA3"/>
    <w:rsid w:val="004C6F1C"/>
    <w:rsid w:val="004F2414"/>
    <w:rsid w:val="00505E26"/>
    <w:rsid w:val="005212A2"/>
    <w:rsid w:val="005346EF"/>
    <w:rsid w:val="00540414"/>
    <w:rsid w:val="00541C31"/>
    <w:rsid w:val="005705F8"/>
    <w:rsid w:val="00594A5F"/>
    <w:rsid w:val="005A706A"/>
    <w:rsid w:val="005B191E"/>
    <w:rsid w:val="005C5104"/>
    <w:rsid w:val="005D64D0"/>
    <w:rsid w:val="005F70B1"/>
    <w:rsid w:val="006619EB"/>
    <w:rsid w:val="006804E7"/>
    <w:rsid w:val="0068369A"/>
    <w:rsid w:val="00697F34"/>
    <w:rsid w:val="006A3AA5"/>
    <w:rsid w:val="006B5D13"/>
    <w:rsid w:val="006D1EB3"/>
    <w:rsid w:val="006D72FB"/>
    <w:rsid w:val="006E250E"/>
    <w:rsid w:val="006F47EE"/>
    <w:rsid w:val="007163C1"/>
    <w:rsid w:val="00716B77"/>
    <w:rsid w:val="007503D2"/>
    <w:rsid w:val="007509C0"/>
    <w:rsid w:val="00754351"/>
    <w:rsid w:val="007700C1"/>
    <w:rsid w:val="00781605"/>
    <w:rsid w:val="007D5A65"/>
    <w:rsid w:val="007E7662"/>
    <w:rsid w:val="00813CAB"/>
    <w:rsid w:val="00830986"/>
    <w:rsid w:val="008471A2"/>
    <w:rsid w:val="00860FBE"/>
    <w:rsid w:val="0086446F"/>
    <w:rsid w:val="008820CC"/>
    <w:rsid w:val="0088509F"/>
    <w:rsid w:val="00887057"/>
    <w:rsid w:val="008A0DF6"/>
    <w:rsid w:val="008B3655"/>
    <w:rsid w:val="008D2714"/>
    <w:rsid w:val="009201DA"/>
    <w:rsid w:val="00934488"/>
    <w:rsid w:val="009404DE"/>
    <w:rsid w:val="00957836"/>
    <w:rsid w:val="00960BC2"/>
    <w:rsid w:val="0097235B"/>
    <w:rsid w:val="0098546E"/>
    <w:rsid w:val="00987504"/>
    <w:rsid w:val="00A05931"/>
    <w:rsid w:val="00A17BF1"/>
    <w:rsid w:val="00A2323E"/>
    <w:rsid w:val="00A23AFD"/>
    <w:rsid w:val="00A26B6F"/>
    <w:rsid w:val="00A540A3"/>
    <w:rsid w:val="00A5450B"/>
    <w:rsid w:val="00A55E63"/>
    <w:rsid w:val="00A6786F"/>
    <w:rsid w:val="00A91312"/>
    <w:rsid w:val="00A9628D"/>
    <w:rsid w:val="00AB3929"/>
    <w:rsid w:val="00AB45F7"/>
    <w:rsid w:val="00AF5F20"/>
    <w:rsid w:val="00B22C9D"/>
    <w:rsid w:val="00BA31F8"/>
    <w:rsid w:val="00BC5E42"/>
    <w:rsid w:val="00BF206C"/>
    <w:rsid w:val="00BF7922"/>
    <w:rsid w:val="00C1454B"/>
    <w:rsid w:val="00C36212"/>
    <w:rsid w:val="00C47D54"/>
    <w:rsid w:val="00C50912"/>
    <w:rsid w:val="00C5451A"/>
    <w:rsid w:val="00C827B9"/>
    <w:rsid w:val="00C8284E"/>
    <w:rsid w:val="00CA4105"/>
    <w:rsid w:val="00CA432D"/>
    <w:rsid w:val="00CB52A1"/>
    <w:rsid w:val="00CF0051"/>
    <w:rsid w:val="00D174AF"/>
    <w:rsid w:val="00D17AFD"/>
    <w:rsid w:val="00D44BFF"/>
    <w:rsid w:val="00D575E0"/>
    <w:rsid w:val="00D7606C"/>
    <w:rsid w:val="00D94F71"/>
    <w:rsid w:val="00DA1AEF"/>
    <w:rsid w:val="00DB45D7"/>
    <w:rsid w:val="00DB4636"/>
    <w:rsid w:val="00DB4DBD"/>
    <w:rsid w:val="00DF4124"/>
    <w:rsid w:val="00DF77A2"/>
    <w:rsid w:val="00E05516"/>
    <w:rsid w:val="00E122A6"/>
    <w:rsid w:val="00E2365A"/>
    <w:rsid w:val="00E31740"/>
    <w:rsid w:val="00E53D68"/>
    <w:rsid w:val="00E82F4E"/>
    <w:rsid w:val="00E86F9D"/>
    <w:rsid w:val="00E959D0"/>
    <w:rsid w:val="00EB23E2"/>
    <w:rsid w:val="00EC6463"/>
    <w:rsid w:val="00EE5C11"/>
    <w:rsid w:val="00EE6EA4"/>
    <w:rsid w:val="00F2382B"/>
    <w:rsid w:val="00F26E1B"/>
    <w:rsid w:val="00F31DC9"/>
    <w:rsid w:val="00F46D92"/>
    <w:rsid w:val="00FA32DA"/>
    <w:rsid w:val="00FA3C16"/>
    <w:rsid w:val="00FA3E25"/>
    <w:rsid w:val="00FA585E"/>
    <w:rsid w:val="00FB6F94"/>
    <w:rsid w:val="00FC6754"/>
    <w:rsid w:val="00FD6EC5"/>
    <w:rsid w:val="00FF4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5636E2B"/>
  <w14:defaultImageDpi w14:val="0"/>
  <w15:docId w15:val="{6330CC45-7B75-489D-A1B8-14B22C1E08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Sans Serif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Microsoft Sans Serif" w:cs="Microsoft Sans Seri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yle1">
    <w:name w:val="Style1"/>
    <w:basedOn w:val="Normalny"/>
    <w:uiPriority w:val="99"/>
    <w:pPr>
      <w:spacing w:line="144" w:lineRule="exact"/>
      <w:jc w:val="both"/>
    </w:pPr>
  </w:style>
  <w:style w:type="paragraph" w:customStyle="1" w:styleId="Style2">
    <w:name w:val="Style2"/>
    <w:basedOn w:val="Normalny"/>
    <w:uiPriority w:val="99"/>
    <w:pPr>
      <w:spacing w:line="257" w:lineRule="exact"/>
      <w:ind w:firstLine="461"/>
      <w:jc w:val="both"/>
    </w:pPr>
  </w:style>
  <w:style w:type="paragraph" w:customStyle="1" w:styleId="Style3">
    <w:name w:val="Style3"/>
    <w:basedOn w:val="Normalny"/>
    <w:uiPriority w:val="99"/>
    <w:pPr>
      <w:spacing w:line="168" w:lineRule="exact"/>
      <w:jc w:val="center"/>
    </w:pPr>
  </w:style>
  <w:style w:type="paragraph" w:customStyle="1" w:styleId="Style4">
    <w:name w:val="Style4"/>
    <w:basedOn w:val="Normalny"/>
    <w:uiPriority w:val="99"/>
    <w:pPr>
      <w:spacing w:line="262" w:lineRule="exact"/>
      <w:jc w:val="both"/>
    </w:pPr>
  </w:style>
  <w:style w:type="paragraph" w:customStyle="1" w:styleId="Style5">
    <w:name w:val="Style5"/>
    <w:basedOn w:val="Normalny"/>
    <w:uiPriority w:val="99"/>
    <w:pPr>
      <w:spacing w:line="174" w:lineRule="exact"/>
      <w:jc w:val="both"/>
    </w:pPr>
  </w:style>
  <w:style w:type="paragraph" w:customStyle="1" w:styleId="Style6">
    <w:name w:val="Style6"/>
    <w:basedOn w:val="Normalny"/>
    <w:uiPriority w:val="99"/>
    <w:pPr>
      <w:spacing w:line="168" w:lineRule="exact"/>
      <w:jc w:val="both"/>
    </w:pPr>
  </w:style>
  <w:style w:type="paragraph" w:customStyle="1" w:styleId="Style7">
    <w:name w:val="Style7"/>
    <w:basedOn w:val="Normalny"/>
    <w:uiPriority w:val="99"/>
  </w:style>
  <w:style w:type="character" w:customStyle="1" w:styleId="FontStyle11">
    <w:name w:val="Font Style11"/>
    <w:basedOn w:val="Domylnaczcionkaakapitu"/>
    <w:uiPriority w:val="99"/>
    <w:rPr>
      <w:rFonts w:ascii="Microsoft Sans Serif" w:hAnsi="Microsoft Sans Serif" w:cs="Microsoft Sans Serif"/>
      <w:b/>
      <w:bCs/>
      <w:sz w:val="12"/>
      <w:szCs w:val="12"/>
    </w:rPr>
  </w:style>
  <w:style w:type="character" w:customStyle="1" w:styleId="FontStyle12">
    <w:name w:val="Font Style12"/>
    <w:basedOn w:val="Domylnaczcionkaakapitu"/>
    <w:uiPriority w:val="99"/>
    <w:rPr>
      <w:rFonts w:ascii="Microsoft Sans Serif" w:hAnsi="Microsoft Sans Serif" w:cs="Microsoft Sans Serif"/>
      <w:sz w:val="12"/>
      <w:szCs w:val="12"/>
    </w:rPr>
  </w:style>
  <w:style w:type="character" w:customStyle="1" w:styleId="FontStyle13">
    <w:name w:val="Font Style13"/>
    <w:basedOn w:val="Domylnaczcionkaakapitu"/>
    <w:uiPriority w:val="99"/>
    <w:rPr>
      <w:rFonts w:ascii="Microsoft Sans Serif" w:hAnsi="Microsoft Sans Serif" w:cs="Microsoft Sans Serif"/>
      <w:sz w:val="10"/>
      <w:szCs w:val="10"/>
    </w:rPr>
  </w:style>
  <w:style w:type="character" w:customStyle="1" w:styleId="FontStyle14">
    <w:name w:val="Font Style14"/>
    <w:basedOn w:val="Domylnaczcionkaakapitu"/>
    <w:uiPriority w:val="99"/>
    <w:rPr>
      <w:rFonts w:ascii="Microsoft Sans Serif" w:hAnsi="Microsoft Sans Serif" w:cs="Microsoft Sans Serif"/>
      <w:sz w:val="12"/>
      <w:szCs w:val="12"/>
    </w:rPr>
  </w:style>
  <w:style w:type="character" w:customStyle="1" w:styleId="FontStyle15">
    <w:name w:val="Font Style15"/>
    <w:basedOn w:val="Domylnaczcionkaakapitu"/>
    <w:uiPriority w:val="99"/>
    <w:rPr>
      <w:rFonts w:ascii="Microsoft Sans Serif" w:hAnsi="Microsoft Sans Serif" w:cs="Microsoft Sans Serif"/>
      <w:sz w:val="16"/>
      <w:szCs w:val="16"/>
    </w:rPr>
  </w:style>
  <w:style w:type="character" w:customStyle="1" w:styleId="FontStyle16">
    <w:name w:val="Font Style16"/>
    <w:basedOn w:val="Domylnaczcionkaakapitu"/>
    <w:uiPriority w:val="99"/>
    <w:rPr>
      <w:rFonts w:ascii="Microsoft Sans Serif" w:hAnsi="Microsoft Sans Serif" w:cs="Microsoft Sans Serif"/>
      <w:i/>
      <w:iCs/>
      <w:spacing w:val="10"/>
      <w:sz w:val="12"/>
      <w:szCs w:val="12"/>
    </w:rPr>
  </w:style>
  <w:style w:type="character" w:customStyle="1" w:styleId="FontStyle17">
    <w:name w:val="Font Style17"/>
    <w:basedOn w:val="Domylnaczcionkaakapitu"/>
    <w:uiPriority w:val="99"/>
    <w:rPr>
      <w:rFonts w:ascii="Microsoft Sans Serif" w:hAnsi="Microsoft Sans Serif" w:cs="Microsoft Sans Serif"/>
      <w:sz w:val="12"/>
      <w:szCs w:val="12"/>
    </w:rPr>
  </w:style>
  <w:style w:type="character" w:styleId="Hipercze">
    <w:name w:val="Hyperlink"/>
    <w:basedOn w:val="Domylnaczcionkaakapitu"/>
    <w:uiPriority w:val="99"/>
    <w:rPr>
      <w:color w:val="0066CC"/>
      <w:u w:val="single"/>
    </w:rPr>
  </w:style>
  <w:style w:type="paragraph" w:styleId="Bezodstpw">
    <w:name w:val="No Spacing"/>
    <w:uiPriority w:val="1"/>
    <w:qFormat/>
    <w:rsid w:val="005C5104"/>
    <w:pPr>
      <w:widowControl w:val="0"/>
      <w:autoSpaceDE w:val="0"/>
      <w:autoSpaceDN w:val="0"/>
      <w:adjustRightInd w:val="0"/>
      <w:spacing w:after="0" w:line="240" w:lineRule="auto"/>
    </w:pPr>
    <w:rPr>
      <w:rFonts w:hAnsi="Microsoft Sans Serif" w:cs="Microsoft Sans Serif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EE5C1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EE5C11"/>
    <w:rPr>
      <w:rFonts w:hAnsi="Microsoft Sans Serif" w:cs="Microsoft Sans Serif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EE5C1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5C11"/>
    <w:rPr>
      <w:rFonts w:hAnsi="Microsoft Sans Serif" w:cs="Microsoft Sans Serif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22B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22B15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C3706"/>
    <w:pPr>
      <w:widowControl/>
      <w:autoSpaceDE/>
      <w:autoSpaceDN/>
      <w:adjustRightInd/>
      <w:spacing w:after="160" w:line="25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ng-binding">
    <w:name w:val="ng-binding"/>
    <w:basedOn w:val="Domylnaczcionkaakapitu"/>
    <w:rsid w:val="002A6A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511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1084</Words>
  <Characters>6504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7573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Piotr Pałka</dc:creator>
  <cp:lastModifiedBy>Grzegorz Molesztak</cp:lastModifiedBy>
  <cp:revision>6</cp:revision>
  <dcterms:created xsi:type="dcterms:W3CDTF">2021-04-12T06:15:00Z</dcterms:created>
  <dcterms:modified xsi:type="dcterms:W3CDTF">2021-07-21T09:33:00Z</dcterms:modified>
</cp:coreProperties>
</file>