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5D" w:rsidRPr="00082ACB" w:rsidRDefault="00EF145D" w:rsidP="00EF145D">
      <w:pPr>
        <w:pStyle w:val="OZNRODZAKTUtznustawalubrozporzdzenieiorganwydajcy"/>
        <w:rPr>
          <w:rFonts w:eastAsiaTheme="minorEastAsia"/>
          <w:b w:val="0"/>
        </w:rPr>
      </w:pPr>
      <w:bookmarkStart w:id="0" w:name="_GoBack"/>
      <w:bookmarkEnd w:id="0"/>
      <w:r w:rsidRPr="00082ACB">
        <w:rPr>
          <w:b w:val="0"/>
        </w:rPr>
        <w:t>Uzasadnienie</w:t>
      </w:r>
    </w:p>
    <w:p w:rsidR="00EF145D" w:rsidRPr="009815DC" w:rsidRDefault="00EF145D" w:rsidP="00EF145D">
      <w:pPr>
        <w:pStyle w:val="ARTartustawynprozporzdzenia"/>
      </w:pPr>
      <w:r w:rsidRPr="009815DC">
        <w:t xml:space="preserve">Projektowana ustawa wprowadza zmianę ustawy z dnia 27 sierpnia 2004 r. o świadczeniach opieki zdrowotnej finansowanych ze środków publicznych (Dz. U. z 2021 r. poz. 1285 i 1292), zwanej dalej </w:t>
      </w:r>
      <w:r>
        <w:t>„</w:t>
      </w:r>
      <w:r w:rsidRPr="009815DC">
        <w:t>ustawą o świadczeniach</w:t>
      </w:r>
      <w:r>
        <w:t>”</w:t>
      </w:r>
      <w:r w:rsidRPr="009815DC">
        <w:t xml:space="preserve">, polegającą na nadaniu nowego brzmienia art. 131c i </w:t>
      </w:r>
      <w:r>
        <w:t xml:space="preserve">art. </w:t>
      </w:r>
      <w:r w:rsidRPr="009815DC">
        <w:t>131d oraz zmianę ustawy z dnia 27 sierpnia 2009 r. o finansach publicznych (Dz. U. z 2021 r. poz. 305 i 1236) polegającą na dodaniu w art. 50 w ust. 6 pkt 9.</w:t>
      </w:r>
    </w:p>
    <w:p w:rsidR="00EF145D" w:rsidRPr="009815DC" w:rsidRDefault="00EF145D" w:rsidP="00EF145D">
      <w:pPr>
        <w:pStyle w:val="ARTartustawynprozporzdzenia"/>
      </w:pPr>
      <w:r w:rsidRPr="009815DC">
        <w:t>Proponowane nowe rozwiązania w zakresie minimalnej wysokości środków publicznych przeznaczanych corocznie na ochronę zdrowia są wynikiem prowadzonego dialogu społecznego, którego zwieńczeniem jest ujęcie w ramach pięciu fundamentów Polskiego Ładu rozwiązań w tym zakresie.</w:t>
      </w:r>
    </w:p>
    <w:p w:rsidR="00EF145D" w:rsidRPr="009815DC" w:rsidRDefault="00EF145D" w:rsidP="00EF145D">
      <w:pPr>
        <w:pStyle w:val="ARTartustawynprozporzdzenia"/>
        <w:keepNext/>
      </w:pPr>
      <w:r w:rsidRPr="009815DC">
        <w:t>Projekt ustawy realizuje główny cel powyższego programu przez:</w:t>
      </w:r>
    </w:p>
    <w:p w:rsidR="00EF145D" w:rsidRPr="009815DC" w:rsidRDefault="00EF145D" w:rsidP="00EF145D">
      <w:pPr>
        <w:pStyle w:val="PKTpunkt"/>
      </w:pPr>
      <w:r w:rsidRPr="009815DC">
        <w:t xml:space="preserve">1) </w:t>
      </w:r>
      <w:r w:rsidRPr="009815DC">
        <w:tab/>
        <w:t>przyspieszenie osiągnięcia dotychczas określonego poziomu nakładów na ochronę zdrowia w wysokości 6% produktu krajowego brutto (PKB) już w 2023 r.;</w:t>
      </w:r>
    </w:p>
    <w:p w:rsidR="00EF145D" w:rsidRPr="009815DC" w:rsidRDefault="00EF145D" w:rsidP="00EF145D">
      <w:pPr>
        <w:pStyle w:val="PKTpunkt"/>
      </w:pPr>
      <w:r w:rsidRPr="009815DC">
        <w:t>2)</w:t>
      </w:r>
      <w:r w:rsidRPr="009815DC">
        <w:tab/>
        <w:t>określenie ścieżki dalszego wzrostu minimalnych wartości przedmiotowych nakładów aż do osiągnięcia poziomu 7% PKB w 2027 r.</w:t>
      </w:r>
    </w:p>
    <w:p w:rsidR="00EF145D" w:rsidRPr="009815DC" w:rsidRDefault="00EF145D" w:rsidP="00EF145D">
      <w:pPr>
        <w:pStyle w:val="ARTartustawynprozporzdzenia"/>
      </w:pPr>
      <w:r w:rsidRPr="009815DC">
        <w:t>Zgodnie z obecnym brzmieniem art. 131c ust. 1 ustawy o świadczeniach, referencyjna wartość nakładów ze środków publicznych na ochronę zdrowia w relacji do PKB została określona na poziomie 6%, który miał zostać osiągnięty w 2024 r. i utrzyman</w:t>
      </w:r>
      <w:r>
        <w:t>y</w:t>
      </w:r>
      <w:r w:rsidRPr="009815DC">
        <w:t xml:space="preserve"> na tym poziomie w kolejnych latach.</w:t>
      </w:r>
    </w:p>
    <w:p w:rsidR="00EF145D" w:rsidRPr="009815DC" w:rsidRDefault="00EF145D" w:rsidP="00EF145D">
      <w:pPr>
        <w:pStyle w:val="ARTartustawynprozporzdzenia"/>
      </w:pPr>
      <w:r w:rsidRPr="009815DC">
        <w:t>Konsekwencją ww. zmiany jest nadanie nowego brzmienia art. 131c ust. 1 ustawy o świadczeniach, zgodnie z którym minimalne wartości publicznych nakładów na ochronę zdrowia nie będą mogły być w poszczególnych latach niższe niż:</w:t>
      </w:r>
    </w:p>
    <w:p w:rsidR="00EF145D" w:rsidRPr="009815DC" w:rsidRDefault="00EF145D" w:rsidP="00EF145D">
      <w:pPr>
        <w:pStyle w:val="ARTartustawynprozporzdzenia"/>
      </w:pPr>
      <w:r w:rsidRPr="009815DC">
        <w:t>1) 4,78% produktu krajowego brutto w 2018 r.;</w:t>
      </w:r>
    </w:p>
    <w:p w:rsidR="00EF145D" w:rsidRPr="009815DC" w:rsidRDefault="00EF145D" w:rsidP="00EF145D">
      <w:pPr>
        <w:pStyle w:val="ARTartustawynprozporzdzenia"/>
      </w:pPr>
      <w:r w:rsidRPr="009815DC">
        <w:t>2) 4,86% produktu krajowego brutto w 2019 r.;</w:t>
      </w:r>
    </w:p>
    <w:p w:rsidR="00EF145D" w:rsidRPr="009815DC" w:rsidRDefault="00EF145D" w:rsidP="00EF145D">
      <w:pPr>
        <w:pStyle w:val="ARTartustawynprozporzdzenia"/>
      </w:pPr>
      <w:r w:rsidRPr="009815DC">
        <w:t>3) 5,03% produktu krajowego brutto w 2020 r.;</w:t>
      </w:r>
    </w:p>
    <w:p w:rsidR="00EF145D" w:rsidRPr="009815DC" w:rsidRDefault="00EF145D" w:rsidP="00EF145D">
      <w:pPr>
        <w:pStyle w:val="ARTartustawynprozporzdzenia"/>
      </w:pPr>
      <w:r w:rsidRPr="009815DC">
        <w:t>4) 5,30% produktu krajowego brutto w 2021 r.;</w:t>
      </w:r>
    </w:p>
    <w:p w:rsidR="00EF145D" w:rsidRPr="009815DC" w:rsidRDefault="00EF145D" w:rsidP="00EF145D">
      <w:pPr>
        <w:pStyle w:val="ARTartustawynprozporzdzenia"/>
      </w:pPr>
      <w:r w:rsidRPr="009815DC">
        <w:t>5) 5,75% produktu krajowego brutto w 2022 r.;</w:t>
      </w:r>
    </w:p>
    <w:p w:rsidR="00EF145D" w:rsidRPr="009815DC" w:rsidRDefault="00EF145D" w:rsidP="00EF145D">
      <w:pPr>
        <w:pStyle w:val="ARTartustawynprozporzdzenia"/>
      </w:pPr>
      <w:r w:rsidRPr="009815DC">
        <w:t>6) 6,00% produktu krajowego brutto w 2023 r.;</w:t>
      </w:r>
    </w:p>
    <w:p w:rsidR="00EF145D" w:rsidRPr="009815DC" w:rsidRDefault="00EF145D" w:rsidP="00EF145D">
      <w:pPr>
        <w:pStyle w:val="ARTartustawynprozporzdzenia"/>
      </w:pPr>
      <w:r w:rsidRPr="009815DC">
        <w:t>7) 6,20% produktu krajowego brutto w 2024 r.;</w:t>
      </w:r>
    </w:p>
    <w:p w:rsidR="00EF145D" w:rsidRPr="009815DC" w:rsidRDefault="00EF145D" w:rsidP="00EF145D">
      <w:pPr>
        <w:pStyle w:val="ARTartustawynprozporzdzenia"/>
      </w:pPr>
      <w:r w:rsidRPr="009815DC">
        <w:lastRenderedPageBreak/>
        <w:t>8) 6,50% produktu krajowego brutto w 2025 r.;</w:t>
      </w:r>
    </w:p>
    <w:p w:rsidR="00EF145D" w:rsidRPr="009815DC" w:rsidRDefault="00EF145D" w:rsidP="00EF145D">
      <w:pPr>
        <w:pStyle w:val="ARTartustawynprozporzdzenia"/>
      </w:pPr>
      <w:r w:rsidRPr="009815DC">
        <w:t>9) 6,80% produktu krajowego brutto w 2026 r.</w:t>
      </w:r>
    </w:p>
    <w:p w:rsidR="00EF145D" w:rsidRPr="009815DC" w:rsidRDefault="00EF145D" w:rsidP="00EF145D">
      <w:pPr>
        <w:pStyle w:val="ARTartustawynprozporzdzenia"/>
      </w:pPr>
      <w:r w:rsidRPr="009815DC">
        <w:t xml:space="preserve">Ponadto w ust. 3 </w:t>
      </w:r>
      <w:r>
        <w:t xml:space="preserve">tego artykułu </w:t>
      </w:r>
      <w:r w:rsidRPr="009815DC">
        <w:t xml:space="preserve">dokonano zmiany polegającej na wykreśleniu dotychczasowego pkt 5 dotyczącego kosztów związanych z realizacją staży podyplomowych lekarzy i lekarzy dentystów oraz specjalizacji lekarzy, lekarzy dentystów, pielęgniarek i położnych. Wprowadzana korekta ma charakter porządkujący i jest związana z faktem, że wydatki na finansowanie tych zadań są od 2021 r. planowane w ramach części budżetu, którą dysponuje minister właściwy do spraw zdrowia, zatem wydatki na ten cel mieszczą się obecnie w ramach pkt 1 </w:t>
      </w:r>
      <w:r>
        <w:t>„</w:t>
      </w:r>
      <w:r w:rsidRPr="009815DC">
        <w:t>wydatki budżetowe w części budżetu państwa, której dysponentem jest minister właściwy do spraw zdrowia</w:t>
      </w:r>
      <w:r>
        <w:t>”</w:t>
      </w:r>
      <w:r w:rsidRPr="009815DC">
        <w:t>.</w:t>
      </w:r>
    </w:p>
    <w:p w:rsidR="00EF145D" w:rsidRPr="009815DC" w:rsidRDefault="00EF145D" w:rsidP="00EF145D">
      <w:pPr>
        <w:pStyle w:val="ARTartustawynprozporzdzenia"/>
      </w:pPr>
      <w:r w:rsidRPr="009815DC">
        <w:t>W art. 131d ustawy o świadczeniach proponuje się zmiany rozszerzające uprawnienia Ministra Zdrowia związane z przekazywaniem Narodowemu Funduszowi Zdrowia dotacji podmiotowej. Dotychczasowe przepisy pozwalały na zaplanowanie tej dotacji wyłącznie na etapie planowania budżetu na dany rok. Wprowadzane zmiany pozwolą dodatkowo na przekazanie Narodowemu Funduszowi Zdrowia, w formie dotacji podmiotowej lub jako zasilenie funduszu zapasowego, środków, które zostaną zidentyfikowane jako oszczędności także na etapie realizacji budżetu.</w:t>
      </w:r>
    </w:p>
    <w:p w:rsidR="00EF145D" w:rsidRPr="009815DC" w:rsidRDefault="00EF145D" w:rsidP="00EF145D">
      <w:pPr>
        <w:pStyle w:val="ARTartustawynprozporzdzenia"/>
      </w:pPr>
      <w:r w:rsidRPr="009815DC">
        <w:t>Ponadto w celu umożliwienia pełnego wykorzystania w ww. sposób stwierdzonych oszczędności umożliwiono Ministrowi Zdrowia za zgodą Ministra Finansów dokonywanie zmian w planie wydatków polegających na przeniesieniu środków pomiędzy działami budżetu państwa, w ramach części budżetowej, którą dysponuje.</w:t>
      </w:r>
    </w:p>
    <w:p w:rsidR="00EF145D" w:rsidRPr="009815DC" w:rsidRDefault="00EF145D" w:rsidP="00EF145D">
      <w:pPr>
        <w:pStyle w:val="ARTartustawynprozporzdzenia"/>
      </w:pPr>
      <w:r w:rsidRPr="009815DC">
        <w:t>Uwzględnienie projektowanych zmian, w stosunku do obecnie obowiązujących rozwiązań, pozwoli na zasilenie systemu ochrony zdrowia dodatkowymi środkami w kwocie szacowanej łącznie w latach 2022</w:t>
      </w:r>
      <w:r w:rsidR="00D9355F">
        <w:t>–</w:t>
      </w:r>
      <w:r w:rsidRPr="009815DC">
        <w:t>2027 na ok. 83 mld zł i osiągnięcie w 2027 r. nakładów na ochronę zdrowia na poziomie przekraczającym 215 mld zł, a także na wykorzystanie na cele zdrowotne części oszczędności, które wystąpią na etapie realizacji budżetu państwa.</w:t>
      </w:r>
    </w:p>
    <w:p w:rsidR="00EF145D" w:rsidRPr="009815DC" w:rsidRDefault="00EF145D" w:rsidP="00EF145D">
      <w:pPr>
        <w:pStyle w:val="ARTartustawynprozporzdzenia"/>
      </w:pPr>
      <w:r w:rsidRPr="009815DC">
        <w:t xml:space="preserve">W art. 50 ust. 6 ustawy z dnia 27 sierpnia 2009 r. o finansach publicznych (Dz. U. z 2021 r. poz. 305 i 1236) proponuje się dodanie pkt 9, który pozwoli na wyłączenie wydatków w części budżetu państwa </w:t>
      </w:r>
      <w:r>
        <w:t>„</w:t>
      </w:r>
      <w:r w:rsidRPr="009815DC">
        <w:t>zdrowie</w:t>
      </w:r>
      <w:r>
        <w:t>”</w:t>
      </w:r>
      <w:r w:rsidRPr="009815DC">
        <w:t xml:space="preserve"> oraz w dziale </w:t>
      </w:r>
      <w:r>
        <w:t>„</w:t>
      </w:r>
      <w:r w:rsidRPr="009815DC">
        <w:t>ochrona zdrowia</w:t>
      </w:r>
      <w:r>
        <w:t>”</w:t>
      </w:r>
      <w:r w:rsidRPr="009815DC">
        <w:t xml:space="preserve"> w innych częściach budżetu państwa ze stosowania przepisów ust. 1a</w:t>
      </w:r>
      <w:r w:rsidR="00D9355F">
        <w:t>–</w:t>
      </w:r>
      <w:r w:rsidRPr="009815DC">
        <w:t>1c, 4 i 5 tego artykułu, analogicznie</w:t>
      </w:r>
      <w:r w:rsidR="00BB2747">
        <w:t xml:space="preserve"> do tego, </w:t>
      </w:r>
      <w:r w:rsidRPr="009815DC">
        <w:t xml:space="preserve"> jak ma to miejsce m.in. w przypadku wydatków przeznaczanych na obronę narodową </w:t>
      </w:r>
      <w:bookmarkStart w:id="1" w:name="_Hlk77161971"/>
      <w:r w:rsidRPr="009815DC">
        <w:t xml:space="preserve">i wynika </w:t>
      </w:r>
      <w:r w:rsidRPr="009815DC">
        <w:lastRenderedPageBreak/>
        <w:t>z faktu, że wydatki przeznaczane na ochronę zdrowia, w tym nowe inicjatywy wymagające poniesienia określonych wydatków, będą mieściły się w ramach nakładów, o których mowa w art. 131c niniejszej ustawy</w:t>
      </w:r>
      <w:bookmarkEnd w:id="1"/>
      <w:r w:rsidRPr="009815DC">
        <w:t>.</w:t>
      </w:r>
    </w:p>
    <w:p w:rsidR="00EF145D" w:rsidRPr="009815DC" w:rsidRDefault="00EF145D" w:rsidP="00EF145D">
      <w:pPr>
        <w:pStyle w:val="ARTartustawynprozporzdzenia"/>
      </w:pPr>
      <w:r w:rsidRPr="009815DC">
        <w:t xml:space="preserve">Dodatkowo wprowadza się zmiany w ustawie z dnia 15 kwietnia 2011 r. o działalności leczniczej (Dz. U. z 2021 r. poz. 711). </w:t>
      </w:r>
      <w:bookmarkStart w:id="2" w:name="_Hlk78363487"/>
      <w:r w:rsidRPr="009815DC">
        <w:t xml:space="preserve">W wyroku (sygn. akt K 4/17) </w:t>
      </w:r>
      <w:bookmarkStart w:id="3" w:name="_Hlk78363472"/>
      <w:r w:rsidRPr="009815DC">
        <w:t>z dnia 20 listopada 2019 r.</w:t>
      </w:r>
      <w:bookmarkEnd w:id="3"/>
      <w:r w:rsidRPr="009815DC">
        <w:t xml:space="preserve"> Trybunał Konstytucyjny uznał przepis art. 59 ust. 2 ustawy z dnia 15 kwietnia 2011 r. o działalności leczniczej za niezgodny z konstytucją, w zakresie w jakim nakłada na samorząd województwa obowiązek finansowania z budżetu województwa świadcze</w:t>
      </w:r>
      <w:r>
        <w:t>ń</w:t>
      </w:r>
      <w:r w:rsidRPr="009815DC">
        <w:t xml:space="preserve"> opieki zdrowotnej zrealizowanych, zgodnie z obowiązującymi przepisami, w szczególności z art. 15 ww. ustawy</w:t>
      </w:r>
      <w:r w:rsidR="00251EAF">
        <w:t>,</w:t>
      </w:r>
      <w:r w:rsidRPr="009815DC">
        <w:t xml:space="preserve"> przez samodzielny publiczny zakład opieki zdrowotnej, dla którego samorząd województwa jest podmiotem tworzącym</w:t>
      </w:r>
      <w:r>
        <w:t>,</w:t>
      </w:r>
      <w:r w:rsidRPr="009815DC">
        <w:t xml:space="preserve"> ponad limit świadczeń sfinansowanych na podstawie umowy z Narodowym Funduszem Zdrowia. W myśl tego przepisu (w zakwestionowanym brzmieniu) podmioty tworzące, w tym jednostki samorządu terytorialnego, są zobowiązane pokryć stratę netto swoich samodzielnych publicznych zakładów opieki zdrowotnej</w:t>
      </w:r>
      <w:r w:rsidR="00E70A8E">
        <w:t>,</w:t>
      </w:r>
      <w:r w:rsidRPr="009815DC">
        <w:t xml:space="preserve"> w przypadku gdy same podmioty lecznicze nie są w stanie jej pokryć. W praktyce trudno byłoby ustalić</w:t>
      </w:r>
      <w:r>
        <w:t>,</w:t>
      </w:r>
      <w:r w:rsidRPr="009815DC">
        <w:t xml:space="preserve"> jaka część straty netto samodzielnych publicznych zakładów opieki zdrowotnej powstała w wyniku obowiązków nałożonych na nie, co Trybunał Konstytucyjny zakwalifikował jako obowiązek finansowania świadczeń opieki zdrowotnej, a jaka w wyniku nieprawidłowego zarządzania. Przepis w zaproponowanym brzmieniu daje podmiotowi tworzącemu, w tym jednostce samorządu terytorialnego, możliwość (w miejsce obowiązku) pokrycia straty netto samodzielnego publicznego zakładu opieki zdrowotnej, a jednocześnie będzie stanowił podstawę prawną (o charakterze fakultatywnym) do przekazania środków finansowych samodzielnemu publicznemu zakładowi</w:t>
      </w:r>
      <w:r w:rsidRPr="00342214">
        <w:t xml:space="preserve"> </w:t>
      </w:r>
      <w:r w:rsidRPr="009815DC">
        <w:t>opieki zdrowotnej na ten cel. Pokrycie straty netto samodzielnego publicznego zakładu opieki zdrowotnej (obligatoryjne albo fakultatywne) przez podmiot tworzący ma charakter wtórny i posiłkowy. Pierwotnie do pokrycia swojej straty netto jest zobowiązany sam samodzielny publiczny zakład opieki zdrowotnej, co jednoznacznie wynika z brzmienia art. 59 ust. 1 ww. ustawy.</w:t>
      </w:r>
    </w:p>
    <w:p w:rsidR="00EF145D" w:rsidRPr="009815DC" w:rsidRDefault="00EF145D" w:rsidP="00EF145D">
      <w:pPr>
        <w:pStyle w:val="NIEARTTEKSTtekstnieartykuowanynppodstprawnarozplubpreambua"/>
      </w:pPr>
      <w:r w:rsidRPr="009815DC">
        <w:t>Ponadto w art. 4 projektu ustawy wprowadza się przedłużenie obowiązywania aktualnych wykazów świadczeniodawców zakwalifikowanych do systemu podstawowego szpitalnego zabezpieczenia świadczeń opieki zdrowotnej (tzw. sieci szpitali) do dnia 30</w:t>
      </w:r>
      <w:r>
        <w:t> </w:t>
      </w:r>
      <w:r w:rsidRPr="009815DC">
        <w:t xml:space="preserve">czerwca 2022 r. Proponowane rozwiązanie jest uzasadnione z uwagi na szczególne warunki funkcjonowania opieki zdrowotnej w okresie trwającej pandemii COVID-19 i konieczność zapewnienia </w:t>
      </w:r>
      <w:r w:rsidRPr="009815DC">
        <w:lastRenderedPageBreak/>
        <w:t>stabilnych warunków realizacji świadczeń opieki zdrowotnej oraz dostępu do nich. Dodatkowo za przedłużeniem okresu obowiązywania obecnego wykazu przemawia również konieczność zmiany modelu organizacji, funkcjonowania i finansowania szpitali i wdrożenie nowych rozwiązań systemowych bez konieczności dokonywania zmian umów o udzielanie świadczeń opieki zdrowotnej.</w:t>
      </w:r>
    </w:p>
    <w:p w:rsidR="00EF145D" w:rsidRPr="009815DC" w:rsidRDefault="00EF145D" w:rsidP="00EF145D">
      <w:pPr>
        <w:pStyle w:val="NIEARTTEKSTtekstnieartykuowanynppodstprawnarozplubpreambua"/>
      </w:pPr>
      <w:r w:rsidRPr="009815DC">
        <w:t>W związku z powyższym znowelizowano przepis art. 2 ustawy dnia 17 marca 2021 r. o zmianie ustawy o zapobieganiu oraz zwalczaniu zakażeń i chorób zakaźnych u ludzi (Dz. U. poz. 616) stanowiący, że ww. wykazy obowiązują do dnia 31 grudnia 2021 r., a kolejna kwalifikacja świadczeniodawców do systemu podstawowego szpitalnego zabezpieczenia świadczeń opieki zdrowotnej powinna się odbyć do dnia 1 października 2021 r. W ww. przepisie uchylono ustęp 1 oraz dokonano zmiany terminu obowiązywania ww. wykazów z dnia 31 grudnia 2021 r. na dzień 30 czerwca 2022 r. (art. 4 projektu ustawy).</w:t>
      </w:r>
      <w:bookmarkEnd w:id="2"/>
      <w:r>
        <w:t xml:space="preserve">  Uchylenie przepisu określającego termin ogłoszenia nowych wykazów świadczeniodawców zakwalifikowanych do </w:t>
      </w:r>
      <w:r w:rsidRPr="00900387">
        <w:t>systemu podstawowego szpitalnego zabezpieczenia świadczeń opieki zdrowotnej</w:t>
      </w:r>
      <w:r>
        <w:t xml:space="preserve"> wynika z faktu, że w przypadku wydłużenia obowiązywania pierwszego wykazu do dnia 30 czerwca 2022 r., będzie miał zastosowanie  przepis art. 95n ust. 2 ustawy o świadczeniach, zgodnie z którym nowe wykazy ogłasza się do dnia 27 marca, z terminem obowiązywania od dnia 1 lipca.  </w:t>
      </w:r>
    </w:p>
    <w:p w:rsidR="00EF145D" w:rsidRPr="009815DC" w:rsidRDefault="00EF145D" w:rsidP="00EF145D">
      <w:pPr>
        <w:pStyle w:val="ARTartustawynprozporzdzenia"/>
      </w:pPr>
      <w:r w:rsidRPr="009815DC">
        <w:t>Projekt przewiduje, że ustawa wejdzie w życie po upływie 14 dni od dnia ogłoszenia.</w:t>
      </w:r>
    </w:p>
    <w:p w:rsidR="00EF145D" w:rsidRPr="009815DC" w:rsidRDefault="00EF145D" w:rsidP="00EF145D">
      <w:pPr>
        <w:pStyle w:val="ARTartustawynprozporzdzenia"/>
      </w:pPr>
      <w:r w:rsidRPr="009815DC">
        <w:t>Projekt ustawy nie jest objęty prawem Unii Europejskiej.</w:t>
      </w:r>
    </w:p>
    <w:p w:rsidR="00EF145D" w:rsidRPr="009815DC" w:rsidRDefault="00EF145D" w:rsidP="00EF145D">
      <w:pPr>
        <w:pStyle w:val="ARTartustawynprozporzdzenia"/>
      </w:pPr>
      <w:r w:rsidRPr="009815DC">
        <w:t>Projekt ustawy nie podlega obowiązkowi przedstawienia właściwym organom</w:t>
      </w:r>
      <w:r>
        <w:t xml:space="preserve"> </w:t>
      </w:r>
      <w:r w:rsidRPr="009815DC">
        <w:t>i instytucjom Unii Europejskiej, w tym Europejskiemu Bankowi Centralnemu, w celu uzyskania opinii, dokonania powiadomienia, konsultacji albo uzgodnienia.</w:t>
      </w:r>
    </w:p>
    <w:p w:rsidR="00EF145D" w:rsidRPr="009815DC" w:rsidRDefault="00EF145D" w:rsidP="00EF145D">
      <w:pPr>
        <w:pStyle w:val="ARTartustawynprozporzdzenia"/>
      </w:pPr>
      <w:r w:rsidRPr="009815DC">
        <w:t xml:space="preserve">Projekt ustawy będzie miał wpływ na działalność </w:t>
      </w:r>
      <w:proofErr w:type="spellStart"/>
      <w:r w:rsidRPr="009815DC">
        <w:t>mikroprzedsiębiorców</w:t>
      </w:r>
      <w:proofErr w:type="spellEnd"/>
      <w:r w:rsidRPr="009815DC">
        <w:t>, małych</w:t>
      </w:r>
      <w:r>
        <w:t xml:space="preserve"> </w:t>
      </w:r>
      <w:r w:rsidRPr="009815DC">
        <w:t>i średnich przedsiębiorców. Podmioty lecznicze będące przedsiębiorcami prowadzącymi szpitale obecnie zakwalifikowane do systemu podstawowego szpitalnego zabezpieczenia świadczeń opieki zdrowotnej uzyskają przedłużenie umów o udzielanie świadczeń opieki zdrowotnej na dotychczasowych warunkach o kolejne 6 miesięcy.</w:t>
      </w:r>
    </w:p>
    <w:p w:rsidR="00EF145D" w:rsidRPr="009815DC" w:rsidRDefault="00EF145D" w:rsidP="00EF145D">
      <w:pPr>
        <w:pStyle w:val="ARTartustawynprozporzdzenia"/>
      </w:pPr>
      <w:r w:rsidRPr="009815DC">
        <w:t xml:space="preserve">Projektowana ustawa nie zawiera przepisów technicznych w rozumieniu przepisów rozporządzenia Rady Ministrów z dnia 23 grudnia 2002 r. w sprawie sposobu funkcjonowania </w:t>
      </w:r>
      <w:r w:rsidRPr="009815DC">
        <w:lastRenderedPageBreak/>
        <w:t>krajowego systemu notyfikacji norm i aktów prawnych (Dz. U. poz. 2039 oraz z 2004 r. poz. 597) i w związku z tym nie podlega notyfikacji.</w:t>
      </w:r>
    </w:p>
    <w:p w:rsidR="00EF145D" w:rsidRPr="00737F6A" w:rsidRDefault="00EF145D" w:rsidP="00EF145D"/>
    <w:p w:rsidR="00D275BE" w:rsidRDefault="00D275BE"/>
    <w:sectPr w:rsidR="00D275BE" w:rsidSect="00EF14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D6D" w:rsidRDefault="004D5D6D" w:rsidP="00EF145D">
      <w:pPr>
        <w:spacing w:line="240" w:lineRule="auto"/>
      </w:pPr>
      <w:r>
        <w:separator/>
      </w:r>
    </w:p>
  </w:endnote>
  <w:endnote w:type="continuationSeparator" w:id="0">
    <w:p w:rsidR="004D5D6D" w:rsidRDefault="004D5D6D" w:rsidP="00EF1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5D" w:rsidRDefault="00EF14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442768"/>
      <w:docPartObj>
        <w:docPartGallery w:val="Page Numbers (Bottom of Page)"/>
        <w:docPartUnique/>
      </w:docPartObj>
    </w:sdtPr>
    <w:sdtEndPr/>
    <w:sdtContent>
      <w:p w:rsidR="00EF145D" w:rsidRDefault="00EF145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AE5">
          <w:rPr>
            <w:noProof/>
          </w:rPr>
          <w:t>5</w:t>
        </w:r>
        <w:r>
          <w:fldChar w:fldCharType="end"/>
        </w:r>
      </w:p>
    </w:sdtContent>
  </w:sdt>
  <w:p w:rsidR="00EF145D" w:rsidRDefault="00EF145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5D" w:rsidRDefault="00EF14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D6D" w:rsidRDefault="004D5D6D" w:rsidP="00EF145D">
      <w:pPr>
        <w:spacing w:line="240" w:lineRule="auto"/>
      </w:pPr>
      <w:r>
        <w:separator/>
      </w:r>
    </w:p>
  </w:footnote>
  <w:footnote w:type="continuationSeparator" w:id="0">
    <w:p w:rsidR="004D5D6D" w:rsidRDefault="004D5D6D" w:rsidP="00EF14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5D" w:rsidRDefault="00EF14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EF145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90AE5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5D" w:rsidRDefault="00EF145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5D"/>
    <w:rsid w:val="00082ACB"/>
    <w:rsid w:val="000A5880"/>
    <w:rsid w:val="00251EAF"/>
    <w:rsid w:val="00450833"/>
    <w:rsid w:val="004D5D6D"/>
    <w:rsid w:val="00AE7655"/>
    <w:rsid w:val="00B90AE5"/>
    <w:rsid w:val="00BB2747"/>
    <w:rsid w:val="00CC6296"/>
    <w:rsid w:val="00D275BE"/>
    <w:rsid w:val="00D9355F"/>
    <w:rsid w:val="00E70A8E"/>
    <w:rsid w:val="00E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543A30-CEF7-403D-AA0E-B2B07B13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45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EF145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F145D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F145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F145D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qFormat/>
    <w:rsid w:val="00EF145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EF145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145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45D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5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55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1352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Kołakowska Iwona</dc:creator>
  <cp:keywords/>
  <dc:description/>
  <cp:lastModifiedBy>Grażyna D. Grabowska</cp:lastModifiedBy>
  <cp:revision>2</cp:revision>
  <dcterms:created xsi:type="dcterms:W3CDTF">2021-08-03T09:04:00Z</dcterms:created>
  <dcterms:modified xsi:type="dcterms:W3CDTF">2021-08-03T09:04:00Z</dcterms:modified>
</cp:coreProperties>
</file>