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E8E6B" w14:textId="62AEABA5" w:rsidR="00323FC0" w:rsidRPr="00EE7FF7" w:rsidRDefault="006814C6" w:rsidP="00931E42">
      <w:pPr>
        <w:pStyle w:val="TYTUAKTUprzedmiotregulacjiustawylubrozporzdzenia"/>
        <w:rPr>
          <w:rFonts w:ascii="Times New Roman" w:hAnsi="Times New Roman" w:cs="Times New Roman"/>
          <w:b w:val="0"/>
        </w:rPr>
      </w:pPr>
      <w:bookmarkStart w:id="0" w:name="_GoBack"/>
      <w:bookmarkEnd w:id="0"/>
      <w:r w:rsidRPr="00EE7FF7">
        <w:rPr>
          <w:rFonts w:ascii="Times New Roman" w:hAnsi="Times New Roman" w:cs="Times New Roman"/>
          <w:b w:val="0"/>
        </w:rPr>
        <w:t>UZASADNIENIE</w:t>
      </w:r>
    </w:p>
    <w:p w14:paraId="3F8A878C" w14:textId="77777777" w:rsidR="00323FC0" w:rsidRPr="00F30ED8" w:rsidRDefault="006814C6" w:rsidP="00EE7FF7">
      <w:pPr>
        <w:pStyle w:val="NOTATKILEGISLATORA"/>
        <w:widowControl/>
        <w:spacing w:line="360" w:lineRule="auto"/>
        <w:jc w:val="both"/>
        <w:rPr>
          <w:rFonts w:ascii="Times New Roman" w:hAnsi="Times New Roman" w:cs="Times New Roman"/>
          <w:szCs w:val="24"/>
        </w:rPr>
      </w:pPr>
      <w:r w:rsidRPr="00F30ED8">
        <w:rPr>
          <w:rFonts w:ascii="Times New Roman" w:hAnsi="Times New Roman" w:cs="Times New Roman"/>
          <w:szCs w:val="24"/>
        </w:rPr>
        <w:t>1. Przyczyna i cel przyjęcia ustawy</w:t>
      </w:r>
    </w:p>
    <w:p w14:paraId="407ED62F" w14:textId="49150527" w:rsidR="00323FC0" w:rsidRPr="00931E42" w:rsidRDefault="00B752AD"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Dwadzieścia</w:t>
      </w:r>
      <w:r w:rsidR="006814C6" w:rsidRPr="00931E42">
        <w:rPr>
          <w:rFonts w:ascii="Times New Roman" w:hAnsi="Times New Roman" w:cs="Times New Roman"/>
          <w:szCs w:val="24"/>
        </w:rPr>
        <w:t xml:space="preserve"> lat po przyjęciu oraz ogłoszeniu w Dzienniku </w:t>
      </w:r>
      <w:r w:rsidR="00CC2FA9" w:rsidRPr="00931E42">
        <w:rPr>
          <w:rFonts w:ascii="Times New Roman" w:hAnsi="Times New Roman" w:cs="Times New Roman"/>
          <w:szCs w:val="24"/>
        </w:rPr>
        <w:t>Ustaw R</w:t>
      </w:r>
      <w:r w:rsidR="00FC72FF">
        <w:rPr>
          <w:rFonts w:ascii="Times New Roman" w:hAnsi="Times New Roman" w:cs="Times New Roman"/>
          <w:szCs w:val="24"/>
        </w:rPr>
        <w:t xml:space="preserve">zeczypospolitej </w:t>
      </w:r>
      <w:r w:rsidR="00CC2FA9" w:rsidRPr="00931E42">
        <w:rPr>
          <w:rFonts w:ascii="Times New Roman" w:hAnsi="Times New Roman" w:cs="Times New Roman"/>
          <w:szCs w:val="24"/>
        </w:rPr>
        <w:t>P</w:t>
      </w:r>
      <w:r w:rsidR="00FC72FF">
        <w:rPr>
          <w:rFonts w:ascii="Times New Roman" w:hAnsi="Times New Roman" w:cs="Times New Roman"/>
          <w:szCs w:val="24"/>
        </w:rPr>
        <w:t>olskiej</w:t>
      </w:r>
      <w:r w:rsidR="006814C6" w:rsidRPr="00931E42">
        <w:rPr>
          <w:rFonts w:ascii="Times New Roman" w:hAnsi="Times New Roman" w:cs="Times New Roman"/>
          <w:szCs w:val="24"/>
        </w:rPr>
        <w:t xml:space="preserve"> ustawy – Kodeks spółek handlowych, polska gospodarka swoim rozmiarem oraz złożonością nie przypomina stanu zastanego u progu stulecia.</w:t>
      </w:r>
    </w:p>
    <w:p w14:paraId="5CEB981F" w14:textId="556106F4" w:rsidR="00323FC0" w:rsidRPr="00EE7FF7" w:rsidRDefault="006814C6" w:rsidP="00EE7FF7">
      <w:pPr>
        <w:pStyle w:val="ARTartustawynprozporzdzenia"/>
        <w:ind w:firstLine="0"/>
        <w:rPr>
          <w:rFonts w:ascii="Times New Roman" w:hAnsi="Times New Roman" w:cs="Times New Roman"/>
          <w:szCs w:val="24"/>
        </w:rPr>
      </w:pPr>
      <w:r w:rsidRPr="005D5147">
        <w:rPr>
          <w:rFonts w:ascii="Times New Roman" w:hAnsi="Times New Roman" w:cs="Times New Roman"/>
          <w:szCs w:val="24"/>
        </w:rPr>
        <w:t>Aktualnie Polska jest jednym z najszybciej rozwijających się państw Unii Europejskiej oraz liderem gospodarczym pośród k</w:t>
      </w:r>
      <w:r w:rsidRPr="00DA4799">
        <w:rPr>
          <w:rFonts w:ascii="Times New Roman" w:hAnsi="Times New Roman" w:cs="Times New Roman"/>
          <w:szCs w:val="24"/>
        </w:rPr>
        <w:t>rajów Europy Środkowo-Wschodniej. Polscy przedsiębiorcy, prowadzący aktywność biznesową w formie spółek kapitałowych</w:t>
      </w:r>
      <w:r w:rsidR="001E7BE7">
        <w:rPr>
          <w:rFonts w:ascii="Times New Roman" w:hAnsi="Times New Roman" w:cs="Times New Roman"/>
          <w:szCs w:val="24"/>
        </w:rPr>
        <w:t>,</w:t>
      </w:r>
      <w:r w:rsidRPr="00DA4799">
        <w:rPr>
          <w:rFonts w:ascii="Times New Roman" w:hAnsi="Times New Roman" w:cs="Times New Roman"/>
          <w:szCs w:val="24"/>
        </w:rPr>
        <w:t xml:space="preserve"> to nie tylko producenci towarów i dostawcy usług rozpoznawanych w kraju, lecz również nierzadko doceniani za granicą eksporterzy zróżnicowa</w:t>
      </w:r>
      <w:r w:rsidRPr="00EE7FF7">
        <w:rPr>
          <w:rFonts w:ascii="Times New Roman" w:hAnsi="Times New Roman" w:cs="Times New Roman"/>
          <w:szCs w:val="24"/>
        </w:rPr>
        <w:t xml:space="preserve">nych produktów zaliczanych do rozlicznych branż, którzy przez lata </w:t>
      </w:r>
      <w:r w:rsidR="00FC72FF">
        <w:rPr>
          <w:rFonts w:ascii="Times New Roman" w:hAnsi="Times New Roman" w:cs="Times New Roman"/>
          <w:szCs w:val="24"/>
        </w:rPr>
        <w:t>wytężonej</w:t>
      </w:r>
      <w:r w:rsidR="00FC72FF" w:rsidRPr="00EE7FF7">
        <w:rPr>
          <w:rFonts w:ascii="Times New Roman" w:hAnsi="Times New Roman" w:cs="Times New Roman"/>
          <w:szCs w:val="24"/>
        </w:rPr>
        <w:t xml:space="preserve"> </w:t>
      </w:r>
      <w:r w:rsidRPr="00EE7FF7">
        <w:rPr>
          <w:rFonts w:ascii="Times New Roman" w:hAnsi="Times New Roman" w:cs="Times New Roman"/>
          <w:szCs w:val="24"/>
        </w:rPr>
        <w:t>pracy zgromadzili uznanie szerokiego grona wymagających kontrahentów.</w:t>
      </w:r>
    </w:p>
    <w:p w14:paraId="5537CF4D" w14:textId="77777777"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Polska coraz częściej staje się także miejscem wybieranym przez zagranicznych przedsiębiorców, którzy korzystając ze sprzyjających warunków biznesowych lokują w niej kapitał, w celu stworzenia przedsięwzięć biznesowych o zasięgu globalnym. Atrakcyjność krajowego systemu prawnego oraz zaplecza administracyjnego są dostrzegane przez obiektywnych obserwatorów światowych. Systematycznie już Polska zajmuje dobre pozycje w przeprowadzanym przez Bank Światowy globalnym rankingu „Doing Business”, oceniającym państwa pod kątem stopnia przyjazności siatki regulacyjnej z perspektywy podstawowych potrzeb biznesowych.</w:t>
      </w:r>
    </w:p>
    <w:p w14:paraId="5918A858" w14:textId="1ED7F18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Rzeczywistość prowadzenia aktywności gospodarczej ulega nieustannym przeobrażeniom, dlatego rolą ustawodawcy powinno być przyglądanie się realnym potrzebom jej uczestników oraz podejmowanie działań zmierzających do zwiększania efektywności procesów związanych z zarządzaniem przedsiębiorstwami. Lata dynamicznego rozkwitu gospodarki przyniosły wiele przykładów wskazujących, iż równolegle z ułatwieniami dla biznesu, prace legislacyjne powinny ogniskować się również na wzmocnieniu instrumentów służących wewnętrznemu nadzorowi podmiotów prowadzących działalność ekonomiczną. Pogoń za osiąganiem coraz to lepszych wskaźników wydolności operacyjnej nie może przekładać się na stwarzanie sytuacji potęgujących ryzyko, które będzie się wymykać wszelkim przewidzianym mechanizmom kontrolnym. W kontekście przedsiębiorców należy zaakcentować pewną bagatelizowaną </w:t>
      </w:r>
      <w:r w:rsidRPr="00EE7FF7">
        <w:rPr>
          <w:rFonts w:ascii="Times New Roman" w:hAnsi="Times New Roman" w:cs="Times New Roman"/>
          <w:szCs w:val="24"/>
        </w:rPr>
        <w:lastRenderedPageBreak/>
        <w:t>niekiedy tezę – działalność podmiotów realizujących określone przedsięwzięcia gospodarcze nie jest zawieszona w próżni, co skutkuje tym, iż zmaterializowanie się konkretnego zagrożenia związanego z ich aktywnością najczęściej nie pozostaje bez wpływu na podmioty wchodzące z nimi w interakcje gospodarcze czy szersze grono interesarius</w:t>
      </w:r>
      <w:r w:rsidR="004A6B9B" w:rsidRPr="00EE7FF7">
        <w:rPr>
          <w:rFonts w:ascii="Times New Roman" w:hAnsi="Times New Roman" w:cs="Times New Roman"/>
          <w:szCs w:val="24"/>
        </w:rPr>
        <w:t>zy (pracowników, kapitałodawców</w:t>
      </w:r>
      <w:r w:rsidRPr="00EE7FF7">
        <w:rPr>
          <w:rFonts w:ascii="Times New Roman" w:hAnsi="Times New Roman" w:cs="Times New Roman"/>
          <w:szCs w:val="24"/>
        </w:rPr>
        <w:t xml:space="preserve"> czy społeczność lokalną).</w:t>
      </w:r>
    </w:p>
    <w:p w14:paraId="21FF1CF9" w14:textId="6758BE4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 efekcie przeprowadzonych analiz</w:t>
      </w:r>
      <w:r w:rsidR="004A6B9B" w:rsidRPr="00EE7FF7">
        <w:rPr>
          <w:rFonts w:ascii="Times New Roman" w:hAnsi="Times New Roman" w:cs="Times New Roman"/>
          <w:szCs w:val="24"/>
        </w:rPr>
        <w:t>,</w:t>
      </w:r>
      <w:r w:rsidRPr="00EE7FF7">
        <w:rPr>
          <w:rFonts w:ascii="Times New Roman" w:hAnsi="Times New Roman" w:cs="Times New Roman"/>
          <w:szCs w:val="24"/>
        </w:rPr>
        <w:t xml:space="preserve"> sformułowano przedkładany projekt ustawy o zmianie ustawy – Kodeks spółek handlowych oraz niektórych innych ustaw, którego podstawowym celem jest wprowadzenie do polskiego prawa regulacji prawnej prawa holdingowego</w:t>
      </w:r>
      <w:r w:rsidR="00C027D4" w:rsidRPr="00EE7FF7">
        <w:rPr>
          <w:rFonts w:ascii="Times New Roman" w:hAnsi="Times New Roman" w:cs="Times New Roman"/>
          <w:szCs w:val="24"/>
        </w:rPr>
        <w:t xml:space="preserve"> </w:t>
      </w:r>
      <w:r w:rsidR="00736356" w:rsidRPr="00EE7FF7">
        <w:rPr>
          <w:rFonts w:ascii="Times New Roman" w:hAnsi="Times New Roman" w:cs="Times New Roman"/>
          <w:szCs w:val="24"/>
        </w:rPr>
        <w:t xml:space="preserve">(prawa grup spółek, prawa koncernowego), które – w szerokim znaczeniu doktrynalnym – reguluje relacje prywatno-prawne między spółką dominującą </w:t>
      </w:r>
      <w:r w:rsidR="00FC72FF">
        <w:rPr>
          <w:rFonts w:ascii="Times New Roman" w:hAnsi="Times New Roman" w:cs="Times New Roman"/>
          <w:szCs w:val="24"/>
        </w:rPr>
        <w:t>a</w:t>
      </w:r>
      <w:r w:rsidR="00736356" w:rsidRPr="00EE7FF7">
        <w:rPr>
          <w:rFonts w:ascii="Times New Roman" w:hAnsi="Times New Roman" w:cs="Times New Roman"/>
          <w:szCs w:val="24"/>
        </w:rPr>
        <w:t xml:space="preserve"> jej spółkami zależnymi, w sposób uwzględniający interes wierzycieli, członków organów oraz drobnych wspólników (akcjonariuszy) spółki zależnej, </w:t>
      </w:r>
      <w:r w:rsidRPr="00EE7FF7">
        <w:rPr>
          <w:rFonts w:ascii="Times New Roman" w:hAnsi="Times New Roman" w:cs="Times New Roman"/>
          <w:szCs w:val="24"/>
        </w:rPr>
        <w:t>jak również wyposażenie rad nadzorczych w narzędzia umożliwiające prowadzenie bardziej efektywnego nadzoru korporacyjnego</w:t>
      </w:r>
      <w:r w:rsidR="00736356" w:rsidRPr="00EE7FF7">
        <w:rPr>
          <w:rFonts w:ascii="Times New Roman" w:hAnsi="Times New Roman" w:cs="Times New Roman"/>
          <w:szCs w:val="24"/>
        </w:rPr>
        <w:t xml:space="preserve">, a także wyeliminowanie wątpliwości podnoszonych przez przedsiębiorców i przedstawicieli doktryny. W związku z powyższym wyróżnić należy zbiór przepisów, w ogólnym ujęciu zmierzających do poprawienia efektywności funkcjonowania spółek oraz porządkujących część regulacji </w:t>
      </w:r>
      <w:r w:rsidR="00F5598A" w:rsidRPr="00EE7FF7">
        <w:rPr>
          <w:rFonts w:ascii="Times New Roman" w:hAnsi="Times New Roman" w:cs="Times New Roman"/>
          <w:szCs w:val="24"/>
        </w:rPr>
        <w:t>Kodeksu spółek handlowych (dalej również jako: „</w:t>
      </w:r>
      <w:r w:rsidR="000A51EC" w:rsidRPr="00EE7FF7">
        <w:rPr>
          <w:rFonts w:ascii="Times New Roman" w:hAnsi="Times New Roman" w:cs="Times New Roman"/>
          <w:szCs w:val="24"/>
        </w:rPr>
        <w:t>KSH</w:t>
      </w:r>
      <w:r w:rsidR="00F5598A" w:rsidRPr="00EE7FF7">
        <w:rPr>
          <w:rFonts w:ascii="Times New Roman" w:hAnsi="Times New Roman" w:cs="Times New Roman"/>
          <w:szCs w:val="24"/>
        </w:rPr>
        <w:t>”)</w:t>
      </w:r>
      <w:r w:rsidR="00736356" w:rsidRPr="00EE7FF7">
        <w:rPr>
          <w:rFonts w:ascii="Times New Roman" w:hAnsi="Times New Roman" w:cs="Times New Roman"/>
          <w:szCs w:val="24"/>
        </w:rPr>
        <w:t>, która od lat sprawiała trudności interpretacyjne.</w:t>
      </w:r>
    </w:p>
    <w:p w14:paraId="1319FADC" w14:textId="693C464B" w:rsidR="00323FC0" w:rsidRPr="009A22A3" w:rsidRDefault="006814C6" w:rsidP="00EE7FF7">
      <w:pPr>
        <w:pStyle w:val="ARTartustawynprozporzdzenia"/>
        <w:spacing w:before="240"/>
        <w:ind w:firstLine="0"/>
        <w:rPr>
          <w:rFonts w:ascii="Times New Roman" w:hAnsi="Times New Roman" w:cs="Times New Roman"/>
          <w:szCs w:val="24"/>
        </w:rPr>
      </w:pPr>
      <w:r w:rsidRPr="009A22A3">
        <w:rPr>
          <w:rFonts w:ascii="Times New Roman" w:hAnsi="Times New Roman" w:cs="Times New Roman"/>
          <w:b/>
          <w:bCs/>
          <w:i/>
          <w:iCs/>
          <w:szCs w:val="24"/>
        </w:rPr>
        <w:t>2. Uwagi ogólne dotyczące wprowadzenia regulacji prawa holdingowego</w:t>
      </w:r>
    </w:p>
    <w:p w14:paraId="66B97BAC" w14:textId="765DAAEA" w:rsidR="00323FC0" w:rsidRPr="00EE7FF7" w:rsidRDefault="006814C6" w:rsidP="00EE7FF7">
      <w:pPr>
        <w:pStyle w:val="Standard"/>
        <w:widowControl/>
        <w:spacing w:line="360" w:lineRule="auto"/>
        <w:jc w:val="both"/>
        <w:rPr>
          <w:rFonts w:ascii="Times New Roman" w:hAnsi="Times New Roman" w:cs="Times New Roman"/>
          <w:szCs w:val="24"/>
        </w:rPr>
      </w:pPr>
      <w:r w:rsidRPr="00EE7FF7">
        <w:rPr>
          <w:rFonts w:ascii="Times New Roman" w:hAnsi="Times New Roman" w:cs="Times New Roman"/>
          <w:szCs w:val="24"/>
        </w:rPr>
        <w:t>2.1. Pierwsza część niniejszego projektu dotyczy wprowadzenia do polskiego prawa spółek handlowych regulacji prawnej t</w:t>
      </w:r>
      <w:r w:rsidR="00A37558" w:rsidRPr="00EE7FF7">
        <w:rPr>
          <w:rFonts w:ascii="Times New Roman" w:hAnsi="Times New Roman" w:cs="Times New Roman"/>
          <w:szCs w:val="24"/>
        </w:rPr>
        <w:t>ak zwanego</w:t>
      </w:r>
      <w:r w:rsidRPr="00EE7FF7">
        <w:rPr>
          <w:rFonts w:ascii="Times New Roman" w:hAnsi="Times New Roman" w:cs="Times New Roman"/>
          <w:szCs w:val="24"/>
        </w:rPr>
        <w:t xml:space="preserve"> prawa holdingowego (prawa grup spółek, prawa koncernowego), które – w szerokim znaczeniu doktrynalnym – reguluje relacje prywatno-prawne między spółką dominującą </w:t>
      </w:r>
      <w:r w:rsidR="009A22A3">
        <w:rPr>
          <w:rFonts w:ascii="Times New Roman" w:hAnsi="Times New Roman" w:cs="Times New Roman"/>
          <w:szCs w:val="24"/>
        </w:rPr>
        <w:t>a</w:t>
      </w:r>
      <w:r w:rsidRPr="00EE7FF7">
        <w:rPr>
          <w:rFonts w:ascii="Times New Roman" w:hAnsi="Times New Roman" w:cs="Times New Roman"/>
          <w:szCs w:val="24"/>
        </w:rPr>
        <w:t xml:space="preserve"> jej spółkami zależnymi, w sposób uwzględniający interes wierzycieli, członków organów oraz drobnych wspólników (akcjonariuszy)</w:t>
      </w:r>
      <w:r w:rsidR="009A22A3">
        <w:rPr>
          <w:rFonts w:ascii="Times New Roman" w:hAnsi="Times New Roman" w:cs="Times New Roman"/>
          <w:szCs w:val="24"/>
        </w:rPr>
        <w:t>,</w:t>
      </w:r>
      <w:r w:rsidRPr="00EE7FF7">
        <w:rPr>
          <w:rFonts w:ascii="Times New Roman" w:hAnsi="Times New Roman" w:cs="Times New Roman"/>
          <w:szCs w:val="24"/>
        </w:rPr>
        <w:t xml:space="preserve"> zwłaszcza spółki zależnej.</w:t>
      </w:r>
      <w:r w:rsidR="004115F3" w:rsidRPr="00EE7FF7">
        <w:rPr>
          <w:rFonts w:ascii="Times New Roman" w:hAnsi="Times New Roman" w:cs="Times New Roman"/>
          <w:szCs w:val="24"/>
        </w:rPr>
        <w:t xml:space="preserve"> Tak jak wspomniano, nowe przepisy dotyczą jedynie sfery prywatnoprawnej, tak więc nie mają wpływu na obowiązywanie norm prawa publicznego, w tym norm prawa podatkowego.</w:t>
      </w:r>
    </w:p>
    <w:p w14:paraId="74CA66B3" w14:textId="1A6D6330"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2.2. Potrzeba wprowadzenia powyższej regulacji prawnej nie wynika z konieczności dostosowania polskiego prawa spółek handlowych do prawa europejskiego, gdyż planowany projekt Dziewiątej Dyrektywy Unii Europejskiej o prawie koncernowym (holdingowym) z 1985 roku nie stał się nawet oficjalnym projektem Rady WE, zaś prace </w:t>
      </w:r>
      <w:r w:rsidRPr="00F30ED8">
        <w:rPr>
          <w:rFonts w:ascii="Times New Roman" w:hAnsi="Times New Roman" w:cs="Times New Roman"/>
          <w:szCs w:val="24"/>
        </w:rPr>
        <w:lastRenderedPageBreak/>
        <w:t>nad nim zostały definitywnie zaprzestane. Wynika ona natomiast z postulatów zgłaszanych przez przedsiębiorców działających w stosunkach dominacji i zależności.</w:t>
      </w:r>
      <w:r w:rsidR="00DF530A" w:rsidRPr="00931E42">
        <w:rPr>
          <w:rFonts w:ascii="Times New Roman" w:hAnsi="Times New Roman" w:cs="Times New Roman"/>
          <w:szCs w:val="24"/>
        </w:rPr>
        <w:t xml:space="preserve"> </w:t>
      </w:r>
    </w:p>
    <w:p w14:paraId="13D2CC7A" w14:textId="6E33FFD6"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Lista potrzeb i zarazem oczekiwań pod adresem ustawodawcy jest obszerna. Lista ta wychodzi nawet poza prawo prywatne, obejmując </w:t>
      </w:r>
      <w:r w:rsidR="001C6010" w:rsidRPr="00931E42">
        <w:rPr>
          <w:rFonts w:ascii="Times New Roman" w:hAnsi="Times New Roman" w:cs="Times New Roman"/>
          <w:szCs w:val="24"/>
        </w:rPr>
        <w:t>między innymi</w:t>
      </w:r>
      <w:r w:rsidRPr="00931E42">
        <w:rPr>
          <w:rFonts w:ascii="Times New Roman" w:hAnsi="Times New Roman" w:cs="Times New Roman"/>
          <w:szCs w:val="24"/>
        </w:rPr>
        <w:t xml:space="preserve"> kwestie opodatkowania transakcji przy zastosowaniu t</w:t>
      </w:r>
      <w:r w:rsidR="00A37558" w:rsidRPr="00931E42">
        <w:rPr>
          <w:rFonts w:ascii="Times New Roman" w:hAnsi="Times New Roman" w:cs="Times New Roman"/>
          <w:szCs w:val="24"/>
        </w:rPr>
        <w:t>ak zwanych</w:t>
      </w:r>
      <w:r w:rsidRPr="00931E42">
        <w:rPr>
          <w:rFonts w:ascii="Times New Roman" w:hAnsi="Times New Roman" w:cs="Times New Roman"/>
          <w:szCs w:val="24"/>
        </w:rPr>
        <w:t xml:space="preserve"> cen transferowych.</w:t>
      </w:r>
    </w:p>
    <w:p w14:paraId="18FB2A15" w14:textId="2C0E36C8" w:rsidR="00323FC0" w:rsidRPr="00DA4799"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2.3. Prawo holdingowe (prawo grup spółek) w znaczeniu doktrynalnym stanowi materię </w:t>
      </w:r>
      <w:r w:rsidRPr="005D5147">
        <w:rPr>
          <w:rFonts w:ascii="Times New Roman" w:hAnsi="Times New Roman" w:cs="Times New Roman"/>
          <w:szCs w:val="24"/>
        </w:rPr>
        <w:t xml:space="preserve">prawa spółek handlowych. Stąd miejscem właściwym na jego regulację prawną – ponad wszelką wątpliwość – jest </w:t>
      </w:r>
      <w:r w:rsidR="003A59B0" w:rsidRPr="00DA4799">
        <w:rPr>
          <w:rFonts w:ascii="Times New Roman" w:hAnsi="Times New Roman" w:cs="Times New Roman"/>
          <w:szCs w:val="24"/>
        </w:rPr>
        <w:t>K</w:t>
      </w:r>
      <w:r w:rsidRPr="00DA4799">
        <w:rPr>
          <w:rFonts w:ascii="Times New Roman" w:hAnsi="Times New Roman" w:cs="Times New Roman"/>
          <w:szCs w:val="24"/>
        </w:rPr>
        <w:t>odeks spółek handlowych.</w:t>
      </w:r>
    </w:p>
    <w:p w14:paraId="768A1F39" w14:textId="61007402"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Kompleksowe uregulowanie ogółu problemów publiczno- i prywatno-prawnych (w tym kwestii cen transferowych oraz kwestii bilansowych) w jednej ustawie szczególnej wydaje się mało realne. Pomijając trudne do przeprowadzenia zmiany w prawie podatkowym</w:t>
      </w:r>
      <w:r w:rsidR="004A6B9B" w:rsidRPr="00EE7FF7">
        <w:rPr>
          <w:rFonts w:ascii="Times New Roman" w:hAnsi="Times New Roman" w:cs="Times New Roman"/>
          <w:szCs w:val="24"/>
        </w:rPr>
        <w:t>,</w:t>
      </w:r>
      <w:r w:rsidRPr="00EE7FF7">
        <w:rPr>
          <w:rFonts w:ascii="Times New Roman" w:hAnsi="Times New Roman" w:cs="Times New Roman"/>
          <w:szCs w:val="24"/>
        </w:rPr>
        <w:t xml:space="preserve"> nie jest właściwe uregulowanie we wspólnej ustawie funkcjonowania szczególnych grup kapitałowych, na przykład bankowej grupy kapitałowej, która podlega szczególnemu nadzorowi skonsolidowanemu (art. 141</w:t>
      </w:r>
      <w:r w:rsidR="00BD6487" w:rsidRPr="00EE7FF7">
        <w:rPr>
          <w:rStyle w:val="IGindeksgrny"/>
          <w:rFonts w:ascii="Times New Roman" w:hAnsi="Times New Roman" w:cs="Times New Roman"/>
          <w:szCs w:val="24"/>
          <w:vertAlign w:val="baseline"/>
        </w:rPr>
        <w:t>f</w:t>
      </w:r>
      <w:r w:rsidRPr="00EE7FF7">
        <w:rPr>
          <w:rFonts w:ascii="Times New Roman" w:hAnsi="Times New Roman" w:cs="Times New Roman"/>
          <w:szCs w:val="24"/>
        </w:rPr>
        <w:t>–141</w:t>
      </w:r>
      <w:r w:rsidR="00BD6487" w:rsidRPr="00EE7FF7">
        <w:rPr>
          <w:rStyle w:val="IGindeksgrny"/>
          <w:rFonts w:ascii="Times New Roman" w:hAnsi="Times New Roman" w:cs="Times New Roman"/>
          <w:szCs w:val="24"/>
          <w:vertAlign w:val="baseline"/>
        </w:rPr>
        <w:t>l</w:t>
      </w:r>
      <w:r w:rsidRPr="00EE7FF7">
        <w:rPr>
          <w:rFonts w:ascii="Times New Roman" w:hAnsi="Times New Roman" w:cs="Times New Roman"/>
          <w:szCs w:val="24"/>
        </w:rPr>
        <w:t xml:space="preserve"> </w:t>
      </w:r>
      <w:r w:rsidR="00F44E01" w:rsidRPr="00123222">
        <w:rPr>
          <w:rFonts w:ascii="Times New Roman" w:hAnsi="Times New Roman" w:cs="Times New Roman"/>
          <w:szCs w:val="24"/>
        </w:rPr>
        <w:t xml:space="preserve">ustawy </w:t>
      </w:r>
      <w:r w:rsidR="00DF530A" w:rsidRPr="00123222">
        <w:rPr>
          <w:rFonts w:ascii="Times New Roman" w:hAnsi="Times New Roman" w:cs="Times New Roman"/>
          <w:szCs w:val="24"/>
        </w:rPr>
        <w:t>–</w:t>
      </w:r>
      <w:r w:rsidR="00F44E01" w:rsidRPr="00123222">
        <w:rPr>
          <w:rFonts w:ascii="Times New Roman" w:hAnsi="Times New Roman" w:cs="Times New Roman"/>
          <w:szCs w:val="24"/>
        </w:rPr>
        <w:t xml:space="preserve"> </w:t>
      </w:r>
      <w:r w:rsidRPr="00123222">
        <w:rPr>
          <w:rFonts w:ascii="Times New Roman" w:hAnsi="Times New Roman" w:cs="Times New Roman"/>
          <w:szCs w:val="24"/>
        </w:rPr>
        <w:t xml:space="preserve">Prawo </w:t>
      </w:r>
      <w:r w:rsidR="00F44E01" w:rsidRPr="00123222">
        <w:rPr>
          <w:rFonts w:ascii="Times New Roman" w:hAnsi="Times New Roman" w:cs="Times New Roman"/>
          <w:szCs w:val="24"/>
        </w:rPr>
        <w:t>b</w:t>
      </w:r>
      <w:r w:rsidRPr="00123222">
        <w:rPr>
          <w:rFonts w:ascii="Times New Roman" w:hAnsi="Times New Roman" w:cs="Times New Roman"/>
          <w:szCs w:val="24"/>
        </w:rPr>
        <w:t xml:space="preserve">ankowe i art. 4 </w:t>
      </w:r>
      <w:r w:rsidR="00A37558" w:rsidRPr="00123222">
        <w:rPr>
          <w:rFonts w:ascii="Times New Roman" w:hAnsi="Times New Roman" w:cs="Times New Roman"/>
          <w:szCs w:val="24"/>
        </w:rPr>
        <w:t>ust</w:t>
      </w:r>
      <w:r w:rsidR="007D230F" w:rsidRPr="00123222">
        <w:rPr>
          <w:rFonts w:ascii="Times New Roman" w:hAnsi="Times New Roman" w:cs="Times New Roman"/>
          <w:szCs w:val="24"/>
        </w:rPr>
        <w:t>.</w:t>
      </w:r>
      <w:r w:rsidRPr="00123222">
        <w:rPr>
          <w:rFonts w:ascii="Times New Roman" w:hAnsi="Times New Roman" w:cs="Times New Roman"/>
          <w:szCs w:val="24"/>
        </w:rPr>
        <w:t xml:space="preserve"> 1 pkt 11a–11c </w:t>
      </w:r>
      <w:r w:rsidR="00F44E01" w:rsidRPr="00123222">
        <w:rPr>
          <w:rFonts w:ascii="Times New Roman" w:hAnsi="Times New Roman" w:cs="Times New Roman"/>
          <w:szCs w:val="24"/>
        </w:rPr>
        <w:t xml:space="preserve">ustawy </w:t>
      </w:r>
      <w:r w:rsidR="00DF530A" w:rsidRPr="00123222">
        <w:rPr>
          <w:rFonts w:ascii="Times New Roman" w:hAnsi="Times New Roman" w:cs="Times New Roman"/>
          <w:szCs w:val="24"/>
        </w:rPr>
        <w:t>–</w:t>
      </w:r>
      <w:r w:rsidR="00F44E01" w:rsidRPr="00123222">
        <w:rPr>
          <w:rFonts w:ascii="Times New Roman" w:hAnsi="Times New Roman" w:cs="Times New Roman"/>
          <w:szCs w:val="24"/>
        </w:rPr>
        <w:t xml:space="preserve"> </w:t>
      </w:r>
      <w:r w:rsidRPr="00123222">
        <w:rPr>
          <w:rFonts w:ascii="Times New Roman" w:hAnsi="Times New Roman" w:cs="Times New Roman"/>
          <w:szCs w:val="24"/>
        </w:rPr>
        <w:t xml:space="preserve">Prawo </w:t>
      </w:r>
      <w:r w:rsidR="00F44E01" w:rsidRPr="00123222">
        <w:rPr>
          <w:rFonts w:ascii="Times New Roman" w:hAnsi="Times New Roman" w:cs="Times New Roman"/>
          <w:szCs w:val="24"/>
        </w:rPr>
        <w:t>b</w:t>
      </w:r>
      <w:r w:rsidRPr="00123222">
        <w:rPr>
          <w:rFonts w:ascii="Times New Roman" w:hAnsi="Times New Roman" w:cs="Times New Roman"/>
          <w:szCs w:val="24"/>
        </w:rPr>
        <w:t>ankowe).</w:t>
      </w:r>
    </w:p>
    <w:p w14:paraId="2BDCC55E" w14:textId="655DD305"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2.4. W regulacji prywatno-prawnej prawa holdingowego, czyli w ramach </w:t>
      </w:r>
      <w:r w:rsidR="003A59B0" w:rsidRPr="00F30ED8">
        <w:rPr>
          <w:rFonts w:ascii="Times New Roman" w:hAnsi="Times New Roman" w:cs="Times New Roman"/>
          <w:szCs w:val="24"/>
        </w:rPr>
        <w:t>K</w:t>
      </w:r>
      <w:r w:rsidRPr="00F30ED8">
        <w:rPr>
          <w:rFonts w:ascii="Times New Roman" w:hAnsi="Times New Roman" w:cs="Times New Roman"/>
          <w:szCs w:val="24"/>
        </w:rPr>
        <w:t>odeksu spółek handlowych</w:t>
      </w:r>
      <w:r w:rsidR="007D230F" w:rsidRPr="00931E42">
        <w:rPr>
          <w:rFonts w:ascii="Times New Roman" w:hAnsi="Times New Roman" w:cs="Times New Roman"/>
          <w:szCs w:val="24"/>
        </w:rPr>
        <w:t>,</w:t>
      </w:r>
      <w:r w:rsidRPr="00931E42">
        <w:rPr>
          <w:rFonts w:ascii="Times New Roman" w:hAnsi="Times New Roman" w:cs="Times New Roman"/>
          <w:szCs w:val="24"/>
        </w:rPr>
        <w:t xml:space="preserve"> możliwe są dwa warianty, </w:t>
      </w:r>
      <w:r w:rsidR="00245F5C" w:rsidRPr="00931E42">
        <w:rPr>
          <w:rFonts w:ascii="Times New Roman" w:hAnsi="Times New Roman" w:cs="Times New Roman"/>
          <w:szCs w:val="24"/>
        </w:rPr>
        <w:t>to jest</w:t>
      </w:r>
      <w:r w:rsidRPr="00931E42">
        <w:rPr>
          <w:rFonts w:ascii="Times New Roman" w:hAnsi="Times New Roman" w:cs="Times New Roman"/>
          <w:szCs w:val="24"/>
        </w:rPr>
        <w:t xml:space="preserve"> wariant pełnej regulacji – wariant pierwszy</w:t>
      </w:r>
      <w:r w:rsidR="007D230F" w:rsidRPr="00931E42">
        <w:rPr>
          <w:rFonts w:ascii="Times New Roman" w:hAnsi="Times New Roman" w:cs="Times New Roman"/>
          <w:szCs w:val="24"/>
        </w:rPr>
        <w:t>,</w:t>
      </w:r>
      <w:r w:rsidRPr="00931E42">
        <w:rPr>
          <w:rFonts w:ascii="Times New Roman" w:hAnsi="Times New Roman" w:cs="Times New Roman"/>
          <w:szCs w:val="24"/>
        </w:rPr>
        <w:t xml:space="preserve"> oraz wariant braku regulacji bądź regulacji ograniczonej (szczątkowej) – wariant drugi.</w:t>
      </w:r>
    </w:p>
    <w:p w14:paraId="4F8C8422" w14:textId="696F4A08" w:rsidR="00323FC0" w:rsidRPr="00DA4799"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Wariant pierwszy występuje zdecydowanie rzadziej w ramach prawa krajowego państw należący</w:t>
      </w:r>
      <w:r w:rsidRPr="005D5147">
        <w:rPr>
          <w:rFonts w:ascii="Times New Roman" w:hAnsi="Times New Roman" w:cs="Times New Roman"/>
          <w:szCs w:val="24"/>
        </w:rPr>
        <w:t xml:space="preserve">ch do Unii Europejskiej. Chodzi tu w szczególności o regulację niemiecką (§ 291–337 AktG z 6.09.1965 r.), portugalską (art. 488–508 Decreto Lei 262/86 z 2.09.1986 r.), słoweńską (art. 460–569 ustawy o spółkach gospodarczych z 10.06.1993 r.) oraz czeską </w:t>
      </w:r>
      <w:r w:rsidRPr="00DA4799">
        <w:rPr>
          <w:rFonts w:ascii="Times New Roman" w:hAnsi="Times New Roman" w:cs="Times New Roman"/>
          <w:szCs w:val="24"/>
        </w:rPr>
        <w:t xml:space="preserve">(§ 190 a.–§ 190 d. </w:t>
      </w:r>
      <w:r w:rsidR="00F1601C">
        <w:rPr>
          <w:rFonts w:ascii="Times New Roman" w:hAnsi="Times New Roman" w:cs="Times New Roman"/>
          <w:szCs w:val="24"/>
        </w:rPr>
        <w:t>K</w:t>
      </w:r>
      <w:r w:rsidRPr="00DA4799">
        <w:rPr>
          <w:rFonts w:ascii="Times New Roman" w:hAnsi="Times New Roman" w:cs="Times New Roman"/>
          <w:szCs w:val="24"/>
        </w:rPr>
        <w:t>odeksu handlowego z 1991 r. ze zm.).</w:t>
      </w:r>
    </w:p>
    <w:p w14:paraId="5CB5F626" w14:textId="0F18C49F" w:rsidR="00323FC0" w:rsidRPr="00EE7FF7" w:rsidRDefault="006814C6"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 xml:space="preserve">Wariant drugi występuje natomiast w pozostałych krajach Unii Europejskiej, a </w:t>
      </w:r>
      <w:r w:rsidR="005C3C41">
        <w:rPr>
          <w:rFonts w:ascii="Times New Roman" w:hAnsi="Times New Roman" w:cs="Times New Roman"/>
          <w:szCs w:val="24"/>
        </w:rPr>
        <w:t>po</w:t>
      </w:r>
      <w:r w:rsidRPr="00123222">
        <w:rPr>
          <w:rFonts w:ascii="Times New Roman" w:hAnsi="Times New Roman" w:cs="Times New Roman"/>
          <w:szCs w:val="24"/>
        </w:rPr>
        <w:t xml:space="preserve">nadto w Stanach Zjednoczonych, gdyż zasadnicze problemy prawne składające się na prawo holdingowe w rozumieniu doktrynalnym są rozwiązywane przez orzecznictwo sądowe bądź poglądy nauki prawa. Dotyczy to w szczególności: a) </w:t>
      </w:r>
      <w:r w:rsidR="00A37558" w:rsidRPr="00EE7FF7">
        <w:rPr>
          <w:rFonts w:ascii="Times New Roman" w:hAnsi="Times New Roman" w:cs="Times New Roman"/>
          <w:szCs w:val="24"/>
        </w:rPr>
        <w:t>tak zwanej</w:t>
      </w:r>
      <w:r w:rsidRPr="00EE7FF7">
        <w:rPr>
          <w:rFonts w:ascii="Times New Roman" w:hAnsi="Times New Roman" w:cs="Times New Roman"/>
          <w:szCs w:val="24"/>
        </w:rPr>
        <w:t xml:space="preserve"> koncepcji „przek</w:t>
      </w:r>
      <w:r w:rsidR="00A00B07" w:rsidRPr="00EE7FF7">
        <w:rPr>
          <w:rFonts w:ascii="Times New Roman" w:hAnsi="Times New Roman" w:cs="Times New Roman"/>
          <w:szCs w:val="24"/>
        </w:rPr>
        <w:t>ł</w:t>
      </w:r>
      <w:r w:rsidRPr="00EE7FF7">
        <w:rPr>
          <w:rFonts w:ascii="Times New Roman" w:hAnsi="Times New Roman" w:cs="Times New Roman"/>
          <w:szCs w:val="24"/>
        </w:rPr>
        <w:t>uwania welonu korporacyjnego” (</w:t>
      </w:r>
      <w:r w:rsidRPr="00EE7FF7">
        <w:rPr>
          <w:rFonts w:ascii="Times New Roman" w:hAnsi="Times New Roman" w:cs="Times New Roman"/>
          <w:i/>
          <w:szCs w:val="24"/>
        </w:rPr>
        <w:t>piercing the corporate veil</w:t>
      </w:r>
      <w:r w:rsidRPr="00EE7FF7">
        <w:rPr>
          <w:rFonts w:ascii="Times New Roman" w:hAnsi="Times New Roman" w:cs="Times New Roman"/>
          <w:szCs w:val="24"/>
        </w:rPr>
        <w:t xml:space="preserve">), czyli przyjęcia odpowiedzialności spółki dominującej względem wierzycieli spółki zależnej, w sytuacji, gdyby korzystanie z ograniczenia odpowiedzialności spółki dominującej jako wspólnika w kapitałowej spółce zależnej prowadziło do nadużycia prawa, czy też b) </w:t>
      </w:r>
      <w:r w:rsidR="00A37558" w:rsidRPr="00EE7FF7">
        <w:rPr>
          <w:rFonts w:ascii="Times New Roman" w:hAnsi="Times New Roman" w:cs="Times New Roman"/>
          <w:szCs w:val="24"/>
        </w:rPr>
        <w:t>tak zwanego</w:t>
      </w:r>
      <w:r w:rsidRPr="00EE7FF7">
        <w:rPr>
          <w:rFonts w:ascii="Times New Roman" w:hAnsi="Times New Roman" w:cs="Times New Roman"/>
          <w:szCs w:val="24"/>
        </w:rPr>
        <w:t xml:space="preserve"> </w:t>
      </w:r>
      <w:r w:rsidRPr="00EE7FF7">
        <w:rPr>
          <w:rFonts w:ascii="Times New Roman" w:hAnsi="Times New Roman" w:cs="Times New Roman"/>
          <w:szCs w:val="24"/>
        </w:rPr>
        <w:lastRenderedPageBreak/>
        <w:t>kazusu Rozenbluma, a więc zwolnienia z odpowiedzialności członka zarządu spółki zależnej, który wykonał szkodliwe dla tej spółki polecenia spółki dominującej, leżące jednak w interesie grupy spółek, z możliwością wyrównania w przyszłości spółce zależnej poniesionej przez nią szkody.</w:t>
      </w:r>
    </w:p>
    <w:p w14:paraId="4BB0FBED" w14:textId="0843D56F"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2.5. W pracach legislacyjnych nad </w:t>
      </w:r>
      <w:r w:rsidR="003A59B0" w:rsidRPr="00EE7FF7">
        <w:rPr>
          <w:rFonts w:ascii="Times New Roman" w:hAnsi="Times New Roman" w:cs="Times New Roman"/>
          <w:szCs w:val="24"/>
        </w:rPr>
        <w:t>K</w:t>
      </w:r>
      <w:r w:rsidRPr="00EE7FF7">
        <w:rPr>
          <w:rFonts w:ascii="Times New Roman" w:hAnsi="Times New Roman" w:cs="Times New Roman"/>
          <w:szCs w:val="24"/>
        </w:rPr>
        <w:t>odeksem spółek handlowych w 2000 r</w:t>
      </w:r>
      <w:r w:rsidR="005C3C41">
        <w:rPr>
          <w:rFonts w:ascii="Times New Roman" w:hAnsi="Times New Roman" w:cs="Times New Roman"/>
          <w:szCs w:val="24"/>
        </w:rPr>
        <w:t>.</w:t>
      </w:r>
      <w:r w:rsidRPr="00EE7FF7">
        <w:rPr>
          <w:rFonts w:ascii="Times New Roman" w:hAnsi="Times New Roman" w:cs="Times New Roman"/>
          <w:szCs w:val="24"/>
        </w:rPr>
        <w:t xml:space="preserve"> przyjęto koncepcję ograniczonej (szczątkowej) regulacji prawa holdingowego w ramach tego </w:t>
      </w:r>
      <w:r w:rsidR="00F1601C">
        <w:rPr>
          <w:rFonts w:ascii="Times New Roman" w:hAnsi="Times New Roman" w:cs="Times New Roman"/>
          <w:szCs w:val="24"/>
        </w:rPr>
        <w:t>K</w:t>
      </w:r>
      <w:r w:rsidRPr="00EE7FF7">
        <w:rPr>
          <w:rFonts w:ascii="Times New Roman" w:hAnsi="Times New Roman" w:cs="Times New Roman"/>
          <w:szCs w:val="24"/>
        </w:rPr>
        <w:t>odeksu. Regulacja ta ograniczyła się wówczas do – uchyl</w:t>
      </w:r>
      <w:r w:rsidR="0003783B" w:rsidRPr="00EE7FF7">
        <w:rPr>
          <w:rFonts w:ascii="Times New Roman" w:hAnsi="Times New Roman" w:cs="Times New Roman"/>
          <w:szCs w:val="24"/>
        </w:rPr>
        <w:t>a</w:t>
      </w:r>
      <w:r w:rsidRPr="00EE7FF7">
        <w:rPr>
          <w:rFonts w:ascii="Times New Roman" w:hAnsi="Times New Roman" w:cs="Times New Roman"/>
          <w:szCs w:val="24"/>
        </w:rPr>
        <w:t>n</w:t>
      </w:r>
      <w:r w:rsidR="0003783B" w:rsidRPr="00EE7FF7">
        <w:rPr>
          <w:rFonts w:ascii="Times New Roman" w:hAnsi="Times New Roman" w:cs="Times New Roman"/>
          <w:szCs w:val="24"/>
        </w:rPr>
        <w:t>e</w:t>
      </w:r>
      <w:r w:rsidRPr="00EE7FF7">
        <w:rPr>
          <w:rFonts w:ascii="Times New Roman" w:hAnsi="Times New Roman" w:cs="Times New Roman"/>
          <w:szCs w:val="24"/>
        </w:rPr>
        <w:t xml:space="preserve">go w ramach niniejszej nowelizacji – art. 7 </w:t>
      </w:r>
      <w:r w:rsidR="000A51EC" w:rsidRPr="00EE7FF7">
        <w:rPr>
          <w:rFonts w:ascii="Times New Roman" w:hAnsi="Times New Roman" w:cs="Times New Roman"/>
          <w:szCs w:val="24"/>
        </w:rPr>
        <w:t>KSH</w:t>
      </w:r>
      <w:r w:rsidRPr="00EE7FF7">
        <w:rPr>
          <w:rFonts w:ascii="Times New Roman" w:hAnsi="Times New Roman" w:cs="Times New Roman"/>
          <w:szCs w:val="24"/>
        </w:rPr>
        <w:t xml:space="preserve">, który odnosił się do </w:t>
      </w:r>
      <w:r w:rsidR="00A37558" w:rsidRPr="00EE7FF7">
        <w:rPr>
          <w:rFonts w:ascii="Times New Roman" w:hAnsi="Times New Roman" w:cs="Times New Roman"/>
          <w:szCs w:val="24"/>
        </w:rPr>
        <w:t>tak zwanych</w:t>
      </w:r>
      <w:r w:rsidRPr="00EE7FF7">
        <w:rPr>
          <w:rFonts w:ascii="Times New Roman" w:hAnsi="Times New Roman" w:cs="Times New Roman"/>
          <w:szCs w:val="24"/>
        </w:rPr>
        <w:t xml:space="preserve"> holdingów umownych, a więc takich, w których spółka dominująca i spółka zależna zawierają między sobą umowę o zarządzanie spółką zależną przez spółkę dominującą lub umowę o odprowadzanie zysku spółki zależnej do spółki dominującej.</w:t>
      </w:r>
    </w:p>
    <w:p w14:paraId="5FBD910E" w14:textId="2D5FA93D"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Wspomniana wyżej regulacja (dawnego art. 7 K</w:t>
      </w:r>
      <w:r w:rsidR="000A51EC" w:rsidRPr="00EE7FF7">
        <w:rPr>
          <w:rFonts w:ascii="Times New Roman" w:hAnsi="Times New Roman" w:cs="Times New Roman"/>
          <w:szCs w:val="24"/>
        </w:rPr>
        <w:t>SH</w:t>
      </w:r>
      <w:r w:rsidRPr="00EE7FF7">
        <w:rPr>
          <w:rFonts w:ascii="Times New Roman" w:hAnsi="Times New Roman" w:cs="Times New Roman"/>
          <w:szCs w:val="24"/>
        </w:rPr>
        <w:t xml:space="preserve">) nie uwzględniła natomiast unormowania kwestii prawnych dotyczących </w:t>
      </w:r>
      <w:r w:rsidR="00A37558" w:rsidRPr="00EE7FF7">
        <w:rPr>
          <w:rFonts w:ascii="Times New Roman" w:hAnsi="Times New Roman" w:cs="Times New Roman"/>
          <w:szCs w:val="24"/>
        </w:rPr>
        <w:t xml:space="preserve">tak zwanych </w:t>
      </w:r>
      <w:r w:rsidRPr="00EE7FF7">
        <w:rPr>
          <w:rFonts w:ascii="Times New Roman" w:hAnsi="Times New Roman" w:cs="Times New Roman"/>
          <w:szCs w:val="24"/>
        </w:rPr>
        <w:t>holdingów faktycznych</w:t>
      </w:r>
      <w:r w:rsidR="009A748F" w:rsidRPr="00EE7FF7">
        <w:rPr>
          <w:rFonts w:ascii="Times New Roman" w:hAnsi="Times New Roman" w:cs="Times New Roman"/>
          <w:szCs w:val="24"/>
        </w:rPr>
        <w:t>,</w:t>
      </w:r>
      <w:r w:rsidRPr="00EE7FF7">
        <w:rPr>
          <w:rFonts w:ascii="Times New Roman" w:hAnsi="Times New Roman" w:cs="Times New Roman"/>
          <w:szCs w:val="24"/>
        </w:rPr>
        <w:t xml:space="preserve"> a więc spółek, między którymi powstał stosunek dominacji i zależności (art. 4 § 1 pkt 4 K</w:t>
      </w:r>
      <w:r w:rsidR="000A51EC" w:rsidRPr="00EE7FF7">
        <w:rPr>
          <w:rFonts w:ascii="Times New Roman" w:hAnsi="Times New Roman" w:cs="Times New Roman"/>
          <w:szCs w:val="24"/>
        </w:rPr>
        <w:t>SH</w:t>
      </w:r>
      <w:r w:rsidRPr="00EE7FF7">
        <w:rPr>
          <w:rFonts w:ascii="Times New Roman" w:hAnsi="Times New Roman" w:cs="Times New Roman"/>
          <w:szCs w:val="24"/>
        </w:rPr>
        <w:t>).</w:t>
      </w:r>
    </w:p>
    <w:p w14:paraId="0672BDC0" w14:textId="766CC145"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W polskiej praktyce gospodarczej dominują holdingi faktyczne. Holdingi umowne należą do rzadkości, podobnie jak </w:t>
      </w:r>
      <w:r w:rsidR="00A37558" w:rsidRPr="00EE7FF7">
        <w:rPr>
          <w:rFonts w:ascii="Times New Roman" w:hAnsi="Times New Roman" w:cs="Times New Roman"/>
          <w:szCs w:val="24"/>
        </w:rPr>
        <w:t>tak zwane</w:t>
      </w:r>
      <w:r w:rsidRPr="00EE7FF7">
        <w:rPr>
          <w:rFonts w:ascii="Times New Roman" w:hAnsi="Times New Roman" w:cs="Times New Roman"/>
          <w:szCs w:val="24"/>
        </w:rPr>
        <w:t xml:space="preserve"> podatkowe grupy kapitałowe (art. 1a </w:t>
      </w:r>
      <w:r w:rsidR="00A37558" w:rsidRPr="00EE7FF7">
        <w:rPr>
          <w:rFonts w:ascii="Times New Roman" w:hAnsi="Times New Roman" w:cs="Times New Roman"/>
          <w:szCs w:val="24"/>
        </w:rPr>
        <w:t>ust</w:t>
      </w:r>
      <w:r w:rsidR="00065094">
        <w:rPr>
          <w:rFonts w:ascii="Times New Roman" w:hAnsi="Times New Roman" w:cs="Times New Roman"/>
          <w:szCs w:val="24"/>
        </w:rPr>
        <w:t>.</w:t>
      </w:r>
      <w:r w:rsidRPr="00EE7FF7">
        <w:rPr>
          <w:rFonts w:ascii="Times New Roman" w:hAnsi="Times New Roman" w:cs="Times New Roman"/>
          <w:szCs w:val="24"/>
        </w:rPr>
        <w:t xml:space="preserve"> 1 ustawy o podatku dochodowym od osób prawnych). Stąd proponowana nowelizacja KSH – przez wprowadze</w:t>
      </w:r>
      <w:r w:rsidR="00427C66" w:rsidRPr="00EE7FF7">
        <w:rPr>
          <w:rFonts w:ascii="Times New Roman" w:hAnsi="Times New Roman" w:cs="Times New Roman"/>
          <w:szCs w:val="24"/>
        </w:rPr>
        <w:t xml:space="preserve">nie nowego Działu IV, </w:t>
      </w:r>
      <w:r w:rsidR="0003783B" w:rsidRPr="00EE7FF7">
        <w:rPr>
          <w:rFonts w:ascii="Times New Roman" w:hAnsi="Times New Roman" w:cs="Times New Roman"/>
          <w:szCs w:val="24"/>
        </w:rPr>
        <w:t>pod tytułem</w:t>
      </w:r>
      <w:r w:rsidR="00427C66" w:rsidRPr="00EE7FF7">
        <w:rPr>
          <w:rFonts w:ascii="Times New Roman" w:hAnsi="Times New Roman" w:cs="Times New Roman"/>
          <w:szCs w:val="24"/>
        </w:rPr>
        <w:t xml:space="preserve"> „Grupa</w:t>
      </w:r>
      <w:r w:rsidRPr="00EE7FF7">
        <w:rPr>
          <w:rFonts w:ascii="Times New Roman" w:hAnsi="Times New Roman" w:cs="Times New Roman"/>
          <w:szCs w:val="24"/>
        </w:rPr>
        <w:t xml:space="preserve"> spółek” w ramach tytułu pierwszego KSH, </w:t>
      </w:r>
      <w:r w:rsidR="0003783B" w:rsidRPr="00EE7FF7">
        <w:rPr>
          <w:rFonts w:ascii="Times New Roman" w:hAnsi="Times New Roman" w:cs="Times New Roman"/>
          <w:szCs w:val="24"/>
        </w:rPr>
        <w:t>pod tytułem</w:t>
      </w:r>
      <w:r w:rsidRPr="00EE7FF7">
        <w:rPr>
          <w:rFonts w:ascii="Times New Roman" w:hAnsi="Times New Roman" w:cs="Times New Roman"/>
          <w:szCs w:val="24"/>
        </w:rPr>
        <w:t xml:space="preserve"> „Przepisy ogólne” (art. 21</w:t>
      </w:r>
      <w:r w:rsidRPr="00EE7FF7">
        <w:rPr>
          <w:rStyle w:val="IGindeksgrny"/>
          <w:rFonts w:ascii="Times New Roman" w:hAnsi="Times New Roman" w:cs="Times New Roman"/>
          <w:szCs w:val="24"/>
        </w:rPr>
        <w:t>1</w:t>
      </w:r>
      <w:r w:rsidRPr="00EE7FF7">
        <w:rPr>
          <w:rFonts w:ascii="Times New Roman" w:hAnsi="Times New Roman" w:cs="Times New Roman"/>
          <w:szCs w:val="24"/>
        </w:rPr>
        <w:t>–21</w:t>
      </w:r>
      <w:r w:rsidR="006A6745" w:rsidRPr="00EE7FF7">
        <w:rPr>
          <w:rStyle w:val="IGindeksgrny"/>
          <w:rFonts w:ascii="Times New Roman" w:hAnsi="Times New Roman" w:cs="Times New Roman"/>
          <w:szCs w:val="24"/>
        </w:rPr>
        <w:t>16</w:t>
      </w:r>
      <w:r w:rsidRPr="00EE7FF7">
        <w:rPr>
          <w:rFonts w:ascii="Times New Roman" w:hAnsi="Times New Roman" w:cs="Times New Roman"/>
          <w:szCs w:val="24"/>
        </w:rPr>
        <w:t xml:space="preserve"> KSH) – dotyczy zasadniczo holdingów faktycznych. Przepisy te mogą jednak znaleźć zastosowanie także do holdingów umownych, ponieważ holding umowny z reguły spełnia przesłanki istnienia holdingu faktycznego. Dopuszczalność tworzenia holdingów umownych wynika także z zasady wolności umów (art. 353</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w:t>
      </w:r>
      <w:r w:rsidR="00245F5C" w:rsidRPr="00EE7FF7">
        <w:rPr>
          <w:rFonts w:ascii="Times New Roman" w:hAnsi="Times New Roman" w:cs="Times New Roman"/>
          <w:szCs w:val="24"/>
        </w:rPr>
        <w:t>odeksu Cywilnego (dalej również jako: „KC”)</w:t>
      </w:r>
      <w:r w:rsidRPr="00EE7FF7">
        <w:rPr>
          <w:rFonts w:ascii="Times New Roman" w:hAnsi="Times New Roman" w:cs="Times New Roman"/>
          <w:szCs w:val="24"/>
        </w:rPr>
        <w:t xml:space="preserve"> </w:t>
      </w:r>
      <w:r w:rsidR="001C6010" w:rsidRPr="00EE7FF7">
        <w:rPr>
          <w:rFonts w:ascii="Times New Roman" w:hAnsi="Times New Roman" w:cs="Times New Roman"/>
          <w:szCs w:val="24"/>
        </w:rPr>
        <w:t>w związku</w:t>
      </w:r>
      <w:r w:rsidRPr="00EE7FF7">
        <w:rPr>
          <w:rFonts w:ascii="Times New Roman" w:hAnsi="Times New Roman" w:cs="Times New Roman"/>
          <w:szCs w:val="24"/>
        </w:rPr>
        <w:t xml:space="preserve"> z art. 2 KSH), co wobec braku wystarczająco ukształtowanej praktyki kontraktowej wyklucza potrzebę szczegółowej regulacji takich holdingów w ramach </w:t>
      </w:r>
      <w:r w:rsidR="003A59B0" w:rsidRPr="00EE7FF7">
        <w:rPr>
          <w:rFonts w:ascii="Times New Roman" w:hAnsi="Times New Roman" w:cs="Times New Roman"/>
          <w:szCs w:val="24"/>
        </w:rPr>
        <w:t>K</w:t>
      </w:r>
      <w:r w:rsidRPr="00EE7FF7">
        <w:rPr>
          <w:rFonts w:ascii="Times New Roman" w:hAnsi="Times New Roman" w:cs="Times New Roman"/>
          <w:szCs w:val="24"/>
        </w:rPr>
        <w:t>odeksu spółek handlowych.</w:t>
      </w:r>
    </w:p>
    <w:p w14:paraId="6A31B770" w14:textId="23454C69"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2.6. Mając na uwadze negatywne doświadczenia praktyczne krajów, które przyjęły wariant pierwszy (</w:t>
      </w:r>
      <w:r w:rsidR="00245F5C" w:rsidRPr="00F30ED8">
        <w:rPr>
          <w:rFonts w:ascii="Times New Roman" w:hAnsi="Times New Roman" w:cs="Times New Roman"/>
          <w:szCs w:val="24"/>
        </w:rPr>
        <w:t>to jest</w:t>
      </w:r>
      <w:r w:rsidRPr="00F30ED8">
        <w:rPr>
          <w:rFonts w:ascii="Times New Roman" w:hAnsi="Times New Roman" w:cs="Times New Roman"/>
          <w:szCs w:val="24"/>
        </w:rPr>
        <w:t xml:space="preserve"> pełnej regulacji prawa holdingowego), polegające na pojawieniu się nowych, dodatkowych wątpliwości prawnych w następstwie takiej regul</w:t>
      </w:r>
      <w:r w:rsidRPr="00931E42">
        <w:rPr>
          <w:rFonts w:ascii="Times New Roman" w:hAnsi="Times New Roman" w:cs="Times New Roman"/>
          <w:szCs w:val="24"/>
        </w:rPr>
        <w:t xml:space="preserve">acji, niniejsza nowelizacja </w:t>
      </w:r>
      <w:r w:rsidR="003A59B0" w:rsidRPr="00931E42">
        <w:rPr>
          <w:rFonts w:ascii="Times New Roman" w:hAnsi="Times New Roman" w:cs="Times New Roman"/>
          <w:szCs w:val="24"/>
        </w:rPr>
        <w:t>K</w:t>
      </w:r>
      <w:r w:rsidRPr="00931E42">
        <w:rPr>
          <w:rFonts w:ascii="Times New Roman" w:hAnsi="Times New Roman" w:cs="Times New Roman"/>
          <w:szCs w:val="24"/>
        </w:rPr>
        <w:t xml:space="preserve">odeksu spółek handlowych stoi na gruncie wariantu drugiego, w wersji przyjęcia ograniczonej (szczątkowej) regulacji prawnej tylko tych kwestii z zakresu </w:t>
      </w:r>
      <w:r w:rsidRPr="00931E42">
        <w:rPr>
          <w:rFonts w:ascii="Times New Roman" w:hAnsi="Times New Roman" w:cs="Times New Roman"/>
          <w:szCs w:val="24"/>
        </w:rPr>
        <w:lastRenderedPageBreak/>
        <w:t>funkcjonowania holdingów faktycznych, których regulacja prawna jest rzeczywiście niezbędna i wychodzi naprzeciw najważniejszym postulatom zgłaszanym przez przedsiębiorców, a jednocześnie nie narusza zasad systemowych prawa spółek handlowych.</w:t>
      </w:r>
    </w:p>
    <w:p w14:paraId="094EB8C4" w14:textId="48414AFD" w:rsidR="004115F3" w:rsidRPr="00EE7FF7"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Podczas dotychczasowych konsultacji ze środowiskami gospodarczymi i naukowymi zamiar sze</w:t>
      </w:r>
      <w:r w:rsidRPr="005D5147">
        <w:rPr>
          <w:rFonts w:ascii="Times New Roman" w:hAnsi="Times New Roman" w:cs="Times New Roman"/>
          <w:szCs w:val="24"/>
        </w:rPr>
        <w:t>rszego niż dotychczas uregulowania przez ustawodawcę w KSH prawa holdingowego, a w szczególności postulat uwzględniania przez organy spółki dominującej i zależnej interesu grupy spółek, został oceniony pozytywnie. Jednakże panują bardzo rozbieżne opinie co</w:t>
      </w:r>
      <w:r w:rsidRPr="00DA4799">
        <w:rPr>
          <w:rFonts w:ascii="Times New Roman" w:hAnsi="Times New Roman" w:cs="Times New Roman"/>
          <w:szCs w:val="24"/>
        </w:rPr>
        <w:t xml:space="preserve"> do zakresu regulacji i konkretnych rozwiązań niniejszego projektu. Z jednej strony</w:t>
      </w:r>
      <w:r w:rsidR="00065094">
        <w:rPr>
          <w:rFonts w:ascii="Times New Roman" w:hAnsi="Times New Roman" w:cs="Times New Roman"/>
          <w:szCs w:val="24"/>
        </w:rPr>
        <w:t>,</w:t>
      </w:r>
      <w:r w:rsidRPr="00DA4799">
        <w:rPr>
          <w:rFonts w:ascii="Times New Roman" w:hAnsi="Times New Roman" w:cs="Times New Roman"/>
          <w:szCs w:val="24"/>
        </w:rPr>
        <w:t xml:space="preserve"> część środowisk gospodarczych (</w:t>
      </w:r>
      <w:r w:rsidR="00A37558" w:rsidRPr="00123222">
        <w:rPr>
          <w:rFonts w:ascii="Times New Roman" w:hAnsi="Times New Roman" w:cs="Times New Roman"/>
          <w:szCs w:val="24"/>
        </w:rPr>
        <w:t>na przykład</w:t>
      </w:r>
      <w:r w:rsidRPr="00123222">
        <w:rPr>
          <w:rFonts w:ascii="Times New Roman" w:hAnsi="Times New Roman" w:cs="Times New Roman"/>
          <w:szCs w:val="24"/>
        </w:rPr>
        <w:t xml:space="preserve"> niektórych przedsiębiorców reprezentujących struktury holdingowe) przedkłada postulaty przyznania szerokich kompetencji organom s</w:t>
      </w:r>
      <w:r w:rsidRPr="00EE7FF7">
        <w:rPr>
          <w:rFonts w:ascii="Times New Roman" w:hAnsi="Times New Roman" w:cs="Times New Roman"/>
          <w:szCs w:val="24"/>
        </w:rPr>
        <w:t xml:space="preserve">półki holdingowej (spółki dominującej) wobec spółek należących do grupy spółek, a z drugiej strony zgłaszane są obawy, że takie rozwiązania </w:t>
      </w:r>
      <w:r w:rsidR="00A31111" w:rsidRPr="00EE7FF7">
        <w:rPr>
          <w:rFonts w:ascii="Times New Roman" w:hAnsi="Times New Roman" w:cs="Times New Roman"/>
          <w:szCs w:val="24"/>
        </w:rPr>
        <w:t>mogą zagrażać interesom spółek zależnych.</w:t>
      </w:r>
      <w:r w:rsidR="004115F3" w:rsidRPr="00EE7FF7">
        <w:rPr>
          <w:rFonts w:ascii="Times New Roman" w:hAnsi="Times New Roman" w:cs="Times New Roman"/>
          <w:szCs w:val="24"/>
        </w:rPr>
        <w:t xml:space="preserve"> </w:t>
      </w:r>
      <w:r w:rsidR="004115F3" w:rsidRPr="00F30ED8">
        <w:rPr>
          <w:rFonts w:ascii="Times New Roman" w:hAnsi="Times New Roman" w:cs="Times New Roman"/>
          <w:szCs w:val="24"/>
        </w:rPr>
        <w:t>Podporządkowanie spółek zależnych spółkom dominującym nie oznacza wyłączenia obowiązywania przepisów prawa podatkowego, które przewidują sankcje z tytułu transferu zysków, zwłaszcza z tytułu naruszenia zasady zawierania umów między spółkami powiązanymi według cen rynkowych i na takich samych warunkach jak między niezależnym</w:t>
      </w:r>
      <w:r w:rsidR="004115F3" w:rsidRPr="00931E42">
        <w:rPr>
          <w:rFonts w:ascii="Times New Roman" w:hAnsi="Times New Roman" w:cs="Times New Roman"/>
          <w:szCs w:val="24"/>
        </w:rPr>
        <w:t>i podmiotami (</w:t>
      </w:r>
      <w:r w:rsidR="004115F3" w:rsidRPr="00931E42">
        <w:rPr>
          <w:rFonts w:ascii="Times New Roman" w:hAnsi="Times New Roman" w:cs="Times New Roman"/>
          <w:i/>
          <w:szCs w:val="24"/>
        </w:rPr>
        <w:t>arm's length principle</w:t>
      </w:r>
      <w:r w:rsidR="004115F3" w:rsidRPr="00931E42">
        <w:rPr>
          <w:rFonts w:ascii="Times New Roman" w:hAnsi="Times New Roman" w:cs="Times New Roman"/>
          <w:szCs w:val="24"/>
        </w:rPr>
        <w:t xml:space="preserve">). Przyjęta koncepcja ograniczonej regulacji prawa holdingowego z założenia powoduje brak ingerencji w obszar prawa podatkowego, w szczególności w zakresie podmiotów powiązanych, cen transferowych i zasady ceny rynkowej. Projektowane regulacje nie ingerują zatem w prawo podatkowe (jakiekolwiek jego normy), w tym w normy zawarte w </w:t>
      </w:r>
      <w:r w:rsidR="00065094">
        <w:rPr>
          <w:rFonts w:ascii="Times New Roman" w:hAnsi="Times New Roman" w:cs="Times New Roman"/>
          <w:szCs w:val="24"/>
        </w:rPr>
        <w:t>r</w:t>
      </w:r>
      <w:r w:rsidR="004115F3" w:rsidRPr="00931E42">
        <w:rPr>
          <w:rFonts w:ascii="Times New Roman" w:hAnsi="Times New Roman" w:cs="Times New Roman"/>
          <w:szCs w:val="24"/>
        </w:rPr>
        <w:t xml:space="preserve">ozdziale 1a </w:t>
      </w:r>
      <w:r w:rsidR="00DF530A" w:rsidRPr="00931E42">
        <w:rPr>
          <w:rFonts w:ascii="Times New Roman" w:hAnsi="Times New Roman" w:cs="Times New Roman"/>
          <w:szCs w:val="24"/>
        </w:rPr>
        <w:t>„</w:t>
      </w:r>
      <w:r w:rsidR="004115F3" w:rsidRPr="00931E42">
        <w:rPr>
          <w:rFonts w:ascii="Times New Roman" w:hAnsi="Times New Roman" w:cs="Times New Roman"/>
          <w:szCs w:val="24"/>
        </w:rPr>
        <w:t>Ceny transferowe” ustawy z dnia z dnia 15 lutego 1992 r. o podatku dochodowym od osób prawnych (t.j. Dz. U. z 2020 r. poz. 1406, z późn. zm.) oraz rozdziale 4</w:t>
      </w:r>
      <w:r w:rsidR="00DF7B01">
        <w:rPr>
          <w:rFonts w:ascii="Times New Roman" w:hAnsi="Times New Roman" w:cs="Times New Roman"/>
          <w:szCs w:val="24"/>
        </w:rPr>
        <w:t>b</w:t>
      </w:r>
      <w:r w:rsidR="004115F3" w:rsidRPr="00931E42">
        <w:rPr>
          <w:rFonts w:ascii="Times New Roman" w:hAnsi="Times New Roman" w:cs="Times New Roman"/>
          <w:szCs w:val="24"/>
        </w:rPr>
        <w:t xml:space="preserve"> </w:t>
      </w:r>
      <w:r w:rsidR="00DF530A" w:rsidRPr="00931E42">
        <w:rPr>
          <w:rFonts w:ascii="Times New Roman" w:hAnsi="Times New Roman" w:cs="Times New Roman"/>
          <w:szCs w:val="24"/>
        </w:rPr>
        <w:t>„</w:t>
      </w:r>
      <w:r w:rsidR="004115F3" w:rsidRPr="005D5147">
        <w:rPr>
          <w:rFonts w:ascii="Times New Roman" w:hAnsi="Times New Roman" w:cs="Times New Roman"/>
          <w:szCs w:val="24"/>
        </w:rPr>
        <w:t>Ceny transferowe” w ustawie z dnia 26 lipca 1991 r. o podatku dochodowym od osób fizycznych (t.j. Dz. U. z 202</w:t>
      </w:r>
      <w:r w:rsidR="007D230F" w:rsidRPr="00DA4799">
        <w:rPr>
          <w:rFonts w:ascii="Times New Roman" w:hAnsi="Times New Roman" w:cs="Times New Roman"/>
          <w:szCs w:val="24"/>
        </w:rPr>
        <w:t>1</w:t>
      </w:r>
      <w:r w:rsidR="004115F3" w:rsidRPr="00DA4799">
        <w:rPr>
          <w:rFonts w:ascii="Times New Roman" w:hAnsi="Times New Roman" w:cs="Times New Roman"/>
          <w:szCs w:val="24"/>
        </w:rPr>
        <w:t xml:space="preserve"> r. poz. 1</w:t>
      </w:r>
      <w:r w:rsidR="007D230F" w:rsidRPr="00DA4799">
        <w:rPr>
          <w:rFonts w:ascii="Times New Roman" w:hAnsi="Times New Roman" w:cs="Times New Roman"/>
          <w:szCs w:val="24"/>
        </w:rPr>
        <w:t>128</w:t>
      </w:r>
      <w:r w:rsidR="004115F3" w:rsidRPr="00123222">
        <w:rPr>
          <w:rFonts w:ascii="Times New Roman" w:hAnsi="Times New Roman" w:cs="Times New Roman"/>
          <w:szCs w:val="24"/>
        </w:rPr>
        <w:t xml:space="preserve">, z późn. zm.), a także w normy Działu IIIA </w:t>
      </w:r>
      <w:r w:rsidR="00DF530A" w:rsidRPr="00123222">
        <w:rPr>
          <w:rFonts w:ascii="Times New Roman" w:hAnsi="Times New Roman" w:cs="Times New Roman"/>
          <w:szCs w:val="24"/>
        </w:rPr>
        <w:t>„</w:t>
      </w:r>
      <w:r w:rsidR="004115F3" w:rsidRPr="00EE7FF7">
        <w:rPr>
          <w:rFonts w:ascii="Times New Roman" w:hAnsi="Times New Roman" w:cs="Times New Roman"/>
          <w:szCs w:val="24"/>
        </w:rPr>
        <w:t>Przeciwdziałanie unikaniu opodatkowania” ustawy z dnia 29 sierpnia 1997 r. – Ordynacja podatkowa (t.j. Dz. U. z 2020 r. poz. 1325, z późn. zm.). Brak ingerencji projektowanych przepisów w prawo podatkowe oznacza, że skutki podatkowe działań podejmowanych przez podatników nie będą mogły być uzasadnione jedynie tym, że działania te pozostają zgodne z wprowadzanymi przepisami prawa prywatnego.</w:t>
      </w:r>
    </w:p>
    <w:p w14:paraId="1B36C5D3" w14:textId="2C12F386" w:rsidR="004115F3" w:rsidRPr="00EE7FF7" w:rsidRDefault="004115F3"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Podkreślić dodatkowo należy, że projektowane regulacje nie zwalniają podmiotów powiązanych, w rozumieniu przepisów o cenach transferowych, z obowiązków podatkowych, w tym ze stosowania zasady ceny rynkowej (</w:t>
      </w:r>
      <w:r w:rsidRPr="00EE7FF7">
        <w:rPr>
          <w:rFonts w:ascii="Times New Roman" w:hAnsi="Times New Roman" w:cs="Times New Roman"/>
          <w:i/>
          <w:szCs w:val="24"/>
        </w:rPr>
        <w:t>arm’s length princple</w:t>
      </w:r>
      <w:r w:rsidRPr="00EE7FF7">
        <w:rPr>
          <w:rFonts w:ascii="Times New Roman" w:hAnsi="Times New Roman" w:cs="Times New Roman"/>
          <w:szCs w:val="24"/>
        </w:rPr>
        <w:t>) oraz innych obowiązków wynikających z przepisów o cenach transferowych. Nie doznają także uszczerbku jakiekolwiek przepisy ustawy o podatku dochodowym od osób prawnych oraz ustawy o podatku dochodowym od osób fizycznych w zakresie zasad rozpoznawania przychodów i kosztów (w tym zaliczalności do kosztów uzyskania przychodów – przykładowo, spółka nie będzie mogła zaliczyć do kosztów uzyskania przychodów wydatków poniesionych w interesie grupy spółek, jeśli dany wydatek nie został poniesiony w celu uzyskania przychodów tej konkretnej spółki), a także przepisy tych ustaw odmawiające – w określonych przypadkach – uwzględnienia deklarowanych przez podatnika skutków podatkowych dokonanych czynności.</w:t>
      </w:r>
    </w:p>
    <w:p w14:paraId="10573402" w14:textId="7E1B05A4" w:rsidR="00323FC0" w:rsidRPr="00931E42"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Wśród ekspertów prawniczych akcentuje się silnie potrzebę zrównoważenia nowych uprawnień spółki dominującej przez uregulowanie jej odpowiedzialności za szkodę wyrządzoną spółce zależnej z tytułu wydawania wiążących poleceń, a także przyznania nowych uprawnień akcjonariuszom mniejszościowym. W tym stanie rzeczy uzasadniony staje się pogląd, że nowelizacja powinna regulować, niezależnie od wskazanych wyżej kwestii szczegółowych, również klauzulę generalną, uznającą, że spółka dominująca i zależna kierują się nie tylko własnym interesem, lecz równ</w:t>
      </w:r>
      <w:r w:rsidR="005A5D42" w:rsidRPr="00EE7FF7">
        <w:rPr>
          <w:rFonts w:ascii="Times New Roman" w:hAnsi="Times New Roman" w:cs="Times New Roman"/>
          <w:szCs w:val="24"/>
        </w:rPr>
        <w:t>ież interesem grupy spółek, o ile nie zmierza to do pokrzywdzenia wierzycieli lub wspólników mniejszościowych albo akcjonariuszy mniejszościowych spółki zależnej</w:t>
      </w:r>
      <w:r w:rsidR="005A5D42" w:rsidRPr="00F30ED8">
        <w:rPr>
          <w:rFonts w:ascii="Times New Roman" w:hAnsi="Times New Roman" w:cs="Times New Roman"/>
          <w:szCs w:val="24"/>
        </w:rPr>
        <w:t xml:space="preserve">. </w:t>
      </w:r>
      <w:r w:rsidRPr="00931E42">
        <w:rPr>
          <w:rFonts w:ascii="Times New Roman" w:hAnsi="Times New Roman" w:cs="Times New Roman"/>
          <w:szCs w:val="24"/>
        </w:rPr>
        <w:t>Daje to z jednej strony wyraźne oparcie dla dotychczasowej praktyki grup spółek, a z drugiej strony – wzorem większości systemów prawnych państw OECD – pozwala judykaturze precyzować bliżej zakres dopuszczalnego respektowania interesów grupy spółek organom spółki dominującej i zależnej.</w:t>
      </w:r>
    </w:p>
    <w:p w14:paraId="7C72EEEA" w14:textId="0BE6AAD9"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2.7. Niniejsza nowelizacja przyjmuje założenie, że należy odróżnić „grupę spółek” (która zasadniczo jest adresatem regulacji prawnej określanej mianem prawa holdingowego) od stosunku dominacji i zależności między spółkami, o którym jest mowa w art. 4 § 1 pkt 4 KSH.</w:t>
      </w:r>
    </w:p>
    <w:p w14:paraId="60447E11" w14:textId="2B34FFA1" w:rsidR="00323FC0" w:rsidRPr="00EE7FF7" w:rsidRDefault="006814C6" w:rsidP="00EE7FF7">
      <w:pPr>
        <w:pStyle w:val="ARTartustawynprozporzdzenia"/>
        <w:ind w:firstLine="0"/>
        <w:rPr>
          <w:rFonts w:ascii="Times New Roman" w:hAnsi="Times New Roman" w:cs="Times New Roman"/>
          <w:szCs w:val="24"/>
        </w:rPr>
      </w:pPr>
      <w:r w:rsidRPr="005D5147">
        <w:rPr>
          <w:rFonts w:ascii="Times New Roman" w:hAnsi="Times New Roman" w:cs="Times New Roman"/>
          <w:szCs w:val="24"/>
        </w:rPr>
        <w:t>Grupa spółek je</w:t>
      </w:r>
      <w:r w:rsidRPr="00DA4799">
        <w:rPr>
          <w:rFonts w:ascii="Times New Roman" w:hAnsi="Times New Roman" w:cs="Times New Roman"/>
          <w:szCs w:val="24"/>
        </w:rPr>
        <w:t xml:space="preserve">st „kwalifikowanym” stosunkiem dominacji i zależności między określonymi spółkami tworzącymi grupę spółek, gdyż spółki te kierują się wspólną strategią gospodarczą, która umożliwia spółce dominującej sprawowanie jednolitego </w:t>
      </w:r>
      <w:r w:rsidRPr="00DA4799">
        <w:rPr>
          <w:rFonts w:ascii="Times New Roman" w:hAnsi="Times New Roman" w:cs="Times New Roman"/>
          <w:szCs w:val="24"/>
        </w:rPr>
        <w:lastRenderedPageBreak/>
        <w:t>kierownictwa nad spółką albo s</w:t>
      </w:r>
      <w:r w:rsidRPr="00123222">
        <w:rPr>
          <w:rFonts w:ascii="Times New Roman" w:hAnsi="Times New Roman" w:cs="Times New Roman"/>
          <w:szCs w:val="24"/>
        </w:rPr>
        <w:t>półkami zależnymi. Pozwala to wyróżnić nową kategorię prawną występującą w praktyce polskich i zagranicznych grup spółek, jaką jest „interes grupy spółek”. Stąd zaszła konieczność normatywnego zdefiniowania „grupy spółek” jako kategorii prawnej odrębnej od stosunku dominacji i zależności. Ma to miejsce w proponowanym art. 4 § 1 pkt 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Ponadto </w:t>
      </w:r>
      <w:r w:rsidR="00F5598A" w:rsidRPr="00EE7FF7">
        <w:rPr>
          <w:rFonts w:ascii="Times New Roman" w:hAnsi="Times New Roman" w:cs="Times New Roman"/>
          <w:szCs w:val="24"/>
        </w:rPr>
        <w:t xml:space="preserve">projektowany </w:t>
      </w:r>
      <w:r w:rsidRPr="00EE7FF7">
        <w:rPr>
          <w:rFonts w:ascii="Times New Roman" w:hAnsi="Times New Roman" w:cs="Times New Roman"/>
          <w:szCs w:val="24"/>
        </w:rPr>
        <w:t>przepis ogólny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przewiduje, że zarówno spółka dominująca, jak i spółka zależna uczestniczące w grupie spółek powinny się kierować „interesem grupy spółek”, niezależnie od tego, że z istoty prawa spółek powinny one kierować się interesem własnej spółki, a więc odpowiednio interesem spółki dominującej albo interesem spółki zależnej.</w:t>
      </w:r>
    </w:p>
    <w:p w14:paraId="3EA54424" w14:textId="7F0B1589"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Powyższe ujęcie powoduje, że ograniczona regulacja prawa holdingowego zawarta w proponowanych art. 21</w:t>
      </w:r>
      <w:r w:rsidRPr="00931E42">
        <w:rPr>
          <w:rStyle w:val="IGindeksgrny"/>
          <w:rFonts w:ascii="Times New Roman" w:hAnsi="Times New Roman" w:cs="Times New Roman"/>
          <w:szCs w:val="24"/>
        </w:rPr>
        <w:t>1</w:t>
      </w:r>
      <w:r w:rsidRPr="00931E42">
        <w:rPr>
          <w:rFonts w:ascii="Times New Roman" w:hAnsi="Times New Roman" w:cs="Times New Roman"/>
          <w:szCs w:val="24"/>
        </w:rPr>
        <w:t>–21</w:t>
      </w:r>
      <w:r w:rsidR="00427C66" w:rsidRPr="00931E42">
        <w:rPr>
          <w:rStyle w:val="IGindeksgrny"/>
          <w:rFonts w:ascii="Times New Roman" w:hAnsi="Times New Roman" w:cs="Times New Roman"/>
          <w:szCs w:val="24"/>
        </w:rPr>
        <w:t>16</w:t>
      </w:r>
      <w:r w:rsidRPr="00931E42">
        <w:rPr>
          <w:rFonts w:ascii="Times New Roman" w:hAnsi="Times New Roman" w:cs="Times New Roman"/>
          <w:szCs w:val="24"/>
        </w:rPr>
        <w:t xml:space="preserve"> KSH nie narusza dotychczasowych przepisów z zakresu stosunku dominacji i zależności, na przykład takich jak: art. 6 KSH (regulujący kwestie ujawnienia powstania stosunku dominacji i zależności między spółkami), czy </w:t>
      </w:r>
      <w:r w:rsidR="00A37558" w:rsidRPr="00931E42">
        <w:rPr>
          <w:rFonts w:ascii="Times New Roman" w:hAnsi="Times New Roman" w:cs="Times New Roman"/>
          <w:szCs w:val="24"/>
        </w:rPr>
        <w:t>tak zwanych</w:t>
      </w:r>
      <w:r w:rsidRPr="005D5147">
        <w:rPr>
          <w:rFonts w:ascii="Times New Roman" w:hAnsi="Times New Roman" w:cs="Times New Roman"/>
          <w:szCs w:val="24"/>
        </w:rPr>
        <w:t xml:space="preserve"> przepisów „uszczelniających” (normy zakazujące, które to normy przed powstaniem tych przepisów były obchodzone przez „podstawianie” do danego stosunku prawnego spółki zależnej w miejsce spółki dominującej</w:t>
      </w:r>
      <w:r w:rsidR="00EC2C0E" w:rsidRPr="00DA4799">
        <w:rPr>
          <w:rFonts w:ascii="Times New Roman" w:hAnsi="Times New Roman" w:cs="Times New Roman"/>
          <w:szCs w:val="24"/>
        </w:rPr>
        <w:t>,</w:t>
      </w:r>
      <w:r w:rsidRPr="00DA4799">
        <w:rPr>
          <w:rFonts w:ascii="Times New Roman" w:hAnsi="Times New Roman" w:cs="Times New Roman"/>
          <w:szCs w:val="24"/>
        </w:rPr>
        <w:t xml:space="preserve"> </w:t>
      </w:r>
      <w:r w:rsidR="00A37558" w:rsidRPr="00DA4799">
        <w:rPr>
          <w:rFonts w:ascii="Times New Roman" w:hAnsi="Times New Roman" w:cs="Times New Roman"/>
          <w:szCs w:val="24"/>
        </w:rPr>
        <w:t xml:space="preserve">na </w:t>
      </w:r>
      <w:r w:rsidR="00A37558" w:rsidRPr="00123222">
        <w:rPr>
          <w:rFonts w:ascii="Times New Roman" w:hAnsi="Times New Roman" w:cs="Times New Roman"/>
          <w:szCs w:val="24"/>
        </w:rPr>
        <w:t>przykład</w:t>
      </w:r>
      <w:r w:rsidRPr="00123222">
        <w:rPr>
          <w:rFonts w:ascii="Times New Roman" w:hAnsi="Times New Roman" w:cs="Times New Roman"/>
          <w:szCs w:val="24"/>
        </w:rPr>
        <w:t xml:space="preserve"> art. 15 bądź art. 214 § 3 i art. 387 § 3, a także art. 200 § 1 </w:t>
      </w:r>
      <w:r w:rsidR="001C6010" w:rsidRPr="00EE7FF7">
        <w:rPr>
          <w:rFonts w:ascii="Times New Roman" w:hAnsi="Times New Roman" w:cs="Times New Roman"/>
          <w:szCs w:val="24"/>
        </w:rPr>
        <w:t>zdanie</w:t>
      </w:r>
      <w:r w:rsidRPr="00EE7FF7">
        <w:rPr>
          <w:rFonts w:ascii="Times New Roman" w:hAnsi="Times New Roman" w:cs="Times New Roman"/>
          <w:szCs w:val="24"/>
        </w:rPr>
        <w:t xml:space="preserve"> 2 i art. 366–367 KSH).</w:t>
      </w:r>
    </w:p>
    <w:p w14:paraId="6533FD7B" w14:textId="67462D64" w:rsidR="00323FC0" w:rsidRPr="00EE7FF7" w:rsidRDefault="006814C6" w:rsidP="00EE7FF7">
      <w:pPr>
        <w:pStyle w:val="ARTartustawynprozporzdzenia"/>
        <w:ind w:firstLine="0"/>
        <w:rPr>
          <w:rFonts w:ascii="Times New Roman" w:hAnsi="Times New Roman" w:cs="Times New Roman"/>
          <w:szCs w:val="24"/>
        </w:rPr>
      </w:pPr>
      <w:r w:rsidRPr="00621DFD">
        <w:rPr>
          <w:rFonts w:ascii="Times New Roman" w:hAnsi="Times New Roman" w:cs="Times New Roman"/>
          <w:szCs w:val="24"/>
        </w:rPr>
        <w:t>2.8. Grupa spółek jako kwalifikowany stosunek dominacji i zależności między spółkami przez istnienie wspólnego interesu tej grupy (art. 4 § 1 pkt 5</w:t>
      </w:r>
      <w:r w:rsidRPr="00621DFD">
        <w:rPr>
          <w:rStyle w:val="IGindeksgrny"/>
          <w:rFonts w:ascii="Times New Roman" w:hAnsi="Times New Roman" w:cs="Times New Roman"/>
          <w:szCs w:val="24"/>
        </w:rPr>
        <w:t>1</w:t>
      </w:r>
      <w:r w:rsidRPr="00621DFD">
        <w:rPr>
          <w:rFonts w:ascii="Times New Roman" w:hAnsi="Times New Roman" w:cs="Times New Roman"/>
          <w:szCs w:val="24"/>
        </w:rPr>
        <w:t xml:space="preserve"> </w:t>
      </w:r>
      <w:r w:rsidR="00245F5C" w:rsidRPr="00621DFD">
        <w:rPr>
          <w:rFonts w:ascii="Times New Roman" w:hAnsi="Times New Roman" w:cs="Times New Roman"/>
          <w:szCs w:val="24"/>
        </w:rPr>
        <w:t>projektowanego</w:t>
      </w:r>
      <w:r w:rsidRPr="00621DFD">
        <w:rPr>
          <w:rFonts w:ascii="Times New Roman" w:hAnsi="Times New Roman" w:cs="Times New Roman"/>
          <w:szCs w:val="24"/>
        </w:rPr>
        <w:t xml:space="preserve"> </w:t>
      </w:r>
      <w:r w:rsidRPr="00931E42">
        <w:rPr>
          <w:rFonts w:ascii="Times New Roman" w:hAnsi="Times New Roman" w:cs="Times New Roman"/>
          <w:szCs w:val="24"/>
        </w:rPr>
        <w:t xml:space="preserve">KSH) nie oznacza – w świetle przyjętej w niniejszej nowelizacji koncepcji prawa holdingowego – obowiązku powstania sformalizowanej struktury organizacyjnej posiadającej własną nazwę, quasi-organy, regulamin, powoływanej przez uczestników grupy spółek bądź zapewniającej przystąpienie do niej innym spółkom. Takie ujęcie tworzyłoby własną podmiotowość grupy spółek, trudną do przyjęcia systemowego, ze względu na zasadę </w:t>
      </w:r>
      <w:r w:rsidRPr="00931E42">
        <w:rPr>
          <w:rFonts w:ascii="Times New Roman" w:hAnsi="Times New Roman" w:cs="Times New Roman"/>
          <w:i/>
          <w:szCs w:val="24"/>
        </w:rPr>
        <w:t>numerus clausus</w:t>
      </w:r>
      <w:r w:rsidRPr="00931E42">
        <w:rPr>
          <w:rFonts w:ascii="Times New Roman" w:hAnsi="Times New Roman" w:cs="Times New Roman"/>
          <w:szCs w:val="24"/>
        </w:rPr>
        <w:t xml:space="preserve"> typów spółek. Należy też mieć na względzie fakt, że wspomniane ujęcie rozminęłoby się z potrzebami praktyki, nakierowanymi przede wszystkim na regulację holdingów faktycznych</w:t>
      </w:r>
      <w:r w:rsidR="00621DFD">
        <w:rPr>
          <w:rFonts w:ascii="Times New Roman" w:hAnsi="Times New Roman" w:cs="Times New Roman"/>
          <w:szCs w:val="24"/>
        </w:rPr>
        <w:t>,</w:t>
      </w:r>
      <w:r w:rsidRPr="00931E42">
        <w:rPr>
          <w:rFonts w:ascii="Times New Roman" w:hAnsi="Times New Roman" w:cs="Times New Roman"/>
          <w:szCs w:val="24"/>
        </w:rPr>
        <w:t xml:space="preserve"> a nie holdingów umownych, a także zmierzałoby do realizacji – odrzuconej w ramach niniejszej nowelizacji – koncepcji pełnej regulacji prawa hol</w:t>
      </w:r>
      <w:r w:rsidRPr="005D5147">
        <w:rPr>
          <w:rFonts w:ascii="Times New Roman" w:hAnsi="Times New Roman" w:cs="Times New Roman"/>
          <w:szCs w:val="24"/>
        </w:rPr>
        <w:t>dingowego.</w:t>
      </w:r>
    </w:p>
    <w:p w14:paraId="169040D0" w14:textId="4E77D9BE"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2.9. Odróżnienie „grup</w:t>
      </w:r>
      <w:r w:rsidR="00427C66" w:rsidRPr="00F30ED8">
        <w:rPr>
          <w:rFonts w:ascii="Times New Roman" w:hAnsi="Times New Roman" w:cs="Times New Roman"/>
          <w:szCs w:val="24"/>
        </w:rPr>
        <w:t>y</w:t>
      </w:r>
      <w:r w:rsidRPr="00F30ED8">
        <w:rPr>
          <w:rFonts w:ascii="Times New Roman" w:hAnsi="Times New Roman" w:cs="Times New Roman"/>
          <w:szCs w:val="24"/>
        </w:rPr>
        <w:t xml:space="preserve"> spółek” od „zwykłego” stosunku dominacji i zależności między spółkami uzasadnia przyjętą koncepcję uregulowania prawa grup spółek (prawa holdingowego) nie, na przykład zaraz po uchylonym w ramach </w:t>
      </w:r>
      <w:r w:rsidRPr="00931E42">
        <w:rPr>
          <w:rFonts w:ascii="Times New Roman" w:hAnsi="Times New Roman" w:cs="Times New Roman"/>
          <w:szCs w:val="24"/>
        </w:rPr>
        <w:t xml:space="preserve">niniejszej nowelizacji art. </w:t>
      </w:r>
      <w:r w:rsidRPr="00931E42">
        <w:rPr>
          <w:rFonts w:ascii="Times New Roman" w:hAnsi="Times New Roman" w:cs="Times New Roman"/>
          <w:szCs w:val="24"/>
        </w:rPr>
        <w:lastRenderedPageBreak/>
        <w:t xml:space="preserve">7 KSH jako nowy art. 7 i nast. KSH, ale w formie odrębnego, nowego działu w ramach Tytułu Pierwszego KSH, </w:t>
      </w:r>
      <w:r w:rsidR="0003783B" w:rsidRPr="00931E42">
        <w:rPr>
          <w:rFonts w:ascii="Times New Roman" w:hAnsi="Times New Roman" w:cs="Times New Roman"/>
          <w:szCs w:val="24"/>
        </w:rPr>
        <w:t>pod tytułem</w:t>
      </w:r>
      <w:r w:rsidRPr="00931E42">
        <w:rPr>
          <w:rFonts w:ascii="Times New Roman" w:hAnsi="Times New Roman" w:cs="Times New Roman"/>
          <w:szCs w:val="24"/>
        </w:rPr>
        <w:t xml:space="preserve"> </w:t>
      </w:r>
      <w:r w:rsidR="00DF530A" w:rsidRPr="00931E42">
        <w:rPr>
          <w:rFonts w:ascii="Times New Roman" w:hAnsi="Times New Roman" w:cs="Times New Roman"/>
          <w:szCs w:val="24"/>
        </w:rPr>
        <w:t>„</w:t>
      </w:r>
      <w:r w:rsidRPr="00931E42">
        <w:rPr>
          <w:rFonts w:ascii="Times New Roman" w:hAnsi="Times New Roman" w:cs="Times New Roman"/>
          <w:szCs w:val="24"/>
        </w:rPr>
        <w:t>Przepisy ogólne</w:t>
      </w:r>
      <w:r w:rsidR="00DF530A" w:rsidRPr="00931E42">
        <w:rPr>
          <w:rFonts w:ascii="Times New Roman" w:hAnsi="Times New Roman" w:cs="Times New Roman"/>
          <w:szCs w:val="24"/>
        </w:rPr>
        <w:t>”</w:t>
      </w:r>
      <w:r w:rsidRPr="00931E42">
        <w:rPr>
          <w:rFonts w:ascii="Times New Roman" w:hAnsi="Times New Roman" w:cs="Times New Roman"/>
          <w:szCs w:val="24"/>
        </w:rPr>
        <w:t xml:space="preserve">, </w:t>
      </w:r>
      <w:r w:rsidR="00245F5C" w:rsidRPr="00931E42">
        <w:rPr>
          <w:rFonts w:ascii="Times New Roman" w:hAnsi="Times New Roman" w:cs="Times New Roman"/>
          <w:szCs w:val="24"/>
        </w:rPr>
        <w:t>to jest</w:t>
      </w:r>
      <w:r w:rsidRPr="00931E42">
        <w:rPr>
          <w:rFonts w:ascii="Times New Roman" w:hAnsi="Times New Roman" w:cs="Times New Roman"/>
          <w:szCs w:val="24"/>
        </w:rPr>
        <w:t xml:space="preserve"> proponowanego </w:t>
      </w:r>
      <w:r w:rsidR="00DF530A" w:rsidRPr="00931E42">
        <w:rPr>
          <w:rFonts w:ascii="Times New Roman" w:hAnsi="Times New Roman" w:cs="Times New Roman"/>
          <w:szCs w:val="24"/>
        </w:rPr>
        <w:t>„</w:t>
      </w:r>
      <w:r w:rsidRPr="005D5147">
        <w:rPr>
          <w:rFonts w:ascii="Times New Roman" w:hAnsi="Times New Roman" w:cs="Times New Roman"/>
          <w:szCs w:val="24"/>
        </w:rPr>
        <w:t>Działu IV Grupy spółek</w:t>
      </w:r>
      <w:r w:rsidR="00DF530A" w:rsidRPr="00DA4799">
        <w:rPr>
          <w:rFonts w:ascii="Times New Roman" w:hAnsi="Times New Roman" w:cs="Times New Roman"/>
          <w:szCs w:val="24"/>
        </w:rPr>
        <w:t>”</w:t>
      </w:r>
      <w:r w:rsidRPr="00DA4799">
        <w:rPr>
          <w:rFonts w:ascii="Times New Roman" w:hAnsi="Times New Roman" w:cs="Times New Roman"/>
          <w:szCs w:val="24"/>
        </w:rPr>
        <w:t xml:space="preserve"> (art. 21</w:t>
      </w:r>
      <w:r w:rsidRPr="00123222">
        <w:rPr>
          <w:rStyle w:val="IGindeksgrny"/>
          <w:rFonts w:ascii="Times New Roman" w:hAnsi="Times New Roman" w:cs="Times New Roman"/>
          <w:szCs w:val="24"/>
        </w:rPr>
        <w:t>1</w:t>
      </w:r>
      <w:r w:rsidRPr="00123222">
        <w:rPr>
          <w:rFonts w:ascii="Times New Roman" w:hAnsi="Times New Roman" w:cs="Times New Roman"/>
          <w:szCs w:val="24"/>
        </w:rPr>
        <w:t>–21</w:t>
      </w:r>
      <w:r w:rsidRPr="00EE7FF7">
        <w:rPr>
          <w:rStyle w:val="IGindeksgrny"/>
          <w:rFonts w:ascii="Times New Roman" w:hAnsi="Times New Roman" w:cs="Times New Roman"/>
          <w:szCs w:val="24"/>
        </w:rPr>
        <w:t>1</w:t>
      </w:r>
      <w:r w:rsidR="00134056"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KSH).</w:t>
      </w:r>
    </w:p>
    <w:p w14:paraId="371318F8" w14:textId="2CD5F0F1"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Takie umiejscowienie nowych przepisów w KSH nie narusza art. 1 § 1 KSH, który reguluje zakres przedmiotowy </w:t>
      </w:r>
      <w:r w:rsidR="00F1601C">
        <w:rPr>
          <w:rFonts w:ascii="Times New Roman" w:hAnsi="Times New Roman" w:cs="Times New Roman"/>
          <w:szCs w:val="24"/>
        </w:rPr>
        <w:t>K</w:t>
      </w:r>
      <w:r w:rsidRPr="00F30ED8">
        <w:rPr>
          <w:rFonts w:ascii="Times New Roman" w:hAnsi="Times New Roman" w:cs="Times New Roman"/>
          <w:szCs w:val="24"/>
        </w:rPr>
        <w:t>odeksu. Regulowaną w art. 21</w:t>
      </w:r>
      <w:r w:rsidRPr="00931E42">
        <w:rPr>
          <w:rStyle w:val="IGindeksgrny"/>
          <w:rFonts w:ascii="Times New Roman" w:hAnsi="Times New Roman" w:cs="Times New Roman"/>
          <w:szCs w:val="24"/>
        </w:rPr>
        <w:t>1</w:t>
      </w:r>
      <w:r w:rsidRPr="00931E42">
        <w:rPr>
          <w:rFonts w:ascii="Times New Roman" w:hAnsi="Times New Roman" w:cs="Times New Roman"/>
          <w:szCs w:val="24"/>
        </w:rPr>
        <w:t>–21</w:t>
      </w:r>
      <w:r w:rsidRPr="00931E42">
        <w:rPr>
          <w:rStyle w:val="IGindeksgrny"/>
          <w:rFonts w:ascii="Times New Roman" w:hAnsi="Times New Roman" w:cs="Times New Roman"/>
          <w:szCs w:val="24"/>
        </w:rPr>
        <w:t>1</w:t>
      </w:r>
      <w:r w:rsidR="00427C66" w:rsidRPr="00931E42">
        <w:rPr>
          <w:rStyle w:val="IGindeksgrny"/>
          <w:rFonts w:ascii="Times New Roman" w:hAnsi="Times New Roman" w:cs="Times New Roman"/>
          <w:szCs w:val="24"/>
        </w:rPr>
        <w:t>6</w:t>
      </w:r>
      <w:r w:rsidRPr="00931E42">
        <w:rPr>
          <w:rFonts w:ascii="Times New Roman" w:hAnsi="Times New Roman" w:cs="Times New Roman"/>
          <w:szCs w:val="24"/>
        </w:rPr>
        <w:t xml:space="preserve"> </w:t>
      </w:r>
      <w:r w:rsidR="00245F5C" w:rsidRPr="00931E42">
        <w:rPr>
          <w:rFonts w:ascii="Times New Roman" w:hAnsi="Times New Roman" w:cs="Times New Roman"/>
          <w:szCs w:val="24"/>
        </w:rPr>
        <w:t>projektowanego</w:t>
      </w:r>
      <w:r w:rsidRPr="005D5147">
        <w:rPr>
          <w:rFonts w:ascii="Times New Roman" w:hAnsi="Times New Roman" w:cs="Times New Roman"/>
          <w:szCs w:val="24"/>
        </w:rPr>
        <w:t xml:space="preserve"> KSH problematyką prawną grup spółek można uznać za przejaw „funkcjonowania” spółek w rozumieniu art. 1 § 1 KSH.</w:t>
      </w:r>
    </w:p>
    <w:p w14:paraId="72B1BEC7" w14:textId="74B39047"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2.10. Projekt przyjmuje określenie „grupa spółek”. Określenie to wydaje się być właściwsze niż „zgrupowanie spółek”. W polskiej praktyce w logo wielu firm występuje sformułowanie „grupa spółek” (</w:t>
      </w:r>
      <w:r w:rsidR="00A37558" w:rsidRPr="00931E42">
        <w:rPr>
          <w:rFonts w:ascii="Times New Roman" w:hAnsi="Times New Roman" w:cs="Times New Roman"/>
          <w:szCs w:val="24"/>
        </w:rPr>
        <w:t>na przykład</w:t>
      </w:r>
      <w:r w:rsidRPr="00931E42">
        <w:rPr>
          <w:rFonts w:ascii="Times New Roman" w:hAnsi="Times New Roman" w:cs="Times New Roman"/>
          <w:szCs w:val="24"/>
        </w:rPr>
        <w:t xml:space="preserve"> Grupa PKN Orlen, Grupa PZU</w:t>
      </w:r>
      <w:r w:rsidR="0082249D" w:rsidRPr="00931E42">
        <w:rPr>
          <w:rFonts w:ascii="Times New Roman" w:hAnsi="Times New Roman" w:cs="Times New Roman"/>
          <w:szCs w:val="24"/>
        </w:rPr>
        <w:t>, Grupa RMF, Grupa Żywiec</w:t>
      </w:r>
      <w:r w:rsidRPr="00931E42">
        <w:rPr>
          <w:rFonts w:ascii="Times New Roman" w:hAnsi="Times New Roman" w:cs="Times New Roman"/>
          <w:szCs w:val="24"/>
        </w:rPr>
        <w:t xml:space="preserve"> itd.), a nie „zgrupowanie spółek”. Pojęcie grupy spółek będzie też lepiej korespondowało z proponowaną zmianą art. 206 i art. 374 KSH (dotyczącą umieszczenia nazwy grupy spółek w pismach i zamówieniach handlowych spółki, </w:t>
      </w:r>
      <w:r w:rsidR="00A37558" w:rsidRPr="00931E42">
        <w:rPr>
          <w:rFonts w:ascii="Times New Roman" w:hAnsi="Times New Roman" w:cs="Times New Roman"/>
          <w:szCs w:val="24"/>
        </w:rPr>
        <w:t>tak zwanych</w:t>
      </w:r>
      <w:r w:rsidRPr="00931E42">
        <w:rPr>
          <w:rFonts w:ascii="Times New Roman" w:hAnsi="Times New Roman" w:cs="Times New Roman"/>
          <w:szCs w:val="24"/>
        </w:rPr>
        <w:t xml:space="preserve"> </w:t>
      </w:r>
      <w:r w:rsidR="00DF530A" w:rsidRPr="00931E42">
        <w:rPr>
          <w:rFonts w:ascii="Times New Roman" w:hAnsi="Times New Roman" w:cs="Times New Roman"/>
          <w:szCs w:val="24"/>
        </w:rPr>
        <w:t>„</w:t>
      </w:r>
      <w:r w:rsidRPr="00931E42">
        <w:rPr>
          <w:rFonts w:ascii="Times New Roman" w:hAnsi="Times New Roman" w:cs="Times New Roman"/>
          <w:szCs w:val="24"/>
        </w:rPr>
        <w:t>firmówkach</w:t>
      </w:r>
      <w:r w:rsidR="00DF530A" w:rsidRPr="00931E42">
        <w:rPr>
          <w:rFonts w:ascii="Times New Roman" w:hAnsi="Times New Roman" w:cs="Times New Roman"/>
          <w:szCs w:val="24"/>
        </w:rPr>
        <w:t>”</w:t>
      </w:r>
      <w:r w:rsidRPr="00931E42">
        <w:rPr>
          <w:rFonts w:ascii="Times New Roman" w:hAnsi="Times New Roman" w:cs="Times New Roman"/>
          <w:szCs w:val="24"/>
        </w:rPr>
        <w:t>). Ponadto</w:t>
      </w:r>
      <w:r w:rsidRPr="005D5147">
        <w:rPr>
          <w:rFonts w:ascii="Times New Roman" w:hAnsi="Times New Roman" w:cs="Times New Roman"/>
          <w:szCs w:val="24"/>
        </w:rPr>
        <w:t xml:space="preserve"> istniejąca w polskim prawie spółek nazwa „europejskiego zgrupowania interesów gospodarczych” – EZIG (ustawa z dnia 4 marca 2005 r., Dz. U.</w:t>
      </w:r>
      <w:r w:rsidR="00DA158E" w:rsidRPr="00DA4799">
        <w:rPr>
          <w:rFonts w:ascii="Times New Roman" w:hAnsi="Times New Roman" w:cs="Times New Roman"/>
          <w:szCs w:val="24"/>
        </w:rPr>
        <w:t xml:space="preserve"> z 2018 r. poz. 2036, z późn. zm.</w:t>
      </w:r>
      <w:r w:rsidRPr="00123222">
        <w:rPr>
          <w:rFonts w:ascii="Times New Roman" w:hAnsi="Times New Roman" w:cs="Times New Roman"/>
          <w:szCs w:val="24"/>
        </w:rPr>
        <w:t>), a więc „zgrupowania spółek”</w:t>
      </w:r>
      <w:r w:rsidR="00392905" w:rsidRPr="00123222">
        <w:rPr>
          <w:rFonts w:ascii="Times New Roman" w:hAnsi="Times New Roman" w:cs="Times New Roman"/>
          <w:szCs w:val="24"/>
        </w:rPr>
        <w:t>,</w:t>
      </w:r>
      <w:r w:rsidRPr="00EE7FF7">
        <w:rPr>
          <w:rFonts w:ascii="Times New Roman" w:hAnsi="Times New Roman" w:cs="Times New Roman"/>
          <w:szCs w:val="24"/>
        </w:rPr>
        <w:t xml:space="preserve"> nie uzasadnia przyjęcia tego pojęcia dla holdingu. Jest nawet argumentem pozytywnym za potrzebą przyjęcia określenia „grupa spółek”, które będzie rezerwowane dla holdingów, zaś „zgrupowanie” – dla EZIG bądź konsorcjum.</w:t>
      </w:r>
    </w:p>
    <w:p w14:paraId="27F0CC95" w14:textId="27B2DA12" w:rsidR="00323FC0" w:rsidRPr="00822F72"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Natomiast określenie „prawo holdingowe” czy „prawo koncernowe” ma charakter tylko doktrynalny. Określenia te są również nieostre i ich przyjęcie w ustawie może budzić wątpliwości interpretacyjne (czy chodzi wówczas o wszystkie, czy tylko o „kwalifikowane” stosunki dominacji i zależności spółek). Z </w:t>
      </w:r>
      <w:r w:rsidR="00427C66" w:rsidRPr="00EE7FF7">
        <w:rPr>
          <w:rFonts w:ascii="Times New Roman" w:hAnsi="Times New Roman" w:cs="Times New Roman"/>
          <w:szCs w:val="24"/>
        </w:rPr>
        <w:t>drugiej strony określenie „Grupa</w:t>
      </w:r>
      <w:r w:rsidRPr="00FC72FF">
        <w:rPr>
          <w:rFonts w:ascii="Times New Roman" w:hAnsi="Times New Roman" w:cs="Times New Roman"/>
          <w:szCs w:val="24"/>
        </w:rPr>
        <w:t xml:space="preserve"> spółek” jako tytuł nowego proponowanego Działu IV</w:t>
      </w:r>
      <w:r w:rsidRPr="001E7BE7">
        <w:rPr>
          <w:rFonts w:ascii="Times New Roman" w:hAnsi="Times New Roman" w:cs="Times New Roman"/>
          <w:szCs w:val="24"/>
        </w:rPr>
        <w:t xml:space="preserve"> lepiej koresponduje z tytułami dotychczasowych działów II i III, </w:t>
      </w:r>
      <w:r w:rsidR="00245F5C" w:rsidRPr="001E7BE7">
        <w:rPr>
          <w:rFonts w:ascii="Times New Roman" w:hAnsi="Times New Roman" w:cs="Times New Roman"/>
          <w:szCs w:val="24"/>
        </w:rPr>
        <w:t>to jest</w:t>
      </w:r>
      <w:r w:rsidRPr="005C3C41">
        <w:rPr>
          <w:rFonts w:ascii="Times New Roman" w:hAnsi="Times New Roman" w:cs="Times New Roman"/>
          <w:szCs w:val="24"/>
        </w:rPr>
        <w:t xml:space="preserve"> „Spółki osobowe” i „Spółki kapitałowe”</w:t>
      </w:r>
      <w:r w:rsidR="00392905" w:rsidRPr="00822F72">
        <w:rPr>
          <w:rFonts w:ascii="Times New Roman" w:hAnsi="Times New Roman" w:cs="Times New Roman"/>
          <w:szCs w:val="24"/>
        </w:rPr>
        <w:t>,</w:t>
      </w:r>
      <w:r w:rsidRPr="00822F72">
        <w:rPr>
          <w:rFonts w:ascii="Times New Roman" w:hAnsi="Times New Roman" w:cs="Times New Roman"/>
          <w:szCs w:val="24"/>
        </w:rPr>
        <w:t xml:space="preserve"> niż na przykład „Prawo holdingowe”.</w:t>
      </w:r>
    </w:p>
    <w:p w14:paraId="5BE5465F" w14:textId="77777777" w:rsidR="00323FC0" w:rsidRPr="006003C9" w:rsidRDefault="006814C6" w:rsidP="00EE7FF7">
      <w:pPr>
        <w:pStyle w:val="ARTartustawynprozporzdzenia"/>
        <w:ind w:firstLine="0"/>
        <w:rPr>
          <w:rFonts w:ascii="Times New Roman" w:hAnsi="Times New Roman" w:cs="Times New Roman"/>
          <w:szCs w:val="24"/>
        </w:rPr>
      </w:pPr>
      <w:r w:rsidRPr="006003C9">
        <w:rPr>
          <w:rFonts w:ascii="Times New Roman" w:hAnsi="Times New Roman" w:cs="Times New Roman"/>
          <w:szCs w:val="24"/>
        </w:rPr>
        <w:t>2.11. Proponowana nowelizacja uchyla przepisy art. 7 KSH. Za ich uchyleniem przemawiają następujące argumenty:</w:t>
      </w:r>
    </w:p>
    <w:p w14:paraId="05C986FA" w14:textId="1364BC22" w:rsidR="00323FC0" w:rsidRPr="00EE7FF7" w:rsidRDefault="006814C6" w:rsidP="00EE7FF7">
      <w:pPr>
        <w:pStyle w:val="ARTartustawynprozporzdzenia"/>
        <w:ind w:firstLine="0"/>
        <w:rPr>
          <w:rFonts w:ascii="Times New Roman" w:hAnsi="Times New Roman" w:cs="Times New Roman"/>
          <w:szCs w:val="24"/>
        </w:rPr>
      </w:pPr>
      <w:r w:rsidRPr="006003C9">
        <w:rPr>
          <w:rFonts w:ascii="Times New Roman" w:hAnsi="Times New Roman" w:cs="Times New Roman"/>
          <w:szCs w:val="24"/>
        </w:rPr>
        <w:t xml:space="preserve">Po pierwsze, przepisy te w ogóle nie funkcjonowały w praktyce (były </w:t>
      </w:r>
      <w:r w:rsidRPr="00343773">
        <w:rPr>
          <w:rFonts w:ascii="Times New Roman" w:hAnsi="Times New Roman" w:cs="Times New Roman"/>
          <w:szCs w:val="24"/>
        </w:rPr>
        <w:t xml:space="preserve">przepisami </w:t>
      </w:r>
      <w:r w:rsidR="00DF530A" w:rsidRPr="004F6D86">
        <w:rPr>
          <w:rFonts w:ascii="Times New Roman" w:hAnsi="Times New Roman" w:cs="Times New Roman"/>
          <w:szCs w:val="24"/>
        </w:rPr>
        <w:t>„</w:t>
      </w:r>
      <w:r w:rsidRPr="00EE7FF7">
        <w:rPr>
          <w:rFonts w:ascii="Times New Roman" w:hAnsi="Times New Roman" w:cs="Times New Roman"/>
          <w:szCs w:val="24"/>
        </w:rPr>
        <w:t>martwymi</w:t>
      </w:r>
      <w:r w:rsidR="00DF530A" w:rsidRPr="00EE7FF7">
        <w:rPr>
          <w:rFonts w:ascii="Times New Roman" w:hAnsi="Times New Roman" w:cs="Times New Roman"/>
          <w:szCs w:val="24"/>
        </w:rPr>
        <w:t>”</w:t>
      </w:r>
      <w:r w:rsidRPr="00EE7FF7">
        <w:rPr>
          <w:rFonts w:ascii="Times New Roman" w:hAnsi="Times New Roman" w:cs="Times New Roman"/>
          <w:szCs w:val="24"/>
        </w:rPr>
        <w:t>).</w:t>
      </w:r>
    </w:p>
    <w:p w14:paraId="1F4BDDD8" w14:textId="20B4997F" w:rsidR="00323FC0" w:rsidRPr="004F6D86" w:rsidRDefault="006814C6" w:rsidP="00EE7FF7">
      <w:pPr>
        <w:pStyle w:val="ARTartustawynprozporzdzenia"/>
        <w:ind w:firstLine="0"/>
        <w:rPr>
          <w:rFonts w:ascii="Times New Roman" w:hAnsi="Times New Roman" w:cs="Times New Roman"/>
          <w:szCs w:val="24"/>
        </w:rPr>
      </w:pPr>
      <w:r w:rsidRPr="00FC72FF">
        <w:rPr>
          <w:rFonts w:ascii="Times New Roman" w:hAnsi="Times New Roman" w:cs="Times New Roman"/>
          <w:szCs w:val="24"/>
        </w:rPr>
        <w:t xml:space="preserve">Po drugie, wywoływały one istotne wątpliwości doktrynalne. Chodziło tu przede wszystkim o kwestię, czy ujawnienie w rejestrze przedsiębiorców okoliczności, że spółka </w:t>
      </w:r>
      <w:r w:rsidRPr="00FC72FF">
        <w:rPr>
          <w:rFonts w:ascii="Times New Roman" w:hAnsi="Times New Roman" w:cs="Times New Roman"/>
          <w:szCs w:val="24"/>
        </w:rPr>
        <w:lastRenderedPageBreak/>
        <w:t xml:space="preserve">dominująca nie odpowiada wobec wierzycieli za zobowiązania spółki zależnej (art. 7 § 2 KSH – </w:t>
      </w:r>
      <w:r w:rsidR="00A37558" w:rsidRPr="001E7BE7">
        <w:rPr>
          <w:rFonts w:ascii="Times New Roman" w:hAnsi="Times New Roman" w:cs="Times New Roman"/>
          <w:szCs w:val="24"/>
        </w:rPr>
        <w:t>tak zwane</w:t>
      </w:r>
      <w:r w:rsidRPr="001E7BE7">
        <w:rPr>
          <w:rFonts w:ascii="Times New Roman" w:hAnsi="Times New Roman" w:cs="Times New Roman"/>
          <w:szCs w:val="24"/>
        </w:rPr>
        <w:t xml:space="preserve"> klauzule indemnifikacyjne)</w:t>
      </w:r>
      <w:r w:rsidR="00392905" w:rsidRPr="005C3C41">
        <w:rPr>
          <w:rFonts w:ascii="Times New Roman" w:hAnsi="Times New Roman" w:cs="Times New Roman"/>
          <w:szCs w:val="24"/>
        </w:rPr>
        <w:t>,</w:t>
      </w:r>
      <w:r w:rsidRPr="005C3C41">
        <w:rPr>
          <w:rFonts w:ascii="Times New Roman" w:hAnsi="Times New Roman" w:cs="Times New Roman"/>
          <w:szCs w:val="24"/>
        </w:rPr>
        <w:t xml:space="preserve"> nie oznaczało </w:t>
      </w:r>
      <w:r w:rsidRPr="005C3C41">
        <w:rPr>
          <w:rFonts w:ascii="Times New Roman" w:hAnsi="Times New Roman" w:cs="Times New Roman"/>
          <w:i/>
          <w:szCs w:val="24"/>
        </w:rPr>
        <w:t>a contrario</w:t>
      </w:r>
      <w:r w:rsidRPr="005C3C41">
        <w:rPr>
          <w:rFonts w:ascii="Times New Roman" w:hAnsi="Times New Roman" w:cs="Times New Roman"/>
          <w:szCs w:val="24"/>
        </w:rPr>
        <w:t xml:space="preserve">, że brak takiego ujawnienia uzasadnia </w:t>
      </w:r>
      <w:r w:rsidRPr="00822F72">
        <w:rPr>
          <w:rFonts w:ascii="Times New Roman" w:hAnsi="Times New Roman" w:cs="Times New Roman"/>
          <w:szCs w:val="24"/>
        </w:rPr>
        <w:t>wspomnianą odpowiedzialność spółki dominującej. Taki wniosek nie był wprawdzie możliwy do przyjęcia z przyczyn systemowych, gdyż wyłączenia zasady z ar</w:t>
      </w:r>
      <w:r w:rsidRPr="006003C9">
        <w:rPr>
          <w:rFonts w:ascii="Times New Roman" w:hAnsi="Times New Roman" w:cs="Times New Roman"/>
          <w:szCs w:val="24"/>
        </w:rPr>
        <w:t>t. 151 § 4 albo z art. 301 § 5 KSH (braku odpowiedzialności wspólnika za zobowiązania spółki kapitałowej) nie można było wyprowadzić tylko z interpretacji innego prze</w:t>
      </w:r>
      <w:r w:rsidRPr="00343773">
        <w:rPr>
          <w:rFonts w:ascii="Times New Roman" w:hAnsi="Times New Roman" w:cs="Times New Roman"/>
          <w:szCs w:val="24"/>
        </w:rPr>
        <w:t>pisu.</w:t>
      </w:r>
    </w:p>
    <w:p w14:paraId="3C8A63B6" w14:textId="1A9224CB" w:rsidR="00323FC0" w:rsidRPr="00887861" w:rsidRDefault="006814C6" w:rsidP="00EE7FF7">
      <w:pPr>
        <w:pStyle w:val="ARTartustawynprozporzdzenia"/>
        <w:ind w:firstLine="0"/>
        <w:rPr>
          <w:rFonts w:ascii="Times New Roman" w:hAnsi="Times New Roman" w:cs="Times New Roman"/>
          <w:szCs w:val="24"/>
        </w:rPr>
      </w:pPr>
      <w:r w:rsidRPr="00F1618C">
        <w:rPr>
          <w:rFonts w:ascii="Times New Roman" w:hAnsi="Times New Roman" w:cs="Times New Roman"/>
          <w:szCs w:val="24"/>
        </w:rPr>
        <w:t>Po trzecie, ewentualne próby nowelizacji dotychczasowej treści art. 7 KSH napotkały na trudności związane z określeniem sankcji za naruszenie obowiązku rejestrowego</w:t>
      </w:r>
      <w:r w:rsidRPr="006A1E8C">
        <w:rPr>
          <w:rFonts w:ascii="Times New Roman" w:hAnsi="Times New Roman" w:cs="Times New Roman"/>
          <w:szCs w:val="24"/>
        </w:rPr>
        <w:t xml:space="preserve"> zwłaszcza z zakresu ujawniania postanowień tych umów holdingowych, które regulowały odpowiedzialność spółki dominującej względem wierzycieli spółki zależnej. Zachowanie dotych</w:t>
      </w:r>
      <w:r w:rsidRPr="006003C9">
        <w:rPr>
          <w:rFonts w:ascii="Times New Roman" w:hAnsi="Times New Roman" w:cs="Times New Roman"/>
          <w:szCs w:val="24"/>
        </w:rPr>
        <w:t xml:space="preserve">czasowej sankcji nieważności wspomnianych wyżej postanowień umowy holdingowej godziłoby w prawa osób trzecich w sytuacji uznania tych postanowień za </w:t>
      </w:r>
      <w:r w:rsidR="00F07DC1" w:rsidRPr="006003C9">
        <w:rPr>
          <w:rFonts w:ascii="Times New Roman" w:hAnsi="Times New Roman" w:cs="Times New Roman"/>
          <w:szCs w:val="24"/>
        </w:rPr>
        <w:t>„</w:t>
      </w:r>
      <w:r w:rsidRPr="006003C9">
        <w:rPr>
          <w:rFonts w:ascii="Times New Roman" w:hAnsi="Times New Roman" w:cs="Times New Roman"/>
          <w:i/>
          <w:szCs w:val="24"/>
        </w:rPr>
        <w:t>pactum in favore</w:t>
      </w:r>
      <w:r w:rsidRPr="00343773">
        <w:rPr>
          <w:rFonts w:ascii="Times New Roman" w:hAnsi="Times New Roman" w:cs="Times New Roman"/>
          <w:i/>
          <w:szCs w:val="24"/>
        </w:rPr>
        <w:t>m tertii</w:t>
      </w:r>
      <w:r w:rsidR="00DF530A" w:rsidRPr="004F6D86">
        <w:rPr>
          <w:rFonts w:ascii="Times New Roman" w:hAnsi="Times New Roman" w:cs="Times New Roman"/>
          <w:szCs w:val="24"/>
        </w:rPr>
        <w:t>”</w:t>
      </w:r>
      <w:r w:rsidRPr="00F1618C">
        <w:rPr>
          <w:rFonts w:ascii="Times New Roman" w:hAnsi="Times New Roman" w:cs="Times New Roman"/>
          <w:szCs w:val="24"/>
        </w:rPr>
        <w:t xml:space="preserve">. Wprowadzenie zaś innej sankcji, </w:t>
      </w:r>
      <w:r w:rsidR="00A37558" w:rsidRPr="00F1618C">
        <w:rPr>
          <w:rFonts w:ascii="Times New Roman" w:hAnsi="Times New Roman" w:cs="Times New Roman"/>
          <w:szCs w:val="24"/>
        </w:rPr>
        <w:t>na przykład</w:t>
      </w:r>
      <w:r w:rsidRPr="00F1618C">
        <w:rPr>
          <w:rFonts w:ascii="Times New Roman" w:hAnsi="Times New Roman" w:cs="Times New Roman"/>
          <w:szCs w:val="24"/>
        </w:rPr>
        <w:t xml:space="preserve"> bezskuteczności względem spółki bądź sankcji za niedopełnienie obowiązku rejestrowego</w:t>
      </w:r>
      <w:r w:rsidR="00D3754E" w:rsidRPr="00813BC2">
        <w:rPr>
          <w:rFonts w:ascii="Times New Roman" w:hAnsi="Times New Roman" w:cs="Times New Roman"/>
          <w:szCs w:val="24"/>
        </w:rPr>
        <w:t>,</w:t>
      </w:r>
      <w:r w:rsidRPr="00813BC2">
        <w:rPr>
          <w:rFonts w:ascii="Times New Roman" w:hAnsi="Times New Roman" w:cs="Times New Roman"/>
          <w:szCs w:val="24"/>
        </w:rPr>
        <w:t xml:space="preserve"> było pozbawione treści normatywnej.</w:t>
      </w:r>
    </w:p>
    <w:p w14:paraId="24201875" w14:textId="75F94606" w:rsidR="00323FC0" w:rsidRPr="00EE7FF7" w:rsidRDefault="006814C6" w:rsidP="00EE7FF7">
      <w:pPr>
        <w:pStyle w:val="ARTartustawynprozporzdzenia"/>
        <w:ind w:firstLine="0"/>
        <w:rPr>
          <w:rFonts w:ascii="Times New Roman" w:hAnsi="Times New Roman" w:cs="Times New Roman"/>
          <w:szCs w:val="24"/>
        </w:rPr>
      </w:pPr>
      <w:r w:rsidRPr="005B2436">
        <w:rPr>
          <w:rFonts w:ascii="Times New Roman" w:hAnsi="Times New Roman" w:cs="Times New Roman"/>
          <w:szCs w:val="24"/>
        </w:rPr>
        <w:t>Po czwarte, nie jest konieczne istnienie przepisów art. 7 KSH jako podstawy dopuszczalności zawierania przez spółkę dominującą ze spółką zależną umów przewidujących zarządzanie spółką zależną przez spółkę dominującą</w:t>
      </w:r>
      <w:r w:rsidR="0071110B">
        <w:rPr>
          <w:rFonts w:ascii="Times New Roman" w:hAnsi="Times New Roman" w:cs="Times New Roman"/>
          <w:szCs w:val="24"/>
        </w:rPr>
        <w:t>,</w:t>
      </w:r>
      <w:r w:rsidRPr="0071110B">
        <w:rPr>
          <w:rFonts w:ascii="Times New Roman" w:hAnsi="Times New Roman" w:cs="Times New Roman"/>
          <w:szCs w:val="24"/>
        </w:rPr>
        <w:t xml:space="preserve"> czy nawet umów o odprowadzaniu zysku spółki zależnej do spółki dominującej, gdyż taką dopuszczalność można wyprowadzić z treści art. 353</w:t>
      </w:r>
      <w:r w:rsidRPr="006003C9">
        <w:rPr>
          <w:rStyle w:val="IGindeksgrny"/>
          <w:rFonts w:ascii="Times New Roman" w:hAnsi="Times New Roman" w:cs="Times New Roman"/>
          <w:szCs w:val="24"/>
        </w:rPr>
        <w:t>1</w:t>
      </w:r>
      <w:r w:rsidRPr="006003C9">
        <w:rPr>
          <w:rFonts w:ascii="Times New Roman" w:hAnsi="Times New Roman" w:cs="Times New Roman"/>
          <w:szCs w:val="24"/>
        </w:rPr>
        <w:t xml:space="preserve"> KC </w:t>
      </w:r>
      <w:r w:rsidR="001C6010" w:rsidRPr="006003C9">
        <w:rPr>
          <w:rFonts w:ascii="Times New Roman" w:hAnsi="Times New Roman" w:cs="Times New Roman"/>
          <w:szCs w:val="24"/>
        </w:rPr>
        <w:t>w związku</w:t>
      </w:r>
      <w:r w:rsidRPr="00343773">
        <w:rPr>
          <w:rFonts w:ascii="Times New Roman" w:hAnsi="Times New Roman" w:cs="Times New Roman"/>
          <w:szCs w:val="24"/>
        </w:rPr>
        <w:t xml:space="preserve"> z art. 2 KSH.</w:t>
      </w:r>
    </w:p>
    <w:p w14:paraId="6DBE524B" w14:textId="28D13309"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2.12. Przepisy objęte zakresem projektu można podzielić na dwie kategorie (nie licząc przepisów o charakterze ogólnym,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art. 4 § 1 pkt 5</w:t>
      </w:r>
      <w:r w:rsidRPr="00EE7FF7">
        <w:rPr>
          <w:rStyle w:val="IGindeksgrny"/>
          <w:rFonts w:ascii="Times New Roman" w:hAnsi="Times New Roman" w:cs="Times New Roman"/>
          <w:szCs w:val="24"/>
        </w:rPr>
        <w:t>1</w:t>
      </w:r>
      <w:r w:rsidRPr="00EE7FF7">
        <w:rPr>
          <w:rFonts w:ascii="Times New Roman" w:hAnsi="Times New Roman" w:cs="Times New Roman"/>
          <w:szCs w:val="24"/>
        </w:rPr>
        <w:t>, art. 21</w:t>
      </w:r>
      <w:r w:rsidRPr="00EE7FF7">
        <w:rPr>
          <w:rStyle w:val="IGindeksgrny"/>
          <w:rFonts w:ascii="Times New Roman" w:hAnsi="Times New Roman" w:cs="Times New Roman"/>
          <w:szCs w:val="24"/>
        </w:rPr>
        <w:t>1</w:t>
      </w:r>
      <w:r w:rsidRPr="00EE7FF7">
        <w:rPr>
          <w:rStyle w:val="IGindeksgrny"/>
          <w:rFonts w:ascii="Times New Roman" w:hAnsi="Times New Roman" w:cs="Times New Roman"/>
          <w:szCs w:val="24"/>
          <w:vertAlign w:val="baseline"/>
        </w:rPr>
        <w:t xml:space="preserve">, </w:t>
      </w:r>
      <w:r w:rsidR="00586400" w:rsidRPr="00EE7FF7">
        <w:rPr>
          <w:rStyle w:val="IGindeksgrny"/>
          <w:rFonts w:ascii="Times New Roman" w:hAnsi="Times New Roman" w:cs="Times New Roman"/>
          <w:bCs/>
          <w:szCs w:val="24"/>
          <w:vertAlign w:val="baseline"/>
        </w:rPr>
        <w:t>art. 21</w:t>
      </w:r>
      <w:r w:rsidRPr="00EE7FF7">
        <w:rPr>
          <w:rStyle w:val="IGindeksgrny"/>
          <w:rFonts w:ascii="Times New Roman" w:hAnsi="Times New Roman" w:cs="Times New Roman"/>
          <w:bCs/>
          <w:szCs w:val="24"/>
        </w:rPr>
        <w:t>16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oraz przepisu odsyłającego,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15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 mianowicie: </w:t>
      </w:r>
    </w:p>
    <w:p w14:paraId="39680AF9" w14:textId="5867596D" w:rsidR="00581BFC" w:rsidRPr="00EE7FF7" w:rsidRDefault="00581BFC" w:rsidP="00EE7FF7">
      <w:pPr>
        <w:pStyle w:val="ARTartustawynprozporzdzenia"/>
        <w:spacing w:before="0"/>
        <w:ind w:left="425" w:hanging="425"/>
        <w:rPr>
          <w:rFonts w:ascii="Times New Roman" w:hAnsi="Times New Roman" w:cs="Times New Roman"/>
          <w:szCs w:val="24"/>
        </w:rPr>
      </w:pPr>
      <w:r w:rsidRPr="00EE7FF7">
        <w:rPr>
          <w:rFonts w:ascii="Times New Roman" w:hAnsi="Times New Roman" w:cs="Times New Roman"/>
          <w:szCs w:val="24"/>
        </w:rPr>
        <w:t>a)</w:t>
      </w:r>
      <w:r w:rsidR="00F30ED8">
        <w:rPr>
          <w:rFonts w:ascii="Times New Roman" w:hAnsi="Times New Roman" w:cs="Times New Roman"/>
          <w:szCs w:val="24"/>
        </w:rPr>
        <w:tab/>
      </w:r>
      <w:r w:rsidRPr="00EE7FF7">
        <w:rPr>
          <w:rFonts w:ascii="Times New Roman" w:hAnsi="Times New Roman" w:cs="Times New Roman"/>
          <w:szCs w:val="24"/>
        </w:rPr>
        <w:t>po pierwsze takie, które ułatwiają sprawne „zarządzanie” grupą spółek przez spółkę dominującą, w związku z realizacją wspólnej strategii gospodarczej grupy (art. 21</w:t>
      </w:r>
      <w:r w:rsidRPr="00EE7FF7">
        <w:rPr>
          <w:rStyle w:val="IGindeksgrny"/>
          <w:rFonts w:ascii="Times New Roman" w:hAnsi="Times New Roman" w:cs="Times New Roman"/>
          <w:szCs w:val="24"/>
        </w:rPr>
        <w:t>2</w:t>
      </w:r>
      <w:r w:rsidRPr="00EE7FF7">
        <w:rPr>
          <w:rFonts w:ascii="Times New Roman" w:hAnsi="Times New Roman" w:cs="Times New Roman"/>
          <w:szCs w:val="24"/>
        </w:rPr>
        <w:t>–21</w:t>
      </w:r>
      <w:r w:rsidRPr="00EE7FF7">
        <w:rPr>
          <w:rStyle w:val="IGindeksgrny"/>
          <w:rFonts w:ascii="Times New Roman" w:hAnsi="Times New Roman" w:cs="Times New Roman"/>
          <w:szCs w:val="24"/>
        </w:rPr>
        <w:t>3</w:t>
      </w:r>
      <w:r w:rsidRPr="00EE7FF7">
        <w:rPr>
          <w:rFonts w:ascii="Times New Roman" w:hAnsi="Times New Roman" w:cs="Times New Roman"/>
          <w:szCs w:val="24"/>
        </w:rPr>
        <w:t xml:space="preserve"> oraz art. 21</w:t>
      </w:r>
      <w:r w:rsidRPr="00EE7FF7">
        <w:rPr>
          <w:rStyle w:val="IGindeksgrny"/>
          <w:rFonts w:ascii="Times New Roman" w:hAnsi="Times New Roman" w:cs="Times New Roman"/>
          <w:szCs w:val="24"/>
        </w:rPr>
        <w:t>6</w:t>
      </w:r>
      <w:r w:rsidRPr="00EE7FF7">
        <w:rPr>
          <w:rFonts w:ascii="Times New Roman" w:hAnsi="Times New Roman" w:cs="Times New Roman"/>
          <w:szCs w:val="24"/>
        </w:rPr>
        <w:t>–21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oraz </w:t>
      </w:r>
    </w:p>
    <w:p w14:paraId="6779B285" w14:textId="6A7C80F7" w:rsidR="00581BFC" w:rsidRPr="00EE7FF7" w:rsidRDefault="00581BFC" w:rsidP="00EE7FF7">
      <w:pPr>
        <w:pStyle w:val="ARTartustawynprozporzdzenia"/>
        <w:spacing w:before="0"/>
        <w:ind w:left="425" w:hanging="425"/>
        <w:rPr>
          <w:rFonts w:ascii="Times New Roman" w:hAnsi="Times New Roman" w:cs="Times New Roman"/>
          <w:szCs w:val="24"/>
        </w:rPr>
      </w:pPr>
      <w:r w:rsidRPr="00EE7FF7">
        <w:rPr>
          <w:rFonts w:ascii="Times New Roman" w:hAnsi="Times New Roman" w:cs="Times New Roman"/>
          <w:szCs w:val="24"/>
        </w:rPr>
        <w:t>b)</w:t>
      </w:r>
      <w:r w:rsidR="00F30ED8">
        <w:rPr>
          <w:rFonts w:ascii="Times New Roman" w:hAnsi="Times New Roman" w:cs="Times New Roman"/>
          <w:szCs w:val="24"/>
        </w:rPr>
        <w:tab/>
      </w:r>
      <w:r w:rsidRPr="00EE7FF7">
        <w:rPr>
          <w:rFonts w:ascii="Times New Roman" w:hAnsi="Times New Roman" w:cs="Times New Roman"/>
          <w:szCs w:val="24"/>
        </w:rPr>
        <w:t>po drugie takie, które z kolei zapewniają ochronę określonych grup interesu występujących w przypadku grupy spółek, a więc przede wszystkim spółki zależnej należącej do grupy spółek (art. 21</w:t>
      </w:r>
      <w:r w:rsidRPr="00EE7FF7">
        <w:rPr>
          <w:rStyle w:val="IGindeksgrny"/>
          <w:rFonts w:ascii="Times New Roman" w:hAnsi="Times New Roman" w:cs="Times New Roman"/>
          <w:szCs w:val="24"/>
        </w:rPr>
        <w:t>4</w:t>
      </w:r>
      <w:r w:rsidRPr="00EE7FF7">
        <w:rPr>
          <w:rFonts w:ascii="Times New Roman" w:hAnsi="Times New Roman" w:cs="Times New Roman"/>
          <w:szCs w:val="24"/>
        </w:rPr>
        <w:t xml:space="preserve"> i art. 21</w:t>
      </w:r>
      <w:r w:rsidRPr="00EE7FF7">
        <w:rPr>
          <w:rStyle w:val="IGindeksgrny"/>
          <w:rFonts w:ascii="Times New Roman" w:hAnsi="Times New Roman" w:cs="Times New Roman"/>
          <w:szCs w:val="24"/>
        </w:rPr>
        <w:t>12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następnie spółki dominującej</w:t>
      </w:r>
      <w:r w:rsidR="0071110B">
        <w:rPr>
          <w:rFonts w:ascii="Times New Roman" w:hAnsi="Times New Roman" w:cs="Times New Roman"/>
          <w:szCs w:val="24"/>
        </w:rPr>
        <w:t>,</w:t>
      </w:r>
      <w:r w:rsidRPr="00EE7FF7">
        <w:rPr>
          <w:rFonts w:ascii="Times New Roman" w:hAnsi="Times New Roman" w:cs="Times New Roman"/>
          <w:szCs w:val="24"/>
        </w:rPr>
        <w:t xml:space="preserve"> a pośrednio całej grupy spółek (art. 21</w:t>
      </w:r>
      <w:r w:rsidRPr="00EE7FF7">
        <w:rPr>
          <w:rStyle w:val="IGindeksgrny"/>
          <w:rFonts w:ascii="Times New Roman" w:hAnsi="Times New Roman" w:cs="Times New Roman"/>
          <w:szCs w:val="24"/>
        </w:rPr>
        <w:t>11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dalej </w:t>
      </w:r>
      <w:r w:rsidRPr="00EE7FF7">
        <w:rPr>
          <w:rFonts w:ascii="Times New Roman" w:hAnsi="Times New Roman" w:cs="Times New Roman"/>
          <w:szCs w:val="24"/>
        </w:rPr>
        <w:lastRenderedPageBreak/>
        <w:t>wierzycieli spółki należącej do grupy, a zwłaszcza spółki zależnej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i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 także wspólników bądź akcjonariuszy mniejszościowych takiej spółki zależnej (art. 21</w:t>
      </w:r>
      <w:r w:rsidRPr="00EE7FF7">
        <w:rPr>
          <w:rStyle w:val="IGindeksgrny"/>
          <w:rFonts w:ascii="Times New Roman" w:hAnsi="Times New Roman" w:cs="Times New Roman"/>
          <w:szCs w:val="24"/>
        </w:rPr>
        <w:t>8</w:t>
      </w:r>
      <w:r w:rsidRPr="00EE7FF7">
        <w:rPr>
          <w:rFonts w:ascii="Times New Roman" w:hAnsi="Times New Roman" w:cs="Times New Roman"/>
          <w:szCs w:val="24"/>
        </w:rPr>
        <w:t>–21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i art. 21</w:t>
      </w:r>
      <w:r w:rsidRPr="00EE7FF7">
        <w:rPr>
          <w:rStyle w:val="IGindeksgrny"/>
          <w:rFonts w:ascii="Times New Roman" w:hAnsi="Times New Roman" w:cs="Times New Roman"/>
          <w:szCs w:val="24"/>
        </w:rPr>
        <w:t>13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r w:rsidR="0071110B">
        <w:rPr>
          <w:rFonts w:ascii="Times New Roman" w:hAnsi="Times New Roman" w:cs="Times New Roman"/>
          <w:szCs w:val="24"/>
        </w:rPr>
        <w:t>,</w:t>
      </w:r>
      <w:r w:rsidRPr="00EE7FF7">
        <w:rPr>
          <w:rFonts w:ascii="Times New Roman" w:hAnsi="Times New Roman" w:cs="Times New Roman"/>
          <w:szCs w:val="24"/>
        </w:rPr>
        <w:t xml:space="preserve"> a nawet członków organów menedżerskich spółki zależnej i spółki dominującej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 </w:t>
      </w:r>
      <w:r w:rsidRPr="00EE7FF7">
        <w:rPr>
          <w:rFonts w:ascii="Times New Roman" w:hAnsi="Times New Roman" w:cs="Times New Roman"/>
          <w:bCs/>
          <w:szCs w:val="24"/>
        </w:rPr>
        <w:t>4</w:t>
      </w:r>
      <w:r w:rsidRPr="00EE7FF7">
        <w:rPr>
          <w:rFonts w:ascii="Times New Roman" w:hAnsi="Times New Roman" w:cs="Times New Roman"/>
          <w:b/>
          <w:bCs/>
          <w:szCs w:val="24"/>
        </w:rPr>
        <w:t xml:space="preserve"> </w:t>
      </w:r>
      <w:r w:rsidRPr="00EE7FF7">
        <w:rPr>
          <w:rFonts w:ascii="Times New Roman" w:hAnsi="Times New Roman" w:cs="Times New Roman"/>
          <w:szCs w:val="24"/>
        </w:rPr>
        <w:t>i art. 21</w:t>
      </w:r>
      <w:r w:rsidRPr="00EE7FF7">
        <w:rPr>
          <w:rStyle w:val="IGindeksgrny"/>
          <w:rFonts w:ascii="Times New Roman" w:hAnsi="Times New Roman" w:cs="Times New Roman"/>
          <w:szCs w:val="24"/>
        </w:rPr>
        <w:t>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42C27DC5" w14:textId="5453AD3F"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 przypadku tej drugiej kategorii przepisów regulujących grupy spółek realizowana jest podstawowa funkcja prawa prywatnego (do którego należy prawo spółek handlowych)</w:t>
      </w:r>
      <w:r w:rsidR="00834724">
        <w:rPr>
          <w:rFonts w:ascii="Times New Roman" w:hAnsi="Times New Roman" w:cs="Times New Roman"/>
          <w:szCs w:val="24"/>
        </w:rPr>
        <w:t>,</w:t>
      </w:r>
      <w:r w:rsidRPr="00EE7FF7">
        <w:rPr>
          <w:rFonts w:ascii="Times New Roman" w:hAnsi="Times New Roman" w:cs="Times New Roman"/>
          <w:szCs w:val="24"/>
        </w:rPr>
        <w:t xml:space="preserve"> a mianowicie ochrona praw jednostki. Oznacza to, że skoncentrowanie się projektu tylko i wyłącznie na zapewnieniu spółce dominującej sprawnego zarządzania grupą spółek, z pominięciem wspomnianych wyżej „przepisów ochronnych”, godziłoby w systemowe zasady przyjęte w prawie prywatnym oraz w cel, dla którego została przewidziana regulacja prawna spółek handlowych (</w:t>
      </w:r>
      <w:r w:rsidR="00F07DC1" w:rsidRPr="00EE7FF7">
        <w:rPr>
          <w:rFonts w:ascii="Times New Roman" w:hAnsi="Times New Roman" w:cs="Times New Roman"/>
          <w:szCs w:val="24"/>
        </w:rPr>
        <w:t>K</w:t>
      </w:r>
      <w:r w:rsidRPr="00EE7FF7">
        <w:rPr>
          <w:rFonts w:ascii="Times New Roman" w:hAnsi="Times New Roman" w:cs="Times New Roman"/>
          <w:szCs w:val="24"/>
        </w:rPr>
        <w:t>odeks spółek handlowych).</w:t>
      </w:r>
    </w:p>
    <w:p w14:paraId="3A5FC629" w14:textId="5F83537F"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2.13. Podstawową instytucją prawną, która ma zapewnić spółce dominującej sprawne zarządzanie grupą spółek</w:t>
      </w:r>
      <w:r w:rsidR="007177E0">
        <w:rPr>
          <w:rFonts w:ascii="Times New Roman" w:hAnsi="Times New Roman" w:cs="Times New Roman"/>
          <w:szCs w:val="24"/>
        </w:rPr>
        <w:t>,</w:t>
      </w:r>
      <w:r w:rsidRPr="00EE7FF7">
        <w:rPr>
          <w:rFonts w:ascii="Times New Roman" w:hAnsi="Times New Roman" w:cs="Times New Roman"/>
          <w:szCs w:val="24"/>
        </w:rPr>
        <w:t xml:space="preserve"> jest wiążące polecenie kierowane przez spółkę dominującą do spółki zależnej (art. 21</w:t>
      </w:r>
      <w:r w:rsidRPr="00EE7FF7">
        <w:rPr>
          <w:rStyle w:val="IGindeksgrny"/>
          <w:rFonts w:ascii="Times New Roman" w:hAnsi="Times New Roman" w:cs="Times New Roman"/>
          <w:szCs w:val="24"/>
        </w:rPr>
        <w:t>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Prawna regulacja tej instytucji jest konieczna, gdyż w świetle przepisu art. 375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możliwość wydania wiążącego polecenia przez spółkę dominującą spółce zależnej jest wykluczona wtedy, gdy spółka zależna jest spółką akcyjną. Z kolei w sytuacji, gdy spółka zależna byłaby spółką z o.o., powyższy problem także istnieje. Wprawdzie na gruncie spółki z o.o. nie ma odpowiednika art. 375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to jednak w doktrynie prawa handlowego wyrażane są poglądy, że wspólnicy bądź zgromadzenie wspólników tej spółki (a w tym przypadku spółka dominująca) nie mogą wydawać spółce (jej zarządowi) wiążących poleceń. Stąd konieczna jest wyraźna regulacja wspomnianej materii, zaś art. 21</w:t>
      </w:r>
      <w:r w:rsidRPr="00EE7FF7">
        <w:rPr>
          <w:rStyle w:val="IGindeksgrny"/>
          <w:rFonts w:ascii="Times New Roman" w:hAnsi="Times New Roman" w:cs="Times New Roman"/>
          <w:szCs w:val="24"/>
        </w:rPr>
        <w:t>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regulujący dopuszczalność dawania wiążących poleceń spółki dominującej względem spółki zależnej stanowi </w:t>
      </w:r>
      <w:r w:rsidRPr="00EE7FF7">
        <w:rPr>
          <w:rFonts w:ascii="Times New Roman" w:hAnsi="Times New Roman" w:cs="Times New Roman"/>
          <w:i/>
          <w:szCs w:val="24"/>
        </w:rPr>
        <w:t>lex specialis</w:t>
      </w:r>
      <w:r w:rsidRPr="00EE7FF7">
        <w:rPr>
          <w:rFonts w:ascii="Times New Roman" w:hAnsi="Times New Roman" w:cs="Times New Roman"/>
          <w:szCs w:val="24"/>
        </w:rPr>
        <w:t xml:space="preserve"> w stosunku do art. 375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w:t>
      </w:r>
    </w:p>
    <w:p w14:paraId="108EE512" w14:textId="6AEF48F5" w:rsidR="00DC20F6"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2.14.</w:t>
      </w:r>
      <w:r w:rsidR="00DC20F6" w:rsidRPr="00EE7FF7">
        <w:rPr>
          <w:rFonts w:ascii="Times New Roman" w:hAnsi="Times New Roman" w:cs="Times New Roman"/>
          <w:szCs w:val="24"/>
        </w:rPr>
        <w:t xml:space="preserve"> Pod względem prawnym wiążące polecenia należy uznać za czynności prawne dwustronne. Taka ich klasyfikacja przesądza w pierwszej kolejności o tym, że wiążące polecenie może wydać zarząd, a także prokurent i pełnomocnicy spółki, w zakresie przysługującego im umocowania. Wiążących poleceń nie będzie natomiast mogła wydawać spółkom zależnym rada nadzorcza spółki dominującej.</w:t>
      </w:r>
      <w:r w:rsidR="00ED6461" w:rsidRPr="00EE7FF7">
        <w:rPr>
          <w:rFonts w:ascii="Times New Roman" w:hAnsi="Times New Roman" w:cs="Times New Roman"/>
          <w:szCs w:val="24"/>
        </w:rPr>
        <w:t xml:space="preserve"> Przesądza ona również za tym</w:t>
      </w:r>
      <w:r w:rsidR="007177E0">
        <w:rPr>
          <w:rFonts w:ascii="Times New Roman" w:hAnsi="Times New Roman" w:cs="Times New Roman"/>
          <w:szCs w:val="24"/>
        </w:rPr>
        <w:t>,</w:t>
      </w:r>
      <w:r w:rsidR="00ED6461" w:rsidRPr="00EE7FF7">
        <w:rPr>
          <w:rFonts w:ascii="Times New Roman" w:hAnsi="Times New Roman" w:cs="Times New Roman"/>
          <w:szCs w:val="24"/>
        </w:rPr>
        <w:t xml:space="preserve"> </w:t>
      </w:r>
      <w:r w:rsidR="007177E0">
        <w:rPr>
          <w:rFonts w:ascii="Times New Roman" w:hAnsi="Times New Roman" w:cs="Times New Roman"/>
          <w:szCs w:val="24"/>
        </w:rPr>
        <w:t>a</w:t>
      </w:r>
      <w:r w:rsidR="00ED6461" w:rsidRPr="00EE7FF7">
        <w:rPr>
          <w:rFonts w:ascii="Times New Roman" w:hAnsi="Times New Roman" w:cs="Times New Roman"/>
          <w:szCs w:val="24"/>
        </w:rPr>
        <w:t xml:space="preserve">by do wiążących poleceń stosować teorię doręczenia. </w:t>
      </w:r>
      <w:r w:rsidR="00DC20F6" w:rsidRPr="00EE7FF7">
        <w:rPr>
          <w:rFonts w:ascii="Times New Roman" w:hAnsi="Times New Roman" w:cs="Times New Roman"/>
          <w:szCs w:val="24"/>
        </w:rPr>
        <w:t xml:space="preserve">Ponadto podobnie jak inne czynności prawne, wiążące polecenia będą mogły być przedmiotem weryfikacji przez </w:t>
      </w:r>
      <w:r w:rsidR="00DC20F6" w:rsidRPr="00EE7FF7">
        <w:rPr>
          <w:rFonts w:ascii="Times New Roman" w:hAnsi="Times New Roman" w:cs="Times New Roman"/>
          <w:szCs w:val="24"/>
        </w:rPr>
        <w:lastRenderedPageBreak/>
        <w:t>pryzmat art. 58 KC czy badani</w:t>
      </w:r>
      <w:r w:rsidR="007177E0">
        <w:rPr>
          <w:rFonts w:ascii="Times New Roman" w:hAnsi="Times New Roman" w:cs="Times New Roman"/>
          <w:szCs w:val="24"/>
        </w:rPr>
        <w:t>a</w:t>
      </w:r>
      <w:r w:rsidR="00DC20F6" w:rsidRPr="00EE7FF7">
        <w:rPr>
          <w:rFonts w:ascii="Times New Roman" w:hAnsi="Times New Roman" w:cs="Times New Roman"/>
          <w:szCs w:val="24"/>
        </w:rPr>
        <w:t xml:space="preserve"> w zakresie ich dotknięcia wadami prawnymi. Za uznaniem wiążących poleceń za czynności dwustronne przemawia natomiast to</w:t>
      </w:r>
      <w:r w:rsidR="007177E0">
        <w:rPr>
          <w:rFonts w:ascii="Times New Roman" w:hAnsi="Times New Roman" w:cs="Times New Roman"/>
          <w:szCs w:val="24"/>
        </w:rPr>
        <w:t>,</w:t>
      </w:r>
      <w:r w:rsidR="00DC20F6" w:rsidRPr="00EE7FF7">
        <w:rPr>
          <w:rFonts w:ascii="Times New Roman" w:hAnsi="Times New Roman" w:cs="Times New Roman"/>
          <w:szCs w:val="24"/>
        </w:rPr>
        <w:t xml:space="preserve"> że do pełnego ukształtowania stosunku prawnego potrzebne jest wydanie wiążącego polecenia oraz jego</w:t>
      </w:r>
      <w:r w:rsidR="00E13BC4" w:rsidRPr="00EE7FF7">
        <w:rPr>
          <w:rFonts w:ascii="Times New Roman" w:hAnsi="Times New Roman" w:cs="Times New Roman"/>
          <w:szCs w:val="24"/>
        </w:rPr>
        <w:t xml:space="preserve"> przyjęcie przez spółkę zależną oraz to że na spółkę zależną nałożony został obowiązek poinformowania spółki dominującej o podjętej w tym zakresie decyzji.</w:t>
      </w:r>
    </w:p>
    <w:p w14:paraId="0741D356" w14:textId="78CEC8A6" w:rsidR="00581BFC" w:rsidRPr="00EE7FF7" w:rsidRDefault="00DC20F6" w:rsidP="00EE7FF7">
      <w:pPr>
        <w:pStyle w:val="ARTartustawynprozporzdzenia"/>
        <w:ind w:firstLine="0"/>
        <w:rPr>
          <w:rFonts w:ascii="Times New Roman" w:hAnsi="Times New Roman" w:cs="Times New Roman"/>
          <w:szCs w:val="24"/>
        </w:rPr>
      </w:pPr>
      <w:r w:rsidRPr="0089145A">
        <w:rPr>
          <w:rFonts w:ascii="Times New Roman" w:hAnsi="Times New Roman" w:cs="Times New Roman"/>
          <w:szCs w:val="24"/>
        </w:rPr>
        <w:t>2.15</w:t>
      </w:r>
      <w:r w:rsidR="0089145A" w:rsidRPr="0089145A">
        <w:rPr>
          <w:rFonts w:ascii="Times New Roman" w:hAnsi="Times New Roman" w:cs="Times New Roman"/>
          <w:szCs w:val="24"/>
        </w:rPr>
        <w:t>.</w:t>
      </w:r>
      <w:r w:rsidRPr="0089145A">
        <w:rPr>
          <w:rFonts w:ascii="Times New Roman" w:hAnsi="Times New Roman" w:cs="Times New Roman"/>
          <w:szCs w:val="24"/>
        </w:rPr>
        <w:t xml:space="preserve"> </w:t>
      </w:r>
      <w:r w:rsidR="00581BFC" w:rsidRPr="0089145A">
        <w:rPr>
          <w:rFonts w:ascii="Times New Roman" w:hAnsi="Times New Roman" w:cs="Times New Roman"/>
          <w:szCs w:val="24"/>
        </w:rPr>
        <w:t xml:space="preserve">Obserwując </w:t>
      </w:r>
      <w:r w:rsidR="00581BFC" w:rsidRPr="00EE7FF7">
        <w:rPr>
          <w:rFonts w:ascii="Times New Roman" w:hAnsi="Times New Roman" w:cs="Times New Roman"/>
          <w:szCs w:val="24"/>
        </w:rPr>
        <w:t xml:space="preserve">praktykę polskich i zagranicznych grup spółek nie można twierdzić, że grupa spółek stanowi kategorię monolityczną. Należy bowiem zaobserwować różnice istniejące w grupach spółek, których kryterium wyróżnienia stanowi zaangażowanie kapitałowe spółki dominującej w spółki od niej zależne. W związku z tym projekt odróżnia </w:t>
      </w:r>
      <w:r w:rsidR="00581BFC" w:rsidRPr="00EE7FF7">
        <w:rPr>
          <w:rFonts w:ascii="Times New Roman" w:hAnsi="Times New Roman" w:cs="Times New Roman"/>
          <w:bCs/>
          <w:szCs w:val="24"/>
        </w:rPr>
        <w:t>dwie</w:t>
      </w:r>
      <w:r w:rsidR="00581BFC" w:rsidRPr="00EE7FF7">
        <w:rPr>
          <w:rFonts w:ascii="Times New Roman" w:hAnsi="Times New Roman" w:cs="Times New Roman"/>
          <w:szCs w:val="24"/>
        </w:rPr>
        <w:t xml:space="preserve"> kategorie grup spółek, przewidując dla każdej z nich odmienne rozwiązania dotyczące </w:t>
      </w:r>
      <w:r w:rsidR="00581BFC" w:rsidRPr="00EE7FF7">
        <w:rPr>
          <w:rFonts w:ascii="Times New Roman" w:hAnsi="Times New Roman" w:cs="Times New Roman"/>
          <w:bCs/>
          <w:szCs w:val="24"/>
        </w:rPr>
        <w:t>przesłanek odmowy wykonania</w:t>
      </w:r>
      <w:r w:rsidR="00581BFC" w:rsidRPr="00EE7FF7">
        <w:rPr>
          <w:rFonts w:ascii="Times New Roman" w:hAnsi="Times New Roman" w:cs="Times New Roman"/>
          <w:szCs w:val="24"/>
        </w:rPr>
        <w:t xml:space="preserve"> przez spółkę zależną wiążącego polecania spółki dominującej, a także zakresu odpowiedzialności spółki dominującej względem spółki zależnej w przypadku, gdyby wykonanie wiążącego polecenia wyrządziło tej ostatniej szkodę. To samo odnosi się do różniących się między sobą rozwiązań prawnych w zakresie ochrony wspólników (akcjonariuszy) mniejszościowych spółki zależnej.</w:t>
      </w:r>
    </w:p>
    <w:p w14:paraId="035545D0" w14:textId="77777777"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Do tych różnych kategorii grup spółek projekt zalicza następujące sytuacje:</w:t>
      </w:r>
    </w:p>
    <w:p w14:paraId="7963FF8C" w14:textId="1CCBDEEB" w:rsidR="00581BFC" w:rsidRPr="00EE7FF7" w:rsidRDefault="00581BFC" w:rsidP="00EE7FF7">
      <w:pPr>
        <w:pStyle w:val="ARTartustawynprozporzdzenia"/>
        <w:spacing w:before="0"/>
        <w:ind w:left="425" w:hanging="425"/>
        <w:rPr>
          <w:rFonts w:ascii="Times New Roman" w:hAnsi="Times New Roman" w:cs="Times New Roman"/>
          <w:szCs w:val="24"/>
        </w:rPr>
      </w:pPr>
      <w:r w:rsidRPr="00EE7FF7">
        <w:rPr>
          <w:rFonts w:ascii="Times New Roman" w:hAnsi="Times New Roman" w:cs="Times New Roman"/>
          <w:szCs w:val="24"/>
        </w:rPr>
        <w:t>a)</w:t>
      </w:r>
      <w:r w:rsidR="00F30ED8">
        <w:rPr>
          <w:rFonts w:ascii="Times New Roman" w:hAnsi="Times New Roman" w:cs="Times New Roman"/>
          <w:szCs w:val="24"/>
        </w:rPr>
        <w:tab/>
      </w:r>
      <w:r w:rsidRPr="00EE7FF7">
        <w:rPr>
          <w:rFonts w:ascii="Times New Roman" w:hAnsi="Times New Roman" w:cs="Times New Roman"/>
          <w:szCs w:val="24"/>
        </w:rPr>
        <w:t>pierwsza – spółka dominująca posiada swoje spółki jednoosobowe. W tym przypadku bezprzedmiotowa staje się potrzeba ochrony wspólników (akcjonariuszy) mniejszościowych spółki zależnej, ze względu na ich brak,</w:t>
      </w:r>
    </w:p>
    <w:p w14:paraId="0C4F868A" w14:textId="51CF3BBB" w:rsidR="00581BFC" w:rsidRPr="00EE7FF7" w:rsidRDefault="00581BFC" w:rsidP="00EE7FF7">
      <w:pPr>
        <w:pStyle w:val="ARTartustawynprozporzdzenia"/>
        <w:spacing w:before="0"/>
        <w:ind w:left="425" w:hanging="425"/>
        <w:rPr>
          <w:rFonts w:ascii="Times New Roman" w:hAnsi="Times New Roman" w:cs="Times New Roman"/>
          <w:b/>
          <w:bCs/>
          <w:szCs w:val="24"/>
        </w:rPr>
      </w:pPr>
      <w:r w:rsidRPr="00EE7FF7">
        <w:rPr>
          <w:rFonts w:ascii="Times New Roman" w:hAnsi="Times New Roman" w:cs="Times New Roman"/>
          <w:szCs w:val="24"/>
        </w:rPr>
        <w:t>b)</w:t>
      </w:r>
      <w:r w:rsidR="00F30ED8">
        <w:rPr>
          <w:rFonts w:ascii="Times New Roman" w:hAnsi="Times New Roman" w:cs="Times New Roman"/>
          <w:szCs w:val="24"/>
        </w:rPr>
        <w:tab/>
      </w:r>
      <w:r w:rsidRPr="00EE7FF7">
        <w:rPr>
          <w:rFonts w:ascii="Times New Roman" w:hAnsi="Times New Roman" w:cs="Times New Roman"/>
          <w:szCs w:val="24"/>
        </w:rPr>
        <w:t xml:space="preserve">druga – </w:t>
      </w:r>
      <w:r w:rsidRPr="00EE7FF7">
        <w:rPr>
          <w:rFonts w:ascii="Times New Roman" w:hAnsi="Times New Roman" w:cs="Times New Roman"/>
          <w:bCs/>
          <w:szCs w:val="24"/>
        </w:rPr>
        <w:t>spółka dominująca bezpośrednio (samodzielnie) bądź pośrednio (z innymi wspólnikami albo akcjonariuszami spółki zależnej) sprawuje kontrolę nad pozostałymi spółkami zależnymi, w których występują wspólnicy albo akcjonariusze mniejszościowi nie powiązani kapitałowo bądź w inny sposób ze spółką dominującą.</w:t>
      </w:r>
    </w:p>
    <w:p w14:paraId="61E91D18" w14:textId="53D22D37"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Powyższe rozróżnienie oraz związanie z tym odmiennych reżimów prawnych w kwestiach szczegółowych pozwala na osiągnięcie kompromisu między przeciwstawnymi wizjami prawa grup spółek, a więc z jednej strony prawa skoncentrowanego na zapewnieniu sprawnego zarządzania grupą spółek przez spółkę dominującą, z wyłączeniem potrzeby ochrony interesów innych podmiotów związanych z grupą spółek (wewnętrznych i zewnętrznych), a z drugiej strony – koniecznością ochrony tych interesów, czemu co do zasady ma służyć prawo prywatne, a tutaj </w:t>
      </w:r>
      <w:r w:rsidR="008B429D">
        <w:rPr>
          <w:rFonts w:ascii="Times New Roman" w:hAnsi="Times New Roman" w:cs="Times New Roman"/>
          <w:szCs w:val="24"/>
        </w:rPr>
        <w:t>K</w:t>
      </w:r>
      <w:r w:rsidRPr="00EE7FF7">
        <w:rPr>
          <w:rFonts w:ascii="Times New Roman" w:hAnsi="Times New Roman" w:cs="Times New Roman"/>
          <w:szCs w:val="24"/>
        </w:rPr>
        <w:t xml:space="preserve">odeks spółek handlowych. </w:t>
      </w:r>
    </w:p>
    <w:p w14:paraId="470E0E11" w14:textId="411D6641"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2.1</w:t>
      </w:r>
      <w:r w:rsidR="00F372C4">
        <w:rPr>
          <w:rFonts w:ascii="Times New Roman" w:hAnsi="Times New Roman" w:cs="Times New Roman"/>
          <w:szCs w:val="24"/>
        </w:rPr>
        <w:t>6</w:t>
      </w:r>
      <w:r w:rsidRPr="00EE7FF7">
        <w:rPr>
          <w:rFonts w:ascii="Times New Roman" w:hAnsi="Times New Roman" w:cs="Times New Roman"/>
          <w:szCs w:val="24"/>
        </w:rPr>
        <w:t xml:space="preserve">. Wobec powyższego </w:t>
      </w:r>
      <w:r w:rsidR="00ED6461" w:rsidRPr="00EE7FF7">
        <w:rPr>
          <w:rFonts w:ascii="Times New Roman" w:hAnsi="Times New Roman" w:cs="Times New Roman"/>
          <w:szCs w:val="24"/>
        </w:rPr>
        <w:t xml:space="preserve">każda </w:t>
      </w:r>
      <w:r w:rsidRPr="00EE7FF7">
        <w:rPr>
          <w:rFonts w:ascii="Times New Roman" w:hAnsi="Times New Roman" w:cs="Times New Roman"/>
          <w:szCs w:val="24"/>
        </w:rPr>
        <w:t xml:space="preserve">spółka zależna należąca do grupy spółek </w:t>
      </w:r>
      <w:r w:rsidRPr="00EE7FF7">
        <w:rPr>
          <w:rFonts w:ascii="Times New Roman" w:hAnsi="Times New Roman" w:cs="Times New Roman"/>
          <w:bCs/>
          <w:szCs w:val="24"/>
        </w:rPr>
        <w:t>nie może</w:t>
      </w:r>
      <w:r w:rsidR="00F372C4">
        <w:rPr>
          <w:rFonts w:ascii="Times New Roman" w:hAnsi="Times New Roman" w:cs="Times New Roman"/>
          <w:bCs/>
          <w:szCs w:val="24"/>
        </w:rPr>
        <w:t>,</w:t>
      </w:r>
      <w:r w:rsidRPr="00EE7FF7">
        <w:rPr>
          <w:rFonts w:ascii="Times New Roman" w:hAnsi="Times New Roman" w:cs="Times New Roman"/>
          <w:bCs/>
          <w:szCs w:val="24"/>
        </w:rPr>
        <w:t xml:space="preserve"> a nawet ma obowiązek odmowy wykonania polecenia spółki dominującej, ale tylko wtedy, gdy jego wykonanie groziłoby bądź prowadziło do niewypłacalności</w:t>
      </w:r>
      <w:r w:rsidR="00E13BC4" w:rsidRPr="00EE7FF7">
        <w:rPr>
          <w:rFonts w:ascii="Times New Roman" w:hAnsi="Times New Roman" w:cs="Times New Roman"/>
          <w:bCs/>
          <w:szCs w:val="24"/>
        </w:rPr>
        <w:t xml:space="preserve"> lub zagrożenia niewypłacalnością</w:t>
      </w:r>
      <w:r w:rsidRPr="00EE7FF7">
        <w:rPr>
          <w:rFonts w:ascii="Times New Roman" w:hAnsi="Times New Roman" w:cs="Times New Roman"/>
          <w:bCs/>
          <w:szCs w:val="24"/>
        </w:rPr>
        <w:t xml:space="preserve"> spółki zależnej (art. 21</w:t>
      </w:r>
      <w:r w:rsidRPr="00EE7FF7">
        <w:rPr>
          <w:rStyle w:val="IGindeksgrny"/>
          <w:rFonts w:ascii="Times New Roman" w:hAnsi="Times New Roman" w:cs="Times New Roman"/>
          <w:bCs/>
          <w:szCs w:val="24"/>
        </w:rPr>
        <w:t>4</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013E6EAF" w14:textId="02B42B47" w:rsidR="00581BFC" w:rsidRPr="00EE7FF7" w:rsidRDefault="00581BFC" w:rsidP="00EE7FF7">
      <w:pPr>
        <w:pStyle w:val="ARTartustawynprozporzdzenia"/>
        <w:ind w:firstLine="0"/>
        <w:rPr>
          <w:rFonts w:ascii="Times New Roman" w:hAnsi="Times New Roman" w:cs="Times New Roman"/>
          <w:b/>
          <w:bCs/>
          <w:szCs w:val="24"/>
        </w:rPr>
      </w:pPr>
      <w:r w:rsidRPr="00EE7FF7">
        <w:rPr>
          <w:rFonts w:ascii="Times New Roman" w:hAnsi="Times New Roman" w:cs="Times New Roman"/>
          <w:szCs w:val="24"/>
        </w:rPr>
        <w:t xml:space="preserve">Natomiast wszystkie pozostałe spółki zależne, </w:t>
      </w:r>
      <w:r w:rsidRPr="00EE7FF7">
        <w:rPr>
          <w:rFonts w:ascii="Times New Roman" w:hAnsi="Times New Roman" w:cs="Times New Roman"/>
          <w:bCs/>
          <w:szCs w:val="24"/>
        </w:rPr>
        <w:t>inne niż jednoosobowe, mają odmówić</w:t>
      </w:r>
      <w:r w:rsidRPr="00EE7FF7">
        <w:rPr>
          <w:rFonts w:ascii="Times New Roman" w:hAnsi="Times New Roman" w:cs="Times New Roman"/>
          <w:szCs w:val="24"/>
        </w:rPr>
        <w:t xml:space="preserve"> wykonania wiążącego polecenia spółki dominującej, gdy istnieje uzasadniona obawa, że jego wykonanie jest sprzeczne z interesem spółki zależnej należącej do grupy spółek </w:t>
      </w:r>
      <w:r w:rsidR="00ED6461" w:rsidRPr="00EE7FF7">
        <w:rPr>
          <w:rFonts w:ascii="Times New Roman" w:hAnsi="Times New Roman" w:cs="Times New Roman"/>
          <w:szCs w:val="24"/>
        </w:rPr>
        <w:t>oraz</w:t>
      </w:r>
      <w:r w:rsidRPr="00EE7FF7">
        <w:rPr>
          <w:rFonts w:ascii="Times New Roman" w:hAnsi="Times New Roman" w:cs="Times New Roman"/>
          <w:szCs w:val="24"/>
        </w:rPr>
        <w:t xml:space="preserve"> może wyrządzić tej spółce szkodę</w:t>
      </w:r>
      <w:r w:rsidR="00E13BC4" w:rsidRPr="00EE7FF7">
        <w:rPr>
          <w:rFonts w:ascii="Times New Roman" w:hAnsi="Times New Roman" w:cs="Times New Roman"/>
          <w:szCs w:val="24"/>
        </w:rPr>
        <w:t>, która nie zostanie naprawiona</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4</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5328CE25" w14:textId="77777777" w:rsidR="00581BFC" w:rsidRPr="00EE7FF7" w:rsidRDefault="00581BFC"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Warto zwrócić uwagę na okoliczność, że w powołanych wyżej przypadkach odmowa wykonania wiążącego polecenia spółki dominującej jest nie tylko prawem, ale również obowiązkiem spółki zależnej.</w:t>
      </w:r>
    </w:p>
    <w:p w14:paraId="4D80A45D" w14:textId="3C22D92C" w:rsidR="0070738B" w:rsidRPr="00EE7FF7" w:rsidRDefault="00581BFC" w:rsidP="00EE7FF7">
      <w:pPr>
        <w:pStyle w:val="ARTartustawynprozporzdzenia"/>
        <w:ind w:firstLine="0"/>
        <w:rPr>
          <w:rFonts w:ascii="Times New Roman" w:hAnsi="Times New Roman" w:cs="Times New Roman"/>
          <w:bCs/>
          <w:szCs w:val="24"/>
        </w:rPr>
      </w:pPr>
      <w:r w:rsidRPr="00EE7FF7">
        <w:rPr>
          <w:rFonts w:ascii="Times New Roman" w:hAnsi="Times New Roman" w:cs="Times New Roman"/>
          <w:szCs w:val="24"/>
        </w:rPr>
        <w:t>2.1</w:t>
      </w:r>
      <w:r w:rsidR="00D00949">
        <w:rPr>
          <w:rFonts w:ascii="Times New Roman" w:hAnsi="Times New Roman" w:cs="Times New Roman"/>
          <w:szCs w:val="24"/>
        </w:rPr>
        <w:t>7</w:t>
      </w:r>
      <w:r w:rsidRPr="00EE7FF7">
        <w:rPr>
          <w:rFonts w:ascii="Times New Roman" w:hAnsi="Times New Roman" w:cs="Times New Roman"/>
          <w:szCs w:val="24"/>
        </w:rPr>
        <w:t xml:space="preserve">. </w:t>
      </w:r>
      <w:r w:rsidR="0070738B" w:rsidRPr="00EE7FF7">
        <w:rPr>
          <w:rFonts w:ascii="Times New Roman" w:hAnsi="Times New Roman" w:cs="Times New Roman"/>
          <w:bCs/>
          <w:szCs w:val="24"/>
        </w:rPr>
        <w:t>Od odmowy wykonania wiążącego polecenia spółki dominującej (art. 21</w:t>
      </w:r>
      <w:r w:rsidR="0070738B" w:rsidRPr="00EE7FF7">
        <w:rPr>
          <w:rStyle w:val="IGindeksgrny"/>
          <w:rFonts w:ascii="Times New Roman" w:hAnsi="Times New Roman" w:cs="Times New Roman"/>
          <w:bCs/>
          <w:szCs w:val="24"/>
        </w:rPr>
        <w:t>4</w:t>
      </w:r>
      <w:r w:rsidR="0070738B"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70738B" w:rsidRPr="00EE7FF7">
        <w:rPr>
          <w:rFonts w:ascii="Times New Roman" w:hAnsi="Times New Roman" w:cs="Times New Roman"/>
          <w:bCs/>
          <w:szCs w:val="24"/>
        </w:rPr>
        <w:t xml:space="preserve"> KSH) należy odróżnić przyjęcie tego polecenia do wykonania przez spółkę zależną </w:t>
      </w:r>
      <w:r w:rsidR="00860B1F" w:rsidRPr="00EE7FF7">
        <w:rPr>
          <w:rFonts w:ascii="Times New Roman" w:hAnsi="Times New Roman" w:cs="Times New Roman"/>
          <w:bCs/>
          <w:szCs w:val="24"/>
        </w:rPr>
        <w:t xml:space="preserve">uczestniczącą w </w:t>
      </w:r>
      <w:r w:rsidR="0070738B" w:rsidRPr="00EE7FF7">
        <w:rPr>
          <w:rFonts w:ascii="Times New Roman" w:hAnsi="Times New Roman" w:cs="Times New Roman"/>
          <w:bCs/>
          <w:szCs w:val="24"/>
        </w:rPr>
        <w:t>grup</w:t>
      </w:r>
      <w:r w:rsidR="00860B1F" w:rsidRPr="00EE7FF7">
        <w:rPr>
          <w:rFonts w:ascii="Times New Roman" w:hAnsi="Times New Roman" w:cs="Times New Roman"/>
          <w:bCs/>
          <w:szCs w:val="24"/>
        </w:rPr>
        <w:t>ie</w:t>
      </w:r>
      <w:r w:rsidR="0070738B" w:rsidRPr="00EE7FF7">
        <w:rPr>
          <w:rFonts w:ascii="Times New Roman" w:hAnsi="Times New Roman" w:cs="Times New Roman"/>
          <w:bCs/>
          <w:szCs w:val="24"/>
        </w:rPr>
        <w:t xml:space="preserve"> spółek (art. 21</w:t>
      </w:r>
      <w:r w:rsidR="0070738B" w:rsidRPr="00EE7FF7">
        <w:rPr>
          <w:rStyle w:val="IGindeksgrny"/>
          <w:rFonts w:ascii="Times New Roman" w:hAnsi="Times New Roman" w:cs="Times New Roman"/>
          <w:bCs/>
          <w:szCs w:val="24"/>
        </w:rPr>
        <w:t>3</w:t>
      </w:r>
      <w:r w:rsidR="0070738B"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70738B" w:rsidRPr="00EE7FF7">
        <w:rPr>
          <w:rFonts w:ascii="Times New Roman" w:hAnsi="Times New Roman" w:cs="Times New Roman"/>
          <w:bCs/>
          <w:szCs w:val="24"/>
        </w:rPr>
        <w:t xml:space="preserve"> KSH). Przesłanki tego przyjęcia zostały określone w art. 21</w:t>
      </w:r>
      <w:r w:rsidR="0070738B" w:rsidRPr="00EE7FF7">
        <w:rPr>
          <w:rFonts w:ascii="Times New Roman" w:hAnsi="Times New Roman" w:cs="Times New Roman"/>
          <w:bCs/>
          <w:szCs w:val="24"/>
          <w:vertAlign w:val="superscript"/>
        </w:rPr>
        <w:t>3</w:t>
      </w:r>
      <w:r w:rsidR="0070738B"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0070738B" w:rsidRPr="00EE7FF7">
        <w:rPr>
          <w:rFonts w:ascii="Times New Roman" w:hAnsi="Times New Roman" w:cs="Times New Roman"/>
          <w:bCs/>
          <w:szCs w:val="24"/>
        </w:rPr>
        <w:t xml:space="preserve"> KSH przez normę odsyłającą do art. 21</w:t>
      </w:r>
      <w:r w:rsidR="0070738B" w:rsidRPr="00EE7FF7">
        <w:rPr>
          <w:rFonts w:ascii="Times New Roman" w:hAnsi="Times New Roman" w:cs="Times New Roman"/>
          <w:bCs/>
          <w:szCs w:val="24"/>
          <w:vertAlign w:val="superscript"/>
        </w:rPr>
        <w:t>4</w:t>
      </w:r>
      <w:r w:rsidR="0070738B" w:rsidRPr="00EE7FF7">
        <w:rPr>
          <w:rFonts w:ascii="Times New Roman" w:hAnsi="Times New Roman" w:cs="Times New Roman"/>
          <w:bCs/>
          <w:szCs w:val="24"/>
        </w:rPr>
        <w:t xml:space="preserve"> § </w:t>
      </w:r>
      <w:r w:rsidR="00ED6461" w:rsidRPr="00EE7FF7">
        <w:rPr>
          <w:rFonts w:ascii="Times New Roman" w:hAnsi="Times New Roman" w:cs="Times New Roman"/>
          <w:bCs/>
          <w:szCs w:val="24"/>
        </w:rPr>
        <w:t>1</w:t>
      </w:r>
      <w:r w:rsidR="00DF530A" w:rsidRPr="00EE7FF7">
        <w:rPr>
          <w:rFonts w:ascii="Times New Roman" w:hAnsi="Times New Roman" w:cs="Times New Roman"/>
          <w:bCs/>
          <w:szCs w:val="24"/>
        </w:rPr>
        <w:t>–</w:t>
      </w:r>
      <w:r w:rsidR="00ED6461" w:rsidRPr="00EE7FF7">
        <w:rPr>
          <w:rFonts w:ascii="Times New Roman" w:hAnsi="Times New Roman" w:cs="Times New Roman"/>
          <w:bCs/>
          <w:szCs w:val="24"/>
        </w:rPr>
        <w:t>3</w:t>
      </w:r>
      <w:r w:rsidR="0070738B"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70738B" w:rsidRPr="00EE7FF7">
        <w:rPr>
          <w:rFonts w:ascii="Times New Roman" w:hAnsi="Times New Roman" w:cs="Times New Roman"/>
          <w:bCs/>
          <w:szCs w:val="24"/>
        </w:rPr>
        <w:t xml:space="preserve"> KSH, który z kolei nawiązuje do wspomnianego wyżej kazusu Rozenbluma.</w:t>
      </w:r>
    </w:p>
    <w:p w14:paraId="5B2E754D" w14:textId="1FF2531D" w:rsidR="0070738B" w:rsidRPr="00EE7FF7" w:rsidRDefault="0070738B"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Projekt odstąpił od zamiaru odrębnej regulacji przesłanek przyjęcia wiążącego polecenia spółki dominującej (przesłanki pozytywne) obok regulacji przesłanek odmowy wykonania wiążącego polecenia (przesłanki negatywne), który wcześniej był uzasadniany względem zapewnienia zarządcom spółki zależnej wyłączenia ich odpowiedzialności cywilnej oraz karnej, kiedy wykonali oni wiążące polecenie spółki dominującej, powodując w te</w:t>
      </w:r>
      <w:r w:rsidR="00E20409">
        <w:rPr>
          <w:rFonts w:ascii="Times New Roman" w:hAnsi="Times New Roman" w:cs="Times New Roman"/>
          <w:bCs/>
          <w:szCs w:val="24"/>
        </w:rPr>
        <w:t>n</w:t>
      </w:r>
      <w:r w:rsidRPr="00EE7FF7">
        <w:rPr>
          <w:rFonts w:ascii="Times New Roman" w:hAnsi="Times New Roman" w:cs="Times New Roman"/>
          <w:bCs/>
          <w:szCs w:val="24"/>
        </w:rPr>
        <w:t xml:space="preserve"> sposób wyrządzenie szkody w zarządzanej przez nich spółce. Jednakże wyłączenie odpowiedzialności </w:t>
      </w:r>
      <w:r w:rsidR="00ED7619" w:rsidRPr="00EE7FF7">
        <w:rPr>
          <w:rFonts w:ascii="Times New Roman" w:hAnsi="Times New Roman" w:cs="Times New Roman"/>
          <w:bCs/>
          <w:szCs w:val="24"/>
        </w:rPr>
        <w:t xml:space="preserve">cywilnoprawnej </w:t>
      </w:r>
      <w:r w:rsidRPr="00EE7FF7">
        <w:rPr>
          <w:rFonts w:ascii="Times New Roman" w:hAnsi="Times New Roman" w:cs="Times New Roman"/>
          <w:bCs/>
          <w:szCs w:val="24"/>
        </w:rPr>
        <w:t>zarządców spółki zależnej zapewnia przepis art. 21</w:t>
      </w:r>
      <w:r w:rsidRPr="00EE7FF7">
        <w:rPr>
          <w:rFonts w:ascii="Times New Roman" w:hAnsi="Times New Roman" w:cs="Times New Roman"/>
          <w:bCs/>
          <w:szCs w:val="24"/>
          <w:vertAlign w:val="superscript"/>
        </w:rPr>
        <w:t>5</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zaś odrębna regulacja </w:t>
      </w:r>
      <w:r w:rsidRPr="00EE7FF7">
        <w:rPr>
          <w:rFonts w:ascii="Times New Roman" w:hAnsi="Times New Roman" w:cs="Times New Roman"/>
          <w:bCs/>
          <w:i/>
          <w:szCs w:val="24"/>
        </w:rPr>
        <w:t>de facto</w:t>
      </w:r>
      <w:r w:rsidRPr="00EE7FF7">
        <w:rPr>
          <w:rFonts w:ascii="Times New Roman" w:hAnsi="Times New Roman" w:cs="Times New Roman"/>
          <w:bCs/>
          <w:szCs w:val="24"/>
        </w:rPr>
        <w:t xml:space="preserve"> tych samych przesłanek powodowałby zbędne legislacyjnie dublowanie takiej samej treści, a ponadto powstałoby ryzyko wytworzenia się odrębnych ich interpretacji.</w:t>
      </w:r>
      <w:r w:rsidR="00ED7619" w:rsidRPr="00EE7FF7">
        <w:rPr>
          <w:rFonts w:ascii="Times New Roman" w:hAnsi="Times New Roman" w:cs="Times New Roman"/>
          <w:bCs/>
          <w:szCs w:val="24"/>
        </w:rPr>
        <w:t xml:space="preserve"> Z tych samych względów w ustawie ostatecznie nie znalazły się przepisy regulujące kwestie zwolnienia z odpowiedzialności karnej. Należy jednak stwierdzić, że w wypadku chociażby czynu stypizowanego w art. 296 K</w:t>
      </w:r>
      <w:r w:rsidR="00836F50" w:rsidRPr="00EE7FF7">
        <w:rPr>
          <w:rFonts w:ascii="Times New Roman" w:hAnsi="Times New Roman" w:cs="Times New Roman"/>
          <w:bCs/>
          <w:szCs w:val="24"/>
        </w:rPr>
        <w:t>odeksu karnego</w:t>
      </w:r>
      <w:r w:rsidR="00ED7619" w:rsidRPr="00EE7FF7">
        <w:rPr>
          <w:rFonts w:ascii="Times New Roman" w:hAnsi="Times New Roman" w:cs="Times New Roman"/>
          <w:bCs/>
          <w:szCs w:val="24"/>
        </w:rPr>
        <w:t xml:space="preserve"> nie sposób będzie mówić o niedopełnieniu przez osobę wykonującą polecenie ciążących na niej obowiązków, czy też </w:t>
      </w:r>
      <w:r w:rsidR="00ED7619" w:rsidRPr="00EE7FF7">
        <w:rPr>
          <w:rFonts w:ascii="Times New Roman" w:hAnsi="Times New Roman" w:cs="Times New Roman"/>
          <w:bCs/>
          <w:szCs w:val="24"/>
        </w:rPr>
        <w:lastRenderedPageBreak/>
        <w:t>o pr</w:t>
      </w:r>
      <w:r w:rsidR="00E13BC4" w:rsidRPr="00EE7FF7">
        <w:rPr>
          <w:rFonts w:ascii="Times New Roman" w:hAnsi="Times New Roman" w:cs="Times New Roman"/>
          <w:bCs/>
          <w:szCs w:val="24"/>
        </w:rPr>
        <w:t>zekroczeniu przez nią uprawnień, w zakresie</w:t>
      </w:r>
      <w:r w:rsidR="00E20409">
        <w:rPr>
          <w:rFonts w:ascii="Times New Roman" w:hAnsi="Times New Roman" w:cs="Times New Roman"/>
          <w:bCs/>
          <w:szCs w:val="24"/>
        </w:rPr>
        <w:t>,</w:t>
      </w:r>
      <w:r w:rsidR="00E13BC4" w:rsidRPr="00EE7FF7">
        <w:rPr>
          <w:rFonts w:ascii="Times New Roman" w:hAnsi="Times New Roman" w:cs="Times New Roman"/>
          <w:bCs/>
          <w:szCs w:val="24"/>
        </w:rPr>
        <w:t xml:space="preserve"> w jakim działania te wynikały z polecenia. Tym samym nie będzie możliwości przypisania jej odpowiedzialności karnej.</w:t>
      </w:r>
    </w:p>
    <w:p w14:paraId="2056EBEF" w14:textId="64E0C59C" w:rsidR="0070738B" w:rsidRPr="00EE7FF7" w:rsidRDefault="0070738B"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W konsekwencji wspomniane przesłanki nawiązujące do kazusu Rozenbluma są uregulowane merytorycznie tylko przy odmowie wykonania wiążącego polecenia spółki dominującej przez spółkę zależną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zaś w przypadku przyjęcia do wykonania tego polecenia przez spółkę zależną znajduje zastosowanie art. 21</w:t>
      </w:r>
      <w:r w:rsidRPr="00EE7FF7">
        <w:rPr>
          <w:rFonts w:ascii="Times New Roman" w:hAnsi="Times New Roman" w:cs="Times New Roman"/>
          <w:bCs/>
          <w:szCs w:val="24"/>
          <w:vertAlign w:val="superscript"/>
        </w:rPr>
        <w:t>3</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który odsyła do powołan</w:t>
      </w:r>
      <w:r w:rsidR="00ED7619" w:rsidRPr="00EE7FF7">
        <w:rPr>
          <w:rFonts w:ascii="Times New Roman" w:hAnsi="Times New Roman" w:cs="Times New Roman"/>
          <w:bCs/>
          <w:szCs w:val="24"/>
        </w:rPr>
        <w:t>ych</w:t>
      </w:r>
      <w:r w:rsidRPr="00EE7FF7">
        <w:rPr>
          <w:rFonts w:ascii="Times New Roman" w:hAnsi="Times New Roman" w:cs="Times New Roman"/>
          <w:bCs/>
          <w:szCs w:val="24"/>
        </w:rPr>
        <w:t xml:space="preserve"> wyżej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w:t>
      </w:r>
      <w:r w:rsidR="00ED7619" w:rsidRPr="00EE7FF7">
        <w:rPr>
          <w:rFonts w:ascii="Times New Roman" w:hAnsi="Times New Roman" w:cs="Times New Roman"/>
          <w:bCs/>
          <w:szCs w:val="24"/>
        </w:rPr>
        <w:t>1</w:t>
      </w:r>
      <w:r w:rsidR="00DF530A" w:rsidRPr="00EE7FF7">
        <w:rPr>
          <w:rFonts w:ascii="Times New Roman" w:hAnsi="Times New Roman" w:cs="Times New Roman"/>
          <w:bCs/>
          <w:szCs w:val="24"/>
        </w:rPr>
        <w:t>–</w:t>
      </w:r>
      <w:r w:rsidR="00ED7619" w:rsidRPr="00EE7FF7">
        <w:rPr>
          <w:rFonts w:ascii="Times New Roman" w:hAnsi="Times New Roman" w:cs="Times New Roman"/>
          <w:bCs/>
          <w:szCs w:val="24"/>
        </w:rPr>
        <w:t>3</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Przepis art. 21</w:t>
      </w:r>
      <w:r w:rsidRPr="00EE7FF7">
        <w:rPr>
          <w:rFonts w:ascii="Times New Roman" w:hAnsi="Times New Roman" w:cs="Times New Roman"/>
          <w:bCs/>
          <w:szCs w:val="24"/>
          <w:vertAlign w:val="superscript"/>
        </w:rPr>
        <w:t>3</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dopuszcza wykonanie przez spółkę zależną wiążącego polecenia spółki dominującej, o ile nie wystąpiły przesłanki określone w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w:t>
      </w:r>
      <w:r w:rsidR="00DF530A" w:rsidRPr="00EE7FF7">
        <w:rPr>
          <w:rFonts w:ascii="Times New Roman" w:hAnsi="Times New Roman" w:cs="Times New Roman"/>
          <w:bCs/>
          <w:szCs w:val="24"/>
        </w:rPr>
        <w:t>–</w:t>
      </w:r>
      <w:r w:rsidR="00ED7619" w:rsidRPr="00EE7FF7">
        <w:rPr>
          <w:rFonts w:ascii="Times New Roman" w:hAnsi="Times New Roman" w:cs="Times New Roman"/>
          <w:bCs/>
          <w:szCs w:val="24"/>
        </w:rPr>
        <w:t>3</w:t>
      </w:r>
      <w:r w:rsidR="00DF530A"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Odesłanie także do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(obok wskazanego wyżej odesłania do § 2) jest konieczne</w:t>
      </w:r>
      <w:r w:rsidR="00E20409">
        <w:rPr>
          <w:rFonts w:ascii="Times New Roman" w:hAnsi="Times New Roman" w:cs="Times New Roman"/>
          <w:bCs/>
          <w:szCs w:val="24"/>
        </w:rPr>
        <w:t>,</w:t>
      </w:r>
      <w:r w:rsidRPr="00EE7FF7">
        <w:rPr>
          <w:rFonts w:ascii="Times New Roman" w:hAnsi="Times New Roman" w:cs="Times New Roman"/>
          <w:bCs/>
          <w:szCs w:val="24"/>
        </w:rPr>
        <w:t xml:space="preserve"> dlatego że na spółce zależnej spoczywa zawsze obowiązek odmowy wykonania wiążącego polecenia, gdyby jego wykonanie prowadziło do niewypłacalności albo zagrożenia niewypłacalnością tej spółki.</w:t>
      </w:r>
      <w:r w:rsidR="00ED7619" w:rsidRPr="00EE7FF7">
        <w:rPr>
          <w:rFonts w:ascii="Times New Roman" w:hAnsi="Times New Roman" w:cs="Times New Roman"/>
          <w:bCs/>
          <w:szCs w:val="24"/>
        </w:rPr>
        <w:t xml:space="preserve"> Natomiast odesłanie do § 3 służy podkreśleniu, że ocena przesłanek odmowy powinna odbywać się z uwzględnieniem przesłanek określonych w umowie spółki lub statucie.</w:t>
      </w:r>
    </w:p>
    <w:p w14:paraId="144D0FCD" w14:textId="7A88FE79" w:rsidR="0070738B" w:rsidRPr="00EE7FF7" w:rsidRDefault="0070738B"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Brak w</w:t>
      </w:r>
      <w:r w:rsidR="00860B1F" w:rsidRPr="00EE7FF7">
        <w:rPr>
          <w:rFonts w:ascii="Times New Roman" w:hAnsi="Times New Roman" w:cs="Times New Roman"/>
          <w:bCs/>
          <w:szCs w:val="24"/>
        </w:rPr>
        <w:t>y</w:t>
      </w:r>
      <w:r w:rsidRPr="00EE7FF7">
        <w:rPr>
          <w:rFonts w:ascii="Times New Roman" w:hAnsi="Times New Roman" w:cs="Times New Roman"/>
          <w:bCs/>
          <w:szCs w:val="24"/>
        </w:rPr>
        <w:t>stąpienia wskazanych w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w:t>
      </w:r>
      <w:r w:rsidR="00ED7619" w:rsidRPr="00EE7FF7">
        <w:rPr>
          <w:rFonts w:ascii="Times New Roman" w:hAnsi="Times New Roman" w:cs="Times New Roman"/>
          <w:bCs/>
          <w:szCs w:val="24"/>
        </w:rPr>
        <w:t>1</w:t>
      </w:r>
      <w:r w:rsidR="00DF530A" w:rsidRPr="00EE7FF7">
        <w:rPr>
          <w:rFonts w:ascii="Times New Roman" w:hAnsi="Times New Roman" w:cs="Times New Roman"/>
          <w:bCs/>
          <w:szCs w:val="24"/>
        </w:rPr>
        <w:t>–</w:t>
      </w:r>
      <w:r w:rsidR="00ED7619" w:rsidRPr="00EE7FF7">
        <w:rPr>
          <w:rFonts w:ascii="Times New Roman" w:hAnsi="Times New Roman" w:cs="Times New Roman"/>
          <w:bCs/>
          <w:szCs w:val="24"/>
        </w:rPr>
        <w:t>3</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przesłanek, do których odsyła art. 21</w:t>
      </w:r>
      <w:r w:rsidRPr="00EE7FF7">
        <w:rPr>
          <w:rFonts w:ascii="Times New Roman" w:hAnsi="Times New Roman" w:cs="Times New Roman"/>
          <w:bCs/>
          <w:szCs w:val="24"/>
          <w:vertAlign w:val="superscript"/>
        </w:rPr>
        <w:t>3</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nie stanowi wyłącznej podstawy do podjęcia przez zarząd spółki zależnej uchwały o wykonaniu wiążącego polecenia spółki dominującej. Z odesłania do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2 </w:t>
      </w:r>
      <w:r w:rsidR="001C6010" w:rsidRPr="00EE7FF7">
        <w:rPr>
          <w:rFonts w:ascii="Times New Roman" w:hAnsi="Times New Roman" w:cs="Times New Roman"/>
          <w:bCs/>
          <w:szCs w:val="24"/>
        </w:rPr>
        <w:t>zdanie</w:t>
      </w:r>
      <w:r w:rsidRPr="00EE7FF7">
        <w:rPr>
          <w:rFonts w:ascii="Times New Roman" w:hAnsi="Times New Roman" w:cs="Times New Roman"/>
          <w:bCs/>
          <w:szCs w:val="24"/>
        </w:rPr>
        <w:t xml:space="preserve">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wynika, że zarząd ten oceniając potencjalną szkodę dla spółki zależnej, która może być następstwem wykonania wspomnianego wiążącego polecenia, musi uwzględnić dotychczasowe korzyści uzyskane z racji jej uczestnictwa w grupie spółek. Pokazuje to, że mimo poniesienia szkody, udział spółki zależnej w grupie spółek jest zgodny z jej interesem oraz z interesem jej wspólników (akcjonariuszy) mniejszościowych.</w:t>
      </w:r>
    </w:p>
    <w:p w14:paraId="46FA78A2" w14:textId="6CF17C54"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2.1</w:t>
      </w:r>
      <w:r w:rsidR="005433B3">
        <w:rPr>
          <w:rFonts w:ascii="Times New Roman" w:hAnsi="Times New Roman" w:cs="Times New Roman"/>
          <w:szCs w:val="24"/>
        </w:rPr>
        <w:t>8</w:t>
      </w:r>
      <w:r w:rsidRPr="00EE7FF7">
        <w:rPr>
          <w:rFonts w:ascii="Times New Roman" w:hAnsi="Times New Roman" w:cs="Times New Roman"/>
          <w:szCs w:val="24"/>
        </w:rPr>
        <w:t>. Projekt stoi na gruncie zasady, że z decyzją powinna być zawsze związana odpowiedzialność. Rozmijanie się bowiem sfery „decyzji” oraz sfery „odpowiedzialności” z reguły prowadzi do rozwiązań patologicznych.</w:t>
      </w:r>
    </w:p>
    <w:p w14:paraId="11F2B82B" w14:textId="545C9128"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W związku z powyższym projekt przewiduje odpowiedzialność spółki dominującej za skutki wydania wiążącego polecenia, wykonanego następnie przez spółkę zależną </w:t>
      </w:r>
      <w:r w:rsidR="00BC7921" w:rsidRPr="00EE7FF7">
        <w:rPr>
          <w:rFonts w:ascii="Times New Roman" w:hAnsi="Times New Roman" w:cs="Times New Roman"/>
          <w:szCs w:val="24"/>
        </w:rPr>
        <w:t>uczestniczącą w grupie spółek</w:t>
      </w:r>
      <w:r w:rsidRPr="00EE7FF7">
        <w:rPr>
          <w:rFonts w:ascii="Times New Roman" w:hAnsi="Times New Roman" w:cs="Times New Roman"/>
          <w:szCs w:val="24"/>
        </w:rPr>
        <w:t xml:space="preserve">. Jest to odpowiedzialność wobec: a) spółki zależnej, b) </w:t>
      </w:r>
      <w:r w:rsidRPr="00EE7FF7">
        <w:rPr>
          <w:rFonts w:ascii="Times New Roman" w:hAnsi="Times New Roman" w:cs="Times New Roman"/>
          <w:szCs w:val="24"/>
        </w:rPr>
        <w:lastRenderedPageBreak/>
        <w:t>wierzycieli spółki zależnej, c) wspólników (akcjonariuszy) mniejszościowych spółki zależnej.</w:t>
      </w:r>
    </w:p>
    <w:p w14:paraId="7BCF8272" w14:textId="073BA0EC" w:rsidR="006C26E8"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2.1</w:t>
      </w:r>
      <w:r w:rsidR="005433B3">
        <w:rPr>
          <w:rFonts w:ascii="Times New Roman" w:hAnsi="Times New Roman" w:cs="Times New Roman"/>
          <w:szCs w:val="24"/>
        </w:rPr>
        <w:t>9</w:t>
      </w:r>
      <w:r w:rsidRPr="00EE7FF7">
        <w:rPr>
          <w:rFonts w:ascii="Times New Roman" w:hAnsi="Times New Roman" w:cs="Times New Roman"/>
          <w:szCs w:val="24"/>
        </w:rPr>
        <w:t>. W przypadku odpowiedzialności spółki dominującej względem spółki zależnej jest to odpowiedzialność odszkodowawcza oraz na zasadzie winy domniemanej (art. 21</w:t>
      </w:r>
      <w:r w:rsidRPr="00EE7FF7">
        <w:rPr>
          <w:rStyle w:val="IGindeksgrny"/>
          <w:rFonts w:ascii="Times New Roman" w:hAnsi="Times New Roman" w:cs="Times New Roman"/>
          <w:szCs w:val="24"/>
        </w:rPr>
        <w:t>12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Jednakże ze względu na </w:t>
      </w:r>
      <w:r w:rsidR="009321BD" w:rsidRPr="00EE7FF7">
        <w:rPr>
          <w:rFonts w:ascii="Times New Roman" w:hAnsi="Times New Roman" w:cs="Times New Roman"/>
          <w:szCs w:val="24"/>
        </w:rPr>
        <w:t>odmienne kategorie interesów wymagające ochrony w wypadku spółki jednoosobowej odpowiedzialność spółki dominującej dotyczy wyłącznie sytuacji, w której wykonanie wiążącego polecenia doprowadziło do niewyp</w:t>
      </w:r>
      <w:r w:rsidR="006C26E8" w:rsidRPr="00EE7FF7">
        <w:rPr>
          <w:rFonts w:ascii="Times New Roman" w:hAnsi="Times New Roman" w:cs="Times New Roman"/>
          <w:szCs w:val="24"/>
        </w:rPr>
        <w:t>łacalność lub zagrożenia niewypłacalnością. Natomiast w odniesieniu do spółki innej niż jednoosobowa, wobec potrzeby ochrony interesów wspólników mniejszościowych</w:t>
      </w:r>
      <w:r w:rsidR="00127B84">
        <w:rPr>
          <w:rFonts w:ascii="Times New Roman" w:hAnsi="Times New Roman" w:cs="Times New Roman"/>
          <w:szCs w:val="24"/>
        </w:rPr>
        <w:t>,</w:t>
      </w:r>
      <w:r w:rsidR="006C26E8" w:rsidRPr="00EE7FF7">
        <w:rPr>
          <w:rFonts w:ascii="Times New Roman" w:hAnsi="Times New Roman" w:cs="Times New Roman"/>
          <w:szCs w:val="24"/>
        </w:rPr>
        <w:t xml:space="preserve"> spółka dominująca ponosi odpowiedzialność za szkodę spółki zależnej, która nie została naprawiona w terminie. Pod pojęciem terminu należy w tym wypadku rozumieć termin wskazany w treści wiążącego polecenia, do tego czasu spółce zależnej nie przysługuje więc wymagalne roszczenie. Natomiast w razie</w:t>
      </w:r>
      <w:r w:rsidR="00127B84">
        <w:rPr>
          <w:rFonts w:ascii="Times New Roman" w:hAnsi="Times New Roman" w:cs="Times New Roman"/>
          <w:szCs w:val="24"/>
        </w:rPr>
        <w:t>,</w:t>
      </w:r>
      <w:r w:rsidR="006C26E8" w:rsidRPr="00EE7FF7">
        <w:rPr>
          <w:rFonts w:ascii="Times New Roman" w:hAnsi="Times New Roman" w:cs="Times New Roman"/>
          <w:szCs w:val="24"/>
        </w:rPr>
        <w:t xml:space="preserve"> gdyby </w:t>
      </w:r>
      <w:r w:rsidR="007E4AC5" w:rsidRPr="00EE7FF7">
        <w:rPr>
          <w:rFonts w:ascii="Times New Roman" w:hAnsi="Times New Roman" w:cs="Times New Roman"/>
          <w:szCs w:val="24"/>
        </w:rPr>
        <w:t xml:space="preserve">dla danej szkody </w:t>
      </w:r>
      <w:r w:rsidR="006C26E8" w:rsidRPr="00EE7FF7">
        <w:rPr>
          <w:rFonts w:ascii="Times New Roman" w:hAnsi="Times New Roman" w:cs="Times New Roman"/>
          <w:szCs w:val="24"/>
        </w:rPr>
        <w:t>termin ten nie został wskazany</w:t>
      </w:r>
      <w:r w:rsidR="00127B84">
        <w:rPr>
          <w:rFonts w:ascii="Times New Roman" w:hAnsi="Times New Roman" w:cs="Times New Roman"/>
          <w:szCs w:val="24"/>
        </w:rPr>
        <w:t>,</w:t>
      </w:r>
      <w:r w:rsidR="006C26E8" w:rsidRPr="00EE7FF7">
        <w:rPr>
          <w:rFonts w:ascii="Times New Roman" w:hAnsi="Times New Roman" w:cs="Times New Roman"/>
          <w:szCs w:val="24"/>
        </w:rPr>
        <w:t xml:space="preserve"> przyjąć należy, że powinna</w:t>
      </w:r>
      <w:r w:rsidR="007E4AC5" w:rsidRPr="00EE7FF7">
        <w:rPr>
          <w:rFonts w:ascii="Times New Roman" w:hAnsi="Times New Roman" w:cs="Times New Roman"/>
          <w:szCs w:val="24"/>
        </w:rPr>
        <w:t xml:space="preserve"> ona</w:t>
      </w:r>
      <w:r w:rsidR="006C26E8" w:rsidRPr="00EE7FF7">
        <w:rPr>
          <w:rFonts w:ascii="Times New Roman" w:hAnsi="Times New Roman" w:cs="Times New Roman"/>
          <w:szCs w:val="24"/>
        </w:rPr>
        <w:t xml:space="preserve"> zostać naprawiona niezwłocznie.</w:t>
      </w:r>
    </w:p>
    <w:p w14:paraId="48066A9E" w14:textId="159941B2"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w:t>
      </w:r>
      <w:r w:rsidR="00127B84">
        <w:rPr>
          <w:rFonts w:ascii="Times New Roman" w:hAnsi="Times New Roman" w:cs="Times New Roman"/>
          <w:szCs w:val="24"/>
        </w:rPr>
        <w:t>20</w:t>
      </w:r>
      <w:r w:rsidRPr="00EE7FF7">
        <w:rPr>
          <w:rFonts w:ascii="Times New Roman" w:hAnsi="Times New Roman" w:cs="Times New Roman"/>
          <w:szCs w:val="24"/>
        </w:rPr>
        <w:t xml:space="preserve">. Z kolei w zakresie odpowiedzialności spółki dominującej względem wierzycieli spółki zależnej, stosującej się do wiążących poleceń tej pierwszej spółki, projekt nie przyjmuje </w:t>
      </w:r>
      <w:r w:rsidR="00A37558" w:rsidRPr="00EE7FF7">
        <w:rPr>
          <w:rFonts w:ascii="Times New Roman" w:hAnsi="Times New Roman" w:cs="Times New Roman"/>
          <w:szCs w:val="24"/>
        </w:rPr>
        <w:t>tak zwanej</w:t>
      </w:r>
      <w:r w:rsidRPr="00EE7FF7">
        <w:rPr>
          <w:rFonts w:ascii="Times New Roman" w:hAnsi="Times New Roman" w:cs="Times New Roman"/>
          <w:szCs w:val="24"/>
        </w:rPr>
        <w:t xml:space="preserve"> „odpowiedzialności przebijającej”, w ramach której spółka dominująca odpowiadałaby gwarancyjnie wobec wierzycieli spółki zależnej. Wynika to stąd, że wspomniana koncepcja odpowiedzialności przebijającej jest dyskusyjna od strony systemowej. Prowadzi ona bowiem do naruszenia fundamentalnej zasady prawa spółek kapitałowych, a mianowicie braku odpowiedzialności osobistej wspólnika (akcjonariusza) za zobowiązania spółki kapitałowej, wyrażonej w art. 151 § 4 i art. 301 § 5 KSH. W związku z tym większość ustawodawstw państw obcych unika regulacji tej kwestii w przepisach prawa, pozostawiając jej rozstrzygnięcie judykaturze oraz doktrynie prawa. Na gruncie polskiej praktyki korporacyjnej istnieje także uzasadniona obawa, że wprowadzenie zasady odpowiedzialności przebijającej mogłoby zniechęcić przedsiębiorców do korzystania z konstrukcji grup spółek oraz uniemożliwić im wówczas tworzenie silnych organizmów gospodarczych, mogących skutecznie konkurować nie tylko na rynku krajowym, ale także za granicą.</w:t>
      </w:r>
    </w:p>
    <w:p w14:paraId="39351886" w14:textId="37631A59"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Nie oznacza to jednak, że projekt w ogóle pomija kwestię odpowiedzialności spółki dominującej względem wierzycieli spółki zależnej. Przepis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w:t>
      </w:r>
      <w:r w:rsidRPr="00EE7FF7">
        <w:rPr>
          <w:rFonts w:ascii="Times New Roman" w:hAnsi="Times New Roman" w:cs="Times New Roman"/>
          <w:szCs w:val="24"/>
        </w:rPr>
        <w:lastRenderedPageBreak/>
        <w:t>KSH reguluje odpowiedzialność odszkodowawczą spółki dominującej względem wierzycieli spółki zależnej w sytuacji, gdy egzekucja przeciwko spółce zależnej okaże się bezskuteczna, zaś szkoda występująca u wierzycieli spółki zależnej powstała w wyniku stosowania się przez tą spółkę do wiążącego polecenia spółki dominującej</w:t>
      </w:r>
      <w:r w:rsidR="005124AC" w:rsidRPr="00EE7FF7">
        <w:rPr>
          <w:rFonts w:ascii="Times New Roman" w:hAnsi="Times New Roman" w:cs="Times New Roman"/>
          <w:szCs w:val="24"/>
        </w:rPr>
        <w:t xml:space="preserve"> oraz w skutek okoliczności, za które spółka dominująca ponosi winę</w:t>
      </w:r>
      <w:r w:rsidRPr="00EE7FF7">
        <w:rPr>
          <w:rFonts w:ascii="Times New Roman" w:hAnsi="Times New Roman" w:cs="Times New Roman"/>
          <w:szCs w:val="24"/>
        </w:rPr>
        <w:t>. Kolejny przepis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wprowadza domniemanie, że wspomniana wyżej szkoda obejmuje wysokość niezaspokojonej wierzytelności wobec spółki zależnej.</w:t>
      </w:r>
    </w:p>
    <w:p w14:paraId="5DEA3876" w14:textId="642B2FE8"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Powołana wyżej regulacja odpowiedzialności spółki dominującej względem wierzycieli spółki zależnej jest wąsko ujęta, a więc nie zagraża ona bezpieczeństwu prawnemu funkcjonowania spółki dominującej, a tym samym i całej grupy spółek, w przeciwieństwie do odpowiedzialności przebijającej. Przepis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t>
      </w:r>
      <w:r w:rsidRPr="00EE7FF7">
        <w:rPr>
          <w:rFonts w:ascii="Times New Roman" w:hAnsi="Times New Roman" w:cs="Times New Roman"/>
          <w:i/>
          <w:szCs w:val="24"/>
        </w:rPr>
        <w:t>expressis verbis</w:t>
      </w:r>
      <w:r w:rsidRPr="00EE7FF7">
        <w:rPr>
          <w:rFonts w:ascii="Times New Roman" w:hAnsi="Times New Roman" w:cs="Times New Roman"/>
          <w:szCs w:val="24"/>
        </w:rPr>
        <w:t xml:space="preserve"> przesądza </w:t>
      </w:r>
      <w:r w:rsidR="00A25ADE">
        <w:rPr>
          <w:rFonts w:ascii="Times New Roman" w:hAnsi="Times New Roman" w:cs="Times New Roman"/>
          <w:szCs w:val="24"/>
        </w:rPr>
        <w:t>po</w:t>
      </w:r>
      <w:r w:rsidRPr="00EE7FF7">
        <w:rPr>
          <w:rFonts w:ascii="Times New Roman" w:hAnsi="Times New Roman" w:cs="Times New Roman"/>
          <w:szCs w:val="24"/>
        </w:rPr>
        <w:t>nadto, że mamy tu do czynienia z odpowiedzialnością odszkodowawczą, co wyklucza gwarancyjny charakter tej odpowiedzialności.</w:t>
      </w:r>
    </w:p>
    <w:p w14:paraId="7D84FB27" w14:textId="233D910F"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Odpowiedzialność spółki dominującej względem wierzycieli spółki zależnej z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obejmuje wszystkie rodzaje spółek zależnych </w:t>
      </w:r>
      <w:r w:rsidR="00BC7921" w:rsidRPr="00EE7FF7">
        <w:rPr>
          <w:rFonts w:ascii="Times New Roman" w:hAnsi="Times New Roman" w:cs="Times New Roman"/>
          <w:szCs w:val="24"/>
        </w:rPr>
        <w:t>uczestniczących w grupie spółek</w:t>
      </w:r>
      <w:r w:rsidRPr="00EE7FF7">
        <w:rPr>
          <w:rFonts w:ascii="Times New Roman" w:hAnsi="Times New Roman" w:cs="Times New Roman"/>
          <w:szCs w:val="24"/>
        </w:rPr>
        <w:t xml:space="preserve">, a więc </w:t>
      </w:r>
      <w:r w:rsidRPr="00EE7FF7">
        <w:rPr>
          <w:rFonts w:ascii="Times New Roman" w:hAnsi="Times New Roman" w:cs="Times New Roman"/>
          <w:bCs/>
          <w:szCs w:val="24"/>
        </w:rPr>
        <w:t>spółki jednoosobowe oraz pozostałe spółki zależne.</w:t>
      </w:r>
    </w:p>
    <w:p w14:paraId="71A403C5" w14:textId="6E3E0E37"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2.2</w:t>
      </w:r>
      <w:r w:rsidR="00FB1791">
        <w:rPr>
          <w:rFonts w:ascii="Times New Roman" w:hAnsi="Times New Roman" w:cs="Times New Roman"/>
          <w:szCs w:val="24"/>
        </w:rPr>
        <w:t>1</w:t>
      </w:r>
      <w:r w:rsidRPr="00EE7FF7">
        <w:rPr>
          <w:rFonts w:ascii="Times New Roman" w:hAnsi="Times New Roman" w:cs="Times New Roman"/>
          <w:szCs w:val="24"/>
        </w:rPr>
        <w:t>. Trzeci zaś rodzaj odpowiedzialności spółki dominującej w grupie spółek dotyczy bezpośrednio odpowiedzialności tej spółki względem wspólników (akcjonariuszy) spółki zależnej. Przepis art. 21</w:t>
      </w:r>
      <w:r w:rsidRPr="00EE7FF7">
        <w:rPr>
          <w:rStyle w:val="IGindeksgrny"/>
          <w:rFonts w:ascii="Times New Roman" w:hAnsi="Times New Roman" w:cs="Times New Roman"/>
          <w:szCs w:val="24"/>
        </w:rPr>
        <w:t>13</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nawiązuje do konstrukcji </w:t>
      </w:r>
      <w:r w:rsidR="00A37558" w:rsidRPr="00EE7FF7">
        <w:rPr>
          <w:rFonts w:ascii="Times New Roman" w:hAnsi="Times New Roman" w:cs="Times New Roman"/>
          <w:szCs w:val="24"/>
        </w:rPr>
        <w:t>tak zwanej</w:t>
      </w:r>
      <w:r w:rsidRPr="00EE7FF7">
        <w:rPr>
          <w:rFonts w:ascii="Times New Roman" w:hAnsi="Times New Roman" w:cs="Times New Roman"/>
          <w:szCs w:val="24"/>
        </w:rPr>
        <w:t xml:space="preserve"> szkody pośredniej. </w:t>
      </w:r>
      <w:r w:rsidR="00583B4A" w:rsidRPr="00EE7FF7">
        <w:rPr>
          <w:rFonts w:ascii="Times New Roman" w:hAnsi="Times New Roman" w:cs="Times New Roman"/>
          <w:szCs w:val="24"/>
        </w:rPr>
        <w:t>Odpowiedzialność odszkodowawcza za szkodę pośrednią ma na gruncie polskiego prawa nadzwyczajny charakter, co przesądza o tym</w:t>
      </w:r>
      <w:r w:rsidR="008B4FE4">
        <w:rPr>
          <w:rFonts w:ascii="Times New Roman" w:hAnsi="Times New Roman" w:cs="Times New Roman"/>
          <w:szCs w:val="24"/>
        </w:rPr>
        <w:t>,</w:t>
      </w:r>
      <w:r w:rsidR="00583B4A" w:rsidRPr="00EE7FF7">
        <w:rPr>
          <w:rFonts w:ascii="Times New Roman" w:hAnsi="Times New Roman" w:cs="Times New Roman"/>
          <w:szCs w:val="24"/>
        </w:rPr>
        <w:t xml:space="preserve"> że powstanie takiej odpowiedzialności powinno wynikać wprost z przepisów. </w:t>
      </w:r>
      <w:r w:rsidRPr="00EE7FF7">
        <w:rPr>
          <w:rFonts w:ascii="Times New Roman" w:hAnsi="Times New Roman" w:cs="Times New Roman"/>
          <w:szCs w:val="24"/>
        </w:rPr>
        <w:t>Jest to odpowiedzialność za obniżenie wartości udziału albo akcji spółki. W omawianym przypadku wspomniane obniżenie odnosi się do wartości udziałów akcji spółki zależnej, w sytuacji gdy spółka ta stosowała się do wiążących poleceń spółki dominującej.</w:t>
      </w:r>
    </w:p>
    <w:p w14:paraId="3C319F77" w14:textId="316C6C19"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Powołana wyżej odpowiedzialność </w:t>
      </w:r>
      <w:r w:rsidR="006C26E8" w:rsidRPr="00EE7FF7">
        <w:rPr>
          <w:rFonts w:ascii="Times New Roman" w:hAnsi="Times New Roman" w:cs="Times New Roman"/>
          <w:szCs w:val="24"/>
        </w:rPr>
        <w:t xml:space="preserve">dotyczy, od strony podmiotowej takich </w:t>
      </w:r>
      <w:r w:rsidRPr="00EE7FF7">
        <w:rPr>
          <w:rFonts w:ascii="Times New Roman" w:hAnsi="Times New Roman" w:cs="Times New Roman"/>
          <w:szCs w:val="24"/>
        </w:rPr>
        <w:t xml:space="preserve">wspólników (akcjonariuszy) mniejszościowych spółki zależnej, w której spółka dominująca </w:t>
      </w:r>
      <w:r w:rsidRPr="00EE7FF7">
        <w:rPr>
          <w:rFonts w:ascii="Times New Roman" w:hAnsi="Times New Roman" w:cs="Times New Roman"/>
          <w:bCs/>
          <w:szCs w:val="24"/>
        </w:rPr>
        <w:t xml:space="preserve">może samodzielnie (bezpośrednio albo pośrednio) </w:t>
      </w:r>
      <w:r w:rsidR="001B0564" w:rsidRPr="00EE7FF7">
        <w:rPr>
          <w:rFonts w:ascii="Times New Roman" w:hAnsi="Times New Roman" w:cs="Times New Roman"/>
          <w:bCs/>
          <w:szCs w:val="24"/>
        </w:rPr>
        <w:t xml:space="preserve">podjąć uchwałę o uczestnictwie w grupie spółek oraz </w:t>
      </w:r>
      <w:r w:rsidRPr="00EE7FF7">
        <w:rPr>
          <w:rFonts w:ascii="Times New Roman" w:hAnsi="Times New Roman" w:cs="Times New Roman"/>
          <w:bCs/>
          <w:szCs w:val="24"/>
        </w:rPr>
        <w:t>zmienić umowę albo statut spółki zależnej.</w:t>
      </w:r>
      <w:r w:rsidRPr="00EE7FF7">
        <w:rPr>
          <w:rFonts w:ascii="Times New Roman" w:hAnsi="Times New Roman" w:cs="Times New Roman"/>
          <w:szCs w:val="24"/>
        </w:rPr>
        <w:t xml:space="preserve"> Skoro wspólnicy (akcjonariusze) mniejszościowi tej ostatniej spółki są pozbawieni faktycznego wpływu na </w:t>
      </w:r>
      <w:r w:rsidRPr="00EE7FF7">
        <w:rPr>
          <w:rFonts w:ascii="Times New Roman" w:hAnsi="Times New Roman" w:cs="Times New Roman"/>
          <w:bCs/>
          <w:szCs w:val="24"/>
        </w:rPr>
        <w:t>treść „konstytucji” spółki</w:t>
      </w:r>
      <w:r w:rsidRPr="00EE7FF7">
        <w:rPr>
          <w:rFonts w:ascii="Times New Roman" w:hAnsi="Times New Roman" w:cs="Times New Roman"/>
          <w:szCs w:val="24"/>
        </w:rPr>
        <w:t>, to zasługują oni od strony aksjologicznej na dodatkową ochronę prawną, którą zapewnia im odpowiedzialność za szkodę pośrednią.</w:t>
      </w:r>
    </w:p>
    <w:p w14:paraId="56BF7EA8" w14:textId="6FD4EDC2"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 xml:space="preserve">Objęcie natomiast zakresem podmiotowym odpowiedzialności za obniżenie wartości udziałów (akcji) spółki zależnej </w:t>
      </w:r>
      <w:r w:rsidR="00BC7921" w:rsidRPr="00EE7FF7">
        <w:rPr>
          <w:rFonts w:ascii="Times New Roman" w:hAnsi="Times New Roman" w:cs="Times New Roman"/>
          <w:szCs w:val="24"/>
        </w:rPr>
        <w:t>uczestniczącej w grupie spółek</w:t>
      </w:r>
      <w:r w:rsidR="003734FB">
        <w:rPr>
          <w:rFonts w:ascii="Times New Roman" w:hAnsi="Times New Roman" w:cs="Times New Roman"/>
          <w:szCs w:val="24"/>
        </w:rPr>
        <w:t>,</w:t>
      </w:r>
      <w:r w:rsidRPr="00EE7FF7">
        <w:rPr>
          <w:rFonts w:ascii="Times New Roman" w:hAnsi="Times New Roman" w:cs="Times New Roman"/>
          <w:szCs w:val="24"/>
        </w:rPr>
        <w:t xml:space="preserve"> także wspólników (akcjonariuszy) większościowych tej spółki, jest bezprzedmiotowe. W roli bowiem tych ostatnich wspólników (akcjonariuszy) występuje spółka dominująca, wskutek czego przy przyjęciu odpowiedzialności z art. 21</w:t>
      </w:r>
      <w:r w:rsidRPr="00EE7FF7">
        <w:rPr>
          <w:rStyle w:val="IGindeksgrny"/>
          <w:rFonts w:ascii="Times New Roman" w:hAnsi="Times New Roman" w:cs="Times New Roman"/>
          <w:szCs w:val="24"/>
        </w:rPr>
        <w:t>13</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nastąpiłby przypadek konfuzji, że osoba uprawniona staje się jednocześnie osobą odpowiedzialną z tego samego roszczenia.</w:t>
      </w:r>
    </w:p>
    <w:p w14:paraId="0B6AD87D" w14:textId="0064B6A5"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Takiego uprawnienia nie przewiduje zaś projekt w odniesieniu do wspólników (akcjonariuszy) spółki zależnej, w której spółka dominująca nie może – co do zasady – samodzielnie podejmować kwalifikowanych uchwał na zgromadzeniu wspólników (walnym zgromadzeniu), </w:t>
      </w:r>
      <w:r w:rsidRPr="00EE7FF7">
        <w:rPr>
          <w:rFonts w:ascii="Times New Roman" w:hAnsi="Times New Roman" w:cs="Times New Roman"/>
          <w:bCs/>
          <w:szCs w:val="24"/>
        </w:rPr>
        <w:t xml:space="preserve">jak </w:t>
      </w:r>
      <w:r w:rsidR="00A37558" w:rsidRPr="00EE7FF7">
        <w:rPr>
          <w:rFonts w:ascii="Times New Roman" w:hAnsi="Times New Roman" w:cs="Times New Roman"/>
          <w:bCs/>
          <w:szCs w:val="24"/>
        </w:rPr>
        <w:t>na przykład</w:t>
      </w:r>
      <w:r w:rsidRPr="00EE7FF7">
        <w:rPr>
          <w:rFonts w:ascii="Times New Roman" w:hAnsi="Times New Roman" w:cs="Times New Roman"/>
          <w:bCs/>
          <w:szCs w:val="24"/>
        </w:rPr>
        <w:t xml:space="preserve"> zmiany umowy albo statutu spółki</w:t>
      </w:r>
      <w:r w:rsidRPr="00EE7FF7">
        <w:rPr>
          <w:rFonts w:ascii="Times New Roman" w:hAnsi="Times New Roman" w:cs="Times New Roman"/>
          <w:szCs w:val="24"/>
        </w:rPr>
        <w:t>. Wspólnicy (akcjonariusze) mniejszościowi takiej spółki zależnej posiadają bowiem mechanizmy prawne (wykraczające poza zaskarżenie uchwały zgromadzenia spółki kapitałowej) umożliwiające im zablokowanie podjęcia niekorzystnej dla spółki zależnej uchwały, głosując przeciwko tej uchwale. W przypadku z kolei jednoosobowych spółek zależnych potrzeba takiej ochrony w ogóle nie zachodzi, ze względu na brak w tych spółkach wspólników (akcjonariuszy) mniejszościowych.</w:t>
      </w:r>
    </w:p>
    <w:p w14:paraId="1CFFE4A4" w14:textId="5DB44E43"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2.2</w:t>
      </w:r>
      <w:r w:rsidR="00595B55">
        <w:rPr>
          <w:rFonts w:ascii="Times New Roman" w:hAnsi="Times New Roman" w:cs="Times New Roman"/>
          <w:szCs w:val="24"/>
        </w:rPr>
        <w:t>2</w:t>
      </w:r>
      <w:r w:rsidRPr="00EE7FF7">
        <w:rPr>
          <w:rFonts w:ascii="Times New Roman" w:hAnsi="Times New Roman" w:cs="Times New Roman"/>
          <w:szCs w:val="24"/>
        </w:rPr>
        <w:t>. Do szczegółowych instytucji prawnych pozwalających spółce dominującej sprawnie zarządzać grupą spółek – obok wiążących poleceń – należy w projekcie regulacja:</w:t>
      </w:r>
    </w:p>
    <w:p w14:paraId="1FF32805" w14:textId="7ECC2D81"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a)</w:t>
      </w:r>
      <w:r w:rsidR="00F30ED8">
        <w:rPr>
          <w:rFonts w:ascii="Times New Roman" w:hAnsi="Times New Roman" w:cs="Times New Roman"/>
          <w:szCs w:val="24"/>
        </w:rPr>
        <w:tab/>
      </w:r>
      <w:r w:rsidRPr="00EE7FF7">
        <w:rPr>
          <w:rFonts w:ascii="Times New Roman" w:hAnsi="Times New Roman" w:cs="Times New Roman"/>
          <w:szCs w:val="24"/>
        </w:rPr>
        <w:t>po pierwsze – prawa dostępu do informacji spółki dominującej o spółkach zależnych (art. 21</w:t>
      </w:r>
      <w:r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Wyraźna regulacja tego prawa jest konieczna w przypadku, kiedy spółka zależna jest spółką akcyjną. W przeciwnym razie tak szeroko ujęty zakres dostępu do informacji spółki dominującej, jako akcjonariusza w spółce zależnej, byłby wykluczony w świetle art. 428 KSH,</w:t>
      </w:r>
    </w:p>
    <w:p w14:paraId="4E530362" w14:textId="7A294CFB"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b)</w:t>
      </w:r>
      <w:r w:rsidR="00F30ED8">
        <w:rPr>
          <w:rFonts w:ascii="Times New Roman" w:hAnsi="Times New Roman" w:cs="Times New Roman"/>
          <w:szCs w:val="24"/>
        </w:rPr>
        <w:tab/>
      </w:r>
      <w:r w:rsidRPr="00EE7FF7">
        <w:rPr>
          <w:rFonts w:ascii="Times New Roman" w:hAnsi="Times New Roman" w:cs="Times New Roman"/>
          <w:szCs w:val="24"/>
        </w:rPr>
        <w:t xml:space="preserve">po drugie – prawa rady nadzorczej spółki dominującej do sprawowania stałego nadzoru nad spółkami zależnymi </w:t>
      </w:r>
      <w:r w:rsidR="00BC7921" w:rsidRPr="00EE7FF7">
        <w:rPr>
          <w:rFonts w:ascii="Times New Roman" w:hAnsi="Times New Roman" w:cs="Times New Roman"/>
          <w:szCs w:val="24"/>
        </w:rPr>
        <w:t>uczestniczącymi w grupie spółek</w:t>
      </w:r>
      <w:r w:rsidRPr="00EE7FF7">
        <w:rPr>
          <w:rFonts w:ascii="Times New Roman" w:hAnsi="Times New Roman" w:cs="Times New Roman"/>
          <w:szCs w:val="24"/>
        </w:rPr>
        <w:t>, ale tylko w zakresie realizacji interesu grupy spółek (art. 21</w:t>
      </w:r>
      <w:r w:rsidRPr="00EE7FF7">
        <w:rPr>
          <w:rStyle w:val="IGindeksgrny"/>
          <w:rFonts w:ascii="Times New Roman" w:hAnsi="Times New Roman" w:cs="Times New Roman"/>
          <w:szCs w:val="24"/>
        </w:rPr>
        <w:t xml:space="preserve">7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61B5AFF3" w14:textId="3A17927F"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c)</w:t>
      </w:r>
      <w:r w:rsidR="00F30ED8">
        <w:rPr>
          <w:rFonts w:ascii="Times New Roman" w:hAnsi="Times New Roman" w:cs="Times New Roman"/>
          <w:szCs w:val="24"/>
        </w:rPr>
        <w:tab/>
      </w:r>
      <w:r w:rsidRPr="00EE7FF7">
        <w:rPr>
          <w:rFonts w:ascii="Times New Roman" w:hAnsi="Times New Roman" w:cs="Times New Roman"/>
          <w:szCs w:val="24"/>
        </w:rPr>
        <w:t xml:space="preserve">po trzecie – prawo do przymusowego wykupu udziałów albo akcji należących do wspólników (akcjonariuszy) mniejszościowych spółki zależnej </w:t>
      </w:r>
      <w:r w:rsidR="00A37558" w:rsidRPr="00EE7FF7">
        <w:rPr>
          <w:rFonts w:ascii="Times New Roman" w:hAnsi="Times New Roman" w:cs="Times New Roman"/>
          <w:szCs w:val="24"/>
        </w:rPr>
        <w:t>tak zwane</w:t>
      </w:r>
      <w:r w:rsidRPr="00EE7FF7">
        <w:rPr>
          <w:rFonts w:ascii="Times New Roman" w:hAnsi="Times New Roman" w:cs="Times New Roman"/>
          <w:szCs w:val="24"/>
        </w:rPr>
        <w:t xml:space="preserve"> </w:t>
      </w:r>
      <w:r w:rsidRPr="00EE7FF7">
        <w:rPr>
          <w:rFonts w:ascii="Times New Roman" w:hAnsi="Times New Roman" w:cs="Times New Roman"/>
          <w:i/>
          <w:szCs w:val="24"/>
        </w:rPr>
        <w:t>squeeze-out</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11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122BE5F5" w14:textId="692B4AF6" w:rsidR="00581BFC" w:rsidRPr="00EE7FF7" w:rsidRDefault="00581BFC"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2.2</w:t>
      </w:r>
      <w:r w:rsidR="00122D5F">
        <w:rPr>
          <w:rFonts w:ascii="Times New Roman" w:hAnsi="Times New Roman" w:cs="Times New Roman"/>
          <w:szCs w:val="24"/>
        </w:rPr>
        <w:t>3</w:t>
      </w:r>
      <w:r w:rsidRPr="00EE7FF7">
        <w:rPr>
          <w:rFonts w:ascii="Times New Roman" w:hAnsi="Times New Roman" w:cs="Times New Roman"/>
          <w:szCs w:val="24"/>
        </w:rPr>
        <w:t xml:space="preserve">. Z kolei do szczegółowych instytucji prawnych przewidzianych przez projekt zapewniających ochronę wspólników (akcjonariuszy) mniejszościowych spółki zależnej </w:t>
      </w:r>
      <w:r w:rsidR="00BC7921" w:rsidRPr="00EE7FF7">
        <w:rPr>
          <w:rFonts w:ascii="Times New Roman" w:hAnsi="Times New Roman" w:cs="Times New Roman"/>
          <w:szCs w:val="24"/>
        </w:rPr>
        <w:t>uczestniczącej w grupie</w:t>
      </w:r>
      <w:r w:rsidRPr="00EE7FF7">
        <w:rPr>
          <w:rFonts w:ascii="Times New Roman" w:hAnsi="Times New Roman" w:cs="Times New Roman"/>
          <w:szCs w:val="24"/>
        </w:rPr>
        <w:t xml:space="preserve"> spółek zalicza się:</w:t>
      </w:r>
    </w:p>
    <w:p w14:paraId="392191F7" w14:textId="7614E17C"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a)</w:t>
      </w:r>
      <w:r w:rsidR="00F30ED8">
        <w:rPr>
          <w:rFonts w:ascii="Times New Roman" w:hAnsi="Times New Roman" w:cs="Times New Roman"/>
          <w:szCs w:val="24"/>
        </w:rPr>
        <w:tab/>
      </w:r>
      <w:r w:rsidRPr="00EE7FF7">
        <w:rPr>
          <w:rFonts w:ascii="Times New Roman" w:hAnsi="Times New Roman" w:cs="Times New Roman"/>
          <w:szCs w:val="24"/>
        </w:rPr>
        <w:t>po pierwsze – obowiązek spółki zależnej sporządzenia sprawozdania o jej powiązaniach</w:t>
      </w:r>
      <w:r w:rsidR="00174ADF" w:rsidRPr="00EE7FF7">
        <w:rPr>
          <w:rFonts w:ascii="Times New Roman" w:hAnsi="Times New Roman" w:cs="Times New Roman"/>
          <w:szCs w:val="24"/>
        </w:rPr>
        <w:t xml:space="preserve"> umownych</w:t>
      </w:r>
      <w:r w:rsidRPr="00EE7FF7">
        <w:rPr>
          <w:rFonts w:ascii="Times New Roman" w:hAnsi="Times New Roman" w:cs="Times New Roman"/>
          <w:szCs w:val="24"/>
        </w:rPr>
        <w:t xml:space="preserve"> ze spółką dominującą za okres ostatniego roku obrotowego, które to sprawozdanie obejmuje w swej treści wskazanie wiążących poleceń wydawanych tej spółce przez spółkę dominującą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Przepis ten może być również kwalifikowany jako przepis ochronny z punktu widzenia wierzycieli spółki zależnej,</w:t>
      </w:r>
    </w:p>
    <w:p w14:paraId="57E97FC7" w14:textId="59AA7236"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b)</w:t>
      </w:r>
      <w:r w:rsidR="00F30ED8">
        <w:rPr>
          <w:rFonts w:ascii="Times New Roman" w:hAnsi="Times New Roman" w:cs="Times New Roman"/>
          <w:szCs w:val="24"/>
        </w:rPr>
        <w:tab/>
      </w:r>
      <w:r w:rsidRPr="00EE7FF7">
        <w:rPr>
          <w:rFonts w:ascii="Times New Roman" w:hAnsi="Times New Roman" w:cs="Times New Roman"/>
          <w:szCs w:val="24"/>
        </w:rPr>
        <w:t xml:space="preserve">po drugie – prawo do żądania wyznaczenia przez sąd rejestrowy </w:t>
      </w:r>
      <w:r w:rsidRPr="00EE7FF7">
        <w:rPr>
          <w:rFonts w:ascii="Times New Roman" w:hAnsi="Times New Roman" w:cs="Times New Roman"/>
          <w:bCs/>
          <w:szCs w:val="24"/>
        </w:rPr>
        <w:t>firmy audytorskiej</w:t>
      </w:r>
      <w:r w:rsidRPr="00EE7FF7">
        <w:rPr>
          <w:rFonts w:ascii="Times New Roman" w:hAnsi="Times New Roman" w:cs="Times New Roman"/>
          <w:szCs w:val="24"/>
        </w:rPr>
        <w:t xml:space="preserve"> w celu zbadania rachunkowości oraz działalności grupy spółek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33D7E756" w14:textId="00FFCCBF" w:rsidR="00581BFC" w:rsidRPr="00EE7FF7" w:rsidRDefault="00581BFC"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c)</w:t>
      </w:r>
      <w:r w:rsidR="00F30ED8">
        <w:rPr>
          <w:rFonts w:ascii="Times New Roman" w:hAnsi="Times New Roman" w:cs="Times New Roman"/>
          <w:szCs w:val="24"/>
        </w:rPr>
        <w:tab/>
      </w:r>
      <w:r w:rsidRPr="00EE7FF7">
        <w:rPr>
          <w:rFonts w:ascii="Times New Roman" w:hAnsi="Times New Roman" w:cs="Times New Roman"/>
          <w:szCs w:val="24"/>
        </w:rPr>
        <w:t xml:space="preserve">po trzecie – prawo do przymusowego odkupu udziałów albo akcji należących do wspólników (akcjonariuszy) mniejszościowych spółki zależnej, </w:t>
      </w:r>
      <w:r w:rsidR="00A37558" w:rsidRPr="00EE7FF7">
        <w:rPr>
          <w:rFonts w:ascii="Times New Roman" w:hAnsi="Times New Roman" w:cs="Times New Roman"/>
          <w:szCs w:val="24"/>
        </w:rPr>
        <w:t>tak zwane</w:t>
      </w:r>
      <w:r w:rsidRPr="00EE7FF7">
        <w:rPr>
          <w:rFonts w:ascii="Times New Roman" w:hAnsi="Times New Roman" w:cs="Times New Roman"/>
          <w:szCs w:val="24"/>
        </w:rPr>
        <w:t xml:space="preserve"> </w:t>
      </w:r>
      <w:r w:rsidRPr="00EE7FF7">
        <w:rPr>
          <w:rFonts w:ascii="Times New Roman" w:hAnsi="Times New Roman" w:cs="Times New Roman"/>
          <w:i/>
          <w:szCs w:val="24"/>
        </w:rPr>
        <w:t>sell-out</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r w:rsidR="00101F2F" w:rsidRPr="00EE7FF7">
        <w:rPr>
          <w:rFonts w:ascii="Times New Roman" w:hAnsi="Times New Roman" w:cs="Times New Roman"/>
          <w:szCs w:val="24"/>
        </w:rPr>
        <w:t xml:space="preserve"> oraz art. 10 niniejszej ustawy</w:t>
      </w:r>
      <w:r w:rsidRPr="00EE7FF7">
        <w:rPr>
          <w:rFonts w:ascii="Times New Roman" w:hAnsi="Times New Roman" w:cs="Times New Roman"/>
          <w:szCs w:val="24"/>
        </w:rPr>
        <w:t>).</w:t>
      </w:r>
    </w:p>
    <w:p w14:paraId="00FA9426" w14:textId="77777777" w:rsidR="00323FC0" w:rsidRPr="00B92ACE" w:rsidRDefault="006814C6" w:rsidP="00EE7FF7">
      <w:pPr>
        <w:pStyle w:val="ARTartustawynprozporzdzenia"/>
        <w:spacing w:before="240"/>
        <w:ind w:firstLine="0"/>
        <w:rPr>
          <w:rFonts w:ascii="Times New Roman" w:hAnsi="Times New Roman" w:cs="Times New Roman"/>
          <w:szCs w:val="24"/>
        </w:rPr>
      </w:pPr>
      <w:r w:rsidRPr="00B92ACE">
        <w:rPr>
          <w:rFonts w:ascii="Times New Roman" w:hAnsi="Times New Roman" w:cs="Times New Roman"/>
          <w:b/>
          <w:bCs/>
          <w:i/>
          <w:iCs/>
          <w:szCs w:val="24"/>
        </w:rPr>
        <w:t>3. Uwagi ogólne dotyczące projektowanej regulacji zwiększającej efektywności rad nadzorczych spółek</w:t>
      </w:r>
    </w:p>
    <w:p w14:paraId="28121547" w14:textId="3CE7AB6A" w:rsidR="00323FC0" w:rsidRPr="00EE7FF7" w:rsidRDefault="006814C6" w:rsidP="00931E42">
      <w:pPr>
        <w:pStyle w:val="ARTartustawynprozporzdzenia"/>
        <w:ind w:firstLine="0"/>
        <w:rPr>
          <w:rFonts w:ascii="Times New Roman" w:hAnsi="Times New Roman" w:cs="Times New Roman"/>
          <w:szCs w:val="24"/>
        </w:rPr>
      </w:pPr>
      <w:r w:rsidRPr="00931E42">
        <w:rPr>
          <w:rFonts w:ascii="Times New Roman" w:hAnsi="Times New Roman" w:cs="Times New Roman"/>
          <w:szCs w:val="24"/>
        </w:rPr>
        <w:t>3.1. Z uwagi na podstawowe wartości naszego społeczeństwa, w tym idee wyrażone w obowiązującej Konstytucji Rzecz</w:t>
      </w:r>
      <w:r w:rsidR="00637FF2">
        <w:rPr>
          <w:rFonts w:ascii="Times New Roman" w:hAnsi="Times New Roman" w:cs="Times New Roman"/>
          <w:szCs w:val="24"/>
        </w:rPr>
        <w:t>y</w:t>
      </w:r>
      <w:r w:rsidRPr="00931E42">
        <w:rPr>
          <w:rFonts w:ascii="Times New Roman" w:hAnsi="Times New Roman" w:cs="Times New Roman"/>
          <w:szCs w:val="24"/>
        </w:rPr>
        <w:t>pospolitej Polskiej, tak daleko</w:t>
      </w:r>
      <w:r w:rsidRPr="005D5147">
        <w:rPr>
          <w:rFonts w:ascii="Times New Roman" w:hAnsi="Times New Roman" w:cs="Times New Roman"/>
          <w:szCs w:val="24"/>
        </w:rPr>
        <w:t xml:space="preserve"> jak nie jest </w:t>
      </w:r>
      <w:r w:rsidRPr="00DA4799">
        <w:rPr>
          <w:rFonts w:ascii="Times New Roman" w:hAnsi="Times New Roman" w:cs="Times New Roman"/>
          <w:szCs w:val="24"/>
        </w:rPr>
        <w:t>to absolutnie konieczne z uwagi na ochronę kolizyjnych prawnie chronionych dóbr, działalność przedsiębiorców nie powinna napotykać na ograniczenia. Idąc dalej, w odniesieniu do zasygnalizowanych wcześniej ryzyk</w:t>
      </w:r>
      <w:r w:rsidR="00BF3382" w:rsidRPr="00123222">
        <w:rPr>
          <w:rFonts w:ascii="Times New Roman" w:hAnsi="Times New Roman" w:cs="Times New Roman"/>
          <w:szCs w:val="24"/>
        </w:rPr>
        <w:t>,</w:t>
      </w:r>
      <w:r w:rsidRPr="00123222">
        <w:rPr>
          <w:rFonts w:ascii="Times New Roman" w:hAnsi="Times New Roman" w:cs="Times New Roman"/>
          <w:szCs w:val="24"/>
        </w:rPr>
        <w:t xml:space="preserve"> należy oczekiwać, że w pierwszej kolejności </w:t>
      </w:r>
      <w:r w:rsidRPr="00EE7FF7">
        <w:rPr>
          <w:rFonts w:ascii="Times New Roman" w:hAnsi="Times New Roman" w:cs="Times New Roman"/>
          <w:szCs w:val="24"/>
        </w:rPr>
        <w:t>podmioty prowadzące działalność gospodarczą będą (niekiedy zachęcane dodatkowo przez państwo) dążyły do funkcjonowania z uwzględnieniem wypracowanych samodzielnie odpowiednich mechanizmów samokontroli. Rolą ustawodawcy jest zaś tworzenie narzędzi pośród szerszej siatki normatywnej, umożliwiających opracowanie efektywnych procesów wewnętrznego nadzoru przez podmioty prywatne.</w:t>
      </w:r>
    </w:p>
    <w:p w14:paraId="58C7035C" w14:textId="44444328" w:rsidR="00323FC0" w:rsidRPr="00EE7FF7" w:rsidRDefault="006814C6" w:rsidP="005D514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3.2. W odniesieniu do spółek kapitałowych, których tworzenie, organizację oraz funkcjonowanie normują przepisy ustawy z dnia 15 września 2000 r. – Kodeks spółek handlowych, zadanie bieżącego nadzoru nad każdym obszarem prowadzenia działalności przez te podmioty spoczywa na radach nadzorczych. Utworzenie przedmiotowego organu jest obligatoryjne na poziomie spółki akcyjnej, zaś w przypadku spółki z ograniczoną </w:t>
      </w:r>
      <w:r w:rsidRPr="00EE7FF7">
        <w:rPr>
          <w:rFonts w:ascii="Times New Roman" w:hAnsi="Times New Roman" w:cs="Times New Roman"/>
          <w:szCs w:val="24"/>
        </w:rPr>
        <w:lastRenderedPageBreak/>
        <w:t>odpowiedzialnością</w:t>
      </w:r>
      <w:r w:rsidR="00BF3382" w:rsidRPr="00EE7FF7">
        <w:rPr>
          <w:rFonts w:ascii="Times New Roman" w:hAnsi="Times New Roman" w:cs="Times New Roman"/>
          <w:szCs w:val="24"/>
        </w:rPr>
        <w:t>,</w:t>
      </w:r>
      <w:r w:rsidRPr="00EE7FF7">
        <w:rPr>
          <w:rFonts w:ascii="Times New Roman" w:hAnsi="Times New Roman" w:cs="Times New Roman"/>
          <w:szCs w:val="24"/>
        </w:rPr>
        <w:t xml:space="preserve"> decyzja ta pozostaje uzależniona od woli wspólników, chyba że omawiany podmiot osiągnął określoną skalę działalności oraz złożoność struktury udziałowej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kapitał zakładowy przewyższa kwotę 500 tysięcy złotych, a wspólników jest więcej niż dwudziestu pięciu). W ramach nowego typu spółki kapitałowej, jakim jest prosta spółka akcyjna, rada nadzorcza pozostaje organem fakultatywnym, którego działanie uzależnione jest od woli współwłaścicieli (w przypadku powołania tego podmiotu z radą dyrektorów, część jego piastunów może pełnić rolę dyrektorów niewykonawczych, którzy funkcjonalnie pozostają podobni do członków rady nadzorczej).</w:t>
      </w:r>
    </w:p>
    <w:p w14:paraId="65D8B919" w14:textId="1EA7D880" w:rsidR="00323FC0" w:rsidRPr="00EE7FF7" w:rsidRDefault="006814C6" w:rsidP="005D5147">
      <w:pPr>
        <w:pStyle w:val="ARTartustawynprozporzdzenia"/>
        <w:ind w:firstLine="0"/>
        <w:rPr>
          <w:rFonts w:ascii="Times New Roman" w:hAnsi="Times New Roman" w:cs="Times New Roman"/>
          <w:szCs w:val="24"/>
        </w:rPr>
      </w:pPr>
      <w:r w:rsidRPr="00EE7FF7">
        <w:rPr>
          <w:rFonts w:ascii="Times New Roman" w:hAnsi="Times New Roman" w:cs="Times New Roman"/>
          <w:szCs w:val="24"/>
        </w:rPr>
        <w:t>3.3. Rada nadzorcza nie ma jednego, przypisanego przez ustawodawcę zadania, skorelowanego z konkretnym obszarem działalności spółki kapitałowej. Od lat występuje ona w przywołanym wyżej akcie normatywnym jako kolegialny organ będący swoistą reprezentacją osób ponoszących ekonomiczne ryzyko funkcjonowania spółki, pozostając w modelu stałym wewnątrz przedmiotowej organizacji. Patrząc przez pryzmat kompetencji, rada nadzorcza powinna pracować jako ciało gwarantujące, że prowadzący sprawy spółki członkowie zarządu będą podejmowali wyłącznie działania zgodne z interesem spółki. Warunkiem realności sformułowanego założenia konstrukcyjnego spółki kapitałowej jest równowaga informacyjna</w:t>
      </w:r>
      <w:r w:rsidR="00BF3382" w:rsidRPr="00EE7FF7">
        <w:rPr>
          <w:rFonts w:ascii="Times New Roman" w:hAnsi="Times New Roman" w:cs="Times New Roman"/>
          <w:szCs w:val="24"/>
        </w:rPr>
        <w:t>,</w:t>
      </w:r>
      <w:r w:rsidRPr="00EE7FF7">
        <w:rPr>
          <w:rFonts w:ascii="Times New Roman" w:hAnsi="Times New Roman" w:cs="Times New Roman"/>
          <w:szCs w:val="24"/>
        </w:rPr>
        <w:t xml:space="preserve"> występująca między zarządem a członkami rady nadzorczej.</w:t>
      </w:r>
    </w:p>
    <w:p w14:paraId="4641DFFB" w14:textId="77777777" w:rsidR="00323FC0" w:rsidRPr="00EE7FF7" w:rsidRDefault="006814C6" w:rsidP="00123222">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3.4. Piastuni omawianego organu kontrolnego, aby w sposób profesjonalny pozostawać adekwatnym partnerem do dyskusji z zarządem w konkretnych sprawach odnoszących się do aktywności spółki, muszą dysponować gwarancją pozyskiwania we właściwym czasie wszelkich rzetelnych i kompletnych informacji odnoszących się do rzeczonej organizacji, bez których ich ogląd sytuacji pozostawałby zafałszowany. Aktualna oraz rzeczowa wiedza o procesach zachodzących w ramach złożonego organizmu, jakim bez wątpienia pozostaje spółka kapitałowa, to </w:t>
      </w:r>
      <w:r w:rsidRPr="00EE7FF7">
        <w:rPr>
          <w:rFonts w:ascii="Times New Roman" w:hAnsi="Times New Roman" w:cs="Times New Roman"/>
          <w:i/>
          <w:szCs w:val="24"/>
        </w:rPr>
        <w:t>conditio sine qua non</w:t>
      </w:r>
      <w:r w:rsidRPr="00EE7FF7">
        <w:rPr>
          <w:rFonts w:ascii="Times New Roman" w:hAnsi="Times New Roman" w:cs="Times New Roman"/>
          <w:szCs w:val="24"/>
        </w:rPr>
        <w:t xml:space="preserve"> właściwego identyfikowania i mapowania ryzyk związanych z prowadzeniem przez niego aktywności biznesowej, a także podejmowania inicjatyw mających minimalizować te zagrożenia.</w:t>
      </w:r>
    </w:p>
    <w:p w14:paraId="683A693D" w14:textId="532EF15B" w:rsidR="00323FC0" w:rsidRPr="00EE7FF7" w:rsidRDefault="006814C6">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3.5. Ewolucja rzeczywistości gospodarczej, a także wielość kontrowersji wynikających z praktyki obrotu obserwowanej na przestrzeni blisko 20 lat po przyjęciu i ogłoszeniu </w:t>
      </w:r>
      <w:r w:rsidR="00F5598A" w:rsidRPr="00EE7FF7">
        <w:rPr>
          <w:rFonts w:ascii="Times New Roman" w:hAnsi="Times New Roman" w:cs="Times New Roman"/>
          <w:szCs w:val="24"/>
        </w:rPr>
        <w:t>KSH</w:t>
      </w:r>
      <w:r w:rsidR="00BF3382" w:rsidRPr="00EE7FF7">
        <w:rPr>
          <w:rFonts w:ascii="Times New Roman" w:hAnsi="Times New Roman" w:cs="Times New Roman"/>
          <w:szCs w:val="24"/>
        </w:rPr>
        <w:t>,</w:t>
      </w:r>
      <w:r w:rsidRPr="00EE7FF7">
        <w:rPr>
          <w:rFonts w:ascii="Times New Roman" w:hAnsi="Times New Roman" w:cs="Times New Roman"/>
          <w:szCs w:val="24"/>
        </w:rPr>
        <w:t xml:space="preserve"> dostarczają dowodów empirycznych nakazujących zrewidować dotychczasową paletę </w:t>
      </w:r>
      <w:r w:rsidRPr="00EE7FF7">
        <w:rPr>
          <w:rFonts w:ascii="Times New Roman" w:hAnsi="Times New Roman" w:cs="Times New Roman"/>
          <w:szCs w:val="24"/>
        </w:rPr>
        <w:lastRenderedPageBreak/>
        <w:t>mechanizmów pozostających do dyspozycji rad nadzorczych spółek kapitałowych pod kątem ich produktywności.</w:t>
      </w:r>
    </w:p>
    <w:p w14:paraId="23E426D3" w14:textId="0BD924A3" w:rsidR="00323FC0" w:rsidRPr="00B0497D" w:rsidRDefault="006814C6">
      <w:pPr>
        <w:pStyle w:val="ARTartustawynprozporzdzenia"/>
        <w:ind w:firstLine="0"/>
        <w:rPr>
          <w:rFonts w:ascii="Times New Roman" w:hAnsi="Times New Roman" w:cs="Times New Roman"/>
          <w:szCs w:val="24"/>
        </w:rPr>
      </w:pPr>
      <w:r w:rsidRPr="00EE7FF7">
        <w:rPr>
          <w:rFonts w:ascii="Times New Roman" w:hAnsi="Times New Roman" w:cs="Times New Roman"/>
          <w:szCs w:val="24"/>
        </w:rPr>
        <w:t>3.6. Brak równowagi informacyjnej między organami spółek oraz niewystarczające mechanizmy kontrolne</w:t>
      </w:r>
      <w:r w:rsidR="00BF3382" w:rsidRPr="00EE7FF7">
        <w:rPr>
          <w:rFonts w:ascii="Times New Roman" w:hAnsi="Times New Roman" w:cs="Times New Roman"/>
          <w:szCs w:val="24"/>
        </w:rPr>
        <w:t>,</w:t>
      </w:r>
      <w:r w:rsidRPr="00EE7FF7">
        <w:rPr>
          <w:rFonts w:ascii="Times New Roman" w:hAnsi="Times New Roman" w:cs="Times New Roman"/>
          <w:szCs w:val="24"/>
        </w:rPr>
        <w:t xml:space="preserve"> przysługujące radom nadzorczym</w:t>
      </w:r>
      <w:r w:rsidR="00BF3382" w:rsidRPr="00EE7FF7">
        <w:rPr>
          <w:rFonts w:ascii="Times New Roman" w:hAnsi="Times New Roman" w:cs="Times New Roman"/>
          <w:szCs w:val="24"/>
        </w:rPr>
        <w:t>,</w:t>
      </w:r>
      <w:r w:rsidRPr="00EE7FF7">
        <w:rPr>
          <w:rFonts w:ascii="Times New Roman" w:hAnsi="Times New Roman" w:cs="Times New Roman"/>
          <w:szCs w:val="24"/>
        </w:rPr>
        <w:t xml:space="preserve"> to jednak nie jedyne problemy związane z nadzorem właścicielskim </w:t>
      </w:r>
      <w:r w:rsidRPr="00EE7FF7">
        <w:rPr>
          <w:rFonts w:ascii="Times New Roman" w:hAnsi="Times New Roman" w:cs="Times New Roman"/>
          <w:i/>
          <w:iCs/>
          <w:szCs w:val="24"/>
        </w:rPr>
        <w:t>sensu largo</w:t>
      </w:r>
      <w:r w:rsidRPr="00EE7FF7">
        <w:rPr>
          <w:rFonts w:ascii="Times New Roman" w:hAnsi="Times New Roman" w:cs="Times New Roman"/>
          <w:szCs w:val="24"/>
        </w:rPr>
        <w:t xml:space="preserve">, jakie narosły od czasu wprowadzenia KSH. Istniały na gruncie dotychczasowej ustawy obszary mające istotne znaczenie dla prowadzenia efektywnego nadzoru właścicielskiego, a które w praktyce powodowały liczne wątpliwości interpretacyjne. Jednym z kluczowych zagadnień należących do przywołanej grupy jest określenie okresu, na jaki powoływani są członkowie organów menadżerskich oraz terminu przez jaki pozostają oni umocowani do pełnienia funkcji. </w:t>
      </w:r>
      <w:r w:rsidR="00B0497D" w:rsidRPr="009D4226">
        <w:rPr>
          <w:rFonts w:ascii="Times New Roman" w:hAnsi="Times New Roman" w:cs="Times New Roman"/>
          <w:szCs w:val="24"/>
        </w:rPr>
        <w:t>M</w:t>
      </w:r>
      <w:r w:rsidRPr="009D4226">
        <w:rPr>
          <w:rFonts w:ascii="Times New Roman" w:hAnsi="Times New Roman" w:cs="Times New Roman"/>
          <w:szCs w:val="24"/>
        </w:rPr>
        <w:t xml:space="preserve">imo upływu czasu oraz wzbogacającego </w:t>
      </w:r>
      <w:r w:rsidRPr="00B0497D">
        <w:rPr>
          <w:rFonts w:ascii="Times New Roman" w:hAnsi="Times New Roman" w:cs="Times New Roman"/>
          <w:szCs w:val="24"/>
        </w:rPr>
        <w:t>się dorobku doktryny</w:t>
      </w:r>
      <w:r w:rsidR="00BF3382" w:rsidRPr="00B0497D">
        <w:rPr>
          <w:rFonts w:ascii="Times New Roman" w:hAnsi="Times New Roman" w:cs="Times New Roman"/>
          <w:szCs w:val="24"/>
        </w:rPr>
        <w:t>,</w:t>
      </w:r>
      <w:r w:rsidRPr="00B0497D">
        <w:rPr>
          <w:rFonts w:ascii="Times New Roman" w:hAnsi="Times New Roman" w:cs="Times New Roman"/>
          <w:szCs w:val="24"/>
        </w:rPr>
        <w:t xml:space="preserve"> zagadnienia te, </w:t>
      </w:r>
      <w:r w:rsidR="00245F5C" w:rsidRPr="00B0497D">
        <w:rPr>
          <w:rFonts w:ascii="Times New Roman" w:hAnsi="Times New Roman" w:cs="Times New Roman"/>
          <w:szCs w:val="24"/>
        </w:rPr>
        <w:t>to jest</w:t>
      </w:r>
      <w:r w:rsidRPr="00B0497D">
        <w:rPr>
          <w:rFonts w:ascii="Times New Roman" w:hAnsi="Times New Roman" w:cs="Times New Roman"/>
          <w:szCs w:val="24"/>
        </w:rPr>
        <w:t xml:space="preserve"> problematyka kadencji i mandatu, w dalszym ciągu wywołują znaczące problemy w praktyce obrotu gospodarczego.</w:t>
      </w:r>
    </w:p>
    <w:p w14:paraId="02B22215" w14:textId="77777777" w:rsidR="00323FC0" w:rsidRPr="00EE7FF7" w:rsidRDefault="006814C6">
      <w:pPr>
        <w:pStyle w:val="ARTartustawynprozporzdzenia"/>
        <w:ind w:firstLine="0"/>
        <w:rPr>
          <w:rFonts w:ascii="Times New Roman" w:hAnsi="Times New Roman" w:cs="Times New Roman"/>
          <w:szCs w:val="24"/>
        </w:rPr>
      </w:pPr>
      <w:r w:rsidRPr="00EE7FF7">
        <w:rPr>
          <w:rFonts w:ascii="Times New Roman" w:hAnsi="Times New Roman" w:cs="Times New Roman"/>
          <w:szCs w:val="24"/>
        </w:rPr>
        <w:t>3.7. Z punktu widzenia efektywnego nadzoru, celowe jest również doprecyzowanie katalogu obowiązków członków organów oraz określenie zasad ich odpowiedzialności z tytułu podejmowanych działań lub zaniechań. Obowiązek lojalności członków organów spółek był co prawda powszechnie identyfikowany w doktrynie i orzecznictwie, jednak jedynie jego przejawy, w postaci zakazu konkurencji, sprzeczności interesów oraz wyłączenia prawa reprezentacji w sprawach z odwołania członków zarządu, były regulowane odpowiednio w KSH.</w:t>
      </w:r>
    </w:p>
    <w:p w14:paraId="06D2204D" w14:textId="13DBD7D2" w:rsidR="00323FC0" w:rsidRPr="00EE7FF7" w:rsidRDefault="006814C6">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3.8. Odpowiedzią na zmieniającą się w ostatnim czasie linię orzeczniczą sądów jest również wprowadzenie </w:t>
      </w:r>
      <w:r w:rsidRPr="00EE7FF7">
        <w:rPr>
          <w:rFonts w:ascii="Times New Roman" w:hAnsi="Times New Roman" w:cs="Times New Roman"/>
          <w:i/>
          <w:iCs/>
          <w:szCs w:val="24"/>
        </w:rPr>
        <w:t>Business Judgement Rule</w:t>
      </w:r>
      <w:r w:rsidRPr="00EE7FF7">
        <w:rPr>
          <w:rFonts w:ascii="Times New Roman" w:hAnsi="Times New Roman" w:cs="Times New Roman"/>
          <w:szCs w:val="24"/>
        </w:rPr>
        <w:t>. Jeszcze w poprzedniej dekadzie problematyczne okazywały się sytuacje, kiedy członek zarządu lub organu nadzorczego spółki, dokonując określonej czynności</w:t>
      </w:r>
      <w:r w:rsidR="004C6AE0" w:rsidRPr="00EE7FF7">
        <w:rPr>
          <w:rFonts w:ascii="Times New Roman" w:hAnsi="Times New Roman" w:cs="Times New Roman"/>
          <w:szCs w:val="24"/>
        </w:rPr>
        <w:t>,</w:t>
      </w:r>
      <w:r w:rsidRPr="00EE7FF7">
        <w:rPr>
          <w:rFonts w:ascii="Times New Roman" w:hAnsi="Times New Roman" w:cs="Times New Roman"/>
          <w:szCs w:val="24"/>
        </w:rPr>
        <w:t xml:space="preserve"> nie naruszył bezpośrednio normy prawnej, lecz finalnie doprowadził do wyrządzenia spółce szkody. O pociągnięciu do odpowiedzialności członka organu decydowało </w:t>
      </w:r>
      <w:r w:rsidR="00140578" w:rsidRPr="00EE7FF7">
        <w:rPr>
          <w:rFonts w:ascii="Times New Roman" w:hAnsi="Times New Roman" w:cs="Times New Roman"/>
          <w:szCs w:val="24"/>
        </w:rPr>
        <w:t xml:space="preserve">formalne naruszenie </w:t>
      </w:r>
      <w:r w:rsidRPr="00EE7FF7">
        <w:rPr>
          <w:rFonts w:ascii="Times New Roman" w:hAnsi="Times New Roman" w:cs="Times New Roman"/>
          <w:szCs w:val="24"/>
        </w:rPr>
        <w:t xml:space="preserve">konkretnej normy prawnej. Orzecznictwo Sądu Najwyższego zaczęło </w:t>
      </w:r>
      <w:r w:rsidR="003B4354" w:rsidRPr="00EE7FF7">
        <w:rPr>
          <w:rFonts w:ascii="Times New Roman" w:hAnsi="Times New Roman" w:cs="Times New Roman"/>
          <w:szCs w:val="24"/>
        </w:rPr>
        <w:t xml:space="preserve">jednak </w:t>
      </w:r>
      <w:r w:rsidRPr="00EE7FF7">
        <w:rPr>
          <w:rFonts w:ascii="Times New Roman" w:hAnsi="Times New Roman" w:cs="Times New Roman"/>
          <w:szCs w:val="24"/>
        </w:rPr>
        <w:t>z czasem ewoluować. Począwszy od 2014 r. (zob. wyrok Sądu Najwyższego z dnia 24 lipca 2014 r. II CSK 627/13)</w:t>
      </w:r>
      <w:r w:rsidR="004C6AE0" w:rsidRPr="00EE7FF7">
        <w:rPr>
          <w:rFonts w:ascii="Times New Roman" w:hAnsi="Times New Roman" w:cs="Times New Roman"/>
          <w:szCs w:val="24"/>
        </w:rPr>
        <w:t>,</w:t>
      </w:r>
      <w:r w:rsidRPr="00EE7FF7">
        <w:rPr>
          <w:rFonts w:ascii="Times New Roman" w:hAnsi="Times New Roman" w:cs="Times New Roman"/>
          <w:szCs w:val="24"/>
        </w:rPr>
        <w:t xml:space="preserve"> pociągano do odpowiedzialności członków organów spółki również w przypadkach, gdy nie zachowali staranności wynikającej z zawodowego charakteru ich działalności.</w:t>
      </w:r>
    </w:p>
    <w:p w14:paraId="462DE4F2" w14:textId="77777777" w:rsidR="00323FC0" w:rsidRPr="00EE7FF7" w:rsidRDefault="006814C6" w:rsidP="00EE7FF7">
      <w:pPr>
        <w:pStyle w:val="ARTartustawynprozporzdzenia"/>
        <w:keepNext/>
        <w:spacing w:before="240"/>
        <w:ind w:firstLine="0"/>
        <w:rPr>
          <w:rFonts w:ascii="Times New Roman" w:hAnsi="Times New Roman" w:cs="Times New Roman"/>
          <w:szCs w:val="24"/>
        </w:rPr>
      </w:pPr>
      <w:r w:rsidRPr="00EE7FF7">
        <w:rPr>
          <w:rFonts w:ascii="Times New Roman" w:hAnsi="Times New Roman" w:cs="Times New Roman"/>
          <w:b/>
          <w:bCs/>
          <w:i/>
          <w:iCs/>
          <w:szCs w:val="24"/>
        </w:rPr>
        <w:lastRenderedPageBreak/>
        <w:t>4. Uwagi szczegółowe dotyczące wprowadzenia regulacji prawa holdingowego</w:t>
      </w:r>
    </w:p>
    <w:p w14:paraId="676F1275" w14:textId="71E85820"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4.1. </w:t>
      </w:r>
      <w:r w:rsidR="0070738B" w:rsidRPr="00EE7FF7">
        <w:rPr>
          <w:rFonts w:ascii="Times New Roman" w:hAnsi="Times New Roman" w:cs="Times New Roman"/>
          <w:szCs w:val="24"/>
        </w:rPr>
        <w:t xml:space="preserve">Art. 4 § 1 pkt 4 lit. f </w:t>
      </w:r>
      <w:r w:rsidR="00245F5C" w:rsidRPr="00EE7FF7">
        <w:rPr>
          <w:rFonts w:ascii="Times New Roman" w:hAnsi="Times New Roman" w:cs="Times New Roman"/>
          <w:szCs w:val="24"/>
        </w:rPr>
        <w:t>projektowanego</w:t>
      </w:r>
      <w:r w:rsidR="0070738B" w:rsidRPr="00EE7FF7">
        <w:rPr>
          <w:rFonts w:ascii="Times New Roman" w:hAnsi="Times New Roman" w:cs="Times New Roman"/>
          <w:szCs w:val="24"/>
        </w:rPr>
        <w:t xml:space="preserve"> KSH – jest konsekwencją </w:t>
      </w:r>
      <w:r w:rsidR="00684CA2" w:rsidRPr="00EE7FF7">
        <w:rPr>
          <w:rFonts w:ascii="Times New Roman" w:hAnsi="Times New Roman" w:cs="Times New Roman"/>
          <w:szCs w:val="24"/>
        </w:rPr>
        <w:t>uchylenia</w:t>
      </w:r>
      <w:r w:rsidR="00EE7FF7">
        <w:rPr>
          <w:rFonts w:ascii="Times New Roman" w:hAnsi="Times New Roman" w:cs="Times New Roman"/>
          <w:szCs w:val="24"/>
        </w:rPr>
        <w:t xml:space="preserve"> </w:t>
      </w:r>
      <w:r w:rsidR="0070738B" w:rsidRPr="00EE7FF7">
        <w:rPr>
          <w:rFonts w:ascii="Times New Roman" w:hAnsi="Times New Roman" w:cs="Times New Roman"/>
          <w:szCs w:val="24"/>
        </w:rPr>
        <w:t>przepis</w:t>
      </w:r>
      <w:r w:rsidR="00684CA2" w:rsidRPr="00EE7FF7">
        <w:rPr>
          <w:rFonts w:ascii="Times New Roman" w:hAnsi="Times New Roman" w:cs="Times New Roman"/>
          <w:szCs w:val="24"/>
        </w:rPr>
        <w:t>u</w:t>
      </w:r>
      <w:r w:rsidR="0070738B" w:rsidRPr="00EE7FF7">
        <w:rPr>
          <w:rFonts w:ascii="Times New Roman" w:hAnsi="Times New Roman" w:cs="Times New Roman"/>
          <w:szCs w:val="24"/>
        </w:rPr>
        <w:t xml:space="preserve"> art. 7 KSH.</w:t>
      </w:r>
    </w:p>
    <w:p w14:paraId="256D4CBB" w14:textId="28983E12" w:rsidR="0070738B"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4.2. </w:t>
      </w:r>
      <w:r w:rsidR="0070738B" w:rsidRPr="00EE7FF7">
        <w:rPr>
          <w:rFonts w:ascii="Times New Roman" w:hAnsi="Times New Roman" w:cs="Times New Roman"/>
          <w:szCs w:val="24"/>
        </w:rPr>
        <w:t>Art. 4 § 1 pkt 5</w:t>
      </w:r>
      <w:r w:rsidR="0070738B" w:rsidRPr="00EE7FF7">
        <w:rPr>
          <w:rStyle w:val="IGindeksgrny"/>
          <w:rFonts w:ascii="Times New Roman" w:hAnsi="Times New Roman" w:cs="Times New Roman"/>
          <w:szCs w:val="24"/>
        </w:rPr>
        <w:t>1</w:t>
      </w:r>
      <w:r w:rsidR="0070738B"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0070738B" w:rsidRPr="00EE7FF7">
        <w:rPr>
          <w:rFonts w:ascii="Times New Roman" w:hAnsi="Times New Roman" w:cs="Times New Roman"/>
          <w:szCs w:val="24"/>
        </w:rPr>
        <w:t xml:space="preserve"> KSH – konieczność wprowadzenia normatywnej definicji grupy spółek stanowi konsekwencję odróżnienia „kwalifikowanego” stosunku dominacji i zależności (którym jest grupa spółek) od „zwykłego” stosunku dominacji i zależności, do którego nie powinno się stosować szczególnej regulacji z art. 21</w:t>
      </w:r>
      <w:r w:rsidR="0070738B" w:rsidRPr="00EE7FF7">
        <w:rPr>
          <w:rStyle w:val="IGindeksgrny"/>
          <w:rFonts w:ascii="Times New Roman" w:hAnsi="Times New Roman" w:cs="Times New Roman"/>
          <w:szCs w:val="24"/>
        </w:rPr>
        <w:t>1</w:t>
      </w:r>
      <w:r w:rsidR="0070738B" w:rsidRPr="00EE7FF7">
        <w:rPr>
          <w:rFonts w:ascii="Times New Roman" w:hAnsi="Times New Roman" w:cs="Times New Roman"/>
          <w:szCs w:val="24"/>
        </w:rPr>
        <w:t>–</w:t>
      </w:r>
      <w:r w:rsidR="0070738B" w:rsidRPr="00EE7FF7">
        <w:rPr>
          <w:rFonts w:ascii="Times New Roman" w:hAnsi="Times New Roman" w:cs="Times New Roman"/>
          <w:bCs/>
          <w:szCs w:val="24"/>
        </w:rPr>
        <w:t>21</w:t>
      </w:r>
      <w:r w:rsidR="0070738B" w:rsidRPr="00EE7FF7">
        <w:rPr>
          <w:rStyle w:val="IGindeksgrny"/>
          <w:rFonts w:ascii="Times New Roman" w:hAnsi="Times New Roman" w:cs="Times New Roman"/>
          <w:bCs/>
          <w:szCs w:val="24"/>
        </w:rPr>
        <w:t>16</w:t>
      </w:r>
      <w:r w:rsidR="0070738B"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0070738B" w:rsidRPr="00EE7FF7">
        <w:rPr>
          <w:rFonts w:ascii="Times New Roman" w:hAnsi="Times New Roman" w:cs="Times New Roman"/>
          <w:szCs w:val="24"/>
        </w:rPr>
        <w:t xml:space="preserve"> KSH.</w:t>
      </w:r>
    </w:p>
    <w:p w14:paraId="6D25691D" w14:textId="41D892F3" w:rsidR="0070738B" w:rsidRPr="00EE7FF7" w:rsidRDefault="0070738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Elementem definiującym grupę spółek i zarazem uzasadniającym stosowanie proponowanych przepisów art. 21</w:t>
      </w:r>
      <w:r w:rsidRPr="00EE7FF7">
        <w:rPr>
          <w:rStyle w:val="IGindeksgrny"/>
          <w:rFonts w:ascii="Times New Roman" w:hAnsi="Times New Roman" w:cs="Times New Roman"/>
          <w:szCs w:val="24"/>
        </w:rPr>
        <w:t>1</w:t>
      </w:r>
      <w:r w:rsidRPr="003347E0">
        <w:rPr>
          <w:rFonts w:ascii="Times New Roman" w:hAnsi="Times New Roman" w:cs="Times New Roman"/>
          <w:bCs/>
          <w:szCs w:val="24"/>
        </w:rPr>
        <w:t>–</w:t>
      </w:r>
      <w:r w:rsidRPr="00EE7FF7">
        <w:rPr>
          <w:rFonts w:ascii="Times New Roman" w:hAnsi="Times New Roman" w:cs="Times New Roman"/>
          <w:bCs/>
          <w:szCs w:val="24"/>
        </w:rPr>
        <w:t>21</w:t>
      </w:r>
      <w:r w:rsidRPr="00EE7FF7">
        <w:rPr>
          <w:rStyle w:val="IGindeksgrny"/>
          <w:rFonts w:ascii="Times New Roman" w:hAnsi="Times New Roman" w:cs="Times New Roman"/>
          <w:bCs/>
          <w:szCs w:val="24"/>
        </w:rPr>
        <w:t>16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jest przyjęcie przez spółki </w:t>
      </w:r>
      <w:r w:rsidR="00BC7921" w:rsidRPr="00EE7FF7">
        <w:rPr>
          <w:rFonts w:ascii="Times New Roman" w:hAnsi="Times New Roman" w:cs="Times New Roman"/>
          <w:szCs w:val="24"/>
        </w:rPr>
        <w:t>uczestniczące w grupie spółe</w:t>
      </w:r>
      <w:r w:rsidR="003347E0">
        <w:rPr>
          <w:rFonts w:ascii="Times New Roman" w:hAnsi="Times New Roman" w:cs="Times New Roman"/>
          <w:szCs w:val="24"/>
        </w:rPr>
        <w:t>k</w:t>
      </w:r>
      <w:r w:rsidRPr="00EE7FF7">
        <w:rPr>
          <w:rFonts w:ascii="Times New Roman" w:hAnsi="Times New Roman" w:cs="Times New Roman"/>
          <w:szCs w:val="24"/>
        </w:rPr>
        <w:t xml:space="preserve"> wspólnej strategii gospodarczej, </w:t>
      </w:r>
      <w:r w:rsidRPr="00EE7FF7">
        <w:rPr>
          <w:rFonts w:ascii="Times New Roman" w:hAnsi="Times New Roman" w:cs="Times New Roman"/>
          <w:bCs/>
          <w:szCs w:val="24"/>
        </w:rPr>
        <w:t>która uzasadnia, że spółka dominująca sprawuje jednolite kierownictwo nad spółkami zależnymi.</w:t>
      </w:r>
      <w:r w:rsidRPr="00EE7FF7">
        <w:rPr>
          <w:rFonts w:ascii="Times New Roman" w:hAnsi="Times New Roman" w:cs="Times New Roman"/>
          <w:szCs w:val="24"/>
        </w:rPr>
        <w:t xml:space="preserve"> Wspomniana wspólna strategia gospodarcza pozwala określić interes grupy spółek.</w:t>
      </w:r>
    </w:p>
    <w:p w14:paraId="4F3E6CCE" w14:textId="2C8A571C" w:rsidR="0070738B" w:rsidRPr="00EE7FF7" w:rsidRDefault="0070738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Z powyższego wynika, że definicja grupy spółek z art. 4 § 1 pkt 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przyjmuje kryterium funkcjonalne, zamiast możliwego innego kryterium,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strukturalnego, polegającego na istnieniu trwałego powiązania organizacyjnego spółek tworzących grupę. To ostatnie kryterium należy uznać za nieostre. Dlatego też zostało ono w trakcie prac legislacyjnych odrzucone, w przeciwieństwie do zastosowanego kryterium funkcjonalnego w postaci kierowania się wspólną strategią gospodarczą grupy.</w:t>
      </w:r>
    </w:p>
    <w:p w14:paraId="28E0EAA3" w14:textId="6F108519" w:rsidR="0070738B" w:rsidRPr="00EE7FF7" w:rsidRDefault="0070738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Interes grupy spółek znajdzie także odzwierciedlenie w obowiązkowym sprawozdaniu spółki zależnej o powiązaniach</w:t>
      </w:r>
      <w:r w:rsidR="007A6FB4" w:rsidRPr="00EE7FF7">
        <w:rPr>
          <w:rFonts w:ascii="Times New Roman" w:hAnsi="Times New Roman" w:cs="Times New Roman"/>
          <w:szCs w:val="24"/>
        </w:rPr>
        <w:t xml:space="preserve"> umownych</w:t>
      </w:r>
      <w:r w:rsidRPr="00EE7FF7">
        <w:rPr>
          <w:rFonts w:ascii="Times New Roman" w:hAnsi="Times New Roman" w:cs="Times New Roman"/>
          <w:szCs w:val="24"/>
        </w:rPr>
        <w:t xml:space="preserve"> tej spółki ze spółką dominującą za okres ostatniego roku obrotowego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Jednakże przede wszystkim interes ten będzie stanowił ogólne kryterium przyjęcia bądź odmowy przez spółkę zależną wykonania wiążącego polecenia spółki dominującej oraz podstawę ekskulpacji zarządców spółek </w:t>
      </w:r>
      <w:r w:rsidR="00BC7921" w:rsidRPr="00EE7FF7">
        <w:rPr>
          <w:rFonts w:ascii="Times New Roman" w:hAnsi="Times New Roman" w:cs="Times New Roman"/>
          <w:szCs w:val="24"/>
        </w:rPr>
        <w:t>uczestniczących w grupie spółek</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 </w:t>
      </w:r>
      <w:r w:rsidR="007A6FB4" w:rsidRPr="00EE7FF7">
        <w:rPr>
          <w:rFonts w:ascii="Times New Roman" w:hAnsi="Times New Roman" w:cs="Times New Roman"/>
          <w:szCs w:val="24"/>
        </w:rPr>
        <w:t>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579633D9" w14:textId="5117AB8D" w:rsidR="0070738B" w:rsidRPr="00EE7FF7" w:rsidRDefault="0070738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Definicja grupy spółek z art. 4 § 1 pkt 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obejmuje zasadniczo holdingi faktyczne, do których stosuje się proponowane przepisy art. 21</w:t>
      </w:r>
      <w:r w:rsidRPr="00EE7FF7">
        <w:rPr>
          <w:rStyle w:val="IGindeksgrny"/>
          <w:rFonts w:ascii="Times New Roman" w:hAnsi="Times New Roman" w:cs="Times New Roman"/>
          <w:szCs w:val="24"/>
        </w:rPr>
        <w:t>1</w:t>
      </w:r>
      <w:r w:rsidRPr="00EE7FF7">
        <w:rPr>
          <w:rFonts w:ascii="Times New Roman" w:hAnsi="Times New Roman" w:cs="Times New Roman"/>
          <w:szCs w:val="24"/>
        </w:rPr>
        <w:t>–</w:t>
      </w:r>
      <w:r w:rsidRPr="00EE7FF7">
        <w:rPr>
          <w:rFonts w:ascii="Times New Roman" w:hAnsi="Times New Roman" w:cs="Times New Roman"/>
          <w:bCs/>
          <w:szCs w:val="24"/>
        </w:rPr>
        <w:t>21</w:t>
      </w:r>
      <w:r w:rsidRPr="00EE7FF7">
        <w:rPr>
          <w:rStyle w:val="IGindeksgrny"/>
          <w:rFonts w:ascii="Times New Roman" w:hAnsi="Times New Roman" w:cs="Times New Roman"/>
          <w:bCs/>
          <w:szCs w:val="24"/>
        </w:rPr>
        <w:t>16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ale nie wyklucza też ze swego zakresu holdingu umownego. Wprawdzie niniejszy projekt zakłada uchylenie przepisów art. 7 KSH, a w konsekwencji także i przepisów art. 228 pkt 6 i art. 393 pkt 7 KSH, które </w:t>
      </w:r>
      <w:r w:rsidRPr="00EE7FF7">
        <w:rPr>
          <w:rFonts w:ascii="Times New Roman" w:hAnsi="Times New Roman" w:cs="Times New Roman"/>
          <w:i/>
          <w:szCs w:val="24"/>
        </w:rPr>
        <w:t xml:space="preserve">expressis verbis </w:t>
      </w:r>
      <w:r w:rsidRPr="00EE7FF7">
        <w:rPr>
          <w:rFonts w:ascii="Times New Roman" w:hAnsi="Times New Roman" w:cs="Times New Roman"/>
          <w:szCs w:val="24"/>
        </w:rPr>
        <w:t>odnosiły się do umów holdingowych</w:t>
      </w:r>
      <w:r w:rsidR="00F3592E">
        <w:rPr>
          <w:rFonts w:ascii="Times New Roman" w:hAnsi="Times New Roman" w:cs="Times New Roman"/>
          <w:szCs w:val="24"/>
        </w:rPr>
        <w:t>,</w:t>
      </w:r>
      <w:r w:rsidRPr="00EE7FF7">
        <w:rPr>
          <w:rFonts w:ascii="Times New Roman" w:hAnsi="Times New Roman" w:cs="Times New Roman"/>
          <w:szCs w:val="24"/>
        </w:rPr>
        <w:t xml:space="preserve"> a tym samym do holdingów umownych. Jednakże dopuszczalność zawarcia t</w:t>
      </w:r>
      <w:r w:rsidR="00351EB9" w:rsidRPr="00EE7FF7">
        <w:rPr>
          <w:rFonts w:ascii="Times New Roman" w:hAnsi="Times New Roman" w:cs="Times New Roman"/>
          <w:szCs w:val="24"/>
        </w:rPr>
        <w:t>akich</w:t>
      </w:r>
      <w:r w:rsidRPr="00EE7FF7">
        <w:rPr>
          <w:rFonts w:ascii="Times New Roman" w:hAnsi="Times New Roman" w:cs="Times New Roman"/>
          <w:szCs w:val="24"/>
        </w:rPr>
        <w:t xml:space="preserve"> umów wynika z ogólnej zasady wolności umów wyrażonej w art. 353</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KC </w:t>
      </w:r>
      <w:r w:rsidR="001C6010" w:rsidRPr="00EE7FF7">
        <w:rPr>
          <w:rFonts w:ascii="Times New Roman" w:hAnsi="Times New Roman" w:cs="Times New Roman"/>
          <w:szCs w:val="24"/>
        </w:rPr>
        <w:t>w związku</w:t>
      </w:r>
      <w:r w:rsidRPr="00EE7FF7">
        <w:rPr>
          <w:rFonts w:ascii="Times New Roman" w:hAnsi="Times New Roman" w:cs="Times New Roman"/>
          <w:szCs w:val="24"/>
        </w:rPr>
        <w:t xml:space="preserve"> z art. 2 </w:t>
      </w:r>
      <w:r w:rsidRPr="00EE7FF7">
        <w:rPr>
          <w:rFonts w:ascii="Times New Roman" w:hAnsi="Times New Roman" w:cs="Times New Roman"/>
          <w:szCs w:val="24"/>
        </w:rPr>
        <w:lastRenderedPageBreak/>
        <w:t xml:space="preserve">KSH. </w:t>
      </w:r>
      <w:r w:rsidRPr="00EE7FF7">
        <w:rPr>
          <w:rFonts w:ascii="Times New Roman" w:hAnsi="Times New Roman" w:cs="Times New Roman"/>
          <w:bCs/>
          <w:szCs w:val="24"/>
        </w:rPr>
        <w:t>Natomiast możliwość zastosowania do holdingu umownego przepisów art. 21</w:t>
      </w:r>
      <w:r w:rsidRPr="00EE7FF7">
        <w:rPr>
          <w:rStyle w:val="IGindeksgrny"/>
          <w:rFonts w:ascii="Times New Roman" w:hAnsi="Times New Roman" w:cs="Times New Roman"/>
          <w:bCs/>
          <w:szCs w:val="24"/>
        </w:rPr>
        <w:t>1</w:t>
      </w:r>
      <w:r w:rsidRPr="00EE7FF7">
        <w:rPr>
          <w:rFonts w:ascii="Times New Roman" w:hAnsi="Times New Roman" w:cs="Times New Roman"/>
          <w:bCs/>
          <w:szCs w:val="24"/>
        </w:rPr>
        <w:t>–21</w:t>
      </w:r>
      <w:r w:rsidRPr="00EE7FF7">
        <w:rPr>
          <w:rStyle w:val="IGindeksgrny"/>
          <w:rFonts w:ascii="Times New Roman" w:hAnsi="Times New Roman" w:cs="Times New Roman"/>
          <w:bCs/>
          <w:szCs w:val="24"/>
        </w:rPr>
        <w:t>1</w:t>
      </w:r>
      <w:r w:rsidR="007A6FB4" w:rsidRPr="00EE7FF7">
        <w:rPr>
          <w:rStyle w:val="IGindeksgrny"/>
          <w:rFonts w:ascii="Times New Roman" w:hAnsi="Times New Roman" w:cs="Times New Roman"/>
          <w:bCs/>
          <w:szCs w:val="24"/>
        </w:rPr>
        <w:t>6</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jest uzależniona od przyjęcia przez spółki stanowiące grupę spółek wspólnej strategii gospodarczej (art. 4 § 1 pkt 5</w:t>
      </w:r>
      <w:r w:rsidRPr="00EE7FF7">
        <w:rPr>
          <w:rStyle w:val="IGindeksgrny"/>
          <w:rFonts w:ascii="Times New Roman" w:hAnsi="Times New Roman" w:cs="Times New Roman"/>
          <w:bCs/>
          <w:szCs w:val="24"/>
        </w:rPr>
        <w:t>1</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podjęcia przez zgromadzenie wspólników albo walne zgromadzenie spółki zależnej uchwały o uczestnictwie w grupie spółek, ze wskazaniem spółki dominującej (art. 21</w:t>
      </w:r>
      <w:r w:rsidRPr="00EE7FF7">
        <w:rPr>
          <w:rFonts w:ascii="Times New Roman" w:hAnsi="Times New Roman" w:cs="Times New Roman"/>
          <w:bCs/>
          <w:szCs w:val="24"/>
          <w:vertAlign w:val="superscript"/>
        </w:rPr>
        <w:t>1</w:t>
      </w:r>
      <w:r w:rsidRPr="00EE7FF7">
        <w:rPr>
          <w:rFonts w:ascii="Times New Roman" w:hAnsi="Times New Roman" w:cs="Times New Roman"/>
          <w:bCs/>
          <w:szCs w:val="24"/>
        </w:rPr>
        <w:t xml:space="preserve"> § 2 KSH)</w:t>
      </w:r>
      <w:r w:rsidRPr="00EE7FF7">
        <w:rPr>
          <w:rFonts w:ascii="Times New Roman" w:hAnsi="Times New Roman" w:cs="Times New Roman"/>
          <w:szCs w:val="24"/>
        </w:rPr>
        <w:t xml:space="preserve"> oraz od ujawnienia w rejestrze przedsiębiorców faktu uczestnictwa w grupie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Pr="00EE7FF7">
        <w:rPr>
          <w:rFonts w:ascii="Times New Roman" w:hAnsi="Times New Roman" w:cs="Times New Roman"/>
          <w:bCs/>
          <w:szCs w:val="24"/>
        </w:rPr>
        <w:t>§ 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384FF45C" w14:textId="141D1BB7" w:rsidR="0070738B" w:rsidRPr="00EE7FF7" w:rsidRDefault="0070738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Ujęcie w definicji z art. 4 § 1 pkt 5</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spółki zależnej zarówno w liczbie pojedynczej, jak i w liczbie mnogiej ma wykluczyć wątpliwość w kwestii, czy do powstania grupy spółek – obok spółki dominującej – konieczne jest wystąpienie co najmniej dwóch czy więcej spółek.</w:t>
      </w:r>
    </w:p>
    <w:p w14:paraId="1E87829D" w14:textId="52E97566"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4.3.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jest przepisem ogólnym o charakterze systemowym, regulującym trzy fundamentalne kwestie dla prawa grup spółek, a mianowicie zawiera on: a) po pierwsze, klauzulę generalną określającą granice powoływania się na interes grupy spółek (§ 1), b) po drugie, nakłada obowiązek ujawnienia w rejestrze przedsiębiorców faktu uczestnictwa spółki w grupie spółek (§ 3), </w:t>
      </w:r>
      <w:r w:rsidRPr="00EE7FF7">
        <w:rPr>
          <w:rFonts w:ascii="Times New Roman" w:hAnsi="Times New Roman" w:cs="Times New Roman"/>
          <w:bCs/>
          <w:szCs w:val="24"/>
        </w:rPr>
        <w:t>uzależniając to uprzednio od podjęcia przez zgromadzenie wspólników albo walne zgromadzenie spółki zależnej uchwały o uczestnictwie w grupie spółek ze wskazaniem spółki dominującej (§ 2),</w:t>
      </w:r>
      <w:r w:rsidR="00A1719C" w:rsidRPr="00EE7FF7">
        <w:rPr>
          <w:rFonts w:ascii="Times New Roman" w:hAnsi="Times New Roman" w:cs="Times New Roman"/>
          <w:szCs w:val="24"/>
        </w:rPr>
        <w:t xml:space="preserve"> </w:t>
      </w:r>
      <w:r w:rsidRPr="00EE7FF7">
        <w:rPr>
          <w:rFonts w:ascii="Times New Roman" w:hAnsi="Times New Roman" w:cs="Times New Roman"/>
          <w:szCs w:val="24"/>
        </w:rPr>
        <w:t xml:space="preserve">oraz c) po trzecie, dopuszcza powoływanie się na interes grupy spółek przez zarządców spółki uczestniczącej w grupie spółek w celu wyłączenia ich osobistej odpowiedzialności wynikającej z zasad ogólnych </w:t>
      </w:r>
      <w:r w:rsidRPr="00EE7FF7">
        <w:rPr>
          <w:rFonts w:ascii="Times New Roman" w:hAnsi="Times New Roman" w:cs="Times New Roman"/>
          <w:bCs/>
          <w:szCs w:val="24"/>
        </w:rPr>
        <w:t>(§ 4).</w:t>
      </w:r>
    </w:p>
    <w:p w14:paraId="4FAA891E" w14:textId="5B1A95D5" w:rsidR="009D4479" w:rsidRPr="00EE7FF7" w:rsidRDefault="00C801AD"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Przepis art. 21</w:t>
      </w:r>
      <w:r w:rsidR="009D4479" w:rsidRPr="00EE7FF7">
        <w:rPr>
          <w:rFonts w:ascii="Times New Roman" w:hAnsi="Times New Roman" w:cs="Times New Roman"/>
          <w:szCs w:val="24"/>
          <w:vertAlign w:val="superscript"/>
        </w:rPr>
        <w:t>1</w:t>
      </w:r>
      <w:r w:rsidR="009D4479"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009D4479" w:rsidRPr="00EE7FF7">
        <w:rPr>
          <w:rFonts w:ascii="Times New Roman" w:hAnsi="Times New Roman" w:cs="Times New Roman"/>
          <w:szCs w:val="24"/>
        </w:rPr>
        <w:t xml:space="preserve"> KSH obejmuje regulację kluczowej dla prawa grup spółek kwestii prawnej</w:t>
      </w:r>
      <w:r w:rsidR="00992809">
        <w:rPr>
          <w:rFonts w:ascii="Times New Roman" w:hAnsi="Times New Roman" w:cs="Times New Roman"/>
          <w:szCs w:val="24"/>
        </w:rPr>
        <w:t>,</w:t>
      </w:r>
      <w:r w:rsidR="009D4479" w:rsidRPr="00EE7FF7">
        <w:rPr>
          <w:rFonts w:ascii="Times New Roman" w:hAnsi="Times New Roman" w:cs="Times New Roman"/>
          <w:szCs w:val="24"/>
        </w:rPr>
        <w:t xml:space="preserve"> a mianowicie obowiązku uwzględnienia interesu grupy spółek zarówno przez spółkę dominującą, jak i spółkę zależną, obok własnego interesu każdej z tych spółek, którego konieczność ochrony wynika z istoty prawa spółek. Nie można więc twierdzić, że ujęty w formie klau</w:t>
      </w:r>
      <w:r w:rsidRPr="00EE7FF7">
        <w:rPr>
          <w:rFonts w:ascii="Times New Roman" w:hAnsi="Times New Roman" w:cs="Times New Roman"/>
          <w:szCs w:val="24"/>
        </w:rPr>
        <w:t>zuli generalnej przepis art. 21</w:t>
      </w:r>
      <w:r w:rsidR="009D4479" w:rsidRPr="00EE7FF7">
        <w:rPr>
          <w:rFonts w:ascii="Times New Roman" w:hAnsi="Times New Roman" w:cs="Times New Roman"/>
          <w:szCs w:val="24"/>
          <w:vertAlign w:val="superscript"/>
        </w:rPr>
        <w:t>1</w:t>
      </w:r>
      <w:r w:rsidR="009D4479" w:rsidRPr="00EE7FF7">
        <w:rPr>
          <w:rFonts w:ascii="Times New Roman" w:hAnsi="Times New Roman" w:cs="Times New Roman"/>
          <w:szCs w:val="24"/>
        </w:rPr>
        <w:t xml:space="preserve"> § 1 KSH tworzy zasadę nadrzędności interesu grupy spółek nad własnym interesem spółki dominującej oraz nad własnym interesem spółki zależnej </w:t>
      </w:r>
      <w:r w:rsidR="00DF530A" w:rsidRPr="00EE7FF7">
        <w:rPr>
          <w:rFonts w:ascii="Times New Roman" w:hAnsi="Times New Roman" w:cs="Times New Roman"/>
          <w:szCs w:val="24"/>
        </w:rPr>
        <w:t>–</w:t>
      </w:r>
      <w:r w:rsidR="009D4479" w:rsidRPr="00EE7FF7">
        <w:rPr>
          <w:rFonts w:ascii="Times New Roman" w:hAnsi="Times New Roman" w:cs="Times New Roman"/>
          <w:szCs w:val="24"/>
        </w:rPr>
        <w:t xml:space="preserve"> uczestniczących w grupie. Stanowi on raczej dyrektywę, że rolą spółki dominującej bądź zależnej uczestniczącej w grupie jest dążenie do pogodzenia interesu grupy spółek z własnym interesem danej spółki. </w:t>
      </w:r>
      <w:r w:rsidR="0070738B" w:rsidRPr="00EE7FF7">
        <w:rPr>
          <w:rFonts w:ascii="Times New Roman" w:hAnsi="Times New Roman" w:cs="Times New Roman"/>
          <w:bCs/>
          <w:szCs w:val="24"/>
        </w:rPr>
        <w:t>Ponadto dla obu tych spółek wprowadza się też potrzebę uwzględnienia interesu wierzycieli spółki zależnej</w:t>
      </w:r>
      <w:r w:rsidR="00992809">
        <w:rPr>
          <w:rFonts w:ascii="Times New Roman" w:hAnsi="Times New Roman" w:cs="Times New Roman"/>
          <w:bCs/>
          <w:szCs w:val="24"/>
        </w:rPr>
        <w:t>,</w:t>
      </w:r>
      <w:r w:rsidR="0070738B" w:rsidRPr="00EE7FF7">
        <w:rPr>
          <w:rFonts w:ascii="Times New Roman" w:hAnsi="Times New Roman" w:cs="Times New Roman"/>
          <w:bCs/>
          <w:szCs w:val="24"/>
        </w:rPr>
        <w:t xml:space="preserve"> a także interesu wspólników (akcjonariuszy) mniejszościowych spółki zależnej. </w:t>
      </w:r>
      <w:r w:rsidR="0070738B" w:rsidRPr="00EE7FF7">
        <w:rPr>
          <w:rFonts w:ascii="Times New Roman" w:hAnsi="Times New Roman" w:cs="Times New Roman"/>
          <w:bCs/>
          <w:szCs w:val="24"/>
        </w:rPr>
        <w:lastRenderedPageBreak/>
        <w:t xml:space="preserve">Nie jest to jednak nakaz uwzględnienia tego interesu (przy przyjęciu </w:t>
      </w:r>
      <w:r w:rsidR="00A37558" w:rsidRPr="00EE7FF7">
        <w:rPr>
          <w:rFonts w:ascii="Times New Roman" w:hAnsi="Times New Roman" w:cs="Times New Roman"/>
          <w:bCs/>
          <w:szCs w:val="24"/>
        </w:rPr>
        <w:t>na przykład</w:t>
      </w:r>
      <w:r w:rsidR="0070738B" w:rsidRPr="00EE7FF7">
        <w:rPr>
          <w:rFonts w:ascii="Times New Roman" w:hAnsi="Times New Roman" w:cs="Times New Roman"/>
          <w:bCs/>
          <w:szCs w:val="24"/>
        </w:rPr>
        <w:t xml:space="preserve"> ograniczenia do </w:t>
      </w:r>
      <w:r w:rsidR="00A37558" w:rsidRPr="00EE7FF7">
        <w:rPr>
          <w:rFonts w:ascii="Times New Roman" w:hAnsi="Times New Roman" w:cs="Times New Roman"/>
          <w:bCs/>
          <w:szCs w:val="24"/>
        </w:rPr>
        <w:t>tak zwanego</w:t>
      </w:r>
      <w:r w:rsidR="0070738B" w:rsidRPr="00EE7FF7">
        <w:rPr>
          <w:rFonts w:ascii="Times New Roman" w:hAnsi="Times New Roman" w:cs="Times New Roman"/>
          <w:bCs/>
          <w:szCs w:val="24"/>
        </w:rPr>
        <w:t xml:space="preserve"> „uzasadnionego” interesu wspomnianych podmiotów), ale ujęcie negatywne, w świetle którego spółka dominująca czy spółka zależna uczestniczące w grupie kierują się nie tylko interesem własnej spółki, ale </w:t>
      </w:r>
      <w:r w:rsidR="00992809">
        <w:rPr>
          <w:rFonts w:ascii="Times New Roman" w:hAnsi="Times New Roman" w:cs="Times New Roman"/>
          <w:bCs/>
          <w:szCs w:val="24"/>
        </w:rPr>
        <w:t>po</w:t>
      </w:r>
      <w:r w:rsidR="0070738B" w:rsidRPr="00EE7FF7">
        <w:rPr>
          <w:rFonts w:ascii="Times New Roman" w:hAnsi="Times New Roman" w:cs="Times New Roman"/>
          <w:bCs/>
          <w:szCs w:val="24"/>
        </w:rPr>
        <w:t xml:space="preserve">nadto interesem grupy spółek, pod warunkiem że nie </w:t>
      </w:r>
      <w:r w:rsidR="005F18F2" w:rsidRPr="00EE7FF7">
        <w:rPr>
          <w:rFonts w:ascii="Times New Roman" w:hAnsi="Times New Roman" w:cs="Times New Roman"/>
          <w:bCs/>
          <w:szCs w:val="24"/>
        </w:rPr>
        <w:t xml:space="preserve">zmierzają </w:t>
      </w:r>
      <w:r w:rsidR="0070738B" w:rsidRPr="00EE7FF7">
        <w:rPr>
          <w:rFonts w:ascii="Times New Roman" w:hAnsi="Times New Roman" w:cs="Times New Roman"/>
          <w:bCs/>
          <w:szCs w:val="24"/>
        </w:rPr>
        <w:t>one w ten sposób do pokrzywdzenia wierzycieli lub wspólników (akcjonariuszy) mniejszościowych spółki zależnej.</w:t>
      </w:r>
    </w:p>
    <w:p w14:paraId="5C5B13B2" w14:textId="25F2F714"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Ustawa nie definiuje w sposób uniwersalny pojęcia wspólników (akcjonariuszy) mniejszościowych przez odwołanie się do określonego, reprezentowanego przez nich ułamka kapitału zakładowego</w:t>
      </w:r>
      <w:r w:rsidR="00C37455">
        <w:rPr>
          <w:rFonts w:ascii="Times New Roman" w:hAnsi="Times New Roman" w:cs="Times New Roman"/>
          <w:szCs w:val="24"/>
        </w:rPr>
        <w:t>.</w:t>
      </w:r>
    </w:p>
    <w:p w14:paraId="2D0F7EAA" w14:textId="74FD86EA" w:rsidR="009D4479" w:rsidRPr="00EE7FF7" w:rsidRDefault="00C801AD"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Z kolei przepis art. 21</w:t>
      </w:r>
      <w:r w:rsidRPr="00EE7FF7">
        <w:rPr>
          <w:rFonts w:ascii="Times New Roman" w:hAnsi="Times New Roman" w:cs="Times New Roman"/>
          <w:szCs w:val="24"/>
          <w:vertAlign w:val="superscript"/>
        </w:rPr>
        <w:t>1</w:t>
      </w:r>
      <w:r w:rsidR="009D4479" w:rsidRPr="00EE7FF7">
        <w:rPr>
          <w:rFonts w:ascii="Times New Roman" w:hAnsi="Times New Roman" w:cs="Times New Roman"/>
          <w:szCs w:val="24"/>
        </w:rPr>
        <w:t xml:space="preserve"> </w:t>
      </w:r>
      <w:r w:rsidR="009D4479" w:rsidRPr="00EE7FF7">
        <w:rPr>
          <w:rFonts w:ascii="Times New Roman" w:hAnsi="Times New Roman" w:cs="Times New Roman"/>
          <w:bCs/>
          <w:szCs w:val="24"/>
        </w:rPr>
        <w:t>§ 3</w:t>
      </w:r>
      <w:r w:rsidR="009D4479" w:rsidRPr="00EE7FF7">
        <w:rPr>
          <w:rFonts w:ascii="Times New Roman" w:hAnsi="Times New Roman" w:cs="Times New Roman"/>
          <w:b/>
          <w:bCs/>
          <w:szCs w:val="24"/>
        </w:rPr>
        <w:t xml:space="preserve"> </w:t>
      </w:r>
      <w:r w:rsidR="00245F5C" w:rsidRPr="00EE7FF7">
        <w:rPr>
          <w:rFonts w:ascii="Times New Roman" w:hAnsi="Times New Roman" w:cs="Times New Roman"/>
          <w:szCs w:val="24"/>
        </w:rPr>
        <w:t>projektowanego</w:t>
      </w:r>
      <w:r w:rsidR="009D4479" w:rsidRPr="00EE7FF7">
        <w:rPr>
          <w:rFonts w:ascii="Times New Roman" w:hAnsi="Times New Roman" w:cs="Times New Roman"/>
          <w:szCs w:val="24"/>
        </w:rPr>
        <w:t xml:space="preserve"> KSH ma również charakter przepisu ogólnego, regulującego zasady funkcjonowania grup spółek, którego nie można sprowadzić do roli tylko przepisu </w:t>
      </w:r>
      <w:r w:rsidR="00C37455">
        <w:rPr>
          <w:rFonts w:ascii="Times New Roman" w:hAnsi="Times New Roman" w:cs="Times New Roman"/>
          <w:szCs w:val="24"/>
        </w:rPr>
        <w:t>„</w:t>
      </w:r>
      <w:r w:rsidR="009D4479" w:rsidRPr="00EE7FF7">
        <w:rPr>
          <w:rFonts w:ascii="Times New Roman" w:hAnsi="Times New Roman" w:cs="Times New Roman"/>
          <w:szCs w:val="24"/>
        </w:rPr>
        <w:t>techniczno-prawnego</w:t>
      </w:r>
      <w:r w:rsidR="00C37455">
        <w:rPr>
          <w:rFonts w:ascii="Times New Roman" w:hAnsi="Times New Roman" w:cs="Times New Roman"/>
          <w:szCs w:val="24"/>
        </w:rPr>
        <w:t>”</w:t>
      </w:r>
      <w:r w:rsidR="009D4479" w:rsidRPr="00EE7FF7">
        <w:rPr>
          <w:rFonts w:ascii="Times New Roman" w:hAnsi="Times New Roman" w:cs="Times New Roman"/>
          <w:szCs w:val="24"/>
        </w:rPr>
        <w:t>. Przepis ten wprowadza obowiązek rejestracji uczestnictwa w grupie, co eliminuje potrzebę tworzenia struktury organizacyjnej grupy spółek. Następuje w ten sposób ujawnienie okoliczności wobec osób trzecich, że spółki dominująca oraz spółki zależne kierują się w swym funkcjonowaniu także interesem grupy spółek</w:t>
      </w:r>
      <w:r w:rsidR="007F077F" w:rsidRPr="00EE7FF7">
        <w:rPr>
          <w:rFonts w:ascii="Times New Roman" w:hAnsi="Times New Roman" w:cs="Times New Roman"/>
          <w:szCs w:val="24"/>
        </w:rPr>
        <w:t xml:space="preserve"> </w:t>
      </w:r>
      <w:r w:rsidR="00A90C28" w:rsidRPr="00EE7FF7">
        <w:rPr>
          <w:rFonts w:ascii="Times New Roman" w:hAnsi="Times New Roman" w:cs="Times New Roman"/>
          <w:bCs/>
          <w:szCs w:val="24"/>
        </w:rPr>
        <w:t>w zakresie</w:t>
      </w:r>
      <w:r w:rsidR="00C37455">
        <w:rPr>
          <w:rFonts w:ascii="Times New Roman" w:hAnsi="Times New Roman" w:cs="Times New Roman"/>
          <w:bCs/>
          <w:szCs w:val="24"/>
        </w:rPr>
        <w:t>,</w:t>
      </w:r>
      <w:r w:rsidR="00A90C28" w:rsidRPr="00EE7FF7">
        <w:rPr>
          <w:rFonts w:ascii="Times New Roman" w:hAnsi="Times New Roman" w:cs="Times New Roman"/>
          <w:bCs/>
          <w:szCs w:val="24"/>
        </w:rPr>
        <w:t xml:space="preserve"> w jakim nie zmierza to do</w:t>
      </w:r>
      <w:r w:rsidR="007F077F" w:rsidRPr="00EE7FF7">
        <w:rPr>
          <w:rFonts w:ascii="Times New Roman" w:hAnsi="Times New Roman" w:cs="Times New Roman"/>
          <w:bCs/>
          <w:szCs w:val="24"/>
        </w:rPr>
        <w:t xml:space="preserve"> pokrzywdzenia wierzycieli spółki zależnej oraz wspólników (akcjonariuszy) mniejszościowych tej ostatniej spółki.</w:t>
      </w:r>
    </w:p>
    <w:p w14:paraId="467B01EB" w14:textId="7A6C5BD2"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Chcąc uniknąć nieuprawnionych wpisów do rejestru, na okoliczność czy dana spółka zależna należy d</w:t>
      </w:r>
      <w:r w:rsidR="005D4B77" w:rsidRPr="00EE7FF7">
        <w:rPr>
          <w:rFonts w:ascii="Times New Roman" w:hAnsi="Times New Roman" w:cs="Times New Roman"/>
          <w:bCs/>
          <w:szCs w:val="24"/>
        </w:rPr>
        <w:t>o grupy spółek, przepis art. 21</w:t>
      </w:r>
      <w:r w:rsidR="005D4B77" w:rsidRPr="00EE7FF7">
        <w:rPr>
          <w:rFonts w:ascii="Times New Roman" w:hAnsi="Times New Roman" w:cs="Times New Roman"/>
          <w:bCs/>
          <w:szCs w:val="24"/>
          <w:vertAlign w:val="superscript"/>
        </w:rPr>
        <w:t>1</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wprowadza przesłankę dokonania tego wpisu w postaci konieczności podjęcia przez zgromadzenie wspólników albo walne zgromadzenie spółki zależnej uchwały o jej uczestnictwie w grupie spółek, ze wskazaniem przez nią spółki dominującej. Tym samym taki wpis do rejestru będzie miał charakter deklaratoryjny</w:t>
      </w:r>
      <w:r w:rsidR="00684CA2" w:rsidRPr="00EE7FF7">
        <w:rPr>
          <w:rFonts w:ascii="Times New Roman" w:hAnsi="Times New Roman" w:cs="Times New Roman"/>
          <w:bCs/>
          <w:szCs w:val="24"/>
        </w:rPr>
        <w:t>,</w:t>
      </w:r>
      <w:r w:rsidRPr="00EE7FF7">
        <w:rPr>
          <w:rFonts w:ascii="Times New Roman" w:hAnsi="Times New Roman" w:cs="Times New Roman"/>
          <w:bCs/>
          <w:szCs w:val="24"/>
        </w:rPr>
        <w:t xml:space="preserve"> a nie konstytutywny. Ponadto taka uchwała wymaga kwalifikowanej większości głosów</w:t>
      </w:r>
      <w:r w:rsidR="00131B80">
        <w:rPr>
          <w:rFonts w:ascii="Times New Roman" w:hAnsi="Times New Roman" w:cs="Times New Roman"/>
          <w:bCs/>
          <w:szCs w:val="24"/>
        </w:rPr>
        <w:t>,</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to jest</w:t>
      </w:r>
      <w:r w:rsidRPr="00EE7FF7">
        <w:rPr>
          <w:rFonts w:ascii="Times New Roman" w:hAnsi="Times New Roman" w:cs="Times New Roman"/>
          <w:bCs/>
          <w:szCs w:val="24"/>
        </w:rPr>
        <w:t xml:space="preserve"> trzech czwartych głosów</w:t>
      </w:r>
      <w:r w:rsidR="00A90C28" w:rsidRPr="00EE7FF7">
        <w:rPr>
          <w:rFonts w:ascii="Times New Roman" w:hAnsi="Times New Roman" w:cs="Times New Roman"/>
          <w:bCs/>
          <w:szCs w:val="24"/>
        </w:rPr>
        <w:t>, co odzwierciedla fundamentalne znaczenie zmian</w:t>
      </w:r>
      <w:r w:rsidR="00131B80">
        <w:rPr>
          <w:rFonts w:ascii="Times New Roman" w:hAnsi="Times New Roman" w:cs="Times New Roman"/>
          <w:bCs/>
          <w:szCs w:val="24"/>
        </w:rPr>
        <w:t>,</w:t>
      </w:r>
      <w:r w:rsidR="00A90C28" w:rsidRPr="00EE7FF7">
        <w:rPr>
          <w:rFonts w:ascii="Times New Roman" w:hAnsi="Times New Roman" w:cs="Times New Roman"/>
          <w:bCs/>
          <w:szCs w:val="24"/>
        </w:rPr>
        <w:t xml:space="preserve"> jakie zachodzą w spółce w skutej jej przystąpienia do grupy spółek.</w:t>
      </w:r>
    </w:p>
    <w:p w14:paraId="78057D1E" w14:textId="1E01F878"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Sankcją za niewykonanie wspomnianego obowiązku rejestrowego jest niemożliwość skorzystania przez spółkę dominującą bądź spó</w:t>
      </w:r>
      <w:r w:rsidR="009E3740" w:rsidRPr="00EE7FF7">
        <w:rPr>
          <w:rFonts w:ascii="Times New Roman" w:hAnsi="Times New Roman" w:cs="Times New Roman"/>
          <w:szCs w:val="24"/>
        </w:rPr>
        <w:t xml:space="preserve">łkę zależną z przepisów </w:t>
      </w:r>
      <w:r w:rsidR="00D96565" w:rsidRPr="00EE7FF7">
        <w:rPr>
          <w:rFonts w:ascii="Times New Roman" w:hAnsi="Times New Roman" w:cs="Times New Roman"/>
          <w:szCs w:val="24"/>
        </w:rPr>
        <w:t>art. 21</w:t>
      </w:r>
      <w:r w:rsidR="00D96565" w:rsidRPr="00EE7FF7">
        <w:rPr>
          <w:rFonts w:ascii="Times New Roman" w:hAnsi="Times New Roman" w:cs="Times New Roman"/>
          <w:szCs w:val="24"/>
          <w:vertAlign w:val="superscript"/>
        </w:rPr>
        <w:t>2</w:t>
      </w:r>
      <w:r w:rsidR="00D96565" w:rsidRPr="00EE7FF7">
        <w:rPr>
          <w:rFonts w:ascii="Times New Roman" w:hAnsi="Times New Roman" w:cs="Times New Roman"/>
          <w:szCs w:val="24"/>
        </w:rPr>
        <w:t>–21</w:t>
      </w:r>
      <w:r w:rsidR="00D96565" w:rsidRPr="00EE7FF7">
        <w:rPr>
          <w:rFonts w:ascii="Times New Roman" w:hAnsi="Times New Roman" w:cs="Times New Roman"/>
          <w:szCs w:val="24"/>
          <w:vertAlign w:val="superscript"/>
        </w:rPr>
        <w:t>4</w:t>
      </w:r>
      <w:r w:rsidR="00D96565" w:rsidRPr="00EE7FF7">
        <w:rPr>
          <w:rFonts w:ascii="Times New Roman" w:hAnsi="Times New Roman" w:cs="Times New Roman"/>
          <w:szCs w:val="24"/>
        </w:rPr>
        <w:t>, art. 21</w:t>
      </w:r>
      <w:r w:rsidR="00D96565" w:rsidRPr="00EE7FF7">
        <w:rPr>
          <w:rFonts w:ascii="Times New Roman" w:hAnsi="Times New Roman" w:cs="Times New Roman"/>
          <w:szCs w:val="24"/>
          <w:vertAlign w:val="superscript"/>
        </w:rPr>
        <w:t>6</w:t>
      </w:r>
      <w:r w:rsidR="00D96565" w:rsidRPr="00EE7FF7">
        <w:rPr>
          <w:rFonts w:ascii="Times New Roman" w:hAnsi="Times New Roman" w:cs="Times New Roman"/>
          <w:szCs w:val="24"/>
        </w:rPr>
        <w:t>, art. 21</w:t>
      </w:r>
      <w:r w:rsidR="00D96565" w:rsidRPr="00EE7FF7">
        <w:rPr>
          <w:rFonts w:ascii="Times New Roman" w:hAnsi="Times New Roman" w:cs="Times New Roman"/>
          <w:szCs w:val="24"/>
          <w:vertAlign w:val="superscript"/>
        </w:rPr>
        <w:t>7</w:t>
      </w:r>
      <w:r w:rsidR="00D96565" w:rsidRPr="00EE7FF7">
        <w:rPr>
          <w:rFonts w:ascii="Times New Roman" w:hAnsi="Times New Roman" w:cs="Times New Roman"/>
          <w:szCs w:val="24"/>
        </w:rPr>
        <w:t>, art. 21</w:t>
      </w:r>
      <w:r w:rsidR="00D96565" w:rsidRPr="00EE7FF7">
        <w:rPr>
          <w:rFonts w:ascii="Times New Roman" w:hAnsi="Times New Roman" w:cs="Times New Roman"/>
          <w:szCs w:val="24"/>
          <w:vertAlign w:val="superscript"/>
        </w:rPr>
        <w:t>10</w:t>
      </w:r>
      <w:r w:rsidR="00D96565" w:rsidRPr="00EE7FF7">
        <w:rPr>
          <w:rFonts w:ascii="Times New Roman" w:hAnsi="Times New Roman" w:cs="Times New Roman"/>
          <w:szCs w:val="24"/>
        </w:rPr>
        <w:t xml:space="preserve"> i art. 21</w:t>
      </w:r>
      <w:r w:rsidR="00D96565" w:rsidRPr="00EE7FF7">
        <w:rPr>
          <w:rFonts w:ascii="Times New Roman" w:hAnsi="Times New Roman" w:cs="Times New Roman"/>
          <w:szCs w:val="24"/>
          <w:vertAlign w:val="superscript"/>
        </w:rPr>
        <w:t>11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których stosowanie leży w interesie zarówno jednej, jak i drugiej spółki</w:t>
      </w:r>
      <w:r w:rsidR="00FA50DD">
        <w:rPr>
          <w:rFonts w:ascii="Times New Roman" w:hAnsi="Times New Roman" w:cs="Times New Roman"/>
          <w:szCs w:val="24"/>
        </w:rPr>
        <w:t>,</w:t>
      </w:r>
      <w:r w:rsidRPr="00EE7FF7">
        <w:rPr>
          <w:rFonts w:ascii="Times New Roman" w:hAnsi="Times New Roman" w:cs="Times New Roman"/>
          <w:szCs w:val="24"/>
        </w:rPr>
        <w:t xml:space="preserve"> a zwłaszcza w interesie członków organów tych spółek. Wynika to </w:t>
      </w:r>
      <w:r w:rsidRPr="00EE7FF7">
        <w:rPr>
          <w:rFonts w:ascii="Times New Roman" w:hAnsi="Times New Roman" w:cs="Times New Roman"/>
          <w:i/>
          <w:iCs/>
          <w:szCs w:val="24"/>
        </w:rPr>
        <w:t>expressis verbis</w:t>
      </w:r>
      <w:r w:rsidR="009E3740" w:rsidRPr="00EE7FF7">
        <w:rPr>
          <w:rFonts w:ascii="Times New Roman" w:hAnsi="Times New Roman" w:cs="Times New Roman"/>
          <w:szCs w:val="24"/>
        </w:rPr>
        <w:t xml:space="preserve"> z art. 21</w:t>
      </w:r>
      <w:r w:rsidR="009E3740"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Pr="00EE7FF7">
        <w:rPr>
          <w:rFonts w:ascii="Times New Roman" w:hAnsi="Times New Roman" w:cs="Times New Roman"/>
          <w:bCs/>
          <w:szCs w:val="24"/>
        </w:rPr>
        <w:t>§ 3</w:t>
      </w:r>
      <w:r w:rsidRPr="00EE7FF7">
        <w:rPr>
          <w:rFonts w:ascii="Times New Roman" w:hAnsi="Times New Roman" w:cs="Times New Roman"/>
          <w:szCs w:val="24"/>
        </w:rPr>
        <w:t xml:space="preserve"> </w:t>
      </w:r>
      <w:r w:rsidR="001C6010" w:rsidRPr="00EE7FF7">
        <w:rPr>
          <w:rFonts w:ascii="Times New Roman" w:hAnsi="Times New Roman" w:cs="Times New Roman"/>
          <w:szCs w:val="24"/>
        </w:rPr>
        <w:t>zdanie</w:t>
      </w:r>
      <w:r w:rsidRPr="00EE7FF7">
        <w:rPr>
          <w:rFonts w:ascii="Times New Roman" w:hAnsi="Times New Roman" w:cs="Times New Roman"/>
          <w:szCs w:val="24"/>
        </w:rPr>
        <w:t xml:space="preserve">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t>
      </w:r>
      <w:r w:rsidRPr="00EE7FF7">
        <w:rPr>
          <w:rFonts w:ascii="Times New Roman" w:hAnsi="Times New Roman" w:cs="Times New Roman"/>
          <w:szCs w:val="24"/>
        </w:rPr>
        <w:lastRenderedPageBreak/>
        <w:t>wprowadzającego sankcje bezskuteczności względnej w stosunku do spółki, która nie wykonała o</w:t>
      </w:r>
      <w:r w:rsidR="009E3740" w:rsidRPr="00EE7FF7">
        <w:rPr>
          <w:rFonts w:ascii="Times New Roman" w:hAnsi="Times New Roman" w:cs="Times New Roman"/>
          <w:szCs w:val="24"/>
        </w:rPr>
        <w:t>bowiązku rejestrowego z art. 21</w:t>
      </w:r>
      <w:r w:rsidR="009E3740"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Pr="00EE7FF7">
        <w:rPr>
          <w:rFonts w:ascii="Times New Roman" w:hAnsi="Times New Roman" w:cs="Times New Roman"/>
          <w:bCs/>
          <w:szCs w:val="24"/>
        </w:rPr>
        <w:t>§ 3</w:t>
      </w:r>
      <w:r w:rsidRPr="00EE7FF7">
        <w:rPr>
          <w:rFonts w:ascii="Times New Roman" w:hAnsi="Times New Roman" w:cs="Times New Roman"/>
          <w:szCs w:val="24"/>
        </w:rPr>
        <w:t xml:space="preserve"> </w:t>
      </w:r>
      <w:r w:rsidR="001C6010" w:rsidRPr="00EE7FF7">
        <w:rPr>
          <w:rFonts w:ascii="Times New Roman" w:hAnsi="Times New Roman" w:cs="Times New Roman"/>
          <w:szCs w:val="24"/>
        </w:rPr>
        <w:t>zdanie</w:t>
      </w:r>
      <w:r w:rsidRPr="00EE7FF7">
        <w:rPr>
          <w:rFonts w:ascii="Times New Roman" w:hAnsi="Times New Roman" w:cs="Times New Roman"/>
          <w:szCs w:val="24"/>
        </w:rPr>
        <w:t xml:space="preserve">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Wspomniana sankcja nie może natomiast dotyczyć wierzycieli spółki zależnej </w:t>
      </w:r>
      <w:r w:rsidR="00BC7921" w:rsidRPr="00EE7FF7">
        <w:rPr>
          <w:rFonts w:ascii="Times New Roman" w:hAnsi="Times New Roman" w:cs="Times New Roman"/>
          <w:szCs w:val="24"/>
        </w:rPr>
        <w:t>uczestniczącej w grupie</w:t>
      </w:r>
      <w:r w:rsidR="009E3740" w:rsidRPr="00EE7FF7">
        <w:rPr>
          <w:rFonts w:ascii="Times New Roman" w:hAnsi="Times New Roman" w:cs="Times New Roman"/>
          <w:szCs w:val="24"/>
        </w:rPr>
        <w:t xml:space="preserve"> spółek (art. 21</w:t>
      </w:r>
      <w:r w:rsidR="009E3740" w:rsidRPr="00EE7FF7">
        <w:rPr>
          <w:rFonts w:ascii="Times New Roman" w:hAnsi="Times New Roman" w:cs="Times New Roman"/>
          <w:szCs w:val="24"/>
          <w:vertAlign w:val="superscript"/>
        </w:rPr>
        <w:t>14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czy wspólników (akcjonariuszy) mniejszościowych spółki zależnej (art. </w:t>
      </w:r>
      <w:r w:rsidR="007529CD" w:rsidRPr="00EE7FF7">
        <w:rPr>
          <w:rFonts w:ascii="Times New Roman" w:hAnsi="Times New Roman" w:cs="Times New Roman"/>
          <w:szCs w:val="24"/>
        </w:rPr>
        <w:t>21</w:t>
      </w:r>
      <w:r w:rsidR="007529CD" w:rsidRPr="00EE7FF7">
        <w:rPr>
          <w:rFonts w:ascii="Times New Roman" w:hAnsi="Times New Roman" w:cs="Times New Roman"/>
          <w:szCs w:val="24"/>
          <w:vertAlign w:val="superscript"/>
        </w:rPr>
        <w:t>13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 także wyłączać obowiązki nałożone przez ustawę na spółkę z</w:t>
      </w:r>
      <w:r w:rsidR="007529CD" w:rsidRPr="00EE7FF7">
        <w:rPr>
          <w:rFonts w:ascii="Times New Roman" w:hAnsi="Times New Roman" w:cs="Times New Roman"/>
          <w:szCs w:val="24"/>
        </w:rPr>
        <w:t>ależną (art. 21</w:t>
      </w:r>
      <w:r w:rsidR="007529CD" w:rsidRPr="00EE7FF7">
        <w:rPr>
          <w:rFonts w:ascii="Times New Roman" w:hAnsi="Times New Roman" w:cs="Times New Roman"/>
          <w:szCs w:val="24"/>
          <w:vertAlign w:val="superscript"/>
        </w:rPr>
        <w:t>8</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059DE58F" w14:textId="09F74BF9" w:rsidR="009D4479" w:rsidRPr="00EE7FF7" w:rsidRDefault="007529CD" w:rsidP="00EE7FF7">
      <w:pPr>
        <w:pStyle w:val="ARTartustawynprozporzdzenia"/>
        <w:ind w:firstLine="0"/>
        <w:rPr>
          <w:rFonts w:ascii="Times New Roman" w:hAnsi="Times New Roman" w:cs="Times New Roman"/>
          <w:b/>
          <w:bCs/>
          <w:szCs w:val="24"/>
        </w:rPr>
      </w:pPr>
      <w:r w:rsidRPr="00EE7FF7">
        <w:rPr>
          <w:rFonts w:ascii="Times New Roman" w:hAnsi="Times New Roman" w:cs="Times New Roman"/>
          <w:bCs/>
          <w:szCs w:val="24"/>
        </w:rPr>
        <w:t>Przepis art. 21</w:t>
      </w:r>
      <w:r w:rsidR="009D4479" w:rsidRPr="00EE7FF7">
        <w:rPr>
          <w:rFonts w:ascii="Times New Roman" w:hAnsi="Times New Roman" w:cs="Times New Roman"/>
          <w:bCs/>
          <w:szCs w:val="24"/>
          <w:vertAlign w:val="superscript"/>
        </w:rPr>
        <w:t>1</w:t>
      </w:r>
      <w:r w:rsidR="009D4479" w:rsidRPr="00EE7FF7">
        <w:rPr>
          <w:rFonts w:ascii="Times New Roman" w:hAnsi="Times New Roman" w:cs="Times New Roman"/>
          <w:bCs/>
          <w:szCs w:val="24"/>
        </w:rPr>
        <w:t xml:space="preserve"> § 3 </w:t>
      </w:r>
      <w:r w:rsidR="001C6010" w:rsidRPr="00EE7FF7">
        <w:rPr>
          <w:rFonts w:ascii="Times New Roman" w:hAnsi="Times New Roman" w:cs="Times New Roman"/>
          <w:bCs/>
          <w:szCs w:val="24"/>
        </w:rPr>
        <w:t>zdanie</w:t>
      </w:r>
      <w:r w:rsidR="009D4479" w:rsidRPr="00EE7FF7">
        <w:rPr>
          <w:rFonts w:ascii="Times New Roman" w:hAnsi="Times New Roman" w:cs="Times New Roman"/>
          <w:bCs/>
          <w:szCs w:val="24"/>
        </w:rPr>
        <w:t xml:space="preserve"> 4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eliminuje wątpliwość, czy spółka dominująca prawa obcego w grupie spółek zależnych prawa polskiego będzie objęta zakresem prawa grupy spółek, a więc będzie mogła wydawać wiążące polecenia polskim spółkom zależnym</w:t>
      </w:r>
      <w:r w:rsidR="006E6AAD">
        <w:rPr>
          <w:rFonts w:ascii="Times New Roman" w:hAnsi="Times New Roman" w:cs="Times New Roman"/>
          <w:bCs/>
          <w:szCs w:val="24"/>
        </w:rPr>
        <w:t>,</w:t>
      </w:r>
      <w:r w:rsidR="009D4479" w:rsidRPr="00EE7FF7">
        <w:rPr>
          <w:rFonts w:ascii="Times New Roman" w:hAnsi="Times New Roman" w:cs="Times New Roman"/>
          <w:bCs/>
          <w:szCs w:val="24"/>
        </w:rPr>
        <w:t xml:space="preserve"> a także </w:t>
      </w:r>
      <w:r w:rsidR="006E6AAD">
        <w:rPr>
          <w:rFonts w:ascii="Times New Roman" w:hAnsi="Times New Roman" w:cs="Times New Roman"/>
          <w:bCs/>
          <w:szCs w:val="24"/>
        </w:rPr>
        <w:t xml:space="preserve">będzie </w:t>
      </w:r>
      <w:r w:rsidR="009D4479" w:rsidRPr="00EE7FF7">
        <w:rPr>
          <w:rFonts w:ascii="Times New Roman" w:hAnsi="Times New Roman" w:cs="Times New Roman"/>
          <w:bCs/>
          <w:szCs w:val="24"/>
        </w:rPr>
        <w:t>ponosiła odpowiedzialność za skutki ich wydania względem spółki zależnej, jej wspólników mniejszościowych oraz wierzycieli. Mimo że rejestr przedsiębiorców nie przewiduje wpisu dokonywanego przed podmiot prawa obcego, to jednak dokonanie tego wpisu przez spółkę zależną prawa pol</w:t>
      </w:r>
      <w:r w:rsidR="00E94F71" w:rsidRPr="00EE7FF7">
        <w:rPr>
          <w:rFonts w:ascii="Times New Roman" w:hAnsi="Times New Roman" w:cs="Times New Roman"/>
          <w:bCs/>
          <w:szCs w:val="24"/>
        </w:rPr>
        <w:t>skiego, o którym mowa w art. 21</w:t>
      </w:r>
      <w:r w:rsidR="00E94F71" w:rsidRPr="00EE7FF7">
        <w:rPr>
          <w:rFonts w:ascii="Times New Roman" w:hAnsi="Times New Roman" w:cs="Times New Roman"/>
          <w:bCs/>
          <w:szCs w:val="24"/>
          <w:vertAlign w:val="superscript"/>
        </w:rPr>
        <w:t>1</w:t>
      </w:r>
      <w:r w:rsidR="009D4479" w:rsidRPr="00EE7FF7">
        <w:rPr>
          <w:rFonts w:ascii="Times New Roman" w:hAnsi="Times New Roman" w:cs="Times New Roman"/>
          <w:bCs/>
          <w:szCs w:val="24"/>
        </w:rPr>
        <w:t xml:space="preserve"> § 3 </w:t>
      </w:r>
      <w:r w:rsidR="001C6010" w:rsidRPr="00EE7FF7">
        <w:rPr>
          <w:rFonts w:ascii="Times New Roman" w:hAnsi="Times New Roman" w:cs="Times New Roman"/>
          <w:bCs/>
          <w:szCs w:val="24"/>
        </w:rPr>
        <w:t>zdanie</w:t>
      </w:r>
      <w:r w:rsidR="009D4479" w:rsidRPr="00EE7FF7">
        <w:rPr>
          <w:rFonts w:ascii="Times New Roman" w:hAnsi="Times New Roman" w:cs="Times New Roman"/>
          <w:bCs/>
          <w:szCs w:val="24"/>
        </w:rPr>
        <w:t xml:space="preserve"> 1</w:t>
      </w:r>
      <w:r w:rsidR="00DF530A" w:rsidRPr="00EE7FF7">
        <w:rPr>
          <w:rFonts w:ascii="Times New Roman" w:hAnsi="Times New Roman" w:cs="Times New Roman"/>
          <w:bCs/>
          <w:szCs w:val="24"/>
        </w:rPr>
        <w:t>–</w:t>
      </w:r>
      <w:r w:rsidR="009D4479" w:rsidRPr="00EE7FF7">
        <w:rPr>
          <w:rFonts w:ascii="Times New Roman" w:hAnsi="Times New Roman" w:cs="Times New Roman"/>
          <w:bCs/>
          <w:szCs w:val="24"/>
        </w:rPr>
        <w:t xml:space="preserve">3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ze wskazaniem spółki prawa obcego jako spółki dominującej w takiej grupie spółek, spowoduje konieczno</w:t>
      </w:r>
      <w:r w:rsidR="00E94F71" w:rsidRPr="00EE7FF7">
        <w:rPr>
          <w:rFonts w:ascii="Times New Roman" w:hAnsi="Times New Roman" w:cs="Times New Roman"/>
          <w:bCs/>
          <w:szCs w:val="24"/>
        </w:rPr>
        <w:t>ść stosowania przepisów art. 21</w:t>
      </w:r>
      <w:r w:rsidR="00E94F71" w:rsidRPr="00EE7FF7">
        <w:rPr>
          <w:rFonts w:ascii="Times New Roman" w:hAnsi="Times New Roman" w:cs="Times New Roman"/>
          <w:bCs/>
          <w:szCs w:val="24"/>
          <w:vertAlign w:val="superscript"/>
        </w:rPr>
        <w:t>1</w:t>
      </w:r>
      <w:r w:rsidR="00E94F71" w:rsidRPr="00EE7FF7">
        <w:rPr>
          <w:rFonts w:ascii="Times New Roman" w:hAnsi="Times New Roman" w:cs="Times New Roman"/>
          <w:bCs/>
          <w:szCs w:val="24"/>
        </w:rPr>
        <w:t>–21</w:t>
      </w:r>
      <w:r w:rsidR="00E94F71" w:rsidRPr="00EE7FF7">
        <w:rPr>
          <w:rFonts w:ascii="Times New Roman" w:hAnsi="Times New Roman" w:cs="Times New Roman"/>
          <w:bCs/>
          <w:szCs w:val="24"/>
          <w:vertAlign w:val="superscript"/>
        </w:rPr>
        <w:t>16</w:t>
      </w:r>
      <w:r w:rsidR="009D4479"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w odniesieniu do spółki dominującej prawa obcego wykonującej tę funkcję na terytorium Rzecz</w:t>
      </w:r>
      <w:r w:rsidR="006E6AAD">
        <w:rPr>
          <w:rFonts w:ascii="Times New Roman" w:hAnsi="Times New Roman" w:cs="Times New Roman"/>
          <w:bCs/>
          <w:szCs w:val="24"/>
        </w:rPr>
        <w:t>y</w:t>
      </w:r>
      <w:r w:rsidR="009D4479" w:rsidRPr="00EE7FF7">
        <w:rPr>
          <w:rFonts w:ascii="Times New Roman" w:hAnsi="Times New Roman" w:cs="Times New Roman"/>
          <w:bCs/>
          <w:szCs w:val="24"/>
        </w:rPr>
        <w:t>pospolitej Polskiej. Trudno przyjąć założenie, że takie wpisy dokonywane przez spółkę zależną będą się odbywały bez wiedzy i przyzwolenia na to spółki dominującej</w:t>
      </w:r>
      <w:r w:rsidR="009D4479" w:rsidRPr="005B2436">
        <w:rPr>
          <w:rFonts w:ascii="Times New Roman" w:hAnsi="Times New Roman" w:cs="Times New Roman"/>
          <w:bCs/>
          <w:szCs w:val="24"/>
        </w:rPr>
        <w:t>.</w:t>
      </w:r>
    </w:p>
    <w:p w14:paraId="157C4398" w14:textId="02B7BFAA"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Obowiązek rejestrow</w:t>
      </w:r>
      <w:r w:rsidR="00E94F71" w:rsidRPr="00EE7FF7">
        <w:rPr>
          <w:rFonts w:ascii="Times New Roman" w:hAnsi="Times New Roman" w:cs="Times New Roman"/>
          <w:szCs w:val="24"/>
        </w:rPr>
        <w:t>y, o którym jest mowa w art. 21</w:t>
      </w:r>
      <w:r w:rsidR="00E94F71"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Pr="00EE7FF7">
        <w:rPr>
          <w:rFonts w:ascii="Times New Roman" w:hAnsi="Times New Roman" w:cs="Times New Roman"/>
          <w:bCs/>
          <w:szCs w:val="24"/>
        </w:rPr>
        <w:t>§ 3</w:t>
      </w:r>
      <w:r w:rsidRPr="00EE7FF7">
        <w:rPr>
          <w:rFonts w:ascii="Times New Roman" w:hAnsi="Times New Roman" w:cs="Times New Roman"/>
          <w:szCs w:val="24"/>
        </w:rPr>
        <w:t xml:space="preserve"> KSH, jest wykonywany w najbardziej liberalnej formie</w:t>
      </w:r>
      <w:r w:rsidR="002F2FE6">
        <w:rPr>
          <w:rFonts w:ascii="Times New Roman" w:hAnsi="Times New Roman" w:cs="Times New Roman"/>
          <w:szCs w:val="24"/>
        </w:rPr>
        <w:t>,</w:t>
      </w:r>
      <w:r w:rsidRPr="00EE7FF7">
        <w:rPr>
          <w:rFonts w:ascii="Times New Roman" w:hAnsi="Times New Roman" w:cs="Times New Roman"/>
          <w:szCs w:val="24"/>
        </w:rPr>
        <w:t xml:space="preserve"> a mianowicie ujawnienia wzmianki w rejestrze o uczestnictwie w grupie. Nie wyklucza to jednak możliwości zastosowania przez sąd rejestrowy przepisu art. 23 ustawy o Krajowym Rejestrze Sądowym w postaci przeprowadzenia badania formalnego i materialnego wniosku spółki o dokonanie wpisu tej wzmianki do rejestru przedsiębiorców.</w:t>
      </w:r>
    </w:p>
    <w:p w14:paraId="5B39CAE0" w14:textId="6F2A354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Natomiast ostatni z</w:t>
      </w:r>
      <w:r w:rsidR="00E94F71" w:rsidRPr="00EE7FF7">
        <w:rPr>
          <w:rFonts w:ascii="Times New Roman" w:hAnsi="Times New Roman" w:cs="Times New Roman"/>
          <w:szCs w:val="24"/>
        </w:rPr>
        <w:t xml:space="preserve"> przepisów ogólnych</w:t>
      </w:r>
      <w:r w:rsidR="00170D80">
        <w:rPr>
          <w:rFonts w:ascii="Times New Roman" w:hAnsi="Times New Roman" w:cs="Times New Roman"/>
          <w:szCs w:val="24"/>
        </w:rPr>
        <w:t>,</w:t>
      </w:r>
      <w:r w:rsidR="00E94F71" w:rsidRPr="00EE7FF7">
        <w:rPr>
          <w:rFonts w:ascii="Times New Roman" w:hAnsi="Times New Roman" w:cs="Times New Roman"/>
          <w:szCs w:val="24"/>
        </w:rPr>
        <w:t xml:space="preserve"> </w:t>
      </w:r>
      <w:r w:rsidR="00245F5C" w:rsidRPr="00EE7FF7">
        <w:rPr>
          <w:rFonts w:ascii="Times New Roman" w:hAnsi="Times New Roman" w:cs="Times New Roman"/>
          <w:szCs w:val="24"/>
        </w:rPr>
        <w:t xml:space="preserve">to jest </w:t>
      </w:r>
      <w:r w:rsidR="00E94F71" w:rsidRPr="00EE7FF7">
        <w:rPr>
          <w:rFonts w:ascii="Times New Roman" w:hAnsi="Times New Roman" w:cs="Times New Roman"/>
          <w:szCs w:val="24"/>
        </w:rPr>
        <w:t>art. 21</w:t>
      </w:r>
      <w:r w:rsidR="00E94F71"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Pr="00EE7FF7">
        <w:rPr>
          <w:rFonts w:ascii="Times New Roman" w:hAnsi="Times New Roman" w:cs="Times New Roman"/>
          <w:bCs/>
          <w:szCs w:val="24"/>
        </w:rPr>
        <w:t>§ 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r w:rsidR="00170D80">
        <w:rPr>
          <w:rFonts w:ascii="Times New Roman" w:hAnsi="Times New Roman" w:cs="Times New Roman"/>
          <w:szCs w:val="24"/>
        </w:rPr>
        <w:t>,</w:t>
      </w:r>
      <w:r w:rsidRPr="00EE7FF7">
        <w:rPr>
          <w:rFonts w:ascii="Times New Roman" w:hAnsi="Times New Roman" w:cs="Times New Roman"/>
          <w:szCs w:val="24"/>
        </w:rPr>
        <w:t xml:space="preserve"> dopuszcza możliwość powoływania się na interes grupy spółek przez zarządców spółek uczestniczących w grupie w celu wyłączenia ich odpowiedzialności na za</w:t>
      </w:r>
      <w:r w:rsidR="00E94F71" w:rsidRPr="00EE7FF7">
        <w:rPr>
          <w:rFonts w:ascii="Times New Roman" w:hAnsi="Times New Roman" w:cs="Times New Roman"/>
          <w:szCs w:val="24"/>
        </w:rPr>
        <w:t>sadach ogólnych, z mocy art. 21</w:t>
      </w:r>
      <w:r w:rsidR="00E94F71" w:rsidRPr="00EE7FF7">
        <w:rPr>
          <w:rFonts w:ascii="Times New Roman" w:hAnsi="Times New Roman" w:cs="Times New Roman"/>
          <w:szCs w:val="24"/>
          <w:vertAlign w:val="superscript"/>
        </w:rPr>
        <w:t>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tylko po ujawnieniu w rejestrze przedsiębiorców uczestnictwa spółki w grupie. Przepis w sposób wyczerpujący określa osoby uprawnione. Są nimi członkowie zarządu, rady nadzorczej, komisji rewizyjnej, </w:t>
      </w:r>
      <w:r w:rsidRPr="00EE7FF7">
        <w:rPr>
          <w:rFonts w:ascii="Times New Roman" w:hAnsi="Times New Roman" w:cs="Times New Roman"/>
          <w:bCs/>
          <w:szCs w:val="24"/>
        </w:rPr>
        <w:lastRenderedPageBreak/>
        <w:t>prokurenci</w:t>
      </w:r>
      <w:r w:rsidRPr="00EE7FF7">
        <w:rPr>
          <w:rFonts w:ascii="Times New Roman" w:hAnsi="Times New Roman" w:cs="Times New Roman"/>
          <w:szCs w:val="24"/>
        </w:rPr>
        <w:t xml:space="preserve"> oraz likwidatorzy spółki </w:t>
      </w:r>
      <w:r w:rsidR="00BC7921" w:rsidRPr="00EE7FF7">
        <w:rPr>
          <w:rFonts w:ascii="Times New Roman" w:hAnsi="Times New Roman" w:cs="Times New Roman"/>
          <w:szCs w:val="24"/>
        </w:rPr>
        <w:t>uczestniczącej w grupie</w:t>
      </w:r>
      <w:r w:rsidRPr="00EE7FF7">
        <w:rPr>
          <w:rFonts w:ascii="Times New Roman" w:hAnsi="Times New Roman" w:cs="Times New Roman"/>
          <w:szCs w:val="24"/>
        </w:rPr>
        <w:t xml:space="preserve"> spółek.</w:t>
      </w:r>
      <w:r w:rsidR="003517AF" w:rsidRPr="00EE7FF7">
        <w:rPr>
          <w:rFonts w:ascii="Times New Roman" w:hAnsi="Times New Roman" w:cs="Times New Roman"/>
          <w:szCs w:val="24"/>
        </w:rPr>
        <w:t xml:space="preserve"> Wskutek odesłania zawartego w art. 4 § 2</w:t>
      </w:r>
      <w:r w:rsidR="003517AF" w:rsidRPr="00EE7FF7">
        <w:rPr>
          <w:rFonts w:ascii="Times New Roman" w:hAnsi="Times New Roman" w:cs="Times New Roman"/>
          <w:szCs w:val="24"/>
          <w:vertAlign w:val="superscript"/>
        </w:rPr>
        <w:t xml:space="preserve">1 </w:t>
      </w:r>
      <w:r w:rsidR="003517AF" w:rsidRPr="00EE7FF7">
        <w:rPr>
          <w:rFonts w:ascii="Times New Roman" w:hAnsi="Times New Roman" w:cs="Times New Roman"/>
          <w:szCs w:val="24"/>
        </w:rPr>
        <w:t>KSH po wejściu w życie przepisów dotyczących prostej spółki akcyjnej osobami uprawnionymi będą również członkowie rady dyrektorów.</w:t>
      </w:r>
    </w:p>
    <w:p w14:paraId="5328D71B" w14:textId="16C0257A" w:rsidR="009D4479" w:rsidRPr="00EE7FF7" w:rsidRDefault="009D4479" w:rsidP="00EE7FF7">
      <w:pPr>
        <w:pStyle w:val="ARTartustawynprozporzdzenia"/>
        <w:ind w:firstLine="0"/>
        <w:rPr>
          <w:rFonts w:ascii="Times New Roman" w:hAnsi="Times New Roman" w:cs="Times New Roman"/>
          <w:szCs w:val="24"/>
          <w:vertAlign w:val="superscript"/>
        </w:rPr>
      </w:pPr>
      <w:r w:rsidRPr="00EE7FF7">
        <w:rPr>
          <w:rFonts w:ascii="Times New Roman" w:hAnsi="Times New Roman" w:cs="Times New Roman"/>
          <w:szCs w:val="24"/>
        </w:rPr>
        <w:t>4.4. Art. 21</w:t>
      </w:r>
      <w:r w:rsidRPr="00EE7FF7">
        <w:rPr>
          <w:rStyle w:val="IGindeksgrny"/>
          <w:rFonts w:ascii="Times New Roman" w:hAnsi="Times New Roman" w:cs="Times New Roman"/>
          <w:szCs w:val="24"/>
        </w:rPr>
        <w:t>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w:t>
      </w:r>
      <w:r w:rsidR="00E94F71" w:rsidRPr="00EE7FF7">
        <w:rPr>
          <w:rFonts w:ascii="Times New Roman" w:hAnsi="Times New Roman" w:cs="Times New Roman"/>
          <w:szCs w:val="24"/>
        </w:rPr>
        <w:t>przepis art. 21</w:t>
      </w:r>
      <w:r w:rsidRPr="00EE7FF7">
        <w:rPr>
          <w:rFonts w:ascii="Times New Roman" w:hAnsi="Times New Roman" w:cs="Times New Roman"/>
          <w:szCs w:val="24"/>
          <w:vertAlign w:val="superscript"/>
        </w:rPr>
        <w:t>2</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dopuszcza możliwość wydawania wiążących poleceń przez spółkę dominującą względem spółki zależnej uczestniczącej w grupie. Jest on konieczny </w:t>
      </w:r>
      <w:r w:rsidR="001C6010" w:rsidRPr="00EE7FF7">
        <w:rPr>
          <w:rFonts w:ascii="Times New Roman" w:hAnsi="Times New Roman" w:cs="Times New Roman"/>
          <w:szCs w:val="24"/>
        </w:rPr>
        <w:t>między innymi</w:t>
      </w:r>
      <w:r w:rsidR="00E94F71" w:rsidRPr="00EE7FF7">
        <w:rPr>
          <w:rFonts w:ascii="Times New Roman" w:hAnsi="Times New Roman" w:cs="Times New Roman"/>
          <w:szCs w:val="24"/>
        </w:rPr>
        <w:t xml:space="preserve"> ze względu na treść art. 375</w:t>
      </w:r>
      <w:r w:rsidR="00E94F71"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KSH, który w braku przepisu szczególnego wykluczałby zastosowanie wspomnianego instrumentu prawnego umożliwiającego spółce dominującej sprawne zarządzanie grupą spółek w postaci realizacji wspólnej strategii gospodarczej grupy. </w:t>
      </w:r>
      <w:r w:rsidR="00E94F71" w:rsidRPr="00EE7FF7">
        <w:rPr>
          <w:rFonts w:ascii="Times New Roman" w:hAnsi="Times New Roman" w:cs="Times New Roman"/>
          <w:bCs/>
          <w:szCs w:val="24"/>
        </w:rPr>
        <w:t>Przepis art. 21</w:t>
      </w:r>
      <w:r w:rsidR="00E94F71" w:rsidRPr="00EE7FF7">
        <w:rPr>
          <w:rFonts w:ascii="Times New Roman" w:hAnsi="Times New Roman" w:cs="Times New Roman"/>
          <w:bCs/>
          <w:szCs w:val="24"/>
          <w:vertAlign w:val="superscript"/>
        </w:rPr>
        <w:t>2</w:t>
      </w:r>
      <w:r w:rsidRPr="00EE7FF7">
        <w:rPr>
          <w:rFonts w:ascii="Times New Roman" w:hAnsi="Times New Roman" w:cs="Times New Roman"/>
          <w:bCs/>
          <w:szCs w:val="24"/>
        </w:rPr>
        <w:t xml:space="preserve"> § 1 </w:t>
      </w:r>
      <w:r w:rsidRPr="00EE7FF7">
        <w:rPr>
          <w:rFonts w:ascii="Times New Roman" w:hAnsi="Times New Roman" w:cs="Times New Roman"/>
          <w:bCs/>
          <w:i/>
          <w:szCs w:val="24"/>
        </w:rPr>
        <w:t>in fine</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dopuszcza jednak wyłączenie prawa spółki dominującej do dawania wiążących poleceń spółce zależnej </w:t>
      </w:r>
      <w:r w:rsidR="00BC7921" w:rsidRPr="00EE7FF7">
        <w:rPr>
          <w:rFonts w:ascii="Times New Roman" w:hAnsi="Times New Roman" w:cs="Times New Roman"/>
          <w:szCs w:val="24"/>
        </w:rPr>
        <w:t>uczestniczącej w grupie spółek</w:t>
      </w:r>
      <w:r w:rsidRPr="00EE7FF7">
        <w:rPr>
          <w:rFonts w:ascii="Times New Roman" w:hAnsi="Times New Roman" w:cs="Times New Roman"/>
          <w:bCs/>
          <w:szCs w:val="24"/>
        </w:rPr>
        <w:t>, jeżeli taka możliwość będzie wykluczona</w:t>
      </w:r>
      <w:r w:rsidR="00A1719C" w:rsidRPr="00EE7FF7">
        <w:rPr>
          <w:rFonts w:ascii="Times New Roman" w:hAnsi="Times New Roman" w:cs="Times New Roman"/>
          <w:bCs/>
          <w:szCs w:val="24"/>
        </w:rPr>
        <w:t xml:space="preserve"> lub ograniczona</w:t>
      </w:r>
      <w:r w:rsidRPr="00EE7FF7">
        <w:rPr>
          <w:rFonts w:ascii="Times New Roman" w:hAnsi="Times New Roman" w:cs="Times New Roman"/>
          <w:bCs/>
          <w:szCs w:val="24"/>
        </w:rPr>
        <w:t xml:space="preserve"> przez przepisy szczególne (</w:t>
      </w:r>
      <w:r w:rsidR="00A37558" w:rsidRPr="00EE7FF7">
        <w:rPr>
          <w:rFonts w:ascii="Times New Roman" w:hAnsi="Times New Roman" w:cs="Times New Roman"/>
          <w:bCs/>
          <w:szCs w:val="24"/>
        </w:rPr>
        <w:t>na przykład</w:t>
      </w:r>
      <w:r w:rsidRPr="00EE7FF7">
        <w:rPr>
          <w:rFonts w:ascii="Times New Roman" w:hAnsi="Times New Roman" w:cs="Times New Roman"/>
          <w:bCs/>
          <w:szCs w:val="24"/>
        </w:rPr>
        <w:t xml:space="preserve"> art. 9c–</w:t>
      </w:r>
      <w:r w:rsidR="00A1719C" w:rsidRPr="00EE7FF7">
        <w:rPr>
          <w:rFonts w:ascii="Times New Roman" w:hAnsi="Times New Roman" w:cs="Times New Roman"/>
          <w:bCs/>
          <w:szCs w:val="24"/>
        </w:rPr>
        <w:t>9d Prawa Energetycznego w zakresie</w:t>
      </w:r>
      <w:r w:rsidRPr="00EE7FF7">
        <w:rPr>
          <w:rFonts w:ascii="Times New Roman" w:hAnsi="Times New Roman" w:cs="Times New Roman"/>
          <w:bCs/>
          <w:szCs w:val="24"/>
        </w:rPr>
        <w:t xml:space="preserve"> gwarantujący</w:t>
      </w:r>
      <w:r w:rsidR="00A1719C" w:rsidRPr="00EE7FF7">
        <w:rPr>
          <w:rFonts w:ascii="Times New Roman" w:hAnsi="Times New Roman" w:cs="Times New Roman"/>
          <w:bCs/>
          <w:szCs w:val="24"/>
        </w:rPr>
        <w:t>m</w:t>
      </w:r>
      <w:r w:rsidRPr="00EE7FF7">
        <w:rPr>
          <w:rFonts w:ascii="Times New Roman" w:hAnsi="Times New Roman" w:cs="Times New Roman"/>
          <w:bCs/>
          <w:szCs w:val="24"/>
        </w:rPr>
        <w:t xml:space="preserve"> niezależność operatora systemu przesyłowego, dystrybucyjnego, magazynowania paliw gazowych i skraplania gazu ziemnego itd. w relacji do wytwórcy energii).</w:t>
      </w:r>
      <w:r w:rsidRPr="00EE7FF7">
        <w:rPr>
          <w:rFonts w:ascii="Times New Roman" w:hAnsi="Times New Roman" w:cs="Times New Roman"/>
          <w:szCs w:val="24"/>
        </w:rPr>
        <w:t xml:space="preserve"> </w:t>
      </w:r>
      <w:r w:rsidR="00822F68" w:rsidRPr="00EE7FF7">
        <w:rPr>
          <w:rFonts w:ascii="Times New Roman" w:hAnsi="Times New Roman" w:cs="Times New Roman"/>
          <w:szCs w:val="24"/>
        </w:rPr>
        <w:t>Jednocześnie</w:t>
      </w:r>
      <w:r w:rsidR="00A02A8D">
        <w:rPr>
          <w:rFonts w:ascii="Times New Roman" w:hAnsi="Times New Roman" w:cs="Times New Roman"/>
          <w:szCs w:val="24"/>
        </w:rPr>
        <w:t xml:space="preserve">, </w:t>
      </w:r>
      <w:r w:rsidR="00822F68" w:rsidRPr="00EE7FF7">
        <w:rPr>
          <w:rFonts w:ascii="Times New Roman" w:hAnsi="Times New Roman" w:cs="Times New Roman"/>
          <w:szCs w:val="24"/>
        </w:rPr>
        <w:t>mając na uwadze dynamiczny katalog kategorii spółek</w:t>
      </w:r>
      <w:r w:rsidR="00A02A8D">
        <w:rPr>
          <w:rFonts w:ascii="Times New Roman" w:hAnsi="Times New Roman" w:cs="Times New Roman"/>
          <w:szCs w:val="24"/>
        </w:rPr>
        <w:t>,</w:t>
      </w:r>
      <w:r w:rsidR="00822F68" w:rsidRPr="00EE7FF7">
        <w:rPr>
          <w:rFonts w:ascii="Times New Roman" w:hAnsi="Times New Roman" w:cs="Times New Roman"/>
          <w:szCs w:val="24"/>
        </w:rPr>
        <w:t xml:space="preserve"> jakie mogą podlegać szczególnym reżimom prawnym</w:t>
      </w:r>
      <w:r w:rsidR="006D140A" w:rsidRPr="00EE7FF7">
        <w:rPr>
          <w:rFonts w:ascii="Times New Roman" w:hAnsi="Times New Roman" w:cs="Times New Roman"/>
          <w:szCs w:val="24"/>
        </w:rPr>
        <w:t>, a także to</w:t>
      </w:r>
      <w:r w:rsidR="00A02A8D">
        <w:rPr>
          <w:rFonts w:ascii="Times New Roman" w:hAnsi="Times New Roman" w:cs="Times New Roman"/>
          <w:szCs w:val="24"/>
        </w:rPr>
        <w:t>,</w:t>
      </w:r>
      <w:r w:rsidR="006D140A" w:rsidRPr="00EE7FF7">
        <w:rPr>
          <w:rFonts w:ascii="Times New Roman" w:hAnsi="Times New Roman" w:cs="Times New Roman"/>
          <w:szCs w:val="24"/>
        </w:rPr>
        <w:t xml:space="preserve"> że katalog przepisów szczególnych może ulegać wraz z czasem zmianom</w:t>
      </w:r>
      <w:r w:rsidR="00A943B3" w:rsidRPr="00EE7FF7">
        <w:rPr>
          <w:rFonts w:ascii="Times New Roman" w:hAnsi="Times New Roman" w:cs="Times New Roman"/>
          <w:szCs w:val="24"/>
        </w:rPr>
        <w:t>,</w:t>
      </w:r>
      <w:r w:rsidR="00822F68" w:rsidRPr="00EE7FF7">
        <w:rPr>
          <w:rFonts w:ascii="Times New Roman" w:hAnsi="Times New Roman" w:cs="Times New Roman"/>
          <w:szCs w:val="24"/>
        </w:rPr>
        <w:t xml:space="preserve"> ich wyraźne wskazanie nie wydaje się być w tym wypadku wskazane. Zamiast tego norma </w:t>
      </w:r>
      <w:r w:rsidR="00822F68" w:rsidRPr="00EE7FF7">
        <w:rPr>
          <w:rFonts w:ascii="Times New Roman" w:hAnsi="Times New Roman" w:cs="Times New Roman"/>
          <w:bCs/>
          <w:szCs w:val="24"/>
        </w:rPr>
        <w:t>21</w:t>
      </w:r>
      <w:r w:rsidR="00822F68" w:rsidRPr="00EE7FF7">
        <w:rPr>
          <w:rFonts w:ascii="Times New Roman" w:hAnsi="Times New Roman" w:cs="Times New Roman"/>
          <w:bCs/>
          <w:szCs w:val="24"/>
          <w:vertAlign w:val="superscript"/>
        </w:rPr>
        <w:t>2</w:t>
      </w:r>
      <w:r w:rsidR="00822F68" w:rsidRPr="00EE7FF7">
        <w:rPr>
          <w:rFonts w:ascii="Times New Roman" w:hAnsi="Times New Roman" w:cs="Times New Roman"/>
          <w:bCs/>
          <w:szCs w:val="24"/>
        </w:rPr>
        <w:t xml:space="preserve"> § 1 </w:t>
      </w:r>
      <w:r w:rsidR="00822F68" w:rsidRPr="00EE7FF7">
        <w:rPr>
          <w:rFonts w:ascii="Times New Roman" w:hAnsi="Times New Roman" w:cs="Times New Roman"/>
          <w:bCs/>
          <w:i/>
          <w:szCs w:val="24"/>
        </w:rPr>
        <w:t xml:space="preserve">in fine </w:t>
      </w:r>
      <w:r w:rsidR="00822F68" w:rsidRPr="00EE7FF7">
        <w:rPr>
          <w:rFonts w:ascii="Times New Roman" w:hAnsi="Times New Roman" w:cs="Times New Roman"/>
          <w:bCs/>
          <w:szCs w:val="24"/>
        </w:rPr>
        <w:t>oraz 21</w:t>
      </w:r>
      <w:r w:rsidR="00822F68" w:rsidRPr="00EE7FF7">
        <w:rPr>
          <w:rFonts w:ascii="Times New Roman" w:hAnsi="Times New Roman" w:cs="Times New Roman"/>
          <w:bCs/>
          <w:szCs w:val="24"/>
          <w:vertAlign w:val="superscript"/>
        </w:rPr>
        <w:t xml:space="preserve">6 </w:t>
      </w:r>
      <w:r w:rsidR="00822F68" w:rsidRPr="00EE7FF7">
        <w:rPr>
          <w:rFonts w:ascii="Times New Roman" w:hAnsi="Times New Roman" w:cs="Times New Roman"/>
          <w:bCs/>
          <w:szCs w:val="24"/>
        </w:rPr>
        <w:t xml:space="preserve">§ 1 </w:t>
      </w:r>
      <w:r w:rsidR="00822F68" w:rsidRPr="00EE7FF7">
        <w:rPr>
          <w:rFonts w:ascii="Times New Roman" w:hAnsi="Times New Roman" w:cs="Times New Roman"/>
          <w:bCs/>
          <w:i/>
          <w:szCs w:val="24"/>
        </w:rPr>
        <w:t xml:space="preserve">in fine </w:t>
      </w:r>
      <w:r w:rsidR="00822F68" w:rsidRPr="00EE7FF7">
        <w:rPr>
          <w:rFonts w:ascii="Times New Roman" w:hAnsi="Times New Roman" w:cs="Times New Roman"/>
          <w:bCs/>
          <w:szCs w:val="24"/>
        </w:rPr>
        <w:t>stanowią wyraźną dyspozycję ustawodawcy</w:t>
      </w:r>
      <w:r w:rsidR="00A02A8D">
        <w:rPr>
          <w:rFonts w:ascii="Times New Roman" w:hAnsi="Times New Roman" w:cs="Times New Roman"/>
          <w:bCs/>
          <w:szCs w:val="24"/>
        </w:rPr>
        <w:t>,</w:t>
      </w:r>
      <w:r w:rsidR="00822F68" w:rsidRPr="00EE7FF7">
        <w:rPr>
          <w:rFonts w:ascii="Times New Roman" w:hAnsi="Times New Roman" w:cs="Times New Roman"/>
          <w:bCs/>
          <w:szCs w:val="24"/>
        </w:rPr>
        <w:t xml:space="preserve"> aby oceny zakresu dopuszczalnych działań spółki dominującej dokonywać każdorazowo z uwzględnieniem właściwego dla niej szczególnego reżimu prawnego.</w:t>
      </w:r>
      <w:r w:rsidR="006D140A" w:rsidRPr="00EE7FF7">
        <w:rPr>
          <w:rFonts w:ascii="Times New Roman" w:hAnsi="Times New Roman" w:cs="Times New Roman"/>
          <w:bCs/>
          <w:szCs w:val="24"/>
        </w:rPr>
        <w:t xml:space="preserve"> Wskazanie choćby przykładowego katalogu przepisów, które należy uwzględniać</w:t>
      </w:r>
      <w:r w:rsidR="00A02A8D">
        <w:rPr>
          <w:rFonts w:ascii="Times New Roman" w:hAnsi="Times New Roman" w:cs="Times New Roman"/>
          <w:bCs/>
          <w:szCs w:val="24"/>
        </w:rPr>
        <w:t>,</w:t>
      </w:r>
      <w:r w:rsidR="006D140A" w:rsidRPr="00EE7FF7">
        <w:rPr>
          <w:rFonts w:ascii="Times New Roman" w:hAnsi="Times New Roman" w:cs="Times New Roman"/>
          <w:bCs/>
          <w:szCs w:val="24"/>
        </w:rPr>
        <w:t xml:space="preserve"> oznaczałoby dokonanie przez ustawodawcę analizy prawnej norm nie rzadko wynikających z prawa UE, których analizy należy każdorazowo dokonywać </w:t>
      </w:r>
      <w:r w:rsidR="006D140A" w:rsidRPr="00EE7FF7">
        <w:rPr>
          <w:rFonts w:ascii="Times New Roman" w:hAnsi="Times New Roman" w:cs="Times New Roman"/>
          <w:bCs/>
          <w:i/>
          <w:szCs w:val="24"/>
        </w:rPr>
        <w:t>in concreto</w:t>
      </w:r>
      <w:r w:rsidR="006D140A" w:rsidRPr="00EE7FF7">
        <w:rPr>
          <w:rFonts w:ascii="Times New Roman" w:hAnsi="Times New Roman" w:cs="Times New Roman"/>
          <w:bCs/>
          <w:szCs w:val="24"/>
        </w:rPr>
        <w:t xml:space="preserve">, a jednocześnie generowałoby ryzyko pojawienia się niezamierzonej wykładni </w:t>
      </w:r>
      <w:r w:rsidR="006D140A" w:rsidRPr="00EE7FF7">
        <w:rPr>
          <w:rFonts w:ascii="Times New Roman" w:hAnsi="Times New Roman" w:cs="Times New Roman"/>
          <w:bCs/>
          <w:i/>
          <w:szCs w:val="24"/>
        </w:rPr>
        <w:t>a contrario</w:t>
      </w:r>
      <w:r w:rsidR="006D140A" w:rsidRPr="00EE7FF7">
        <w:rPr>
          <w:rFonts w:ascii="Times New Roman" w:hAnsi="Times New Roman" w:cs="Times New Roman"/>
          <w:bCs/>
          <w:szCs w:val="24"/>
        </w:rPr>
        <w:t xml:space="preserve">. Co istotne już teraz w normach kodeksowych można znaleźć przykłady tego typu rozwiązań – </w:t>
      </w:r>
      <w:r w:rsidR="00A02A8D">
        <w:rPr>
          <w:rFonts w:ascii="Times New Roman" w:hAnsi="Times New Roman" w:cs="Times New Roman"/>
          <w:bCs/>
          <w:szCs w:val="24"/>
        </w:rPr>
        <w:t>a</w:t>
      </w:r>
      <w:r w:rsidR="006D140A" w:rsidRPr="00EE7FF7">
        <w:rPr>
          <w:rFonts w:ascii="Times New Roman" w:hAnsi="Times New Roman" w:cs="Times New Roman"/>
          <w:bCs/>
          <w:szCs w:val="24"/>
        </w:rPr>
        <w:t>by wskazać choćby art. 37 Ko</w:t>
      </w:r>
      <w:r w:rsidR="00D96565" w:rsidRPr="00EE7FF7">
        <w:rPr>
          <w:rFonts w:ascii="Times New Roman" w:hAnsi="Times New Roman" w:cs="Times New Roman"/>
          <w:bCs/>
          <w:szCs w:val="24"/>
        </w:rPr>
        <w:t>deksu cywilnego.</w:t>
      </w:r>
      <w:r w:rsidR="00DF530A" w:rsidRPr="00EE7FF7">
        <w:rPr>
          <w:rFonts w:ascii="Times New Roman" w:hAnsi="Times New Roman" w:cs="Times New Roman"/>
          <w:bCs/>
          <w:szCs w:val="24"/>
        </w:rPr>
        <w:t xml:space="preserve"> </w:t>
      </w:r>
    </w:p>
    <w:p w14:paraId="60D0F794" w14:textId="646A7C01" w:rsidR="009D4479" w:rsidRPr="00EE7FF7" w:rsidRDefault="00E94F71"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Przepis art. 21</w:t>
      </w:r>
      <w:r w:rsidRPr="00EE7FF7">
        <w:rPr>
          <w:rFonts w:ascii="Times New Roman" w:hAnsi="Times New Roman" w:cs="Times New Roman"/>
          <w:bCs/>
          <w:szCs w:val="24"/>
          <w:vertAlign w:val="superscript"/>
        </w:rPr>
        <w:t>2</w:t>
      </w:r>
      <w:r w:rsidR="009D4479"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określa natomiast minimalną treść wiążącego polecenia. Wynika to stąd, że spółka dominująca wydając wiążące polecenie jest w stanie lepiej ocenić zdarzenia składające się na treść tego polecenia niż to by mogła uczynić spółka zależna podejmująca decyzję o wykonaniu bądź o odmowie wykonania wiążącego polecenia. Do minimalnej treści wiążącego polecenia spółki dominującej określonej w </w:t>
      </w:r>
      <w:r w:rsidR="009D4479" w:rsidRPr="00EE7FF7">
        <w:rPr>
          <w:rFonts w:ascii="Times New Roman" w:hAnsi="Times New Roman" w:cs="Times New Roman"/>
          <w:bCs/>
          <w:szCs w:val="24"/>
        </w:rPr>
        <w:lastRenderedPageBreak/>
        <w:t>powołanym przepisie nawiązywać będzie uchwała zarządu spółki zależnej, w sytuacji, gdy spółka ta uzna za właściwe wykonan</w:t>
      </w:r>
      <w:r w:rsidRPr="00EE7FF7">
        <w:rPr>
          <w:rFonts w:ascii="Times New Roman" w:hAnsi="Times New Roman" w:cs="Times New Roman"/>
          <w:bCs/>
          <w:szCs w:val="24"/>
        </w:rPr>
        <w:t>ie wiążącego polecenia (art. 21</w:t>
      </w:r>
      <w:r w:rsidRPr="00EE7FF7">
        <w:rPr>
          <w:rFonts w:ascii="Times New Roman" w:hAnsi="Times New Roman" w:cs="Times New Roman"/>
          <w:bCs/>
          <w:szCs w:val="24"/>
          <w:vertAlign w:val="superscript"/>
        </w:rPr>
        <w:t>3</w:t>
      </w:r>
      <w:r w:rsidR="009D4479" w:rsidRPr="00EE7FF7">
        <w:rPr>
          <w:rFonts w:ascii="Times New Roman" w:hAnsi="Times New Roman" w:cs="Times New Roman"/>
          <w:bCs/>
          <w:szCs w:val="24"/>
        </w:rPr>
        <w:t xml:space="preserve"> § 3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w:t>
      </w:r>
    </w:p>
    <w:p w14:paraId="4BB6E1A0" w14:textId="27410FA3" w:rsidR="009D4479" w:rsidRPr="00EE7FF7" w:rsidRDefault="00E94F71" w:rsidP="00EE7FF7">
      <w:pPr>
        <w:pStyle w:val="ARTartustawynprozporzdzenia"/>
        <w:ind w:firstLine="0"/>
        <w:rPr>
          <w:rFonts w:ascii="Times New Roman" w:hAnsi="Times New Roman" w:cs="Times New Roman"/>
          <w:bCs/>
          <w:szCs w:val="24"/>
        </w:rPr>
      </w:pPr>
      <w:r w:rsidRPr="00170D80">
        <w:rPr>
          <w:rFonts w:ascii="Times New Roman" w:hAnsi="Times New Roman" w:cs="Times New Roman"/>
          <w:szCs w:val="24"/>
        </w:rPr>
        <w:t>Przepis art. 21</w:t>
      </w:r>
      <w:r w:rsidRPr="00170D80">
        <w:rPr>
          <w:rFonts w:ascii="Times New Roman" w:hAnsi="Times New Roman" w:cs="Times New Roman"/>
          <w:szCs w:val="24"/>
          <w:vertAlign w:val="superscript"/>
        </w:rPr>
        <w:t>2</w:t>
      </w:r>
      <w:r w:rsidR="009D4479" w:rsidRPr="00170D80">
        <w:rPr>
          <w:rFonts w:ascii="Times New Roman" w:hAnsi="Times New Roman" w:cs="Times New Roman"/>
          <w:szCs w:val="24"/>
        </w:rPr>
        <w:t xml:space="preserve"> § 2 </w:t>
      </w:r>
      <w:r w:rsidR="00245F5C" w:rsidRPr="00170D80">
        <w:rPr>
          <w:rFonts w:ascii="Times New Roman" w:hAnsi="Times New Roman" w:cs="Times New Roman"/>
          <w:szCs w:val="24"/>
        </w:rPr>
        <w:t>projektowanego</w:t>
      </w:r>
      <w:r w:rsidR="009D4479" w:rsidRPr="00170D80">
        <w:rPr>
          <w:rFonts w:ascii="Times New Roman" w:hAnsi="Times New Roman" w:cs="Times New Roman"/>
          <w:szCs w:val="24"/>
        </w:rPr>
        <w:t xml:space="preserve"> KSH określa z kolei sposób wydania wiążącego polecenia</w:t>
      </w:r>
      <w:r w:rsidR="00A943B3" w:rsidRPr="00170D80">
        <w:rPr>
          <w:rFonts w:ascii="Times New Roman" w:hAnsi="Times New Roman" w:cs="Times New Roman"/>
          <w:szCs w:val="24"/>
        </w:rPr>
        <w:t>,</w:t>
      </w:r>
      <w:r w:rsidR="009D4479" w:rsidRPr="00170D80">
        <w:rPr>
          <w:rFonts w:ascii="Times New Roman" w:hAnsi="Times New Roman" w:cs="Times New Roman"/>
          <w:szCs w:val="24"/>
        </w:rPr>
        <w:t xml:space="preserve"> </w:t>
      </w:r>
      <w:r w:rsidR="00245F5C" w:rsidRPr="00170D80">
        <w:rPr>
          <w:rFonts w:ascii="Times New Roman" w:hAnsi="Times New Roman" w:cs="Times New Roman"/>
          <w:szCs w:val="24"/>
        </w:rPr>
        <w:t>to jest</w:t>
      </w:r>
      <w:r w:rsidR="00317FFB" w:rsidRPr="00170D80">
        <w:rPr>
          <w:rFonts w:ascii="Times New Roman" w:hAnsi="Times New Roman" w:cs="Times New Roman"/>
          <w:szCs w:val="24"/>
        </w:rPr>
        <w:t xml:space="preserve"> </w:t>
      </w:r>
      <w:r w:rsidR="007F077F" w:rsidRPr="00170D80">
        <w:rPr>
          <w:rFonts w:ascii="Times New Roman" w:hAnsi="Times New Roman" w:cs="Times New Roman"/>
          <w:bCs/>
          <w:szCs w:val="24"/>
        </w:rPr>
        <w:t>w formie pisemnej</w:t>
      </w:r>
      <w:r w:rsidR="00F000CF" w:rsidRPr="00170D80">
        <w:rPr>
          <w:rFonts w:ascii="Times New Roman" w:hAnsi="Times New Roman" w:cs="Times New Roman"/>
          <w:bCs/>
          <w:szCs w:val="24"/>
        </w:rPr>
        <w:t xml:space="preserve"> lub elektronicznej</w:t>
      </w:r>
      <w:r w:rsidR="007F077F" w:rsidRPr="00170D80">
        <w:rPr>
          <w:rFonts w:ascii="Times New Roman" w:hAnsi="Times New Roman" w:cs="Times New Roman"/>
          <w:bCs/>
          <w:szCs w:val="24"/>
        </w:rPr>
        <w:t xml:space="preserve"> pod rygorem nieważności</w:t>
      </w:r>
      <w:r w:rsidR="009D4479" w:rsidRPr="00170D80">
        <w:rPr>
          <w:rFonts w:ascii="Times New Roman" w:hAnsi="Times New Roman" w:cs="Times New Roman"/>
          <w:szCs w:val="24"/>
        </w:rPr>
        <w:t xml:space="preserve">. </w:t>
      </w:r>
      <w:r w:rsidR="009D4479" w:rsidRPr="00170D80">
        <w:rPr>
          <w:rFonts w:ascii="Times New Roman" w:hAnsi="Times New Roman" w:cs="Times New Roman"/>
          <w:bCs/>
          <w:szCs w:val="24"/>
        </w:rPr>
        <w:t>Przesądza to, że „formalnie</w:t>
      </w:r>
      <w:r w:rsidR="009D4479" w:rsidRPr="00EE7FF7">
        <w:rPr>
          <w:rFonts w:ascii="Times New Roman" w:hAnsi="Times New Roman" w:cs="Times New Roman"/>
          <w:bCs/>
          <w:szCs w:val="24"/>
        </w:rPr>
        <w:t>” wydane wiążące polecenie spółki dominującej jest czynnością prawną w świetle art. 73 § 1 KC.</w:t>
      </w:r>
      <w:r w:rsidR="00317FFB" w:rsidRPr="00EE7FF7">
        <w:rPr>
          <w:rFonts w:ascii="Times New Roman" w:hAnsi="Times New Roman" w:cs="Times New Roman"/>
          <w:bCs/>
          <w:szCs w:val="24"/>
        </w:rPr>
        <w:t xml:space="preserve"> Polecenie należy przy tym traktować jako czynność prawną dwustronną</w:t>
      </w:r>
      <w:r w:rsidR="005E15A1">
        <w:rPr>
          <w:rFonts w:ascii="Times New Roman" w:hAnsi="Times New Roman" w:cs="Times New Roman"/>
          <w:bCs/>
          <w:szCs w:val="24"/>
        </w:rPr>
        <w:t>,</w:t>
      </w:r>
      <w:r w:rsidR="00317FFB" w:rsidRPr="00EE7FF7">
        <w:rPr>
          <w:rFonts w:ascii="Times New Roman" w:hAnsi="Times New Roman" w:cs="Times New Roman"/>
          <w:bCs/>
          <w:szCs w:val="24"/>
        </w:rPr>
        <w:t xml:space="preserve"> ponieważ do pełnego ukształtowania stosunku prawneg</w:t>
      </w:r>
      <w:r w:rsidR="00CA7CAC" w:rsidRPr="00EE7FF7">
        <w:rPr>
          <w:rFonts w:ascii="Times New Roman" w:hAnsi="Times New Roman" w:cs="Times New Roman"/>
          <w:bCs/>
          <w:szCs w:val="24"/>
        </w:rPr>
        <w:t>o potrzebne jest jego przyjęcie oraz przekazanie informacji o jego przyjęciu spółce dominującej.</w:t>
      </w:r>
    </w:p>
    <w:p w14:paraId="41FA9071" w14:textId="64242587"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Określając minimalną treść oraz formę wiążącego polecenia spółki dominującej</w:t>
      </w:r>
      <w:r w:rsidR="005E15A1">
        <w:rPr>
          <w:rFonts w:ascii="Times New Roman" w:hAnsi="Times New Roman" w:cs="Times New Roman"/>
          <w:bCs/>
          <w:szCs w:val="24"/>
        </w:rPr>
        <w:t>,</w:t>
      </w:r>
      <w:r w:rsidRPr="00EE7FF7">
        <w:rPr>
          <w:rFonts w:ascii="Times New Roman" w:hAnsi="Times New Roman" w:cs="Times New Roman"/>
          <w:bCs/>
          <w:szCs w:val="24"/>
        </w:rPr>
        <w:t xml:space="preserve"> projekt nie wskazuje organu tej spółki oraz sposobu podjęcia decyzji o wydaniu wiążącego polecenia przez tę spółkę (w przeciwieństwie do przyjęcia tego polecenia do wykonania</w:t>
      </w:r>
      <w:r w:rsidR="00E94F71" w:rsidRPr="00EE7FF7">
        <w:rPr>
          <w:rFonts w:ascii="Times New Roman" w:hAnsi="Times New Roman" w:cs="Times New Roman"/>
          <w:bCs/>
          <w:szCs w:val="24"/>
        </w:rPr>
        <w:t xml:space="preserve"> przez spółkę zależną – art. 21</w:t>
      </w:r>
      <w:r w:rsidR="00E94F71" w:rsidRPr="00EE7FF7">
        <w:rPr>
          <w:rFonts w:ascii="Times New Roman" w:hAnsi="Times New Roman" w:cs="Times New Roman"/>
          <w:bCs/>
          <w:szCs w:val="24"/>
          <w:vertAlign w:val="superscript"/>
        </w:rPr>
        <w:t>3</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t>
      </w:r>
      <w:r w:rsidR="00317FFB" w:rsidRPr="00EE7FF7">
        <w:rPr>
          <w:rFonts w:ascii="Times New Roman" w:hAnsi="Times New Roman" w:cs="Times New Roman"/>
          <w:bCs/>
          <w:szCs w:val="24"/>
        </w:rPr>
        <w:t>Wydanie wiążącego polecenia powinno nastąpić w sposób właściwy dla reprezentacji spółki dominującej – a więc przez oświadczenie jej zarządu, prokurenta lub pełnomocnika. W wypadku wydawania wiążącego polecenia nie wystąpią natomiast okoliczności, które pozwalają na to</w:t>
      </w:r>
      <w:r w:rsidR="005E15A1">
        <w:rPr>
          <w:rFonts w:ascii="Times New Roman" w:hAnsi="Times New Roman" w:cs="Times New Roman"/>
          <w:bCs/>
          <w:szCs w:val="24"/>
        </w:rPr>
        <w:t>,</w:t>
      </w:r>
      <w:r w:rsidR="00317FFB" w:rsidRPr="00EE7FF7">
        <w:rPr>
          <w:rFonts w:ascii="Times New Roman" w:hAnsi="Times New Roman" w:cs="Times New Roman"/>
          <w:bCs/>
          <w:szCs w:val="24"/>
        </w:rPr>
        <w:t xml:space="preserve"> </w:t>
      </w:r>
      <w:r w:rsidR="005E15A1">
        <w:rPr>
          <w:rFonts w:ascii="Times New Roman" w:hAnsi="Times New Roman" w:cs="Times New Roman"/>
          <w:bCs/>
          <w:szCs w:val="24"/>
        </w:rPr>
        <w:t>a</w:t>
      </w:r>
      <w:r w:rsidR="00317FFB" w:rsidRPr="00EE7FF7">
        <w:rPr>
          <w:rFonts w:ascii="Times New Roman" w:hAnsi="Times New Roman" w:cs="Times New Roman"/>
          <w:bCs/>
          <w:szCs w:val="24"/>
        </w:rPr>
        <w:t>by spółkę reprezentowała rada nadzorcza spółki dominującej – co przesądza o tym, że organ ten nie będzie mógł wydawać wiążących poleceń.</w:t>
      </w:r>
    </w:p>
    <w:p w14:paraId="4484064F" w14:textId="29828BBF"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4.5. Art. 21</w:t>
      </w:r>
      <w:r w:rsidRPr="00EE7FF7">
        <w:rPr>
          <w:rStyle w:val="IGindeksgrny"/>
          <w:rFonts w:ascii="Times New Roman" w:hAnsi="Times New Roman" w:cs="Times New Roman"/>
          <w:szCs w:val="24"/>
        </w:rPr>
        <w:t>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przepisy powołanego artykułu formalizują sytuację, w której spółka zależna decyduje się na wykonanie wiążącego polecenia. Formalizacja ta ma na celu ochronę zarządców spółki zależnej w powyższym przypadku, gdyż ułatwia im możliwość skorzystania z wyłączenia ich odpowiedzialności cywilnej (art. 21</w:t>
      </w:r>
      <w:r w:rsidRPr="00EE7FF7">
        <w:rPr>
          <w:rStyle w:val="IGindeksgrny"/>
          <w:rFonts w:ascii="Times New Roman" w:hAnsi="Times New Roman" w:cs="Times New Roman"/>
          <w:szCs w:val="24"/>
        </w:rPr>
        <w:t>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r w:rsidR="00317FFB" w:rsidRPr="00EE7FF7">
        <w:rPr>
          <w:rFonts w:ascii="Times New Roman" w:hAnsi="Times New Roman" w:cs="Times New Roman"/>
          <w:szCs w:val="24"/>
        </w:rPr>
        <w:t xml:space="preserve"> W odniesieniu do ewentualnej odpowiedzialności karnej formalizacja umożliwi wykazanie braku bezprawności czynu.</w:t>
      </w:r>
      <w:r w:rsidRPr="00EE7FF7">
        <w:rPr>
          <w:rFonts w:ascii="Times New Roman" w:hAnsi="Times New Roman" w:cs="Times New Roman"/>
          <w:szCs w:val="24"/>
        </w:rPr>
        <w:t xml:space="preserve"> Może być także wykorzystana przy dochodzeniu odszkodowania przez spółkę zależną od spółki dominującej (art. 21</w:t>
      </w:r>
      <w:r w:rsidRPr="00EE7FF7">
        <w:rPr>
          <w:rStyle w:val="IGindeksgrny"/>
          <w:rFonts w:ascii="Times New Roman" w:hAnsi="Times New Roman" w:cs="Times New Roman"/>
          <w:szCs w:val="24"/>
        </w:rPr>
        <w:t>12</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17F2D493" w14:textId="1037E9E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Wspomniana formalizacja sprowadza się do konieczności podjęcia w tej materii uchwały przez zarząd (art. 21</w:t>
      </w:r>
      <w:r w:rsidRPr="00EE7FF7">
        <w:rPr>
          <w:rStyle w:val="IGindeksgrny"/>
          <w:rFonts w:ascii="Times New Roman" w:hAnsi="Times New Roman" w:cs="Times New Roman"/>
          <w:szCs w:val="24"/>
        </w:rPr>
        <w:t>3</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Przepis ten przewiduje od strony kompetencyjnej możliwość określania zarządców tejże spółki zarówno w systemie dualistycznym, jak i monistycznym organów spółki kapitałowej.</w:t>
      </w:r>
    </w:p>
    <w:p w14:paraId="032C611F" w14:textId="64F1A826" w:rsidR="007F077F"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lastRenderedPageBreak/>
        <w:t>Dalsze przepisy tego artykułu regulują kryteria podjęcia wskazanej wyżej uchwały</w:t>
      </w:r>
      <w:r w:rsidR="002C77F0">
        <w:rPr>
          <w:rFonts w:ascii="Times New Roman" w:hAnsi="Times New Roman" w:cs="Times New Roman"/>
          <w:bCs/>
          <w:szCs w:val="24"/>
        </w:rPr>
        <w:t>,</w:t>
      </w:r>
      <w:r w:rsidRPr="00EE7FF7">
        <w:rPr>
          <w:rFonts w:ascii="Times New Roman" w:hAnsi="Times New Roman" w:cs="Times New Roman"/>
          <w:bCs/>
          <w:szCs w:val="24"/>
        </w:rPr>
        <w:t xml:space="preserve"> nawiązując do treści wiążącego polecenia wydanego pr</w:t>
      </w:r>
      <w:r w:rsidR="002320A3" w:rsidRPr="00EE7FF7">
        <w:rPr>
          <w:rFonts w:ascii="Times New Roman" w:hAnsi="Times New Roman" w:cs="Times New Roman"/>
          <w:bCs/>
          <w:szCs w:val="24"/>
        </w:rPr>
        <w:t>zez spółkę dominującą z art. 21</w:t>
      </w:r>
      <w:r w:rsidR="002320A3" w:rsidRPr="00EE7FF7">
        <w:rPr>
          <w:rFonts w:ascii="Times New Roman" w:hAnsi="Times New Roman" w:cs="Times New Roman"/>
          <w:bCs/>
          <w:szCs w:val="24"/>
          <w:vertAlign w:val="superscript"/>
        </w:rPr>
        <w:t>2</w:t>
      </w:r>
      <w:r w:rsidRPr="00EE7FF7">
        <w:rPr>
          <w:rFonts w:ascii="Times New Roman" w:hAnsi="Times New Roman" w:cs="Times New Roman"/>
          <w:bCs/>
          <w:szCs w:val="24"/>
        </w:rPr>
        <w:t xml:space="preserve"> § 3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(art. 21</w:t>
      </w:r>
      <w:r w:rsidRPr="00EE7FF7">
        <w:rPr>
          <w:rStyle w:val="IGindeksgrny"/>
          <w:rFonts w:ascii="Times New Roman" w:hAnsi="Times New Roman" w:cs="Times New Roman"/>
          <w:bCs/>
          <w:szCs w:val="24"/>
        </w:rPr>
        <w:t>3</w:t>
      </w:r>
      <w:r w:rsidRPr="00EE7FF7">
        <w:rPr>
          <w:rFonts w:ascii="Times New Roman" w:hAnsi="Times New Roman" w:cs="Times New Roman"/>
          <w:bCs/>
          <w:szCs w:val="24"/>
        </w:rPr>
        <w:t xml:space="preserve"> § 3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t>
      </w:r>
      <w:r w:rsidR="007F077F" w:rsidRPr="00EE7FF7">
        <w:rPr>
          <w:rFonts w:ascii="Times New Roman" w:hAnsi="Times New Roman" w:cs="Times New Roman"/>
          <w:bCs/>
          <w:szCs w:val="24"/>
        </w:rPr>
        <w:t>a także braku przesłanek uzasadniających odmowę wykonania wiążącego polecenia spółki dominującej z art. 21</w:t>
      </w:r>
      <w:r w:rsidR="007F077F" w:rsidRPr="00EE7FF7">
        <w:rPr>
          <w:rFonts w:ascii="Times New Roman" w:hAnsi="Times New Roman" w:cs="Times New Roman"/>
          <w:bCs/>
          <w:szCs w:val="24"/>
          <w:vertAlign w:val="superscript"/>
        </w:rPr>
        <w:t>4</w:t>
      </w:r>
      <w:r w:rsidR="007F077F" w:rsidRPr="00EE7FF7">
        <w:rPr>
          <w:rFonts w:ascii="Times New Roman" w:hAnsi="Times New Roman" w:cs="Times New Roman"/>
          <w:bCs/>
          <w:szCs w:val="24"/>
        </w:rPr>
        <w:t xml:space="preserve"> § 2 </w:t>
      </w:r>
      <w:r w:rsidR="001C6010" w:rsidRPr="00EE7FF7">
        <w:rPr>
          <w:rFonts w:ascii="Times New Roman" w:hAnsi="Times New Roman" w:cs="Times New Roman"/>
          <w:bCs/>
          <w:szCs w:val="24"/>
        </w:rPr>
        <w:t>zdanie</w:t>
      </w:r>
      <w:r w:rsidR="007F077F" w:rsidRPr="00EE7FF7">
        <w:rPr>
          <w:rFonts w:ascii="Times New Roman" w:hAnsi="Times New Roman" w:cs="Times New Roman"/>
          <w:bCs/>
          <w:szCs w:val="24"/>
        </w:rPr>
        <w:t xml:space="preserve"> 1 </w:t>
      </w:r>
      <w:r w:rsidR="00245F5C" w:rsidRPr="00EE7FF7">
        <w:rPr>
          <w:rFonts w:ascii="Times New Roman" w:hAnsi="Times New Roman" w:cs="Times New Roman"/>
          <w:bCs/>
          <w:szCs w:val="24"/>
        </w:rPr>
        <w:t>projektowanego</w:t>
      </w:r>
      <w:r w:rsidR="007F077F" w:rsidRPr="00EE7FF7">
        <w:rPr>
          <w:rFonts w:ascii="Times New Roman" w:hAnsi="Times New Roman" w:cs="Times New Roman"/>
          <w:bCs/>
          <w:szCs w:val="24"/>
        </w:rPr>
        <w:t xml:space="preserve"> KSH) oraz konieczności uwzględnienia korzyści uzyskanych prze</w:t>
      </w:r>
      <w:r w:rsidR="00120242" w:rsidRPr="00EE7FF7">
        <w:rPr>
          <w:rFonts w:ascii="Times New Roman" w:hAnsi="Times New Roman" w:cs="Times New Roman"/>
          <w:bCs/>
          <w:szCs w:val="24"/>
        </w:rPr>
        <w:t>z</w:t>
      </w:r>
      <w:r w:rsidR="007F077F" w:rsidRPr="00EE7FF7">
        <w:rPr>
          <w:rFonts w:ascii="Times New Roman" w:hAnsi="Times New Roman" w:cs="Times New Roman"/>
          <w:bCs/>
          <w:szCs w:val="24"/>
        </w:rPr>
        <w:t xml:space="preserve"> spółkę zależną w związku z jej uczestnictwem w grupie spółek w okresie dwóch ostatnich lat obrotowych (art. 21</w:t>
      </w:r>
      <w:r w:rsidR="007F077F" w:rsidRPr="00EE7FF7">
        <w:rPr>
          <w:rFonts w:ascii="Times New Roman" w:hAnsi="Times New Roman" w:cs="Times New Roman"/>
          <w:bCs/>
          <w:szCs w:val="24"/>
          <w:vertAlign w:val="superscript"/>
        </w:rPr>
        <w:t>4</w:t>
      </w:r>
      <w:r w:rsidR="00CA7CAC" w:rsidRPr="00EE7FF7">
        <w:rPr>
          <w:rFonts w:ascii="Times New Roman" w:hAnsi="Times New Roman" w:cs="Times New Roman"/>
          <w:bCs/>
          <w:szCs w:val="24"/>
        </w:rPr>
        <w:t xml:space="preserve">) § </w:t>
      </w:r>
      <w:r w:rsidR="007F077F" w:rsidRPr="00EE7FF7">
        <w:rPr>
          <w:rFonts w:ascii="Times New Roman" w:hAnsi="Times New Roman" w:cs="Times New Roman"/>
          <w:bCs/>
          <w:szCs w:val="24"/>
        </w:rPr>
        <w:t xml:space="preserve">2 </w:t>
      </w:r>
      <w:r w:rsidR="001C6010" w:rsidRPr="00EE7FF7">
        <w:rPr>
          <w:rFonts w:ascii="Times New Roman" w:hAnsi="Times New Roman" w:cs="Times New Roman"/>
          <w:bCs/>
          <w:szCs w:val="24"/>
        </w:rPr>
        <w:t>zdanie</w:t>
      </w:r>
      <w:r w:rsidR="007F077F" w:rsidRPr="00EE7FF7">
        <w:rPr>
          <w:rFonts w:ascii="Times New Roman" w:hAnsi="Times New Roman" w:cs="Times New Roman"/>
          <w:bCs/>
          <w:szCs w:val="24"/>
        </w:rPr>
        <w:t xml:space="preserve"> 2 </w:t>
      </w:r>
      <w:r w:rsidR="00245F5C" w:rsidRPr="00EE7FF7">
        <w:rPr>
          <w:rFonts w:ascii="Times New Roman" w:hAnsi="Times New Roman" w:cs="Times New Roman"/>
          <w:bCs/>
          <w:szCs w:val="24"/>
        </w:rPr>
        <w:t>projektowanego</w:t>
      </w:r>
      <w:r w:rsidR="007F077F" w:rsidRPr="00EE7FF7">
        <w:rPr>
          <w:rFonts w:ascii="Times New Roman" w:hAnsi="Times New Roman" w:cs="Times New Roman"/>
          <w:bCs/>
          <w:szCs w:val="24"/>
        </w:rPr>
        <w:t xml:space="preserve"> KSH)</w:t>
      </w:r>
      <w:r w:rsidR="002C77F0">
        <w:rPr>
          <w:rFonts w:ascii="Times New Roman" w:hAnsi="Times New Roman" w:cs="Times New Roman"/>
          <w:bCs/>
          <w:szCs w:val="24"/>
        </w:rPr>
        <w:t>)</w:t>
      </w:r>
      <w:r w:rsidR="007F077F" w:rsidRPr="00EE7FF7">
        <w:rPr>
          <w:rFonts w:ascii="Times New Roman" w:hAnsi="Times New Roman" w:cs="Times New Roman"/>
          <w:bCs/>
          <w:szCs w:val="24"/>
        </w:rPr>
        <w:t>, do których odsyła przepis art. 21</w:t>
      </w:r>
      <w:r w:rsidR="007F077F" w:rsidRPr="00EE7FF7">
        <w:rPr>
          <w:rFonts w:ascii="Times New Roman" w:hAnsi="Times New Roman" w:cs="Times New Roman"/>
          <w:bCs/>
          <w:szCs w:val="24"/>
          <w:vertAlign w:val="superscript"/>
        </w:rPr>
        <w:t>3</w:t>
      </w:r>
      <w:r w:rsidR="007F077F"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007F077F" w:rsidRPr="00EE7FF7">
        <w:rPr>
          <w:rFonts w:ascii="Times New Roman" w:hAnsi="Times New Roman" w:cs="Times New Roman"/>
          <w:bCs/>
          <w:szCs w:val="24"/>
        </w:rPr>
        <w:t xml:space="preserve"> KSH (zob. uwagę ogólną nr 2.16).</w:t>
      </w:r>
    </w:p>
    <w:p w14:paraId="623225C4" w14:textId="59C08CD9"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szCs w:val="24"/>
        </w:rPr>
        <w:t>4.6. Art. 21</w:t>
      </w:r>
      <w:r w:rsidRPr="00EE7FF7">
        <w:rPr>
          <w:rStyle w:val="IGindeksgrny"/>
          <w:rFonts w:ascii="Times New Roman" w:hAnsi="Times New Roman" w:cs="Times New Roman"/>
          <w:szCs w:val="24"/>
        </w:rPr>
        <w:t>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reguluje z kolei kwestię odmowy przez spółkę zależną </w:t>
      </w:r>
      <w:r w:rsidR="00BC7921" w:rsidRPr="00EE7FF7">
        <w:rPr>
          <w:rFonts w:ascii="Times New Roman" w:hAnsi="Times New Roman" w:cs="Times New Roman"/>
          <w:szCs w:val="24"/>
        </w:rPr>
        <w:t xml:space="preserve">uczestniczącą w grupie spółek </w:t>
      </w:r>
      <w:r w:rsidRPr="00EE7FF7">
        <w:rPr>
          <w:rFonts w:ascii="Times New Roman" w:hAnsi="Times New Roman" w:cs="Times New Roman"/>
          <w:szCs w:val="24"/>
        </w:rPr>
        <w:t xml:space="preserve">wykonania wiążącego polecenia spółki dominującej. Jest ona uregulowana jednak w sposób zróżnicowany, w zależności od wystąpienia </w:t>
      </w:r>
      <w:r w:rsidRPr="00EE7FF7">
        <w:rPr>
          <w:rFonts w:ascii="Times New Roman" w:hAnsi="Times New Roman" w:cs="Times New Roman"/>
          <w:bCs/>
          <w:szCs w:val="24"/>
        </w:rPr>
        <w:t>jednej z dwóch</w:t>
      </w:r>
      <w:r w:rsidRPr="00EE7FF7">
        <w:rPr>
          <w:rFonts w:ascii="Times New Roman" w:hAnsi="Times New Roman" w:cs="Times New Roman"/>
          <w:szCs w:val="24"/>
        </w:rPr>
        <w:t xml:space="preserve"> odmiennych możliwych relacji między spółką dominującą a spółką od niej zależną</w:t>
      </w:r>
      <w:r w:rsidRPr="00EE7FF7">
        <w:rPr>
          <w:rFonts w:ascii="Times New Roman" w:hAnsi="Times New Roman" w:cs="Times New Roman"/>
          <w:bCs/>
          <w:szCs w:val="24"/>
        </w:rPr>
        <w:t>.</w:t>
      </w:r>
    </w:p>
    <w:p w14:paraId="38DFB954" w14:textId="4E07FD26"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 xml:space="preserve">W przypadku, gdy mamy do czynienia z </w:t>
      </w:r>
      <w:r w:rsidR="00D75563" w:rsidRPr="00EE7FF7">
        <w:rPr>
          <w:rFonts w:ascii="Times New Roman" w:hAnsi="Times New Roman" w:cs="Times New Roman"/>
          <w:bCs/>
          <w:szCs w:val="24"/>
        </w:rPr>
        <w:t xml:space="preserve">jakąkolwiek </w:t>
      </w:r>
      <w:r w:rsidRPr="00EE7FF7">
        <w:rPr>
          <w:rFonts w:ascii="Times New Roman" w:hAnsi="Times New Roman" w:cs="Times New Roman"/>
          <w:bCs/>
          <w:szCs w:val="24"/>
        </w:rPr>
        <w:t xml:space="preserve">spółką zależną </w:t>
      </w:r>
      <w:r w:rsidR="00BC7921" w:rsidRPr="00EE7FF7">
        <w:rPr>
          <w:rFonts w:ascii="Times New Roman" w:hAnsi="Times New Roman" w:cs="Times New Roman"/>
          <w:szCs w:val="24"/>
        </w:rPr>
        <w:t>uczestniczącą w grupie spółek</w:t>
      </w:r>
      <w:r w:rsidRPr="00EE7FF7">
        <w:rPr>
          <w:rFonts w:ascii="Times New Roman" w:hAnsi="Times New Roman" w:cs="Times New Roman"/>
          <w:bCs/>
          <w:szCs w:val="24"/>
        </w:rPr>
        <w:t>, spółka ta ma</w:t>
      </w:r>
      <w:r w:rsidR="00D75563" w:rsidRPr="00EE7FF7">
        <w:rPr>
          <w:rFonts w:ascii="Times New Roman" w:hAnsi="Times New Roman" w:cs="Times New Roman"/>
          <w:bCs/>
          <w:szCs w:val="24"/>
        </w:rPr>
        <w:t xml:space="preserve"> bezwzględny</w:t>
      </w:r>
      <w:r w:rsidRPr="00EE7FF7">
        <w:rPr>
          <w:rFonts w:ascii="Times New Roman" w:hAnsi="Times New Roman" w:cs="Times New Roman"/>
          <w:bCs/>
          <w:szCs w:val="24"/>
        </w:rPr>
        <w:t xml:space="preserve"> obowiązek odmówić wykonania wiążącego polecenia spółki dominującej, wtedy gdy jego wykonanie doprowadziłoby do niewypłacalności spółki zależnej bądź gro</w:t>
      </w:r>
      <w:r w:rsidR="00C97188" w:rsidRPr="00EE7FF7">
        <w:rPr>
          <w:rFonts w:ascii="Times New Roman" w:hAnsi="Times New Roman" w:cs="Times New Roman"/>
          <w:bCs/>
          <w:szCs w:val="24"/>
        </w:rPr>
        <w:t>ziło niewypłacalnością (art. 21</w:t>
      </w:r>
      <w:r w:rsidR="00C97188"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t>
      </w:r>
      <w:r w:rsidR="00D75563" w:rsidRPr="00EE7FF7">
        <w:rPr>
          <w:rFonts w:ascii="Times New Roman" w:hAnsi="Times New Roman" w:cs="Times New Roman"/>
          <w:bCs/>
          <w:szCs w:val="24"/>
        </w:rPr>
        <w:t>W odniesieniu do spółek innych niż spółki jednoosobowe w ustawie znalazł się również przepis dyspozytywny, zgodnie z którym</w:t>
      </w:r>
      <w:r w:rsidRPr="00EE7FF7">
        <w:rPr>
          <w:rFonts w:ascii="Times New Roman" w:hAnsi="Times New Roman" w:cs="Times New Roman"/>
          <w:bCs/>
          <w:szCs w:val="24"/>
        </w:rPr>
        <w:t xml:space="preserve"> spółka zależna </w:t>
      </w:r>
      <w:r w:rsidR="00BC7921" w:rsidRPr="00EE7FF7">
        <w:rPr>
          <w:rFonts w:ascii="Times New Roman" w:hAnsi="Times New Roman" w:cs="Times New Roman"/>
          <w:szCs w:val="24"/>
        </w:rPr>
        <w:t xml:space="preserve">uczestnicząca w grupie spółek </w:t>
      </w:r>
      <w:r w:rsidRPr="00EE7FF7">
        <w:rPr>
          <w:rFonts w:ascii="Times New Roman" w:hAnsi="Times New Roman" w:cs="Times New Roman"/>
          <w:bCs/>
          <w:szCs w:val="24"/>
        </w:rPr>
        <w:t>odmawia wykonania wiążącego polecenia spółki dominującej, jeżeli powoła się na sprzeczność z jej interesem oraz wskaże na możliwość wyrządzenia jej w następstwie wykonan</w:t>
      </w:r>
      <w:r w:rsidR="00C97188" w:rsidRPr="00EE7FF7">
        <w:rPr>
          <w:rFonts w:ascii="Times New Roman" w:hAnsi="Times New Roman" w:cs="Times New Roman"/>
          <w:bCs/>
          <w:szCs w:val="24"/>
        </w:rPr>
        <w:t>ia wiążącego polecania</w:t>
      </w:r>
      <w:r w:rsidR="009305C6" w:rsidRPr="00EE7FF7">
        <w:rPr>
          <w:rFonts w:ascii="Times New Roman" w:hAnsi="Times New Roman" w:cs="Times New Roman"/>
          <w:bCs/>
          <w:szCs w:val="24"/>
        </w:rPr>
        <w:t xml:space="preserve"> szkody, która nie zostanie naprawiona</w:t>
      </w:r>
      <w:r w:rsidR="00C97188" w:rsidRPr="00EE7FF7">
        <w:rPr>
          <w:rFonts w:ascii="Times New Roman" w:hAnsi="Times New Roman" w:cs="Times New Roman"/>
          <w:bCs/>
          <w:szCs w:val="24"/>
        </w:rPr>
        <w:t xml:space="preserve"> (art. 21</w:t>
      </w:r>
      <w:r w:rsidR="00C97188"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17BC7610" w14:textId="23878BE0" w:rsidR="00D75563" w:rsidRPr="00EE7FF7" w:rsidRDefault="00D75563"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Szanując autonomię wspólników i akcjonariuszy</w:t>
      </w:r>
      <w:r w:rsidR="005F0377">
        <w:rPr>
          <w:rFonts w:ascii="Times New Roman" w:hAnsi="Times New Roman" w:cs="Times New Roman"/>
          <w:bCs/>
          <w:szCs w:val="24"/>
        </w:rPr>
        <w:t>,</w:t>
      </w:r>
      <w:r w:rsidRPr="00EE7FF7">
        <w:rPr>
          <w:rFonts w:ascii="Times New Roman" w:hAnsi="Times New Roman" w:cs="Times New Roman"/>
          <w:bCs/>
          <w:szCs w:val="24"/>
        </w:rPr>
        <w:t xml:space="preserve"> ustawa przewiduje możliwość przewidzenia w umowie spółki lub w statucie dodatkowych przesłanek odmowy wykonania wiążącego polecenia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3). Swoboda ta obejmuje zarówno spółki jednoosobowe</w:t>
      </w:r>
      <w:r w:rsidR="00A943B3" w:rsidRPr="00EE7FF7">
        <w:rPr>
          <w:rFonts w:ascii="Times New Roman" w:hAnsi="Times New Roman" w:cs="Times New Roman"/>
          <w:bCs/>
          <w:szCs w:val="24"/>
        </w:rPr>
        <w:t>,</w:t>
      </w:r>
      <w:r w:rsidRPr="00EE7FF7">
        <w:rPr>
          <w:rFonts w:ascii="Times New Roman" w:hAnsi="Times New Roman" w:cs="Times New Roman"/>
          <w:bCs/>
          <w:szCs w:val="24"/>
        </w:rPr>
        <w:t xml:space="preserve"> jak i podmioty o mieszanej strukturze właścicielskiej. Postanowienie wprowadzone na jej podstawie nie mo</w:t>
      </w:r>
      <w:r w:rsidR="005F0377">
        <w:rPr>
          <w:rFonts w:ascii="Times New Roman" w:hAnsi="Times New Roman" w:cs="Times New Roman"/>
          <w:bCs/>
          <w:szCs w:val="24"/>
        </w:rPr>
        <w:t>że</w:t>
      </w:r>
      <w:r w:rsidRPr="00EE7FF7">
        <w:rPr>
          <w:rFonts w:ascii="Times New Roman" w:hAnsi="Times New Roman" w:cs="Times New Roman"/>
          <w:bCs/>
          <w:szCs w:val="24"/>
        </w:rPr>
        <w:t xml:space="preserve"> jednak prowadzić do ograniczenia ochrony, którą przewiduje imperatywny art.</w:t>
      </w:r>
      <w:r w:rsidR="00DF530A" w:rsidRPr="00EE7FF7">
        <w:rPr>
          <w:rFonts w:ascii="Times New Roman" w:hAnsi="Times New Roman" w:cs="Times New Roman"/>
          <w:bCs/>
          <w:szCs w:val="24"/>
        </w:rPr>
        <w:t xml:space="preserve"> </w:t>
      </w:r>
      <w:r w:rsidRPr="00EE7FF7">
        <w:rPr>
          <w:rFonts w:ascii="Times New Roman" w:hAnsi="Times New Roman" w:cs="Times New Roman"/>
          <w:bCs/>
          <w:szCs w:val="24"/>
        </w:rPr>
        <w:t>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w:t>
      </w:r>
    </w:p>
    <w:p w14:paraId="79D59F48" w14:textId="03D30759"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Odmowa wykonania wiążącego polecenia wymaga uchwały zarządców spółki zależnej, podjętej </w:t>
      </w:r>
      <w:r w:rsidRPr="00EE7FF7">
        <w:rPr>
          <w:rFonts w:ascii="Times New Roman" w:hAnsi="Times New Roman" w:cs="Times New Roman"/>
          <w:bCs/>
          <w:szCs w:val="24"/>
        </w:rPr>
        <w:t>w formie</w:t>
      </w:r>
      <w:r w:rsidRPr="00EE7FF7">
        <w:rPr>
          <w:rFonts w:ascii="Times New Roman" w:hAnsi="Times New Roman" w:cs="Times New Roman"/>
          <w:szCs w:val="24"/>
        </w:rPr>
        <w:t xml:space="preserve"> pisemnej </w:t>
      </w:r>
      <w:r w:rsidR="007F077F" w:rsidRPr="00EE7FF7">
        <w:rPr>
          <w:rFonts w:ascii="Times New Roman" w:hAnsi="Times New Roman" w:cs="Times New Roman"/>
          <w:bCs/>
          <w:szCs w:val="24"/>
        </w:rPr>
        <w:t>pod rygorem nieważności</w:t>
      </w:r>
      <w:r w:rsidR="00A943B3" w:rsidRPr="00EE7FF7">
        <w:rPr>
          <w:rFonts w:ascii="Times New Roman" w:hAnsi="Times New Roman" w:cs="Times New Roman"/>
          <w:bCs/>
          <w:szCs w:val="24"/>
        </w:rPr>
        <w:t>,</w:t>
      </w:r>
      <w:r w:rsidR="007F077F" w:rsidRPr="00EE7FF7" w:rsidDel="007F077F">
        <w:rPr>
          <w:rFonts w:ascii="Times New Roman" w:hAnsi="Times New Roman" w:cs="Times New Roman"/>
          <w:szCs w:val="24"/>
        </w:rPr>
        <w:t xml:space="preserve"> </w:t>
      </w:r>
      <w:r w:rsidRPr="00EE7FF7">
        <w:rPr>
          <w:rFonts w:ascii="Times New Roman" w:hAnsi="Times New Roman" w:cs="Times New Roman"/>
          <w:szCs w:val="24"/>
        </w:rPr>
        <w:t xml:space="preserve">a </w:t>
      </w:r>
      <w:r w:rsidR="005F0377">
        <w:rPr>
          <w:rFonts w:ascii="Times New Roman" w:hAnsi="Times New Roman" w:cs="Times New Roman"/>
          <w:szCs w:val="24"/>
        </w:rPr>
        <w:t>po</w:t>
      </w:r>
      <w:r w:rsidRPr="00EE7FF7">
        <w:rPr>
          <w:rFonts w:ascii="Times New Roman" w:hAnsi="Times New Roman" w:cs="Times New Roman"/>
          <w:szCs w:val="24"/>
        </w:rPr>
        <w:t>nadto wymaga uzasadnienia.</w:t>
      </w:r>
    </w:p>
    <w:p w14:paraId="134C9035" w14:textId="636552A0"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4.7. Art. 21</w:t>
      </w:r>
      <w:r w:rsidRPr="00EE7FF7">
        <w:rPr>
          <w:rStyle w:val="IGindeksgrny"/>
          <w:rFonts w:ascii="Times New Roman" w:hAnsi="Times New Roman" w:cs="Times New Roman"/>
          <w:szCs w:val="24"/>
        </w:rPr>
        <w:t>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przepis wyklucza odpowiedzialność cywilną członków organów menedżerskich spółki zależnej (§ 1) oraz spółki dominującej (§ 2) w sytuacji:</w:t>
      </w:r>
    </w:p>
    <w:p w14:paraId="481AE79D" w14:textId="220DC786" w:rsidR="007F077F" w:rsidRPr="00EE7FF7" w:rsidRDefault="007F077F" w:rsidP="00EE7FF7">
      <w:pPr>
        <w:pStyle w:val="ARTartustawynprozporzdzenia"/>
        <w:spacing w:before="0"/>
        <w:ind w:left="426" w:hanging="426"/>
        <w:rPr>
          <w:rFonts w:ascii="Times New Roman" w:hAnsi="Times New Roman" w:cs="Times New Roman"/>
          <w:bCs/>
          <w:szCs w:val="24"/>
        </w:rPr>
      </w:pPr>
      <w:r w:rsidRPr="00EE7FF7">
        <w:rPr>
          <w:rFonts w:ascii="Times New Roman" w:hAnsi="Times New Roman" w:cs="Times New Roman"/>
          <w:bCs/>
          <w:szCs w:val="24"/>
        </w:rPr>
        <w:t>a)</w:t>
      </w:r>
      <w:r w:rsidR="00F30ED8">
        <w:rPr>
          <w:rFonts w:ascii="Times New Roman" w:hAnsi="Times New Roman" w:cs="Times New Roman"/>
          <w:bCs/>
          <w:szCs w:val="24"/>
        </w:rPr>
        <w:tab/>
      </w:r>
      <w:r w:rsidRPr="00EE7FF7">
        <w:rPr>
          <w:rFonts w:ascii="Times New Roman" w:hAnsi="Times New Roman" w:cs="Times New Roman"/>
          <w:bCs/>
          <w:szCs w:val="24"/>
        </w:rPr>
        <w:t>po pierwsze – wykonania przez spółkę zależną wiążącego polecenia spółki dominującej, kiedy nie zachodzą przesłanki do jego odmowy z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w:t>
      </w:r>
      <w:r w:rsidR="00DF530A" w:rsidRPr="00EE7FF7">
        <w:rPr>
          <w:rFonts w:ascii="Times New Roman" w:hAnsi="Times New Roman" w:cs="Times New Roman"/>
          <w:bCs/>
          <w:szCs w:val="24"/>
        </w:rPr>
        <w:t>–</w:t>
      </w:r>
      <w:r w:rsidRPr="00EE7FF7">
        <w:rPr>
          <w:rFonts w:ascii="Times New Roman" w:hAnsi="Times New Roman" w:cs="Times New Roman"/>
          <w:bCs/>
          <w:szCs w:val="24"/>
        </w:rPr>
        <w:t xml:space="preserve">2 </w:t>
      </w:r>
      <w:r w:rsidR="001C6010" w:rsidRPr="00EE7FF7">
        <w:rPr>
          <w:rFonts w:ascii="Times New Roman" w:hAnsi="Times New Roman" w:cs="Times New Roman"/>
          <w:bCs/>
          <w:szCs w:val="24"/>
        </w:rPr>
        <w:t>w związku</w:t>
      </w:r>
      <w:r w:rsidRPr="00EE7FF7">
        <w:rPr>
          <w:rFonts w:ascii="Times New Roman" w:hAnsi="Times New Roman" w:cs="Times New Roman"/>
          <w:bCs/>
          <w:szCs w:val="24"/>
        </w:rPr>
        <w:t xml:space="preserve"> z art. 21</w:t>
      </w:r>
      <w:r w:rsidRPr="00EE7FF7">
        <w:rPr>
          <w:rFonts w:ascii="Times New Roman" w:hAnsi="Times New Roman" w:cs="Times New Roman"/>
          <w:bCs/>
          <w:szCs w:val="24"/>
          <w:vertAlign w:val="superscript"/>
        </w:rPr>
        <w:t>3</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zaś są spełnione przesłanki formalne (art. 21</w:t>
      </w:r>
      <w:r w:rsidRPr="00EE7FF7">
        <w:rPr>
          <w:rStyle w:val="IGindeksgrny"/>
          <w:rFonts w:ascii="Times New Roman" w:hAnsi="Times New Roman" w:cs="Times New Roman"/>
          <w:bCs/>
          <w:szCs w:val="24"/>
        </w:rPr>
        <w:t xml:space="preserve">3 </w:t>
      </w:r>
      <w:r w:rsidRPr="00EE7FF7">
        <w:rPr>
          <w:rFonts w:ascii="Times New Roman" w:hAnsi="Times New Roman" w:cs="Times New Roman"/>
          <w:bCs/>
          <w:szCs w:val="24"/>
        </w:rPr>
        <w:t xml:space="preserve">§ 1 i 3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4B3442E2" w14:textId="05AC2D89" w:rsidR="007F077F" w:rsidRPr="00EE7FF7" w:rsidRDefault="007F077F" w:rsidP="00EE7FF7">
      <w:pPr>
        <w:pStyle w:val="ARTartustawynprozporzdzenia"/>
        <w:spacing w:before="0"/>
        <w:ind w:left="426" w:hanging="426"/>
        <w:rPr>
          <w:rFonts w:ascii="Times New Roman" w:hAnsi="Times New Roman" w:cs="Times New Roman"/>
          <w:bCs/>
          <w:szCs w:val="24"/>
        </w:rPr>
      </w:pPr>
      <w:r w:rsidRPr="00EE7FF7">
        <w:rPr>
          <w:rFonts w:ascii="Times New Roman" w:hAnsi="Times New Roman" w:cs="Times New Roman"/>
          <w:bCs/>
          <w:szCs w:val="24"/>
        </w:rPr>
        <w:t>b)</w:t>
      </w:r>
      <w:r w:rsidR="00F30ED8">
        <w:rPr>
          <w:rFonts w:ascii="Times New Roman" w:hAnsi="Times New Roman" w:cs="Times New Roman"/>
          <w:bCs/>
          <w:szCs w:val="24"/>
        </w:rPr>
        <w:tab/>
      </w:r>
      <w:r w:rsidRPr="00EE7FF7">
        <w:rPr>
          <w:rFonts w:ascii="Times New Roman" w:hAnsi="Times New Roman" w:cs="Times New Roman"/>
          <w:bCs/>
          <w:szCs w:val="24"/>
        </w:rPr>
        <w:t>po drugie – odmowy wykonania tego polecenia, kiedy zastosowanie znajdują jego przesłanki merytoryczne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1</w:t>
      </w:r>
      <w:r w:rsidR="00DF530A" w:rsidRPr="00EE7FF7">
        <w:rPr>
          <w:rFonts w:ascii="Times New Roman" w:hAnsi="Times New Roman" w:cs="Times New Roman"/>
          <w:bCs/>
          <w:szCs w:val="24"/>
        </w:rPr>
        <w:t>–</w:t>
      </w:r>
      <w:r w:rsidRPr="00EE7FF7">
        <w:rPr>
          <w:rFonts w:ascii="Times New Roman" w:hAnsi="Times New Roman" w:cs="Times New Roman"/>
          <w:bCs/>
          <w:szCs w:val="24"/>
        </w:rPr>
        <w:t xml:space="preserve">3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oraz formalne (art. 21</w:t>
      </w:r>
      <w:r w:rsidRPr="00EE7FF7">
        <w:rPr>
          <w:rStyle w:val="IGindeksgrny"/>
          <w:rFonts w:ascii="Times New Roman" w:hAnsi="Times New Roman" w:cs="Times New Roman"/>
          <w:bCs/>
          <w:szCs w:val="24"/>
        </w:rPr>
        <w:t>4</w:t>
      </w:r>
      <w:r w:rsidRPr="00EE7FF7">
        <w:rPr>
          <w:rFonts w:ascii="Times New Roman" w:hAnsi="Times New Roman" w:cs="Times New Roman"/>
          <w:bCs/>
          <w:szCs w:val="24"/>
        </w:rPr>
        <w:t xml:space="preserve"> § 4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438A2FFE" w14:textId="3DA87FFB"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Art. 21</w:t>
      </w:r>
      <w:r w:rsidRPr="00EE7FF7">
        <w:rPr>
          <w:rStyle w:val="IGindeksgrny"/>
          <w:rFonts w:ascii="Times New Roman" w:hAnsi="Times New Roman" w:cs="Times New Roman"/>
          <w:bCs/>
          <w:szCs w:val="24"/>
        </w:rPr>
        <w:t>5</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wskazuje przepisy przewi</w:t>
      </w:r>
      <w:r w:rsidR="009F232C" w:rsidRPr="00EE7FF7">
        <w:rPr>
          <w:rFonts w:ascii="Times New Roman" w:hAnsi="Times New Roman" w:cs="Times New Roman"/>
          <w:bCs/>
          <w:szCs w:val="24"/>
        </w:rPr>
        <w:t>dujące odpowiedzialność cywilną</w:t>
      </w:r>
      <w:r w:rsidRPr="00EE7FF7">
        <w:rPr>
          <w:rFonts w:ascii="Times New Roman" w:hAnsi="Times New Roman" w:cs="Times New Roman"/>
          <w:bCs/>
          <w:szCs w:val="24"/>
        </w:rPr>
        <w:t xml:space="preserve"> wspomnianych osób. Niezależnie od wyłączenia przez art. 21</w:t>
      </w:r>
      <w:r w:rsidRPr="00EE7FF7">
        <w:rPr>
          <w:rStyle w:val="IGindeksgrny"/>
          <w:rFonts w:ascii="Times New Roman" w:hAnsi="Times New Roman" w:cs="Times New Roman"/>
          <w:bCs/>
          <w:szCs w:val="24"/>
        </w:rPr>
        <w:t>5</w:t>
      </w:r>
      <w:r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działania przepisów art. 293, art. 300</w:t>
      </w:r>
      <w:r w:rsidRPr="00EE7FF7">
        <w:rPr>
          <w:rStyle w:val="IGindeksgrny"/>
          <w:rFonts w:ascii="Times New Roman" w:hAnsi="Times New Roman" w:cs="Times New Roman"/>
          <w:bCs/>
          <w:szCs w:val="24"/>
        </w:rPr>
        <w:t>125</w:t>
      </w:r>
      <w:r w:rsidRPr="00EE7FF7">
        <w:rPr>
          <w:rFonts w:ascii="Times New Roman" w:hAnsi="Times New Roman" w:cs="Times New Roman"/>
          <w:bCs/>
          <w:szCs w:val="24"/>
        </w:rPr>
        <w:t xml:space="preserve"> i art. 483 KSH, wspomniane osoby zawsze mogą powoływać się na klauzulę generalną z art. 21</w:t>
      </w:r>
      <w:r w:rsidRPr="00EE7FF7">
        <w:rPr>
          <w:rStyle w:val="IGindeksgrny"/>
          <w:rFonts w:ascii="Times New Roman" w:hAnsi="Times New Roman" w:cs="Times New Roman"/>
          <w:bCs/>
          <w:szCs w:val="24"/>
        </w:rPr>
        <w:t>1</w:t>
      </w:r>
      <w:r w:rsidRPr="00EE7FF7">
        <w:rPr>
          <w:rFonts w:ascii="Times New Roman" w:hAnsi="Times New Roman" w:cs="Times New Roman"/>
          <w:bCs/>
          <w:szCs w:val="24"/>
        </w:rPr>
        <w:t xml:space="preserve"> § 4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27600309" w14:textId="6689AE75" w:rsidR="009D4479" w:rsidRPr="00EE7FF7" w:rsidRDefault="00317FFB"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To</w:t>
      </w:r>
      <w:r w:rsidR="006D56E9">
        <w:rPr>
          <w:rFonts w:ascii="Times New Roman" w:hAnsi="Times New Roman" w:cs="Times New Roman"/>
          <w:bCs/>
          <w:szCs w:val="24"/>
        </w:rPr>
        <w:t>,</w:t>
      </w:r>
      <w:r w:rsidRPr="00EE7FF7">
        <w:rPr>
          <w:rFonts w:ascii="Times New Roman" w:hAnsi="Times New Roman" w:cs="Times New Roman"/>
          <w:bCs/>
          <w:szCs w:val="24"/>
        </w:rPr>
        <w:t xml:space="preserve"> że działania </w:t>
      </w:r>
      <w:r w:rsidR="001B625E" w:rsidRPr="00EE7FF7">
        <w:rPr>
          <w:rFonts w:ascii="Times New Roman" w:hAnsi="Times New Roman" w:cs="Times New Roman"/>
          <w:bCs/>
          <w:szCs w:val="24"/>
        </w:rPr>
        <w:t>danej osoby wynikały z ważnie wydanego wiążącego polecenia przesądzi również o braku bezprawności czynu, co jest istotne z punktu widzenia prawno-karnej oceny czynu.</w:t>
      </w:r>
    </w:p>
    <w:p w14:paraId="296128FE" w14:textId="395B89AE" w:rsidR="009D4479" w:rsidRPr="00EE7FF7" w:rsidRDefault="00C97188"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Przepisy art. 21</w:t>
      </w:r>
      <w:r w:rsidR="009D4479" w:rsidRPr="00EE7FF7">
        <w:rPr>
          <w:rFonts w:ascii="Times New Roman" w:hAnsi="Times New Roman" w:cs="Times New Roman"/>
          <w:bCs/>
          <w:szCs w:val="24"/>
          <w:vertAlign w:val="superscript"/>
        </w:rPr>
        <w:t>5</w:t>
      </w:r>
      <w:r w:rsidR="009D4479"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nie zawierają </w:t>
      </w:r>
      <w:r w:rsidR="001B625E" w:rsidRPr="00EE7FF7">
        <w:rPr>
          <w:rFonts w:ascii="Times New Roman" w:hAnsi="Times New Roman" w:cs="Times New Roman"/>
          <w:bCs/>
          <w:szCs w:val="24"/>
        </w:rPr>
        <w:t xml:space="preserve">również </w:t>
      </w:r>
      <w:r w:rsidR="009D4479" w:rsidRPr="00EE7FF7">
        <w:rPr>
          <w:rFonts w:ascii="Times New Roman" w:hAnsi="Times New Roman" w:cs="Times New Roman"/>
          <w:bCs/>
          <w:szCs w:val="24"/>
        </w:rPr>
        <w:t xml:space="preserve">wyłączenia odpowiedzialności administracyjnej członków organów spółki zależnej wykonujących wiążące polecenia spółki dominującej ani członków organów tej ostatniej spółki wydającej takie polecenia. Nie jest to możliwe ze względów systemowych, gdyż </w:t>
      </w:r>
      <w:r w:rsidR="00A943B3" w:rsidRPr="00EE7FF7">
        <w:rPr>
          <w:rFonts w:ascii="Times New Roman" w:hAnsi="Times New Roman" w:cs="Times New Roman"/>
          <w:bCs/>
          <w:szCs w:val="24"/>
        </w:rPr>
        <w:t>K</w:t>
      </w:r>
      <w:r w:rsidR="009D4479" w:rsidRPr="00EE7FF7">
        <w:rPr>
          <w:rFonts w:ascii="Times New Roman" w:hAnsi="Times New Roman" w:cs="Times New Roman"/>
          <w:bCs/>
          <w:szCs w:val="24"/>
        </w:rPr>
        <w:t>odeks spółek handlowych zawiera normy prawa prywatnego i na zasadzie wyjątku normy prawno-karne, nie przewidując miejsca na regulację odpowiedzialności administracyjno-prawnej. Ponadto względy pragmatyczne przemawiają za koniecznością odstąpienia od takiej regulacji wobec znacznego</w:t>
      </w:r>
      <w:r w:rsidR="009F232C" w:rsidRPr="00EE7FF7">
        <w:rPr>
          <w:rFonts w:ascii="Times New Roman" w:hAnsi="Times New Roman" w:cs="Times New Roman"/>
          <w:bCs/>
          <w:szCs w:val="24"/>
        </w:rPr>
        <w:t xml:space="preserve"> i zróżnicowanego</w:t>
      </w:r>
      <w:r w:rsidR="009D4479" w:rsidRPr="00EE7FF7">
        <w:rPr>
          <w:rFonts w:ascii="Times New Roman" w:hAnsi="Times New Roman" w:cs="Times New Roman"/>
          <w:bCs/>
          <w:szCs w:val="24"/>
        </w:rPr>
        <w:t xml:space="preserve"> zakresu przedm</w:t>
      </w:r>
      <w:r w:rsidR="009F232C" w:rsidRPr="00EE7FF7">
        <w:rPr>
          <w:rFonts w:ascii="Times New Roman" w:hAnsi="Times New Roman" w:cs="Times New Roman"/>
          <w:bCs/>
          <w:szCs w:val="24"/>
        </w:rPr>
        <w:t>iotowego</w:t>
      </w:r>
      <w:r w:rsidR="006D56E9">
        <w:rPr>
          <w:rFonts w:ascii="Times New Roman" w:hAnsi="Times New Roman" w:cs="Times New Roman"/>
          <w:bCs/>
          <w:szCs w:val="24"/>
        </w:rPr>
        <w:t>,</w:t>
      </w:r>
      <w:r w:rsidR="009F232C" w:rsidRPr="00EE7FF7">
        <w:rPr>
          <w:rFonts w:ascii="Times New Roman" w:hAnsi="Times New Roman" w:cs="Times New Roman"/>
          <w:bCs/>
          <w:szCs w:val="24"/>
        </w:rPr>
        <w:t xml:space="preserve"> jaki miałby podlegać regulacji.</w:t>
      </w:r>
    </w:p>
    <w:p w14:paraId="0F6E5F02" w14:textId="4F9E4818"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w:t>
      </w:r>
      <w:r w:rsidR="007F077F" w:rsidRPr="00EE7FF7">
        <w:rPr>
          <w:rFonts w:ascii="Times New Roman" w:hAnsi="Times New Roman" w:cs="Times New Roman"/>
          <w:szCs w:val="24"/>
        </w:rPr>
        <w:t>8</w:t>
      </w:r>
      <w:r w:rsidRPr="00EE7FF7">
        <w:rPr>
          <w:rFonts w:ascii="Times New Roman" w:hAnsi="Times New Roman" w:cs="Times New Roman"/>
          <w:szCs w:val="24"/>
        </w:rPr>
        <w:t>. Art. 21</w:t>
      </w:r>
      <w:r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przepis ten reguluje dostęp do informacji spółki dominującej o spółkach zależnych </w:t>
      </w:r>
      <w:r w:rsidR="00BC7921" w:rsidRPr="00EE7FF7">
        <w:rPr>
          <w:rFonts w:ascii="Times New Roman" w:hAnsi="Times New Roman" w:cs="Times New Roman"/>
          <w:szCs w:val="24"/>
        </w:rPr>
        <w:t>uczestniczących w grupie spółek</w:t>
      </w:r>
      <w:r w:rsidRPr="00EE7FF7">
        <w:rPr>
          <w:rFonts w:ascii="Times New Roman" w:hAnsi="Times New Roman" w:cs="Times New Roman"/>
          <w:szCs w:val="24"/>
        </w:rPr>
        <w:t>. Jest to jeden z mechanizmów umożliwiających spółce dominującej sprawne zarządzanie grupą spółek.</w:t>
      </w:r>
    </w:p>
    <w:p w14:paraId="183F9530" w14:textId="15387088"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Wprowadzenie tego przepisu jest konieczne, ponieważ w przeciwnym razie wspomniany dostęp do informacji były </w:t>
      </w:r>
      <w:r w:rsidRPr="00EE7FF7">
        <w:rPr>
          <w:rFonts w:ascii="Times New Roman" w:hAnsi="Times New Roman" w:cs="Times New Roman"/>
          <w:i/>
          <w:szCs w:val="24"/>
        </w:rPr>
        <w:t>de lege lata</w:t>
      </w:r>
      <w:r w:rsidRPr="00EE7FF7">
        <w:rPr>
          <w:rFonts w:ascii="Times New Roman" w:hAnsi="Times New Roman" w:cs="Times New Roman"/>
          <w:szCs w:val="24"/>
        </w:rPr>
        <w:t xml:space="preserve"> wykluczony albo ograniczony z mocy przepisów </w:t>
      </w:r>
      <w:r w:rsidRPr="00EE7FF7">
        <w:rPr>
          <w:rFonts w:ascii="Times New Roman" w:hAnsi="Times New Roman" w:cs="Times New Roman"/>
          <w:szCs w:val="24"/>
        </w:rPr>
        <w:lastRenderedPageBreak/>
        <w:t>ogólnych o spółce z o.o., czy spółce akcyjnej. Stąd art. 21</w:t>
      </w:r>
      <w:r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wyłącza w przypadku grup spółek stosowanie wskazanych tam przepisów KSH, zaś inne przepisy nakazuje stosować odpowiednio.</w:t>
      </w:r>
    </w:p>
    <w:p w14:paraId="5A4B1486" w14:textId="2038CF0B"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 xml:space="preserve">Uwzględnienie przepisów szczególnych przy określaniu zakresu dostępu spółki dominującej do informacji o spółce zależnej </w:t>
      </w:r>
      <w:r w:rsidR="00BC7921" w:rsidRPr="00EE7FF7">
        <w:rPr>
          <w:rFonts w:ascii="Times New Roman" w:hAnsi="Times New Roman" w:cs="Times New Roman"/>
          <w:bCs/>
          <w:szCs w:val="24"/>
        </w:rPr>
        <w:t>uczestniczącej w grupie</w:t>
      </w:r>
      <w:r w:rsidRPr="00EE7FF7">
        <w:rPr>
          <w:rFonts w:ascii="Times New Roman" w:hAnsi="Times New Roman" w:cs="Times New Roman"/>
          <w:bCs/>
          <w:szCs w:val="24"/>
        </w:rPr>
        <w:t xml:space="preserve"> spółek (art. 21</w:t>
      </w:r>
      <w:r w:rsidRPr="00EE7FF7">
        <w:rPr>
          <w:rFonts w:ascii="Times New Roman" w:hAnsi="Times New Roman" w:cs="Times New Roman"/>
          <w:bCs/>
          <w:szCs w:val="24"/>
          <w:vertAlign w:val="superscript"/>
        </w:rPr>
        <w:t>6</w:t>
      </w:r>
      <w:r w:rsidRPr="00EE7FF7">
        <w:rPr>
          <w:rFonts w:ascii="Times New Roman" w:hAnsi="Times New Roman" w:cs="Times New Roman"/>
          <w:bCs/>
          <w:szCs w:val="24"/>
        </w:rPr>
        <w:t xml:space="preserve"> § 1 </w:t>
      </w:r>
      <w:r w:rsidRPr="005B2436">
        <w:rPr>
          <w:rFonts w:ascii="Times New Roman" w:hAnsi="Times New Roman" w:cs="Times New Roman"/>
          <w:bCs/>
          <w:i/>
          <w:szCs w:val="24"/>
        </w:rPr>
        <w:t>in fine</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pozwala na dostosowanie się do specyfiki niektórych spółek zależnych</w:t>
      </w:r>
      <w:r w:rsidR="00D56998">
        <w:rPr>
          <w:rFonts w:ascii="Times New Roman" w:hAnsi="Times New Roman" w:cs="Times New Roman"/>
          <w:bCs/>
          <w:szCs w:val="24"/>
        </w:rPr>
        <w:t>,</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to jest</w:t>
      </w:r>
      <w:r w:rsidRPr="00EE7FF7">
        <w:rPr>
          <w:rFonts w:ascii="Times New Roman" w:hAnsi="Times New Roman" w:cs="Times New Roman"/>
          <w:bCs/>
          <w:szCs w:val="24"/>
        </w:rPr>
        <w:t xml:space="preserve"> potrzeby zachowania tajemnicy przez spółkę zależną wynikającą z takich przepisów (</w:t>
      </w:r>
      <w:r w:rsidR="00A37558" w:rsidRPr="00EE7FF7">
        <w:rPr>
          <w:rFonts w:ascii="Times New Roman" w:hAnsi="Times New Roman" w:cs="Times New Roman"/>
          <w:bCs/>
          <w:szCs w:val="24"/>
        </w:rPr>
        <w:t>na przykład</w:t>
      </w:r>
      <w:r w:rsidRPr="00EE7FF7">
        <w:rPr>
          <w:rFonts w:ascii="Times New Roman" w:hAnsi="Times New Roman" w:cs="Times New Roman"/>
          <w:bCs/>
          <w:szCs w:val="24"/>
        </w:rPr>
        <w:t xml:space="preserve"> tajemnicy bankowej). Wobec wyłączenia z zakresu podmiotowego prawa grupy spółek takich spółek zależnych, które są spółkami publicznymi (art. 21</w:t>
      </w:r>
      <w:r w:rsidRPr="00EE7FF7">
        <w:rPr>
          <w:rFonts w:ascii="Times New Roman" w:hAnsi="Times New Roman" w:cs="Times New Roman"/>
          <w:bCs/>
          <w:szCs w:val="24"/>
          <w:vertAlign w:val="superscript"/>
        </w:rPr>
        <w:t>1</w:t>
      </w:r>
      <w:r w:rsidR="00D45534" w:rsidRPr="00EE7FF7">
        <w:rPr>
          <w:rFonts w:ascii="Times New Roman" w:hAnsi="Times New Roman" w:cs="Times New Roman"/>
          <w:bCs/>
          <w:szCs w:val="24"/>
          <w:vertAlign w:val="superscript"/>
        </w:rPr>
        <w:t>5</w:t>
      </w:r>
      <w:r w:rsidRPr="00EE7FF7">
        <w:rPr>
          <w:rFonts w:ascii="Times New Roman" w:hAnsi="Times New Roman" w:cs="Times New Roman"/>
          <w:bCs/>
          <w:szCs w:val="24"/>
        </w:rPr>
        <w:t xml:space="preserve"> § </w:t>
      </w:r>
      <w:r w:rsidR="00D45534" w:rsidRPr="00EE7FF7">
        <w:rPr>
          <w:rFonts w:ascii="Times New Roman" w:hAnsi="Times New Roman" w:cs="Times New Roman"/>
          <w:bCs/>
          <w:szCs w:val="24"/>
        </w:rPr>
        <w:t>2</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nie powstają wątpliwości prawne wynikające z kolizji art. 21</w:t>
      </w:r>
      <w:r w:rsidR="001B625E" w:rsidRPr="00EE7FF7">
        <w:rPr>
          <w:rFonts w:ascii="Times New Roman" w:hAnsi="Times New Roman" w:cs="Times New Roman"/>
          <w:bCs/>
          <w:szCs w:val="24"/>
          <w:vertAlign w:val="superscript"/>
        </w:rPr>
        <w:t>6</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z przepisami prawa rynku kapitałowego o jednakowym dostępie do informacji o spółce publicznej dla jej akcjonariuszy. Równocześnie nie zachodzi też obawa naruszenia prawa unijnego regulującego te kwestie.</w:t>
      </w:r>
    </w:p>
    <w:p w14:paraId="0D5F3A77" w14:textId="6C94BAA8"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4.9.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obejmuje kolejne przepisy z zakresu mechanizmów umożliwiających spółce dominującej sprawne zarządzanie grupą spółek. Przewiduje on prawo rady nadzorczej spółki dominującej do wykonywania stałego nadzoru nad spółkami zależnymi (§ 1), a także możliwość żądania przez radę nadzorczą spółki dominującej przedstawienia jej przez spółkę zależną określonych dokumentów czy udzielenia informacji (§ 2).</w:t>
      </w:r>
    </w:p>
    <w:p w14:paraId="19529C48" w14:textId="77777777"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Wprowadzenie tego przepisu jest konieczne, gdyż w razie jego braku wspomniany nadzór czy dostęp do informacji byłby prawnie niedopuszczalny. Mamy tutaj bowiem do czynienia z sytuacją, że organ jednej spółki ingeruje w funkcjonowanie drugiej spółki, a więc spółki, która ma własne organy, w tym także organy nadzoru.</w:t>
      </w:r>
    </w:p>
    <w:p w14:paraId="114240B7" w14:textId="146722C2"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 związku z powyższym wyjątkowy przepis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został ujęty wąsko od strony przedmiotowej ograniczając nadzór rady nadzorczej spółki dominującej nad spółkami zależnymi tylko do realizacji interesu grupy spółek. Koresponduje to ze skonsolidowanym sprawozdaniem finansowym grupy kapitałowej (art. 55–63j ustawy o rachunkowości), za sporządzenie którego współodpowiedzialni są członkowie rady nadzorczej spółki dominującej. Nadzór rady nadzorczej spółki dominującej nad spółkami zależnymi nie wyklucza natomiast nadzoru wykonywanego </w:t>
      </w:r>
      <w:r w:rsidRPr="00EE7FF7">
        <w:rPr>
          <w:rFonts w:ascii="Times New Roman" w:hAnsi="Times New Roman" w:cs="Times New Roman"/>
          <w:szCs w:val="24"/>
        </w:rPr>
        <w:lastRenderedPageBreak/>
        <w:t>przez rady nadzorcze poszczególnych spółek zależnych.</w:t>
      </w:r>
      <w:r w:rsidR="00F4026A" w:rsidRPr="00EE7FF7">
        <w:rPr>
          <w:rFonts w:ascii="Times New Roman" w:hAnsi="Times New Roman" w:cs="Times New Roman"/>
          <w:szCs w:val="24"/>
        </w:rPr>
        <w:t xml:space="preserve"> Nie wyklucza on również obowiązku sprawowania nadzoru właścicielskiego przez zarząd spółki dominującej.</w:t>
      </w:r>
    </w:p>
    <w:p w14:paraId="35B955B1" w14:textId="70014FDF"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Przepis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nie może zostać uznany za zbędny wobec treści art. 21</w:t>
      </w:r>
      <w:r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który też odnosi się do dostępu do informacji o spółce zależnej. Jednakże oba przepisy mają inne zakresy podmiotowe. Hipoteza pierwszego z nich obejmuje radę nadzorczą spółki dominującej (organ spółki), zaś drugiego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6</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samą spółkę dominującą, która będzie działać przez swój zarząd.</w:t>
      </w:r>
    </w:p>
    <w:p w14:paraId="22193D65" w14:textId="21F799CF" w:rsidR="009D4479" w:rsidRPr="00EE7FF7" w:rsidRDefault="009D4479" w:rsidP="00EE7FF7">
      <w:pPr>
        <w:widowControl/>
        <w:spacing w:line="360" w:lineRule="auto"/>
        <w:jc w:val="both"/>
        <w:rPr>
          <w:rFonts w:ascii="Times New Roman" w:hAnsi="Times New Roman" w:cs="Times New Roman"/>
          <w:szCs w:val="24"/>
        </w:rPr>
      </w:pPr>
      <w:r w:rsidRPr="00EE7FF7">
        <w:rPr>
          <w:rFonts w:ascii="Times New Roman" w:hAnsi="Times New Roman" w:cs="Times New Roman"/>
          <w:szCs w:val="24"/>
        </w:rPr>
        <w:t>Przepisy art. 21</w:t>
      </w:r>
      <w:r w:rsidRPr="00EE7FF7">
        <w:rPr>
          <w:rFonts w:ascii="Times New Roman" w:hAnsi="Times New Roman" w:cs="Times New Roman"/>
          <w:szCs w:val="24"/>
          <w:vertAlign w:val="superscript"/>
        </w:rPr>
        <w:t>7</w:t>
      </w:r>
      <w:r w:rsidRPr="00EE7FF7">
        <w:rPr>
          <w:rFonts w:ascii="Times New Roman" w:hAnsi="Times New Roman" w:cs="Times New Roman"/>
          <w:szCs w:val="24"/>
        </w:rPr>
        <w:t xml:space="preserve"> § 1 i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nie wykluczają prawa rady nadzorczej spółki dominującej do sprawowania stałego nadzoru nad tą spółką w zakresie realizacji przez nią interesu grupy spółek. Dlatego też wspomniane przepisy posługują się funktorem alternatywy nierozłącznej („lub”).</w:t>
      </w:r>
    </w:p>
    <w:p w14:paraId="3D551A37" w14:textId="68168275"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Natomiast przepis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 3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odnosi się do sytuacji, gdy spółka dominująca nie ma rady nadzorczej. Chodzi tu o przypadek, gdy spółka dominująca jest spółką z o.o., w której rada nadzorcza jest organem fakultatywnym (art. 21</w:t>
      </w:r>
      <w:r w:rsidRPr="00EE7FF7">
        <w:rPr>
          <w:rStyle w:val="IGindeksgrny"/>
          <w:rFonts w:ascii="Times New Roman" w:hAnsi="Times New Roman" w:cs="Times New Roman"/>
          <w:szCs w:val="24"/>
        </w:rPr>
        <w:t>3</w:t>
      </w:r>
      <w:r w:rsidRPr="00EE7FF7">
        <w:rPr>
          <w:rFonts w:ascii="Times New Roman" w:hAnsi="Times New Roman" w:cs="Times New Roman"/>
          <w:szCs w:val="24"/>
        </w:rPr>
        <w:t xml:space="preserve"> § 1 KSH). Wówczas kompetencję rady nadzorczej spółki dominującej w sprawach określonych w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 1 i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sprawuje zarząd spółki dominującej. Kwestią otwartą jest, czy w art. 21</w:t>
      </w:r>
      <w:r w:rsidRPr="00EE7FF7">
        <w:rPr>
          <w:rStyle w:val="IGindeksgrny"/>
          <w:rFonts w:ascii="Times New Roman" w:hAnsi="Times New Roman" w:cs="Times New Roman"/>
          <w:szCs w:val="24"/>
        </w:rPr>
        <w:t>7</w:t>
      </w:r>
      <w:r w:rsidRPr="00EE7FF7">
        <w:rPr>
          <w:rFonts w:ascii="Times New Roman" w:hAnsi="Times New Roman" w:cs="Times New Roman"/>
          <w:szCs w:val="24"/>
        </w:rPr>
        <w:t xml:space="preserve"> § </w:t>
      </w:r>
      <w:r w:rsidR="007F077F" w:rsidRPr="00EE7FF7">
        <w:rPr>
          <w:rFonts w:ascii="Times New Roman" w:hAnsi="Times New Roman" w:cs="Times New Roman"/>
          <w:szCs w:val="24"/>
        </w:rPr>
        <w:t>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chodzi także o faktyczny brak rady nadzorczej spółki dominującej (przypadek </w:t>
      </w:r>
      <w:r w:rsidR="00A37558" w:rsidRPr="00EE7FF7">
        <w:rPr>
          <w:rFonts w:ascii="Times New Roman" w:hAnsi="Times New Roman" w:cs="Times New Roman"/>
          <w:szCs w:val="24"/>
        </w:rPr>
        <w:t>tak zwanej</w:t>
      </w:r>
      <w:r w:rsidRPr="00EE7FF7">
        <w:rPr>
          <w:rFonts w:ascii="Times New Roman" w:hAnsi="Times New Roman" w:cs="Times New Roman"/>
          <w:szCs w:val="24"/>
        </w:rPr>
        <w:t xml:space="preserve"> kadłubowej rady).</w:t>
      </w:r>
    </w:p>
    <w:p w14:paraId="04DB979C" w14:textId="544203D6"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4.10.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należy do kategorii przepisów ochronnych dla wspólników (akcjonariuszy) mniejszościowych spółki zależnej </w:t>
      </w:r>
      <w:r w:rsidR="00BC7921" w:rsidRPr="00EE7FF7">
        <w:rPr>
          <w:rFonts w:ascii="Times New Roman" w:hAnsi="Times New Roman" w:cs="Times New Roman"/>
          <w:szCs w:val="24"/>
        </w:rPr>
        <w:t>uczestniczącej w grupie</w:t>
      </w:r>
      <w:r w:rsidRPr="00EE7FF7">
        <w:rPr>
          <w:rFonts w:ascii="Times New Roman" w:hAnsi="Times New Roman" w:cs="Times New Roman"/>
          <w:szCs w:val="24"/>
        </w:rPr>
        <w:t xml:space="preserve"> spółek</w:t>
      </w:r>
      <w:r w:rsidR="00D56998">
        <w:rPr>
          <w:rFonts w:ascii="Times New Roman" w:hAnsi="Times New Roman" w:cs="Times New Roman"/>
          <w:szCs w:val="24"/>
        </w:rPr>
        <w:t>,</w:t>
      </w:r>
      <w:r w:rsidRPr="00EE7FF7">
        <w:rPr>
          <w:rFonts w:ascii="Times New Roman" w:hAnsi="Times New Roman" w:cs="Times New Roman"/>
          <w:szCs w:val="24"/>
        </w:rPr>
        <w:t xml:space="preserve"> a także dla wierzycieli tej spółki.</w:t>
      </w:r>
    </w:p>
    <w:p w14:paraId="7753F729" w14:textId="53AD2C3D"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Przepis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nakłada na zarządców spółki dominującej obowiązek sporządzenia sprawozdania o powiązaniach </w:t>
      </w:r>
      <w:r w:rsidR="006914FB" w:rsidRPr="00EE7FF7">
        <w:rPr>
          <w:rFonts w:ascii="Times New Roman" w:hAnsi="Times New Roman" w:cs="Times New Roman"/>
          <w:szCs w:val="24"/>
        </w:rPr>
        <w:t xml:space="preserve">umownych </w:t>
      </w:r>
      <w:r w:rsidRPr="00EE7FF7">
        <w:rPr>
          <w:rFonts w:ascii="Times New Roman" w:hAnsi="Times New Roman" w:cs="Times New Roman"/>
          <w:szCs w:val="24"/>
        </w:rPr>
        <w:t>tej spółki z</w:t>
      </w:r>
      <w:r w:rsidR="00D56998">
        <w:rPr>
          <w:rFonts w:ascii="Times New Roman" w:hAnsi="Times New Roman" w:cs="Times New Roman"/>
          <w:szCs w:val="24"/>
        </w:rPr>
        <w:t>e</w:t>
      </w:r>
      <w:r w:rsidRPr="00EE7FF7">
        <w:rPr>
          <w:rFonts w:ascii="Times New Roman" w:hAnsi="Times New Roman" w:cs="Times New Roman"/>
          <w:szCs w:val="24"/>
        </w:rPr>
        <w:t xml:space="preserve"> spółkami od niej zależnymi, </w:t>
      </w:r>
      <w:r w:rsidR="00BC7921" w:rsidRPr="00EE7FF7">
        <w:rPr>
          <w:rFonts w:ascii="Times New Roman" w:hAnsi="Times New Roman" w:cs="Times New Roman"/>
          <w:szCs w:val="24"/>
        </w:rPr>
        <w:t>uczestniczącymi w tej samej grupie</w:t>
      </w:r>
      <w:r w:rsidRPr="00EE7FF7">
        <w:rPr>
          <w:rFonts w:ascii="Times New Roman" w:hAnsi="Times New Roman" w:cs="Times New Roman"/>
          <w:szCs w:val="24"/>
        </w:rPr>
        <w:t xml:space="preserve"> spółek, za okres ostatniego roku obrotowego. Celem tego obowiązku jest sprawdzenie, czy umowy między tymi spółkami były zawierane na warunkach rynkowych (</w:t>
      </w:r>
      <w:r w:rsidRPr="00EE7FF7">
        <w:rPr>
          <w:rFonts w:ascii="Times New Roman" w:hAnsi="Times New Roman" w:cs="Times New Roman"/>
          <w:i/>
          <w:iCs/>
          <w:szCs w:val="24"/>
        </w:rPr>
        <w:t>arms’ length principle</w:t>
      </w:r>
      <w:r w:rsidRPr="00EE7FF7">
        <w:rPr>
          <w:rFonts w:ascii="Times New Roman" w:hAnsi="Times New Roman" w:cs="Times New Roman"/>
          <w:szCs w:val="24"/>
        </w:rPr>
        <w:t>).</w:t>
      </w:r>
    </w:p>
    <w:p w14:paraId="6B3DE8A3" w14:textId="048C4A36"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Obligatoryjnym elementem powołanego wyżej sprawozdania są także wiążące polecenia spółki dominującej wydawane w tym czasie spółkom zależnym </w:t>
      </w:r>
      <w:r w:rsidR="00D45534" w:rsidRPr="00EE7FF7">
        <w:rPr>
          <w:rFonts w:ascii="Times New Roman" w:hAnsi="Times New Roman" w:cs="Times New Roman"/>
          <w:szCs w:val="24"/>
        </w:rPr>
        <w:t>uczestniczącym w grupie spółek</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8</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4112A216" w14:textId="59EE4AE6"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szCs w:val="24"/>
        </w:rPr>
        <w:t>Wspomniane przepisy mają charakter bezwzględnie wiążących, zaś objęte nimi obowiązki nie mogą być wyłączone czy też ograniczone w umowie (statucie) spółki</w:t>
      </w:r>
      <w:r w:rsidR="00A350B6" w:rsidRPr="00EE7FF7">
        <w:rPr>
          <w:rFonts w:ascii="Times New Roman" w:hAnsi="Times New Roman" w:cs="Times New Roman"/>
          <w:szCs w:val="24"/>
        </w:rPr>
        <w:t xml:space="preserve">. W </w:t>
      </w:r>
      <w:r w:rsidR="00A350B6" w:rsidRPr="00EE7FF7">
        <w:rPr>
          <w:rFonts w:ascii="Times New Roman" w:hAnsi="Times New Roman" w:cs="Times New Roman"/>
          <w:szCs w:val="24"/>
        </w:rPr>
        <w:lastRenderedPageBreak/>
        <w:t>gestii spółki pozostaje natomiast to</w:t>
      </w:r>
      <w:r w:rsidR="00D56998">
        <w:rPr>
          <w:rFonts w:ascii="Times New Roman" w:hAnsi="Times New Roman" w:cs="Times New Roman"/>
          <w:szCs w:val="24"/>
        </w:rPr>
        <w:t>,</w:t>
      </w:r>
      <w:r w:rsidR="00A350B6" w:rsidRPr="00EE7FF7">
        <w:rPr>
          <w:rFonts w:ascii="Times New Roman" w:hAnsi="Times New Roman" w:cs="Times New Roman"/>
          <w:szCs w:val="24"/>
        </w:rPr>
        <w:t xml:space="preserve"> </w:t>
      </w:r>
      <w:r w:rsidRPr="00EE7FF7">
        <w:rPr>
          <w:rFonts w:ascii="Times New Roman" w:hAnsi="Times New Roman" w:cs="Times New Roman"/>
          <w:bCs/>
          <w:szCs w:val="24"/>
        </w:rPr>
        <w:t>czy wspomniane sprawozdanie ma być częścią sprawozdania zarządu, o którym mowa w art. 228 pkt 1 oraz art. 395 § 2 pkt 1 KSH, czy też ma stanowić ono odrębne sprawozdanie.</w:t>
      </w:r>
    </w:p>
    <w:p w14:paraId="02E0FCFD" w14:textId="4372A1CE"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4.11.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również należy do kategorii przepisów ochronnych, skierowanych na ochronę mniejszościowych wspólników (akcjonariuszy) spółki zależnej. Mamy tam do czynienia z prawem mniejszości o charakterze kolektywnym.</w:t>
      </w:r>
    </w:p>
    <w:p w14:paraId="0C5624F8" w14:textId="3587101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Mianowicie wspólnicy albo akcjonariusze spółki zależnej, reprezentujący co najmniej jedną dziesiątą część kapitału zakładowego albo jedną dziesiątą ogółu głosów na zgromadzeniu wspólników (walnym zgromadzeniu) spółki</w:t>
      </w:r>
      <w:r w:rsidR="00D56998">
        <w:rPr>
          <w:rFonts w:ascii="Times New Roman" w:hAnsi="Times New Roman" w:cs="Times New Roman"/>
          <w:szCs w:val="24"/>
        </w:rPr>
        <w:t>,</w:t>
      </w:r>
      <w:r w:rsidRPr="00EE7FF7">
        <w:rPr>
          <w:rFonts w:ascii="Times New Roman" w:hAnsi="Times New Roman" w:cs="Times New Roman"/>
          <w:szCs w:val="24"/>
        </w:rPr>
        <w:t xml:space="preserve"> mogą żądać wyznaczenia przez sąd rejestrowy niezależnego biegłego, który zbada rachunkowość oraz działalność grupy spółek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Przepis ten nawiązuje do konstrukcji prawnej żądania zbadania rachunkowości i działalności spółki z art. 224–226 KSH, do których następuje odesłanie w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 1 </w:t>
      </w:r>
      <w:r w:rsidR="001C6010" w:rsidRPr="00EE7FF7">
        <w:rPr>
          <w:rFonts w:ascii="Times New Roman" w:hAnsi="Times New Roman" w:cs="Times New Roman"/>
          <w:szCs w:val="24"/>
        </w:rPr>
        <w:t>zdanie</w:t>
      </w:r>
      <w:r w:rsidRPr="00EE7FF7">
        <w:rPr>
          <w:rFonts w:ascii="Times New Roman" w:hAnsi="Times New Roman" w:cs="Times New Roman"/>
          <w:szCs w:val="24"/>
        </w:rPr>
        <w:t xml:space="preserve">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5FD4F445" w14:textId="7BC3227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Powołany wyżej przepis ma charakter semi-imperatywny, gdyż umowa (statut) spółki zależnej może ograniczyć zakres tego badania, ale nie może prawa do jego przeprowadzenia całkowicie wyłączyć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Ograniczenie tego badania może nastąpić także z mocy postanowienia sądu rejestrowego na wniosek spółki dominującej bądź spółki zależnej w konkretnej sprawie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 4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Celem tych regulacji jest ograniczenie kosztów wspomnianego badania, przyspieszenie jego przeprowadzenia</w:t>
      </w:r>
      <w:r w:rsidR="00D56998">
        <w:rPr>
          <w:rFonts w:ascii="Times New Roman" w:hAnsi="Times New Roman" w:cs="Times New Roman"/>
          <w:szCs w:val="24"/>
        </w:rPr>
        <w:t>,</w:t>
      </w:r>
      <w:r w:rsidRPr="00EE7FF7">
        <w:rPr>
          <w:rFonts w:ascii="Times New Roman" w:hAnsi="Times New Roman" w:cs="Times New Roman"/>
          <w:szCs w:val="24"/>
        </w:rPr>
        <w:t xml:space="preserve"> a także ochrona tajemnic przedsiębiorstwa spółki i innych prawnie chronionych informacji.</w:t>
      </w:r>
    </w:p>
    <w:p w14:paraId="07ABD20D" w14:textId="37BE4C67"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Z kolei przepis art. 21</w:t>
      </w:r>
      <w:r w:rsidRPr="00EE7FF7">
        <w:rPr>
          <w:rStyle w:val="IGindeksgrny"/>
          <w:rFonts w:ascii="Times New Roman" w:hAnsi="Times New Roman" w:cs="Times New Roman"/>
          <w:szCs w:val="24"/>
        </w:rPr>
        <w:t>9</w:t>
      </w:r>
      <w:r w:rsidRPr="00EE7FF7">
        <w:rPr>
          <w:rFonts w:ascii="Times New Roman" w:hAnsi="Times New Roman" w:cs="Times New Roman"/>
          <w:szCs w:val="24"/>
        </w:rPr>
        <w:t xml:space="preserve"> § 3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ma charakter techniczno-prawny i odnosi się do procedury wyznaczania biegłego przez sąd rejestrowy.</w:t>
      </w:r>
    </w:p>
    <w:p w14:paraId="65A602DB" w14:textId="1BA7FE72"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4.12.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reguluje prawo wspólnika (akcjonariusza) mniejszościowego spółki zależnej do odkupienia jego udziałów albo akcji przez spółkę dominującą (</w:t>
      </w:r>
      <w:r w:rsidR="00A37558" w:rsidRPr="00EE7FF7">
        <w:rPr>
          <w:rFonts w:ascii="Times New Roman" w:hAnsi="Times New Roman" w:cs="Times New Roman"/>
          <w:szCs w:val="24"/>
        </w:rPr>
        <w:t>tak zwany</w:t>
      </w:r>
      <w:r w:rsidRPr="00EE7FF7">
        <w:rPr>
          <w:rFonts w:ascii="Times New Roman" w:hAnsi="Times New Roman" w:cs="Times New Roman"/>
          <w:szCs w:val="24"/>
        </w:rPr>
        <w:t xml:space="preserve"> </w:t>
      </w:r>
      <w:r w:rsidRPr="00EE7FF7">
        <w:rPr>
          <w:rFonts w:ascii="Times New Roman" w:hAnsi="Times New Roman" w:cs="Times New Roman"/>
          <w:i/>
          <w:szCs w:val="24"/>
        </w:rPr>
        <w:t>sell-out</w:t>
      </w:r>
      <w:r w:rsidRPr="00EE7FF7">
        <w:rPr>
          <w:rFonts w:ascii="Times New Roman" w:hAnsi="Times New Roman" w:cs="Times New Roman"/>
          <w:szCs w:val="24"/>
        </w:rPr>
        <w:t>). Stąd też można go zaliczyć do wspomnianych wyżej przepisów ochronnych.</w:t>
      </w:r>
    </w:p>
    <w:p w14:paraId="2CC86600" w14:textId="16D92BD1" w:rsidR="009D4479" w:rsidRPr="00EE7FF7" w:rsidRDefault="009D4479" w:rsidP="00EE7FF7">
      <w:pPr>
        <w:pStyle w:val="ARTartustawynprozporzdzenia"/>
        <w:ind w:firstLine="0"/>
        <w:rPr>
          <w:rFonts w:ascii="Times New Roman" w:hAnsi="Times New Roman" w:cs="Times New Roman"/>
          <w:b/>
          <w:bCs/>
          <w:szCs w:val="24"/>
        </w:rPr>
      </w:pPr>
      <w:r w:rsidRPr="00EE7FF7">
        <w:rPr>
          <w:rFonts w:ascii="Times New Roman" w:hAnsi="Times New Roman" w:cs="Times New Roman"/>
          <w:i/>
          <w:szCs w:val="24"/>
        </w:rPr>
        <w:t>Sell-out</w:t>
      </w:r>
      <w:r w:rsidRPr="00EE7FF7">
        <w:rPr>
          <w:rFonts w:ascii="Times New Roman" w:hAnsi="Times New Roman" w:cs="Times New Roman"/>
          <w:szCs w:val="24"/>
        </w:rPr>
        <w:t xml:space="preserve"> jest instytucją prawną znaną polskiemu prawu spółek handlowych. Występuje on tylko w spółce akcyjnej, a więc nie jest znany na gruncie spółki z o.o. W przypadku spółek akcyjnych prywatnych (niepublicznych) reguluje go art. 418</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w:t>
      </w:r>
      <w:r w:rsidRPr="00EE7FF7">
        <w:rPr>
          <w:rFonts w:ascii="Times New Roman" w:hAnsi="Times New Roman" w:cs="Times New Roman"/>
          <w:bCs/>
          <w:szCs w:val="24"/>
        </w:rPr>
        <w:t xml:space="preserve">Nie może natomiast do spółek zależnych w grupie spółek znaleźć zastosowania przepis art. 83 ustawy o </w:t>
      </w:r>
      <w:r w:rsidRPr="00EE7FF7">
        <w:rPr>
          <w:rFonts w:ascii="Times New Roman" w:hAnsi="Times New Roman" w:cs="Times New Roman"/>
          <w:bCs/>
          <w:szCs w:val="24"/>
        </w:rPr>
        <w:lastRenderedPageBreak/>
        <w:t>ofercie publicznej odnoszący się do spółek publicznych, gdyż te zostały wyłączone z zakresu podmiotowego prz</w:t>
      </w:r>
      <w:r w:rsidR="00C97188" w:rsidRPr="00EE7FF7">
        <w:rPr>
          <w:rFonts w:ascii="Times New Roman" w:hAnsi="Times New Roman" w:cs="Times New Roman"/>
          <w:bCs/>
          <w:szCs w:val="24"/>
        </w:rPr>
        <w:t>episów o grupie spółek (art. 21</w:t>
      </w:r>
      <w:r w:rsidR="00C97188" w:rsidRPr="00EE7FF7">
        <w:rPr>
          <w:rFonts w:ascii="Times New Roman" w:hAnsi="Times New Roman" w:cs="Times New Roman"/>
          <w:bCs/>
          <w:szCs w:val="24"/>
          <w:vertAlign w:val="superscript"/>
        </w:rPr>
        <w:t>15</w:t>
      </w:r>
      <w:r w:rsidRPr="00EE7FF7">
        <w:rPr>
          <w:rFonts w:ascii="Times New Roman" w:hAnsi="Times New Roman" w:cs="Times New Roman"/>
          <w:bCs/>
          <w:szCs w:val="24"/>
        </w:rPr>
        <w:t xml:space="preserve"> § </w:t>
      </w:r>
      <w:r w:rsidR="00A350B6" w:rsidRPr="00EE7FF7">
        <w:rPr>
          <w:rFonts w:ascii="Times New Roman" w:hAnsi="Times New Roman" w:cs="Times New Roman"/>
          <w:bCs/>
          <w:szCs w:val="24"/>
        </w:rPr>
        <w:t>2</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1EFDCAB2" w14:textId="3E018668"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Regulacja </w:t>
      </w:r>
      <w:r w:rsidRPr="00EE7FF7">
        <w:rPr>
          <w:rFonts w:ascii="Times New Roman" w:hAnsi="Times New Roman" w:cs="Times New Roman"/>
          <w:i/>
          <w:szCs w:val="24"/>
        </w:rPr>
        <w:t>sell-out</w:t>
      </w:r>
      <w:r w:rsidRPr="00EE7FF7">
        <w:rPr>
          <w:rFonts w:ascii="Times New Roman" w:hAnsi="Times New Roman" w:cs="Times New Roman"/>
          <w:szCs w:val="24"/>
        </w:rPr>
        <w:t xml:space="preserve"> w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nie tylko rozszerza możliwość zastosowania tej instytucji na spółki z o.o., ale także liberalizuje przesłanki jej zastosowania. W miejsce obowiązującego w powołanych wyżej przepisach ogólnych pułapu reprezentowania 95% kapitału zakładowego (w spółkach prywatnych) albo 95% ilości ogółu głosów (w spółkach publicznych) przez akcjonariuszy większościowych w danej spółce, do wykonania tego prawa przez wspólników (akcjonariuszy) mniejszościowych spółki zależnej, wystarczające jest, że spółka dominująca reprezentuje w tej spółce co najmniej 90% kapitału zakładowego, bezpośrednio bądź pośrednio. W sytuacji, kiedy spółka dominująca osiąga powyższy pułap razem z innym</w:t>
      </w:r>
      <w:r w:rsidR="005D41FB" w:rsidRPr="00EE7FF7">
        <w:rPr>
          <w:rFonts w:ascii="Times New Roman" w:hAnsi="Times New Roman" w:cs="Times New Roman"/>
          <w:szCs w:val="24"/>
        </w:rPr>
        <w:t>i</w:t>
      </w:r>
      <w:r w:rsidRPr="00EE7FF7">
        <w:rPr>
          <w:rFonts w:ascii="Times New Roman" w:hAnsi="Times New Roman" w:cs="Times New Roman"/>
          <w:szCs w:val="24"/>
        </w:rPr>
        <w:t xml:space="preserve"> spółkami zależnymi, nie jest wymagane ograniczenie z art. 418</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 1 KSH, że odkupujących nie może być więcej niż pięciu. </w:t>
      </w:r>
      <w:r w:rsidRPr="00EE7FF7">
        <w:rPr>
          <w:rFonts w:ascii="Times New Roman" w:hAnsi="Times New Roman" w:cs="Times New Roman"/>
          <w:bCs/>
          <w:szCs w:val="24"/>
        </w:rPr>
        <w:t>Mając na uwadze interes beneficjentów odkupu udziałów czy akcji spółki zależnej</w:t>
      </w:r>
      <w:r w:rsidR="00BB501E">
        <w:rPr>
          <w:rFonts w:ascii="Times New Roman" w:hAnsi="Times New Roman" w:cs="Times New Roman"/>
          <w:bCs/>
          <w:szCs w:val="24"/>
        </w:rPr>
        <w:t>,</w:t>
      </w:r>
      <w:r w:rsidRPr="00EE7FF7">
        <w:rPr>
          <w:rFonts w:ascii="Times New Roman" w:hAnsi="Times New Roman" w:cs="Times New Roman"/>
          <w:bCs/>
          <w:szCs w:val="24"/>
        </w:rPr>
        <w:t xml:space="preserve"> projekt dopuszcza możliwość spełnienia przesłanki tego odkupu nie tylko bezpośrednio przez spółkę dominującą, ale także pośrednio lub na podstawie porozumień z innymi osobami.</w:t>
      </w:r>
    </w:p>
    <w:p w14:paraId="0955C717" w14:textId="0574968E"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Projekt stara się wyważyć sprzeczne interesy </w:t>
      </w:r>
      <w:r w:rsidR="00BB501E">
        <w:rPr>
          <w:rFonts w:ascii="Times New Roman" w:hAnsi="Times New Roman" w:cs="Times New Roman"/>
          <w:szCs w:val="24"/>
        </w:rPr>
        <w:t xml:space="preserve">między </w:t>
      </w:r>
      <w:r w:rsidRPr="00EE7FF7">
        <w:rPr>
          <w:rFonts w:ascii="Times New Roman" w:hAnsi="Times New Roman" w:cs="Times New Roman"/>
          <w:szCs w:val="24"/>
        </w:rPr>
        <w:t>spółk</w:t>
      </w:r>
      <w:r w:rsidR="00BB501E">
        <w:rPr>
          <w:rFonts w:ascii="Times New Roman" w:hAnsi="Times New Roman" w:cs="Times New Roman"/>
          <w:szCs w:val="24"/>
        </w:rPr>
        <w:t>ą</w:t>
      </w:r>
      <w:r w:rsidRPr="00EE7FF7">
        <w:rPr>
          <w:rFonts w:ascii="Times New Roman" w:hAnsi="Times New Roman" w:cs="Times New Roman"/>
          <w:szCs w:val="24"/>
        </w:rPr>
        <w:t xml:space="preserve"> dominując</w:t>
      </w:r>
      <w:r w:rsidR="00BB501E">
        <w:rPr>
          <w:rFonts w:ascii="Times New Roman" w:hAnsi="Times New Roman" w:cs="Times New Roman"/>
          <w:szCs w:val="24"/>
        </w:rPr>
        <w:t>ą</w:t>
      </w:r>
      <w:r w:rsidRPr="00EE7FF7">
        <w:rPr>
          <w:rFonts w:ascii="Times New Roman" w:hAnsi="Times New Roman" w:cs="Times New Roman"/>
          <w:szCs w:val="24"/>
        </w:rPr>
        <w:t xml:space="preserve"> zobowiązan</w:t>
      </w:r>
      <w:r w:rsidR="00BB501E">
        <w:rPr>
          <w:rFonts w:ascii="Times New Roman" w:hAnsi="Times New Roman" w:cs="Times New Roman"/>
          <w:szCs w:val="24"/>
        </w:rPr>
        <w:t xml:space="preserve">ą </w:t>
      </w:r>
      <w:r w:rsidRPr="00EE7FF7">
        <w:rPr>
          <w:rFonts w:ascii="Times New Roman" w:hAnsi="Times New Roman" w:cs="Times New Roman"/>
          <w:szCs w:val="24"/>
        </w:rPr>
        <w:t xml:space="preserve">do odkupu a wspólnikami (akcjonariuszami) mniejszościowymi spółki zależnej jako osobami uprawnionymi, mając na względzie, że </w:t>
      </w:r>
      <w:r w:rsidRPr="00EE7FF7">
        <w:rPr>
          <w:rFonts w:ascii="Times New Roman" w:hAnsi="Times New Roman" w:cs="Times New Roman"/>
          <w:i/>
          <w:szCs w:val="24"/>
        </w:rPr>
        <w:t>sell-out</w:t>
      </w:r>
      <w:r w:rsidRPr="00EE7FF7">
        <w:rPr>
          <w:rFonts w:ascii="Times New Roman" w:hAnsi="Times New Roman" w:cs="Times New Roman"/>
          <w:szCs w:val="24"/>
        </w:rPr>
        <w:t xml:space="preserve"> może zagrozić płynności spółki dominującej. Dlatego też, co do zasady, </w:t>
      </w:r>
      <w:r w:rsidRPr="00EE7FF7">
        <w:rPr>
          <w:rFonts w:ascii="Times New Roman" w:hAnsi="Times New Roman" w:cs="Times New Roman"/>
          <w:i/>
          <w:szCs w:val="24"/>
        </w:rPr>
        <w:t>sell-out</w:t>
      </w:r>
      <w:r w:rsidRPr="00EE7FF7">
        <w:rPr>
          <w:rFonts w:ascii="Times New Roman" w:hAnsi="Times New Roman" w:cs="Times New Roman"/>
          <w:szCs w:val="24"/>
        </w:rPr>
        <w:t xml:space="preserve"> należy</w:t>
      </w:r>
      <w:r w:rsidR="00456CEE" w:rsidRPr="00EE7FF7">
        <w:rPr>
          <w:rFonts w:ascii="Times New Roman" w:hAnsi="Times New Roman" w:cs="Times New Roman"/>
          <w:szCs w:val="24"/>
        </w:rPr>
        <w:t xml:space="preserve"> wykonać nie częściej niż raz w roku obrotowym i nie wcześniej niż trzy miesiące</w:t>
      </w:r>
      <w:r w:rsidRPr="00EE7FF7">
        <w:rPr>
          <w:rFonts w:ascii="Times New Roman" w:hAnsi="Times New Roman" w:cs="Times New Roman"/>
          <w:szCs w:val="24"/>
        </w:rPr>
        <w:t xml:space="preserve"> od ujawnienia uczestnictwa spółki zależnej w grupie spółek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3AC36837" w14:textId="64C08067"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szCs w:val="24"/>
        </w:rPr>
        <w:t>W kwestiach wyceny udziałów albo akcji objętych przymusowym odkupem przez spółkę dominującą w ramach grupy spółek przepis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 1 </w:t>
      </w:r>
      <w:r w:rsidRPr="005B2436">
        <w:rPr>
          <w:rFonts w:ascii="Times New Roman" w:hAnsi="Times New Roman" w:cs="Times New Roman"/>
          <w:i/>
          <w:szCs w:val="24"/>
        </w:rPr>
        <w:t>in fine</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odsyła do zasad określonych w </w:t>
      </w:r>
      <w:r w:rsidR="00C97188" w:rsidRPr="00EE7FF7">
        <w:rPr>
          <w:rFonts w:ascii="Times New Roman" w:hAnsi="Times New Roman" w:cs="Times New Roman"/>
          <w:bCs/>
          <w:szCs w:val="24"/>
        </w:rPr>
        <w:t>art. 418</w:t>
      </w:r>
      <w:r w:rsidR="00C97188" w:rsidRPr="00EE7FF7">
        <w:rPr>
          <w:rFonts w:ascii="Times New Roman" w:hAnsi="Times New Roman" w:cs="Times New Roman"/>
          <w:bCs/>
          <w:szCs w:val="24"/>
          <w:vertAlign w:val="superscript"/>
        </w:rPr>
        <w:t>1</w:t>
      </w:r>
      <w:r w:rsidRPr="00EE7FF7">
        <w:rPr>
          <w:rFonts w:ascii="Times New Roman" w:hAnsi="Times New Roman" w:cs="Times New Roman"/>
          <w:bCs/>
          <w:szCs w:val="24"/>
        </w:rPr>
        <w:t xml:space="preserve"> </w:t>
      </w:r>
      <w:r w:rsidR="00BA7F59" w:rsidRPr="00EE7FF7">
        <w:rPr>
          <w:rFonts w:ascii="Times New Roman" w:hAnsi="Times New Roman" w:cs="Times New Roman"/>
          <w:bCs/>
          <w:szCs w:val="24"/>
        </w:rPr>
        <w:t>§ 2</w:t>
      </w:r>
      <w:r w:rsidR="00DF530A" w:rsidRPr="00EE7FF7">
        <w:rPr>
          <w:rFonts w:ascii="Times New Roman" w:hAnsi="Times New Roman" w:cs="Times New Roman"/>
          <w:bCs/>
          <w:szCs w:val="24"/>
        </w:rPr>
        <w:t>–</w:t>
      </w:r>
      <w:r w:rsidR="00BA7F59" w:rsidRPr="00EE7FF7">
        <w:rPr>
          <w:rFonts w:ascii="Times New Roman" w:hAnsi="Times New Roman" w:cs="Times New Roman"/>
          <w:bCs/>
          <w:szCs w:val="24"/>
        </w:rPr>
        <w:t xml:space="preserve">4 i 8 </w:t>
      </w:r>
      <w:r w:rsidRPr="00EE7FF7">
        <w:rPr>
          <w:rFonts w:ascii="Times New Roman" w:hAnsi="Times New Roman" w:cs="Times New Roman"/>
          <w:bCs/>
          <w:szCs w:val="24"/>
        </w:rPr>
        <w:t>KSH</w:t>
      </w:r>
      <w:r w:rsidRPr="00EE7FF7">
        <w:rPr>
          <w:rFonts w:ascii="Times New Roman" w:hAnsi="Times New Roman" w:cs="Times New Roman"/>
          <w:szCs w:val="24"/>
        </w:rPr>
        <w:t xml:space="preserve">. </w:t>
      </w:r>
      <w:r w:rsidRPr="00EE7FF7">
        <w:rPr>
          <w:rFonts w:ascii="Times New Roman" w:hAnsi="Times New Roman" w:cs="Times New Roman"/>
          <w:bCs/>
          <w:szCs w:val="24"/>
        </w:rPr>
        <w:t>Ten ostatni przepis znajduje zastosowanie w przypadku grupy spółek zarówno do odkupu akcji spółki prywatnej</w:t>
      </w:r>
      <w:r w:rsidR="00DA158E" w:rsidRPr="00EE7FF7">
        <w:rPr>
          <w:rFonts w:ascii="Times New Roman" w:hAnsi="Times New Roman" w:cs="Times New Roman"/>
          <w:bCs/>
          <w:szCs w:val="24"/>
        </w:rPr>
        <w:t>,</w:t>
      </w:r>
      <w:r w:rsidRPr="00EE7FF7">
        <w:rPr>
          <w:rFonts w:ascii="Times New Roman" w:hAnsi="Times New Roman" w:cs="Times New Roman"/>
          <w:bCs/>
          <w:szCs w:val="24"/>
        </w:rPr>
        <w:t xml:space="preserve"> a także udziałów spółki z o.o. Wycena odkupowanych praw udziałowych jest określona na podstawie art. 417 § 1 KSH. W przypadku, gdy spółką zależną jest spółka z o.o. albo spółka akcyjna (tylko niepubliczna), zaś cena tych praw jest określana przez biegłego wyznaczonego przez zgromadzenie wspólników albo walne zgromadzenie tej spółki, konieczne jest ukształtowanie prawa do zwołania tego zgromadzenia jako prawa </w:t>
      </w:r>
      <w:r w:rsidRPr="00EE7FF7">
        <w:rPr>
          <w:rFonts w:ascii="Times New Roman" w:hAnsi="Times New Roman" w:cs="Times New Roman"/>
          <w:bCs/>
          <w:szCs w:val="24"/>
        </w:rPr>
        <w:lastRenderedPageBreak/>
        <w:t>indywidualnego</w:t>
      </w:r>
      <w:r w:rsidR="00DA158E" w:rsidRPr="00EE7FF7">
        <w:rPr>
          <w:rFonts w:ascii="Times New Roman" w:hAnsi="Times New Roman" w:cs="Times New Roman"/>
          <w:bCs/>
          <w:szCs w:val="24"/>
        </w:rPr>
        <w:t>,</w:t>
      </w:r>
      <w:r w:rsidRPr="00EE7FF7">
        <w:rPr>
          <w:rFonts w:ascii="Times New Roman" w:hAnsi="Times New Roman" w:cs="Times New Roman"/>
          <w:bCs/>
          <w:szCs w:val="24"/>
        </w:rPr>
        <w:t xml:space="preserve"> a nie zaś kolektywnego, jak to przewidują normy ogólne z art. 236 </w:t>
      </w:r>
      <w:r w:rsidR="00C97188" w:rsidRPr="00EE7FF7">
        <w:rPr>
          <w:rFonts w:ascii="Times New Roman" w:hAnsi="Times New Roman" w:cs="Times New Roman"/>
          <w:bCs/>
          <w:szCs w:val="24"/>
        </w:rPr>
        <w:t>§ 1 i art. 400 § 1 KSH (art. 21</w:t>
      </w:r>
      <w:r w:rsidR="00C97188" w:rsidRPr="00EE7FF7">
        <w:rPr>
          <w:rFonts w:ascii="Times New Roman" w:hAnsi="Times New Roman" w:cs="Times New Roman"/>
          <w:bCs/>
          <w:szCs w:val="24"/>
          <w:vertAlign w:val="superscript"/>
        </w:rPr>
        <w:t>10</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w:t>
      </w:r>
    </w:p>
    <w:p w14:paraId="7581DBEC" w14:textId="5E677091"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Wobec faktu, ż</w:t>
      </w:r>
      <w:r w:rsidR="00C97188" w:rsidRPr="00EE7FF7">
        <w:rPr>
          <w:rFonts w:ascii="Times New Roman" w:hAnsi="Times New Roman" w:cs="Times New Roman"/>
          <w:bCs/>
          <w:szCs w:val="24"/>
        </w:rPr>
        <w:t>e z mocy art. 21</w:t>
      </w:r>
      <w:r w:rsidRPr="00EE7FF7">
        <w:rPr>
          <w:rFonts w:ascii="Times New Roman" w:hAnsi="Times New Roman" w:cs="Times New Roman"/>
          <w:bCs/>
          <w:szCs w:val="24"/>
          <w:vertAlign w:val="superscript"/>
        </w:rPr>
        <w:t>4</w:t>
      </w:r>
      <w:r w:rsidRPr="00EE7FF7">
        <w:rPr>
          <w:rFonts w:ascii="Times New Roman" w:hAnsi="Times New Roman" w:cs="Times New Roman"/>
          <w:bCs/>
          <w:szCs w:val="24"/>
        </w:rPr>
        <w:t xml:space="preserve"> § </w:t>
      </w:r>
      <w:r w:rsidR="007F077F" w:rsidRPr="00EE7FF7">
        <w:rPr>
          <w:rFonts w:ascii="Times New Roman" w:hAnsi="Times New Roman" w:cs="Times New Roman"/>
          <w:bCs/>
          <w:szCs w:val="24"/>
        </w:rPr>
        <w:t>3</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umowa albo statut spółki zależnej może dopuszczać </w:t>
      </w:r>
      <w:r w:rsidR="006914FB" w:rsidRPr="00EE7FF7">
        <w:rPr>
          <w:rFonts w:ascii="Times New Roman" w:hAnsi="Times New Roman" w:cs="Times New Roman"/>
          <w:bCs/>
          <w:szCs w:val="24"/>
        </w:rPr>
        <w:t xml:space="preserve">odmienne </w:t>
      </w:r>
      <w:r w:rsidRPr="00EE7FF7">
        <w:rPr>
          <w:rFonts w:ascii="Times New Roman" w:hAnsi="Times New Roman" w:cs="Times New Roman"/>
          <w:bCs/>
          <w:szCs w:val="24"/>
        </w:rPr>
        <w:t>wymogi odmowy wykonania wiążącego polecenia spółki dominującej, z czym niekoniecznie muszą się godzić wspólnicy albo akcjonariusze mniejszościowi spółki zale</w:t>
      </w:r>
      <w:r w:rsidR="00C97188" w:rsidRPr="00EE7FF7">
        <w:rPr>
          <w:rFonts w:ascii="Times New Roman" w:hAnsi="Times New Roman" w:cs="Times New Roman"/>
          <w:bCs/>
          <w:szCs w:val="24"/>
        </w:rPr>
        <w:t>żnej, przepis art. 21</w:t>
      </w:r>
      <w:r w:rsidR="00C97188" w:rsidRPr="00EE7FF7">
        <w:rPr>
          <w:rFonts w:ascii="Times New Roman" w:hAnsi="Times New Roman" w:cs="Times New Roman"/>
          <w:bCs/>
          <w:szCs w:val="24"/>
          <w:vertAlign w:val="superscript"/>
        </w:rPr>
        <w:t>10</w:t>
      </w:r>
      <w:r w:rsidRPr="00EE7FF7">
        <w:rPr>
          <w:rFonts w:ascii="Times New Roman" w:hAnsi="Times New Roman" w:cs="Times New Roman"/>
          <w:bCs/>
          <w:szCs w:val="24"/>
        </w:rPr>
        <w:t xml:space="preserve"> § 4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uzależnia skuteczność takich postanowień umowy albo statutu spółki zależnej od odkupienia udziałów albo akcji wspólników bądź akcjonariuszy „niezadowolonych” z tego. Jest to rozwiązanie znane w dotychczasowej treści </w:t>
      </w:r>
      <w:r w:rsidR="00DA158E" w:rsidRPr="00EE7FF7">
        <w:rPr>
          <w:rFonts w:ascii="Times New Roman" w:hAnsi="Times New Roman" w:cs="Times New Roman"/>
          <w:bCs/>
          <w:szCs w:val="24"/>
        </w:rPr>
        <w:t>K</w:t>
      </w:r>
      <w:r w:rsidRPr="00EE7FF7">
        <w:rPr>
          <w:rFonts w:ascii="Times New Roman" w:hAnsi="Times New Roman" w:cs="Times New Roman"/>
          <w:bCs/>
          <w:szCs w:val="24"/>
        </w:rPr>
        <w:t>odeksu spółek handlowych</w:t>
      </w:r>
      <w:r w:rsidR="005D41FB" w:rsidRPr="00EE7FF7">
        <w:rPr>
          <w:rFonts w:ascii="Times New Roman" w:hAnsi="Times New Roman" w:cs="Times New Roman"/>
          <w:bCs/>
          <w:szCs w:val="24"/>
        </w:rPr>
        <w:t>,</w:t>
      </w:r>
      <w:r w:rsidRPr="00EE7FF7">
        <w:rPr>
          <w:rFonts w:ascii="Times New Roman" w:hAnsi="Times New Roman" w:cs="Times New Roman"/>
          <w:bCs/>
          <w:szCs w:val="24"/>
        </w:rPr>
        <w:t xml:space="preserve"> a mianowicie w przypadku istotnej zmiany przedmiotu działalności spółki akcyjnej (art. 416 KSH).</w:t>
      </w:r>
    </w:p>
    <w:p w14:paraId="0C800350" w14:textId="480ADFCF" w:rsidR="00101F2F" w:rsidRPr="00EE7FF7" w:rsidRDefault="00101F2F"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W</w:t>
      </w:r>
      <w:r w:rsidR="00E66882" w:rsidRPr="00EE7FF7">
        <w:rPr>
          <w:rFonts w:ascii="Times New Roman" w:hAnsi="Times New Roman" w:cs="Times New Roman"/>
          <w:bCs/>
          <w:szCs w:val="24"/>
        </w:rPr>
        <w:t xml:space="preserve"> oparciu o podobne założenia, w</w:t>
      </w:r>
      <w:r w:rsidRPr="00EE7FF7">
        <w:rPr>
          <w:rFonts w:ascii="Times New Roman" w:hAnsi="Times New Roman" w:cs="Times New Roman"/>
          <w:bCs/>
          <w:szCs w:val="24"/>
        </w:rPr>
        <w:t xml:space="preserve"> celu ochrony praw i oczekiwań</w:t>
      </w:r>
      <w:r w:rsidR="00E66882" w:rsidRPr="00EE7FF7">
        <w:rPr>
          <w:rFonts w:ascii="Times New Roman" w:hAnsi="Times New Roman" w:cs="Times New Roman"/>
          <w:bCs/>
          <w:szCs w:val="24"/>
        </w:rPr>
        <w:t xml:space="preserve"> tych</w:t>
      </w:r>
      <w:r w:rsidRPr="00EE7FF7">
        <w:rPr>
          <w:rFonts w:ascii="Times New Roman" w:hAnsi="Times New Roman" w:cs="Times New Roman"/>
          <w:bCs/>
          <w:szCs w:val="24"/>
        </w:rPr>
        <w:t xml:space="preserve"> wspólników i akcjonariuszy, którzy uzyskali ten status przed dniem wejście w życie niniejszej u</w:t>
      </w:r>
      <w:r w:rsidR="00F94E6D" w:rsidRPr="00EE7FF7">
        <w:rPr>
          <w:rFonts w:ascii="Times New Roman" w:hAnsi="Times New Roman" w:cs="Times New Roman"/>
          <w:bCs/>
          <w:szCs w:val="24"/>
        </w:rPr>
        <w:t>stawy</w:t>
      </w:r>
      <w:r w:rsidR="00AB7831">
        <w:rPr>
          <w:rFonts w:ascii="Times New Roman" w:hAnsi="Times New Roman" w:cs="Times New Roman"/>
          <w:bCs/>
          <w:szCs w:val="24"/>
        </w:rPr>
        <w:t>,</w:t>
      </w:r>
      <w:r w:rsidR="00F94E6D" w:rsidRPr="00EE7FF7">
        <w:rPr>
          <w:rFonts w:ascii="Times New Roman" w:hAnsi="Times New Roman" w:cs="Times New Roman"/>
          <w:bCs/>
          <w:szCs w:val="24"/>
        </w:rPr>
        <w:t xml:space="preserve"> zostało im również przyznane dodatkowe prawo </w:t>
      </w:r>
      <w:r w:rsidR="00F94E6D" w:rsidRPr="00EE7FF7">
        <w:rPr>
          <w:rFonts w:ascii="Times New Roman" w:hAnsi="Times New Roman" w:cs="Times New Roman"/>
          <w:bCs/>
          <w:i/>
          <w:szCs w:val="24"/>
        </w:rPr>
        <w:t>sell-outu</w:t>
      </w:r>
      <w:r w:rsidR="00F94E6D" w:rsidRPr="00EE7FF7">
        <w:rPr>
          <w:rFonts w:ascii="Times New Roman" w:hAnsi="Times New Roman" w:cs="Times New Roman"/>
          <w:bCs/>
          <w:szCs w:val="24"/>
        </w:rPr>
        <w:t>. Instytucja ta została uregulowana w art. 10 niniejszej ustawy. Inaczej niż w wypadku art. 21</w:t>
      </w:r>
      <w:r w:rsidR="00F94E6D" w:rsidRPr="00EE7FF7">
        <w:rPr>
          <w:rFonts w:ascii="Times New Roman" w:hAnsi="Times New Roman" w:cs="Times New Roman"/>
          <w:bCs/>
          <w:szCs w:val="24"/>
          <w:vertAlign w:val="superscript"/>
        </w:rPr>
        <w:t xml:space="preserve">10 </w:t>
      </w:r>
      <w:r w:rsidR="00F94E6D" w:rsidRPr="00EE7FF7">
        <w:rPr>
          <w:rFonts w:ascii="Times New Roman" w:hAnsi="Times New Roman" w:cs="Times New Roman"/>
          <w:bCs/>
          <w:szCs w:val="24"/>
        </w:rPr>
        <w:t>możliwość skorzystania z niej nie jest uzależniona od poziomu kapitału</w:t>
      </w:r>
      <w:r w:rsidR="00AB7831">
        <w:rPr>
          <w:rFonts w:ascii="Times New Roman" w:hAnsi="Times New Roman" w:cs="Times New Roman"/>
          <w:bCs/>
          <w:szCs w:val="24"/>
        </w:rPr>
        <w:t>,</w:t>
      </w:r>
      <w:r w:rsidR="00F94E6D" w:rsidRPr="00EE7FF7">
        <w:rPr>
          <w:rFonts w:ascii="Times New Roman" w:hAnsi="Times New Roman" w:cs="Times New Roman"/>
          <w:bCs/>
          <w:szCs w:val="24"/>
        </w:rPr>
        <w:t xml:space="preserve"> jaki reprezentuje spółka dominująca, ale od dopełnienia przez wspólnika lub akcjonariusza określonych obowiązków formalnych. Drugą istotną różnicą między art. 21</w:t>
      </w:r>
      <w:r w:rsidR="00F94E6D" w:rsidRPr="00EE7FF7">
        <w:rPr>
          <w:rFonts w:ascii="Times New Roman" w:hAnsi="Times New Roman" w:cs="Times New Roman"/>
          <w:bCs/>
          <w:szCs w:val="24"/>
          <w:vertAlign w:val="superscript"/>
        </w:rPr>
        <w:t xml:space="preserve">10 </w:t>
      </w:r>
      <w:r w:rsidR="00245F5C" w:rsidRPr="00EE7FF7">
        <w:rPr>
          <w:rFonts w:ascii="Times New Roman" w:hAnsi="Times New Roman" w:cs="Times New Roman"/>
          <w:bCs/>
          <w:szCs w:val="24"/>
        </w:rPr>
        <w:t>projektowanego</w:t>
      </w:r>
      <w:r w:rsidR="00F94E6D" w:rsidRPr="00EE7FF7">
        <w:rPr>
          <w:rFonts w:ascii="Times New Roman" w:hAnsi="Times New Roman" w:cs="Times New Roman"/>
          <w:bCs/>
          <w:szCs w:val="24"/>
        </w:rPr>
        <w:t xml:space="preserve"> KSH a art. 10 jest to</w:t>
      </w:r>
      <w:r w:rsidR="005D41FB" w:rsidRPr="00EE7FF7">
        <w:rPr>
          <w:rFonts w:ascii="Times New Roman" w:hAnsi="Times New Roman" w:cs="Times New Roman"/>
          <w:bCs/>
          <w:szCs w:val="24"/>
        </w:rPr>
        <w:t>,</w:t>
      </w:r>
      <w:r w:rsidR="00F94E6D" w:rsidRPr="00EE7FF7">
        <w:rPr>
          <w:rFonts w:ascii="Times New Roman" w:hAnsi="Times New Roman" w:cs="Times New Roman"/>
          <w:bCs/>
          <w:szCs w:val="24"/>
        </w:rPr>
        <w:t xml:space="preserve"> że podczas gdy pierwsze z tych uprawnień ma charakter ciągły i przysługuje wspólnikowi przez cały czas istnienia grupy spółek, drugie przysługuje wyłącznie w związku z tworzeniem grupy spółek, osoba która chce z niego skorzystać musi więc od samego początku sprzeciwiać się utworzeniu grupy spółek, podobnie jak ma to miejsce w wypadku istotnej zmiany przedmiotu działalności spółki.</w:t>
      </w:r>
    </w:p>
    <w:p w14:paraId="11DED3B0" w14:textId="7573D80E"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4.13. Art. 21</w:t>
      </w:r>
      <w:r w:rsidRPr="00EE7FF7">
        <w:rPr>
          <w:rStyle w:val="IGindeksgrny"/>
          <w:rFonts w:ascii="Times New Roman" w:hAnsi="Times New Roman" w:cs="Times New Roman"/>
          <w:szCs w:val="24"/>
        </w:rPr>
        <w:t>11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zawiera mechanizm ochronny dla spółki dominującej, umożliwiający jej sprawne zarządzanie grupą spółek. Chodzi tu o przymusowy wykup udziałów czy akcji należących do wspólników (akcjonariuszy) mniejszościowych spółki zależnej przez spółkę dominującą (</w:t>
      </w:r>
      <w:r w:rsidRPr="00EE7FF7">
        <w:rPr>
          <w:rFonts w:ascii="Times New Roman" w:hAnsi="Times New Roman" w:cs="Times New Roman"/>
          <w:i/>
          <w:szCs w:val="24"/>
        </w:rPr>
        <w:t>squeeze-out</w:t>
      </w:r>
      <w:r w:rsidRPr="00EE7FF7">
        <w:rPr>
          <w:rFonts w:ascii="Times New Roman" w:hAnsi="Times New Roman" w:cs="Times New Roman"/>
          <w:szCs w:val="24"/>
        </w:rPr>
        <w:t>).</w:t>
      </w:r>
    </w:p>
    <w:p w14:paraId="2C6BD098" w14:textId="78A4170E"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Instytucja ta stanowi odwrócenie omawianej wyżej instytucji </w:t>
      </w:r>
      <w:r w:rsidRPr="00EE7FF7">
        <w:rPr>
          <w:rFonts w:ascii="Times New Roman" w:hAnsi="Times New Roman" w:cs="Times New Roman"/>
          <w:i/>
          <w:szCs w:val="24"/>
        </w:rPr>
        <w:t>sell-out</w:t>
      </w:r>
      <w:r w:rsidRPr="00EE7FF7">
        <w:rPr>
          <w:rFonts w:ascii="Times New Roman" w:hAnsi="Times New Roman" w:cs="Times New Roman"/>
          <w:szCs w:val="24"/>
        </w:rPr>
        <w:t>. W przepisie art. 21</w:t>
      </w:r>
      <w:r w:rsidRPr="00EE7FF7">
        <w:rPr>
          <w:rStyle w:val="IGindeksgrny"/>
          <w:rFonts w:ascii="Times New Roman" w:hAnsi="Times New Roman" w:cs="Times New Roman"/>
          <w:szCs w:val="24"/>
        </w:rPr>
        <w:t>11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przyjęto takie same założenia jak w przypadku </w:t>
      </w:r>
      <w:r w:rsidRPr="00EE7FF7">
        <w:rPr>
          <w:rFonts w:ascii="Times New Roman" w:hAnsi="Times New Roman" w:cs="Times New Roman"/>
          <w:i/>
          <w:szCs w:val="24"/>
        </w:rPr>
        <w:t>sell-out</w:t>
      </w:r>
      <w:r w:rsidRPr="00EE7FF7">
        <w:rPr>
          <w:rFonts w:ascii="Times New Roman" w:hAnsi="Times New Roman" w:cs="Times New Roman"/>
          <w:szCs w:val="24"/>
        </w:rPr>
        <w:t xml:space="preserve"> uregulowanego w art. 21</w:t>
      </w:r>
      <w:r w:rsidRPr="00EE7FF7">
        <w:rPr>
          <w:rStyle w:val="IGindeksgrny"/>
          <w:rFonts w:ascii="Times New Roman" w:hAnsi="Times New Roman" w:cs="Times New Roman"/>
          <w:szCs w:val="24"/>
        </w:rPr>
        <w:t>10</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 więc rozszerzenie tej instytucji na spółki z o.o. oraz przyjęcie bardziej liberalnych przesłanek jej stosowania niż w przepisach ogólnych,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art. 418 KSH (dla spółki akcyjnej prywatnej).</w:t>
      </w:r>
    </w:p>
    <w:p w14:paraId="3F2E1FE6" w14:textId="6CEDFBC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 xml:space="preserve">Mając na uwadze wyważanie interesów spółki dominującej oraz wspólników (akcjonariuszy) mniejszościowych spółki zależnej </w:t>
      </w:r>
      <w:r w:rsidR="00D45534" w:rsidRPr="00EE7FF7">
        <w:rPr>
          <w:rFonts w:ascii="Times New Roman" w:hAnsi="Times New Roman" w:cs="Times New Roman"/>
          <w:szCs w:val="24"/>
        </w:rPr>
        <w:t>uczestniczącej w grupie</w:t>
      </w:r>
      <w:r w:rsidRPr="00EE7FF7">
        <w:rPr>
          <w:rFonts w:ascii="Times New Roman" w:hAnsi="Times New Roman" w:cs="Times New Roman"/>
          <w:szCs w:val="24"/>
        </w:rPr>
        <w:t xml:space="preserve"> spółek przymusowy</w:t>
      </w:r>
      <w:r w:rsidR="00D34080">
        <w:rPr>
          <w:rFonts w:ascii="Times New Roman" w:hAnsi="Times New Roman" w:cs="Times New Roman"/>
          <w:szCs w:val="24"/>
        </w:rPr>
        <w:t>,</w:t>
      </w:r>
      <w:r w:rsidRPr="00EE7FF7">
        <w:rPr>
          <w:rFonts w:ascii="Times New Roman" w:hAnsi="Times New Roman" w:cs="Times New Roman"/>
          <w:szCs w:val="24"/>
        </w:rPr>
        <w:t xml:space="preserve"> wykup udziałów albo akcji należących do wspólników (akcjonariuszy) mniejszościowych spółki zależnej </w:t>
      </w:r>
      <w:r w:rsidR="00D45534" w:rsidRPr="00EE7FF7">
        <w:rPr>
          <w:rFonts w:ascii="Times New Roman" w:hAnsi="Times New Roman" w:cs="Times New Roman"/>
          <w:szCs w:val="24"/>
        </w:rPr>
        <w:t>uczestniczącej w grupie</w:t>
      </w:r>
      <w:r w:rsidRPr="00EE7FF7">
        <w:rPr>
          <w:rFonts w:ascii="Times New Roman" w:hAnsi="Times New Roman" w:cs="Times New Roman"/>
          <w:szCs w:val="24"/>
        </w:rPr>
        <w:t xml:space="preserve"> spółek, przepis art. 21</w:t>
      </w:r>
      <w:r w:rsidRPr="00EE7FF7">
        <w:rPr>
          <w:rStyle w:val="IGindeksgrny"/>
          <w:rFonts w:ascii="Times New Roman" w:hAnsi="Times New Roman" w:cs="Times New Roman"/>
          <w:szCs w:val="24"/>
        </w:rPr>
        <w:t>11</w:t>
      </w:r>
      <w:r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r w:rsidR="00D34080">
        <w:rPr>
          <w:rFonts w:ascii="Times New Roman" w:hAnsi="Times New Roman" w:cs="Times New Roman"/>
          <w:szCs w:val="24"/>
        </w:rPr>
        <w:t>,</w:t>
      </w:r>
      <w:r w:rsidRPr="00EE7FF7">
        <w:rPr>
          <w:rFonts w:ascii="Times New Roman" w:hAnsi="Times New Roman" w:cs="Times New Roman"/>
          <w:szCs w:val="24"/>
        </w:rPr>
        <w:t xml:space="preserve"> wymaga, aby próg co najmniej 90% kapitału zakładowego spółki zależnej był bezpośrednio spełniony przez spółkę dominującą, a więc bez udziału innych wspólników (akcjonariuszy) spółki zależnej </w:t>
      </w:r>
      <w:r w:rsidRPr="00EE7FF7">
        <w:rPr>
          <w:rFonts w:ascii="Times New Roman" w:hAnsi="Times New Roman" w:cs="Times New Roman"/>
          <w:bCs/>
          <w:szCs w:val="24"/>
        </w:rPr>
        <w:t>w tym</w:t>
      </w:r>
      <w:r w:rsidRPr="00EE7FF7">
        <w:rPr>
          <w:rFonts w:ascii="Times New Roman" w:hAnsi="Times New Roman" w:cs="Times New Roman"/>
          <w:szCs w:val="24"/>
        </w:rPr>
        <w:t xml:space="preserve"> działających w porozumieniu ze spółką dominującą.</w:t>
      </w:r>
    </w:p>
    <w:p w14:paraId="5524C3C1" w14:textId="51B1ED97" w:rsidR="006914FB" w:rsidRPr="00EE7FF7" w:rsidRDefault="006914FB"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 xml:space="preserve">Analogicznie jak ma to miejsce w wypadku pozostałych przypadków </w:t>
      </w:r>
      <w:r w:rsidRPr="00EE7FF7">
        <w:rPr>
          <w:rFonts w:ascii="Times New Roman" w:hAnsi="Times New Roman" w:cs="Times New Roman"/>
          <w:bCs/>
          <w:i/>
          <w:szCs w:val="24"/>
        </w:rPr>
        <w:t>sque</w:t>
      </w:r>
      <w:r w:rsidR="00F07DC1" w:rsidRPr="00EE7FF7">
        <w:rPr>
          <w:rFonts w:ascii="Times New Roman" w:hAnsi="Times New Roman" w:cs="Times New Roman"/>
          <w:bCs/>
          <w:i/>
          <w:szCs w:val="24"/>
        </w:rPr>
        <w:t>eze</w:t>
      </w:r>
      <w:r w:rsidRPr="00EE7FF7">
        <w:rPr>
          <w:rFonts w:ascii="Times New Roman" w:hAnsi="Times New Roman" w:cs="Times New Roman"/>
          <w:bCs/>
          <w:i/>
          <w:szCs w:val="24"/>
        </w:rPr>
        <w:t xml:space="preserve"> outu </w:t>
      </w:r>
      <w:r w:rsidRPr="00EE7FF7">
        <w:rPr>
          <w:rFonts w:ascii="Times New Roman" w:hAnsi="Times New Roman" w:cs="Times New Roman"/>
          <w:bCs/>
          <w:szCs w:val="24"/>
        </w:rPr>
        <w:t>możliwość jego dokonania została wyłączona w odniesieniu do akcji Skarbu Państwa.</w:t>
      </w:r>
    </w:p>
    <w:p w14:paraId="4B856BB0" w14:textId="592F912B"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4.14. Art. 21</w:t>
      </w:r>
      <w:r w:rsidRPr="00EE7FF7">
        <w:rPr>
          <w:rStyle w:val="IGindeksgrny"/>
          <w:rFonts w:ascii="Times New Roman" w:hAnsi="Times New Roman" w:cs="Times New Roman"/>
          <w:szCs w:val="24"/>
        </w:rPr>
        <w:t>12</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reguluje odpowiedzialność spółki dominującej względem spółki zależnej, wykonującej wiążące polecenie spółki dominującej. Jest to odpowiedzialność odszkodowawcza</w:t>
      </w:r>
      <w:r w:rsidR="00D75563" w:rsidRPr="00EE7FF7">
        <w:rPr>
          <w:rFonts w:ascii="Times New Roman" w:hAnsi="Times New Roman" w:cs="Times New Roman"/>
          <w:szCs w:val="24"/>
        </w:rPr>
        <w:t>, o charakterze kontraktowym, ukształtowana</w:t>
      </w:r>
      <w:r w:rsidRPr="00EE7FF7">
        <w:rPr>
          <w:rFonts w:ascii="Times New Roman" w:hAnsi="Times New Roman" w:cs="Times New Roman"/>
          <w:szCs w:val="24"/>
        </w:rPr>
        <w:t xml:space="preserve"> na zasadzie winy domniemanej.</w:t>
      </w:r>
    </w:p>
    <w:p w14:paraId="58812A75" w14:textId="349B9D79"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Regulacja ta obejmuje także instytucję </w:t>
      </w:r>
      <w:r w:rsidRPr="00EE7FF7">
        <w:rPr>
          <w:rFonts w:ascii="Times New Roman" w:hAnsi="Times New Roman" w:cs="Times New Roman"/>
          <w:i/>
          <w:szCs w:val="24"/>
        </w:rPr>
        <w:t>actio pro socio</w:t>
      </w:r>
      <w:r w:rsidRPr="00EE7FF7">
        <w:rPr>
          <w:rFonts w:ascii="Times New Roman" w:hAnsi="Times New Roman" w:cs="Times New Roman"/>
          <w:szCs w:val="24"/>
        </w:rPr>
        <w:t xml:space="preserve"> (art. 21</w:t>
      </w:r>
      <w:r w:rsidRPr="00EE7FF7">
        <w:rPr>
          <w:rStyle w:val="IGindeksgrny"/>
          <w:rFonts w:ascii="Times New Roman" w:hAnsi="Times New Roman" w:cs="Times New Roman"/>
          <w:szCs w:val="24"/>
        </w:rPr>
        <w:t>12</w:t>
      </w:r>
      <w:r w:rsidRPr="00EE7FF7">
        <w:rPr>
          <w:rFonts w:ascii="Times New Roman" w:hAnsi="Times New Roman" w:cs="Times New Roman"/>
          <w:szCs w:val="24"/>
        </w:rPr>
        <w:t xml:space="preserve"> </w:t>
      </w:r>
      <w:r w:rsidRPr="00EE7FF7">
        <w:rPr>
          <w:rFonts w:ascii="Times New Roman" w:hAnsi="Times New Roman" w:cs="Times New Roman"/>
          <w:bCs/>
          <w:szCs w:val="24"/>
        </w:rPr>
        <w:t>§ 4 i § 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 razie braku wytoczenia w terminie przez spółkę zależną powództwa przeciwko spółce dominującej, przenosząc to uprawnienie na wspólników (akcjonariuszy) spółki zależnej.</w:t>
      </w:r>
    </w:p>
    <w:p w14:paraId="7782358E" w14:textId="50F4F9DB" w:rsidR="006914FB" w:rsidRPr="00EE7FF7" w:rsidRDefault="006914FB"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W tej części </w:t>
      </w:r>
      <w:r w:rsidR="000D2B4C" w:rsidRPr="00EE7FF7">
        <w:rPr>
          <w:rFonts w:ascii="Times New Roman" w:hAnsi="Times New Roman" w:cs="Times New Roman"/>
          <w:szCs w:val="24"/>
        </w:rPr>
        <w:t xml:space="preserve">ustawy znalazł się również przepis </w:t>
      </w:r>
      <w:r w:rsidR="00E27735" w:rsidRPr="00EE7FF7">
        <w:rPr>
          <w:rFonts w:ascii="Times New Roman" w:hAnsi="Times New Roman" w:cs="Times New Roman"/>
          <w:szCs w:val="24"/>
        </w:rPr>
        <w:t>określający wzorzec postępowania spółki dominującej</w:t>
      </w:r>
      <w:r w:rsidR="000D2B4C" w:rsidRPr="00EE7FF7">
        <w:rPr>
          <w:rFonts w:ascii="Times New Roman" w:hAnsi="Times New Roman" w:cs="Times New Roman"/>
          <w:szCs w:val="24"/>
        </w:rPr>
        <w:t xml:space="preserve"> (art. 21</w:t>
      </w:r>
      <w:r w:rsidR="000D2B4C" w:rsidRPr="00EE7FF7">
        <w:rPr>
          <w:rFonts w:ascii="Times New Roman" w:hAnsi="Times New Roman" w:cs="Times New Roman"/>
          <w:szCs w:val="24"/>
          <w:vertAlign w:val="superscript"/>
        </w:rPr>
        <w:t xml:space="preserve">12 </w:t>
      </w:r>
      <w:r w:rsidR="000D2B4C" w:rsidRPr="00EE7FF7">
        <w:rPr>
          <w:rFonts w:ascii="Times New Roman" w:hAnsi="Times New Roman" w:cs="Times New Roman"/>
          <w:szCs w:val="24"/>
        </w:rPr>
        <w:t xml:space="preserve">§ 3 </w:t>
      </w:r>
      <w:r w:rsidR="00245F5C" w:rsidRPr="00EE7FF7">
        <w:rPr>
          <w:rFonts w:ascii="Times New Roman" w:hAnsi="Times New Roman" w:cs="Times New Roman"/>
          <w:szCs w:val="24"/>
        </w:rPr>
        <w:t>projektowanego</w:t>
      </w:r>
      <w:r w:rsidR="000D2B4C" w:rsidRPr="00EE7FF7">
        <w:rPr>
          <w:rFonts w:ascii="Times New Roman" w:hAnsi="Times New Roman" w:cs="Times New Roman"/>
          <w:szCs w:val="24"/>
        </w:rPr>
        <w:t xml:space="preserve"> KSH)</w:t>
      </w:r>
    </w:p>
    <w:p w14:paraId="6E46BD71" w14:textId="76CB8902"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4.15. Art. 21</w:t>
      </w:r>
      <w:r w:rsidRPr="00EE7FF7">
        <w:rPr>
          <w:rStyle w:val="IGindeksgrny"/>
          <w:rFonts w:ascii="Times New Roman" w:hAnsi="Times New Roman" w:cs="Times New Roman"/>
          <w:szCs w:val="24"/>
        </w:rPr>
        <w:t>13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reguluje odpowiedzialność spółki dominującej względem wspólników (akcjonariuszy) spółki zależnej za obniżenie wartości udziałów albo akcji, w sytuacji wykonania przez spółkę zależną wiążącego polecenia spółki dominującej. Jest to odpowiedzialność odszkodowawcza za </w:t>
      </w:r>
      <w:r w:rsidR="00A37558" w:rsidRPr="00EE7FF7">
        <w:rPr>
          <w:rFonts w:ascii="Times New Roman" w:hAnsi="Times New Roman" w:cs="Times New Roman"/>
          <w:szCs w:val="24"/>
        </w:rPr>
        <w:t>tak zwaną</w:t>
      </w:r>
      <w:r w:rsidRPr="00EE7FF7">
        <w:rPr>
          <w:rFonts w:ascii="Times New Roman" w:hAnsi="Times New Roman" w:cs="Times New Roman"/>
          <w:szCs w:val="24"/>
        </w:rPr>
        <w:t xml:space="preserve"> szkodę pośrednią. </w:t>
      </w:r>
      <w:r w:rsidR="006914FB" w:rsidRPr="00EE7FF7">
        <w:rPr>
          <w:rFonts w:ascii="Times New Roman" w:hAnsi="Times New Roman" w:cs="Times New Roman"/>
          <w:szCs w:val="24"/>
        </w:rPr>
        <w:t>Odpowiedzialność pośrednia ma na gruncie prawa polskiego charakter wyjątkowy, toteż dla jej wprowadzenia konieczne było wyrażenie jej wprost w przepisie.</w:t>
      </w:r>
    </w:p>
    <w:p w14:paraId="2ADE8A51" w14:textId="3AF6F78D"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Zakres podmiotowy wspomnianej wyżej odpowiedzialności jest ograniczony od strony podmiotowej, gdyż dotyczy on tylko przypadku, kiedy spółka dominująca jest w stanie samodzielnie (bezpośrednio bądź pośrednio) zmienić umowę albo statut spółki zależnej</w:t>
      </w:r>
      <w:r w:rsidR="00987144" w:rsidRPr="00EE7FF7">
        <w:rPr>
          <w:rFonts w:ascii="Times New Roman" w:hAnsi="Times New Roman" w:cs="Times New Roman"/>
          <w:bCs/>
          <w:szCs w:val="24"/>
        </w:rPr>
        <w:t xml:space="preserve"> oraz podjąć uchwałę o uczestnictwie w grupie spółek</w:t>
      </w:r>
      <w:r w:rsidRPr="00EE7FF7">
        <w:rPr>
          <w:rFonts w:ascii="Times New Roman" w:hAnsi="Times New Roman" w:cs="Times New Roman"/>
          <w:bCs/>
          <w:szCs w:val="24"/>
        </w:rPr>
        <w:t>.</w:t>
      </w:r>
    </w:p>
    <w:p w14:paraId="366D1F6A" w14:textId="6438F3B8"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lastRenderedPageBreak/>
        <w:t>Ze względu na fakt, że powyższa przesłanka może odmiennie przedstawiać się w różnych spółkach zależnych, o czym decyduje struktura wspólników (akcjonariuszy) oraz postanowienia szczególne umowy albo statutu s</w:t>
      </w:r>
      <w:r w:rsidR="00C97188" w:rsidRPr="00EE7FF7">
        <w:rPr>
          <w:rFonts w:ascii="Times New Roman" w:hAnsi="Times New Roman" w:cs="Times New Roman"/>
          <w:bCs/>
          <w:szCs w:val="24"/>
        </w:rPr>
        <w:t>półki zależnej, przepis art. 21</w:t>
      </w:r>
      <w:r w:rsidR="00C97188" w:rsidRPr="00EE7FF7">
        <w:rPr>
          <w:rFonts w:ascii="Times New Roman" w:hAnsi="Times New Roman" w:cs="Times New Roman"/>
          <w:bCs/>
          <w:szCs w:val="24"/>
          <w:vertAlign w:val="superscript"/>
        </w:rPr>
        <w:t>13</w:t>
      </w:r>
      <w:r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wprowadza domniemanie spełnienia wspomnianej przesłanki</w:t>
      </w:r>
      <w:r w:rsidR="009F7680">
        <w:rPr>
          <w:rFonts w:ascii="Times New Roman" w:hAnsi="Times New Roman" w:cs="Times New Roman"/>
          <w:bCs/>
          <w:szCs w:val="24"/>
        </w:rPr>
        <w:t>,</w:t>
      </w:r>
      <w:r w:rsidRPr="00EE7FF7">
        <w:rPr>
          <w:rFonts w:ascii="Times New Roman" w:hAnsi="Times New Roman" w:cs="Times New Roman"/>
          <w:bCs/>
          <w:szCs w:val="24"/>
        </w:rPr>
        <w:t xml:space="preserve"> w przypadku gdy spółka dominująca reprezentuje co najmniej 75% kapitału zakładowego spółki zależnej </w:t>
      </w:r>
      <w:r w:rsidR="00D45534" w:rsidRPr="00EE7FF7">
        <w:rPr>
          <w:rFonts w:ascii="Times New Roman" w:hAnsi="Times New Roman" w:cs="Times New Roman"/>
          <w:bCs/>
          <w:szCs w:val="24"/>
        </w:rPr>
        <w:t>uczestniczącej w grupie spółek</w:t>
      </w:r>
      <w:r w:rsidRPr="00EE7FF7">
        <w:rPr>
          <w:rFonts w:ascii="Times New Roman" w:hAnsi="Times New Roman" w:cs="Times New Roman"/>
          <w:bCs/>
          <w:szCs w:val="24"/>
        </w:rPr>
        <w:t>.</w:t>
      </w:r>
    </w:p>
    <w:p w14:paraId="135B051F" w14:textId="77EACCC8" w:rsidR="009D4479" w:rsidRPr="00EE7FF7" w:rsidRDefault="00C97188"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Przepis art. 21</w:t>
      </w:r>
      <w:r w:rsidRPr="00EE7FF7">
        <w:rPr>
          <w:rFonts w:ascii="Times New Roman" w:hAnsi="Times New Roman" w:cs="Times New Roman"/>
          <w:bCs/>
          <w:szCs w:val="24"/>
          <w:vertAlign w:val="superscript"/>
        </w:rPr>
        <w:t>13</w:t>
      </w:r>
      <w:r w:rsidR="009D4479" w:rsidRPr="00EE7FF7">
        <w:rPr>
          <w:rFonts w:ascii="Times New Roman" w:hAnsi="Times New Roman" w:cs="Times New Roman"/>
          <w:bCs/>
          <w:szCs w:val="24"/>
        </w:rPr>
        <w:t xml:space="preserve"> § 4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wprowadza swoistą normę „kolizyjną” w kwestii relacji odpowiedzialności za szkodę pośrednią wobec wspólnika albo akcjonariusza spółki zależnej </w:t>
      </w:r>
      <w:r w:rsidRPr="00EE7FF7">
        <w:rPr>
          <w:rFonts w:ascii="Times New Roman" w:hAnsi="Times New Roman" w:cs="Times New Roman"/>
          <w:bCs/>
          <w:szCs w:val="24"/>
        </w:rPr>
        <w:t>(art. 21</w:t>
      </w:r>
      <w:r w:rsidRPr="00EE7FF7">
        <w:rPr>
          <w:rFonts w:ascii="Times New Roman" w:hAnsi="Times New Roman" w:cs="Times New Roman"/>
          <w:bCs/>
          <w:szCs w:val="24"/>
          <w:vertAlign w:val="superscript"/>
        </w:rPr>
        <w:t>13</w:t>
      </w:r>
      <w:r w:rsidR="009D4479"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a odpowiedzialności odszkodowawczej spółki dominującej</w:t>
      </w:r>
      <w:r w:rsidRPr="00EE7FF7">
        <w:rPr>
          <w:rFonts w:ascii="Times New Roman" w:hAnsi="Times New Roman" w:cs="Times New Roman"/>
          <w:bCs/>
          <w:szCs w:val="24"/>
        </w:rPr>
        <w:t xml:space="preserve"> wobec spółki zależnej (art. 21</w:t>
      </w:r>
      <w:r w:rsidR="009D4479" w:rsidRPr="00EE7FF7">
        <w:rPr>
          <w:rFonts w:ascii="Times New Roman" w:hAnsi="Times New Roman" w:cs="Times New Roman"/>
          <w:bCs/>
          <w:szCs w:val="24"/>
          <w:vertAlign w:val="superscript"/>
        </w:rPr>
        <w:t>12</w:t>
      </w:r>
      <w:r w:rsidR="009D4479"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W świetle art. 21</w:t>
      </w:r>
      <w:r w:rsidRPr="00EE7FF7">
        <w:rPr>
          <w:rFonts w:ascii="Times New Roman" w:hAnsi="Times New Roman" w:cs="Times New Roman"/>
          <w:bCs/>
          <w:szCs w:val="24"/>
          <w:vertAlign w:val="superscript"/>
        </w:rPr>
        <w:t>3</w:t>
      </w:r>
      <w:r w:rsidR="009D4479" w:rsidRPr="00EE7FF7">
        <w:rPr>
          <w:rFonts w:ascii="Times New Roman" w:hAnsi="Times New Roman" w:cs="Times New Roman"/>
          <w:bCs/>
          <w:szCs w:val="24"/>
        </w:rPr>
        <w:t xml:space="preserve"> § 4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roszczenie o naprawienie szkody pośredniej wygasa z chwilą pełnego naprawienia szkody spółce zależnej wyrządzonej przez spółkę dominującą w następstwie wydania wiążącego pol</w:t>
      </w:r>
      <w:r w:rsidRPr="00EE7FF7">
        <w:rPr>
          <w:rFonts w:ascii="Times New Roman" w:hAnsi="Times New Roman" w:cs="Times New Roman"/>
          <w:bCs/>
          <w:szCs w:val="24"/>
        </w:rPr>
        <w:t>ecenia. Z kolei przepis art. 21</w:t>
      </w:r>
      <w:r w:rsidRPr="00EE7FF7">
        <w:rPr>
          <w:rFonts w:ascii="Times New Roman" w:hAnsi="Times New Roman" w:cs="Times New Roman"/>
          <w:bCs/>
          <w:szCs w:val="24"/>
          <w:vertAlign w:val="superscript"/>
        </w:rPr>
        <w:t>13</w:t>
      </w:r>
      <w:r w:rsidR="009D4479" w:rsidRPr="00EE7FF7">
        <w:rPr>
          <w:rFonts w:ascii="Times New Roman" w:hAnsi="Times New Roman" w:cs="Times New Roman"/>
          <w:bCs/>
          <w:szCs w:val="24"/>
        </w:rPr>
        <w:t xml:space="preserve"> § 3 </w:t>
      </w:r>
      <w:r w:rsidR="001C6010" w:rsidRPr="00EE7FF7">
        <w:rPr>
          <w:rFonts w:ascii="Times New Roman" w:hAnsi="Times New Roman" w:cs="Times New Roman"/>
          <w:bCs/>
          <w:szCs w:val="24"/>
        </w:rPr>
        <w:t>zdanie</w:t>
      </w:r>
      <w:r w:rsidR="009D4479" w:rsidRPr="00EE7FF7">
        <w:rPr>
          <w:rFonts w:ascii="Times New Roman" w:hAnsi="Times New Roman" w:cs="Times New Roman"/>
          <w:bCs/>
          <w:szCs w:val="24"/>
        </w:rPr>
        <w:t xml:space="preserve"> 2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reguluje zagadnienia techniczno-prawne związane z wezwani</w:t>
      </w:r>
      <w:r w:rsidRPr="00EE7FF7">
        <w:rPr>
          <w:rFonts w:ascii="Times New Roman" w:hAnsi="Times New Roman" w:cs="Times New Roman"/>
          <w:bCs/>
          <w:szCs w:val="24"/>
        </w:rPr>
        <w:t>em przez uprawnionego z art. 21</w:t>
      </w:r>
      <w:r w:rsidRPr="00EE7FF7">
        <w:rPr>
          <w:rFonts w:ascii="Times New Roman" w:hAnsi="Times New Roman" w:cs="Times New Roman"/>
          <w:bCs/>
          <w:szCs w:val="24"/>
          <w:vertAlign w:val="superscript"/>
        </w:rPr>
        <w:t>13</w:t>
      </w:r>
      <w:r w:rsidR="009D4479" w:rsidRPr="00EE7FF7">
        <w:rPr>
          <w:rFonts w:ascii="Times New Roman" w:hAnsi="Times New Roman" w:cs="Times New Roman"/>
          <w:bCs/>
          <w:szCs w:val="24"/>
        </w:rPr>
        <w:t xml:space="preserve"> § 1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do naprawienia szkody spółce zależnej przez spółkę dominującą wyrządzonej wskutek wydania wiążącego polecenia, aby uniknąć wspomnianej „kolizji”.</w:t>
      </w:r>
    </w:p>
    <w:p w14:paraId="25E0210C" w14:textId="276C12D2"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4.16. Art. 21</w:t>
      </w:r>
      <w:r w:rsidRPr="00EE7FF7">
        <w:rPr>
          <w:rStyle w:val="IGindeksgrny"/>
          <w:rFonts w:ascii="Times New Roman" w:hAnsi="Times New Roman" w:cs="Times New Roman"/>
          <w:szCs w:val="24"/>
        </w:rPr>
        <w:t>14</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reguluje odpowiedzialność odszkodowawczą spółki dominującej względem wierzycieli spółki zależnej, jeżeli szkoda powstała w wyniku stosowania się przez spółkę zależną do wiążącego polecenia spółki dominującej.</w:t>
      </w:r>
    </w:p>
    <w:p w14:paraId="6EC0DFF3" w14:textId="4912F114"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szCs w:val="24"/>
        </w:rPr>
        <w:t>4.17. Art. 21</w:t>
      </w:r>
      <w:r w:rsidRPr="00EE7FF7">
        <w:rPr>
          <w:rStyle w:val="IGindeksgrny"/>
          <w:rFonts w:ascii="Times New Roman" w:hAnsi="Times New Roman" w:cs="Times New Roman"/>
          <w:szCs w:val="24"/>
        </w:rPr>
        <w:t xml:space="preserve">15 </w:t>
      </w:r>
      <w:r w:rsidRPr="00EE7FF7">
        <w:rPr>
          <w:rStyle w:val="IGindeksgrny"/>
          <w:rFonts w:ascii="Times New Roman" w:hAnsi="Times New Roman" w:cs="Times New Roman"/>
          <w:bCs/>
          <w:szCs w:val="24"/>
          <w:vertAlign w:val="baseline"/>
        </w:rPr>
        <w:t>§ 1</w:t>
      </w:r>
      <w:r w:rsidRPr="00EE7FF7">
        <w:rPr>
          <w:rStyle w:val="IGindeksgrny"/>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w:t>
      </w:r>
      <w:r w:rsidR="00DA158E" w:rsidRPr="00EE7FF7">
        <w:rPr>
          <w:rFonts w:ascii="Times New Roman" w:hAnsi="Times New Roman" w:cs="Times New Roman"/>
          <w:szCs w:val="24"/>
        </w:rPr>
        <w:t xml:space="preserve"> </w:t>
      </w:r>
      <w:r w:rsidRPr="00EE7FF7">
        <w:rPr>
          <w:rFonts w:ascii="Times New Roman" w:hAnsi="Times New Roman" w:cs="Times New Roman"/>
          <w:bCs/>
          <w:szCs w:val="24"/>
        </w:rPr>
        <w:t>daje możliwość zastosowania przepisów o grupie spółek także do spółek powiązanych ze spółką dominującą. Wymaga to jednak wyraźnego postanowienia w umowie albo statucie spółki powiązanej.</w:t>
      </w:r>
    </w:p>
    <w:p w14:paraId="785C5CC4" w14:textId="40EA1D83" w:rsidR="009D4479" w:rsidRPr="00EE7FF7" w:rsidRDefault="00E46158"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Z kolei przepis art. 21</w:t>
      </w:r>
      <w:r w:rsidRPr="00EE7FF7">
        <w:rPr>
          <w:rFonts w:ascii="Times New Roman" w:hAnsi="Times New Roman" w:cs="Times New Roman"/>
          <w:bCs/>
          <w:szCs w:val="24"/>
          <w:vertAlign w:val="superscript"/>
        </w:rPr>
        <w:t>15</w:t>
      </w:r>
      <w:r w:rsidR="009D4479" w:rsidRPr="00EE7FF7">
        <w:rPr>
          <w:rFonts w:ascii="Times New Roman" w:hAnsi="Times New Roman" w:cs="Times New Roman"/>
          <w:bCs/>
          <w:szCs w:val="24"/>
        </w:rPr>
        <w:t xml:space="preserve"> § </w:t>
      </w:r>
      <w:r w:rsidR="005417FB" w:rsidRPr="00EE7FF7">
        <w:rPr>
          <w:rFonts w:ascii="Times New Roman" w:hAnsi="Times New Roman" w:cs="Times New Roman"/>
          <w:bCs/>
          <w:szCs w:val="24"/>
        </w:rPr>
        <w:t>2</w:t>
      </w:r>
      <w:r w:rsidR="009D4479"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9D4479" w:rsidRPr="00EE7FF7">
        <w:rPr>
          <w:rFonts w:ascii="Times New Roman" w:hAnsi="Times New Roman" w:cs="Times New Roman"/>
          <w:bCs/>
          <w:szCs w:val="24"/>
        </w:rPr>
        <w:t xml:space="preserve"> KSH wyklucza z zakresu podmiotowego prawa grupy spółek te spółki zależne, które są spółkami publicznymi. Wykluczenie to jest uzasadnione przede wszystkim tym, że przypadki, w których spółka zależna w grupie spółek jest spółką publiczną </w:t>
      </w:r>
      <w:r w:rsidR="009F7680">
        <w:rPr>
          <w:rFonts w:ascii="Times New Roman" w:hAnsi="Times New Roman" w:cs="Times New Roman"/>
          <w:bCs/>
          <w:szCs w:val="24"/>
        </w:rPr>
        <w:t>,</w:t>
      </w:r>
      <w:r w:rsidR="009D4479" w:rsidRPr="00EE7FF7">
        <w:rPr>
          <w:rFonts w:ascii="Times New Roman" w:hAnsi="Times New Roman" w:cs="Times New Roman"/>
          <w:bCs/>
          <w:szCs w:val="24"/>
        </w:rPr>
        <w:t>występują śladowo w praktyce. Natomiast objęcie spółek publicznych zakresem prawa grupy spółek wygenerowałoby dużo wątpliwości prawnych trudnych do rozstrzygnięcia</w:t>
      </w:r>
      <w:r w:rsidR="00A31111" w:rsidRPr="00EE7FF7">
        <w:rPr>
          <w:rFonts w:ascii="Times New Roman" w:hAnsi="Times New Roman" w:cs="Times New Roman"/>
          <w:bCs/>
          <w:szCs w:val="24"/>
        </w:rPr>
        <w:t>.</w:t>
      </w:r>
    </w:p>
    <w:p w14:paraId="0A5FD633" w14:textId="7F8BC437" w:rsidR="009D4479" w:rsidRPr="00EE7FF7" w:rsidRDefault="009D4479"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P</w:t>
      </w:r>
      <w:r w:rsidR="00E46158" w:rsidRPr="00EE7FF7">
        <w:rPr>
          <w:rFonts w:ascii="Times New Roman" w:hAnsi="Times New Roman" w:cs="Times New Roman"/>
          <w:bCs/>
          <w:szCs w:val="24"/>
        </w:rPr>
        <w:t>rojekt wyklucza także w art. 21</w:t>
      </w:r>
      <w:r w:rsidR="00E46158" w:rsidRPr="00EE7FF7">
        <w:rPr>
          <w:rFonts w:ascii="Times New Roman" w:hAnsi="Times New Roman" w:cs="Times New Roman"/>
          <w:bCs/>
          <w:szCs w:val="24"/>
          <w:vertAlign w:val="superscript"/>
        </w:rPr>
        <w:t>15</w:t>
      </w:r>
      <w:r w:rsidR="00BA7F59" w:rsidRPr="00EE7FF7">
        <w:rPr>
          <w:rFonts w:ascii="Times New Roman" w:hAnsi="Times New Roman" w:cs="Times New Roman"/>
          <w:bCs/>
          <w:szCs w:val="24"/>
        </w:rPr>
        <w:t xml:space="preserve"> § 2</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dopuszczalno</w:t>
      </w:r>
      <w:r w:rsidR="00E46158" w:rsidRPr="00EE7FF7">
        <w:rPr>
          <w:rFonts w:ascii="Times New Roman" w:hAnsi="Times New Roman" w:cs="Times New Roman"/>
          <w:bCs/>
          <w:szCs w:val="24"/>
        </w:rPr>
        <w:t>ść stosowania przepisów art. 21</w:t>
      </w:r>
      <w:r w:rsidR="00E46158" w:rsidRPr="00EE7FF7">
        <w:rPr>
          <w:rFonts w:ascii="Times New Roman" w:hAnsi="Times New Roman" w:cs="Times New Roman"/>
          <w:bCs/>
          <w:szCs w:val="24"/>
          <w:vertAlign w:val="superscript"/>
        </w:rPr>
        <w:t>1</w:t>
      </w:r>
      <w:r w:rsidR="00E46158" w:rsidRPr="00EE7FF7">
        <w:rPr>
          <w:rFonts w:ascii="Times New Roman" w:hAnsi="Times New Roman" w:cs="Times New Roman"/>
          <w:bCs/>
          <w:szCs w:val="24"/>
        </w:rPr>
        <w:t xml:space="preserve"> do art. 21</w:t>
      </w:r>
      <w:r w:rsidR="00E46158" w:rsidRPr="00EE7FF7">
        <w:rPr>
          <w:rFonts w:ascii="Times New Roman" w:hAnsi="Times New Roman" w:cs="Times New Roman"/>
          <w:bCs/>
          <w:szCs w:val="24"/>
          <w:vertAlign w:val="superscript"/>
        </w:rPr>
        <w:t>16</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do spółek zależnych w likwidacji, ale tylko wtedy, gdy rozpoczęły one podział swego majątku</w:t>
      </w:r>
      <w:r w:rsidR="00DA158E" w:rsidRPr="00EE7FF7">
        <w:rPr>
          <w:rFonts w:ascii="Times New Roman" w:hAnsi="Times New Roman" w:cs="Times New Roman"/>
          <w:bCs/>
          <w:szCs w:val="24"/>
        </w:rPr>
        <w:t>,</w:t>
      </w:r>
      <w:r w:rsidRPr="00EE7FF7">
        <w:rPr>
          <w:rFonts w:ascii="Times New Roman" w:hAnsi="Times New Roman" w:cs="Times New Roman"/>
          <w:bCs/>
          <w:szCs w:val="24"/>
        </w:rPr>
        <w:t xml:space="preserve"> a także do spółek zależnych </w:t>
      </w:r>
      <w:r w:rsidRPr="00EE7FF7">
        <w:rPr>
          <w:rFonts w:ascii="Times New Roman" w:hAnsi="Times New Roman" w:cs="Times New Roman"/>
          <w:bCs/>
          <w:szCs w:val="24"/>
        </w:rPr>
        <w:lastRenderedPageBreak/>
        <w:t xml:space="preserve">w upadłości. Jest to uzasadnione tym, że stosowanie przepisów o grupie spółek jest wówczas bezcelowe, a </w:t>
      </w:r>
      <w:r w:rsidR="009F7680">
        <w:rPr>
          <w:rFonts w:ascii="Times New Roman" w:hAnsi="Times New Roman" w:cs="Times New Roman"/>
          <w:bCs/>
          <w:szCs w:val="24"/>
        </w:rPr>
        <w:t>po</w:t>
      </w:r>
      <w:r w:rsidRPr="00EE7FF7">
        <w:rPr>
          <w:rFonts w:ascii="Times New Roman" w:hAnsi="Times New Roman" w:cs="Times New Roman"/>
          <w:bCs/>
          <w:szCs w:val="24"/>
        </w:rPr>
        <w:t>nadto może ono generować wątpliwości prawne zwłaszcza na styku z prawem upadłościowym. Rozwiązanie to nawiązuje systemowo do art. 491 § 3 i art. 528 § 3</w:t>
      </w:r>
      <w:r w:rsidR="00DA158E" w:rsidRPr="00EE7FF7">
        <w:rPr>
          <w:rFonts w:ascii="Times New Roman" w:hAnsi="Times New Roman" w:cs="Times New Roman"/>
          <w:bCs/>
          <w:szCs w:val="24"/>
        </w:rPr>
        <w:t>,</w:t>
      </w:r>
      <w:r w:rsidRPr="00EE7FF7">
        <w:rPr>
          <w:rFonts w:ascii="Times New Roman" w:hAnsi="Times New Roman" w:cs="Times New Roman"/>
          <w:bCs/>
          <w:szCs w:val="24"/>
        </w:rPr>
        <w:t xml:space="preserve"> a także art. 551 § 4 KSH. Nie dotyczy to jednak przypadku, gdy likwidacja bądź upadłość dotyczy spółki dominującej.</w:t>
      </w:r>
    </w:p>
    <w:p w14:paraId="1D46DB77" w14:textId="0F4277F9" w:rsidR="007F077F" w:rsidRPr="00EE7FF7" w:rsidRDefault="00E46158"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 xml:space="preserve">4.18. </w:t>
      </w:r>
      <w:r w:rsidR="007F077F" w:rsidRPr="00EE7FF7">
        <w:rPr>
          <w:rFonts w:ascii="Times New Roman" w:hAnsi="Times New Roman" w:cs="Times New Roman"/>
          <w:bCs/>
          <w:szCs w:val="24"/>
        </w:rPr>
        <w:t>Art. 21</w:t>
      </w:r>
      <w:r w:rsidR="007F077F" w:rsidRPr="00EE7FF7">
        <w:rPr>
          <w:rFonts w:ascii="Times New Roman" w:hAnsi="Times New Roman" w:cs="Times New Roman"/>
          <w:bCs/>
          <w:szCs w:val="24"/>
          <w:vertAlign w:val="superscript"/>
        </w:rPr>
        <w:t>16</w:t>
      </w:r>
      <w:r w:rsidR="007F077F"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007F077F" w:rsidRPr="00EE7FF7">
        <w:rPr>
          <w:rFonts w:ascii="Times New Roman" w:hAnsi="Times New Roman" w:cs="Times New Roman"/>
          <w:bCs/>
          <w:szCs w:val="24"/>
        </w:rPr>
        <w:t xml:space="preserve"> KSH reguluje ustanie uczestnictwa w grupie spółek. Następuje ono wskutek podjęcia kwalifikowaną większością głosów uchwały zgromadzenia wspólników (walnego zgromadzenia) spółki zależnej o wystąpieniu z grupy spółek, w sposób taki sam jak przy przystępowaniu do tej grupy (art. 21</w:t>
      </w:r>
      <w:r w:rsidR="007F077F" w:rsidRPr="00EE7FF7">
        <w:rPr>
          <w:rFonts w:ascii="Times New Roman" w:hAnsi="Times New Roman" w:cs="Times New Roman"/>
          <w:bCs/>
          <w:szCs w:val="24"/>
          <w:vertAlign w:val="superscript"/>
        </w:rPr>
        <w:t>1</w:t>
      </w:r>
      <w:r w:rsidR="007F077F" w:rsidRPr="00EE7FF7">
        <w:rPr>
          <w:rFonts w:ascii="Times New Roman" w:hAnsi="Times New Roman" w:cs="Times New Roman"/>
          <w:bCs/>
          <w:szCs w:val="24"/>
        </w:rPr>
        <w:t xml:space="preserve"> § 2 </w:t>
      </w:r>
      <w:r w:rsidR="00245F5C" w:rsidRPr="00EE7FF7">
        <w:rPr>
          <w:rFonts w:ascii="Times New Roman" w:hAnsi="Times New Roman" w:cs="Times New Roman"/>
          <w:bCs/>
          <w:szCs w:val="24"/>
        </w:rPr>
        <w:t>projektowanego</w:t>
      </w:r>
      <w:r w:rsidR="007F077F" w:rsidRPr="00EE7FF7">
        <w:rPr>
          <w:rFonts w:ascii="Times New Roman" w:hAnsi="Times New Roman" w:cs="Times New Roman"/>
          <w:bCs/>
          <w:szCs w:val="24"/>
        </w:rPr>
        <w:t xml:space="preserve"> KSH), lub przez złożenie oświadczenia przez spółkę dominującą o ustaniu tego uczestnictwa adresowanego do spółki zależnej.</w:t>
      </w:r>
    </w:p>
    <w:p w14:paraId="425E2664" w14:textId="05BF06ED" w:rsidR="007F077F" w:rsidRPr="00EE7FF7" w:rsidRDefault="007F077F" w:rsidP="00EE7FF7">
      <w:pPr>
        <w:pStyle w:val="ARTartustawynprozporzdzenia"/>
        <w:ind w:firstLine="0"/>
        <w:rPr>
          <w:rFonts w:ascii="Times New Roman" w:hAnsi="Times New Roman" w:cs="Times New Roman"/>
          <w:bCs/>
          <w:szCs w:val="24"/>
        </w:rPr>
      </w:pPr>
      <w:r w:rsidRPr="00EE7FF7">
        <w:rPr>
          <w:rFonts w:ascii="Times New Roman" w:hAnsi="Times New Roman" w:cs="Times New Roman"/>
          <w:bCs/>
          <w:szCs w:val="24"/>
        </w:rPr>
        <w:t xml:space="preserve">Skutek podjęcia tej uchwały bądź złożenia wspomnianego oświadczenia podlega później ujawnieniu w rejestrze – na zasadach ogólnych </w:t>
      </w:r>
      <w:r w:rsidR="00DF530A" w:rsidRPr="00EE7FF7">
        <w:rPr>
          <w:rFonts w:ascii="Times New Roman" w:hAnsi="Times New Roman" w:cs="Times New Roman"/>
          <w:bCs/>
          <w:szCs w:val="24"/>
        </w:rPr>
        <w:t>–</w:t>
      </w:r>
      <w:r w:rsidRPr="00EE7FF7">
        <w:rPr>
          <w:rFonts w:ascii="Times New Roman" w:hAnsi="Times New Roman" w:cs="Times New Roman"/>
          <w:bCs/>
          <w:szCs w:val="24"/>
        </w:rPr>
        <w:t xml:space="preserve"> przy czym wpis stanowiący wykreślenie wzmianki o uczestnictwie w grupie spółek ma charakter deklaratoryjny, a nie konstytutywny. Przyjęcie innego charakteru tego wpisu, którego konieczność dokonania jest oczywista, powodowałaby, że spółka zależna zainteresowana „secesją” z grupy spółek musiałaby czekać – w świetle doświadczenia życiowego – na ten fakt kilka miesięcy. Przepis ten nie reguluje natomiast wyjścia z grupy spółek spółki dominującej, pozostawiając to zasadom ogólnym, gdyż taki przypadek oznacza faktycznie utratę bytu prawnego całej grupy spółek.</w:t>
      </w:r>
    </w:p>
    <w:p w14:paraId="158CBE8E" w14:textId="018A6730"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bCs/>
          <w:szCs w:val="24"/>
        </w:rPr>
        <w:t>4.19</w:t>
      </w:r>
      <w:r w:rsidRPr="00EE7FF7">
        <w:rPr>
          <w:rFonts w:ascii="Times New Roman" w:hAnsi="Times New Roman" w:cs="Times New Roman"/>
          <w:szCs w:val="24"/>
        </w:rPr>
        <w:t>. Art. 206 § 1 pkt 5, art. 300</w:t>
      </w:r>
      <w:r w:rsidRPr="00EE7FF7">
        <w:rPr>
          <w:rStyle w:val="IGindeksgrny"/>
          <w:rFonts w:ascii="Times New Roman" w:hAnsi="Times New Roman" w:cs="Times New Roman"/>
          <w:szCs w:val="24"/>
        </w:rPr>
        <w:t>63</w:t>
      </w:r>
      <w:r w:rsidRPr="00EE7FF7">
        <w:rPr>
          <w:rFonts w:ascii="Times New Roman" w:hAnsi="Times New Roman" w:cs="Times New Roman"/>
          <w:szCs w:val="24"/>
        </w:rPr>
        <w:t xml:space="preserve"> § 1 pkt 5 i art. 374 § 1 pkt 5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 obowiązek wskazania przynależności spółki do określonej grupy spółek na </w:t>
      </w:r>
      <w:r w:rsidR="00A37558" w:rsidRPr="00EE7FF7">
        <w:rPr>
          <w:rFonts w:ascii="Times New Roman" w:hAnsi="Times New Roman" w:cs="Times New Roman"/>
          <w:szCs w:val="24"/>
        </w:rPr>
        <w:t>tak zwanych</w:t>
      </w:r>
      <w:r w:rsidRPr="00EE7FF7">
        <w:rPr>
          <w:rFonts w:ascii="Times New Roman" w:hAnsi="Times New Roman" w:cs="Times New Roman"/>
          <w:szCs w:val="24"/>
        </w:rPr>
        <w:t xml:space="preserve"> firmówkach spółki jest kolejnym sposobem ujawniania uczestnictwa w grupie spółek, obok wzmianki w rejestrze przedsiębiorców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 2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572250B7" w14:textId="033976BD"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bCs/>
          <w:szCs w:val="24"/>
        </w:rPr>
        <w:t>4.20.</w:t>
      </w:r>
      <w:r w:rsidRPr="00EE7FF7">
        <w:rPr>
          <w:rFonts w:ascii="Times New Roman" w:hAnsi="Times New Roman" w:cs="Times New Roman"/>
          <w:szCs w:val="24"/>
        </w:rPr>
        <w:t xml:space="preserve"> Uchylenie przepisów 228 pkt 6, art. 300</w:t>
      </w:r>
      <w:r w:rsidRPr="00EE7FF7">
        <w:rPr>
          <w:rStyle w:val="IGindeksgrny"/>
          <w:rFonts w:ascii="Times New Roman" w:hAnsi="Times New Roman" w:cs="Times New Roman"/>
          <w:szCs w:val="24"/>
        </w:rPr>
        <w:t>81</w:t>
      </w:r>
      <w:r w:rsidRPr="00EE7FF7">
        <w:rPr>
          <w:rFonts w:ascii="Times New Roman" w:hAnsi="Times New Roman" w:cs="Times New Roman"/>
          <w:szCs w:val="24"/>
        </w:rPr>
        <w:t xml:space="preserve"> pkt 5 i art. 393 pkt 7 KSH – stanowi konsekwencję uchylenia przez niniejszy projekt art. 7 KSH.</w:t>
      </w:r>
    </w:p>
    <w:p w14:paraId="1F00944B" w14:textId="237BA439"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4.21. Zmiana ustawy o Krajowym Rejestrze Sądowym – dodanie nowego przepisu art. 38 pkt 1 lit. g</w:t>
      </w:r>
      <w:r w:rsidR="00DA158E" w:rsidRPr="00EE7FF7">
        <w:rPr>
          <w:rFonts w:ascii="Times New Roman" w:hAnsi="Times New Roman" w:cs="Times New Roman"/>
          <w:szCs w:val="24"/>
        </w:rPr>
        <w:t>a</w:t>
      </w:r>
      <w:r w:rsidRPr="00EE7FF7">
        <w:rPr>
          <w:rFonts w:ascii="Times New Roman" w:hAnsi="Times New Roman" w:cs="Times New Roman"/>
          <w:szCs w:val="24"/>
        </w:rPr>
        <w:t xml:space="preserve"> jest konsekwencją obowiązku ujawnienia przynależności spółki do grupy spółek w postaci dokonania wpisu w wzmianki w KRS z mocy art. 21</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Pr="00EE7FF7">
        <w:rPr>
          <w:rFonts w:ascii="Times New Roman" w:hAnsi="Times New Roman" w:cs="Times New Roman"/>
          <w:bCs/>
          <w:szCs w:val="24"/>
        </w:rPr>
        <w:t>§ 3</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w:t>
      </w:r>
    </w:p>
    <w:p w14:paraId="7445B4F2" w14:textId="7E0D77E7" w:rsidR="009D4479" w:rsidRPr="00EE7FF7" w:rsidRDefault="009D4479" w:rsidP="00EE7FF7">
      <w:pPr>
        <w:pStyle w:val="ARTartustawynprozporzdzenia"/>
        <w:ind w:firstLine="0"/>
        <w:rPr>
          <w:rFonts w:ascii="Times New Roman" w:hAnsi="Times New Roman" w:cs="Times New Roman"/>
          <w:bCs/>
          <w:szCs w:val="24"/>
        </w:rPr>
      </w:pPr>
      <w:r w:rsidRPr="009F7680">
        <w:rPr>
          <w:rFonts w:ascii="Times New Roman" w:hAnsi="Times New Roman" w:cs="Times New Roman"/>
          <w:bCs/>
          <w:szCs w:val="24"/>
        </w:rPr>
        <w:t>4.22. Art. 458 § 1 pkt 3 K</w:t>
      </w:r>
      <w:r w:rsidR="009F7680">
        <w:rPr>
          <w:rFonts w:ascii="Times New Roman" w:hAnsi="Times New Roman" w:cs="Times New Roman"/>
          <w:bCs/>
          <w:szCs w:val="24"/>
        </w:rPr>
        <w:t>odeksu postępowania cywilnego</w:t>
      </w:r>
      <w:r w:rsidRPr="009F7680">
        <w:rPr>
          <w:rFonts w:ascii="Times New Roman" w:hAnsi="Times New Roman" w:cs="Times New Roman"/>
          <w:bCs/>
          <w:szCs w:val="24"/>
        </w:rPr>
        <w:t xml:space="preserve"> –</w:t>
      </w:r>
      <w:r w:rsidR="002505AB" w:rsidRPr="009F7680">
        <w:rPr>
          <w:rFonts w:ascii="Times New Roman" w:hAnsi="Times New Roman" w:cs="Times New Roman"/>
          <w:bCs/>
          <w:szCs w:val="24"/>
        </w:rPr>
        <w:t xml:space="preserve"> </w:t>
      </w:r>
      <w:r w:rsidRPr="009F7680">
        <w:rPr>
          <w:rFonts w:ascii="Times New Roman" w:hAnsi="Times New Roman" w:cs="Times New Roman"/>
          <w:bCs/>
          <w:szCs w:val="24"/>
        </w:rPr>
        <w:t xml:space="preserve">nowa treść tego przepisu pozwala poddać pod kognicję </w:t>
      </w:r>
      <w:r w:rsidRPr="00EE7FF7">
        <w:rPr>
          <w:rFonts w:ascii="Times New Roman" w:hAnsi="Times New Roman" w:cs="Times New Roman"/>
          <w:bCs/>
          <w:szCs w:val="24"/>
        </w:rPr>
        <w:t>sądów gospodarczych wszystki</w:t>
      </w:r>
      <w:r w:rsidR="009F7680">
        <w:rPr>
          <w:rFonts w:ascii="Times New Roman" w:hAnsi="Times New Roman" w:cs="Times New Roman"/>
          <w:bCs/>
          <w:szCs w:val="24"/>
        </w:rPr>
        <w:t>e</w:t>
      </w:r>
      <w:r w:rsidRPr="00EE7FF7">
        <w:rPr>
          <w:rFonts w:ascii="Times New Roman" w:hAnsi="Times New Roman" w:cs="Times New Roman"/>
          <w:bCs/>
          <w:szCs w:val="24"/>
        </w:rPr>
        <w:t xml:space="preserve"> spraw</w:t>
      </w:r>
      <w:r w:rsidR="009F7680">
        <w:rPr>
          <w:rFonts w:ascii="Times New Roman" w:hAnsi="Times New Roman" w:cs="Times New Roman"/>
          <w:bCs/>
          <w:szCs w:val="24"/>
        </w:rPr>
        <w:t>y</w:t>
      </w:r>
      <w:r w:rsidRPr="00EE7FF7">
        <w:rPr>
          <w:rFonts w:ascii="Times New Roman" w:hAnsi="Times New Roman" w:cs="Times New Roman"/>
          <w:bCs/>
          <w:szCs w:val="24"/>
        </w:rPr>
        <w:t xml:space="preserve"> obję</w:t>
      </w:r>
      <w:r w:rsidR="00E46158" w:rsidRPr="00EE7FF7">
        <w:rPr>
          <w:rFonts w:ascii="Times New Roman" w:hAnsi="Times New Roman" w:cs="Times New Roman"/>
          <w:bCs/>
          <w:szCs w:val="24"/>
        </w:rPr>
        <w:t>t</w:t>
      </w:r>
      <w:r w:rsidR="009F7680">
        <w:rPr>
          <w:rFonts w:ascii="Times New Roman" w:hAnsi="Times New Roman" w:cs="Times New Roman"/>
          <w:bCs/>
          <w:szCs w:val="24"/>
        </w:rPr>
        <w:t>e</w:t>
      </w:r>
      <w:r w:rsidR="00E46158" w:rsidRPr="00EE7FF7">
        <w:rPr>
          <w:rFonts w:ascii="Times New Roman" w:hAnsi="Times New Roman" w:cs="Times New Roman"/>
          <w:bCs/>
          <w:szCs w:val="24"/>
        </w:rPr>
        <w:t xml:space="preserve"> zakresem </w:t>
      </w:r>
      <w:r w:rsidR="00E46158" w:rsidRPr="00EE7FF7">
        <w:rPr>
          <w:rFonts w:ascii="Times New Roman" w:hAnsi="Times New Roman" w:cs="Times New Roman"/>
          <w:bCs/>
          <w:szCs w:val="24"/>
        </w:rPr>
        <w:lastRenderedPageBreak/>
        <w:t>przepisów art. 21</w:t>
      </w:r>
      <w:r w:rsidRPr="00EE7FF7">
        <w:rPr>
          <w:rFonts w:ascii="Times New Roman" w:hAnsi="Times New Roman" w:cs="Times New Roman"/>
          <w:bCs/>
          <w:szCs w:val="24"/>
          <w:vertAlign w:val="superscript"/>
        </w:rPr>
        <w:t>1</w:t>
      </w:r>
      <w:r w:rsidR="00E46158" w:rsidRPr="00EE7FF7">
        <w:rPr>
          <w:rFonts w:ascii="Times New Roman" w:hAnsi="Times New Roman" w:cs="Times New Roman"/>
          <w:bCs/>
          <w:szCs w:val="24"/>
        </w:rPr>
        <w:t xml:space="preserve"> do art. 21</w:t>
      </w:r>
      <w:r w:rsidR="00E46158" w:rsidRPr="00EE7FF7">
        <w:rPr>
          <w:rFonts w:ascii="Times New Roman" w:hAnsi="Times New Roman" w:cs="Times New Roman"/>
          <w:bCs/>
          <w:szCs w:val="24"/>
          <w:vertAlign w:val="superscript"/>
        </w:rPr>
        <w:t>16</w:t>
      </w:r>
      <w:r w:rsidRPr="00EE7FF7">
        <w:rPr>
          <w:rFonts w:ascii="Times New Roman" w:hAnsi="Times New Roman" w:cs="Times New Roman"/>
          <w:bCs/>
          <w:szCs w:val="24"/>
        </w:rPr>
        <w:t xml:space="preserve"> </w:t>
      </w:r>
      <w:r w:rsidR="00245F5C" w:rsidRPr="00EE7FF7">
        <w:rPr>
          <w:rFonts w:ascii="Times New Roman" w:hAnsi="Times New Roman" w:cs="Times New Roman"/>
          <w:bCs/>
          <w:szCs w:val="24"/>
        </w:rPr>
        <w:t>projektowanego</w:t>
      </w:r>
      <w:r w:rsidRPr="00EE7FF7">
        <w:rPr>
          <w:rFonts w:ascii="Times New Roman" w:hAnsi="Times New Roman" w:cs="Times New Roman"/>
          <w:bCs/>
          <w:szCs w:val="24"/>
        </w:rPr>
        <w:t xml:space="preserve"> KSH. Nie następuje wówczas „rozbicie” kognicji</w:t>
      </w:r>
      <w:r w:rsidRPr="00EE7FF7">
        <w:rPr>
          <w:rFonts w:ascii="Times New Roman" w:hAnsi="Times New Roman" w:cs="Times New Roman"/>
          <w:szCs w:val="24"/>
        </w:rPr>
        <w:t xml:space="preserve"> </w:t>
      </w:r>
      <w:r w:rsidRPr="00EE7FF7">
        <w:rPr>
          <w:rFonts w:ascii="Times New Roman" w:hAnsi="Times New Roman" w:cs="Times New Roman"/>
          <w:bCs/>
          <w:szCs w:val="24"/>
        </w:rPr>
        <w:t xml:space="preserve">sądów powszechnych w powyższych sprawach między sądy cywilne </w:t>
      </w:r>
      <w:r w:rsidR="009F7680">
        <w:rPr>
          <w:rFonts w:ascii="Times New Roman" w:hAnsi="Times New Roman" w:cs="Times New Roman"/>
          <w:bCs/>
          <w:szCs w:val="24"/>
        </w:rPr>
        <w:t xml:space="preserve">a </w:t>
      </w:r>
      <w:r w:rsidRPr="00EE7FF7">
        <w:rPr>
          <w:rFonts w:ascii="Times New Roman" w:hAnsi="Times New Roman" w:cs="Times New Roman"/>
          <w:bCs/>
          <w:szCs w:val="24"/>
        </w:rPr>
        <w:t xml:space="preserve">gospodarcze. </w:t>
      </w:r>
    </w:p>
    <w:p w14:paraId="54D644E0" w14:textId="40DD3963" w:rsidR="009D4479" w:rsidRPr="00EE7FF7" w:rsidRDefault="009D4479"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4.23. Zmiana ustawy o zasadach zarządzania mieniem państwowym – nowy art. 9 </w:t>
      </w:r>
      <w:r w:rsidR="00A37558" w:rsidRPr="00EE7FF7">
        <w:rPr>
          <w:rFonts w:ascii="Times New Roman" w:hAnsi="Times New Roman" w:cs="Times New Roman"/>
          <w:szCs w:val="24"/>
        </w:rPr>
        <w:t>ust</w:t>
      </w:r>
      <w:r w:rsidR="00C642DC">
        <w:rPr>
          <w:rFonts w:ascii="Times New Roman" w:hAnsi="Times New Roman" w:cs="Times New Roman"/>
          <w:szCs w:val="24"/>
        </w:rPr>
        <w:t>.</w:t>
      </w:r>
      <w:r w:rsidRPr="00EE7FF7">
        <w:rPr>
          <w:rFonts w:ascii="Times New Roman" w:hAnsi="Times New Roman" w:cs="Times New Roman"/>
          <w:szCs w:val="24"/>
        </w:rPr>
        <w:t xml:space="preserve"> 3 wspomnianej ustawy dopuszcza stosowanie przepisów KSH o grupie spółek, kiedy podmiotem dominującym w grupie spółek jest przedsiębiorca będący państwową osobą prawną. Definicję normatywną państwowej osoby prawnej zawiera przepis art. 3 wspomnianej ustawy, dopuszczając też inne podmioty prawa niż spółki (</w:t>
      </w:r>
      <w:r w:rsidR="00A37558" w:rsidRPr="00EE7FF7">
        <w:rPr>
          <w:rFonts w:ascii="Times New Roman" w:hAnsi="Times New Roman" w:cs="Times New Roman"/>
          <w:szCs w:val="24"/>
        </w:rPr>
        <w:t>na przykład</w:t>
      </w:r>
      <w:r w:rsidRPr="00EE7FF7">
        <w:rPr>
          <w:rFonts w:ascii="Times New Roman" w:hAnsi="Times New Roman" w:cs="Times New Roman"/>
          <w:szCs w:val="24"/>
        </w:rPr>
        <w:t xml:space="preserve"> jednostki naukowo badawcze itd.). Ze względu na szeroki zakres pojęcia „państwowej osoby prawnej” miejscem właściwym na skonstruowanie normy odsyłającej nie jest </w:t>
      </w:r>
      <w:r w:rsidR="00F1601C">
        <w:rPr>
          <w:rFonts w:ascii="Times New Roman" w:hAnsi="Times New Roman" w:cs="Times New Roman"/>
          <w:szCs w:val="24"/>
        </w:rPr>
        <w:t>K</w:t>
      </w:r>
      <w:r w:rsidRPr="00EE7FF7">
        <w:rPr>
          <w:rFonts w:ascii="Times New Roman" w:hAnsi="Times New Roman" w:cs="Times New Roman"/>
          <w:szCs w:val="24"/>
        </w:rPr>
        <w:t>odeks spółek handlowych (art. 21</w:t>
      </w:r>
      <w:r w:rsidRPr="00EE7FF7">
        <w:rPr>
          <w:rStyle w:val="IGindeksgrny"/>
          <w:rFonts w:ascii="Times New Roman" w:hAnsi="Times New Roman" w:cs="Times New Roman"/>
          <w:szCs w:val="24"/>
        </w:rPr>
        <w:t>15</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Pr="00EE7FF7">
        <w:rPr>
          <w:rFonts w:ascii="Times New Roman" w:hAnsi="Times New Roman" w:cs="Times New Roman"/>
          <w:szCs w:val="24"/>
        </w:rPr>
        <w:t xml:space="preserve"> KSH), ale ustawa o zasadach zarządzania mieniem państwowym.</w:t>
      </w:r>
      <w:r w:rsidR="00266104" w:rsidRPr="00EE7FF7">
        <w:rPr>
          <w:rFonts w:ascii="Times New Roman" w:hAnsi="Times New Roman" w:cs="Times New Roman"/>
          <w:szCs w:val="24"/>
        </w:rPr>
        <w:t xml:space="preserve"> Jednocześnie w celu uniknięcia wątpliwości co do tego</w:t>
      </w:r>
      <w:r w:rsidR="00C642DC">
        <w:rPr>
          <w:rFonts w:ascii="Times New Roman" w:hAnsi="Times New Roman" w:cs="Times New Roman"/>
          <w:szCs w:val="24"/>
        </w:rPr>
        <w:t>,</w:t>
      </w:r>
      <w:r w:rsidR="00266104" w:rsidRPr="00EE7FF7">
        <w:rPr>
          <w:rFonts w:ascii="Times New Roman" w:hAnsi="Times New Roman" w:cs="Times New Roman"/>
          <w:szCs w:val="24"/>
        </w:rPr>
        <w:t xml:space="preserve"> czy podmiotem dominującym w grupie spółek może być Skarb Państwa, w celu wyraźnego przesądzenia, że nie jest to dopuszczalne dodano art. 3 </w:t>
      </w:r>
      <w:r w:rsidR="00A37558" w:rsidRPr="00EE7FF7">
        <w:rPr>
          <w:rFonts w:ascii="Times New Roman" w:hAnsi="Times New Roman" w:cs="Times New Roman"/>
          <w:szCs w:val="24"/>
        </w:rPr>
        <w:t>ust</w:t>
      </w:r>
      <w:r w:rsidR="002505AB" w:rsidRPr="00EE7FF7">
        <w:rPr>
          <w:rFonts w:ascii="Times New Roman" w:hAnsi="Times New Roman" w:cs="Times New Roman"/>
          <w:szCs w:val="24"/>
        </w:rPr>
        <w:t>.</w:t>
      </w:r>
      <w:r w:rsidR="00266104" w:rsidRPr="00EE7FF7">
        <w:rPr>
          <w:rFonts w:ascii="Times New Roman" w:hAnsi="Times New Roman" w:cs="Times New Roman"/>
          <w:szCs w:val="24"/>
        </w:rPr>
        <w:t xml:space="preserve"> </w:t>
      </w:r>
      <w:r w:rsidR="009C243F" w:rsidRPr="00EE7FF7">
        <w:rPr>
          <w:rFonts w:ascii="Times New Roman" w:hAnsi="Times New Roman" w:cs="Times New Roman"/>
          <w:szCs w:val="24"/>
        </w:rPr>
        <w:t>4</w:t>
      </w:r>
      <w:r w:rsidR="00266104" w:rsidRPr="00EE7FF7">
        <w:rPr>
          <w:rFonts w:ascii="Times New Roman" w:hAnsi="Times New Roman" w:cs="Times New Roman"/>
          <w:szCs w:val="24"/>
        </w:rPr>
        <w:t>.</w:t>
      </w:r>
    </w:p>
    <w:p w14:paraId="5B37F2A5" w14:textId="6C4FF388" w:rsidR="00323FC0" w:rsidRPr="00931E42" w:rsidRDefault="006814C6" w:rsidP="00EE7FF7">
      <w:pPr>
        <w:pStyle w:val="NOTATKILEGISLATORA"/>
        <w:widowControl/>
        <w:spacing w:before="240" w:line="360" w:lineRule="auto"/>
        <w:jc w:val="both"/>
        <w:rPr>
          <w:rFonts w:ascii="Times New Roman" w:hAnsi="Times New Roman" w:cs="Times New Roman"/>
          <w:szCs w:val="24"/>
        </w:rPr>
      </w:pPr>
      <w:r w:rsidRPr="00931E42">
        <w:rPr>
          <w:rFonts w:ascii="Times New Roman" w:hAnsi="Times New Roman" w:cs="Times New Roman"/>
          <w:szCs w:val="24"/>
        </w:rPr>
        <w:t xml:space="preserve">5. </w:t>
      </w:r>
      <w:r w:rsidR="00897A4E" w:rsidRPr="00931E42">
        <w:rPr>
          <w:rFonts w:ascii="Times New Roman" w:hAnsi="Times New Roman" w:cs="Times New Roman"/>
          <w:szCs w:val="24"/>
        </w:rPr>
        <w:t>Z</w:t>
      </w:r>
      <w:r w:rsidRPr="00931E42">
        <w:rPr>
          <w:rFonts w:ascii="Times New Roman" w:hAnsi="Times New Roman" w:cs="Times New Roman"/>
          <w:szCs w:val="24"/>
        </w:rPr>
        <w:t>mian</w:t>
      </w:r>
      <w:r w:rsidR="00897A4E" w:rsidRPr="00931E42">
        <w:rPr>
          <w:rFonts w:ascii="Times New Roman" w:hAnsi="Times New Roman" w:cs="Times New Roman"/>
          <w:szCs w:val="24"/>
        </w:rPr>
        <w:t>y</w:t>
      </w:r>
      <w:r w:rsidRPr="00931E42">
        <w:rPr>
          <w:rFonts w:ascii="Times New Roman" w:hAnsi="Times New Roman" w:cs="Times New Roman"/>
          <w:szCs w:val="24"/>
        </w:rPr>
        <w:t xml:space="preserve"> KSH w zakresie zwiększenia efektywności rad nadzorczych spółek</w:t>
      </w:r>
    </w:p>
    <w:p w14:paraId="0748672D" w14:textId="1E0060CF" w:rsidR="00323FC0" w:rsidRPr="00931E42" w:rsidRDefault="006814C6" w:rsidP="00EE7FF7">
      <w:pPr>
        <w:pStyle w:val="Wcicienormalne"/>
        <w:spacing w:before="240" w:line="360" w:lineRule="auto"/>
        <w:ind w:left="0"/>
        <w:jc w:val="both"/>
        <w:rPr>
          <w:szCs w:val="24"/>
        </w:rPr>
      </w:pPr>
      <w:r w:rsidRPr="00931E42">
        <w:rPr>
          <w:rStyle w:val="Uwydatnienie"/>
          <w:szCs w:val="24"/>
        </w:rPr>
        <w:t>5.1. Obowiązek zarządu do udzielania z własnej inicjatywy określonych informacji radzie nadzorczej</w:t>
      </w:r>
    </w:p>
    <w:p w14:paraId="7FAAD8A0" w14:textId="01EF5958" w:rsidR="00323FC0" w:rsidRPr="005D5147"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Prawidłowe działanie rady nadzorczej oraz efektywne prowadzenie przez ten organ nadzoru wewnętrznego wymaga, aby posiadała ona bieżący dostęp do rzetelnych oraz kompletnych informacji o spółce. Klasyczny dualistyczny model organizacyjny w spółce kapitałowej, polegający na oddzieleniu organów zarządzającego i nadzorczego, może rodzić problemy związane z przepływem informacji między nimi oraz prowadzić do asymetrii w tym obszarze.</w:t>
      </w:r>
    </w:p>
    <w:p w14:paraId="58456391" w14:textId="77777777" w:rsidR="00323FC0" w:rsidRPr="00EE7FF7" w:rsidRDefault="006814C6"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 xml:space="preserve">Rada nadzorcza posiadała wprawdzie, na bazie istniejących przepisów KSH, możliwość badania wszystkich dokumentów </w:t>
      </w:r>
      <w:r w:rsidRPr="00EE7FF7">
        <w:rPr>
          <w:rFonts w:ascii="Times New Roman" w:hAnsi="Times New Roman" w:cs="Times New Roman"/>
          <w:szCs w:val="24"/>
        </w:rPr>
        <w:t>spółki oraz żądania od zarządu i pracowników sprawozdań i wyjaśnień oraz dokonywania rewizji stanu majątku spółki (art. 219 § 4 KSH dla spółki z ograniczoną odpowiedzialnością oraz art. 382 § 4 KSH dla spółki akcyjnej, w brzmieniu dotychczas obowiązującym), jednak uprawnienie to w praktyce pozostaje często niewystarczające.</w:t>
      </w:r>
    </w:p>
    <w:p w14:paraId="79098BD0" w14:textId="5643384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Z uwagi na rozdźwięk w zakresie posiadanych danych o spółce między radą nadzorczą a zarządem, członkowie pierwszego z tych organów mogą nie posiadać wiedzy o istotnych </w:t>
      </w:r>
      <w:r w:rsidRPr="00EE7FF7">
        <w:rPr>
          <w:rFonts w:ascii="Times New Roman" w:hAnsi="Times New Roman" w:cs="Times New Roman"/>
          <w:szCs w:val="24"/>
        </w:rPr>
        <w:lastRenderedPageBreak/>
        <w:t>zdarzeniach lub okolicznościach, w odniesieniu do których powinni pogłębić swój zasób informacji oraz zażądać udzielenia stosownych wyjaśnień. Brak bieżącego oraz sformalizowanego obowiązku informacyjnego wykonywanego przez menadżerów wobec rady nadzorczej, w praktyce obniża skuteczność istniejących regulacji.</w:t>
      </w:r>
    </w:p>
    <w:p w14:paraId="7E45981B" w14:textId="6BD37F58"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Obrazując opisywany w tym miejscu problem można wskazać, iż rada nadzorcza częstokroć nie posiada wiadomości o zdarzeniach lub okolicznościach, które powinny być przedmiotem dalszych działań stanowiących realizację uprawnienia wynikającego </w:t>
      </w:r>
      <w:r w:rsidR="001C6010" w:rsidRPr="00EE7FF7">
        <w:rPr>
          <w:rFonts w:ascii="Times New Roman" w:hAnsi="Times New Roman" w:cs="Times New Roman"/>
          <w:szCs w:val="24"/>
        </w:rPr>
        <w:t>między innymi</w:t>
      </w:r>
      <w:r w:rsidRPr="00EE7FF7">
        <w:rPr>
          <w:rFonts w:ascii="Times New Roman" w:hAnsi="Times New Roman" w:cs="Times New Roman"/>
          <w:szCs w:val="24"/>
        </w:rPr>
        <w:t xml:space="preserve"> z art. 219 § 4 czy art. 382 § 4 KSH. W szczególności niewystarczająca efektywność dotychczasowego modelu kompetencji rad nadzorczych określonego na płaszczyźnie KSH objawiała się głównie w odniesieniu do zdarzeń o charakterze nadzwyczajnym, których nie sposób było przewidzieć z perspektywy piastuna organu nadzorczego. Zapewnienie zaś bieżącego dostępu do istotnych wiadomości odnoszących się do spółki daje osobom powołanym do dbania o interes tego podmiotu szansę reakcji oraz zainicjowanie właściwych działań.</w:t>
      </w:r>
    </w:p>
    <w:p w14:paraId="4EE9333A" w14:textId="77777777"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Obowiązek informowania rady nadzorczej o aktualnej sytuacji spółki można, w bieżącym stanie normatywnym, starać się zidentyfikować po stronie zarządu na podstawie ogólnych nakazów współdziałania organów i zachowania lojalności względem spółki. Tym niemniej, wobec braku jednoznacznych przepisów w tym obszarze, zasygnalizowana powinność w praktyce bywa realizowana z różnym efektem.</w:t>
      </w:r>
    </w:p>
    <w:p w14:paraId="635F15CE" w14:textId="2BC94B9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Proponowany mechanizm zawarty w art. 380</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wedle przedkładanego projektu</w:t>
      </w:r>
      <w:r w:rsidR="002E1FD2" w:rsidRPr="00EE7FF7">
        <w:rPr>
          <w:rFonts w:ascii="Times New Roman" w:hAnsi="Times New Roman" w:cs="Times New Roman"/>
          <w:szCs w:val="24"/>
        </w:rPr>
        <w:t>,</w:t>
      </w:r>
      <w:r w:rsidRPr="00EE7FF7">
        <w:rPr>
          <w:rFonts w:ascii="Times New Roman" w:hAnsi="Times New Roman" w:cs="Times New Roman"/>
          <w:szCs w:val="24"/>
        </w:rPr>
        <w:t xml:space="preserve"> ma doprowadzić także do aktywizacji rad nadzorczych oraz zachęcenia ich do zintensyfikowania realizowania obowiązków przez pozostałe uprawnienia. Dotychczasowy stan prawny w niektórych przypadkach mógł prowadzić do premiowania biernych postaw piastunów omawianego organu. Praktyka nieformułowania szerokich żądań przedstawienia przez zarząd informacji o istotnych okolicznościach oraz zdarzeniach odnoszących się do spółki w praktyce prowadziła do tego, iż rada nadzorcza nie otrzymywała danych, które winny wzbudzić jej zainteresowanie wywoływane należytą starannością</w:t>
      </w:r>
      <w:r w:rsidR="002E1FD2" w:rsidRPr="00EE7FF7">
        <w:rPr>
          <w:rFonts w:ascii="Times New Roman" w:hAnsi="Times New Roman" w:cs="Times New Roman"/>
          <w:szCs w:val="24"/>
        </w:rPr>
        <w:t>,</w:t>
      </w:r>
      <w:r w:rsidRPr="00EE7FF7">
        <w:rPr>
          <w:rFonts w:ascii="Times New Roman" w:hAnsi="Times New Roman" w:cs="Times New Roman"/>
          <w:szCs w:val="24"/>
        </w:rPr>
        <w:t xml:space="preserve"> adekwatną dla piastuna organu spółki kapitałowej. W przypadkach zaś skrajnych, w ramach których dochodziło do sytuacji zagrożenia interesu spółki (czy nawet jego naruszenia), rada nadzorcza tłumaczyła </w:t>
      </w:r>
      <w:r w:rsidRPr="00EE7FF7">
        <w:rPr>
          <w:rFonts w:ascii="Times New Roman" w:hAnsi="Times New Roman" w:cs="Times New Roman"/>
          <w:i/>
          <w:szCs w:val="24"/>
        </w:rPr>
        <w:t>ex post</w:t>
      </w:r>
      <w:r w:rsidRPr="00EE7FF7">
        <w:rPr>
          <w:rFonts w:ascii="Times New Roman" w:hAnsi="Times New Roman" w:cs="Times New Roman"/>
          <w:szCs w:val="24"/>
        </w:rPr>
        <w:t xml:space="preserve"> brak podjęcia oczekiwanej ze strony wspólników lub akcjonariuszy reakcji niewiedzą wywołaną niedoinformowaniem przez zarząd.</w:t>
      </w:r>
    </w:p>
    <w:p w14:paraId="51D46297" w14:textId="64663DDE"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lastRenderedPageBreak/>
        <w:t>Usprawnienie przepływu informacji między organami koreluje z ogólnym obowiązkiem stałego nadzoru przez radę nadzorczą. Brak sprawnego mechanizmu w opisywanym obszarze poważnie utrudnia, a czasem nawet uniemożliwia, należyte realizowanie tej podstawowej funkcji rady.</w:t>
      </w:r>
    </w:p>
    <w:p w14:paraId="5BD72421" w14:textId="451E7759" w:rsidR="00323FC0" w:rsidRPr="00EE7FF7"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W ramach art. 380</w:t>
      </w:r>
      <w:r w:rsidRPr="00931E42">
        <w:rPr>
          <w:rStyle w:val="IGindeksgrny"/>
          <w:rFonts w:ascii="Times New Roman" w:hAnsi="Times New Roman" w:cs="Times New Roman"/>
          <w:szCs w:val="24"/>
        </w:rPr>
        <w:t>1</w:t>
      </w:r>
      <w:r w:rsidRPr="00931E42">
        <w:rPr>
          <w:rFonts w:ascii="Times New Roman" w:hAnsi="Times New Roman" w:cs="Times New Roman"/>
          <w:szCs w:val="24"/>
        </w:rPr>
        <w:t xml:space="preserve"> </w:t>
      </w:r>
      <w:r w:rsidR="00245F5C" w:rsidRPr="00931E42">
        <w:rPr>
          <w:rFonts w:ascii="Times New Roman" w:hAnsi="Times New Roman" w:cs="Times New Roman"/>
          <w:szCs w:val="24"/>
        </w:rPr>
        <w:t>projektowanego</w:t>
      </w:r>
      <w:r w:rsidR="004F7A8A" w:rsidRPr="00931E42">
        <w:rPr>
          <w:rFonts w:ascii="Times New Roman" w:hAnsi="Times New Roman" w:cs="Times New Roman"/>
          <w:szCs w:val="24"/>
        </w:rPr>
        <w:t xml:space="preserve"> </w:t>
      </w:r>
      <w:r w:rsidRPr="00931E42">
        <w:rPr>
          <w:rFonts w:ascii="Times New Roman" w:hAnsi="Times New Roman" w:cs="Times New Roman"/>
          <w:szCs w:val="24"/>
        </w:rPr>
        <w:t>KSH proponuje się wprowadz</w:t>
      </w:r>
      <w:r w:rsidR="002E1FD2" w:rsidRPr="00931E42">
        <w:rPr>
          <w:rFonts w:ascii="Times New Roman" w:hAnsi="Times New Roman" w:cs="Times New Roman"/>
          <w:szCs w:val="24"/>
        </w:rPr>
        <w:t>enie</w:t>
      </w:r>
      <w:r w:rsidRPr="00931E42">
        <w:rPr>
          <w:rFonts w:ascii="Times New Roman" w:hAnsi="Times New Roman" w:cs="Times New Roman"/>
          <w:szCs w:val="24"/>
        </w:rPr>
        <w:t xml:space="preserve"> do modyfikowanego aktu normatywnego przepis</w:t>
      </w:r>
      <w:r w:rsidR="002E1FD2" w:rsidRPr="00931E42">
        <w:rPr>
          <w:rFonts w:ascii="Times New Roman" w:hAnsi="Times New Roman" w:cs="Times New Roman"/>
          <w:szCs w:val="24"/>
        </w:rPr>
        <w:t>ów</w:t>
      </w:r>
      <w:r w:rsidRPr="00931E42">
        <w:rPr>
          <w:rFonts w:ascii="Times New Roman" w:hAnsi="Times New Roman" w:cs="Times New Roman"/>
          <w:szCs w:val="24"/>
        </w:rPr>
        <w:t xml:space="preserve"> kształtując</w:t>
      </w:r>
      <w:r w:rsidR="002E1FD2" w:rsidRPr="00931E42">
        <w:rPr>
          <w:rFonts w:ascii="Times New Roman" w:hAnsi="Times New Roman" w:cs="Times New Roman"/>
          <w:szCs w:val="24"/>
        </w:rPr>
        <w:t>ych</w:t>
      </w:r>
      <w:r w:rsidRPr="005D5147">
        <w:rPr>
          <w:rFonts w:ascii="Times New Roman" w:hAnsi="Times New Roman" w:cs="Times New Roman"/>
          <w:szCs w:val="24"/>
        </w:rPr>
        <w:t xml:space="preserve"> obowiązek zarządu do regularnego lub niezwłocznego przekazywania radzie nadzorczej scharakteryzowanych wiadomości</w:t>
      </w:r>
      <w:r w:rsidR="002E1FD2" w:rsidRPr="00DA4799">
        <w:rPr>
          <w:rFonts w:ascii="Times New Roman" w:hAnsi="Times New Roman" w:cs="Times New Roman"/>
          <w:szCs w:val="24"/>
        </w:rPr>
        <w:t>,</w:t>
      </w:r>
      <w:r w:rsidRPr="00DA4799">
        <w:rPr>
          <w:rFonts w:ascii="Times New Roman" w:hAnsi="Times New Roman" w:cs="Times New Roman"/>
          <w:szCs w:val="24"/>
        </w:rPr>
        <w:t xml:space="preserve"> odnoszących się do głównych obszarów, które winny znajdować się w szczególnym zakresie zainteresowania rad. W § 3 przywołanych ar</w:t>
      </w:r>
      <w:r w:rsidRPr="00123222">
        <w:rPr>
          <w:rFonts w:ascii="Times New Roman" w:hAnsi="Times New Roman" w:cs="Times New Roman"/>
          <w:szCs w:val="24"/>
        </w:rPr>
        <w:t>tykułów przewidziano terminy, w ramach których komentowana powinność ma być realizowana. Tym niemniej, z racji tego, że głównym beneficjentem zaprojektowanych przepisów pozostaje rada nadzorcza (która uzyskuje przecież narzędzie zwiększające efektywność wy</w:t>
      </w:r>
      <w:r w:rsidRPr="00EE7FF7">
        <w:rPr>
          <w:rFonts w:ascii="Times New Roman" w:hAnsi="Times New Roman" w:cs="Times New Roman"/>
          <w:szCs w:val="24"/>
        </w:rPr>
        <w:t>konywania obowiązków korporacyjnych), może ona do pewnego stopnia dostosowywać sposób oraz częstotliwości ich koniecznego realizowania.</w:t>
      </w:r>
    </w:p>
    <w:p w14:paraId="6791E7B1" w14:textId="5DD6E1DF"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Efektywność komentowanego mechanizmu będzie przez współwłaścicieli monitorowana na skutek corocznego dokonywania przez radę nadzorczą jego oceny oraz przedstawiania jej w ramach sprawozdania przedkładanego pod rozstrzygnięcie walnego zgromadzenia (art. 38</w:t>
      </w:r>
      <w:r w:rsidR="004F7A8A" w:rsidRPr="00F30ED8">
        <w:rPr>
          <w:rFonts w:ascii="Times New Roman" w:hAnsi="Times New Roman" w:cs="Times New Roman"/>
          <w:szCs w:val="24"/>
        </w:rPr>
        <w:t>2</w:t>
      </w:r>
      <w:r w:rsidRPr="00931E42">
        <w:rPr>
          <w:rFonts w:ascii="Times New Roman" w:hAnsi="Times New Roman" w:cs="Times New Roman"/>
          <w:szCs w:val="24"/>
        </w:rPr>
        <w:t xml:space="preserve"> § 3 pkt 3 KSH podług prezentowanego projektu).</w:t>
      </w:r>
    </w:p>
    <w:p w14:paraId="63726C1B" w14:textId="4764F3E9"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Ostatecznie to akcjonariusze ponoszą ekonomiczne ryzyko funkcjonowania spółki kapitałowej, stąd powinni oni dysponować możliwością przesądzenia na poziomie statutu, czy proponowany poszerzony model współpracy zarządu z radą nadzorczą ma mieć zastosowanie w ramach ich przedsięwzięcia, a także</w:t>
      </w:r>
      <w:r w:rsidR="00824167">
        <w:rPr>
          <w:rFonts w:ascii="Times New Roman" w:hAnsi="Times New Roman" w:cs="Times New Roman"/>
          <w:szCs w:val="24"/>
        </w:rPr>
        <w:t>,</w:t>
      </w:r>
      <w:r w:rsidRPr="00F30ED8">
        <w:rPr>
          <w:rFonts w:ascii="Times New Roman" w:hAnsi="Times New Roman" w:cs="Times New Roman"/>
          <w:szCs w:val="24"/>
        </w:rPr>
        <w:t xml:space="preserve"> w jakim zakresie ma być stosowany </w:t>
      </w:r>
      <w:r w:rsidRPr="00931E42">
        <w:rPr>
          <w:rFonts w:ascii="Times New Roman" w:hAnsi="Times New Roman" w:cs="Times New Roman"/>
          <w:szCs w:val="24"/>
        </w:rPr>
        <w:t>(taka konstrukcja proponowanych przepisów KSH może się okazać zasadna w szczególności z perspektywy spółek jednoosobowych, które z uwagi na określone okoliczności zorganizowane zostały w formie spółek akcyjnych).</w:t>
      </w:r>
    </w:p>
    <w:p w14:paraId="37AA3CD9" w14:textId="6437F4BD" w:rsidR="00323FC0" w:rsidRPr="00EE7FF7"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Z uwagi na istotne różnice systemowe w funkcjonowaniu rad nadzorczych w ramach poszczególnych spółek kapitałowych, a także odmienności cech konstrukcyjnych tych podmiotów, omawiany mechanizm wprowadza się na poziomie KSH wyłącznie w odniesieniu do spółki akcyjnej. Norma zwarta w proponowanym art. 380</w:t>
      </w:r>
      <w:r w:rsidRPr="00931E42">
        <w:rPr>
          <w:rFonts w:ascii="Times New Roman" w:hAnsi="Times New Roman" w:cs="Times New Roman"/>
          <w:szCs w:val="24"/>
          <w:vertAlign w:val="superscript"/>
        </w:rPr>
        <w:t>1</w:t>
      </w:r>
      <w:r w:rsidRPr="00931E42">
        <w:rPr>
          <w:rFonts w:ascii="Times New Roman" w:hAnsi="Times New Roman" w:cs="Times New Roman"/>
          <w:szCs w:val="24"/>
        </w:rPr>
        <w:t xml:space="preserve"> KSH stanowić może natomiast wzór regulacyjny, który</w:t>
      </w:r>
      <w:r w:rsidR="002E1FD2" w:rsidRPr="00931E42">
        <w:rPr>
          <w:rFonts w:ascii="Times New Roman" w:hAnsi="Times New Roman" w:cs="Times New Roman"/>
          <w:szCs w:val="24"/>
        </w:rPr>
        <w:t>,</w:t>
      </w:r>
      <w:r w:rsidRPr="00931E42">
        <w:rPr>
          <w:rFonts w:ascii="Times New Roman" w:hAnsi="Times New Roman" w:cs="Times New Roman"/>
          <w:szCs w:val="24"/>
        </w:rPr>
        <w:t xml:space="preserve"> na zasadzie dobrowolnej woli wspólników</w:t>
      </w:r>
      <w:r w:rsidR="002E1FD2" w:rsidRPr="00931E42">
        <w:rPr>
          <w:rFonts w:ascii="Times New Roman" w:hAnsi="Times New Roman" w:cs="Times New Roman"/>
          <w:szCs w:val="24"/>
        </w:rPr>
        <w:t>,</w:t>
      </w:r>
      <w:r w:rsidRPr="005D5147">
        <w:rPr>
          <w:rFonts w:ascii="Times New Roman" w:hAnsi="Times New Roman" w:cs="Times New Roman"/>
          <w:szCs w:val="24"/>
        </w:rPr>
        <w:t xml:space="preserve"> nadaje się do implementowania do umowy spółki z ograniczoną odpowiedzialnością. Rozwiązanie to ma zapewnić osobom ponoszącym ekonomiczne ryzyko funkcjonowania</w:t>
      </w:r>
      <w:r w:rsidRPr="00DA4799">
        <w:rPr>
          <w:rFonts w:ascii="Times New Roman" w:hAnsi="Times New Roman" w:cs="Times New Roman"/>
          <w:szCs w:val="24"/>
        </w:rPr>
        <w:t xml:space="preserve"> </w:t>
      </w:r>
      <w:r w:rsidRPr="00DA4799">
        <w:rPr>
          <w:rFonts w:ascii="Times New Roman" w:hAnsi="Times New Roman" w:cs="Times New Roman"/>
          <w:szCs w:val="24"/>
        </w:rPr>
        <w:lastRenderedPageBreak/>
        <w:t xml:space="preserve">wspomnianej spółki zdolność łatwego – </w:t>
      </w:r>
      <w:r w:rsidR="00245F5C" w:rsidRPr="00123222">
        <w:rPr>
          <w:rFonts w:ascii="Times New Roman" w:hAnsi="Times New Roman" w:cs="Times New Roman"/>
          <w:szCs w:val="24"/>
        </w:rPr>
        <w:t>to jest</w:t>
      </w:r>
      <w:r w:rsidRPr="00EE7FF7">
        <w:rPr>
          <w:rFonts w:ascii="Times New Roman" w:hAnsi="Times New Roman" w:cs="Times New Roman"/>
          <w:szCs w:val="24"/>
        </w:rPr>
        <w:t xml:space="preserve"> w oparciu o model przyjęty przez ustawodawcę – dostosowania organizacji wewnętrznej tego podmiotu do jego wielkości oraz stopnia skomplikowania funkcjonalnego. Analogiczny wniosek odnosi się do możliwości wykorzystania przepisów zawartych w art. 380</w:t>
      </w:r>
      <w:r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001173B9" w:rsidRPr="00EE7FF7">
        <w:rPr>
          <w:rFonts w:ascii="Times New Roman" w:hAnsi="Times New Roman" w:cs="Times New Roman"/>
          <w:szCs w:val="24"/>
        </w:rPr>
        <w:t xml:space="preserve"> </w:t>
      </w:r>
      <w:r w:rsidRPr="00EE7FF7">
        <w:rPr>
          <w:rFonts w:ascii="Times New Roman" w:hAnsi="Times New Roman" w:cs="Times New Roman"/>
          <w:szCs w:val="24"/>
        </w:rPr>
        <w:t>KSH przy modelowaniu umownej organizacji prostej spółki akcyjnej.</w:t>
      </w:r>
    </w:p>
    <w:p w14:paraId="35F73609" w14:textId="41604F35" w:rsidR="00DF7C37" w:rsidRPr="00EE7FF7" w:rsidRDefault="00DF7C37"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Opisywany mechanizm mający zwiększać wymianę informacji między zarządem oraz radą nadzorczą spółki kapitałowej w ocenie projektodawców nie powinien stanowić nadmiernego obciążenia dla pierwszego ze wspomnianych organów. Istotą normy wynikającej z art. 380</w:t>
      </w:r>
      <w:r w:rsidRPr="00EE7FF7">
        <w:rPr>
          <w:rFonts w:ascii="Times New Roman" w:hAnsi="Times New Roman" w:cs="Times New Roman"/>
          <w:szCs w:val="24"/>
          <w:vertAlign w:val="superscript"/>
        </w:rPr>
        <w:t>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004069CA" w:rsidRPr="00EE7FF7">
        <w:rPr>
          <w:rFonts w:ascii="Times New Roman" w:hAnsi="Times New Roman" w:cs="Times New Roman"/>
          <w:szCs w:val="24"/>
        </w:rPr>
        <w:t xml:space="preserve"> </w:t>
      </w:r>
      <w:r w:rsidRPr="00EE7FF7">
        <w:rPr>
          <w:rFonts w:ascii="Times New Roman" w:hAnsi="Times New Roman" w:cs="Times New Roman"/>
          <w:szCs w:val="24"/>
        </w:rPr>
        <w:t xml:space="preserve">KSH nie jest nałożenie na zarząd spółki dodatkowego </w:t>
      </w:r>
      <w:r w:rsidR="004069CA" w:rsidRPr="00EE7FF7">
        <w:rPr>
          <w:rFonts w:ascii="Times New Roman" w:hAnsi="Times New Roman" w:cs="Times New Roman"/>
          <w:szCs w:val="24"/>
        </w:rPr>
        <w:t xml:space="preserve">szczegółowego </w:t>
      </w:r>
      <w:r w:rsidRPr="00EE7FF7">
        <w:rPr>
          <w:rFonts w:ascii="Times New Roman" w:hAnsi="Times New Roman" w:cs="Times New Roman"/>
          <w:szCs w:val="24"/>
        </w:rPr>
        <w:t xml:space="preserve">obowiązku sprawozdawczego wobec rady nadzorczej, lecz stworzenie kompletnej i rzetelnej bazy informacyjnej służącej efektywniejszej kooperacji obu organów. Cel komentowanej regulacji powinien wyznaczać zakres danych konieczny do uwzględnienia w informacji udzielanej radzie nadzorczej spółki. Odnotować należy również, iż co do zasady przedmiotowe wiadomości powinny być przekazywane radzie nadzorczej na piśmie, z wyjątkiem sytuacji, gdy zachowanie takiej formy nie jest możliwe ze względu na konieczność natychmiastowego przekazania informacji radzie nadzorczej. </w:t>
      </w:r>
      <w:r w:rsidR="004069CA" w:rsidRPr="00EE7FF7">
        <w:rPr>
          <w:rFonts w:ascii="Times New Roman" w:hAnsi="Times New Roman" w:cs="Times New Roman"/>
          <w:szCs w:val="24"/>
        </w:rPr>
        <w:t>Mając na uwadze wielkość konkretnego podmiotu oraz skalę jego wewnętrznej organizacji, rada nadzorcza może postanowić o dopuszczalności przekazywania informacji objętych art. 380</w:t>
      </w:r>
      <w:r w:rsidR="004069CA" w:rsidRPr="00EE7FF7">
        <w:rPr>
          <w:rFonts w:ascii="Times New Roman" w:hAnsi="Times New Roman" w:cs="Times New Roman"/>
          <w:szCs w:val="24"/>
          <w:vertAlign w:val="superscript"/>
        </w:rPr>
        <w:t>1</w:t>
      </w:r>
      <w:r w:rsidR="004069CA" w:rsidRPr="00EE7FF7">
        <w:rPr>
          <w:rFonts w:ascii="Times New Roman" w:hAnsi="Times New Roman" w:cs="Times New Roman"/>
          <w:szCs w:val="24"/>
        </w:rPr>
        <w:t xml:space="preserve"> § 1 </w:t>
      </w:r>
      <w:r w:rsidR="00245F5C" w:rsidRPr="00EE7FF7">
        <w:rPr>
          <w:rFonts w:ascii="Times New Roman" w:hAnsi="Times New Roman" w:cs="Times New Roman"/>
          <w:szCs w:val="24"/>
        </w:rPr>
        <w:t>projektowanego</w:t>
      </w:r>
      <w:r w:rsidR="004069CA" w:rsidRPr="00EE7FF7">
        <w:rPr>
          <w:rFonts w:ascii="Times New Roman" w:hAnsi="Times New Roman" w:cs="Times New Roman"/>
          <w:szCs w:val="24"/>
        </w:rPr>
        <w:t xml:space="preserve"> KSH również w innej, bardziej dogodnej w konkretnym stanie faktycznym formie.</w:t>
      </w:r>
    </w:p>
    <w:p w14:paraId="694D8914" w14:textId="55C02A38" w:rsidR="003D6064" w:rsidRPr="00F30ED8" w:rsidRDefault="006814C6" w:rsidP="00EE7FF7">
      <w:pPr>
        <w:pStyle w:val="Wcicienormalne"/>
        <w:spacing w:before="240" w:line="360" w:lineRule="auto"/>
        <w:ind w:left="0"/>
        <w:jc w:val="both"/>
        <w:rPr>
          <w:rStyle w:val="Uwydatnienie"/>
          <w:rFonts w:ascii="Calibri" w:eastAsia="Calibri" w:hAnsi="Calibri" w:cs="F"/>
          <w:szCs w:val="24"/>
          <w:lang w:eastAsia="en-US"/>
        </w:rPr>
      </w:pPr>
      <w:r w:rsidRPr="00F30ED8">
        <w:rPr>
          <w:rStyle w:val="Uwydatnienie"/>
          <w:szCs w:val="24"/>
        </w:rPr>
        <w:t xml:space="preserve">5.2. </w:t>
      </w:r>
      <w:r w:rsidR="003D6064" w:rsidRPr="00F30ED8">
        <w:rPr>
          <w:rStyle w:val="Uwydatnienie"/>
          <w:szCs w:val="24"/>
        </w:rPr>
        <w:t>Wprowadzenie obowiązków sprawozdawczych rady nadzorczej</w:t>
      </w:r>
    </w:p>
    <w:p w14:paraId="170515DF" w14:textId="26CB6AC3" w:rsidR="00BB1349" w:rsidRPr="00F30ED8" w:rsidRDefault="003D6064" w:rsidP="00931E42">
      <w:pPr>
        <w:pStyle w:val="Wcicienormalne"/>
        <w:spacing w:line="360" w:lineRule="auto"/>
        <w:ind w:left="0"/>
        <w:jc w:val="both"/>
        <w:rPr>
          <w:rStyle w:val="Uwydatnienie"/>
          <w:i w:val="0"/>
          <w:szCs w:val="24"/>
        </w:rPr>
      </w:pPr>
      <w:r w:rsidRPr="00931E42">
        <w:rPr>
          <w:rStyle w:val="Uwydatnienie"/>
          <w:i w:val="0"/>
          <w:szCs w:val="24"/>
        </w:rPr>
        <w:t xml:space="preserve">Mając na uwadze rolę rady nadzorczej w systemie ładu korporacyjnego, a także chcąc zabezpieczyć należyty przepływ informacji między radą nadzorczą a organem właścicielskim spółki, rada nadzorcza została zobowiązana do sporządzana i przedstawiania corocznego sprawozdania z działalności (art. 219 § 3, </w:t>
      </w:r>
      <w:r w:rsidR="002505AB" w:rsidRPr="00931E42">
        <w:rPr>
          <w:rStyle w:val="Uwydatnienie"/>
          <w:i w:val="0"/>
          <w:szCs w:val="24"/>
        </w:rPr>
        <w:t xml:space="preserve">art. </w:t>
      </w:r>
      <w:r w:rsidRPr="005D5147">
        <w:rPr>
          <w:szCs w:val="24"/>
        </w:rPr>
        <w:t>300</w:t>
      </w:r>
      <w:r w:rsidRPr="00DA4799">
        <w:rPr>
          <w:rStyle w:val="IGindeksgrny"/>
          <w:szCs w:val="24"/>
        </w:rPr>
        <w:t xml:space="preserve">69 </w:t>
      </w:r>
      <w:r w:rsidRPr="00DA4799">
        <w:rPr>
          <w:rStyle w:val="IGindeksgrny"/>
          <w:szCs w:val="24"/>
          <w:vertAlign w:val="baseline"/>
        </w:rPr>
        <w:t>§ 3 oraz</w:t>
      </w:r>
      <w:r w:rsidRPr="00123222">
        <w:rPr>
          <w:rStyle w:val="Uwydatnienie"/>
          <w:i w:val="0"/>
          <w:szCs w:val="24"/>
        </w:rPr>
        <w:t xml:space="preserve"> </w:t>
      </w:r>
      <w:r w:rsidR="002505AB" w:rsidRPr="00F30ED8">
        <w:rPr>
          <w:rStyle w:val="Uwydatnienie"/>
          <w:i w:val="0"/>
          <w:szCs w:val="24"/>
        </w:rPr>
        <w:t xml:space="preserve">art. </w:t>
      </w:r>
      <w:r w:rsidRPr="00F30ED8">
        <w:rPr>
          <w:rStyle w:val="Uwydatnienie"/>
          <w:i w:val="0"/>
          <w:szCs w:val="24"/>
        </w:rPr>
        <w:t xml:space="preserve">388 § 3). Sprawozdanie takie będzie źródłem informacji o pracy rady nadzorcze i jedną z podstaw do oceny tej pracy (w tym w formie rozstrzygnięcia w przedmiocie udzielenia </w:t>
      </w:r>
      <w:r w:rsidR="00BB1349" w:rsidRPr="00F30ED8">
        <w:rPr>
          <w:rStyle w:val="Uwydatnienie"/>
          <w:i w:val="0"/>
          <w:szCs w:val="24"/>
        </w:rPr>
        <w:t>absolutorium</w:t>
      </w:r>
      <w:r w:rsidRPr="00F30ED8">
        <w:rPr>
          <w:rStyle w:val="Uwydatnienie"/>
          <w:i w:val="0"/>
          <w:szCs w:val="24"/>
        </w:rPr>
        <w:t xml:space="preserve">), </w:t>
      </w:r>
      <w:r w:rsidR="00BB1349" w:rsidRPr="00F30ED8">
        <w:rPr>
          <w:rStyle w:val="Uwydatnienie"/>
          <w:i w:val="0"/>
          <w:szCs w:val="24"/>
        </w:rPr>
        <w:t xml:space="preserve">a więc pełniło będzie analogiczną funkcję jak sprawozdanie zarządu z działalności spółki. </w:t>
      </w:r>
      <w:r w:rsidR="00045E78" w:rsidRPr="00F30ED8">
        <w:rPr>
          <w:rStyle w:val="Uwydatnienie"/>
          <w:i w:val="0"/>
          <w:szCs w:val="24"/>
        </w:rPr>
        <w:t>Analogiczne rozwiązania przewidziano w projekcie dla komisji rewizyjnej (art. 221 § 1 KSH).</w:t>
      </w:r>
    </w:p>
    <w:p w14:paraId="15F5EBFF" w14:textId="5D9863ED" w:rsidR="00BB1349" w:rsidRPr="00F30ED8" w:rsidRDefault="00BB1349" w:rsidP="00931E42">
      <w:pPr>
        <w:pStyle w:val="Wcicienormalne"/>
        <w:spacing w:line="360" w:lineRule="auto"/>
        <w:ind w:left="0"/>
        <w:jc w:val="both"/>
        <w:rPr>
          <w:rStyle w:val="Uwydatnienie"/>
          <w:i w:val="0"/>
          <w:szCs w:val="24"/>
        </w:rPr>
      </w:pPr>
      <w:r w:rsidRPr="00F30ED8">
        <w:rPr>
          <w:rStyle w:val="Uwydatnienie"/>
          <w:i w:val="0"/>
          <w:szCs w:val="24"/>
        </w:rPr>
        <w:lastRenderedPageBreak/>
        <w:t>W odniesieniu do spółek akcyjnych została również określona minimalna treść sprawozdania rady nadzorczej (art. 388 § 3</w:t>
      </w:r>
      <w:r w:rsidRPr="00F30ED8">
        <w:rPr>
          <w:rStyle w:val="Uwydatnienie"/>
          <w:i w:val="0"/>
          <w:szCs w:val="24"/>
          <w:vertAlign w:val="superscript"/>
        </w:rPr>
        <w:t>1</w:t>
      </w:r>
      <w:r w:rsidRPr="00F30ED8">
        <w:rPr>
          <w:rStyle w:val="Uwydatnienie"/>
          <w:i w:val="0"/>
          <w:szCs w:val="24"/>
        </w:rPr>
        <w:t>), natomiast w pozostałych typach spółek, rozstrzygnięcie o tym</w:t>
      </w:r>
      <w:r w:rsidR="00824167">
        <w:rPr>
          <w:rStyle w:val="Uwydatnienie"/>
          <w:i w:val="0"/>
          <w:szCs w:val="24"/>
        </w:rPr>
        <w:t>,</w:t>
      </w:r>
      <w:r w:rsidRPr="00F30ED8">
        <w:rPr>
          <w:rStyle w:val="Uwydatnienie"/>
          <w:i w:val="0"/>
          <w:szCs w:val="24"/>
        </w:rPr>
        <w:t xml:space="preserve"> jakie informacje znajdą się w sprawozdaniu pozostawiono samym spółkom. Umożliwi to dostosowanie zakresu przekazywanych informacji do skali prowadzonej działalności oraz do oczekiwań wspólników.</w:t>
      </w:r>
    </w:p>
    <w:p w14:paraId="07301046" w14:textId="00C66C8C" w:rsidR="00BB1349" w:rsidRPr="00EE7FF7" w:rsidRDefault="00BB1349" w:rsidP="00EE7FF7">
      <w:pPr>
        <w:pStyle w:val="Wcicienormalne"/>
        <w:spacing w:before="240" w:line="360" w:lineRule="auto"/>
        <w:ind w:left="0"/>
        <w:jc w:val="both"/>
        <w:rPr>
          <w:rStyle w:val="Uwydatnienie"/>
          <w:szCs w:val="24"/>
        </w:rPr>
      </w:pPr>
      <w:r w:rsidRPr="00F30ED8">
        <w:rPr>
          <w:rStyle w:val="Uwydatnienie"/>
          <w:szCs w:val="24"/>
        </w:rPr>
        <w:t>5.3. Określenie zasad funkcjonowania komitetów rady nadzorczej</w:t>
      </w:r>
      <w:r w:rsidR="00756056" w:rsidRPr="00F30ED8">
        <w:rPr>
          <w:rStyle w:val="Uwydatnienie"/>
          <w:szCs w:val="24"/>
        </w:rPr>
        <w:t xml:space="preserve"> oraz zasad delegowania członków rady nadzorczej do samodzielnego pełnienia czynności nadzorczych</w:t>
      </w:r>
    </w:p>
    <w:p w14:paraId="6929A804" w14:textId="70A38DED" w:rsidR="00BB1349" w:rsidRPr="00F30ED8" w:rsidRDefault="00BB1349" w:rsidP="00EE7FF7">
      <w:pPr>
        <w:pStyle w:val="Wcicienormalne"/>
        <w:spacing w:line="360" w:lineRule="auto"/>
        <w:ind w:left="0"/>
        <w:jc w:val="both"/>
        <w:rPr>
          <w:rStyle w:val="Uwydatnienie"/>
          <w:i w:val="0"/>
          <w:szCs w:val="24"/>
        </w:rPr>
      </w:pPr>
      <w:r w:rsidRPr="003B3BA5">
        <w:rPr>
          <w:rStyle w:val="Uwydatnienie"/>
          <w:i w:val="0"/>
          <w:szCs w:val="24"/>
        </w:rPr>
        <w:t xml:space="preserve">W </w:t>
      </w:r>
      <w:r w:rsidR="005417FB" w:rsidRPr="003B3BA5">
        <w:rPr>
          <w:rStyle w:val="Uwydatnienie"/>
          <w:i w:val="0"/>
          <w:szCs w:val="24"/>
        </w:rPr>
        <w:t xml:space="preserve">projekcie zawarta została regulacja </w:t>
      </w:r>
      <w:r w:rsidR="003B3BA5">
        <w:rPr>
          <w:rStyle w:val="Uwydatnienie"/>
          <w:i w:val="0"/>
          <w:szCs w:val="24"/>
        </w:rPr>
        <w:t xml:space="preserve">dotycząca </w:t>
      </w:r>
      <w:r w:rsidR="005417FB" w:rsidRPr="003B3BA5">
        <w:rPr>
          <w:rStyle w:val="Uwydatnienie"/>
          <w:i w:val="0"/>
          <w:szCs w:val="24"/>
        </w:rPr>
        <w:t xml:space="preserve">komitetów rady nadzorczej, </w:t>
      </w:r>
      <w:r w:rsidR="00245F5C" w:rsidRPr="003B3BA5">
        <w:rPr>
          <w:rStyle w:val="Uwydatnienie"/>
          <w:i w:val="0"/>
          <w:szCs w:val="24"/>
        </w:rPr>
        <w:t>to jest</w:t>
      </w:r>
      <w:r w:rsidR="005417FB" w:rsidRPr="003B3BA5">
        <w:rPr>
          <w:rStyle w:val="Uwydatnienie"/>
          <w:i w:val="0"/>
          <w:szCs w:val="24"/>
        </w:rPr>
        <w:t xml:space="preserve"> instytucji</w:t>
      </w:r>
      <w:r w:rsidR="003B3BA5">
        <w:rPr>
          <w:rStyle w:val="Uwydatnienie"/>
          <w:i w:val="0"/>
          <w:szCs w:val="24"/>
        </w:rPr>
        <w:t>,</w:t>
      </w:r>
      <w:r w:rsidR="005417FB" w:rsidRPr="003B3BA5">
        <w:rPr>
          <w:rStyle w:val="Uwydatnienie"/>
          <w:i w:val="0"/>
          <w:szCs w:val="24"/>
        </w:rPr>
        <w:t xml:space="preserve"> która </w:t>
      </w:r>
      <w:r w:rsidR="005417FB" w:rsidRPr="00F30ED8">
        <w:rPr>
          <w:rStyle w:val="Uwydatnienie"/>
          <w:i w:val="0"/>
          <w:szCs w:val="24"/>
        </w:rPr>
        <w:t xml:space="preserve">coraz częściej występuje w praktyce, a </w:t>
      </w:r>
      <w:r w:rsidR="001033F1" w:rsidRPr="00F30ED8">
        <w:rPr>
          <w:rStyle w:val="Uwydatnienie"/>
          <w:i w:val="0"/>
          <w:szCs w:val="24"/>
        </w:rPr>
        <w:t>która</w:t>
      </w:r>
      <w:r w:rsidR="005417FB" w:rsidRPr="00F30ED8">
        <w:rPr>
          <w:rStyle w:val="Uwydatnienie"/>
          <w:i w:val="0"/>
          <w:szCs w:val="24"/>
        </w:rPr>
        <w:t xml:space="preserve"> nie była do tej pory przedmiotem regulacji KSH. W art. 219</w:t>
      </w:r>
      <w:r w:rsidR="005417FB" w:rsidRPr="00F30ED8">
        <w:rPr>
          <w:rStyle w:val="Uwydatnienie"/>
          <w:i w:val="0"/>
          <w:szCs w:val="24"/>
          <w:vertAlign w:val="superscript"/>
        </w:rPr>
        <w:t>1</w:t>
      </w:r>
      <w:r w:rsidR="007D2B86" w:rsidRPr="00F30ED8">
        <w:rPr>
          <w:rStyle w:val="Uwydatnienie"/>
          <w:i w:val="0"/>
          <w:szCs w:val="24"/>
        </w:rPr>
        <w:t xml:space="preserve"> oraz </w:t>
      </w:r>
      <w:r w:rsidR="002505AB" w:rsidRPr="00F30ED8">
        <w:rPr>
          <w:rStyle w:val="Uwydatnienie"/>
          <w:i w:val="0"/>
          <w:szCs w:val="24"/>
        </w:rPr>
        <w:t xml:space="preserve">art. </w:t>
      </w:r>
      <w:r w:rsidR="007D2B86" w:rsidRPr="00F30ED8">
        <w:rPr>
          <w:rStyle w:val="Uwydatnienie"/>
          <w:i w:val="0"/>
          <w:szCs w:val="24"/>
        </w:rPr>
        <w:t>390</w:t>
      </w:r>
      <w:r w:rsidR="007D2B86" w:rsidRPr="00F30ED8">
        <w:rPr>
          <w:rStyle w:val="Uwydatnienie"/>
          <w:i w:val="0"/>
          <w:szCs w:val="24"/>
          <w:vertAlign w:val="superscript"/>
        </w:rPr>
        <w:t xml:space="preserve">1 </w:t>
      </w:r>
      <w:r w:rsidR="007D2B86" w:rsidRPr="00F30ED8">
        <w:rPr>
          <w:rStyle w:val="Uwydatnienie"/>
          <w:i w:val="0"/>
          <w:szCs w:val="24"/>
        </w:rPr>
        <w:t>KSH określon</w:t>
      </w:r>
      <w:r w:rsidR="003B3BA5">
        <w:rPr>
          <w:rStyle w:val="Uwydatnienie"/>
          <w:i w:val="0"/>
          <w:szCs w:val="24"/>
        </w:rPr>
        <w:t>o</w:t>
      </w:r>
      <w:r w:rsidR="007D2B86" w:rsidRPr="00F30ED8">
        <w:rPr>
          <w:rStyle w:val="Uwydatnienie"/>
          <w:i w:val="0"/>
          <w:szCs w:val="24"/>
        </w:rPr>
        <w:t xml:space="preserve"> zasady tworzenia stałych i doraźnych komitetów rady nadzorczej, wpływ ich utworzenia na odpowiedzialność całej rady nadzorczej oraz kompetencje przysługujące komitetom rady nadzorczej. Wprowadzenie w tym zakresie regulacji jest uzasadnione potrzebą zapewnienia komitetom rady nadzorczej możliwości efektywnego funkcjonowania. Jednocześnie za szczegółowym uregulowaniem kwestii </w:t>
      </w:r>
      <w:r w:rsidR="00045E78" w:rsidRPr="00F30ED8">
        <w:rPr>
          <w:rStyle w:val="Uwydatnienie"/>
          <w:i w:val="0"/>
          <w:szCs w:val="24"/>
        </w:rPr>
        <w:t xml:space="preserve">odpowiedzialności członków rad nadzorczych w sytuacji powołania komitetów rady nadzorczej przemawiała </w:t>
      </w:r>
      <w:r w:rsidR="001033F1" w:rsidRPr="00F30ED8">
        <w:rPr>
          <w:rStyle w:val="Uwydatnienie"/>
          <w:i w:val="0"/>
          <w:szCs w:val="24"/>
        </w:rPr>
        <w:t>doniosłość tej kwestii z punktu widzenia spółek oraz piastunów ich organów</w:t>
      </w:r>
      <w:r w:rsidR="00045E78" w:rsidRPr="00F30ED8">
        <w:rPr>
          <w:rStyle w:val="Uwydatnienie"/>
          <w:i w:val="0"/>
          <w:szCs w:val="24"/>
        </w:rPr>
        <w:t>.</w:t>
      </w:r>
    </w:p>
    <w:p w14:paraId="2D79B5BC" w14:textId="77E068E4" w:rsidR="006208E5" w:rsidRPr="00F30ED8" w:rsidRDefault="00756056" w:rsidP="00EE7FF7">
      <w:pPr>
        <w:pStyle w:val="Wcicienormalne"/>
        <w:spacing w:line="360" w:lineRule="auto"/>
        <w:ind w:left="0"/>
        <w:jc w:val="both"/>
        <w:rPr>
          <w:rStyle w:val="Uwydatnienie"/>
          <w:i w:val="0"/>
          <w:szCs w:val="24"/>
        </w:rPr>
      </w:pPr>
      <w:r w:rsidRPr="00F30ED8">
        <w:rPr>
          <w:rStyle w:val="Uwydatnienie"/>
          <w:i w:val="0"/>
          <w:szCs w:val="24"/>
        </w:rPr>
        <w:t xml:space="preserve">W projektowany art. 390 KSH znalazły się natomiast przepisy precyzyjnie określające jakie uprawnienia przysługują członkom rady nadzorczej delegowanym do samodzielnego wykonywania czynności nadzorczych. Pozwoli to </w:t>
      </w:r>
      <w:r w:rsidR="005124AC" w:rsidRPr="00F30ED8">
        <w:rPr>
          <w:rStyle w:val="Uwydatnienie"/>
          <w:i w:val="0"/>
          <w:szCs w:val="24"/>
        </w:rPr>
        <w:t>na bardziej efektywne wykonywanie przez te osoby powierzonych im zadań.</w:t>
      </w:r>
    </w:p>
    <w:p w14:paraId="7B9214DD" w14:textId="074E9FDC" w:rsidR="006A2A89" w:rsidRPr="00EE7FF7" w:rsidRDefault="003D6064" w:rsidP="00EE7FF7">
      <w:pPr>
        <w:pStyle w:val="Wcicienormalne"/>
        <w:spacing w:before="240" w:line="360" w:lineRule="auto"/>
        <w:ind w:left="0"/>
        <w:jc w:val="both"/>
        <w:rPr>
          <w:rStyle w:val="Uwydatnienie"/>
          <w:szCs w:val="24"/>
        </w:rPr>
      </w:pPr>
      <w:r w:rsidRPr="00F30ED8">
        <w:rPr>
          <w:rStyle w:val="Uwydatnienie"/>
          <w:szCs w:val="24"/>
        </w:rPr>
        <w:t>5.</w:t>
      </w:r>
      <w:r w:rsidR="001033F1" w:rsidRPr="00F30ED8">
        <w:rPr>
          <w:rStyle w:val="Uwydatnienie"/>
          <w:szCs w:val="24"/>
        </w:rPr>
        <w:t>4</w:t>
      </w:r>
      <w:r w:rsidRPr="00F30ED8">
        <w:rPr>
          <w:rStyle w:val="Uwydatnienie"/>
          <w:szCs w:val="24"/>
        </w:rPr>
        <w:t xml:space="preserve">. </w:t>
      </w:r>
      <w:r w:rsidR="006A2A89" w:rsidRPr="00F30ED8">
        <w:rPr>
          <w:rStyle w:val="Uwydatnienie"/>
          <w:szCs w:val="24"/>
        </w:rPr>
        <w:t>Rozszerzenie katalogu osób wyłączonych od możliwości bycia członkiem zarządu, rady nadzorczej, komisji rewizyjnej, likwidatorem albo prokurentem</w:t>
      </w:r>
    </w:p>
    <w:p w14:paraId="15E36149" w14:textId="4D889DC1" w:rsidR="00104A12" w:rsidRPr="00F30ED8" w:rsidRDefault="007F3962" w:rsidP="00EE7FF7">
      <w:pPr>
        <w:pStyle w:val="Wcicienormalne"/>
        <w:spacing w:line="360" w:lineRule="auto"/>
        <w:ind w:left="0"/>
        <w:jc w:val="both"/>
        <w:rPr>
          <w:szCs w:val="24"/>
        </w:rPr>
      </w:pPr>
      <w:r w:rsidRPr="00F30ED8">
        <w:rPr>
          <w:rStyle w:val="Uwydatnienie"/>
          <w:i w:val="0"/>
          <w:szCs w:val="24"/>
        </w:rPr>
        <w:t xml:space="preserve">Kodeks spółek handlowych określa w art. </w:t>
      </w:r>
      <w:r w:rsidR="00104A12" w:rsidRPr="00F30ED8">
        <w:rPr>
          <w:rStyle w:val="Uwydatnienie"/>
          <w:i w:val="0"/>
          <w:szCs w:val="24"/>
        </w:rPr>
        <w:t>18 § 2 katalog osób wyłączonych od możliwości piastowania w spółkach funkcji członka zarządu, rady nadzorczej, komisji rewizyjnej, likwidatora albo prokurenta. Zgodnie z dyspozycją tego przepisu osobami wyłączonymi są osoby skazane za popełnienie przestępstw określonych kategorii</w:t>
      </w:r>
      <w:r w:rsidR="003B3BA5">
        <w:rPr>
          <w:rStyle w:val="Uwydatnienie"/>
          <w:i w:val="0"/>
          <w:szCs w:val="24"/>
        </w:rPr>
        <w:t>,</w:t>
      </w:r>
      <w:r w:rsidR="00104A12" w:rsidRPr="00F30ED8">
        <w:rPr>
          <w:rStyle w:val="Uwydatnienie"/>
          <w:i w:val="0"/>
          <w:szCs w:val="24"/>
        </w:rPr>
        <w:t xml:space="preserve"> </w:t>
      </w:r>
      <w:r w:rsidR="00245F5C" w:rsidRPr="00F30ED8">
        <w:rPr>
          <w:rStyle w:val="Uwydatnienie"/>
          <w:i w:val="0"/>
          <w:szCs w:val="24"/>
        </w:rPr>
        <w:t>to jest</w:t>
      </w:r>
      <w:r w:rsidR="00104A12" w:rsidRPr="00F30ED8">
        <w:rPr>
          <w:rStyle w:val="Uwydatnienie"/>
          <w:i w:val="0"/>
          <w:szCs w:val="24"/>
        </w:rPr>
        <w:t xml:space="preserve"> przestępstw przeciwko </w:t>
      </w:r>
      <w:r w:rsidR="00104A12" w:rsidRPr="00F30ED8">
        <w:rPr>
          <w:szCs w:val="24"/>
        </w:rPr>
        <w:t xml:space="preserve">obrotowi gospodarczemu, ochronie informacji, wiarygodności dokumentów, mieniu, obrotowi pieniędzmi i papierami wartościowymi. Funkcją tego przepisu jest ochrona zarówno interesów spółki, jak i pozostałych uczestników obrotu </w:t>
      </w:r>
      <w:r w:rsidR="00104A12" w:rsidRPr="00F30ED8">
        <w:rPr>
          <w:szCs w:val="24"/>
        </w:rPr>
        <w:lastRenderedPageBreak/>
        <w:t>gospodarczego przez wyeliminowanie z obrotu osób, które nie dają rękojmi należytego sprawowania mandatu.</w:t>
      </w:r>
    </w:p>
    <w:p w14:paraId="07EC522F" w14:textId="0D18DB3E" w:rsidR="00104A12" w:rsidRPr="00F30ED8" w:rsidRDefault="00104A12" w:rsidP="00EE7FF7">
      <w:pPr>
        <w:pStyle w:val="Wcicienormalne"/>
        <w:spacing w:line="360" w:lineRule="auto"/>
        <w:ind w:left="0"/>
        <w:jc w:val="both"/>
        <w:rPr>
          <w:szCs w:val="24"/>
        </w:rPr>
      </w:pPr>
      <w:r w:rsidRPr="00F30ED8">
        <w:rPr>
          <w:szCs w:val="24"/>
        </w:rPr>
        <w:t xml:space="preserve">Z powstaniem określonej w art. 18 § 2 przesłanki negatywnej do pełnienia funkcji w spółkach nie wiązało się natomiast popełnienie przestępstwa sprzedajności, przekupstwa, płatnej protekcji oraz nadużycia funkcji. Wynikało to ze sklasyfikowania tych przestępstw jako </w:t>
      </w:r>
      <w:r w:rsidR="006E5BF9" w:rsidRPr="00F30ED8">
        <w:rPr>
          <w:szCs w:val="24"/>
        </w:rPr>
        <w:t>przestępstw przeciwko działalności instytucji państwowych oraz samorządu terytorialnego.</w:t>
      </w:r>
      <w:r w:rsidR="001033F1" w:rsidRPr="00F30ED8">
        <w:rPr>
          <w:szCs w:val="24"/>
        </w:rPr>
        <w:t xml:space="preserve"> </w:t>
      </w:r>
      <w:r w:rsidR="006E5BF9" w:rsidRPr="00F30ED8">
        <w:rPr>
          <w:szCs w:val="24"/>
        </w:rPr>
        <w:t>Należy jednak uznać, że brak jest podstaw aksjologicznych dla takiego zróżnicowania. Sprawcy przestępstw wskazanych w art. 228–231 Kodeksu karnego wykazali się brakiem uczciwości wywołującym istotne wątpliwości co do tego</w:t>
      </w:r>
      <w:r w:rsidR="003B3BA5">
        <w:rPr>
          <w:szCs w:val="24"/>
        </w:rPr>
        <w:t>,</w:t>
      </w:r>
      <w:r w:rsidR="006E5BF9" w:rsidRPr="00F30ED8">
        <w:rPr>
          <w:szCs w:val="24"/>
        </w:rPr>
        <w:t xml:space="preserve"> czy dają oni rękojmię należytego wykonywania mandatu. Co więcej umożliwienie im funkcjonowania w obrocie gospodarczym może godzić w interesy uczciwych przedsiębiorców, którzy funkcjonują w obrocie gospodarczym bez uciekania się do zachowań nieuczciwych. Wyeliminowanie osób wskazanych w ww. przepisach leży również w interesie publicznym od lat bowiem poziom szeroko rozumianej korupcji i działania podejmowane w celu jej zwalczania są czynnikami branymi pod uwagę w rankingach atrakcyjności inwestycyjnej państw, a więc i w decyzjach inwestorów.</w:t>
      </w:r>
    </w:p>
    <w:p w14:paraId="05FD5B22" w14:textId="0D9FA31B" w:rsidR="00266104" w:rsidRPr="00F30ED8" w:rsidRDefault="00266104" w:rsidP="00EE7FF7">
      <w:pPr>
        <w:pStyle w:val="Wcicienormalne"/>
        <w:spacing w:line="360" w:lineRule="auto"/>
        <w:ind w:left="0"/>
        <w:jc w:val="both"/>
        <w:rPr>
          <w:rStyle w:val="Uwydatnienie"/>
          <w:i w:val="0"/>
          <w:szCs w:val="24"/>
        </w:rPr>
      </w:pPr>
      <w:r w:rsidRPr="00F30ED8">
        <w:rPr>
          <w:rStyle w:val="Uwydatnienie"/>
          <w:i w:val="0"/>
          <w:szCs w:val="24"/>
        </w:rPr>
        <w:t>W celu stworzenia podstawy prawnej umożliwiającej otrzymanie przez sąd rejestrowy informacji niezbędnych d</w:t>
      </w:r>
      <w:r w:rsidR="003B3BA5">
        <w:rPr>
          <w:rStyle w:val="Uwydatnienie"/>
          <w:i w:val="0"/>
          <w:szCs w:val="24"/>
        </w:rPr>
        <w:t>o</w:t>
      </w:r>
      <w:r w:rsidRPr="00F30ED8">
        <w:rPr>
          <w:rStyle w:val="Uwydatnienie"/>
          <w:i w:val="0"/>
          <w:szCs w:val="24"/>
        </w:rPr>
        <w:t xml:space="preserve"> podjęcia stosownych działań w zakresie wykreślenia z urzędu osób wpisanych do Krajowego Rejestru Sądowego przed dniem 1 kwietnia 2022 r., a będących osobami skazanymi za przestępstwa określone w art. 228</w:t>
      </w:r>
      <w:r w:rsidR="00DF530A" w:rsidRPr="00F30ED8">
        <w:rPr>
          <w:rStyle w:val="Uwydatnienie"/>
          <w:i w:val="0"/>
          <w:szCs w:val="24"/>
        </w:rPr>
        <w:t>–</w:t>
      </w:r>
      <w:r w:rsidRPr="00F30ED8">
        <w:rPr>
          <w:rStyle w:val="Uwydatnienie"/>
          <w:i w:val="0"/>
          <w:szCs w:val="24"/>
        </w:rPr>
        <w:t>231 Kodeksu karnego oraz art. 587</w:t>
      </w:r>
      <w:r w:rsidRPr="00F30ED8">
        <w:rPr>
          <w:rStyle w:val="Uwydatnienie"/>
          <w:i w:val="0"/>
          <w:szCs w:val="24"/>
          <w:vertAlign w:val="superscript"/>
        </w:rPr>
        <w:t>1</w:t>
      </w:r>
      <w:r w:rsidRPr="00F30ED8">
        <w:rPr>
          <w:rStyle w:val="Uwydatnienie"/>
          <w:i w:val="0"/>
          <w:szCs w:val="24"/>
        </w:rPr>
        <w:t xml:space="preserve"> i art. 587</w:t>
      </w:r>
      <w:r w:rsidRPr="00F30ED8">
        <w:rPr>
          <w:rStyle w:val="Uwydatnienie"/>
          <w:i w:val="0"/>
          <w:szCs w:val="24"/>
          <w:vertAlign w:val="superscript"/>
        </w:rPr>
        <w:t>2</w:t>
      </w:r>
      <w:r w:rsidRPr="00F30ED8">
        <w:rPr>
          <w:rStyle w:val="Uwydatnienie"/>
          <w:i w:val="0"/>
          <w:szCs w:val="24"/>
        </w:rPr>
        <w:t xml:space="preserve"> Kodeksu spółek handlowych oraz w celu zapewnienia szerszego czasowego zakresu obowiązywania zakazu określonego w zmienianym art. 18 § 2 Kodeksu spółek handlowych, projektodawca zdecydował się na wprowadzenie do projektu ustawy art. 7 oraz dodanie ustępu drugiego do art. 1</w:t>
      </w:r>
      <w:r w:rsidR="001033F1" w:rsidRPr="00F30ED8">
        <w:rPr>
          <w:rStyle w:val="Uwydatnienie"/>
          <w:i w:val="0"/>
          <w:szCs w:val="24"/>
        </w:rPr>
        <w:t>1</w:t>
      </w:r>
      <w:r w:rsidRPr="00F30ED8">
        <w:rPr>
          <w:rStyle w:val="Uwydatnienie"/>
          <w:i w:val="0"/>
          <w:szCs w:val="24"/>
        </w:rPr>
        <w:t>.</w:t>
      </w:r>
    </w:p>
    <w:p w14:paraId="79094ACD" w14:textId="7721719C" w:rsidR="00266104" w:rsidRPr="00F30ED8" w:rsidRDefault="00266104" w:rsidP="00EE7FF7">
      <w:pPr>
        <w:pStyle w:val="Wcicienormalne"/>
        <w:spacing w:line="360" w:lineRule="auto"/>
        <w:ind w:left="0"/>
        <w:jc w:val="both"/>
        <w:rPr>
          <w:rStyle w:val="Uwydatnienie"/>
          <w:i w:val="0"/>
          <w:szCs w:val="24"/>
        </w:rPr>
      </w:pPr>
      <w:r w:rsidRPr="00F30ED8">
        <w:rPr>
          <w:rStyle w:val="Uwydatnienie"/>
          <w:i w:val="0"/>
          <w:szCs w:val="24"/>
        </w:rPr>
        <w:t>Jednocześnie, w celu uzupełnienia mechanizmu weryfikacji osób pełniących funkcję prokurentów w spółkach prawa handlowego, projektodawca, w art. 8 projektu, stworzył podstawę prawną umożliwiającą sądom rejestrowym uzyskanie niezbędnych informacji z Krajowego Rejestru Karnego, a w konsekwencji podjęcie stosownych działań wobec osób, które zostały wpisane do Krajowego Rejestru Sądowego przed dniem 1 października 2018 r. jako prokurenci spółek handlowych, skazanych za przestępstwa określone w art. 18 § 2 Kodeksu spółek handlowych.</w:t>
      </w:r>
    </w:p>
    <w:p w14:paraId="5BF2AC85" w14:textId="6D398FFB" w:rsidR="00323FC0" w:rsidRPr="00F30ED8" w:rsidRDefault="006A2A89" w:rsidP="00EE7FF7">
      <w:pPr>
        <w:pStyle w:val="Wcicienormalne"/>
        <w:spacing w:before="240" w:line="360" w:lineRule="auto"/>
        <w:ind w:left="0"/>
        <w:jc w:val="both"/>
        <w:rPr>
          <w:i/>
          <w:iCs/>
          <w:szCs w:val="24"/>
        </w:rPr>
      </w:pPr>
      <w:r w:rsidRPr="00F30ED8">
        <w:rPr>
          <w:rStyle w:val="Uwydatnienie"/>
          <w:szCs w:val="24"/>
        </w:rPr>
        <w:lastRenderedPageBreak/>
        <w:t>5.</w:t>
      </w:r>
      <w:r w:rsidR="006208E5" w:rsidRPr="00F30ED8">
        <w:rPr>
          <w:rStyle w:val="Uwydatnienie"/>
          <w:szCs w:val="24"/>
        </w:rPr>
        <w:t>5</w:t>
      </w:r>
      <w:r w:rsidRPr="00F30ED8">
        <w:rPr>
          <w:rStyle w:val="Uwydatnienie"/>
          <w:szCs w:val="24"/>
        </w:rPr>
        <w:t xml:space="preserve">. </w:t>
      </w:r>
      <w:r w:rsidR="006814C6" w:rsidRPr="00F30ED8">
        <w:rPr>
          <w:rStyle w:val="Uwydatnienie"/>
          <w:szCs w:val="24"/>
        </w:rPr>
        <w:t>Prawo rady nadzorczej do żądania sporządzenia lub przekazania informacji, dokumentów, sprawozdań lub wyjaśnień</w:t>
      </w:r>
    </w:p>
    <w:p w14:paraId="07D14D73" w14:textId="40410485"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Praktyka obrotu dostarcza licznych przykładów ujawniających niedoskonałość dotychczasowych przepisów stanowiących podstawę d</w:t>
      </w:r>
      <w:r w:rsidR="003B3BA5">
        <w:rPr>
          <w:rFonts w:ascii="Times New Roman" w:hAnsi="Times New Roman" w:cs="Times New Roman"/>
          <w:szCs w:val="24"/>
        </w:rPr>
        <w:t>o</w:t>
      </w:r>
      <w:r w:rsidRPr="00EE7FF7">
        <w:rPr>
          <w:rFonts w:ascii="Times New Roman" w:hAnsi="Times New Roman" w:cs="Times New Roman"/>
          <w:szCs w:val="24"/>
        </w:rPr>
        <w:t xml:space="preserve"> możliwości formułowania przez radę nadzorczą spółki kapitałowej żądania przedstawienia jej informacji, dokumentów czy opracowań, niezbędnych do produktywnego realizowania obowiązków z obszaru </w:t>
      </w:r>
      <w:r w:rsidRPr="00EE7FF7">
        <w:rPr>
          <w:rFonts w:ascii="Times New Roman" w:hAnsi="Times New Roman" w:cs="Times New Roman"/>
          <w:i/>
          <w:iCs/>
          <w:szCs w:val="24"/>
        </w:rPr>
        <w:t>corporate governance</w:t>
      </w:r>
      <w:r w:rsidRPr="00EE7FF7">
        <w:rPr>
          <w:rFonts w:ascii="Times New Roman" w:hAnsi="Times New Roman" w:cs="Times New Roman"/>
          <w:szCs w:val="24"/>
        </w:rPr>
        <w:t>.</w:t>
      </w:r>
    </w:p>
    <w:p w14:paraId="0394F42C" w14:textId="17A4085F" w:rsidR="00323FC0" w:rsidRPr="00EE7FF7" w:rsidRDefault="006814C6" w:rsidP="00EE7FF7">
      <w:pPr>
        <w:pStyle w:val="ARTartustawynprozporzdzenia"/>
        <w:ind w:firstLine="0"/>
        <w:rPr>
          <w:rFonts w:ascii="Times New Roman" w:hAnsi="Times New Roman" w:cs="Times New Roman"/>
          <w:szCs w:val="24"/>
        </w:rPr>
      </w:pPr>
      <w:r w:rsidRPr="006003C9">
        <w:rPr>
          <w:rFonts w:ascii="Times New Roman" w:hAnsi="Times New Roman" w:cs="Times New Roman"/>
          <w:szCs w:val="24"/>
        </w:rPr>
        <w:t xml:space="preserve">Doświadczenia płynące </w:t>
      </w:r>
      <w:r w:rsidRPr="00EE7FF7">
        <w:rPr>
          <w:rFonts w:ascii="Times New Roman" w:hAnsi="Times New Roman" w:cs="Times New Roman"/>
          <w:szCs w:val="24"/>
        </w:rPr>
        <w:t>z rzeczywistości korporacyjnej wskazują, że wszelkie wątpliwości</w:t>
      </w:r>
      <w:r w:rsidR="006C5727" w:rsidRPr="00EE7FF7">
        <w:rPr>
          <w:rFonts w:ascii="Times New Roman" w:hAnsi="Times New Roman" w:cs="Times New Roman"/>
          <w:szCs w:val="24"/>
        </w:rPr>
        <w:t>,</w:t>
      </w:r>
      <w:r w:rsidRPr="00EE7FF7">
        <w:rPr>
          <w:rFonts w:ascii="Times New Roman" w:hAnsi="Times New Roman" w:cs="Times New Roman"/>
          <w:szCs w:val="24"/>
        </w:rPr>
        <w:t xml:space="preserve"> mogące powstawać na kanwie nieprecyzyjnych przepisów prawa</w:t>
      </w:r>
      <w:r w:rsidR="006C5727" w:rsidRPr="00EE7FF7">
        <w:rPr>
          <w:rFonts w:ascii="Times New Roman" w:hAnsi="Times New Roman" w:cs="Times New Roman"/>
          <w:szCs w:val="24"/>
        </w:rPr>
        <w:t>,</w:t>
      </w:r>
      <w:r w:rsidRPr="00EE7FF7">
        <w:rPr>
          <w:rFonts w:ascii="Times New Roman" w:hAnsi="Times New Roman" w:cs="Times New Roman"/>
          <w:szCs w:val="24"/>
        </w:rPr>
        <w:t xml:space="preserve"> potencjalnie mogą służyć zarządowi jako wymówka dla nierealizowania prawa członków rady nadzorczej do informacji o spółce.</w:t>
      </w:r>
    </w:p>
    <w:p w14:paraId="0467E2BA" w14:textId="77777777"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Pośród obserwowanych kontrowersji pojawiających się na tle wykładni dotychczasowych art. 219 § 4 oraz art. 382 § 4 KSH należy odnotować, iż niejasnym może pozostawać:</w:t>
      </w:r>
    </w:p>
    <w:p w14:paraId="2071A987" w14:textId="2CF2C1F3" w:rsidR="00323FC0" w:rsidRPr="00F30ED8" w:rsidRDefault="006814C6" w:rsidP="00EE7FF7">
      <w:pPr>
        <w:pStyle w:val="ARTartustawynprozporzdzenia"/>
        <w:spacing w:before="0"/>
        <w:ind w:left="426" w:hanging="426"/>
        <w:rPr>
          <w:rFonts w:ascii="Times New Roman" w:hAnsi="Times New Roman" w:cs="Times New Roman"/>
          <w:szCs w:val="24"/>
        </w:rPr>
      </w:pPr>
      <w:r w:rsidRPr="00EE7FF7">
        <w:rPr>
          <w:rFonts w:ascii="Times New Roman" w:hAnsi="Times New Roman" w:cs="Times New Roman"/>
          <w:szCs w:val="24"/>
        </w:rPr>
        <w:t>a)</w:t>
      </w:r>
      <w:r w:rsidR="00F30ED8">
        <w:rPr>
          <w:rFonts w:ascii="Times New Roman" w:hAnsi="Times New Roman" w:cs="Times New Roman"/>
          <w:szCs w:val="24"/>
        </w:rPr>
        <w:tab/>
      </w:r>
      <w:r w:rsidRPr="00F30ED8">
        <w:rPr>
          <w:rFonts w:ascii="Times New Roman" w:hAnsi="Times New Roman" w:cs="Times New Roman"/>
          <w:szCs w:val="24"/>
        </w:rPr>
        <w:t xml:space="preserve">dokładny krąg podmiotów obowiązanych do przedstawienia wiadomości żądanych przez radę nadzorczą, a w szczególności kontrowersyjna w tym zakresie może się jawić sytuacja prokurentów czy osób </w:t>
      </w:r>
      <w:r w:rsidR="00642865" w:rsidRPr="00EE7FF7">
        <w:rPr>
          <w:rFonts w:ascii="Times New Roman" w:hAnsi="Times New Roman" w:cs="Times New Roman"/>
          <w:szCs w:val="24"/>
        </w:rPr>
        <w:t>wykonujących na rzecz spółki w sposób regularny określone czynności na podstawie umowy o dzieło, umowy zlecenia albo innej umowy o podobnym charakterze</w:t>
      </w:r>
      <w:r w:rsidR="002505AB" w:rsidRPr="00F30ED8">
        <w:rPr>
          <w:rFonts w:ascii="Times New Roman" w:hAnsi="Times New Roman" w:cs="Times New Roman"/>
          <w:szCs w:val="24"/>
        </w:rPr>
        <w:t>,</w:t>
      </w:r>
    </w:p>
    <w:p w14:paraId="43815D1C" w14:textId="0F01D185" w:rsidR="00323FC0" w:rsidRPr="00F30ED8" w:rsidRDefault="006814C6" w:rsidP="00EE7FF7">
      <w:pPr>
        <w:pStyle w:val="ARTartustawynprozporzdzenia"/>
        <w:spacing w:before="0"/>
        <w:ind w:left="426" w:hanging="426"/>
        <w:rPr>
          <w:rFonts w:ascii="Times New Roman" w:hAnsi="Times New Roman" w:cs="Times New Roman"/>
          <w:szCs w:val="24"/>
        </w:rPr>
      </w:pPr>
      <w:r w:rsidRPr="00F30ED8">
        <w:rPr>
          <w:rFonts w:ascii="Times New Roman" w:hAnsi="Times New Roman" w:cs="Times New Roman"/>
          <w:szCs w:val="24"/>
        </w:rPr>
        <w:t>b)</w:t>
      </w:r>
      <w:r w:rsidR="00F30ED8">
        <w:rPr>
          <w:rFonts w:ascii="Times New Roman" w:hAnsi="Times New Roman" w:cs="Times New Roman"/>
          <w:szCs w:val="24"/>
        </w:rPr>
        <w:tab/>
      </w:r>
      <w:r w:rsidRPr="00F30ED8">
        <w:rPr>
          <w:rFonts w:ascii="Times New Roman" w:hAnsi="Times New Roman" w:cs="Times New Roman"/>
          <w:szCs w:val="24"/>
        </w:rPr>
        <w:t xml:space="preserve">zakres przedmiotowy uprawnienia, a w szczególności zdolność do żądania przedstawienia określonych informacji, sprawozdań lub wyjaśnień dotyczących wprost spółek zależnych oraz spółek powiązanych, które to informacje lub materiały znajdują się w zasięgu </w:t>
      </w:r>
      <w:r w:rsidR="00A37558" w:rsidRPr="00F30ED8">
        <w:rPr>
          <w:rFonts w:ascii="Times New Roman" w:hAnsi="Times New Roman" w:cs="Times New Roman"/>
          <w:szCs w:val="24"/>
        </w:rPr>
        <w:t>na przykład</w:t>
      </w:r>
      <w:r w:rsidRPr="00F30ED8">
        <w:rPr>
          <w:rFonts w:ascii="Times New Roman" w:hAnsi="Times New Roman" w:cs="Times New Roman"/>
          <w:szCs w:val="24"/>
        </w:rPr>
        <w:t xml:space="preserve"> członków zarządu spółki, z uwagi na wykonywanie uprawnień korporacyjnych na poziomie spółki zależnej</w:t>
      </w:r>
      <w:r w:rsidR="002505AB" w:rsidRPr="00F30ED8">
        <w:rPr>
          <w:rFonts w:ascii="Times New Roman" w:hAnsi="Times New Roman" w:cs="Times New Roman"/>
          <w:szCs w:val="24"/>
        </w:rPr>
        <w:t>,</w:t>
      </w:r>
    </w:p>
    <w:p w14:paraId="54DDD66F" w14:textId="51ED5FCE" w:rsidR="00323FC0" w:rsidRPr="00931E42" w:rsidRDefault="006814C6" w:rsidP="00EE7FF7">
      <w:pPr>
        <w:pStyle w:val="ARTartustawynprozporzdzenia"/>
        <w:spacing w:before="0"/>
        <w:ind w:left="426" w:hanging="426"/>
        <w:rPr>
          <w:rFonts w:ascii="Times New Roman" w:hAnsi="Times New Roman" w:cs="Times New Roman"/>
          <w:szCs w:val="24"/>
        </w:rPr>
      </w:pPr>
      <w:r w:rsidRPr="00F30ED8">
        <w:rPr>
          <w:rFonts w:ascii="Times New Roman" w:hAnsi="Times New Roman" w:cs="Times New Roman"/>
          <w:szCs w:val="24"/>
        </w:rPr>
        <w:t>c)</w:t>
      </w:r>
      <w:r w:rsidR="00F30ED8">
        <w:rPr>
          <w:rFonts w:ascii="Times New Roman" w:hAnsi="Times New Roman" w:cs="Times New Roman"/>
          <w:szCs w:val="24"/>
        </w:rPr>
        <w:tab/>
      </w:r>
      <w:r w:rsidRPr="00F30ED8">
        <w:rPr>
          <w:rFonts w:ascii="Times New Roman" w:hAnsi="Times New Roman" w:cs="Times New Roman"/>
          <w:szCs w:val="24"/>
        </w:rPr>
        <w:t>termin, w którym adresaci żądania rady nadzorczej mają obowiązek go wykonać, w tym zagadnienie dotyczące tego, czy rada nadzorcza posiada uprawnienie do jednostronnego określania takiego terminu</w:t>
      </w:r>
      <w:r w:rsidR="002505AB" w:rsidRPr="00931E42">
        <w:rPr>
          <w:rFonts w:ascii="Times New Roman" w:hAnsi="Times New Roman" w:cs="Times New Roman"/>
          <w:szCs w:val="24"/>
        </w:rPr>
        <w:t>,</w:t>
      </w:r>
    </w:p>
    <w:p w14:paraId="5D78434E" w14:textId="1957479F" w:rsidR="00323FC0" w:rsidRPr="00931E42" w:rsidRDefault="006814C6" w:rsidP="00EE7FF7">
      <w:pPr>
        <w:pStyle w:val="ARTartustawynprozporzdzenia"/>
        <w:spacing w:before="0"/>
        <w:ind w:left="426" w:hanging="426"/>
        <w:rPr>
          <w:rFonts w:ascii="Times New Roman" w:hAnsi="Times New Roman" w:cs="Times New Roman"/>
          <w:szCs w:val="24"/>
        </w:rPr>
      </w:pPr>
      <w:r w:rsidRPr="00931E42">
        <w:rPr>
          <w:rFonts w:ascii="Times New Roman" w:hAnsi="Times New Roman" w:cs="Times New Roman"/>
          <w:szCs w:val="24"/>
        </w:rPr>
        <w:t>d)</w:t>
      </w:r>
      <w:r w:rsidR="00F30ED8">
        <w:rPr>
          <w:rFonts w:ascii="Times New Roman" w:hAnsi="Times New Roman" w:cs="Times New Roman"/>
          <w:szCs w:val="24"/>
        </w:rPr>
        <w:tab/>
      </w:r>
      <w:r w:rsidRPr="00F30ED8">
        <w:rPr>
          <w:rFonts w:ascii="Times New Roman" w:hAnsi="Times New Roman" w:cs="Times New Roman"/>
          <w:szCs w:val="24"/>
        </w:rPr>
        <w:t>czy zarząd jest uprawniony do podejmowania z jakichkolwiek przyczyn dowolnych działań skutkując</w:t>
      </w:r>
      <w:r w:rsidRPr="00931E42">
        <w:rPr>
          <w:rFonts w:ascii="Times New Roman" w:hAnsi="Times New Roman" w:cs="Times New Roman"/>
          <w:szCs w:val="24"/>
        </w:rPr>
        <w:t>ych ograniczeniem (o charakterze przedmiotowym, zakresowym czy związanym ze sposobem udostępniania informacji) dostępu do żądanych danych lub materiałów przez radę nadzorczą.</w:t>
      </w:r>
    </w:p>
    <w:p w14:paraId="69BADF26" w14:textId="7F84F532" w:rsidR="00323FC0" w:rsidRPr="00DA4799"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lastRenderedPageBreak/>
        <w:t>Proponowane brzmienie art. 219 § 4–4</w:t>
      </w:r>
      <w:r w:rsidRPr="00931E42">
        <w:rPr>
          <w:rStyle w:val="IGindeksgrny"/>
          <w:rFonts w:ascii="Times New Roman" w:hAnsi="Times New Roman" w:cs="Times New Roman"/>
          <w:szCs w:val="24"/>
        </w:rPr>
        <w:t>2</w:t>
      </w:r>
      <w:r w:rsidRPr="00931E42">
        <w:rPr>
          <w:rFonts w:ascii="Times New Roman" w:hAnsi="Times New Roman" w:cs="Times New Roman"/>
          <w:szCs w:val="24"/>
        </w:rPr>
        <w:t>, art. 300</w:t>
      </w:r>
      <w:r w:rsidRPr="00931E42">
        <w:rPr>
          <w:rStyle w:val="IGindeksgrny"/>
          <w:rFonts w:ascii="Times New Roman" w:hAnsi="Times New Roman" w:cs="Times New Roman"/>
          <w:szCs w:val="24"/>
        </w:rPr>
        <w:t>71</w:t>
      </w:r>
      <w:r w:rsidRPr="00931E42">
        <w:rPr>
          <w:rFonts w:ascii="Times New Roman" w:hAnsi="Times New Roman" w:cs="Times New Roman"/>
          <w:szCs w:val="24"/>
        </w:rPr>
        <w:t xml:space="preserve"> § 1–2, art. 300</w:t>
      </w:r>
      <w:r w:rsidRPr="00931E42">
        <w:rPr>
          <w:rStyle w:val="IGindeksgrny"/>
          <w:rFonts w:ascii="Times New Roman" w:hAnsi="Times New Roman" w:cs="Times New Roman"/>
          <w:szCs w:val="24"/>
        </w:rPr>
        <w:t>76</w:t>
      </w:r>
      <w:r w:rsidRPr="00931E42">
        <w:rPr>
          <w:rFonts w:ascii="Times New Roman" w:hAnsi="Times New Roman" w:cs="Times New Roman"/>
          <w:szCs w:val="24"/>
        </w:rPr>
        <w:t xml:space="preserve"> § 5 oraz art. 382 § 4–4</w:t>
      </w:r>
      <w:r w:rsidRPr="00931E42">
        <w:rPr>
          <w:rStyle w:val="IGindeksgrny"/>
          <w:rFonts w:ascii="Times New Roman" w:hAnsi="Times New Roman" w:cs="Times New Roman"/>
          <w:szCs w:val="24"/>
        </w:rPr>
        <w:t>2</w:t>
      </w:r>
      <w:r w:rsidRPr="00931E42">
        <w:rPr>
          <w:rFonts w:ascii="Times New Roman" w:hAnsi="Times New Roman" w:cs="Times New Roman"/>
          <w:szCs w:val="24"/>
        </w:rPr>
        <w:t xml:space="preserve"> </w:t>
      </w:r>
      <w:r w:rsidR="00245F5C" w:rsidRPr="00931E42">
        <w:rPr>
          <w:rFonts w:ascii="Times New Roman" w:hAnsi="Times New Roman" w:cs="Times New Roman"/>
          <w:szCs w:val="24"/>
        </w:rPr>
        <w:t>projektowanego</w:t>
      </w:r>
      <w:r w:rsidR="004F7A8A" w:rsidRPr="00931E42">
        <w:rPr>
          <w:rFonts w:ascii="Times New Roman" w:hAnsi="Times New Roman" w:cs="Times New Roman"/>
          <w:szCs w:val="24"/>
        </w:rPr>
        <w:t xml:space="preserve"> </w:t>
      </w:r>
      <w:r w:rsidRPr="00931E42">
        <w:rPr>
          <w:rFonts w:ascii="Times New Roman" w:hAnsi="Times New Roman" w:cs="Times New Roman"/>
          <w:szCs w:val="24"/>
        </w:rPr>
        <w:t>KSH ma na celu ukształtowanie przepisów eliminujących kontrowersje związane ze stosowaniem dotychczasowych norm. W szczególności, w ramach przedkładanej propozycji</w:t>
      </w:r>
      <w:r w:rsidR="006C5727" w:rsidRPr="00931E42">
        <w:rPr>
          <w:rFonts w:ascii="Times New Roman" w:hAnsi="Times New Roman" w:cs="Times New Roman"/>
          <w:szCs w:val="24"/>
        </w:rPr>
        <w:t>,</w:t>
      </w:r>
      <w:r w:rsidRPr="00931E42">
        <w:rPr>
          <w:rFonts w:ascii="Times New Roman" w:hAnsi="Times New Roman" w:cs="Times New Roman"/>
          <w:szCs w:val="24"/>
        </w:rPr>
        <w:t xml:space="preserve"> ustalono termin właściwy na wykonanie żądania przekazania</w:t>
      </w:r>
      <w:r w:rsidRPr="005D5147">
        <w:rPr>
          <w:rFonts w:ascii="Times New Roman" w:hAnsi="Times New Roman" w:cs="Times New Roman"/>
          <w:szCs w:val="24"/>
        </w:rPr>
        <w:t xml:space="preserve"> określonych informacji, dokumentów, sprawozdań lub wyjaśnień, przy czym – mając na uwadze ewentualną obszerność zagadnień koniecznych do opracowania – rada nadzorcza może ustalić dłuższy termin odpowiedzi na jej żądanie.</w:t>
      </w:r>
    </w:p>
    <w:p w14:paraId="752DF28E" w14:textId="4F9CBF64" w:rsidR="004069CA" w:rsidRPr="00EE7FF7" w:rsidRDefault="004069CA"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W szczególności warto podkreślić p</w:t>
      </w:r>
      <w:r w:rsidRPr="00EE7FF7">
        <w:rPr>
          <w:rFonts w:ascii="Times New Roman" w:hAnsi="Times New Roman" w:cs="Times New Roman"/>
          <w:szCs w:val="24"/>
        </w:rPr>
        <w:t>roponowane rozszerzenie kręgu podmiotów, które mogą być zobowiązane do przedłożenia radzie nadzorczej żądanych informacji, dokumentów, sprawozdań lub wyjaśnień. W dzisiejszej rzeczywistości obrotu gospodarczego istotna część osób wysoko wykwalifikowanych współpracuje ze spółkami kapitałowymi, wykonując na ich rzecz (nierzadko na zasadzie wyłączności) w sposób stały określone usługi, często o kluczowym znaczeniu dla jednostki. W aktualnym stanie prawnym wątpli</w:t>
      </w:r>
      <w:r w:rsidR="00476E05" w:rsidRPr="00EE7FF7">
        <w:rPr>
          <w:rFonts w:ascii="Times New Roman" w:hAnsi="Times New Roman" w:cs="Times New Roman"/>
          <w:szCs w:val="24"/>
        </w:rPr>
        <w:t>wa</w:t>
      </w:r>
      <w:r w:rsidRPr="00EE7FF7">
        <w:rPr>
          <w:rFonts w:ascii="Times New Roman" w:hAnsi="Times New Roman" w:cs="Times New Roman"/>
          <w:szCs w:val="24"/>
        </w:rPr>
        <w:t xml:space="preserve"> pozostaje </w:t>
      </w:r>
      <w:r w:rsidR="00476E05" w:rsidRPr="00EE7FF7">
        <w:rPr>
          <w:rFonts w:ascii="Times New Roman" w:hAnsi="Times New Roman" w:cs="Times New Roman"/>
          <w:szCs w:val="24"/>
        </w:rPr>
        <w:t>sposobność</w:t>
      </w:r>
      <w:r w:rsidRPr="00EE7FF7">
        <w:rPr>
          <w:rFonts w:ascii="Times New Roman" w:hAnsi="Times New Roman" w:cs="Times New Roman"/>
          <w:szCs w:val="24"/>
        </w:rPr>
        <w:t xml:space="preserve"> skutecznego realizowania wobec takich osób uprawnień informacyjnych przez organ wewnętrznego nadzoru. </w:t>
      </w:r>
      <w:r w:rsidR="00476E05" w:rsidRPr="00EE7FF7">
        <w:rPr>
          <w:rFonts w:ascii="Times New Roman" w:hAnsi="Times New Roman" w:cs="Times New Roman"/>
          <w:szCs w:val="24"/>
        </w:rPr>
        <w:t xml:space="preserve">W takim przypadku określone wyjaśnienia </w:t>
      </w:r>
      <w:r w:rsidR="0057144A" w:rsidRPr="00EE7FF7">
        <w:rPr>
          <w:rFonts w:ascii="Times New Roman" w:hAnsi="Times New Roman" w:cs="Times New Roman"/>
          <w:szCs w:val="24"/>
        </w:rPr>
        <w:t>mogłyby</w:t>
      </w:r>
      <w:r w:rsidR="00476E05" w:rsidRPr="00EE7FF7">
        <w:rPr>
          <w:rFonts w:ascii="Times New Roman" w:hAnsi="Times New Roman" w:cs="Times New Roman"/>
          <w:szCs w:val="24"/>
        </w:rPr>
        <w:t xml:space="preserve"> być uzyskane przez radę nadzorczą za pośrednictwem zarządu, tym niemniej takie wydłużenie łańcucha </w:t>
      </w:r>
      <w:r w:rsidR="0057144A" w:rsidRPr="00EE7FF7">
        <w:rPr>
          <w:rFonts w:ascii="Times New Roman" w:hAnsi="Times New Roman" w:cs="Times New Roman"/>
          <w:szCs w:val="24"/>
        </w:rPr>
        <w:t>przekazywania danych zmniejsza dynamikę komentowanego uprawnienia oraz może rodzić pokusę filtrowania wiadomości ostatecznie uzyskiwanych przez radę nadzorczą. Okoliczności te dodatkowo uzasadniają konieczność przedmiotowej ingerencji ustawodawczej.</w:t>
      </w:r>
    </w:p>
    <w:p w14:paraId="410FB083" w14:textId="4463686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W związku z potrzebą uczynienia komentowanego uprawnienia rady nadzorczej bardziej efektywnym oraz </w:t>
      </w:r>
      <w:r w:rsidR="00D6650A" w:rsidRPr="00EE7FF7">
        <w:rPr>
          <w:rFonts w:ascii="Times New Roman" w:hAnsi="Times New Roman" w:cs="Times New Roman"/>
          <w:szCs w:val="24"/>
        </w:rPr>
        <w:t>niedającym się ignorować</w:t>
      </w:r>
      <w:r w:rsidRPr="00EE7FF7">
        <w:rPr>
          <w:rFonts w:ascii="Times New Roman" w:hAnsi="Times New Roman" w:cs="Times New Roman"/>
          <w:szCs w:val="24"/>
        </w:rPr>
        <w:t>, przedkładany projekt ustawy proponuje przyjąć nowy art. 587</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000C5B52" w:rsidRPr="00EE7FF7">
        <w:rPr>
          <w:rFonts w:ascii="Times New Roman" w:hAnsi="Times New Roman" w:cs="Times New Roman"/>
          <w:szCs w:val="24"/>
        </w:rPr>
        <w:t>K</w:t>
      </w:r>
      <w:r w:rsidRPr="00EE7FF7">
        <w:rPr>
          <w:rFonts w:ascii="Times New Roman" w:hAnsi="Times New Roman" w:cs="Times New Roman"/>
          <w:szCs w:val="24"/>
        </w:rPr>
        <w:t>SH, za pośrednictwem któr</w:t>
      </w:r>
      <w:r w:rsidR="0057144A" w:rsidRPr="00EE7FF7">
        <w:rPr>
          <w:rFonts w:ascii="Times New Roman" w:hAnsi="Times New Roman" w:cs="Times New Roman"/>
          <w:szCs w:val="24"/>
        </w:rPr>
        <w:t>ego</w:t>
      </w:r>
      <w:r w:rsidRPr="00EE7FF7">
        <w:rPr>
          <w:rFonts w:ascii="Times New Roman" w:hAnsi="Times New Roman" w:cs="Times New Roman"/>
          <w:szCs w:val="24"/>
        </w:rPr>
        <w:t xml:space="preserve"> ustala się normę sankcjonującą (a tym samym zabezpieczającą) właściwe realizowanie ww. żądania rady nadzorczej przez jej adresatów. Powodem</w:t>
      </w:r>
      <w:r w:rsidR="006C5727" w:rsidRPr="00EE7FF7">
        <w:rPr>
          <w:rFonts w:ascii="Times New Roman" w:hAnsi="Times New Roman" w:cs="Times New Roman"/>
          <w:szCs w:val="24"/>
        </w:rPr>
        <w:t>,</w:t>
      </w:r>
      <w:r w:rsidRPr="00EE7FF7">
        <w:rPr>
          <w:rFonts w:ascii="Times New Roman" w:hAnsi="Times New Roman" w:cs="Times New Roman"/>
          <w:szCs w:val="24"/>
        </w:rPr>
        <w:t xml:space="preserve"> dla którego sankcję cywilnoprawną uznano w tym wypadku za niewystarczającą</w:t>
      </w:r>
      <w:r w:rsidR="006C5727" w:rsidRPr="00EE7FF7">
        <w:rPr>
          <w:rFonts w:ascii="Times New Roman" w:hAnsi="Times New Roman" w:cs="Times New Roman"/>
          <w:szCs w:val="24"/>
        </w:rPr>
        <w:t>,</w:t>
      </w:r>
      <w:r w:rsidRPr="00EE7FF7">
        <w:rPr>
          <w:rFonts w:ascii="Times New Roman" w:hAnsi="Times New Roman" w:cs="Times New Roman"/>
          <w:szCs w:val="24"/>
        </w:rPr>
        <w:t xml:space="preserve"> jest z jednej strony trudność z wykazaniem szkody oraz jej dochodzeniem przez spółkę, z drugiej zaś to</w:t>
      </w:r>
      <w:r w:rsidR="006C5727" w:rsidRPr="00EE7FF7">
        <w:rPr>
          <w:rFonts w:ascii="Times New Roman" w:hAnsi="Times New Roman" w:cs="Times New Roman"/>
          <w:szCs w:val="24"/>
        </w:rPr>
        <w:t>,</w:t>
      </w:r>
      <w:r w:rsidRPr="00EE7FF7">
        <w:rPr>
          <w:rFonts w:ascii="Times New Roman" w:hAnsi="Times New Roman" w:cs="Times New Roman"/>
          <w:szCs w:val="24"/>
        </w:rPr>
        <w:t xml:space="preserve"> że przyczyną powstania szkody będzie w wielu wypadkach inne zawinione działanie zarządu, zaś niedopełnienie obowiązku informacyjnego będzie jedynie sposobem ukrycia tego działania. Jednocześnie standardy orzekania o popełnieniu przestępstwa, a w szczególności wymóg wykazania większej niż znikoma szkodliwości społecznej</w:t>
      </w:r>
      <w:r w:rsidR="006C5727" w:rsidRPr="00EE7FF7">
        <w:rPr>
          <w:rFonts w:ascii="Times New Roman" w:hAnsi="Times New Roman" w:cs="Times New Roman"/>
          <w:szCs w:val="24"/>
        </w:rPr>
        <w:t>,</w:t>
      </w:r>
      <w:r w:rsidRPr="00EE7FF7">
        <w:rPr>
          <w:rFonts w:ascii="Times New Roman" w:hAnsi="Times New Roman" w:cs="Times New Roman"/>
          <w:szCs w:val="24"/>
        </w:rPr>
        <w:t xml:space="preserve"> pozwolą wyeliminować przypadki ewentualnych nadużyć czy sankcjonowania uchybień o trywialnym charakterze.</w:t>
      </w:r>
    </w:p>
    <w:p w14:paraId="11F36729" w14:textId="34A9998D"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lastRenderedPageBreak/>
        <w:t>Aby wzmocnić znaczenie omawianej instytucji oraz uwypuklić konsekwencje jej nieodpowiedniego stosowania, zmodyfikowano również art. 18 § 2 KSH przez ustanowienie zakazu pełnienia funkcji członka zarządu, rady nadzorczej, komisji rewizyjnej, likwidatora oraz prokurenta przez osobę, która została skazana prawomocnym wyrokie</w:t>
      </w:r>
      <w:r w:rsidRPr="00931E42">
        <w:rPr>
          <w:rFonts w:ascii="Times New Roman" w:hAnsi="Times New Roman" w:cs="Times New Roman"/>
          <w:szCs w:val="24"/>
        </w:rPr>
        <w:t>m za przestępstwo określone we wspomniany</w:t>
      </w:r>
      <w:r w:rsidR="0057144A" w:rsidRPr="00931E42">
        <w:rPr>
          <w:rFonts w:ascii="Times New Roman" w:hAnsi="Times New Roman" w:cs="Times New Roman"/>
          <w:szCs w:val="24"/>
        </w:rPr>
        <w:t>m</w:t>
      </w:r>
      <w:r w:rsidRPr="00931E42">
        <w:rPr>
          <w:rFonts w:ascii="Times New Roman" w:hAnsi="Times New Roman" w:cs="Times New Roman"/>
          <w:szCs w:val="24"/>
        </w:rPr>
        <w:t xml:space="preserve"> art. 587</w:t>
      </w:r>
      <w:r w:rsidRPr="00931E42">
        <w:rPr>
          <w:rStyle w:val="IGindeksgrny"/>
          <w:rFonts w:ascii="Times New Roman" w:hAnsi="Times New Roman" w:cs="Times New Roman"/>
          <w:szCs w:val="24"/>
        </w:rPr>
        <w:t>1</w:t>
      </w:r>
      <w:r w:rsidR="0057144A" w:rsidRPr="00931E42">
        <w:rPr>
          <w:rFonts w:ascii="Times New Roman" w:hAnsi="Times New Roman" w:cs="Times New Roman"/>
          <w:szCs w:val="24"/>
        </w:rPr>
        <w:t xml:space="preserve"> </w:t>
      </w:r>
      <w:r w:rsidRPr="00931E42">
        <w:rPr>
          <w:rFonts w:ascii="Times New Roman" w:hAnsi="Times New Roman" w:cs="Times New Roman"/>
          <w:szCs w:val="24"/>
        </w:rPr>
        <w:t>KSH.</w:t>
      </w:r>
      <w:r w:rsidR="003517AF" w:rsidRPr="00931E42">
        <w:rPr>
          <w:rFonts w:ascii="Times New Roman" w:hAnsi="Times New Roman" w:cs="Times New Roman"/>
          <w:szCs w:val="24"/>
        </w:rPr>
        <w:t xml:space="preserve"> Z analogicznych względów zdecydowano się na określenie nie tylko górnej, ale również dolnej granicy kary.</w:t>
      </w:r>
    </w:p>
    <w:p w14:paraId="63A88879" w14:textId="5455904F" w:rsidR="00323FC0" w:rsidRPr="00931E42" w:rsidRDefault="006814C6" w:rsidP="00EE7FF7">
      <w:pPr>
        <w:pStyle w:val="Wcicienormalne"/>
        <w:spacing w:before="240" w:line="360" w:lineRule="auto"/>
        <w:ind w:left="0"/>
        <w:jc w:val="both"/>
        <w:rPr>
          <w:szCs w:val="24"/>
        </w:rPr>
      </w:pPr>
      <w:r w:rsidRPr="00931E42">
        <w:rPr>
          <w:rStyle w:val="Uwydatnienie"/>
          <w:szCs w:val="24"/>
        </w:rPr>
        <w:t>5.</w:t>
      </w:r>
      <w:r w:rsidR="006208E5" w:rsidRPr="00931E42">
        <w:rPr>
          <w:rStyle w:val="Uwydatnienie"/>
          <w:szCs w:val="24"/>
        </w:rPr>
        <w:t>6</w:t>
      </w:r>
      <w:r w:rsidRPr="00931E42">
        <w:rPr>
          <w:rStyle w:val="Uwydatnienie"/>
          <w:szCs w:val="24"/>
        </w:rPr>
        <w:t>. Doradca rady nadzorczej i postępowanie kwalifikacyjne</w:t>
      </w:r>
    </w:p>
    <w:p w14:paraId="53886931" w14:textId="69749767"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Skala złożoności procesów zachodzących w spółkach kapitałowych oraz ich profesjonalizacja wymagają niekiedy skorzystania przez radę nadzorczą z usług zewnętrznych podmiotów o wyspecjalizowanych kompetencjach do przeprowadzenia rzetelnej analizy, celem przygotowania lub podjęcia dalszych decyzji korporacyjnych. Co prawda rada nadzorcza jest organem pełniącym swoje funkcje w sposób stały (m.in. art. 219 § 1 oraz art. 382 § 1 KSH), nie oznacza to jednak, że jej członkowie całość swojej aktywności zawodowej muszą koncentrować wyłącznie na spółce, w ramach której piastują mandat. Może się to przekładać na potrzebę rady nadzorczej skorzystania z podmiotów spoza organu celem przeprowadzenia określonych czynności analitycznych lub przygotowawczych.</w:t>
      </w:r>
    </w:p>
    <w:p w14:paraId="33385179" w14:textId="38E13AD0" w:rsidR="00323FC0" w:rsidRPr="00123222" w:rsidRDefault="00634898" w:rsidP="00EE7FF7">
      <w:pPr>
        <w:pStyle w:val="ARTartustawynprozporzdzenia"/>
        <w:ind w:firstLine="0"/>
        <w:rPr>
          <w:rFonts w:ascii="Times New Roman" w:hAnsi="Times New Roman" w:cs="Times New Roman"/>
          <w:szCs w:val="24"/>
        </w:rPr>
      </w:pPr>
      <w:r>
        <w:rPr>
          <w:rFonts w:ascii="Times New Roman" w:hAnsi="Times New Roman" w:cs="Times New Roman"/>
          <w:szCs w:val="24"/>
        </w:rPr>
        <w:t>We</w:t>
      </w:r>
      <w:r w:rsidR="006814C6" w:rsidRPr="00931E42">
        <w:rPr>
          <w:rFonts w:ascii="Times New Roman" w:hAnsi="Times New Roman" w:cs="Times New Roman"/>
          <w:szCs w:val="24"/>
        </w:rPr>
        <w:t>dług dotychczasowego stanu prawnego, rada nadzorcza nie może wydawać zarządowi wiążących poleceń związanych z prowadzeniem spraw spółki, co przekłada się również na to, iż poza jej kompetencjami pozostaje nakazanie w sposób władczy organowi wykonawczemu spółki nawiązania współpracy z profesjonalnym po</w:t>
      </w:r>
      <w:r w:rsidR="006814C6" w:rsidRPr="005D5147">
        <w:rPr>
          <w:rFonts w:ascii="Times New Roman" w:hAnsi="Times New Roman" w:cs="Times New Roman"/>
          <w:szCs w:val="24"/>
        </w:rPr>
        <w:t xml:space="preserve">dmiotem trzecim w celu przeprowadzenia przez niego określonych prac na użytek własny rady nadzorczej. W omawianym obszarze rada nadzorcza dysponuje zaledwie sposobnością zwrócenia się do zarządu z wnioskiem o podjęcie określonych działań, lecz finalnie to </w:t>
      </w:r>
      <w:r w:rsidR="006814C6" w:rsidRPr="00DA4799">
        <w:rPr>
          <w:rFonts w:ascii="Times New Roman" w:hAnsi="Times New Roman" w:cs="Times New Roman"/>
          <w:szCs w:val="24"/>
        </w:rPr>
        <w:t>od woli zarządu zależy, w jakim czasie oraz stopniu, jeśli w ogóle, przedmiotowa sugestia zostanie wykonana.</w:t>
      </w:r>
    </w:p>
    <w:p w14:paraId="129A4C2D" w14:textId="687A80AF"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Sytuacja ta komplikuje się również w przypadku, gdy z pomocy wyspecjalizowanego podmiotu zewnętrznego rada nadzorcza zasadnie chciałaby skorzystać w kontekście potencjalnego podejmowania przez członków zarządu określonych aktywności abuzywnych, mogących wyrządzić szkodę spółce, czy też w przypadku woli skonfrontowania, celem weryfikacji wyjaśnień przedkładanych przez zarząd. W takich </w:t>
      </w:r>
      <w:r w:rsidRPr="00EE7FF7">
        <w:rPr>
          <w:rFonts w:ascii="Times New Roman" w:hAnsi="Times New Roman" w:cs="Times New Roman"/>
          <w:szCs w:val="24"/>
        </w:rPr>
        <w:lastRenderedPageBreak/>
        <w:t>scenariuszach KSH, w brzmieniu dotychczasowym, nie przyznaje radzie nadzorczej żadnych dodatkowych narz</w:t>
      </w:r>
      <w:r w:rsidR="006C5727" w:rsidRPr="00EE7FF7">
        <w:rPr>
          <w:rFonts w:ascii="Times New Roman" w:hAnsi="Times New Roman" w:cs="Times New Roman"/>
          <w:szCs w:val="24"/>
        </w:rPr>
        <w:t>ę</w:t>
      </w:r>
      <w:r w:rsidRPr="00EE7FF7">
        <w:rPr>
          <w:rFonts w:ascii="Times New Roman" w:hAnsi="Times New Roman" w:cs="Times New Roman"/>
          <w:szCs w:val="24"/>
        </w:rPr>
        <w:t>dzi, które mogłyby zostać spożytkowane, aby podjąć produktywne działania z wyłączeniem (zainteresowanego w sprawie) zarządu. W przypadku zaś, gdyby wola weryfikacji konkretnych obszarów prowadzenia spraw spółki czerpała podstawy w niejednoznacznych okolicznościach, można zasadnie spodziewać się, iż chęć menadżerów do współdziałania z radą nadzorczą będzie umiarkowana.</w:t>
      </w:r>
    </w:p>
    <w:p w14:paraId="44691D2F" w14:textId="339A02B9"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Z tych przyczyn, za zasadne należy uznać wyposażenie rady nadzorczej każdej spółki kapitałowej w uprawnienie do samodzielnego (</w:t>
      </w:r>
      <w:r w:rsidR="00245F5C" w:rsidRPr="00EE7FF7">
        <w:rPr>
          <w:rFonts w:ascii="Times New Roman" w:hAnsi="Times New Roman" w:cs="Times New Roman"/>
          <w:szCs w:val="24"/>
        </w:rPr>
        <w:t>to jest</w:t>
      </w:r>
      <w:r w:rsidRPr="00EE7FF7">
        <w:rPr>
          <w:rFonts w:ascii="Times New Roman" w:hAnsi="Times New Roman" w:cs="Times New Roman"/>
          <w:szCs w:val="24"/>
        </w:rPr>
        <w:t xml:space="preserve"> z pominięciem zarządu) wyboru konkretnego podmiotu zewnętrznego, posiadającego wiedzę fachową i kwalifikacj</w:t>
      </w:r>
      <w:r w:rsidR="006F0CC7">
        <w:rPr>
          <w:rFonts w:ascii="Times New Roman" w:hAnsi="Times New Roman" w:cs="Times New Roman"/>
          <w:szCs w:val="24"/>
        </w:rPr>
        <w:t>e</w:t>
      </w:r>
      <w:r w:rsidRPr="00EE7FF7">
        <w:rPr>
          <w:rFonts w:ascii="Times New Roman" w:hAnsi="Times New Roman" w:cs="Times New Roman"/>
          <w:szCs w:val="24"/>
        </w:rPr>
        <w:t>, celem zbadania określonych zagadnień dotyczących spółki, w tym jej majątku (projektowane art. 219</w:t>
      </w:r>
      <w:r w:rsidRPr="00EE7FF7">
        <w:rPr>
          <w:rStyle w:val="IGindeksgrny"/>
          <w:rFonts w:ascii="Times New Roman" w:hAnsi="Times New Roman" w:cs="Times New Roman"/>
          <w:szCs w:val="24"/>
        </w:rPr>
        <w:t>2</w:t>
      </w:r>
      <w:r w:rsidRPr="00EE7FF7">
        <w:rPr>
          <w:rFonts w:ascii="Times New Roman" w:hAnsi="Times New Roman" w:cs="Times New Roman"/>
          <w:szCs w:val="24"/>
        </w:rPr>
        <w:t>, art. 300</w:t>
      </w:r>
      <w:r w:rsidRPr="00EE7FF7">
        <w:rPr>
          <w:rStyle w:val="IGindeksgrny"/>
          <w:rFonts w:ascii="Times New Roman" w:hAnsi="Times New Roman" w:cs="Times New Roman"/>
          <w:szCs w:val="24"/>
        </w:rPr>
        <w:t>71a</w:t>
      </w:r>
      <w:r w:rsidRPr="00EE7FF7">
        <w:rPr>
          <w:rFonts w:ascii="Times New Roman" w:hAnsi="Times New Roman" w:cs="Times New Roman"/>
          <w:szCs w:val="24"/>
        </w:rPr>
        <w:t xml:space="preserve"> oraz art. 382</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KSH). Samodzielność rady nadzorczej w komentowanym przypadku oznacza nie tylko zdolność zindywidualizowania przez ten organ podmiotu mającego przeprowadzić właściwe badanie, ale także określenia przedmiotu oraz wszelkich istotnych ram mających się odbyć prac analitycznych. Istotą proponowanego narzędzia jest wyposażenie rady nadzorczej w uprawnienie do reprezentowania spółki w omawianym obszarze wobec podmiotu trzeciego, w tym do złożenia w imieniu spółki odpowiedniego oświadczenia woli kształtującego stosunek prawny nawiązany z doradcą rady nadzorczej.</w:t>
      </w:r>
    </w:p>
    <w:p w14:paraId="5954FA20" w14:textId="36673FC9" w:rsidR="00323FC0" w:rsidRPr="00EE7FF7" w:rsidRDefault="00B64D3A"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Raport </w:t>
      </w:r>
      <w:r w:rsidR="006814C6" w:rsidRPr="00F30ED8">
        <w:rPr>
          <w:rFonts w:ascii="Times New Roman" w:hAnsi="Times New Roman" w:cs="Times New Roman"/>
          <w:szCs w:val="24"/>
        </w:rPr>
        <w:t>z przeprowadzonego badania</w:t>
      </w:r>
      <w:r w:rsidR="006C5727" w:rsidRPr="00F30ED8">
        <w:rPr>
          <w:rFonts w:ascii="Times New Roman" w:hAnsi="Times New Roman" w:cs="Times New Roman"/>
          <w:szCs w:val="24"/>
        </w:rPr>
        <w:t>,</w:t>
      </w:r>
      <w:r w:rsidR="006814C6" w:rsidRPr="00F30ED8">
        <w:rPr>
          <w:rFonts w:ascii="Times New Roman" w:hAnsi="Times New Roman" w:cs="Times New Roman"/>
          <w:szCs w:val="24"/>
        </w:rPr>
        <w:t xml:space="preserve"> przygotowan</w:t>
      </w:r>
      <w:r w:rsidRPr="00F30ED8">
        <w:rPr>
          <w:rFonts w:ascii="Times New Roman" w:hAnsi="Times New Roman" w:cs="Times New Roman"/>
          <w:szCs w:val="24"/>
        </w:rPr>
        <w:t>y</w:t>
      </w:r>
      <w:r w:rsidR="006814C6" w:rsidRPr="00931E42">
        <w:rPr>
          <w:rFonts w:ascii="Times New Roman" w:hAnsi="Times New Roman" w:cs="Times New Roman"/>
          <w:szCs w:val="24"/>
        </w:rPr>
        <w:t xml:space="preserve"> przez doradcę rady nadzorczej</w:t>
      </w:r>
      <w:r w:rsidR="006C5727" w:rsidRPr="00931E42">
        <w:rPr>
          <w:rFonts w:ascii="Times New Roman" w:hAnsi="Times New Roman" w:cs="Times New Roman"/>
          <w:szCs w:val="24"/>
        </w:rPr>
        <w:t>,</w:t>
      </w:r>
      <w:r w:rsidR="006814C6" w:rsidRPr="00931E42">
        <w:rPr>
          <w:rFonts w:ascii="Times New Roman" w:hAnsi="Times New Roman" w:cs="Times New Roman"/>
          <w:szCs w:val="24"/>
        </w:rPr>
        <w:t xml:space="preserve"> może zawierać istotne informacje o spółce, które</w:t>
      </w:r>
      <w:r w:rsidR="006C5727" w:rsidRPr="00931E42">
        <w:rPr>
          <w:rFonts w:ascii="Times New Roman" w:hAnsi="Times New Roman" w:cs="Times New Roman"/>
          <w:szCs w:val="24"/>
        </w:rPr>
        <w:t>,</w:t>
      </w:r>
      <w:r w:rsidR="006814C6" w:rsidRPr="00931E42">
        <w:rPr>
          <w:rFonts w:ascii="Times New Roman" w:hAnsi="Times New Roman" w:cs="Times New Roman"/>
          <w:szCs w:val="24"/>
        </w:rPr>
        <w:t xml:space="preserve"> z uwagi na zakres kompetencji zgromadzeń właścicielskich</w:t>
      </w:r>
      <w:r w:rsidR="006C5727" w:rsidRPr="00931E42">
        <w:rPr>
          <w:rFonts w:ascii="Times New Roman" w:hAnsi="Times New Roman" w:cs="Times New Roman"/>
          <w:szCs w:val="24"/>
        </w:rPr>
        <w:t>,</w:t>
      </w:r>
      <w:r w:rsidR="006814C6" w:rsidRPr="00931E42">
        <w:rPr>
          <w:rFonts w:ascii="Times New Roman" w:hAnsi="Times New Roman" w:cs="Times New Roman"/>
          <w:szCs w:val="24"/>
        </w:rPr>
        <w:t xml:space="preserve"> powinny zostać przekazane bezpośrednio </w:t>
      </w:r>
      <w:r w:rsidR="006814C6" w:rsidRPr="005D5147">
        <w:rPr>
          <w:rFonts w:ascii="Times New Roman" w:hAnsi="Times New Roman" w:cs="Times New Roman"/>
          <w:szCs w:val="24"/>
        </w:rPr>
        <w:t xml:space="preserve">do wiadomości akcjonariuszy. Z tej przyczyny, w ramach projektowanej instytucji, przewidziano kompetencję rady nadzorczej do zadecydowania o konieczności udostępnienia wspomnianego </w:t>
      </w:r>
      <w:r w:rsidRPr="00DA4799">
        <w:rPr>
          <w:rFonts w:ascii="Times New Roman" w:hAnsi="Times New Roman" w:cs="Times New Roman"/>
          <w:szCs w:val="24"/>
        </w:rPr>
        <w:t xml:space="preserve">raportu </w:t>
      </w:r>
      <w:r w:rsidR="006814C6" w:rsidRPr="00DA4799">
        <w:rPr>
          <w:rFonts w:ascii="Times New Roman" w:hAnsi="Times New Roman" w:cs="Times New Roman"/>
          <w:szCs w:val="24"/>
        </w:rPr>
        <w:t>z przeprowadzonego badania współwłaścicielom spółki kapitałowej, co</w:t>
      </w:r>
      <w:r w:rsidR="006814C6" w:rsidRPr="00123222">
        <w:rPr>
          <w:rFonts w:ascii="Times New Roman" w:hAnsi="Times New Roman" w:cs="Times New Roman"/>
          <w:szCs w:val="24"/>
        </w:rPr>
        <w:t xml:space="preserve"> wykonywane jest bezpośrednio przez zarząd</w:t>
      </w:r>
      <w:r w:rsidRPr="00EE7FF7">
        <w:rPr>
          <w:rFonts w:ascii="Times New Roman" w:hAnsi="Times New Roman" w:cs="Times New Roman"/>
          <w:szCs w:val="24"/>
        </w:rPr>
        <w:t xml:space="preserve"> (</w:t>
      </w:r>
      <w:r w:rsidR="005603FE" w:rsidRPr="00EE7FF7">
        <w:rPr>
          <w:rFonts w:ascii="Times New Roman" w:hAnsi="Times New Roman" w:cs="Times New Roman"/>
          <w:szCs w:val="24"/>
        </w:rPr>
        <w:t xml:space="preserve">projektowany </w:t>
      </w:r>
      <w:r w:rsidRPr="00EE7FF7">
        <w:rPr>
          <w:rFonts w:ascii="Times New Roman" w:hAnsi="Times New Roman" w:cs="Times New Roman"/>
          <w:szCs w:val="24"/>
        </w:rPr>
        <w:t>art. 382</w:t>
      </w:r>
      <w:r w:rsidRPr="00EE7FF7">
        <w:rPr>
          <w:rFonts w:ascii="Times New Roman" w:hAnsi="Times New Roman" w:cs="Times New Roman"/>
          <w:szCs w:val="24"/>
          <w:vertAlign w:val="superscript"/>
        </w:rPr>
        <w:t xml:space="preserve">1 </w:t>
      </w:r>
      <w:r w:rsidR="005603FE" w:rsidRPr="00F30ED8">
        <w:rPr>
          <w:rFonts w:ascii="Times New Roman" w:hAnsi="Times New Roman" w:cs="Times New Roman"/>
          <w:szCs w:val="24"/>
          <w:vertAlign w:val="superscript"/>
        </w:rPr>
        <w:t>§</w:t>
      </w:r>
      <w:r w:rsidR="005603FE" w:rsidRPr="00EE7FF7">
        <w:rPr>
          <w:rFonts w:ascii="Times New Roman" w:hAnsi="Times New Roman" w:cs="Times New Roman"/>
          <w:szCs w:val="24"/>
          <w:vertAlign w:val="superscript"/>
        </w:rPr>
        <w:t xml:space="preserve"> </w:t>
      </w:r>
      <w:r w:rsidR="005603FE" w:rsidRPr="00EE7FF7">
        <w:rPr>
          <w:rFonts w:ascii="Times New Roman" w:hAnsi="Times New Roman" w:cs="Times New Roman"/>
          <w:szCs w:val="24"/>
        </w:rPr>
        <w:t>6 KSH)</w:t>
      </w:r>
      <w:r w:rsidR="006814C6" w:rsidRPr="00EE7FF7">
        <w:rPr>
          <w:rFonts w:ascii="Times New Roman" w:hAnsi="Times New Roman" w:cs="Times New Roman"/>
          <w:szCs w:val="24"/>
        </w:rPr>
        <w:t>.</w:t>
      </w:r>
      <w:r w:rsidR="005603FE" w:rsidRPr="00EE7FF7">
        <w:rPr>
          <w:rFonts w:ascii="Times New Roman" w:hAnsi="Times New Roman" w:cs="Times New Roman"/>
          <w:szCs w:val="24"/>
        </w:rPr>
        <w:t xml:space="preserve"> Analogiczne postanowienia nie znalazły się w regulacjach dotyczących spółki z o.o. oraz prostej spółki akcyjnej, w których brak jest wymogu sporządzenia pisemnego raportu z</w:t>
      </w:r>
      <w:r w:rsidR="0057144A" w:rsidRPr="00EE7FF7">
        <w:rPr>
          <w:rFonts w:ascii="Times New Roman" w:hAnsi="Times New Roman" w:cs="Times New Roman"/>
          <w:szCs w:val="24"/>
        </w:rPr>
        <w:t xml:space="preserve"> </w:t>
      </w:r>
      <w:r w:rsidR="005603FE" w:rsidRPr="00EE7FF7">
        <w:rPr>
          <w:rFonts w:ascii="Times New Roman" w:hAnsi="Times New Roman" w:cs="Times New Roman"/>
          <w:szCs w:val="24"/>
        </w:rPr>
        <w:t>badania. Jeśli jednak raport taki zostanie sporządzony</w:t>
      </w:r>
      <w:r w:rsidR="00B464E2" w:rsidRPr="00EE7FF7">
        <w:rPr>
          <w:rFonts w:ascii="Times New Roman" w:hAnsi="Times New Roman" w:cs="Times New Roman"/>
          <w:szCs w:val="24"/>
        </w:rPr>
        <w:t xml:space="preserve"> z woli rady nadzorczej odpowiedniej spółki</w:t>
      </w:r>
      <w:r w:rsidR="006F0CC7">
        <w:rPr>
          <w:rFonts w:ascii="Times New Roman" w:hAnsi="Times New Roman" w:cs="Times New Roman"/>
          <w:szCs w:val="24"/>
        </w:rPr>
        <w:t>,</w:t>
      </w:r>
      <w:r w:rsidR="005603FE" w:rsidRPr="00EE7FF7">
        <w:rPr>
          <w:rFonts w:ascii="Times New Roman" w:hAnsi="Times New Roman" w:cs="Times New Roman"/>
          <w:szCs w:val="24"/>
        </w:rPr>
        <w:t xml:space="preserve"> należy dopuścić jego udostępnienie </w:t>
      </w:r>
      <w:r w:rsidR="00B464E2" w:rsidRPr="00EE7FF7">
        <w:rPr>
          <w:rFonts w:ascii="Times New Roman" w:hAnsi="Times New Roman" w:cs="Times New Roman"/>
          <w:szCs w:val="24"/>
        </w:rPr>
        <w:t xml:space="preserve">wspólnikom lub </w:t>
      </w:r>
      <w:r w:rsidR="005603FE" w:rsidRPr="00EE7FF7">
        <w:rPr>
          <w:rFonts w:ascii="Times New Roman" w:hAnsi="Times New Roman" w:cs="Times New Roman"/>
          <w:szCs w:val="24"/>
        </w:rPr>
        <w:t>akcjonariuszom na analogicznych zasadach.</w:t>
      </w:r>
      <w:r w:rsidR="006814C6" w:rsidRPr="00EE7FF7">
        <w:rPr>
          <w:rFonts w:ascii="Times New Roman" w:hAnsi="Times New Roman" w:cs="Times New Roman"/>
          <w:szCs w:val="24"/>
        </w:rPr>
        <w:t xml:space="preserve"> Z drugiej zaś strony, przy tej okazji należy zabezpieczyć interes spółki przed zagrożeniem ujawnienia informacji stanowiących tajemnice prawnie chronione. W konsekwencji, komentowan</w:t>
      </w:r>
      <w:r w:rsidR="005603FE" w:rsidRPr="00EE7FF7">
        <w:rPr>
          <w:rFonts w:ascii="Times New Roman" w:hAnsi="Times New Roman" w:cs="Times New Roman"/>
          <w:szCs w:val="24"/>
        </w:rPr>
        <w:t>y raport</w:t>
      </w:r>
      <w:r w:rsidR="006814C6" w:rsidRPr="00EE7FF7">
        <w:rPr>
          <w:rFonts w:ascii="Times New Roman" w:hAnsi="Times New Roman" w:cs="Times New Roman"/>
          <w:szCs w:val="24"/>
        </w:rPr>
        <w:t xml:space="preserve"> z badania może zostać udostępnion</w:t>
      </w:r>
      <w:r w:rsidR="005603FE" w:rsidRPr="00EE7FF7">
        <w:rPr>
          <w:rFonts w:ascii="Times New Roman" w:hAnsi="Times New Roman" w:cs="Times New Roman"/>
          <w:szCs w:val="24"/>
        </w:rPr>
        <w:t>y</w:t>
      </w:r>
      <w:r w:rsidR="006814C6" w:rsidRPr="00EE7FF7">
        <w:rPr>
          <w:rFonts w:ascii="Times New Roman" w:hAnsi="Times New Roman" w:cs="Times New Roman"/>
          <w:szCs w:val="24"/>
        </w:rPr>
        <w:t xml:space="preserve"> wspólnikom lub akcjonariuszom na skutek odpowiedniego zastosowania art. 212 § 2 oraz 428 § 2 KSH. </w:t>
      </w:r>
      <w:r w:rsidR="006814C6" w:rsidRPr="00EE7FF7">
        <w:rPr>
          <w:rFonts w:ascii="Times New Roman" w:hAnsi="Times New Roman" w:cs="Times New Roman"/>
          <w:szCs w:val="24"/>
        </w:rPr>
        <w:lastRenderedPageBreak/>
        <w:t xml:space="preserve">Warto odnotować, że udostępnienie </w:t>
      </w:r>
      <w:r w:rsidR="005603FE" w:rsidRPr="00EE7FF7">
        <w:rPr>
          <w:rFonts w:ascii="Times New Roman" w:hAnsi="Times New Roman" w:cs="Times New Roman"/>
          <w:szCs w:val="24"/>
        </w:rPr>
        <w:t xml:space="preserve">raportu </w:t>
      </w:r>
      <w:r w:rsidR="006814C6" w:rsidRPr="00EE7FF7">
        <w:rPr>
          <w:rFonts w:ascii="Times New Roman" w:hAnsi="Times New Roman" w:cs="Times New Roman"/>
          <w:szCs w:val="24"/>
        </w:rPr>
        <w:t>z przeprowadzonego badania nie może nastąpić w sposób prowadzący do powstania asymetrii informacyjnej między współwłaścicielami – w szczególności, w spółce akcyjnej, materiał ten powinien być przekazywany w sposób odpowiedni dla ogłoszenia o zwołaniu zgromadzenia wspólników oraz walnego zgromadzenia. W odniesieniu do spółek publicznych zasygnalizowano, iż stosowanie przywołanych wyżej projektowanych przepisów KSH nie może prowadzić do naruszenia bądź niewykonania obowiązków informacyjnych wynikających z właściwych przepisów szczególnych. W tym kontekście należy mieć na względzie w pierwszej kolejności powinności określone w rozporządzeniu Parlamentu Europejskiego i Rady (UE) nr 596/2014 z dnia 16 kwietnia 2014 r. w sprawie nadużyć na rynku (rozporządzenie w sprawie nadużyć na rynku) oraz uchylającym dyrektywę 2003/6/WE Parlamentu Europejskiego i Rady i dyrektywy Komisji 2003/124/WE, 2003/125/WE i 2004/72/WE.</w:t>
      </w:r>
    </w:p>
    <w:p w14:paraId="2C0C924A" w14:textId="43A44DCF"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Aby właściwie zabezpieczyć interesy spółki, w ramach przedkładanej propozycji nowelizacji KSH przewidziano odpowiednie przepisy kreujące zobowiązanie doradcy rady nadzorczej oraz każdej osoby fizycznej</w:t>
      </w:r>
      <w:r w:rsidR="006C5727" w:rsidRPr="00EE7FF7">
        <w:rPr>
          <w:rFonts w:ascii="Times New Roman" w:hAnsi="Times New Roman" w:cs="Times New Roman"/>
          <w:szCs w:val="24"/>
        </w:rPr>
        <w:t>,</w:t>
      </w:r>
      <w:r w:rsidRPr="00EE7FF7">
        <w:rPr>
          <w:rFonts w:ascii="Times New Roman" w:hAnsi="Times New Roman" w:cs="Times New Roman"/>
          <w:szCs w:val="24"/>
        </w:rPr>
        <w:t xml:space="preserve"> wykonującej w jego imieniu lub na jego rzecz czynności związane z badaniem</w:t>
      </w:r>
      <w:r w:rsidR="006F0CC7">
        <w:rPr>
          <w:rFonts w:ascii="Times New Roman" w:hAnsi="Times New Roman" w:cs="Times New Roman"/>
          <w:szCs w:val="24"/>
        </w:rPr>
        <w:t>,</w:t>
      </w:r>
      <w:r w:rsidRPr="00EE7FF7">
        <w:rPr>
          <w:rFonts w:ascii="Times New Roman" w:hAnsi="Times New Roman" w:cs="Times New Roman"/>
          <w:szCs w:val="24"/>
        </w:rPr>
        <w:t xml:space="preserve"> do zachowania w tajemnicy wszystkich niemających publicznego charakteru informacji i dokumentów, do których mieli dostęp w trakcie realizowania badania lub sporządzania sprawozdania z badania.</w:t>
      </w:r>
    </w:p>
    <w:p w14:paraId="7954F39A" w14:textId="4A16B0A6"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Doradca rady nadzorczej wykonuje badanie zgodnie z określonym przez radę nadzorczą przedmiotem na zlecenie spółki oraz na jej koszt. W efekcie, za celowe należy uznać pozostawienie akcjonariuszom do rozstrzygnięcia na poziomie statutu, czy zamierzają dozwolić na korzystanie przez radę nadzorczą z opisywanej kompetencji swobodnie czy też uprawnienie to chcą ograniczyć albo nawet wyłączyć. W szczególności wspomniane ograniczenie może polegać na określeniu maksymalnego łącznego wynagrodzenia wszystkich doradców rady nadzorczej, które spółka może ponieść w trakcie roku obrotowego. Celem ułatwienia kontroli wydatkowania w tym obszarze środków spółki zasadnym jest przyjęcie, że w corocznym sprawozdaniu rady nadzorczej elementem obowiązkowym będzie informacja o łącznym wynagrodzeniu należnym od spółki z tytułu wszystkich badań zleconych przez radę nadzorczą w trakcie roku obrotowego (art. 382 § 3</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pkt 5 </w:t>
      </w:r>
      <w:r w:rsidR="00245F5C" w:rsidRPr="00EE7FF7">
        <w:rPr>
          <w:rFonts w:ascii="Times New Roman" w:hAnsi="Times New Roman" w:cs="Times New Roman"/>
          <w:szCs w:val="24"/>
        </w:rPr>
        <w:t>projektowanego</w:t>
      </w:r>
      <w:r w:rsidR="00F22CA0" w:rsidRPr="00EE7FF7">
        <w:rPr>
          <w:rFonts w:ascii="Times New Roman" w:hAnsi="Times New Roman" w:cs="Times New Roman"/>
          <w:szCs w:val="24"/>
        </w:rPr>
        <w:t xml:space="preserve"> </w:t>
      </w:r>
      <w:r w:rsidRPr="00EE7FF7">
        <w:rPr>
          <w:rFonts w:ascii="Times New Roman" w:hAnsi="Times New Roman" w:cs="Times New Roman"/>
          <w:szCs w:val="24"/>
        </w:rPr>
        <w:t>KSH).</w:t>
      </w:r>
      <w:r w:rsidR="000C5B52" w:rsidRPr="00EE7FF7">
        <w:rPr>
          <w:rFonts w:ascii="Times New Roman" w:hAnsi="Times New Roman" w:cs="Times New Roman"/>
          <w:szCs w:val="24"/>
        </w:rPr>
        <w:t xml:space="preserve"> Analogicznych</w:t>
      </w:r>
      <w:r w:rsidR="005603FE" w:rsidRPr="00EE7FF7">
        <w:rPr>
          <w:rFonts w:ascii="Times New Roman" w:hAnsi="Times New Roman" w:cs="Times New Roman"/>
          <w:szCs w:val="24"/>
        </w:rPr>
        <w:t xml:space="preserve"> </w:t>
      </w:r>
      <w:r w:rsidR="00B464E2" w:rsidRPr="00EE7FF7">
        <w:rPr>
          <w:rFonts w:ascii="Times New Roman" w:hAnsi="Times New Roman" w:cs="Times New Roman"/>
          <w:szCs w:val="24"/>
        </w:rPr>
        <w:t>przepisów</w:t>
      </w:r>
      <w:r w:rsidR="005603FE" w:rsidRPr="00EE7FF7">
        <w:rPr>
          <w:rFonts w:ascii="Times New Roman" w:hAnsi="Times New Roman" w:cs="Times New Roman"/>
          <w:szCs w:val="24"/>
        </w:rPr>
        <w:t xml:space="preserve"> nie przewidziano w spółkach z o.o. oraz prostych spółkach akcyjnych</w:t>
      </w:r>
      <w:r w:rsidR="00B464E2" w:rsidRPr="00EE7FF7">
        <w:rPr>
          <w:rFonts w:ascii="Times New Roman" w:hAnsi="Times New Roman" w:cs="Times New Roman"/>
          <w:szCs w:val="24"/>
        </w:rPr>
        <w:t xml:space="preserve"> z uwagi na fakt, iż w ramach tych kategorii spółek możliwość korzystania z doradcy rady nadzorczej została skonstruowana na </w:t>
      </w:r>
      <w:r w:rsidR="00B464E2" w:rsidRPr="00EE7FF7">
        <w:rPr>
          <w:rFonts w:ascii="Times New Roman" w:hAnsi="Times New Roman" w:cs="Times New Roman"/>
          <w:szCs w:val="24"/>
        </w:rPr>
        <w:lastRenderedPageBreak/>
        <w:t>zasadzie „</w:t>
      </w:r>
      <w:r w:rsidR="00B464E2" w:rsidRPr="00EE7FF7">
        <w:rPr>
          <w:rFonts w:ascii="Times New Roman" w:hAnsi="Times New Roman" w:cs="Times New Roman"/>
          <w:i/>
          <w:iCs/>
          <w:szCs w:val="24"/>
        </w:rPr>
        <w:t>opt i</w:t>
      </w:r>
      <w:r w:rsidR="000C5B52" w:rsidRPr="00EE7FF7">
        <w:rPr>
          <w:rFonts w:ascii="Times New Roman" w:hAnsi="Times New Roman" w:cs="Times New Roman"/>
          <w:i/>
          <w:iCs/>
          <w:szCs w:val="24"/>
        </w:rPr>
        <w:t>n</w:t>
      </w:r>
      <w:r w:rsidR="00B464E2" w:rsidRPr="00EE7FF7">
        <w:rPr>
          <w:rFonts w:ascii="Times New Roman" w:hAnsi="Times New Roman" w:cs="Times New Roman"/>
          <w:szCs w:val="24"/>
        </w:rPr>
        <w:t xml:space="preserve">” oraz musi zostać uprzednio przewidziana w ich podstawowym dokumencie korporacyjnym. Konsekwencją takiej konstrukcji jest oczywista zdolność wspólników albo akcjonariuszy do zastrzeżenia warunków lub ograniczeń dla rad nadzorczych w czerpaniu z omawianego mechanizmu w sytuacji jego dopuszczalności </w:t>
      </w:r>
      <w:r w:rsidR="009D61E1">
        <w:rPr>
          <w:rFonts w:ascii="Times New Roman" w:hAnsi="Times New Roman" w:cs="Times New Roman"/>
          <w:szCs w:val="24"/>
        </w:rPr>
        <w:t>w</w:t>
      </w:r>
      <w:r w:rsidR="00B464E2" w:rsidRPr="00EE7FF7">
        <w:rPr>
          <w:rFonts w:ascii="Times New Roman" w:hAnsi="Times New Roman" w:cs="Times New Roman"/>
          <w:szCs w:val="24"/>
        </w:rPr>
        <w:t xml:space="preserve"> konkretnym podmiocie.</w:t>
      </w:r>
    </w:p>
    <w:p w14:paraId="4B12492A" w14:textId="77777777"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Instrument w postaci doradcy rady nadzorczej zdecydowano się wprowadzić w odniesieniu do każdego rodzaju spółki kapitałowej, z zastrzeżeniem jednak, że stopień szczegółowości odpowiednich regulacji dostosowano do modelowych cech konstrukcyjnych tych podmiotów. Innymi słowy, istota mechanizmu jest tożsama w ramach wszystkich omawianych jednostek, jednak zakres normowania odpowiednich przepisów </w:t>
      </w:r>
      <w:r w:rsidRPr="00931E42">
        <w:rPr>
          <w:rFonts w:ascii="Times New Roman" w:hAnsi="Times New Roman" w:cs="Times New Roman"/>
          <w:szCs w:val="24"/>
        </w:rPr>
        <w:t>na płaszczyźnie KSH uzgodniono z systemowym sposobem organizacji właściwych spółek.</w:t>
      </w:r>
    </w:p>
    <w:p w14:paraId="178DB198" w14:textId="46D889A5" w:rsidR="00323FC0" w:rsidRPr="0012322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W odniesieniu do spółki z ograniczoną odpowiedzialnością oraz spółki akcyjnej, na płaszczyźnie przedkładanego projektu przewidziano także odpowiednie zastosowanie doradcy rady nadzorczej, przy okazji przeprowadzania przez radę nadzorczą postępowania kwalifikacyjnego zmierzającego do powołania członków zarządu. W szczególności, w przypadku spółek kapitałowych o większej skali działalności, rada nadzorcza posiadająca kompetencje do kreowania składu osobowego zarządów nierzadko korzysta z zewnętrznych podmiotów świadczących wyspecjalizowane usługi, aby dobrać odpowiednich menadżerów jako kandydatów na piastunów organu wykonawczego omawianych przedsiębiorców. Aby zarysowane zadanie zostało zrealizowane w sposób możliwie efektywny, zasadnym bywa odseparowanie jego wykonania</w:t>
      </w:r>
      <w:r w:rsidR="00DF530A" w:rsidRPr="005D5147">
        <w:rPr>
          <w:rFonts w:ascii="Times New Roman" w:hAnsi="Times New Roman" w:cs="Times New Roman"/>
          <w:szCs w:val="24"/>
        </w:rPr>
        <w:t xml:space="preserve"> </w:t>
      </w:r>
      <w:r w:rsidRPr="00DA4799">
        <w:rPr>
          <w:rFonts w:ascii="Times New Roman" w:hAnsi="Times New Roman" w:cs="Times New Roman"/>
          <w:szCs w:val="24"/>
        </w:rPr>
        <w:t>od dotychczasowego zarządu oraz czasowe utajnienie procesu wewnątrz korporacji.</w:t>
      </w:r>
    </w:p>
    <w:p w14:paraId="364FABDD" w14:textId="6383A8F1" w:rsidR="00897A4E" w:rsidRPr="00F30ED8" w:rsidRDefault="00897A4E"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Ustawa zabezpiecza możliwość uzyskania przez doradcę rady nadzorczej określonych informacji i dokumentów przez nałożenie na zarząd obowiązków w tym zakresie (art. 219</w:t>
      </w:r>
      <w:r w:rsidR="00AA1FE5" w:rsidRPr="00EE7FF7">
        <w:rPr>
          <w:rFonts w:ascii="Times New Roman" w:hAnsi="Times New Roman" w:cs="Times New Roman"/>
          <w:szCs w:val="24"/>
          <w:vertAlign w:val="superscript"/>
        </w:rPr>
        <w:t xml:space="preserve">2 </w:t>
      </w:r>
      <w:r w:rsidR="00AA1FE5" w:rsidRPr="00F30ED8">
        <w:rPr>
          <w:rFonts w:ascii="Times New Roman" w:hAnsi="Times New Roman" w:cs="Times New Roman"/>
          <w:szCs w:val="24"/>
        </w:rPr>
        <w:t>§ 4, art. 300</w:t>
      </w:r>
      <w:r w:rsidR="00AA1FE5" w:rsidRPr="00F30ED8">
        <w:rPr>
          <w:rFonts w:ascii="Times New Roman" w:hAnsi="Times New Roman" w:cs="Times New Roman"/>
          <w:szCs w:val="24"/>
          <w:vertAlign w:val="superscript"/>
        </w:rPr>
        <w:t xml:space="preserve">71a </w:t>
      </w:r>
      <w:r w:rsidR="00AA1FE5" w:rsidRPr="00F30ED8">
        <w:rPr>
          <w:rFonts w:ascii="Times New Roman" w:hAnsi="Times New Roman" w:cs="Times New Roman"/>
          <w:szCs w:val="24"/>
        </w:rPr>
        <w:t xml:space="preserve">§ 4 oraz </w:t>
      </w:r>
      <w:r w:rsidR="00AA1FE5" w:rsidRPr="00EE7FF7">
        <w:rPr>
          <w:rFonts w:ascii="Times New Roman" w:hAnsi="Times New Roman" w:cs="Times New Roman"/>
          <w:szCs w:val="24"/>
        </w:rPr>
        <w:t>382</w:t>
      </w:r>
      <w:r w:rsidR="00AA1FE5" w:rsidRPr="00EE7FF7">
        <w:rPr>
          <w:rFonts w:ascii="Times New Roman" w:hAnsi="Times New Roman" w:cs="Times New Roman"/>
          <w:szCs w:val="24"/>
          <w:vertAlign w:val="superscript"/>
        </w:rPr>
        <w:t xml:space="preserve">1 </w:t>
      </w:r>
      <w:r w:rsidR="00AA1FE5" w:rsidRPr="00F30ED8">
        <w:rPr>
          <w:rFonts w:ascii="Times New Roman" w:hAnsi="Times New Roman" w:cs="Times New Roman"/>
          <w:szCs w:val="24"/>
        </w:rPr>
        <w:t>§</w:t>
      </w:r>
      <w:r w:rsidR="00AA1FE5" w:rsidRPr="00F30ED8">
        <w:rPr>
          <w:rFonts w:ascii="Times New Roman" w:hAnsi="Times New Roman" w:cs="Times New Roman"/>
          <w:szCs w:val="24"/>
          <w:vertAlign w:val="superscript"/>
        </w:rPr>
        <w:t xml:space="preserve"> </w:t>
      </w:r>
      <w:r w:rsidR="00AA1FE5" w:rsidRPr="00F30ED8">
        <w:rPr>
          <w:rFonts w:ascii="Times New Roman" w:hAnsi="Times New Roman" w:cs="Times New Roman"/>
          <w:szCs w:val="24"/>
        </w:rPr>
        <w:t>4). Dodatkowym mechanizmem zabezpieczającym efektywną współpracę zarządu z doradcą rady nadzorczej jest przewidziana w art. 587</w:t>
      </w:r>
      <w:r w:rsidR="00AA1FE5" w:rsidRPr="00F30ED8">
        <w:rPr>
          <w:rFonts w:ascii="Times New Roman" w:hAnsi="Times New Roman" w:cs="Times New Roman"/>
          <w:szCs w:val="24"/>
          <w:vertAlign w:val="superscript"/>
        </w:rPr>
        <w:t xml:space="preserve">2 </w:t>
      </w:r>
      <w:r w:rsidR="00AA1FE5" w:rsidRPr="00F30ED8">
        <w:rPr>
          <w:rFonts w:ascii="Times New Roman" w:hAnsi="Times New Roman" w:cs="Times New Roman"/>
          <w:szCs w:val="24"/>
        </w:rPr>
        <w:t>KSH sankcja karna w postaci kary grzywny lub ograniczenia wolności, a także przewidziany w art. 18 § 2 KSH mechanizm wykluczania osób skazanych za to przestępstwo od pełnienia funkcji w spółkach. Mając na uwadze to</w:t>
      </w:r>
      <w:r w:rsidR="00257267">
        <w:rPr>
          <w:rFonts w:ascii="Times New Roman" w:hAnsi="Times New Roman" w:cs="Times New Roman"/>
          <w:szCs w:val="24"/>
        </w:rPr>
        <w:t>,</w:t>
      </w:r>
      <w:r w:rsidR="00AA1FE5" w:rsidRPr="00F30ED8">
        <w:rPr>
          <w:rFonts w:ascii="Times New Roman" w:hAnsi="Times New Roman" w:cs="Times New Roman"/>
          <w:szCs w:val="24"/>
        </w:rPr>
        <w:t xml:space="preserve"> że doradca rady nadzorczej jest osobą</w:t>
      </w:r>
      <w:r w:rsidR="009C243F" w:rsidRPr="00F30ED8">
        <w:rPr>
          <w:rFonts w:ascii="Times New Roman" w:hAnsi="Times New Roman" w:cs="Times New Roman"/>
          <w:szCs w:val="24"/>
        </w:rPr>
        <w:t>,</w:t>
      </w:r>
      <w:r w:rsidR="00AA1FE5" w:rsidRPr="00F30ED8">
        <w:rPr>
          <w:rFonts w:ascii="Times New Roman" w:hAnsi="Times New Roman" w:cs="Times New Roman"/>
          <w:szCs w:val="24"/>
        </w:rPr>
        <w:t xml:space="preserve"> przez którą swoje zadania wykonuje rada nadzorcza, konsekwencje </w:t>
      </w:r>
      <w:r w:rsidR="00AA1FE5" w:rsidRPr="00F30ED8">
        <w:rPr>
          <w:rFonts w:ascii="Times New Roman" w:hAnsi="Times New Roman" w:cs="Times New Roman"/>
          <w:szCs w:val="24"/>
        </w:rPr>
        <w:lastRenderedPageBreak/>
        <w:t>niedopełnienia tych obowiązków zostały określone analogicznie jak w wypadku naruszenia obowiązków wobec rady nadzorczej.</w:t>
      </w:r>
    </w:p>
    <w:p w14:paraId="39636484" w14:textId="718E17EA" w:rsidR="00045E78" w:rsidRPr="00EE7FF7" w:rsidRDefault="006814C6" w:rsidP="00EE7FF7">
      <w:pPr>
        <w:pStyle w:val="Wcicienormalne"/>
        <w:spacing w:before="240" w:line="360" w:lineRule="auto"/>
        <w:ind w:left="0"/>
        <w:jc w:val="both"/>
        <w:rPr>
          <w:rStyle w:val="Uwydatnienie"/>
          <w:szCs w:val="24"/>
        </w:rPr>
      </w:pPr>
      <w:r w:rsidRPr="00F30ED8">
        <w:rPr>
          <w:rStyle w:val="Uwydatnienie"/>
          <w:szCs w:val="24"/>
        </w:rPr>
        <w:t>5.</w:t>
      </w:r>
      <w:r w:rsidR="006208E5" w:rsidRPr="00F30ED8">
        <w:rPr>
          <w:rStyle w:val="Uwydatnienie"/>
          <w:szCs w:val="24"/>
        </w:rPr>
        <w:t>7</w:t>
      </w:r>
      <w:r w:rsidRPr="00F30ED8">
        <w:rPr>
          <w:rStyle w:val="Uwydatnienie"/>
          <w:szCs w:val="24"/>
        </w:rPr>
        <w:t xml:space="preserve">. </w:t>
      </w:r>
      <w:r w:rsidR="00045E78" w:rsidRPr="00F30ED8">
        <w:rPr>
          <w:rStyle w:val="Uwydatnienie"/>
          <w:szCs w:val="24"/>
        </w:rPr>
        <w:t>Uregulowanie terminów udostępniania informacji wspólnikom</w:t>
      </w:r>
      <w:r w:rsidR="002C593F" w:rsidRPr="00F30ED8">
        <w:rPr>
          <w:rStyle w:val="Uwydatnienie"/>
          <w:szCs w:val="24"/>
        </w:rPr>
        <w:t xml:space="preserve"> </w:t>
      </w:r>
      <w:r w:rsidR="00C27607" w:rsidRPr="00F30ED8">
        <w:rPr>
          <w:rStyle w:val="Uwydatnienie"/>
          <w:szCs w:val="24"/>
        </w:rPr>
        <w:t>i akcjonariuszom</w:t>
      </w:r>
    </w:p>
    <w:p w14:paraId="7141B0B7" w14:textId="4453AA25" w:rsidR="00C27607" w:rsidRPr="00F30ED8" w:rsidRDefault="00C27607" w:rsidP="00EE7FF7">
      <w:pPr>
        <w:pStyle w:val="Wcicienormalne"/>
        <w:spacing w:line="360" w:lineRule="auto"/>
        <w:ind w:left="0"/>
        <w:jc w:val="both"/>
        <w:rPr>
          <w:rStyle w:val="Uwydatnienie"/>
          <w:i w:val="0"/>
          <w:iCs w:val="0"/>
          <w:szCs w:val="24"/>
        </w:rPr>
      </w:pPr>
      <w:r w:rsidRPr="00F30ED8">
        <w:rPr>
          <w:rStyle w:val="Uwydatnienie"/>
          <w:i w:val="0"/>
          <w:szCs w:val="24"/>
        </w:rPr>
        <w:t>Obowiązujące aktualnie przepisy normujące prawo do informacji akcjonariuszy w zakresie możliwości pozyskania wiedzy o treści sprawozdania zarządu z działalności spółki oraz sprawozdania finansowego spółki przed obradami walnego zgromadzenia mającego rozpatrywać i zatwierdzać przywołane dokumenty, pozostają na tyle wątpliwe, iż realny standard uprawnień w przywołanym zakresie bywa często nazbyt mizerny.</w:t>
      </w:r>
    </w:p>
    <w:p w14:paraId="002551AC" w14:textId="70C31C69" w:rsidR="00C27607" w:rsidRPr="00F30ED8" w:rsidRDefault="00C27607" w:rsidP="00931E42">
      <w:pPr>
        <w:pStyle w:val="Wcicienormalne"/>
        <w:spacing w:line="360" w:lineRule="auto"/>
        <w:ind w:left="0"/>
        <w:jc w:val="both"/>
        <w:rPr>
          <w:rStyle w:val="Uwydatnienie"/>
          <w:i w:val="0"/>
          <w:iCs w:val="0"/>
          <w:szCs w:val="24"/>
        </w:rPr>
      </w:pPr>
      <w:r w:rsidRPr="00F30ED8">
        <w:rPr>
          <w:rStyle w:val="Uwydatnienie"/>
          <w:i w:val="0"/>
          <w:szCs w:val="24"/>
        </w:rPr>
        <w:t>Przede wszystkim należy zwrócić uwagę, iż pierwsza wątpliwość dotyczy terminu, w którym akcjonariusz musi złożyć odpowiednie żądanie spółce. Stosownie do dzisiejszego art. 395 § 4 KSH „</w:t>
      </w:r>
      <w:r w:rsidRPr="00F30ED8">
        <w:rPr>
          <w:rStyle w:val="Uwydatnienie"/>
          <w:i w:val="0"/>
          <w:iCs w:val="0"/>
          <w:szCs w:val="24"/>
        </w:rPr>
        <w:t>odpisy sprawozdania zarządu z działalności spółki i sprawozdania finansowego wraz z odpisem sprawozdania rady nadzorczej oraz sprawozdania z badania są wydawane akcjonariuszom na ich żądanie, najpóźniej na piętnaście dni przed walnym zgromadzeniem</w:t>
      </w:r>
      <w:r w:rsidRPr="00F30ED8">
        <w:rPr>
          <w:rStyle w:val="Uwydatnienie"/>
          <w:i w:val="0"/>
          <w:szCs w:val="24"/>
        </w:rPr>
        <w:t>”. W związku z literalnym brzmieniem cytowanego przepisu występuje pokusa uznania, iż odpowiednie żądanie akcjonariusza dotyczące wydania odpowiedniego sprawozdania musi zostać złożone w takim terminie, aby zarząd był w stanie przekazać właściwy dokument „</w:t>
      </w:r>
      <w:r w:rsidRPr="00F30ED8">
        <w:rPr>
          <w:rStyle w:val="Uwydatnienie"/>
          <w:i w:val="0"/>
          <w:iCs w:val="0"/>
          <w:szCs w:val="24"/>
        </w:rPr>
        <w:t>najpóźniej na piętnaście dni przed walnym zgromadzeniem</w:t>
      </w:r>
      <w:r w:rsidRPr="00F30ED8">
        <w:rPr>
          <w:rStyle w:val="Uwydatnienie"/>
          <w:i w:val="0"/>
          <w:szCs w:val="24"/>
        </w:rPr>
        <w:t>”. Taki sposób wykładni daje pretekst do uznania, iż wniosek złożony przez akcjonariusza po tym czasie pozostaje spóźniony i nie musi zostać zrealizowany.</w:t>
      </w:r>
    </w:p>
    <w:p w14:paraId="32BAEA42" w14:textId="77777777" w:rsidR="00C27607" w:rsidRPr="00F30ED8" w:rsidRDefault="00C27607" w:rsidP="00EE7FF7">
      <w:pPr>
        <w:pStyle w:val="Wcicienormalne"/>
        <w:spacing w:line="360" w:lineRule="auto"/>
        <w:ind w:left="0"/>
        <w:jc w:val="both"/>
        <w:rPr>
          <w:rStyle w:val="Uwydatnienie"/>
          <w:i w:val="0"/>
          <w:iCs w:val="0"/>
          <w:szCs w:val="24"/>
        </w:rPr>
      </w:pPr>
      <w:r w:rsidRPr="00F30ED8">
        <w:rPr>
          <w:rStyle w:val="Uwydatnienie"/>
          <w:i w:val="0"/>
          <w:szCs w:val="24"/>
        </w:rPr>
        <w:t>Inny sposób rozumienia aktualnego art. 395 § 4 KSH jest taki, iż to wniosek akcjonariusza musi zostać złożony „</w:t>
      </w:r>
      <w:r w:rsidRPr="00F30ED8">
        <w:rPr>
          <w:rStyle w:val="Uwydatnienie"/>
          <w:i w:val="0"/>
          <w:iCs w:val="0"/>
          <w:szCs w:val="24"/>
        </w:rPr>
        <w:t>najpóźniej na piętnaście dni przed walnym zgromadzeniem</w:t>
      </w:r>
      <w:r w:rsidRPr="00F30ED8">
        <w:rPr>
          <w:rStyle w:val="Uwydatnienie"/>
          <w:i w:val="0"/>
          <w:szCs w:val="24"/>
        </w:rPr>
        <w:t>”. Przyjmując taki wariant jako właściwy, ujawniają się dwa problemy – norma nie przewiduje wówczas żadnego terminu po stronie zarządu spółki na realizację właściwego żądania akcjonariusza, a po drugie, znów nie jest jasne, jak należy traktować wnioski współwłaścicieli spółki złożone później.</w:t>
      </w:r>
    </w:p>
    <w:p w14:paraId="47B9B75A" w14:textId="4BA85744" w:rsidR="00C27607" w:rsidRPr="00F30ED8" w:rsidRDefault="00C27607" w:rsidP="00931E42">
      <w:pPr>
        <w:pStyle w:val="Wcicienormalne"/>
        <w:spacing w:line="360" w:lineRule="auto"/>
        <w:ind w:left="0"/>
        <w:jc w:val="both"/>
        <w:rPr>
          <w:rStyle w:val="Uwydatnienie"/>
          <w:i w:val="0"/>
          <w:iCs w:val="0"/>
          <w:szCs w:val="24"/>
        </w:rPr>
      </w:pPr>
      <w:r w:rsidRPr="00F30ED8">
        <w:rPr>
          <w:rStyle w:val="Uwydatnienie"/>
          <w:i w:val="0"/>
          <w:szCs w:val="24"/>
        </w:rPr>
        <w:t>Z perspektywy zagwozdki dotyczącej przywołanego terminu określonego w art. 395 § 4 KSH, należy odnotować, iż zwyczajne walne zgromadzenie może zostać zwołane za pośrednictwem listów poleconych lub przesyłek nadanych pocztą kurierską, rozesłanych przez organ inicjujący obrady tego organu „</w:t>
      </w:r>
      <w:r w:rsidRPr="00F30ED8">
        <w:rPr>
          <w:rStyle w:val="Uwydatnienie"/>
          <w:i w:val="0"/>
          <w:iCs w:val="0"/>
          <w:szCs w:val="24"/>
        </w:rPr>
        <w:t>dwa tygodnie przed terminem walnego zgromadzenia</w:t>
      </w:r>
      <w:r w:rsidRPr="00F30ED8">
        <w:rPr>
          <w:rStyle w:val="Uwydatnienie"/>
          <w:i w:val="0"/>
          <w:szCs w:val="24"/>
        </w:rPr>
        <w:t xml:space="preserve">” (por. art. 402 § 3 KSH). W takim przypadku akcjonariusz nie ma możliwości złożenia odpowiedniego wniosku w terminie przewidzianym w art. 395 § 4 </w:t>
      </w:r>
      <w:r w:rsidRPr="00F30ED8">
        <w:rPr>
          <w:rStyle w:val="Uwydatnienie"/>
          <w:i w:val="0"/>
          <w:szCs w:val="24"/>
        </w:rPr>
        <w:lastRenderedPageBreak/>
        <w:t>KSH, względnie zarząd w zakreślonym czasie nie ma możliwości wydać akcjonariuszowi odpowiednich sprawozdań.</w:t>
      </w:r>
    </w:p>
    <w:p w14:paraId="3ABBC399" w14:textId="16F23F46" w:rsidR="00C27607" w:rsidRPr="00EE7FF7" w:rsidRDefault="00C27607" w:rsidP="00931E42">
      <w:pPr>
        <w:pStyle w:val="Wcicienormalne"/>
        <w:spacing w:line="360" w:lineRule="auto"/>
        <w:ind w:left="0"/>
        <w:jc w:val="both"/>
        <w:rPr>
          <w:szCs w:val="24"/>
        </w:rPr>
      </w:pPr>
      <w:r w:rsidRPr="00F30ED8">
        <w:rPr>
          <w:rStyle w:val="Uwydatnienie"/>
          <w:i w:val="0"/>
          <w:szCs w:val="24"/>
        </w:rPr>
        <w:t>Proponowany art. 395 § 4 KSH usuwa przywołane wątpliwości praktyczne, gdyż po pierwsze wprost wskazuje, że żądanie wydania dokumentów odpowiadających treścią sprawozdaniu zarządu z działalności spółki lub sprawozdaniu finansowemu spółki może zostać złożone w każdym czasie przypadającym od dnia zwołania zwyczajnego walnego zgromadzenia. Po drugie, zakreślono, iż zarząd ma obowiązek uczynić zadość wnioskowi akcjonariusza</w:t>
      </w:r>
      <w:r w:rsidRPr="00F30ED8">
        <w:rPr>
          <w:rStyle w:val="Uwydatnienie"/>
          <w:szCs w:val="24"/>
        </w:rPr>
        <w:t xml:space="preserve"> </w:t>
      </w:r>
      <w:r w:rsidRPr="00EE7FF7">
        <w:rPr>
          <w:szCs w:val="24"/>
        </w:rPr>
        <w:t>niezwłocznie, nie później niż w terminie dwóch dni powszednich od dnia zgłoszenia żądania.</w:t>
      </w:r>
    </w:p>
    <w:p w14:paraId="504B9E7F" w14:textId="65DE2911" w:rsidR="00C27607" w:rsidRPr="00EE7FF7" w:rsidRDefault="00C27607" w:rsidP="00931E42">
      <w:pPr>
        <w:pStyle w:val="Wcicienormalne"/>
        <w:spacing w:line="360" w:lineRule="auto"/>
        <w:ind w:left="0"/>
        <w:jc w:val="both"/>
        <w:rPr>
          <w:szCs w:val="24"/>
        </w:rPr>
      </w:pPr>
      <w:r w:rsidRPr="00EE7FF7">
        <w:rPr>
          <w:szCs w:val="24"/>
        </w:rPr>
        <w:t>W ramach projektu ustawy nowelizującej zdecydowano się uzupełnić o analogiczny przepis regulacje normujące zwyczajne zgromadzenie wspólników. Celem tego działania jest zapewnienie wspólnikom dostępu do sprawozdania zarządu z działalności spółki oraz sprawozdania finansowego spółki przed zwyczajnym zgromadzeniem wspólników w spółce, w której z uwagi na ustanowienie rady nadzorczej wyłączone jest prawo indywidualnej kontroli.</w:t>
      </w:r>
    </w:p>
    <w:p w14:paraId="000C46C8" w14:textId="7306D6AC" w:rsidR="00C27607" w:rsidRPr="00EE7FF7" w:rsidRDefault="00C27607" w:rsidP="005D5147">
      <w:pPr>
        <w:pStyle w:val="Wcicienormalne"/>
        <w:spacing w:line="360" w:lineRule="auto"/>
        <w:ind w:left="0"/>
        <w:jc w:val="both"/>
        <w:rPr>
          <w:szCs w:val="24"/>
        </w:rPr>
      </w:pPr>
      <w:r w:rsidRPr="00EE7FF7">
        <w:rPr>
          <w:szCs w:val="24"/>
        </w:rPr>
        <w:t>Omawiane</w:t>
      </w:r>
      <w:r w:rsidR="00DF530A" w:rsidRPr="00EE7FF7">
        <w:rPr>
          <w:szCs w:val="24"/>
        </w:rPr>
        <w:t xml:space="preserve"> </w:t>
      </w:r>
      <w:r w:rsidRPr="00EE7FF7">
        <w:rPr>
          <w:szCs w:val="24"/>
        </w:rPr>
        <w:t xml:space="preserve">przepisy zostały dostosowane również do aktualnego wymogu sporządzania sprawozdania finansowego w formie elektronicznej (por. art. 45 </w:t>
      </w:r>
      <w:r w:rsidR="00A37558" w:rsidRPr="00EE7FF7">
        <w:rPr>
          <w:szCs w:val="24"/>
        </w:rPr>
        <w:t>ust</w:t>
      </w:r>
      <w:r w:rsidR="00257267">
        <w:rPr>
          <w:szCs w:val="24"/>
        </w:rPr>
        <w:t>.</w:t>
      </w:r>
      <w:r w:rsidRPr="00EE7FF7">
        <w:rPr>
          <w:szCs w:val="24"/>
        </w:rPr>
        <w:t xml:space="preserve"> 1f oraz art. 49 </w:t>
      </w:r>
      <w:r w:rsidR="00A37558" w:rsidRPr="00EE7FF7">
        <w:rPr>
          <w:szCs w:val="24"/>
        </w:rPr>
        <w:t>ust</w:t>
      </w:r>
      <w:r w:rsidR="00257267">
        <w:rPr>
          <w:szCs w:val="24"/>
        </w:rPr>
        <w:t>.</w:t>
      </w:r>
      <w:r w:rsidRPr="00EE7FF7">
        <w:rPr>
          <w:szCs w:val="24"/>
        </w:rPr>
        <w:t xml:space="preserve"> 7 ustawy o rachunkowości).</w:t>
      </w:r>
    </w:p>
    <w:p w14:paraId="7204158F" w14:textId="68667314" w:rsidR="00C27607" w:rsidRPr="00EE7FF7" w:rsidRDefault="00C27607" w:rsidP="00DA4799">
      <w:pPr>
        <w:pStyle w:val="Wcicienormalne"/>
        <w:spacing w:line="360" w:lineRule="auto"/>
        <w:ind w:left="0"/>
        <w:jc w:val="both"/>
        <w:rPr>
          <w:szCs w:val="24"/>
        </w:rPr>
      </w:pPr>
      <w:r w:rsidRPr="00EE7FF7">
        <w:rPr>
          <w:szCs w:val="24"/>
        </w:rPr>
        <w:t>Komentowany mechanizm ma charakter dalej idącej gwarancji dla wspólników czy akcjonariuszy w zakresie prawa do informacji o spółce niż enigmatyczny (oraz niedostosowany terminami do sp. z o.o. i niekiedy S.A.) obowiązek spółki udostępniania w bliżej niesprecyzowany sposób rocznego sprawozdania finansowego i sprawozdania z działalności jednostki wynikający z art. 68 ustawy o rachunkowości.</w:t>
      </w:r>
    </w:p>
    <w:p w14:paraId="63CBEC91" w14:textId="4462ACEE" w:rsidR="00323FC0" w:rsidRPr="00EE7FF7" w:rsidRDefault="006208E5" w:rsidP="00EE7FF7">
      <w:pPr>
        <w:pStyle w:val="Wcicienormalne"/>
        <w:spacing w:before="240" w:line="360" w:lineRule="auto"/>
        <w:ind w:left="0"/>
        <w:jc w:val="both"/>
        <w:rPr>
          <w:szCs w:val="24"/>
        </w:rPr>
      </w:pPr>
      <w:r w:rsidRPr="00F30ED8">
        <w:rPr>
          <w:rStyle w:val="Uwydatnienie"/>
          <w:szCs w:val="24"/>
        </w:rPr>
        <w:t>5.8</w:t>
      </w:r>
      <w:r w:rsidR="00B76A5E" w:rsidRPr="00F30ED8">
        <w:rPr>
          <w:rStyle w:val="Uwydatnienie"/>
          <w:szCs w:val="24"/>
        </w:rPr>
        <w:t xml:space="preserve">. </w:t>
      </w:r>
      <w:r w:rsidR="006814C6" w:rsidRPr="00F30ED8">
        <w:rPr>
          <w:rStyle w:val="Uwydatnienie"/>
          <w:szCs w:val="24"/>
        </w:rPr>
        <w:t>Zgoda na zawarcie transakcji o znaczącej wartości ze spółką dominującą, spółką zależną oraz spółką powiązaną</w:t>
      </w:r>
    </w:p>
    <w:p w14:paraId="213F6A5E" w14:textId="0BCF9A5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 celu wzmocnienia kontroli rady nadzorczej nad majątkiem spółki, w ramach której jej członkowie pełnią funkcję, proponuje się rozszerzenie kompetencji wspomnianego organu nadzoru w art. 384</w:t>
      </w:r>
      <w:r w:rsidRPr="00EE7FF7">
        <w:rPr>
          <w:rStyle w:val="IGindeksgrny"/>
          <w:rFonts w:ascii="Times New Roman" w:hAnsi="Times New Roman" w:cs="Times New Roman"/>
          <w:szCs w:val="24"/>
        </w:rPr>
        <w:t>1</w:t>
      </w:r>
      <w:r w:rsidRPr="00EE7FF7">
        <w:rPr>
          <w:rFonts w:ascii="Times New Roman" w:hAnsi="Times New Roman" w:cs="Times New Roman"/>
          <w:szCs w:val="24"/>
        </w:rPr>
        <w:t xml:space="preserve"> </w:t>
      </w:r>
      <w:r w:rsidR="00245F5C" w:rsidRPr="00EE7FF7">
        <w:rPr>
          <w:rFonts w:ascii="Times New Roman" w:hAnsi="Times New Roman" w:cs="Times New Roman"/>
          <w:szCs w:val="24"/>
        </w:rPr>
        <w:t>projektowanego</w:t>
      </w:r>
      <w:r w:rsidR="004F7A8A" w:rsidRPr="00EE7FF7">
        <w:rPr>
          <w:rFonts w:ascii="Times New Roman" w:hAnsi="Times New Roman" w:cs="Times New Roman"/>
          <w:szCs w:val="24"/>
        </w:rPr>
        <w:t xml:space="preserve"> </w:t>
      </w:r>
      <w:r w:rsidRPr="00EE7FF7">
        <w:rPr>
          <w:rFonts w:ascii="Times New Roman" w:hAnsi="Times New Roman" w:cs="Times New Roman"/>
          <w:szCs w:val="24"/>
        </w:rPr>
        <w:t>KSH o konieczność uzyskania jego zgody na zawarcie przez spółkę transakcji ze spółką domin</w:t>
      </w:r>
      <w:r w:rsidR="00C027D4" w:rsidRPr="00EE7FF7">
        <w:rPr>
          <w:rFonts w:ascii="Times New Roman" w:hAnsi="Times New Roman" w:cs="Times New Roman"/>
          <w:szCs w:val="24"/>
        </w:rPr>
        <w:t>ującą, spółką zależną lub spółką</w:t>
      </w:r>
      <w:r w:rsidRPr="00EE7FF7">
        <w:rPr>
          <w:rFonts w:ascii="Times New Roman" w:hAnsi="Times New Roman" w:cs="Times New Roman"/>
          <w:szCs w:val="24"/>
        </w:rPr>
        <w:t xml:space="preserve"> z </w:t>
      </w:r>
      <w:r w:rsidRPr="00EE7FF7">
        <w:rPr>
          <w:rFonts w:ascii="Times New Roman" w:hAnsi="Times New Roman" w:cs="Times New Roman"/>
          <w:szCs w:val="24"/>
        </w:rPr>
        <w:lastRenderedPageBreak/>
        <w:t>nią powiązaną, jeżeli wartość przedmiotowej czynności przekracza</w:t>
      </w:r>
      <w:r w:rsidR="00266104" w:rsidRPr="00EE7FF7">
        <w:rPr>
          <w:rFonts w:ascii="Times New Roman" w:hAnsi="Times New Roman" w:cs="Times New Roman"/>
          <w:szCs w:val="24"/>
        </w:rPr>
        <w:t xml:space="preserve"> 10% aktywów spółki, chyba że statut stanowi inaczej.</w:t>
      </w:r>
    </w:p>
    <w:p w14:paraId="18E05D03" w14:textId="77777777"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Przywołane działanie legislacyjne pozostaje uzasadnione istotną wrażliwością scharakteryzowanych transakcji, dokonując ich oceny z perspektywy potencjalnie abuzywnych aktywności zarządów. Umieszczenie obowiązku uprzedniego uzyskania komentowanej zgody na poziomie KSH skutkuje tym, iż ewentualne przeprowadzenie omawianych czynności</w:t>
      </w:r>
      <w:r w:rsidR="00F22CA0" w:rsidRPr="00931E42">
        <w:rPr>
          <w:rFonts w:ascii="Times New Roman" w:hAnsi="Times New Roman" w:cs="Times New Roman"/>
          <w:szCs w:val="24"/>
        </w:rPr>
        <w:t>,</w:t>
      </w:r>
      <w:r w:rsidRPr="00931E42">
        <w:rPr>
          <w:rFonts w:ascii="Times New Roman" w:hAnsi="Times New Roman" w:cs="Times New Roman"/>
          <w:szCs w:val="24"/>
        </w:rPr>
        <w:t xml:space="preserve"> z pominięciem decyzji rady nadzorczej, obarczone pozostanie wadą nieważności (por. art. 17 KSH).</w:t>
      </w:r>
    </w:p>
    <w:p w14:paraId="725CECCA" w14:textId="77777777"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Wykorzystane do sformułowania komentowanych przepisów pojęcia „spółka dominująca”, „spółka zależna” oraz „spółka powiązana” należy dekodować stosownie do definicji legalnych zawartych w art. 4 KSH.</w:t>
      </w:r>
    </w:p>
    <w:p w14:paraId="71F50421" w14:textId="2C4EC2F8" w:rsidR="00323FC0" w:rsidRPr="00DA4799"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Zaprezentowana w przedkładanym projekcie ustawy propozycja omawianego mechanizmu zakłada konstrukcję o charakterze „</w:t>
      </w:r>
      <w:r w:rsidRPr="00931E42">
        <w:rPr>
          <w:rFonts w:ascii="Times New Roman" w:hAnsi="Times New Roman" w:cs="Times New Roman"/>
          <w:i/>
          <w:szCs w:val="24"/>
        </w:rPr>
        <w:t>opt out</w:t>
      </w:r>
      <w:r w:rsidRPr="00931E42">
        <w:rPr>
          <w:rFonts w:ascii="Times New Roman" w:hAnsi="Times New Roman" w:cs="Times New Roman"/>
          <w:szCs w:val="24"/>
        </w:rPr>
        <w:t>”. Podejście to uzasadnione jest stworzeniem akcjonariuszom możliwości dostosowania organizacji wewnętrznej ich podmiotu do potrzeb uzasadnionych j</w:t>
      </w:r>
      <w:r w:rsidRPr="005D5147">
        <w:rPr>
          <w:rFonts w:ascii="Times New Roman" w:hAnsi="Times New Roman" w:cs="Times New Roman"/>
          <w:szCs w:val="24"/>
        </w:rPr>
        <w:t>ego interesem.</w:t>
      </w:r>
    </w:p>
    <w:p w14:paraId="5FAC64D7" w14:textId="38F442D0" w:rsidR="00323FC0" w:rsidRPr="00EE7FF7" w:rsidRDefault="006814C6"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Aby zapewnić zgodność przedmiotowych instrumentów nadzoru z przepisami szczególnymi, przywołanego wymogu nie stosuje się do spółek publicznych w rozumieniu KSH oraz podmiotów należących do szczególnie kwalifikowanego prawnie zgrupowania spół</w:t>
      </w:r>
      <w:r w:rsidRPr="00EE7FF7">
        <w:rPr>
          <w:rFonts w:ascii="Times New Roman" w:hAnsi="Times New Roman" w:cs="Times New Roman"/>
          <w:szCs w:val="24"/>
        </w:rPr>
        <w:t>ek.</w:t>
      </w:r>
    </w:p>
    <w:p w14:paraId="43D4BE7F" w14:textId="73385774" w:rsidR="00B464E2" w:rsidRPr="00EE7FF7" w:rsidRDefault="006814C6" w:rsidP="00EE7FF7">
      <w:pPr>
        <w:pStyle w:val="NOTATKILEGISLATORA"/>
        <w:widowControl/>
        <w:spacing w:before="240" w:after="200" w:line="360" w:lineRule="auto"/>
        <w:jc w:val="both"/>
        <w:rPr>
          <w:rStyle w:val="Uwydatnienie"/>
          <w:rFonts w:ascii="Times New Roman" w:eastAsia="Times New Roman" w:hAnsi="Times New Roman" w:cs="Times New Roman"/>
          <w:b w:val="0"/>
          <w:i/>
          <w:szCs w:val="24"/>
        </w:rPr>
      </w:pPr>
      <w:r w:rsidRPr="00F30ED8">
        <w:rPr>
          <w:rStyle w:val="Uwydatnienie"/>
          <w:rFonts w:ascii="Times New Roman" w:eastAsia="Times New Roman" w:hAnsi="Times New Roman" w:cs="Times New Roman"/>
          <w:b w:val="0"/>
          <w:i/>
          <w:szCs w:val="24"/>
        </w:rPr>
        <w:t>5.</w:t>
      </w:r>
      <w:r w:rsidR="006208E5" w:rsidRPr="00F30ED8">
        <w:rPr>
          <w:rStyle w:val="Uwydatnienie"/>
          <w:rFonts w:ascii="Times New Roman" w:eastAsia="Times New Roman" w:hAnsi="Times New Roman" w:cs="Times New Roman"/>
          <w:b w:val="0"/>
          <w:i/>
          <w:szCs w:val="24"/>
        </w:rPr>
        <w:t>9</w:t>
      </w:r>
      <w:r w:rsidRPr="00F30ED8">
        <w:rPr>
          <w:rStyle w:val="Uwydatnienie"/>
          <w:rFonts w:ascii="Times New Roman" w:eastAsia="Times New Roman" w:hAnsi="Times New Roman" w:cs="Times New Roman"/>
          <w:b w:val="0"/>
          <w:i/>
          <w:szCs w:val="24"/>
        </w:rPr>
        <w:t xml:space="preserve">. </w:t>
      </w:r>
      <w:r w:rsidR="00B464E2" w:rsidRPr="00F30ED8">
        <w:rPr>
          <w:rStyle w:val="Uwydatnienie"/>
          <w:rFonts w:ascii="Times New Roman" w:eastAsia="Times New Roman" w:hAnsi="Times New Roman" w:cs="Times New Roman"/>
          <w:b w:val="0"/>
          <w:i/>
          <w:szCs w:val="24"/>
        </w:rPr>
        <w:t>Zaakcentowanie znaczenia funkcji przewodniczącego rady nadzorczej</w:t>
      </w:r>
      <w:r w:rsidR="00CB2430" w:rsidRPr="00F30ED8">
        <w:rPr>
          <w:rStyle w:val="Uwydatnienie"/>
          <w:rFonts w:ascii="Times New Roman" w:eastAsia="Times New Roman" w:hAnsi="Times New Roman" w:cs="Times New Roman"/>
          <w:b w:val="0"/>
          <w:i/>
          <w:szCs w:val="24"/>
        </w:rPr>
        <w:t xml:space="preserve"> oraz obowiązku aktywności piastunów tego organu</w:t>
      </w:r>
    </w:p>
    <w:p w14:paraId="2AD53F7A" w14:textId="4F3262F1" w:rsidR="00CB2430" w:rsidRPr="00F30ED8" w:rsidRDefault="00CB2430"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F30ED8">
        <w:rPr>
          <w:rStyle w:val="Uwydatnienie"/>
          <w:rFonts w:ascii="Times New Roman" w:eastAsia="Times New Roman" w:hAnsi="Times New Roman" w:cs="Times New Roman"/>
          <w:b w:val="0"/>
          <w:iCs w:val="0"/>
          <w:szCs w:val="24"/>
        </w:rPr>
        <w:t>Praktyka obrotu, a w szczególności znane powszechnie przypadki niewłaściwego ukształtowania wewnętrznego zasad ładu korporacyjnego, wskazują na potrzebę uregulowania na poziomie ustawy roli przewodniczącego rady nadzorczej jako osoby odpowiedzialnej za należyte organizowanie prac tego organu. Wielokrotnie bowiem to od aktywności oraz staranności w realizowaniu uprawnień przez przywołanego piastuna organ</w:t>
      </w:r>
      <w:r w:rsidR="00D92A84">
        <w:rPr>
          <w:rStyle w:val="Uwydatnienie"/>
          <w:rFonts w:ascii="Times New Roman" w:eastAsia="Times New Roman" w:hAnsi="Times New Roman" w:cs="Times New Roman"/>
          <w:b w:val="0"/>
          <w:iCs w:val="0"/>
          <w:szCs w:val="24"/>
        </w:rPr>
        <w:t>u</w:t>
      </w:r>
      <w:r w:rsidRPr="00F30ED8">
        <w:rPr>
          <w:rStyle w:val="Uwydatnienie"/>
          <w:rFonts w:ascii="Times New Roman" w:eastAsia="Times New Roman" w:hAnsi="Times New Roman" w:cs="Times New Roman"/>
          <w:b w:val="0"/>
          <w:iCs w:val="0"/>
          <w:szCs w:val="24"/>
        </w:rPr>
        <w:t xml:space="preserve"> spółki zależy efektywność wewnętrznego nadzoru w spółce kapitałowej. Wskazana osoba powinna bowiem nadawać harmonogram oraz zakres przedmiotowy prac omawianego ciała, nie zaś pozostawać biernym wykonawcą wniosków zarządu co do wydawania oczekiwanych rozstrzygnięć przez radę nadzorczą lub dążyć do </w:t>
      </w:r>
      <w:r w:rsidRPr="00F30ED8">
        <w:rPr>
          <w:rStyle w:val="Uwydatnienie"/>
          <w:rFonts w:ascii="Times New Roman" w:eastAsia="Times New Roman" w:hAnsi="Times New Roman" w:cs="Times New Roman"/>
          <w:b w:val="0"/>
          <w:iCs w:val="0"/>
          <w:szCs w:val="24"/>
        </w:rPr>
        <w:lastRenderedPageBreak/>
        <w:t>realizowania minimalnych aktywności rady nadzorczej narzuconych prawem w wyabstrahowaniu od rzeczywistych potrzeb wewnętrznych spółki.</w:t>
      </w:r>
    </w:p>
    <w:p w14:paraId="72E170D4" w14:textId="61BC3EB4" w:rsidR="00B464E2" w:rsidRPr="00F30ED8" w:rsidRDefault="00CB2430"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E675DD">
        <w:rPr>
          <w:rStyle w:val="Uwydatnienie"/>
          <w:rFonts w:ascii="Times New Roman" w:eastAsia="Times New Roman" w:hAnsi="Times New Roman" w:cs="Times New Roman"/>
          <w:b w:val="0"/>
          <w:iCs w:val="0"/>
          <w:szCs w:val="24"/>
        </w:rPr>
        <w:t xml:space="preserve">Dodatkowo zaakcentować należy, iż uczestnictwo członków rady nadzorczej w </w:t>
      </w:r>
      <w:r w:rsidRPr="00F30ED8">
        <w:rPr>
          <w:rStyle w:val="Uwydatnienie"/>
          <w:rFonts w:ascii="Times New Roman" w:eastAsia="Times New Roman" w:hAnsi="Times New Roman" w:cs="Times New Roman"/>
          <w:b w:val="0"/>
          <w:iCs w:val="0"/>
          <w:szCs w:val="24"/>
        </w:rPr>
        <w:t>posiedzeniach tego organu stanowi nie ich uprawnienie korporacyjne, lecz podstawowy obowiązek świadczący o staranności w piastowaniu funkcji. Realizację przedmiotowej powinności wspierają występujące na poziomie KSH od 31.03.2020 r. ułatwienia dozwalające co do zasady na „zdalną” partycypację w obradach posiedzenia. Innymi słowy, przypadki absencji członków rady nadzorczej na posiedzeniach powinny być absolutnym wyjątkiem</w:t>
      </w:r>
      <w:r w:rsidR="00C0741E" w:rsidRPr="00F30ED8">
        <w:rPr>
          <w:rStyle w:val="Uwydatnienie"/>
          <w:rFonts w:ascii="Times New Roman" w:eastAsia="Times New Roman" w:hAnsi="Times New Roman" w:cs="Times New Roman"/>
          <w:b w:val="0"/>
          <w:iCs w:val="0"/>
          <w:szCs w:val="24"/>
        </w:rPr>
        <w:t xml:space="preserve"> podyktowanym li tylko wypadkami o charakterze losowym. Przyjmując to założenie, a także dążąc do uwolnienia rad nadzorczych przed ewentualnymi przeszkodami w podejmowaniu dynamicznie decyzji niezbędnych z perspektywy interesu spółki również na podstawie okoliczności ujawnionych bezpośrednio podczas posiedzenia, proponowany art. 221</w:t>
      </w:r>
      <w:r w:rsidR="00C0741E" w:rsidRPr="00F30ED8">
        <w:rPr>
          <w:rStyle w:val="Uwydatnienie"/>
          <w:rFonts w:ascii="Times New Roman" w:eastAsia="Times New Roman" w:hAnsi="Times New Roman" w:cs="Times New Roman"/>
          <w:b w:val="0"/>
          <w:iCs w:val="0"/>
          <w:szCs w:val="24"/>
          <w:vertAlign w:val="superscript"/>
        </w:rPr>
        <w:t>1</w:t>
      </w:r>
      <w:r w:rsidR="00C0741E" w:rsidRPr="00F30ED8">
        <w:rPr>
          <w:rStyle w:val="Uwydatnienie"/>
          <w:rFonts w:ascii="Times New Roman" w:eastAsia="Times New Roman" w:hAnsi="Times New Roman" w:cs="Times New Roman"/>
          <w:b w:val="0"/>
          <w:iCs w:val="0"/>
          <w:szCs w:val="24"/>
        </w:rPr>
        <w:t xml:space="preserve"> § 3 oraz art. 389 § 3 KSH wprowadza regułę, wedle której rada nadzorcza może podejmować podczas posiedzenia uchwały również w sprawach nieobjętych zapowiedzianym porządkiem obrad, jeżeli żaden z członków rady nadzorczej biorących udział w posiedzeniu się temu nie sprzeciwi. Zarówno </w:t>
      </w:r>
      <w:r w:rsidR="00662202" w:rsidRPr="00F30ED8">
        <w:rPr>
          <w:rStyle w:val="Uwydatnienie"/>
          <w:rFonts w:ascii="Times New Roman" w:eastAsia="Times New Roman" w:hAnsi="Times New Roman" w:cs="Times New Roman"/>
          <w:b w:val="0"/>
          <w:iCs w:val="0"/>
          <w:szCs w:val="24"/>
        </w:rPr>
        <w:t>umowa spółki, jak i statut, mogą</w:t>
      </w:r>
      <w:r w:rsidR="00C0741E" w:rsidRPr="00F30ED8">
        <w:rPr>
          <w:rStyle w:val="Uwydatnienie"/>
          <w:rFonts w:ascii="Times New Roman" w:eastAsia="Times New Roman" w:hAnsi="Times New Roman" w:cs="Times New Roman"/>
          <w:b w:val="0"/>
          <w:iCs w:val="0"/>
          <w:szCs w:val="24"/>
        </w:rPr>
        <w:t xml:space="preserve"> jednak wyłączać lub ograniczać normę wynikającą z przywołanych projektowanych przepisów.</w:t>
      </w:r>
    </w:p>
    <w:p w14:paraId="7382813B" w14:textId="6CD21A46" w:rsidR="00C0741E" w:rsidRPr="00F30ED8" w:rsidRDefault="00C0741E"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F30ED8">
        <w:rPr>
          <w:rStyle w:val="Uwydatnienie"/>
          <w:rFonts w:ascii="Times New Roman" w:eastAsia="Times New Roman" w:hAnsi="Times New Roman" w:cs="Times New Roman"/>
          <w:b w:val="0"/>
          <w:iCs w:val="0"/>
          <w:szCs w:val="24"/>
        </w:rPr>
        <w:t>Dążąc do zwiększenia efektywności wewnętrznego funkcjonowania rad nadzorczych</w:t>
      </w:r>
      <w:r w:rsidR="00BB2CF1">
        <w:rPr>
          <w:rStyle w:val="Uwydatnienie"/>
          <w:rFonts w:ascii="Times New Roman" w:eastAsia="Times New Roman" w:hAnsi="Times New Roman" w:cs="Times New Roman"/>
          <w:b w:val="0"/>
          <w:iCs w:val="0"/>
          <w:szCs w:val="24"/>
        </w:rPr>
        <w:t>,</w:t>
      </w:r>
      <w:r w:rsidRPr="00F30ED8">
        <w:rPr>
          <w:rStyle w:val="Uwydatnienie"/>
          <w:rFonts w:ascii="Times New Roman" w:eastAsia="Times New Roman" w:hAnsi="Times New Roman" w:cs="Times New Roman"/>
          <w:b w:val="0"/>
          <w:iCs w:val="0"/>
          <w:szCs w:val="24"/>
        </w:rPr>
        <w:t xml:space="preserve"> zabezpieczono również rzeczywiste </w:t>
      </w:r>
      <w:r w:rsidR="00F85CC5" w:rsidRPr="00F30ED8">
        <w:rPr>
          <w:rStyle w:val="Uwydatnienie"/>
          <w:rFonts w:ascii="Times New Roman" w:eastAsia="Times New Roman" w:hAnsi="Times New Roman" w:cs="Times New Roman"/>
          <w:b w:val="0"/>
          <w:iCs w:val="0"/>
          <w:szCs w:val="24"/>
        </w:rPr>
        <w:t>realizowanie przez przewodniczącego przedmiotowego organu żądania zwołania posiedzenia zgłoszonego przez zarząd lub członka rady nadzorczej. Dotychczas obowiązujący w ramach spółki akcyjnej art. 389 § 1 KSH przewiduje obowiązek zwołania w takiej sytuacji posiedzenia rady nadzorczej w terminie dwóch tygodni od dnia otrzymania wniosku, nie wskazując jednak, kiedy takie posiedzenie ma się odbyć. Znane są z przeszłości próby istotnego odciągania w czasie daty przeprowadzenia posiedzenia rady nadzorczej zwołanego z inicjatywy członka rady nadzorczej nie</w:t>
      </w:r>
      <w:r w:rsidR="00B32832">
        <w:rPr>
          <w:rStyle w:val="Uwydatnienie"/>
          <w:rFonts w:ascii="Times New Roman" w:eastAsia="Times New Roman" w:hAnsi="Times New Roman" w:cs="Times New Roman"/>
          <w:b w:val="0"/>
          <w:iCs w:val="0"/>
          <w:szCs w:val="24"/>
        </w:rPr>
        <w:t xml:space="preserve"> </w:t>
      </w:r>
      <w:r w:rsidR="00F85CC5" w:rsidRPr="00F30ED8">
        <w:rPr>
          <w:rStyle w:val="Uwydatnienie"/>
          <w:rFonts w:ascii="Times New Roman" w:eastAsia="Times New Roman" w:hAnsi="Times New Roman" w:cs="Times New Roman"/>
          <w:b w:val="0"/>
          <w:iCs w:val="0"/>
          <w:szCs w:val="24"/>
        </w:rPr>
        <w:t xml:space="preserve">sympatyzującego z zarządem spółki. Po to, </w:t>
      </w:r>
      <w:r w:rsidR="00B32832">
        <w:rPr>
          <w:rStyle w:val="Uwydatnienie"/>
          <w:rFonts w:ascii="Times New Roman" w:eastAsia="Times New Roman" w:hAnsi="Times New Roman" w:cs="Times New Roman"/>
          <w:b w:val="0"/>
          <w:iCs w:val="0"/>
          <w:szCs w:val="24"/>
        </w:rPr>
        <w:t>a</w:t>
      </w:r>
      <w:r w:rsidR="00F85CC5" w:rsidRPr="00F30ED8">
        <w:rPr>
          <w:rStyle w:val="Uwydatnienie"/>
          <w:rFonts w:ascii="Times New Roman" w:eastAsia="Times New Roman" w:hAnsi="Times New Roman" w:cs="Times New Roman"/>
          <w:b w:val="0"/>
          <w:iCs w:val="0"/>
          <w:szCs w:val="24"/>
        </w:rPr>
        <w:t>by dać kres takim przypadkom, projektowany art. 389 § 4 KSH stanowi, iż posiedzenie zwoływane w komentowanej sytuacji ma zostać zorganizowanego przez przewodniczącego rady nadzorczej w ten sposób, aby odbyło się w terminie dwóch tygodni od dnia otrzymania żądania. Analogiczna regulacja wraz z</w:t>
      </w:r>
      <w:r w:rsidR="0082210D" w:rsidRPr="00F30ED8">
        <w:rPr>
          <w:rStyle w:val="Uwydatnienie"/>
          <w:rFonts w:ascii="Times New Roman" w:eastAsia="Times New Roman" w:hAnsi="Times New Roman" w:cs="Times New Roman"/>
          <w:b w:val="0"/>
          <w:iCs w:val="0"/>
          <w:szCs w:val="24"/>
        </w:rPr>
        <w:t xml:space="preserve"> precyzyjną podstawą umożliwiającą określonym </w:t>
      </w:r>
      <w:r w:rsidR="0082210D" w:rsidRPr="00F30ED8">
        <w:rPr>
          <w:rStyle w:val="Uwydatnienie"/>
          <w:rFonts w:ascii="Times New Roman" w:eastAsia="Times New Roman" w:hAnsi="Times New Roman" w:cs="Times New Roman"/>
          <w:b w:val="0"/>
          <w:iCs w:val="0"/>
          <w:szCs w:val="24"/>
        </w:rPr>
        <w:lastRenderedPageBreak/>
        <w:t>podmiotom żądanie zwołania posiedzenia rady nadzorczej w ramach sp. z o.o. została przewidziana w art. 221</w:t>
      </w:r>
      <w:r w:rsidR="0082210D" w:rsidRPr="00F30ED8">
        <w:rPr>
          <w:rStyle w:val="Uwydatnienie"/>
          <w:rFonts w:ascii="Times New Roman" w:eastAsia="Times New Roman" w:hAnsi="Times New Roman" w:cs="Times New Roman"/>
          <w:b w:val="0"/>
          <w:iCs w:val="0"/>
          <w:szCs w:val="24"/>
          <w:vertAlign w:val="superscript"/>
        </w:rPr>
        <w:t>1</w:t>
      </w:r>
      <w:r w:rsidR="0082210D" w:rsidRPr="00F30ED8">
        <w:rPr>
          <w:rStyle w:val="Uwydatnienie"/>
          <w:rFonts w:ascii="Times New Roman" w:eastAsia="Times New Roman" w:hAnsi="Times New Roman" w:cs="Times New Roman"/>
          <w:b w:val="0"/>
          <w:iCs w:val="0"/>
          <w:szCs w:val="24"/>
        </w:rPr>
        <w:t xml:space="preserve"> § 4 </w:t>
      </w:r>
      <w:r w:rsidR="00245F5C" w:rsidRPr="00F30ED8">
        <w:rPr>
          <w:rStyle w:val="Uwydatnienie"/>
          <w:rFonts w:ascii="Times New Roman" w:eastAsia="Times New Roman" w:hAnsi="Times New Roman" w:cs="Times New Roman"/>
          <w:b w:val="0"/>
          <w:iCs w:val="0"/>
          <w:szCs w:val="24"/>
        </w:rPr>
        <w:t>projektowanego</w:t>
      </w:r>
      <w:r w:rsidR="0082210D" w:rsidRPr="00F30ED8">
        <w:rPr>
          <w:rStyle w:val="Uwydatnienie"/>
          <w:rFonts w:ascii="Times New Roman" w:eastAsia="Times New Roman" w:hAnsi="Times New Roman" w:cs="Times New Roman"/>
          <w:b w:val="0"/>
          <w:iCs w:val="0"/>
          <w:szCs w:val="24"/>
        </w:rPr>
        <w:t xml:space="preserve"> KSH.</w:t>
      </w:r>
    </w:p>
    <w:p w14:paraId="50C3A879" w14:textId="537FE943" w:rsidR="00B464E2" w:rsidRPr="00EE7FF7" w:rsidRDefault="00B464E2" w:rsidP="00EE7FF7">
      <w:pPr>
        <w:pStyle w:val="NOTATKILEGISLATORA"/>
        <w:widowControl/>
        <w:spacing w:before="240" w:after="200" w:line="360" w:lineRule="auto"/>
        <w:jc w:val="both"/>
        <w:rPr>
          <w:rStyle w:val="Uwydatnienie"/>
          <w:rFonts w:ascii="Times New Roman" w:eastAsia="Times New Roman" w:hAnsi="Times New Roman" w:cs="Times New Roman"/>
          <w:b w:val="0"/>
          <w:i/>
          <w:szCs w:val="24"/>
        </w:rPr>
      </w:pPr>
      <w:r w:rsidRPr="00F30ED8">
        <w:rPr>
          <w:rStyle w:val="Uwydatnienie"/>
          <w:rFonts w:ascii="Times New Roman" w:eastAsia="Times New Roman" w:hAnsi="Times New Roman" w:cs="Times New Roman"/>
          <w:b w:val="0"/>
          <w:i/>
          <w:szCs w:val="24"/>
        </w:rPr>
        <w:t>5.</w:t>
      </w:r>
      <w:r w:rsidR="006208E5" w:rsidRPr="00F30ED8">
        <w:rPr>
          <w:rStyle w:val="Uwydatnienie"/>
          <w:rFonts w:ascii="Times New Roman" w:eastAsia="Times New Roman" w:hAnsi="Times New Roman" w:cs="Times New Roman"/>
          <w:b w:val="0"/>
          <w:i/>
          <w:szCs w:val="24"/>
        </w:rPr>
        <w:t>10</w:t>
      </w:r>
      <w:r w:rsidRPr="00F30ED8">
        <w:rPr>
          <w:rStyle w:val="Uwydatnienie"/>
          <w:rFonts w:ascii="Times New Roman" w:eastAsia="Times New Roman" w:hAnsi="Times New Roman" w:cs="Times New Roman"/>
          <w:b w:val="0"/>
          <w:i/>
          <w:szCs w:val="24"/>
        </w:rPr>
        <w:t xml:space="preserve">. Zasady sporządzania protokołów </w:t>
      </w:r>
      <w:r w:rsidR="00CB2430" w:rsidRPr="00F30ED8">
        <w:rPr>
          <w:rStyle w:val="Uwydatnienie"/>
          <w:rFonts w:ascii="Times New Roman" w:eastAsia="Times New Roman" w:hAnsi="Times New Roman" w:cs="Times New Roman"/>
          <w:b w:val="0"/>
          <w:i/>
          <w:szCs w:val="24"/>
        </w:rPr>
        <w:t>zarządu i rady nadzorczej</w:t>
      </w:r>
    </w:p>
    <w:p w14:paraId="563DCD1C" w14:textId="58AA7538" w:rsidR="00AC4280" w:rsidRPr="00F30ED8" w:rsidRDefault="0082210D"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F30ED8">
        <w:rPr>
          <w:rStyle w:val="Uwydatnienie"/>
          <w:rFonts w:ascii="Times New Roman" w:eastAsia="Times New Roman" w:hAnsi="Times New Roman" w:cs="Times New Roman"/>
          <w:b w:val="0"/>
          <w:iCs w:val="0"/>
          <w:szCs w:val="24"/>
        </w:rPr>
        <w:t>Dotychczasowe regulacje w sposób szczątkowy albo w ogóle odnosiły się zarówno do potrzeby sporządzania protokołu z efektów procedowania zarządu i rady nadzorczej spółki kapitałowej, treści przedmiotowego dokumentu, osoby mającego go sporządzać oraz potwierdzać rzetelność omawianego materiału.</w:t>
      </w:r>
    </w:p>
    <w:p w14:paraId="0069D88E" w14:textId="0DD9B364" w:rsidR="00AC4280" w:rsidRPr="00F30ED8" w:rsidRDefault="0082210D"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F30ED8">
        <w:rPr>
          <w:rStyle w:val="Uwydatnienie"/>
          <w:rFonts w:ascii="Times New Roman" w:eastAsia="Times New Roman" w:hAnsi="Times New Roman" w:cs="Times New Roman"/>
          <w:b w:val="0"/>
          <w:iCs w:val="0"/>
          <w:szCs w:val="24"/>
        </w:rPr>
        <w:t xml:space="preserve">W ramach sp. z o.o. fakt sporządzania protokołu z posiedzenia zarządu wynikał pośrednio z art. 209 KSH, zaś w odniesieniu do rady nadzorczej oczywisty był obowiązek jego tworzenia z uwagi na wyraźny art. 222 § 2 KSH. Innych aspektów nie podnoszono na poziomie ustawy. Najbardziej kompleksową normę wyprowadzać można z art. 376 KSH wskazującego, że z posiedzeń zarządu spółki akcyjnej należy sporządzać protokoły </w:t>
      </w:r>
      <w:r w:rsidR="00AC4280" w:rsidRPr="00F30ED8">
        <w:rPr>
          <w:rStyle w:val="Uwydatnienie"/>
          <w:rFonts w:ascii="Times New Roman" w:eastAsia="Times New Roman" w:hAnsi="Times New Roman" w:cs="Times New Roman"/>
          <w:b w:val="0"/>
          <w:iCs w:val="0"/>
          <w:szCs w:val="24"/>
        </w:rPr>
        <w:t xml:space="preserve">(potwierdza to także art. 377 KSH) </w:t>
      </w:r>
      <w:r w:rsidRPr="00F30ED8">
        <w:rPr>
          <w:rStyle w:val="Uwydatnienie"/>
          <w:rFonts w:ascii="Times New Roman" w:eastAsia="Times New Roman" w:hAnsi="Times New Roman" w:cs="Times New Roman"/>
          <w:b w:val="0"/>
          <w:iCs w:val="0"/>
          <w:szCs w:val="24"/>
        </w:rPr>
        <w:t xml:space="preserve">mające konkretną treść oraz podpisywane finalnie przez „obecnych” członków tego organu. </w:t>
      </w:r>
      <w:r w:rsidR="00AC4280" w:rsidRPr="00F30ED8">
        <w:rPr>
          <w:rStyle w:val="Uwydatnienie"/>
          <w:rFonts w:ascii="Times New Roman" w:eastAsia="Times New Roman" w:hAnsi="Times New Roman" w:cs="Times New Roman"/>
          <w:b w:val="0"/>
          <w:iCs w:val="0"/>
          <w:szCs w:val="24"/>
        </w:rPr>
        <w:t>Wątpliwości oraz praktyczne trudności dotyczące sporządzania i podpisywania protokołu z prac zarządu mogą wynikać z sytuacji, w której uchwały omawianego organy podejmowane są podczas posiedzeń z elementem uczestniczenia w nich za pośrednictwem środków bezpośredniego porozumiewania się na odległość czy też decyzje te pozostają efektem głosowań poza posiedzeniami. W odniesieniu do rady nadzorczej spółki akcyjnej, kwestia protokołów została dotychczas uregulowana przez odesłanie do właściwych przepisów mających zastosowanie wprost do protokołów zarządu (por. art. 391 § 2 KSH).</w:t>
      </w:r>
    </w:p>
    <w:p w14:paraId="7E0AC4A9" w14:textId="35AE3A61" w:rsidR="0082210D" w:rsidRPr="00F30ED8" w:rsidRDefault="00AC4280" w:rsidP="00EE7FF7">
      <w:pPr>
        <w:pStyle w:val="NOTATKILEGISLATORA"/>
        <w:widowControl/>
        <w:spacing w:after="200" w:line="360" w:lineRule="auto"/>
        <w:jc w:val="both"/>
        <w:rPr>
          <w:rStyle w:val="Uwydatnienie"/>
          <w:rFonts w:ascii="Times New Roman" w:eastAsia="Times New Roman" w:hAnsi="Times New Roman" w:cs="Times New Roman"/>
          <w:b w:val="0"/>
          <w:iCs w:val="0"/>
          <w:szCs w:val="24"/>
        </w:rPr>
      </w:pPr>
      <w:r w:rsidRPr="00F30ED8">
        <w:rPr>
          <w:rStyle w:val="Uwydatnienie"/>
          <w:rFonts w:ascii="Times New Roman" w:eastAsia="Times New Roman" w:hAnsi="Times New Roman" w:cs="Times New Roman"/>
          <w:b w:val="0"/>
          <w:iCs w:val="0"/>
          <w:szCs w:val="24"/>
        </w:rPr>
        <w:t>Proponowane przepisy zawarte w art. 208</w:t>
      </w:r>
      <w:r w:rsidRPr="00F30ED8">
        <w:rPr>
          <w:rStyle w:val="Uwydatnienie"/>
          <w:rFonts w:ascii="Times New Roman" w:eastAsia="Times New Roman" w:hAnsi="Times New Roman" w:cs="Times New Roman"/>
          <w:b w:val="0"/>
          <w:iCs w:val="0"/>
          <w:szCs w:val="24"/>
          <w:vertAlign w:val="superscript"/>
        </w:rPr>
        <w:t>1</w:t>
      </w:r>
      <w:r w:rsidRPr="00F30ED8">
        <w:rPr>
          <w:rStyle w:val="Uwydatnienie"/>
          <w:rFonts w:ascii="Times New Roman" w:eastAsia="Times New Roman" w:hAnsi="Times New Roman" w:cs="Times New Roman"/>
          <w:b w:val="0"/>
          <w:iCs w:val="0"/>
          <w:szCs w:val="24"/>
        </w:rPr>
        <w:t>, art. 222 § 2 (odesłanie), art. 300</w:t>
      </w:r>
      <w:r w:rsidRPr="00F30ED8">
        <w:rPr>
          <w:rStyle w:val="Uwydatnienie"/>
          <w:rFonts w:ascii="Times New Roman" w:eastAsia="Times New Roman" w:hAnsi="Times New Roman" w:cs="Times New Roman"/>
          <w:b w:val="0"/>
          <w:iCs w:val="0"/>
          <w:szCs w:val="24"/>
          <w:vertAlign w:val="superscript"/>
        </w:rPr>
        <w:t>58</w:t>
      </w:r>
      <w:r w:rsidRPr="00F30ED8">
        <w:rPr>
          <w:rStyle w:val="Uwydatnienie"/>
          <w:rFonts w:ascii="Times New Roman" w:eastAsia="Times New Roman" w:hAnsi="Times New Roman" w:cs="Times New Roman"/>
          <w:b w:val="0"/>
          <w:iCs w:val="0"/>
          <w:szCs w:val="24"/>
        </w:rPr>
        <w:t xml:space="preserve"> § 5, art. 376 </w:t>
      </w:r>
      <w:r w:rsidR="00245F5C" w:rsidRPr="00F30ED8">
        <w:rPr>
          <w:rStyle w:val="Uwydatnienie"/>
          <w:rFonts w:ascii="Times New Roman" w:eastAsia="Times New Roman" w:hAnsi="Times New Roman" w:cs="Times New Roman"/>
          <w:b w:val="0"/>
          <w:iCs w:val="0"/>
          <w:szCs w:val="24"/>
        </w:rPr>
        <w:t>projektowanego</w:t>
      </w:r>
      <w:r w:rsidRPr="00F30ED8">
        <w:rPr>
          <w:rStyle w:val="Uwydatnienie"/>
          <w:rFonts w:ascii="Times New Roman" w:eastAsia="Times New Roman" w:hAnsi="Times New Roman" w:cs="Times New Roman"/>
          <w:b w:val="0"/>
          <w:iCs w:val="0"/>
          <w:szCs w:val="24"/>
        </w:rPr>
        <w:t xml:space="preserve"> KSH (uwzględniając obowiązujący aktualnie art. 391 § 2 KSH), w sposób jednolity oraz kompleksowy regulują kwestię obowiązku protokołowania uchwał zarządów oraz rad nadzorczych (organów </w:t>
      </w:r>
      <w:r w:rsidR="00281FB2" w:rsidRPr="00F30ED8">
        <w:rPr>
          <w:rStyle w:val="Uwydatnienie"/>
          <w:rFonts w:ascii="Times New Roman" w:eastAsia="Times New Roman" w:hAnsi="Times New Roman" w:cs="Times New Roman"/>
          <w:b w:val="0"/>
          <w:iCs w:val="0"/>
          <w:szCs w:val="24"/>
        </w:rPr>
        <w:t>w odniesieniu do P.S.A.)</w:t>
      </w:r>
      <w:r w:rsidRPr="00F30ED8">
        <w:rPr>
          <w:rStyle w:val="Uwydatnienie"/>
          <w:rFonts w:ascii="Times New Roman" w:eastAsia="Times New Roman" w:hAnsi="Times New Roman" w:cs="Times New Roman"/>
          <w:b w:val="0"/>
          <w:iCs w:val="0"/>
          <w:szCs w:val="24"/>
        </w:rPr>
        <w:t xml:space="preserve"> spółek </w:t>
      </w:r>
      <w:r w:rsidR="00281FB2" w:rsidRPr="00F30ED8">
        <w:rPr>
          <w:rStyle w:val="Uwydatnienie"/>
          <w:rFonts w:ascii="Times New Roman" w:eastAsia="Times New Roman" w:hAnsi="Times New Roman" w:cs="Times New Roman"/>
          <w:b w:val="0"/>
          <w:iCs w:val="0"/>
          <w:szCs w:val="24"/>
        </w:rPr>
        <w:t xml:space="preserve">kapitałowych, a także treści wspomnianych dokumentów. W kontekście sygnalizowanego wyżej problemu praktycznego w przedstawionej propozycji przepisów przesądzono, że protokół podpisuje co najmniej członek właściwego organu prowadzący posiedzenie lub zarządzający głosowanie, chyba że odpowiednio umowa spółki bądź statut lub regulamin tego organu stanowią inaczej. Modelowe rozwiązanie zaproponowane wymienionymi przepisami pozwala więc na możliwie uproszczone dokumentowanie efektów prac </w:t>
      </w:r>
      <w:r w:rsidR="00281FB2" w:rsidRPr="00F30ED8">
        <w:rPr>
          <w:rStyle w:val="Uwydatnienie"/>
          <w:rFonts w:ascii="Times New Roman" w:eastAsia="Times New Roman" w:hAnsi="Times New Roman" w:cs="Times New Roman"/>
          <w:b w:val="0"/>
          <w:iCs w:val="0"/>
          <w:szCs w:val="24"/>
        </w:rPr>
        <w:lastRenderedPageBreak/>
        <w:t>wzmiankowanych organów wewnętrznych spółek, które nie tworzy zbędnych barier w przypadku ich procedowania z elementem środków bezpośredniego porozumiewania się na odległość.</w:t>
      </w:r>
    </w:p>
    <w:p w14:paraId="2E416430" w14:textId="6D248D5F" w:rsidR="00323FC0" w:rsidRPr="00EE7FF7" w:rsidRDefault="00B464E2" w:rsidP="00EE7FF7">
      <w:pPr>
        <w:pStyle w:val="NOTATKILEGISLATORA"/>
        <w:widowControl/>
        <w:spacing w:before="240" w:after="200" w:line="360" w:lineRule="auto"/>
        <w:jc w:val="both"/>
        <w:rPr>
          <w:rFonts w:ascii="Times New Roman" w:hAnsi="Times New Roman" w:cs="Times New Roman"/>
          <w:szCs w:val="24"/>
        </w:rPr>
      </w:pPr>
      <w:r w:rsidRPr="00F30ED8">
        <w:rPr>
          <w:rStyle w:val="Uwydatnienie"/>
          <w:rFonts w:ascii="Times New Roman" w:eastAsia="Times New Roman" w:hAnsi="Times New Roman" w:cs="Times New Roman"/>
          <w:b w:val="0"/>
          <w:i/>
          <w:szCs w:val="24"/>
        </w:rPr>
        <w:t>5.</w:t>
      </w:r>
      <w:r w:rsidR="006208E5" w:rsidRPr="00F30ED8">
        <w:rPr>
          <w:rStyle w:val="Uwydatnienie"/>
          <w:rFonts w:ascii="Times New Roman" w:eastAsia="Times New Roman" w:hAnsi="Times New Roman" w:cs="Times New Roman"/>
          <w:b w:val="0"/>
          <w:i/>
          <w:szCs w:val="24"/>
        </w:rPr>
        <w:t>11</w:t>
      </w:r>
      <w:r w:rsidR="00CB2430" w:rsidRPr="00F30ED8">
        <w:rPr>
          <w:rStyle w:val="Uwydatnienie"/>
          <w:rFonts w:ascii="Times New Roman" w:eastAsia="Times New Roman" w:hAnsi="Times New Roman" w:cs="Times New Roman"/>
          <w:b w:val="0"/>
          <w:i/>
          <w:szCs w:val="24"/>
        </w:rPr>
        <w:t xml:space="preserve">. </w:t>
      </w:r>
      <w:r w:rsidR="006814C6" w:rsidRPr="00F30ED8">
        <w:rPr>
          <w:rStyle w:val="Uwydatnienie"/>
          <w:rFonts w:ascii="Times New Roman" w:eastAsia="Times New Roman" w:hAnsi="Times New Roman" w:cs="Times New Roman"/>
          <w:b w:val="0"/>
          <w:i/>
          <w:szCs w:val="24"/>
        </w:rPr>
        <w:t>Kadencja a mandat</w:t>
      </w:r>
    </w:p>
    <w:p w14:paraId="1DAD48CD" w14:textId="112733E1"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Wygaśnięcie mandatu członka organu spółki kapitałowej stanowiło w ostatnim czasie przedmiot licznych wypowiedzi przedstawicieli doktryny i stało się przedmiotem orzeczeń sądowych. Wyjątkowo problematyczna okazała się kwestia ustalenia momentu wygaśnięcia mandatu w związku upływem kadencji. W tym zakresie w literaturze przedmiotu reprezentowane były dwa dominujące st</w:t>
      </w:r>
      <w:r w:rsidRPr="00931E42">
        <w:rPr>
          <w:rFonts w:ascii="Times New Roman" w:hAnsi="Times New Roman" w:cs="Times New Roman"/>
          <w:szCs w:val="24"/>
        </w:rPr>
        <w:t>anowiska. Zgodnie z pierwszym z nich</w:t>
      </w:r>
      <w:r w:rsidR="00F22CA0" w:rsidRPr="00931E42">
        <w:rPr>
          <w:rFonts w:ascii="Times New Roman" w:hAnsi="Times New Roman" w:cs="Times New Roman"/>
          <w:szCs w:val="24"/>
        </w:rPr>
        <w:t>,</w:t>
      </w:r>
      <w:r w:rsidRPr="00931E42">
        <w:rPr>
          <w:rFonts w:ascii="Times New Roman" w:hAnsi="Times New Roman" w:cs="Times New Roman"/>
          <w:szCs w:val="24"/>
        </w:rPr>
        <w:t xml:space="preserve"> kadencję należy obliczać według pełnych lat obrotowych. Zgodnie z drugim stanowiskiem</w:t>
      </w:r>
      <w:r w:rsidR="00F22CA0" w:rsidRPr="00931E42">
        <w:rPr>
          <w:rFonts w:ascii="Times New Roman" w:hAnsi="Times New Roman" w:cs="Times New Roman"/>
          <w:szCs w:val="24"/>
        </w:rPr>
        <w:t>,</w:t>
      </w:r>
      <w:r w:rsidRPr="00931E42">
        <w:rPr>
          <w:rFonts w:ascii="Times New Roman" w:hAnsi="Times New Roman" w:cs="Times New Roman"/>
          <w:szCs w:val="24"/>
        </w:rPr>
        <w:t xml:space="preserve"> okres kadencji jest liczony w latach od dnia powołania, przy czym ostatni rok urzędowania członka zarządu musi być pełnym rokiem ob</w:t>
      </w:r>
      <w:r w:rsidRPr="005D5147">
        <w:rPr>
          <w:rFonts w:ascii="Times New Roman" w:hAnsi="Times New Roman" w:cs="Times New Roman"/>
          <w:szCs w:val="24"/>
        </w:rPr>
        <w:t xml:space="preserve">rotowym (por. </w:t>
      </w:r>
      <w:r w:rsidR="00A37558" w:rsidRPr="00DA4799">
        <w:rPr>
          <w:rFonts w:ascii="Times New Roman" w:hAnsi="Times New Roman" w:cs="Times New Roman"/>
          <w:szCs w:val="24"/>
        </w:rPr>
        <w:t>na przykład</w:t>
      </w:r>
      <w:r w:rsidRPr="00DA4799">
        <w:rPr>
          <w:rFonts w:ascii="Times New Roman" w:hAnsi="Times New Roman" w:cs="Times New Roman"/>
          <w:szCs w:val="24"/>
        </w:rPr>
        <w:t xml:space="preserve"> P. Pinior, Wygaśnięcie mandatu członków organów spółki kapitałowej w świetle najnowszego orzecznictwa Sądu Najwyższego, PPH 2017 nr 7, s. 13, wraz z powołaną tam literaturą). Wątpliwości te zauważa również Sąd Najwyższy w uchwale </w:t>
      </w:r>
      <w:r w:rsidRPr="00123222">
        <w:rPr>
          <w:rFonts w:ascii="Times New Roman" w:hAnsi="Times New Roman" w:cs="Times New Roman"/>
          <w:szCs w:val="24"/>
        </w:rPr>
        <w:t>z dnia 24 listopada 2016 r. (III CZP 72/16, Biul. SN 2016/11/6), gdzie zaprezentowano stanowisko, zgodnie z którym ostatni pełny rok obrotowy</w:t>
      </w:r>
      <w:r w:rsidR="00F22CA0" w:rsidRPr="00EE7FF7">
        <w:rPr>
          <w:rFonts w:ascii="Times New Roman" w:hAnsi="Times New Roman" w:cs="Times New Roman"/>
          <w:szCs w:val="24"/>
        </w:rPr>
        <w:t>,</w:t>
      </w:r>
      <w:r w:rsidRPr="00EE7FF7">
        <w:rPr>
          <w:rFonts w:ascii="Times New Roman" w:hAnsi="Times New Roman" w:cs="Times New Roman"/>
          <w:szCs w:val="24"/>
        </w:rPr>
        <w:t xml:space="preserve"> w rozumieniu przepisu art. 369 § 4 </w:t>
      </w:r>
      <w:r w:rsidR="001C6010" w:rsidRPr="00EE7FF7">
        <w:rPr>
          <w:rFonts w:ascii="Times New Roman" w:hAnsi="Times New Roman" w:cs="Times New Roman"/>
          <w:szCs w:val="24"/>
        </w:rPr>
        <w:t>w związku</w:t>
      </w:r>
      <w:r w:rsidRPr="00EE7FF7">
        <w:rPr>
          <w:rFonts w:ascii="Times New Roman" w:hAnsi="Times New Roman" w:cs="Times New Roman"/>
          <w:szCs w:val="24"/>
        </w:rPr>
        <w:t xml:space="preserve"> z art. 386 § 2 KSH</w:t>
      </w:r>
      <w:r w:rsidR="00F22CA0" w:rsidRPr="00EE7FF7">
        <w:rPr>
          <w:rFonts w:ascii="Times New Roman" w:hAnsi="Times New Roman" w:cs="Times New Roman"/>
          <w:szCs w:val="24"/>
        </w:rPr>
        <w:t>,</w:t>
      </w:r>
      <w:r w:rsidRPr="00EE7FF7">
        <w:rPr>
          <w:rFonts w:ascii="Times New Roman" w:hAnsi="Times New Roman" w:cs="Times New Roman"/>
          <w:szCs w:val="24"/>
        </w:rPr>
        <w:t xml:space="preserve"> jest to ostatni rok obrotowy, który rozpoczął się w czasie trwania kadencji członka rady nadzorczej spółki akcyjnej. Podkreślić jednak należy, że problem ten jest nadal istotny w praktyce funkcjonowania spółek, dlatego konieczne jest rozstrzygnięcie tej kwestii w ustawie. Ponadto uregulowanie kwestii obliczania kadencji w przepisach o prostej spółce akcyjnej powoduje, że analogicznie systemowa zmiana powinna objąć też spółkę z ograniczoną odpowiedzialnością i spółkę akcyjną (por. P. Pinior, Ocena rządowego projektu ustawy o zmianie ustawy – Kodeks spółek handlowych oraz niektórych innych ustaw, Zeszyty Prawnicze BAS, 2019, Nr 3, s. 113).</w:t>
      </w:r>
    </w:p>
    <w:p w14:paraId="60C0AF6B" w14:textId="77777777" w:rsidR="00323FC0" w:rsidRPr="00EE7FF7" w:rsidRDefault="006814C6" w:rsidP="00EE7FF7">
      <w:pPr>
        <w:pStyle w:val="ARTartustawynprozporzdzenia"/>
        <w:spacing w:before="240"/>
        <w:ind w:firstLine="0"/>
        <w:rPr>
          <w:rFonts w:ascii="Times New Roman" w:hAnsi="Times New Roman" w:cs="Times New Roman"/>
          <w:szCs w:val="24"/>
        </w:rPr>
      </w:pPr>
      <w:r w:rsidRPr="00EE7FF7">
        <w:rPr>
          <w:rFonts w:ascii="Times New Roman" w:hAnsi="Times New Roman" w:cs="Times New Roman"/>
          <w:szCs w:val="24"/>
        </w:rPr>
        <w:t>Dzięki wprowadzonej regulacji nie będzie ulegało wątpliwości, że mandat członka zarządu powołanego dnia 1 czerwca 2021 r., na dwuletnią kadencję, w spółce</w:t>
      </w:r>
      <w:r w:rsidR="00F22CA0" w:rsidRPr="00EE7FF7">
        <w:rPr>
          <w:rFonts w:ascii="Times New Roman" w:hAnsi="Times New Roman" w:cs="Times New Roman"/>
          <w:szCs w:val="24"/>
        </w:rPr>
        <w:t>,</w:t>
      </w:r>
      <w:r w:rsidRPr="00EE7FF7">
        <w:rPr>
          <w:rFonts w:ascii="Times New Roman" w:hAnsi="Times New Roman" w:cs="Times New Roman"/>
          <w:szCs w:val="24"/>
        </w:rPr>
        <w:t xml:space="preserve"> której rok obrotowy jest tożsamy z rokiem kalendarzowym, wygaśnie z dniem odbycia zgromadzenia wspólników zatwierdzającego sprawozdanie finansowe za rok obrotowy 2023.</w:t>
      </w:r>
    </w:p>
    <w:p w14:paraId="0C1845F8" w14:textId="2E507424" w:rsidR="00323FC0" w:rsidRPr="00EE7FF7" w:rsidRDefault="006814C6" w:rsidP="00EE7FF7">
      <w:pPr>
        <w:pStyle w:val="ARTartustawynprozporzdzenia"/>
        <w:spacing w:before="240"/>
        <w:ind w:firstLine="0"/>
        <w:rPr>
          <w:rFonts w:ascii="Times New Roman" w:hAnsi="Times New Roman" w:cs="Times New Roman"/>
          <w:szCs w:val="24"/>
        </w:rPr>
      </w:pPr>
      <w:r w:rsidRPr="00EE7FF7">
        <w:rPr>
          <w:rFonts w:ascii="Times New Roman" w:hAnsi="Times New Roman" w:cs="Times New Roman"/>
          <w:szCs w:val="24"/>
        </w:rPr>
        <w:lastRenderedPageBreak/>
        <w:t xml:space="preserve">Aby uniknąć wątpliwości co do wpływu nowelizacji na mandaty istniejące w chwili wejścia w życie ustawy, przepis przejściowy (art. </w:t>
      </w:r>
      <w:r w:rsidR="00AB29B0" w:rsidRPr="00EE7FF7">
        <w:rPr>
          <w:rFonts w:ascii="Times New Roman" w:hAnsi="Times New Roman" w:cs="Times New Roman"/>
          <w:szCs w:val="24"/>
        </w:rPr>
        <w:t>11</w:t>
      </w:r>
      <w:r w:rsidRPr="00EE7FF7">
        <w:rPr>
          <w:rFonts w:ascii="Times New Roman" w:hAnsi="Times New Roman" w:cs="Times New Roman"/>
          <w:szCs w:val="24"/>
        </w:rPr>
        <w:t xml:space="preserve"> nowelizacji) przesądza o stosowaniu w tym wypadku znowelizowanych przepisów.</w:t>
      </w:r>
    </w:p>
    <w:p w14:paraId="46BCD7D8" w14:textId="5F846204" w:rsidR="00323FC0" w:rsidRPr="00EE7FF7" w:rsidRDefault="006814C6" w:rsidP="00EE7FF7">
      <w:pPr>
        <w:pStyle w:val="NOTATKILEGISLATORA"/>
        <w:widowControl/>
        <w:spacing w:before="240" w:after="200" w:line="360" w:lineRule="auto"/>
        <w:jc w:val="both"/>
        <w:rPr>
          <w:rFonts w:ascii="Times New Roman" w:hAnsi="Times New Roman" w:cs="Times New Roman"/>
          <w:szCs w:val="24"/>
        </w:rPr>
      </w:pPr>
      <w:r w:rsidRPr="00F30ED8">
        <w:rPr>
          <w:rStyle w:val="Uwydatnienie"/>
          <w:rFonts w:ascii="Times New Roman" w:eastAsia="Times New Roman" w:hAnsi="Times New Roman" w:cs="Times New Roman"/>
          <w:b w:val="0"/>
          <w:i/>
          <w:szCs w:val="24"/>
        </w:rPr>
        <w:t>5.</w:t>
      </w:r>
      <w:r w:rsidR="006208E5" w:rsidRPr="00F30ED8">
        <w:rPr>
          <w:rStyle w:val="Uwydatnienie"/>
          <w:rFonts w:ascii="Times New Roman" w:eastAsia="Times New Roman" w:hAnsi="Times New Roman" w:cs="Times New Roman"/>
          <w:b w:val="0"/>
          <w:i/>
          <w:szCs w:val="24"/>
        </w:rPr>
        <w:t>12</w:t>
      </w:r>
      <w:r w:rsidRPr="00F30ED8">
        <w:rPr>
          <w:rStyle w:val="Uwydatnienie"/>
          <w:rFonts w:ascii="Times New Roman" w:eastAsia="Times New Roman" w:hAnsi="Times New Roman" w:cs="Times New Roman"/>
          <w:b w:val="0"/>
          <w:szCs w:val="24"/>
        </w:rPr>
        <w:t xml:space="preserve">. </w:t>
      </w:r>
      <w:r w:rsidRPr="00F30ED8">
        <w:rPr>
          <w:rStyle w:val="Uwydatnienie"/>
          <w:rFonts w:ascii="Times New Roman" w:eastAsia="Times New Roman" w:hAnsi="Times New Roman" w:cs="Times New Roman"/>
          <w:b w:val="0"/>
          <w:i/>
          <w:szCs w:val="24"/>
        </w:rPr>
        <w:t>Obowiązek lojalności</w:t>
      </w:r>
    </w:p>
    <w:p w14:paraId="55B1424C" w14:textId="3776A0EE"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Występowanie obowiązku lojalności członków organów zarządzających i nadzorczych spółek kapitałowych nie jest już obecnie kwestionowane w doktrynie ani orzecznictwie. Istnienie tego obowiązku jest też przyjmowane w doktrynach innych państw europejskich, a także regulowane przez wskazanie konkretnych jego przejawów (Companies Act 2006, Section 171–177) czy w drodze klau</w:t>
      </w:r>
      <w:r w:rsidRPr="00931E42">
        <w:rPr>
          <w:rFonts w:ascii="Times New Roman" w:hAnsi="Times New Roman" w:cs="Times New Roman"/>
          <w:szCs w:val="24"/>
        </w:rPr>
        <w:t>zuli generalnej (przykładowo w prawie hiszpańskim, art. 227 Real Decreto Legislativo 1/2010, BOE-A-2010-10544, przy czym jednocześnie ustawodawca hiszpański doprecyzował ten obowiązek w przepisie art. 228 ustawy). Z aprobatą należy przyjąć wprowadzenie do przepisów o prostej spółce akcyjnej obowiązku lojalności oraz obowiązku zachowania poufności członków organów spółki po wygaśnięciu mandatu. Z punktu widzenia prawidłowej techniki legislacyjnej</w:t>
      </w:r>
      <w:r w:rsidR="00F22CA0" w:rsidRPr="00931E42">
        <w:rPr>
          <w:rFonts w:ascii="Times New Roman" w:hAnsi="Times New Roman" w:cs="Times New Roman"/>
          <w:szCs w:val="24"/>
        </w:rPr>
        <w:t>,</w:t>
      </w:r>
      <w:r w:rsidRPr="00931E42">
        <w:rPr>
          <w:rFonts w:ascii="Times New Roman" w:hAnsi="Times New Roman" w:cs="Times New Roman"/>
          <w:szCs w:val="24"/>
        </w:rPr>
        <w:t xml:space="preserve"> właściwym rozwiązaniem byłoby wprowadzenie tych regulacji także do przepisów o spółce z o.o. i spółce akcyjnej (por. P. Pinior, System monistyczny w prostej spółce europejskiej, PUG 2020, Nr 2, s. 2). Ma to znaczenie także dla praktyki funkcjonowania spółek oraz problematyki odpowiedzialności członków organów spółek kapitałowych. Wprowadzenie wspomnianych przepisów uzasadnia z kolei uchylenie przepisów art. 293 § 2 oraz </w:t>
      </w:r>
      <w:r w:rsidR="00657E01">
        <w:rPr>
          <w:rFonts w:ascii="Times New Roman" w:hAnsi="Times New Roman" w:cs="Times New Roman"/>
          <w:szCs w:val="24"/>
        </w:rPr>
        <w:t xml:space="preserve">art. </w:t>
      </w:r>
      <w:r w:rsidRPr="00931E42">
        <w:rPr>
          <w:rFonts w:ascii="Times New Roman" w:hAnsi="Times New Roman" w:cs="Times New Roman"/>
          <w:szCs w:val="24"/>
        </w:rPr>
        <w:t>483 § 2 KSH.</w:t>
      </w:r>
    </w:p>
    <w:p w14:paraId="0956B37F" w14:textId="7BC7B033" w:rsidR="002C593F" w:rsidRPr="00123222" w:rsidRDefault="00E419ED"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Nowe standardy w zakresie lojalności oraz </w:t>
      </w:r>
      <w:r w:rsidR="002C593F" w:rsidRPr="00931E42">
        <w:rPr>
          <w:rFonts w:ascii="Times New Roman" w:hAnsi="Times New Roman" w:cs="Times New Roman"/>
          <w:szCs w:val="24"/>
        </w:rPr>
        <w:t>Business Judgement Rule</w:t>
      </w:r>
      <w:r w:rsidRPr="00931E42">
        <w:rPr>
          <w:rFonts w:ascii="Times New Roman" w:hAnsi="Times New Roman" w:cs="Times New Roman"/>
          <w:szCs w:val="24"/>
        </w:rPr>
        <w:t xml:space="preserve"> stanowią również wzorzec oceny dla odpowiedzialności piastunów spółek kapitałowych w przypadku łączenia spółek</w:t>
      </w:r>
      <w:r w:rsidR="000838E8">
        <w:rPr>
          <w:rFonts w:ascii="Times New Roman" w:hAnsi="Times New Roman" w:cs="Times New Roman"/>
          <w:szCs w:val="24"/>
        </w:rPr>
        <w:t>,</w:t>
      </w:r>
      <w:r w:rsidRPr="00931E42">
        <w:rPr>
          <w:rFonts w:ascii="Times New Roman" w:hAnsi="Times New Roman" w:cs="Times New Roman"/>
          <w:szCs w:val="24"/>
        </w:rPr>
        <w:t xml:space="preserve"> co zostało odzwierciedlone w</w:t>
      </w:r>
      <w:r w:rsidR="00AB29B0" w:rsidRPr="005D5147">
        <w:rPr>
          <w:rFonts w:ascii="Times New Roman" w:hAnsi="Times New Roman" w:cs="Times New Roman"/>
          <w:szCs w:val="24"/>
        </w:rPr>
        <w:t xml:space="preserve"> art. 512 i</w:t>
      </w:r>
      <w:r w:rsidRPr="00DA4799">
        <w:rPr>
          <w:rFonts w:ascii="Times New Roman" w:hAnsi="Times New Roman" w:cs="Times New Roman"/>
          <w:szCs w:val="24"/>
        </w:rPr>
        <w:t xml:space="preserve"> </w:t>
      </w:r>
      <w:r w:rsidR="000838E8">
        <w:rPr>
          <w:rFonts w:ascii="Times New Roman" w:hAnsi="Times New Roman" w:cs="Times New Roman"/>
          <w:szCs w:val="24"/>
        </w:rPr>
        <w:t xml:space="preserve">art. </w:t>
      </w:r>
      <w:r w:rsidRPr="00DA4799">
        <w:rPr>
          <w:rFonts w:ascii="Times New Roman" w:hAnsi="Times New Roman" w:cs="Times New Roman"/>
          <w:szCs w:val="24"/>
        </w:rPr>
        <w:t>526 oraz podziału spółek – co wyraża art. 548 KSH.</w:t>
      </w:r>
    </w:p>
    <w:p w14:paraId="731163B8" w14:textId="74B12498" w:rsidR="00323FC0" w:rsidRPr="00EE7FF7" w:rsidRDefault="006814C6" w:rsidP="00EE7FF7">
      <w:pPr>
        <w:pStyle w:val="NOTATKILEGISLATORA"/>
        <w:widowControl/>
        <w:spacing w:before="240" w:after="200" w:line="360" w:lineRule="auto"/>
        <w:jc w:val="both"/>
        <w:rPr>
          <w:rFonts w:ascii="Times New Roman" w:hAnsi="Times New Roman" w:cs="Times New Roman"/>
          <w:szCs w:val="24"/>
        </w:rPr>
      </w:pPr>
      <w:r w:rsidRPr="00F30ED8">
        <w:rPr>
          <w:rStyle w:val="Uwydatnienie"/>
          <w:rFonts w:ascii="Times New Roman" w:eastAsia="Times New Roman" w:hAnsi="Times New Roman" w:cs="Times New Roman"/>
          <w:b w:val="0"/>
          <w:szCs w:val="24"/>
        </w:rPr>
        <w:t>5.</w:t>
      </w:r>
      <w:r w:rsidR="00CB2430" w:rsidRPr="00F30ED8">
        <w:rPr>
          <w:rStyle w:val="Uwydatnienie"/>
          <w:rFonts w:ascii="Times New Roman" w:eastAsia="Times New Roman" w:hAnsi="Times New Roman" w:cs="Times New Roman"/>
          <w:b w:val="0"/>
          <w:szCs w:val="24"/>
        </w:rPr>
        <w:t>1</w:t>
      </w:r>
      <w:r w:rsidR="006208E5" w:rsidRPr="00F30ED8">
        <w:rPr>
          <w:rStyle w:val="Uwydatnienie"/>
          <w:rFonts w:ascii="Times New Roman" w:eastAsia="Times New Roman" w:hAnsi="Times New Roman" w:cs="Times New Roman"/>
          <w:b w:val="0"/>
          <w:szCs w:val="24"/>
        </w:rPr>
        <w:t>3</w:t>
      </w:r>
      <w:r w:rsidRPr="00F30ED8">
        <w:rPr>
          <w:rStyle w:val="Uwydatnienie"/>
          <w:rFonts w:ascii="Times New Roman" w:eastAsia="Times New Roman" w:hAnsi="Times New Roman" w:cs="Times New Roman"/>
          <w:b w:val="0"/>
          <w:szCs w:val="24"/>
        </w:rPr>
        <w:t xml:space="preserve">. </w:t>
      </w:r>
      <w:r w:rsidRPr="00F30ED8">
        <w:rPr>
          <w:rStyle w:val="Uwydatnienie"/>
          <w:rFonts w:ascii="Times New Roman" w:eastAsia="Times New Roman" w:hAnsi="Times New Roman" w:cs="Times New Roman"/>
          <w:b w:val="0"/>
          <w:i/>
          <w:szCs w:val="24"/>
        </w:rPr>
        <w:t>Business Judgement Rule</w:t>
      </w:r>
      <w:r w:rsidRPr="00F30ED8">
        <w:rPr>
          <w:rStyle w:val="Uwydatnienie"/>
          <w:rFonts w:ascii="Times New Roman" w:eastAsia="Times New Roman" w:hAnsi="Times New Roman" w:cs="Times New Roman"/>
          <w:b w:val="0"/>
          <w:szCs w:val="24"/>
        </w:rPr>
        <w:t xml:space="preserve"> </w:t>
      </w:r>
      <w:r w:rsidRPr="00F30ED8">
        <w:rPr>
          <w:rStyle w:val="Uwydatnienie"/>
          <w:rFonts w:ascii="Times New Roman" w:eastAsia="Times New Roman" w:hAnsi="Times New Roman" w:cs="Times New Roman"/>
          <w:b w:val="0"/>
          <w:i/>
          <w:szCs w:val="24"/>
        </w:rPr>
        <w:t>(zasada biznesowej oceny sytuacji)</w:t>
      </w:r>
    </w:p>
    <w:p w14:paraId="7D2B761D" w14:textId="77777777" w:rsidR="00323FC0" w:rsidRPr="00931E42"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Wprowadzenie zasady biznesowej oceny sytuacji pozwoli definitywnie przesądzić o wyłączeniu odpowiedzialności za szkodę wyrządzoną spółce wskutek decyzji organów, które okażą się błędne, o ile były one podejmowane w granicach uzasadnionego ryzyka biznesowego w oparciu o adekwatne do okoliczności informacje.</w:t>
      </w:r>
    </w:p>
    <w:p w14:paraId="075F2283" w14:textId="77777777"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Proponowana zmiana stanowi normatywne dostrzeżenie tego, że ryzyko jest jednym z nieodzownych elementów prowadzenia działalności gospodarczej. Dzięki podejmowaniu </w:t>
      </w:r>
      <w:r w:rsidRPr="00931E42">
        <w:rPr>
          <w:rFonts w:ascii="Times New Roman" w:hAnsi="Times New Roman" w:cs="Times New Roman"/>
          <w:szCs w:val="24"/>
        </w:rPr>
        <w:lastRenderedPageBreak/>
        <w:t>uzasadnionego ryzyka spółki mogą osiągać zyski, wprowadzać innowacje czy podejmować działalność w nowych obszarach. Jest to korzystne zarówno dla wspólników i akcjonariuszy, jak i dla społeczeństwa i państwa.</w:t>
      </w:r>
    </w:p>
    <w:p w14:paraId="67BBA553" w14:textId="64878DFC" w:rsidR="00323FC0"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Wprowadzenie </w:t>
      </w:r>
      <w:r w:rsidRPr="00931E42">
        <w:rPr>
          <w:rFonts w:ascii="Times New Roman" w:hAnsi="Times New Roman" w:cs="Times New Roman"/>
          <w:i/>
          <w:szCs w:val="24"/>
        </w:rPr>
        <w:t>Business Judgement Rule</w:t>
      </w:r>
      <w:r w:rsidRPr="00931E42">
        <w:rPr>
          <w:rFonts w:ascii="Times New Roman" w:hAnsi="Times New Roman" w:cs="Times New Roman"/>
          <w:szCs w:val="24"/>
        </w:rPr>
        <w:t xml:space="preserve"> pozwoli uwypuklić, że działania członków organów powinny być oceniane nie retrospektywnie, przez pryzmat rezultatów, ale z perspektywy prawidłowości trybu podejmowania decyzji, w odniesieniu do momentu podejmowania decyzji i okoliczności temu towarzyszących.</w:t>
      </w:r>
    </w:p>
    <w:p w14:paraId="24C241A9" w14:textId="77777777" w:rsidR="00323FC0" w:rsidRPr="00EE7FF7" w:rsidRDefault="006814C6" w:rsidP="00EE7FF7">
      <w:pPr>
        <w:pStyle w:val="ARTartustawynprozporzdzenia"/>
        <w:ind w:firstLine="0"/>
        <w:rPr>
          <w:rFonts w:ascii="Times New Roman" w:hAnsi="Times New Roman" w:cs="Times New Roman"/>
          <w:szCs w:val="24"/>
        </w:rPr>
      </w:pPr>
      <w:r w:rsidRPr="005D5147">
        <w:rPr>
          <w:rFonts w:ascii="Times New Roman" w:hAnsi="Times New Roman" w:cs="Times New Roman"/>
          <w:szCs w:val="24"/>
        </w:rPr>
        <w:t xml:space="preserve">Dzięki nowelizacji członkowie organu, którzy starannie i lojalnie wykonywali swoje obowiązki i którzy </w:t>
      </w:r>
      <w:r w:rsidRPr="00DA4799">
        <w:rPr>
          <w:rFonts w:ascii="Times New Roman" w:hAnsi="Times New Roman" w:cs="Times New Roman"/>
          <w:szCs w:val="24"/>
        </w:rPr>
        <w:t xml:space="preserve">zdecydowali się na podjęcie przez spółkę ryzyka, zyskają ochronę na wypadek, gdyby </w:t>
      </w:r>
      <w:r w:rsidRPr="00123222">
        <w:rPr>
          <w:rFonts w:ascii="Times New Roman" w:hAnsi="Times New Roman" w:cs="Times New Roman"/>
          <w:i/>
          <w:iCs/>
          <w:szCs w:val="24"/>
        </w:rPr>
        <w:t>ex post</w:t>
      </w:r>
      <w:r w:rsidRPr="00EE7FF7">
        <w:rPr>
          <w:rFonts w:ascii="Times New Roman" w:hAnsi="Times New Roman" w:cs="Times New Roman"/>
          <w:szCs w:val="24"/>
        </w:rPr>
        <w:t xml:space="preserve"> okazało się, że decyzja była nietrafna i doprowadziła do wyrządzenia spółce szkody. Jednocześnie w dalszym ciągu możliwe będzie sankcjonowanie działań lekkomyślnych.</w:t>
      </w:r>
    </w:p>
    <w:p w14:paraId="4B5DC86F" w14:textId="3F5EDC3B"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Wprowadzenie proponowanych zmian stanowi również krok w stronę harmonizacji rozwiązań obowiązujących w spółce z o.o. i spółce akcyjnej z tymi, które zostały wprowadzone w prostej spółce akcyjnej, a brak jest w tym zakresie argumentów za zróżnicowaniem regulacji.</w:t>
      </w:r>
    </w:p>
    <w:p w14:paraId="67DF3492" w14:textId="17479D0E"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Podobne rozwiązania znaleźć można w kodeksach lub ustawach wielu państw, w tym w</w:t>
      </w:r>
      <w:r w:rsidR="00613BDC">
        <w:rPr>
          <w:rFonts w:ascii="Times New Roman" w:hAnsi="Times New Roman" w:cs="Times New Roman"/>
          <w:szCs w:val="24"/>
        </w:rPr>
        <w:t>:</w:t>
      </w:r>
      <w:r w:rsidRPr="00EE7FF7">
        <w:rPr>
          <w:rFonts w:ascii="Times New Roman" w:hAnsi="Times New Roman" w:cs="Times New Roman"/>
          <w:szCs w:val="24"/>
        </w:rPr>
        <w:t xml:space="preserve"> Austrii, Chorwacji, Czechach, Hiszpanii, Niemczech, Portugalii, Słowacji czy Rumunii. Jest ona również zawarta w Europejskim modelu</w:t>
      </w:r>
      <w:r w:rsidR="00613BDC">
        <w:rPr>
          <w:rFonts w:ascii="Times New Roman" w:hAnsi="Times New Roman" w:cs="Times New Roman"/>
          <w:szCs w:val="24"/>
        </w:rPr>
        <w:t xml:space="preserve"> </w:t>
      </w:r>
      <w:r w:rsidRPr="00EE7FF7">
        <w:rPr>
          <w:rFonts w:ascii="Times New Roman" w:hAnsi="Times New Roman" w:cs="Times New Roman"/>
          <w:szCs w:val="24"/>
        </w:rPr>
        <w:t>kodeksu spółek handlowych.</w:t>
      </w:r>
    </w:p>
    <w:p w14:paraId="454D89E8" w14:textId="2C52F604" w:rsidR="00323FC0" w:rsidRPr="00EE7FF7" w:rsidRDefault="006814C6" w:rsidP="00EE7FF7">
      <w:pPr>
        <w:pStyle w:val="NOTATKILEGISLATORA"/>
        <w:widowControl/>
        <w:spacing w:before="240" w:after="200" w:line="360" w:lineRule="auto"/>
        <w:jc w:val="both"/>
        <w:rPr>
          <w:rFonts w:ascii="Times New Roman" w:hAnsi="Times New Roman" w:cs="Times New Roman"/>
          <w:szCs w:val="24"/>
        </w:rPr>
      </w:pPr>
      <w:r w:rsidRPr="00F30ED8">
        <w:rPr>
          <w:rStyle w:val="Uwydatnienie"/>
          <w:rFonts w:ascii="Times New Roman" w:eastAsia="Times New Roman" w:hAnsi="Times New Roman" w:cs="Times New Roman"/>
          <w:b w:val="0"/>
          <w:i/>
          <w:szCs w:val="24"/>
        </w:rPr>
        <w:t>5.</w:t>
      </w:r>
      <w:r w:rsidR="00CB2430" w:rsidRPr="00F30ED8">
        <w:rPr>
          <w:rStyle w:val="Uwydatnienie"/>
          <w:rFonts w:ascii="Times New Roman" w:eastAsia="Times New Roman" w:hAnsi="Times New Roman" w:cs="Times New Roman"/>
          <w:b w:val="0"/>
          <w:i/>
          <w:szCs w:val="24"/>
        </w:rPr>
        <w:t>1</w:t>
      </w:r>
      <w:r w:rsidR="006208E5" w:rsidRPr="00F30ED8">
        <w:rPr>
          <w:rStyle w:val="Uwydatnienie"/>
          <w:rFonts w:ascii="Times New Roman" w:eastAsia="Times New Roman" w:hAnsi="Times New Roman" w:cs="Times New Roman"/>
          <w:b w:val="0"/>
          <w:i/>
          <w:szCs w:val="24"/>
        </w:rPr>
        <w:t>4</w:t>
      </w:r>
      <w:r w:rsidRPr="00F30ED8">
        <w:rPr>
          <w:rStyle w:val="Uwydatnienie"/>
          <w:rFonts w:ascii="Times New Roman" w:eastAsia="Times New Roman" w:hAnsi="Times New Roman" w:cs="Times New Roman"/>
          <w:b w:val="0"/>
          <w:szCs w:val="24"/>
        </w:rPr>
        <w:t>. Rozs</w:t>
      </w:r>
      <w:r w:rsidRPr="00F30ED8">
        <w:rPr>
          <w:rStyle w:val="Uwydatnienie"/>
          <w:rFonts w:ascii="Times New Roman" w:eastAsia="Times New Roman" w:hAnsi="Times New Roman" w:cs="Times New Roman"/>
          <w:b w:val="0"/>
          <w:i/>
          <w:szCs w:val="24"/>
        </w:rPr>
        <w:t xml:space="preserve">zerzenie zakresu art. 203 § 3 oraz </w:t>
      </w:r>
      <w:r w:rsidR="00613BDC">
        <w:rPr>
          <w:rStyle w:val="Uwydatnienie"/>
          <w:rFonts w:ascii="Times New Roman" w:eastAsia="Times New Roman" w:hAnsi="Times New Roman" w:cs="Times New Roman"/>
          <w:b w:val="0"/>
          <w:i/>
          <w:szCs w:val="24"/>
        </w:rPr>
        <w:t xml:space="preserve">art. </w:t>
      </w:r>
      <w:r w:rsidRPr="00F30ED8">
        <w:rPr>
          <w:rStyle w:val="Uwydatnienie"/>
          <w:rFonts w:ascii="Times New Roman" w:eastAsia="Times New Roman" w:hAnsi="Times New Roman" w:cs="Times New Roman"/>
          <w:b w:val="0"/>
          <w:i/>
          <w:szCs w:val="24"/>
        </w:rPr>
        <w:t>370 § 3 KSH o inne przypadki wygaśnięcia mandatu</w:t>
      </w:r>
    </w:p>
    <w:p w14:paraId="4AB05CD3" w14:textId="18A82E84" w:rsidR="00323FC0" w:rsidRPr="005D514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Proponowana zmiana daje możliwość udziału osób pełniących funkcję w trakcie roku obrotowego, za który sporządza się sprawozdanie finansowe i sprawozdanie z działalności</w:t>
      </w:r>
      <w:r w:rsidRPr="00931E42">
        <w:rPr>
          <w:rFonts w:ascii="Times New Roman" w:hAnsi="Times New Roman" w:cs="Times New Roman"/>
          <w:szCs w:val="24"/>
        </w:rPr>
        <w:t xml:space="preserve">, a których mandat w tym czasie wygasł, w przygotowywaniu wspomnianych sprawozdań, przez składanie wyjaśnień. Jednocześnie przepis ten umożliwia zobowiązanie tych osób do złożenia wyjaśnień. Poprzednie brzmienie przepisu odnosiło się wyłącznie do przypadku odwołania przed upływem kadencji, choć do wygaśnięcia mandatu może też dojść wskutek </w:t>
      </w:r>
      <w:r w:rsidR="00A37558" w:rsidRPr="00931E42">
        <w:rPr>
          <w:rFonts w:ascii="Times New Roman" w:hAnsi="Times New Roman" w:cs="Times New Roman"/>
          <w:szCs w:val="24"/>
        </w:rPr>
        <w:t>na przykład</w:t>
      </w:r>
      <w:r w:rsidRPr="00931E42">
        <w:rPr>
          <w:rFonts w:ascii="Times New Roman" w:hAnsi="Times New Roman" w:cs="Times New Roman"/>
          <w:szCs w:val="24"/>
        </w:rPr>
        <w:t xml:space="preserve"> rezygnacji. Ponadto poprzednie brzmienie przepisu nie współgrało z regulacjami art. 231 § 3 oraz </w:t>
      </w:r>
      <w:r w:rsidR="00F44E01" w:rsidRPr="00931E42">
        <w:rPr>
          <w:rFonts w:ascii="Times New Roman" w:hAnsi="Times New Roman" w:cs="Times New Roman"/>
          <w:szCs w:val="24"/>
        </w:rPr>
        <w:t xml:space="preserve">art. </w:t>
      </w:r>
      <w:r w:rsidRPr="00931E42">
        <w:rPr>
          <w:rFonts w:ascii="Times New Roman" w:hAnsi="Times New Roman" w:cs="Times New Roman"/>
          <w:szCs w:val="24"/>
        </w:rPr>
        <w:t>395 § 3 KSH, które umożliwiają wszystkim osobom, któ</w:t>
      </w:r>
      <w:r w:rsidRPr="005D5147">
        <w:rPr>
          <w:rFonts w:ascii="Times New Roman" w:hAnsi="Times New Roman" w:cs="Times New Roman"/>
          <w:szCs w:val="24"/>
        </w:rPr>
        <w:t xml:space="preserve">re sprawowały funkcje w trakcie poprzedniego roku </w:t>
      </w:r>
      <w:r w:rsidRPr="005D5147">
        <w:rPr>
          <w:rFonts w:ascii="Times New Roman" w:hAnsi="Times New Roman" w:cs="Times New Roman"/>
          <w:szCs w:val="24"/>
        </w:rPr>
        <w:lastRenderedPageBreak/>
        <w:t>obrotowego, a którym mandat wygasł, udział w zgromadzeniu, przeglądanie sprawozdań i przedkładanie do nich opinii.</w:t>
      </w:r>
    </w:p>
    <w:p w14:paraId="2A921240" w14:textId="0527FFD6" w:rsidR="00323FC0" w:rsidRPr="00EE7FF7" w:rsidRDefault="006814C6" w:rsidP="00EE7FF7">
      <w:pPr>
        <w:pStyle w:val="NOTATKILEGISLATORA"/>
        <w:widowControl/>
        <w:spacing w:before="240" w:after="200" w:line="360" w:lineRule="auto"/>
        <w:jc w:val="both"/>
        <w:rPr>
          <w:rFonts w:ascii="Times New Roman" w:hAnsi="Times New Roman" w:cs="Times New Roman"/>
          <w:szCs w:val="24"/>
        </w:rPr>
      </w:pPr>
      <w:r w:rsidRPr="00DA4799">
        <w:rPr>
          <w:rStyle w:val="Uwydatnienie"/>
          <w:rFonts w:ascii="Times New Roman" w:eastAsia="Times New Roman" w:hAnsi="Times New Roman" w:cs="Times New Roman"/>
          <w:b w:val="0"/>
          <w:i/>
          <w:szCs w:val="24"/>
        </w:rPr>
        <w:t>5.</w:t>
      </w:r>
      <w:r w:rsidR="006A2A89" w:rsidRPr="00DA4799">
        <w:rPr>
          <w:rStyle w:val="Uwydatnienie"/>
          <w:rFonts w:ascii="Times New Roman" w:eastAsia="Times New Roman" w:hAnsi="Times New Roman" w:cs="Times New Roman"/>
          <w:b w:val="0"/>
          <w:i/>
          <w:szCs w:val="24"/>
        </w:rPr>
        <w:t>1</w:t>
      </w:r>
      <w:r w:rsidR="006208E5" w:rsidRPr="00DA4799">
        <w:rPr>
          <w:rStyle w:val="Uwydatnienie"/>
          <w:rFonts w:ascii="Times New Roman" w:eastAsia="Times New Roman" w:hAnsi="Times New Roman" w:cs="Times New Roman"/>
          <w:b w:val="0"/>
          <w:i/>
          <w:szCs w:val="24"/>
        </w:rPr>
        <w:t>5</w:t>
      </w:r>
      <w:r w:rsidRPr="00DA4799">
        <w:rPr>
          <w:rStyle w:val="Uwydatnienie"/>
          <w:rFonts w:ascii="Times New Roman" w:eastAsia="Times New Roman" w:hAnsi="Times New Roman" w:cs="Times New Roman"/>
          <w:b w:val="0"/>
          <w:i/>
          <w:szCs w:val="24"/>
        </w:rPr>
        <w:t>.</w:t>
      </w:r>
      <w:r w:rsidRPr="00123222">
        <w:rPr>
          <w:rStyle w:val="Uwydatnienie"/>
          <w:rFonts w:ascii="Times New Roman" w:eastAsia="Times New Roman" w:hAnsi="Times New Roman" w:cs="Times New Roman"/>
          <w:b w:val="0"/>
          <w:szCs w:val="24"/>
        </w:rPr>
        <w:t xml:space="preserve"> </w:t>
      </w:r>
      <w:r w:rsidRPr="00F30ED8">
        <w:rPr>
          <w:rStyle w:val="Uwydatnienie"/>
          <w:rFonts w:ascii="Times New Roman" w:eastAsia="Times New Roman" w:hAnsi="Times New Roman" w:cs="Times New Roman"/>
          <w:b w:val="0"/>
          <w:i/>
          <w:szCs w:val="24"/>
        </w:rPr>
        <w:t>Podejmowanie uchwał i odbywanie posiedzeń za pomocą środków komunikacji elektronicznej w organach zarządczych i nadzorczych</w:t>
      </w:r>
    </w:p>
    <w:p w14:paraId="40D2E8E2" w14:textId="18C0B3EB" w:rsidR="00323FC0" w:rsidRPr="00EE7FF7" w:rsidRDefault="006814C6" w:rsidP="00EE7FF7">
      <w:pPr>
        <w:pStyle w:val="ARTartustawynprozporzdzenia"/>
        <w:ind w:firstLine="0"/>
        <w:rPr>
          <w:rFonts w:ascii="Times New Roman" w:hAnsi="Times New Roman" w:cs="Times New Roman"/>
          <w:szCs w:val="24"/>
        </w:rPr>
      </w:pPr>
      <w:r w:rsidRPr="00F30ED8">
        <w:rPr>
          <w:rFonts w:ascii="Times New Roman" w:hAnsi="Times New Roman" w:cs="Times New Roman"/>
          <w:szCs w:val="24"/>
        </w:rPr>
        <w:t xml:space="preserve">Wobec brzmienia przepisu art. 222 § 2 KSH, zgodnie z którym z przebiegu posiedzenia rady nadzorczej sporządza się protokół, </w:t>
      </w:r>
      <w:r w:rsidRPr="00B002FA">
        <w:rPr>
          <w:rFonts w:ascii="Times New Roman" w:hAnsi="Times New Roman" w:cs="Times New Roman"/>
          <w:szCs w:val="24"/>
        </w:rPr>
        <w:t>konieczne jest dodanie do art. 222 § 4</w:t>
      </w:r>
      <w:r w:rsidR="004F6D86">
        <w:rPr>
          <w:rFonts w:ascii="Times New Roman" w:hAnsi="Times New Roman" w:cs="Times New Roman"/>
          <w:szCs w:val="24"/>
          <w:vertAlign w:val="superscript"/>
        </w:rPr>
        <w:t>2</w:t>
      </w:r>
      <w:r w:rsidRPr="00B002FA">
        <w:rPr>
          <w:rFonts w:ascii="Times New Roman" w:hAnsi="Times New Roman" w:cs="Times New Roman"/>
          <w:szCs w:val="24"/>
        </w:rPr>
        <w:t xml:space="preserve"> </w:t>
      </w:r>
      <w:r w:rsidR="001C6010" w:rsidRPr="00B002FA">
        <w:rPr>
          <w:rFonts w:ascii="Times New Roman" w:hAnsi="Times New Roman" w:cs="Times New Roman"/>
          <w:szCs w:val="24"/>
        </w:rPr>
        <w:t>zdanie</w:t>
      </w:r>
      <w:r w:rsidRPr="00B002FA">
        <w:rPr>
          <w:rFonts w:ascii="Times New Roman" w:hAnsi="Times New Roman" w:cs="Times New Roman"/>
          <w:szCs w:val="24"/>
        </w:rPr>
        <w:t xml:space="preserve"> 2, </w:t>
      </w:r>
      <w:r w:rsidRPr="00931E42">
        <w:rPr>
          <w:rFonts w:ascii="Times New Roman" w:hAnsi="Times New Roman" w:cs="Times New Roman"/>
          <w:szCs w:val="24"/>
        </w:rPr>
        <w:t>rozciągającego obowiązek protokołowania nie tylko tych uchwał, które zapadają na posiedzeniu organu</w:t>
      </w:r>
      <w:r w:rsidR="00261CCC" w:rsidRPr="00931E42">
        <w:rPr>
          <w:rFonts w:ascii="Times New Roman" w:hAnsi="Times New Roman" w:cs="Times New Roman"/>
          <w:szCs w:val="24"/>
        </w:rPr>
        <w:t>,</w:t>
      </w:r>
      <w:r w:rsidRPr="00931E42">
        <w:rPr>
          <w:rFonts w:ascii="Times New Roman" w:hAnsi="Times New Roman" w:cs="Times New Roman"/>
          <w:szCs w:val="24"/>
        </w:rPr>
        <w:t xml:space="preserve"> ale również podejmowanych za pomocą środków bezpośredniego porozumiewania się na odległość. Z kolei dodanie art. 222 § 4</w:t>
      </w:r>
      <w:r w:rsidRPr="00931E42">
        <w:rPr>
          <w:rStyle w:val="IGindeksgrny"/>
          <w:rFonts w:ascii="Times New Roman" w:hAnsi="Times New Roman" w:cs="Times New Roman"/>
          <w:szCs w:val="24"/>
        </w:rPr>
        <w:t>2</w:t>
      </w:r>
      <w:r w:rsidRPr="00931E42">
        <w:rPr>
          <w:rFonts w:ascii="Times New Roman" w:hAnsi="Times New Roman" w:cs="Times New Roman"/>
          <w:szCs w:val="24"/>
        </w:rPr>
        <w:t xml:space="preserve"> KSH jest konieczne, gdyż jest to jedyny przypadek, kiedy w </w:t>
      </w:r>
      <w:r w:rsidR="00F44E01" w:rsidRPr="005D5147">
        <w:rPr>
          <w:rFonts w:ascii="Times New Roman" w:hAnsi="Times New Roman" w:cs="Times New Roman"/>
          <w:szCs w:val="24"/>
        </w:rPr>
        <w:t>K</w:t>
      </w:r>
      <w:r w:rsidRPr="00DA4799">
        <w:rPr>
          <w:rFonts w:ascii="Times New Roman" w:hAnsi="Times New Roman" w:cs="Times New Roman"/>
          <w:szCs w:val="24"/>
        </w:rPr>
        <w:t xml:space="preserve">odeksie spółek handlowych nie określono większości głosów dla podejmowania uchwał organu spółki kapitałowej, co stanowi </w:t>
      </w:r>
      <w:r w:rsidRPr="00123222">
        <w:rPr>
          <w:rFonts w:ascii="Times New Roman" w:hAnsi="Times New Roman" w:cs="Times New Roman"/>
          <w:i/>
          <w:szCs w:val="24"/>
        </w:rPr>
        <w:t>de facto</w:t>
      </w:r>
      <w:r w:rsidRPr="00EE7FF7">
        <w:rPr>
          <w:rFonts w:ascii="Times New Roman" w:hAnsi="Times New Roman" w:cs="Times New Roman"/>
          <w:szCs w:val="24"/>
        </w:rPr>
        <w:t xml:space="preserve"> przeoczenie ustawodawcy. Umożliwi to uniknięcie problemów praktycznych, w przypadku braku wprowadzenia odpowiedniego postanowienia w umowie spółki z o.o.</w:t>
      </w:r>
    </w:p>
    <w:p w14:paraId="1B2E2981" w14:textId="77777777" w:rsidR="00323FC0" w:rsidRPr="00931E42" w:rsidRDefault="006814C6" w:rsidP="00EE7FF7">
      <w:pPr>
        <w:pStyle w:val="NOTATKILEGISLATORA"/>
        <w:widowControl/>
        <w:spacing w:before="240" w:line="360" w:lineRule="auto"/>
        <w:jc w:val="both"/>
        <w:rPr>
          <w:rFonts w:ascii="Times New Roman" w:hAnsi="Times New Roman" w:cs="Times New Roman"/>
          <w:szCs w:val="24"/>
        </w:rPr>
      </w:pPr>
      <w:r w:rsidRPr="00931E42">
        <w:rPr>
          <w:rFonts w:ascii="Times New Roman" w:hAnsi="Times New Roman" w:cs="Times New Roman"/>
          <w:szCs w:val="24"/>
        </w:rPr>
        <w:t>6. Przewidywane skutki społeczne, gospodarcze, finansowe i prawne</w:t>
      </w:r>
    </w:p>
    <w:p w14:paraId="54FAF9ED" w14:textId="75344A02" w:rsidR="00C2233D" w:rsidRPr="00931E42"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6.1. </w:t>
      </w:r>
      <w:r w:rsidR="00C2233D" w:rsidRPr="00931E42">
        <w:rPr>
          <w:rFonts w:ascii="Times New Roman" w:hAnsi="Times New Roman" w:cs="Times New Roman"/>
          <w:szCs w:val="24"/>
        </w:rPr>
        <w:t xml:space="preserve">Wprowadzenie prawa grup spółek umożliwi </w:t>
      </w:r>
      <w:r w:rsidR="00A74B0F" w:rsidRPr="00931E42">
        <w:rPr>
          <w:rFonts w:ascii="Times New Roman" w:hAnsi="Times New Roman" w:cs="Times New Roman"/>
          <w:szCs w:val="24"/>
        </w:rPr>
        <w:t>usprawnienie funkcjonowania tych przedsiębiorców, którzy działają z wykorzystaniem złożonych struktur korporacyjnych. To zaś powinno przyczynić się do poprawy konkurencyjności i wyników przedsiębiorstw oraz atrakcyjności inwestycyjnej kraju.</w:t>
      </w:r>
    </w:p>
    <w:p w14:paraId="3B52DE8D" w14:textId="12C170E9" w:rsidR="00323FC0" w:rsidRPr="00DA4799" w:rsidRDefault="00FF3C3F"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 xml:space="preserve">6.2. </w:t>
      </w:r>
      <w:r w:rsidR="006814C6" w:rsidRPr="00931E42">
        <w:rPr>
          <w:rFonts w:ascii="Times New Roman" w:hAnsi="Times New Roman" w:cs="Times New Roman"/>
          <w:szCs w:val="24"/>
        </w:rPr>
        <w:t>Zwiększenie efektywności nadzoru korporacyjnego realizowanego przez rady nadzorcze spółek kapitałowych może się przyczynić do zmniejszenia ryzyk związanych z działalnością gospodarczą tych podmiotów, a także wyeliminowania społecznie dostrzeganych przypadków naduż</w:t>
      </w:r>
      <w:r w:rsidR="006814C6" w:rsidRPr="005D5147">
        <w:rPr>
          <w:rFonts w:ascii="Times New Roman" w:hAnsi="Times New Roman" w:cs="Times New Roman"/>
          <w:szCs w:val="24"/>
        </w:rPr>
        <w:t>yć związanych z ich funkcjonowaniem.</w:t>
      </w:r>
    </w:p>
    <w:p w14:paraId="75309ED0" w14:textId="77777777" w:rsidR="00323FC0" w:rsidRPr="00EE7FF7" w:rsidRDefault="006814C6"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Skutkiem wspomnianego stanu rzeczy może być zwiększenie zaufania do aktywności realizowanych przez spółki kapitałowe</w:t>
      </w:r>
      <w:r w:rsidR="00261CCC" w:rsidRPr="00EE7FF7">
        <w:rPr>
          <w:rFonts w:ascii="Times New Roman" w:hAnsi="Times New Roman" w:cs="Times New Roman"/>
          <w:szCs w:val="24"/>
        </w:rPr>
        <w:t>,</w:t>
      </w:r>
      <w:r w:rsidRPr="00EE7FF7">
        <w:rPr>
          <w:rFonts w:ascii="Times New Roman" w:hAnsi="Times New Roman" w:cs="Times New Roman"/>
          <w:szCs w:val="24"/>
        </w:rPr>
        <w:t xml:space="preserve"> objęte przedkładanymi rozwiązaniami legislacyjnymi.</w:t>
      </w:r>
    </w:p>
    <w:p w14:paraId="6549785D" w14:textId="070D3B19"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Ponadto przyznanie radom nadzorczym tych podmiotów dodatkowych narz</w:t>
      </w:r>
      <w:r w:rsidR="00261CCC" w:rsidRPr="00EE7FF7">
        <w:rPr>
          <w:rFonts w:ascii="Times New Roman" w:hAnsi="Times New Roman" w:cs="Times New Roman"/>
          <w:szCs w:val="24"/>
        </w:rPr>
        <w:t>ę</w:t>
      </w:r>
      <w:r w:rsidRPr="00EE7FF7">
        <w:rPr>
          <w:rFonts w:ascii="Times New Roman" w:hAnsi="Times New Roman" w:cs="Times New Roman"/>
          <w:szCs w:val="24"/>
        </w:rPr>
        <w:t>dzi oraz mechanizmów kontrolnych może przyczynić</w:t>
      </w:r>
      <w:r w:rsidR="00261CCC" w:rsidRPr="00EE7FF7">
        <w:rPr>
          <w:rFonts w:ascii="Times New Roman" w:hAnsi="Times New Roman" w:cs="Times New Roman"/>
          <w:szCs w:val="24"/>
        </w:rPr>
        <w:t xml:space="preserve"> się</w:t>
      </w:r>
      <w:r w:rsidRPr="00EE7FF7">
        <w:rPr>
          <w:rFonts w:ascii="Times New Roman" w:hAnsi="Times New Roman" w:cs="Times New Roman"/>
          <w:szCs w:val="24"/>
        </w:rPr>
        <w:t xml:space="preserve"> do poprawy postrzegania tych jednostek z perspektywy krajowych oraz zagranicznych dawców kapitału, co potencjalnie poprawi zdolności pozyskiwania przez nie dodatkowych środków przeznaczanych na nakłady inwestycyjne.</w:t>
      </w:r>
    </w:p>
    <w:p w14:paraId="4E9B69B7" w14:textId="353BEE23" w:rsidR="00323FC0" w:rsidRPr="00931E42"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6.</w:t>
      </w:r>
      <w:r w:rsidR="00FF3C3F" w:rsidRPr="00EE7FF7">
        <w:rPr>
          <w:rFonts w:ascii="Times New Roman" w:hAnsi="Times New Roman" w:cs="Times New Roman"/>
          <w:szCs w:val="24"/>
        </w:rPr>
        <w:t>3</w:t>
      </w:r>
      <w:r w:rsidRPr="00EE7FF7">
        <w:rPr>
          <w:rFonts w:ascii="Times New Roman" w:hAnsi="Times New Roman" w:cs="Times New Roman"/>
          <w:szCs w:val="24"/>
        </w:rPr>
        <w:t>. Projekt ustawy nie powoduje – co do zasady – żadnych skutków finansowych dla budżetu państwa, z wyjątkiem konieczności poniesienia wydatków związanych z</w:t>
      </w:r>
      <w:r w:rsidR="00DA1A06" w:rsidRPr="00EE7FF7">
        <w:rPr>
          <w:rFonts w:ascii="Times New Roman" w:hAnsi="Times New Roman" w:cs="Times New Roman"/>
          <w:szCs w:val="24"/>
        </w:rPr>
        <w:t xml:space="preserve"> </w:t>
      </w:r>
      <w:r w:rsidRPr="00EE7FF7">
        <w:rPr>
          <w:rFonts w:ascii="Times New Roman" w:hAnsi="Times New Roman" w:cs="Times New Roman"/>
          <w:szCs w:val="24"/>
        </w:rPr>
        <w:t>modyfikacją systemu informatycznego, w którym jest prowadzony Krajowy Rejestr Sądowy. Wynika to z wprowadzenia nowego przepisu art. 38 pkt 1 lit. g</w:t>
      </w:r>
      <w:r w:rsidR="009C243F" w:rsidRPr="00EE7FF7">
        <w:rPr>
          <w:rFonts w:ascii="Times New Roman" w:hAnsi="Times New Roman" w:cs="Times New Roman"/>
          <w:szCs w:val="24"/>
        </w:rPr>
        <w:t>a</w:t>
      </w:r>
      <w:r w:rsidRPr="00EE7FF7">
        <w:rPr>
          <w:rFonts w:ascii="Times New Roman" w:hAnsi="Times New Roman" w:cs="Times New Roman"/>
          <w:szCs w:val="24"/>
        </w:rPr>
        <w:t xml:space="preserve"> ustawy o KRS </w:t>
      </w:r>
      <w:r w:rsidR="001C6010" w:rsidRPr="00EE7FF7">
        <w:rPr>
          <w:rFonts w:ascii="Times New Roman" w:hAnsi="Times New Roman" w:cs="Times New Roman"/>
          <w:szCs w:val="24"/>
        </w:rPr>
        <w:t>w związku</w:t>
      </w:r>
      <w:r w:rsidRPr="00EE7FF7">
        <w:rPr>
          <w:rFonts w:ascii="Times New Roman" w:hAnsi="Times New Roman" w:cs="Times New Roman"/>
          <w:szCs w:val="24"/>
        </w:rPr>
        <w:t xml:space="preserve"> z art. 21</w:t>
      </w:r>
      <w:r w:rsidRPr="00EE7FF7">
        <w:rPr>
          <w:rStyle w:val="IGindeksgrny"/>
          <w:rFonts w:ascii="Times New Roman" w:hAnsi="Times New Roman" w:cs="Times New Roman"/>
          <w:szCs w:val="24"/>
        </w:rPr>
        <w:t>1</w:t>
      </w:r>
      <w:r w:rsidRPr="00F30ED8">
        <w:rPr>
          <w:rFonts w:ascii="Times New Roman" w:hAnsi="Times New Roman" w:cs="Times New Roman"/>
          <w:szCs w:val="24"/>
        </w:rPr>
        <w:t xml:space="preserve"> § 2 </w:t>
      </w:r>
      <w:r w:rsidR="00245F5C" w:rsidRPr="00F30ED8">
        <w:rPr>
          <w:rFonts w:ascii="Times New Roman" w:hAnsi="Times New Roman" w:cs="Times New Roman"/>
          <w:szCs w:val="24"/>
        </w:rPr>
        <w:t>projektowanego</w:t>
      </w:r>
      <w:r w:rsidRPr="00F30ED8">
        <w:rPr>
          <w:rFonts w:ascii="Times New Roman" w:hAnsi="Times New Roman" w:cs="Times New Roman"/>
          <w:szCs w:val="24"/>
        </w:rPr>
        <w:t xml:space="preserve"> KSH. Wydatki te są szacowane w przybliżeniu </w:t>
      </w:r>
      <w:r w:rsidR="006A3127" w:rsidRPr="00931E42">
        <w:rPr>
          <w:rFonts w:ascii="Times New Roman" w:hAnsi="Times New Roman" w:cs="Times New Roman"/>
          <w:szCs w:val="24"/>
        </w:rPr>
        <w:t>na kwotę 50</w:t>
      </w:r>
      <w:r w:rsidR="004C6AF8">
        <w:rPr>
          <w:rFonts w:ascii="Times New Roman" w:hAnsi="Times New Roman" w:cs="Times New Roman"/>
          <w:szCs w:val="24"/>
        </w:rPr>
        <w:t> </w:t>
      </w:r>
      <w:r w:rsidR="006A3127" w:rsidRPr="00931E42">
        <w:rPr>
          <w:rFonts w:ascii="Times New Roman" w:hAnsi="Times New Roman" w:cs="Times New Roman"/>
          <w:szCs w:val="24"/>
        </w:rPr>
        <w:t>000–100</w:t>
      </w:r>
      <w:r w:rsidR="004C6AF8">
        <w:rPr>
          <w:rFonts w:ascii="Times New Roman" w:hAnsi="Times New Roman" w:cs="Times New Roman"/>
          <w:szCs w:val="24"/>
        </w:rPr>
        <w:t> </w:t>
      </w:r>
      <w:r w:rsidR="006A3127" w:rsidRPr="00931E42">
        <w:rPr>
          <w:rFonts w:ascii="Times New Roman" w:hAnsi="Times New Roman" w:cs="Times New Roman"/>
          <w:szCs w:val="24"/>
        </w:rPr>
        <w:t>000 zł. Wydatki te zostaną sfinansowane w ramach środków właściwego merytorycznie dysponenta, bez konieczności dodatkowego zwiększenia jego limitu wydatków.</w:t>
      </w:r>
    </w:p>
    <w:p w14:paraId="40FBFFB1" w14:textId="31338D6F" w:rsidR="00323FC0" w:rsidRPr="00DA4799" w:rsidRDefault="006814C6" w:rsidP="00EE7FF7">
      <w:pPr>
        <w:pStyle w:val="ARTartustawynprozporzdzenia"/>
        <w:ind w:firstLine="0"/>
        <w:rPr>
          <w:rFonts w:ascii="Times New Roman" w:hAnsi="Times New Roman" w:cs="Times New Roman"/>
          <w:szCs w:val="24"/>
        </w:rPr>
      </w:pPr>
      <w:r w:rsidRPr="00931E42">
        <w:rPr>
          <w:rFonts w:ascii="Times New Roman" w:hAnsi="Times New Roman" w:cs="Times New Roman"/>
          <w:szCs w:val="24"/>
        </w:rPr>
        <w:t>6.</w:t>
      </w:r>
      <w:r w:rsidR="00FF3C3F" w:rsidRPr="00931E42">
        <w:rPr>
          <w:rFonts w:ascii="Times New Roman" w:hAnsi="Times New Roman" w:cs="Times New Roman"/>
          <w:szCs w:val="24"/>
        </w:rPr>
        <w:t>4</w:t>
      </w:r>
      <w:r w:rsidRPr="00931E42">
        <w:rPr>
          <w:rFonts w:ascii="Times New Roman" w:hAnsi="Times New Roman" w:cs="Times New Roman"/>
          <w:szCs w:val="24"/>
        </w:rPr>
        <w:t>. Projektowana ustawa nie zawiera przepisów technicznych, w związku z tym nie podlega notyfikacji w rozumieniu przepisów rozporządzenia Rady Mi</w:t>
      </w:r>
      <w:r w:rsidR="006A3127" w:rsidRPr="00931E42">
        <w:rPr>
          <w:rFonts w:ascii="Times New Roman" w:hAnsi="Times New Roman" w:cs="Times New Roman"/>
          <w:szCs w:val="24"/>
        </w:rPr>
        <w:t xml:space="preserve">nistrów z dnia 23 grudnia 2002 </w:t>
      </w:r>
      <w:r w:rsidRPr="005D5147">
        <w:rPr>
          <w:rFonts w:ascii="Times New Roman" w:hAnsi="Times New Roman" w:cs="Times New Roman"/>
          <w:szCs w:val="24"/>
        </w:rPr>
        <w:t>r. w sprawie sposobu funkcjonowania krajowego systemu notyfikacji norm i aktów prawnych (Dz. U. poz. 2039, z późn. zm.)</w:t>
      </w:r>
      <w:r w:rsidR="00261CCC" w:rsidRPr="00DA4799">
        <w:rPr>
          <w:rFonts w:ascii="Times New Roman" w:hAnsi="Times New Roman" w:cs="Times New Roman"/>
          <w:szCs w:val="24"/>
        </w:rPr>
        <w:t>.</w:t>
      </w:r>
    </w:p>
    <w:p w14:paraId="4579CC2B" w14:textId="734C6E99" w:rsidR="00E56C16" w:rsidRPr="00EE7FF7" w:rsidRDefault="00E56C16" w:rsidP="00EE7FF7">
      <w:pPr>
        <w:pStyle w:val="ARTartustawynprozporzdzenia"/>
        <w:ind w:firstLine="0"/>
        <w:rPr>
          <w:rFonts w:ascii="Times New Roman" w:hAnsi="Times New Roman" w:cs="Times New Roman"/>
          <w:szCs w:val="24"/>
        </w:rPr>
      </w:pPr>
      <w:r w:rsidRPr="00123222">
        <w:rPr>
          <w:rFonts w:ascii="Times New Roman" w:hAnsi="Times New Roman" w:cs="Times New Roman"/>
          <w:szCs w:val="24"/>
        </w:rPr>
        <w:t>6.5</w:t>
      </w:r>
      <w:r w:rsidR="004C6AF8">
        <w:rPr>
          <w:rFonts w:ascii="Times New Roman" w:hAnsi="Times New Roman" w:cs="Times New Roman"/>
          <w:szCs w:val="24"/>
        </w:rPr>
        <w:t>.</w:t>
      </w:r>
      <w:r w:rsidRPr="00123222">
        <w:rPr>
          <w:rFonts w:ascii="Times New Roman" w:hAnsi="Times New Roman" w:cs="Times New Roman"/>
          <w:szCs w:val="24"/>
        </w:rPr>
        <w:t xml:space="preserve"> Projektowana ustawa nie wpływa też bezpośrednio na sytuację osób starszych i niepełnosprawnych.</w:t>
      </w:r>
    </w:p>
    <w:p w14:paraId="21513E2D" w14:textId="77777777" w:rsidR="00323FC0" w:rsidRPr="00EE7FF7" w:rsidRDefault="006814C6" w:rsidP="00EE7FF7">
      <w:pPr>
        <w:pStyle w:val="NOTATKILEGISLATORA"/>
        <w:widowControl/>
        <w:spacing w:before="240" w:line="360" w:lineRule="auto"/>
        <w:jc w:val="both"/>
        <w:rPr>
          <w:rFonts w:ascii="Times New Roman" w:hAnsi="Times New Roman" w:cs="Times New Roman"/>
          <w:szCs w:val="24"/>
        </w:rPr>
      </w:pPr>
      <w:r w:rsidRPr="00EE7FF7">
        <w:rPr>
          <w:rFonts w:ascii="Times New Roman" w:hAnsi="Times New Roman" w:cs="Times New Roman"/>
          <w:szCs w:val="24"/>
        </w:rPr>
        <w:t>7. Zgodność projektu z prawem Unii Europejskiej</w:t>
      </w:r>
    </w:p>
    <w:p w14:paraId="3439B3F7" w14:textId="77D1AC4F" w:rsidR="00FA759A"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7.1. Przedkładany projekt pozostaje zgodny z prawem Unii Europejskiej.</w:t>
      </w:r>
    </w:p>
    <w:p w14:paraId="5A6C833A" w14:textId="572B8CE8" w:rsidR="00323FC0" w:rsidRPr="00EE7FF7" w:rsidRDefault="006814C6" w:rsidP="00EE7FF7">
      <w:pPr>
        <w:pStyle w:val="NOTATKILEGISLATORA"/>
        <w:widowControl/>
        <w:spacing w:before="240" w:line="360" w:lineRule="auto"/>
        <w:jc w:val="both"/>
        <w:rPr>
          <w:rFonts w:ascii="Times New Roman" w:hAnsi="Times New Roman" w:cs="Times New Roman"/>
          <w:szCs w:val="24"/>
        </w:rPr>
      </w:pPr>
      <w:r w:rsidRPr="00EE7FF7">
        <w:rPr>
          <w:rFonts w:ascii="Times New Roman" w:hAnsi="Times New Roman" w:cs="Times New Roman"/>
          <w:szCs w:val="24"/>
        </w:rPr>
        <w:t xml:space="preserve">8. Możliwość osiągnięcia celu normatywnego za pomocą innych środków (art. 66 </w:t>
      </w:r>
      <w:r w:rsidR="004C6AF8">
        <w:rPr>
          <w:rFonts w:ascii="Times New Roman" w:hAnsi="Times New Roman" w:cs="Times New Roman"/>
          <w:szCs w:val="24"/>
        </w:rPr>
        <w:t xml:space="preserve">ustawy z dnia 6 marca 2018 r. </w:t>
      </w:r>
      <w:r w:rsidR="004C6AF8" w:rsidRPr="00EE7FF7">
        <w:rPr>
          <w:rFonts w:ascii="Times New Roman" w:hAnsi="Times New Roman" w:cs="Times New Roman"/>
          <w:szCs w:val="24"/>
        </w:rPr>
        <w:t>–</w:t>
      </w:r>
      <w:r w:rsidR="004C6AF8">
        <w:rPr>
          <w:rFonts w:ascii="Times New Roman" w:hAnsi="Times New Roman" w:cs="Times New Roman"/>
          <w:szCs w:val="24"/>
        </w:rPr>
        <w:t xml:space="preserve"> </w:t>
      </w:r>
      <w:r w:rsidRPr="00EE7FF7">
        <w:rPr>
          <w:rFonts w:ascii="Times New Roman" w:hAnsi="Times New Roman" w:cs="Times New Roman"/>
          <w:szCs w:val="24"/>
        </w:rPr>
        <w:t xml:space="preserve">Prawo </w:t>
      </w:r>
      <w:r w:rsidR="00887861">
        <w:rPr>
          <w:rFonts w:ascii="Times New Roman" w:hAnsi="Times New Roman" w:cs="Times New Roman"/>
          <w:szCs w:val="24"/>
        </w:rPr>
        <w:t>p</w:t>
      </w:r>
      <w:r w:rsidRPr="00EE7FF7">
        <w:rPr>
          <w:rFonts w:ascii="Times New Roman" w:hAnsi="Times New Roman" w:cs="Times New Roman"/>
          <w:szCs w:val="24"/>
        </w:rPr>
        <w:t>rzedsiębiorców)</w:t>
      </w:r>
    </w:p>
    <w:p w14:paraId="0FF31C38" w14:textId="25C94D8F" w:rsidR="00A74B0F"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8.1.</w:t>
      </w:r>
      <w:r w:rsidR="00A74B0F" w:rsidRPr="00EE7FF7">
        <w:rPr>
          <w:rFonts w:ascii="Times New Roman" w:hAnsi="Times New Roman" w:cs="Times New Roman"/>
          <w:szCs w:val="24"/>
        </w:rPr>
        <w:t xml:space="preserve"> W zakresie prawa grup spółek osiągnięcie celu normatywnego w inny sposób nie jest możliwe. Poprzestanie na obecnej praktyce kontraktowej nie pozwala na uregulowanie wszystkich kwestii objętych projektem ustawy, a jednocześnie generuje istotne koszty transakcyjne. Rozstrzygnięcie sprawy przez orzecznictwo, jakkolwiek teoretycznie możliwe, prowadziłoby do stanu znaczącej niepewności prawnej – do czasu wykształcenia się linii orzeczniczej, a przy tym w stopniu mniejszym niż ujęty w ustawie zabezpieczałoby interesy innych niż spółka dominująca uczestników rynku.</w:t>
      </w:r>
    </w:p>
    <w:p w14:paraId="7C8E4324" w14:textId="130B3F69" w:rsidR="00323FC0" w:rsidRPr="00EE7FF7" w:rsidRDefault="00FF3C3F"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 xml:space="preserve">8.2. </w:t>
      </w:r>
      <w:r w:rsidR="00A74B0F" w:rsidRPr="00EE7FF7">
        <w:rPr>
          <w:rFonts w:ascii="Times New Roman" w:hAnsi="Times New Roman" w:cs="Times New Roman"/>
          <w:szCs w:val="24"/>
        </w:rPr>
        <w:t>Jeśli chodzi o regulację rad nadzorczych to s</w:t>
      </w:r>
      <w:r w:rsidR="006814C6" w:rsidRPr="00EE7FF7">
        <w:rPr>
          <w:rFonts w:ascii="Times New Roman" w:hAnsi="Times New Roman" w:cs="Times New Roman"/>
          <w:szCs w:val="24"/>
        </w:rPr>
        <w:t>posób</w:t>
      </w:r>
      <w:r w:rsidR="00A74B0F" w:rsidRPr="00EE7FF7">
        <w:rPr>
          <w:rFonts w:ascii="Times New Roman" w:hAnsi="Times New Roman" w:cs="Times New Roman"/>
          <w:szCs w:val="24"/>
        </w:rPr>
        <w:t xml:space="preserve"> ich</w:t>
      </w:r>
      <w:r w:rsidR="006814C6" w:rsidRPr="00EE7FF7">
        <w:rPr>
          <w:rFonts w:ascii="Times New Roman" w:hAnsi="Times New Roman" w:cs="Times New Roman"/>
          <w:szCs w:val="24"/>
        </w:rPr>
        <w:t xml:space="preserve"> funkcjonowania, a w szczególności ich kompetencje oraz obowiązki, unormowany jest w przeważającej mierze na płaszczyźnie KSH, zgodnie z zakresem przedmiotowym tego aktu normatywnego zawartym w jego art. 1.</w:t>
      </w:r>
    </w:p>
    <w:p w14:paraId="78B2C21F" w14:textId="6EBD197C"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lastRenderedPageBreak/>
        <w:t>Celem przedkładanego projektu ustawy jest wyposażenie wspomnianych organów nadzoru korporacyjnego w narzędzia oraz mechanizmy zwiększające efektywność działań przez nie podejmowanych, aby zrealizować powinności nakładane nań mocą odpowiednich przepisów KSH.</w:t>
      </w:r>
    </w:p>
    <w:p w14:paraId="7CCE1DD0" w14:textId="77777777" w:rsidR="00323FC0" w:rsidRPr="00EE7FF7" w:rsidRDefault="006814C6"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W konsekwencji, uzupełnienie KSH o proponowane regulacje pozostaje zasadnym oraz adekwatnym środkiem zmierzającym do osiągnięcia zidentyfikowanego zamierzenia.</w:t>
      </w:r>
    </w:p>
    <w:p w14:paraId="53A4E2A8" w14:textId="77777777" w:rsidR="00E05CB8" w:rsidRPr="00EE7FF7" w:rsidRDefault="006814C6" w:rsidP="00EE7FF7">
      <w:pPr>
        <w:pStyle w:val="Standard"/>
        <w:widowControl/>
        <w:spacing w:before="240" w:line="360" w:lineRule="auto"/>
        <w:jc w:val="both"/>
        <w:rPr>
          <w:rFonts w:ascii="Times New Roman" w:hAnsi="Times New Roman" w:cs="Times New Roman"/>
          <w:b/>
          <w:bCs/>
          <w:i/>
          <w:iCs/>
          <w:szCs w:val="24"/>
        </w:rPr>
      </w:pPr>
      <w:r w:rsidRPr="00EE7FF7">
        <w:rPr>
          <w:rFonts w:ascii="Times New Roman" w:hAnsi="Times New Roman" w:cs="Times New Roman"/>
          <w:b/>
          <w:bCs/>
          <w:i/>
          <w:iCs/>
          <w:szCs w:val="24"/>
        </w:rPr>
        <w:t>9.</w:t>
      </w:r>
      <w:r w:rsidR="00E05CB8" w:rsidRPr="00EE7FF7">
        <w:rPr>
          <w:rFonts w:ascii="Times New Roman" w:hAnsi="Times New Roman" w:cs="Times New Roman"/>
          <w:b/>
          <w:bCs/>
          <w:i/>
          <w:iCs/>
          <w:szCs w:val="24"/>
        </w:rPr>
        <w:t xml:space="preserve"> Vacatio legis</w:t>
      </w:r>
    </w:p>
    <w:p w14:paraId="6BBC49BA" w14:textId="14C0151C" w:rsidR="006C26E8" w:rsidRPr="00EE7FF7" w:rsidRDefault="00E05CB8" w:rsidP="00EE7FF7">
      <w:pPr>
        <w:pStyle w:val="Standard"/>
        <w:widowControl/>
        <w:spacing w:line="360" w:lineRule="auto"/>
        <w:jc w:val="both"/>
        <w:rPr>
          <w:rFonts w:ascii="Times New Roman" w:hAnsi="Times New Roman" w:cs="Times New Roman"/>
          <w:bCs/>
          <w:iCs/>
          <w:szCs w:val="24"/>
        </w:rPr>
      </w:pPr>
      <w:r w:rsidRPr="00EE7FF7">
        <w:rPr>
          <w:rFonts w:ascii="Times New Roman" w:hAnsi="Times New Roman" w:cs="Times New Roman"/>
          <w:bCs/>
          <w:iCs/>
          <w:szCs w:val="24"/>
        </w:rPr>
        <w:t xml:space="preserve">9.1. Projekt przewiduje stosunkowo długie </w:t>
      </w:r>
      <w:r w:rsidRPr="00EE7FF7">
        <w:rPr>
          <w:rFonts w:ascii="Times New Roman" w:hAnsi="Times New Roman" w:cs="Times New Roman"/>
          <w:bCs/>
          <w:i/>
          <w:iCs/>
          <w:szCs w:val="24"/>
        </w:rPr>
        <w:t>vacatio legis</w:t>
      </w:r>
      <w:r w:rsidRPr="00EE7FF7">
        <w:rPr>
          <w:rFonts w:ascii="Times New Roman" w:hAnsi="Times New Roman" w:cs="Times New Roman"/>
          <w:bCs/>
          <w:iCs/>
          <w:szCs w:val="24"/>
        </w:rPr>
        <w:t xml:space="preserve"> (</w:t>
      </w:r>
      <w:r w:rsidR="00662202" w:rsidRPr="00EE7FF7">
        <w:rPr>
          <w:rFonts w:ascii="Times New Roman" w:hAnsi="Times New Roman" w:cs="Times New Roman"/>
          <w:bCs/>
          <w:iCs/>
          <w:szCs w:val="24"/>
        </w:rPr>
        <w:t>sześć miesięcy</w:t>
      </w:r>
      <w:r w:rsidRPr="00EE7FF7">
        <w:rPr>
          <w:rFonts w:ascii="Times New Roman" w:hAnsi="Times New Roman" w:cs="Times New Roman"/>
          <w:bCs/>
          <w:iCs/>
          <w:szCs w:val="24"/>
        </w:rPr>
        <w:t>), mając na względzie obowiązek złożenia wniosku do KRS o dokonanie wzmianki o uczestnictwie w grupie spółek (art. 21</w:t>
      </w:r>
      <w:r w:rsidRPr="00EE7FF7">
        <w:rPr>
          <w:rFonts w:ascii="Times New Roman" w:hAnsi="Times New Roman" w:cs="Times New Roman"/>
          <w:bCs/>
          <w:iCs/>
          <w:szCs w:val="24"/>
          <w:vertAlign w:val="superscript"/>
        </w:rPr>
        <w:t>1</w:t>
      </w:r>
      <w:r w:rsidRPr="00EE7FF7">
        <w:rPr>
          <w:rFonts w:ascii="Times New Roman" w:hAnsi="Times New Roman" w:cs="Times New Roman"/>
          <w:bCs/>
          <w:iCs/>
          <w:szCs w:val="24"/>
        </w:rPr>
        <w:t xml:space="preserve"> § 2 </w:t>
      </w:r>
      <w:r w:rsidR="00245F5C" w:rsidRPr="00EE7FF7">
        <w:rPr>
          <w:rFonts w:ascii="Times New Roman" w:hAnsi="Times New Roman" w:cs="Times New Roman"/>
          <w:bCs/>
          <w:iCs/>
          <w:szCs w:val="24"/>
        </w:rPr>
        <w:t>projektowanego</w:t>
      </w:r>
      <w:r w:rsidRPr="00EE7FF7">
        <w:rPr>
          <w:rFonts w:ascii="Times New Roman" w:hAnsi="Times New Roman" w:cs="Times New Roman"/>
          <w:bCs/>
          <w:iCs/>
          <w:szCs w:val="24"/>
        </w:rPr>
        <w:t xml:space="preserve"> KSH). Ta ostatnia kwestia będzie wymagała dokonania zmian w systemie informatycznym Krajowego Rejestru Sądowego, dla których krótki termin </w:t>
      </w:r>
      <w:r w:rsidRPr="00EE7FF7">
        <w:rPr>
          <w:rFonts w:ascii="Times New Roman" w:hAnsi="Times New Roman" w:cs="Times New Roman"/>
          <w:bCs/>
          <w:i/>
          <w:iCs/>
          <w:szCs w:val="24"/>
        </w:rPr>
        <w:t>vacatio legis</w:t>
      </w:r>
      <w:r w:rsidRPr="00EE7FF7">
        <w:rPr>
          <w:rFonts w:ascii="Times New Roman" w:hAnsi="Times New Roman" w:cs="Times New Roman"/>
          <w:bCs/>
          <w:iCs/>
          <w:szCs w:val="24"/>
        </w:rPr>
        <w:t xml:space="preserve"> mógłby się okazać niewystarczający.</w:t>
      </w:r>
    </w:p>
    <w:p w14:paraId="7A53FDFF" w14:textId="55BC21A9" w:rsidR="006C26E8" w:rsidRPr="00EE7FF7" w:rsidRDefault="00731105" w:rsidP="00EE7FF7">
      <w:pPr>
        <w:widowControl/>
        <w:spacing w:before="120" w:line="360" w:lineRule="auto"/>
        <w:jc w:val="both"/>
        <w:rPr>
          <w:rFonts w:ascii="Times New Roman" w:hAnsi="Times New Roman" w:cs="Times New Roman"/>
          <w:bCs/>
          <w:iCs/>
          <w:szCs w:val="24"/>
        </w:rPr>
      </w:pPr>
      <w:r w:rsidRPr="00EE7FF7">
        <w:rPr>
          <w:rFonts w:ascii="Times New Roman" w:hAnsi="Times New Roman" w:cs="Times New Roman"/>
          <w:bCs/>
          <w:iCs/>
          <w:szCs w:val="24"/>
        </w:rPr>
        <w:t xml:space="preserve">9.2. </w:t>
      </w:r>
      <w:r w:rsidR="006C26E8" w:rsidRPr="00EE7FF7">
        <w:rPr>
          <w:rFonts w:ascii="Times New Roman" w:hAnsi="Times New Roman" w:cs="Times New Roman"/>
          <w:bCs/>
          <w:iCs/>
          <w:szCs w:val="24"/>
        </w:rPr>
        <w:t xml:space="preserve">Taki termin wejścia w życie przepisów pozwoli również na dostosowanie umów spółek i statutów do ich nowego brzmienia, w tym w odniesieniu do tych spraw, dla których ustawodawca przewidział system </w:t>
      </w:r>
      <w:r w:rsidR="006C26E8" w:rsidRPr="00EE7FF7">
        <w:rPr>
          <w:rFonts w:ascii="Times New Roman" w:hAnsi="Times New Roman" w:cs="Times New Roman"/>
          <w:bCs/>
          <w:i/>
          <w:iCs/>
          <w:szCs w:val="24"/>
        </w:rPr>
        <w:t>opt-out</w:t>
      </w:r>
      <w:r w:rsidR="006C26E8" w:rsidRPr="00EE7FF7">
        <w:rPr>
          <w:rFonts w:ascii="Times New Roman" w:hAnsi="Times New Roman" w:cs="Times New Roman"/>
          <w:bCs/>
          <w:iCs/>
          <w:szCs w:val="24"/>
        </w:rPr>
        <w:t>.</w:t>
      </w:r>
    </w:p>
    <w:p w14:paraId="610CF3FE" w14:textId="3CC9721A" w:rsidR="00731105" w:rsidRPr="00EE7FF7" w:rsidRDefault="006C26E8" w:rsidP="00EE7FF7">
      <w:pPr>
        <w:widowControl/>
        <w:spacing w:before="120" w:line="360" w:lineRule="auto"/>
        <w:jc w:val="both"/>
        <w:rPr>
          <w:rFonts w:ascii="Times New Roman" w:hAnsi="Times New Roman" w:cs="Times New Roman"/>
          <w:bCs/>
          <w:iCs/>
          <w:szCs w:val="24"/>
        </w:rPr>
      </w:pPr>
      <w:r w:rsidRPr="00EE7FF7">
        <w:rPr>
          <w:rFonts w:ascii="Times New Roman" w:hAnsi="Times New Roman" w:cs="Times New Roman"/>
          <w:bCs/>
          <w:iCs/>
          <w:szCs w:val="24"/>
        </w:rPr>
        <w:t>9.3</w:t>
      </w:r>
      <w:r w:rsidR="00F44E01" w:rsidRPr="00EE7FF7">
        <w:rPr>
          <w:rFonts w:ascii="Times New Roman" w:hAnsi="Times New Roman" w:cs="Times New Roman"/>
          <w:bCs/>
          <w:iCs/>
          <w:szCs w:val="24"/>
        </w:rPr>
        <w:t>.</w:t>
      </w:r>
      <w:r w:rsidRPr="00EE7FF7">
        <w:rPr>
          <w:rFonts w:ascii="Times New Roman" w:hAnsi="Times New Roman" w:cs="Times New Roman"/>
          <w:bCs/>
          <w:iCs/>
          <w:szCs w:val="24"/>
        </w:rPr>
        <w:t xml:space="preserve"> </w:t>
      </w:r>
      <w:r w:rsidR="00731105" w:rsidRPr="00EE7FF7">
        <w:rPr>
          <w:rFonts w:ascii="Times New Roman" w:hAnsi="Times New Roman" w:cs="Times New Roman"/>
          <w:bCs/>
          <w:iCs/>
          <w:szCs w:val="24"/>
        </w:rPr>
        <w:t xml:space="preserve">Od </w:t>
      </w:r>
      <w:r w:rsidR="00662202" w:rsidRPr="00EE7FF7">
        <w:rPr>
          <w:rFonts w:ascii="Times New Roman" w:hAnsi="Times New Roman" w:cs="Times New Roman"/>
          <w:bCs/>
          <w:iCs/>
          <w:szCs w:val="24"/>
        </w:rPr>
        <w:t>sześciomiesięcznego</w:t>
      </w:r>
      <w:r w:rsidR="00731105" w:rsidRPr="00EE7FF7">
        <w:rPr>
          <w:rFonts w:ascii="Times New Roman" w:hAnsi="Times New Roman" w:cs="Times New Roman"/>
          <w:bCs/>
          <w:iCs/>
          <w:szCs w:val="24"/>
        </w:rPr>
        <w:t xml:space="preserve"> okresu</w:t>
      </w:r>
      <w:r w:rsidR="00731105" w:rsidRPr="00EE7FF7">
        <w:rPr>
          <w:rFonts w:ascii="Times New Roman" w:hAnsi="Times New Roman" w:cs="Times New Roman"/>
          <w:bCs/>
          <w:i/>
          <w:iCs/>
          <w:szCs w:val="24"/>
        </w:rPr>
        <w:t xml:space="preserve"> vacatio legis</w:t>
      </w:r>
      <w:r w:rsidR="00731105" w:rsidRPr="00EE7FF7">
        <w:rPr>
          <w:rFonts w:ascii="Times New Roman" w:hAnsi="Times New Roman" w:cs="Times New Roman"/>
          <w:bCs/>
          <w:iCs/>
          <w:szCs w:val="24"/>
        </w:rPr>
        <w:t xml:space="preserve"> pr</w:t>
      </w:r>
      <w:r w:rsidR="00662202" w:rsidRPr="00EE7FF7">
        <w:rPr>
          <w:rFonts w:ascii="Times New Roman" w:hAnsi="Times New Roman" w:cs="Times New Roman"/>
          <w:bCs/>
          <w:iCs/>
          <w:szCs w:val="24"/>
        </w:rPr>
        <w:t xml:space="preserve">ojektowana ustawa przewiduje </w:t>
      </w:r>
      <w:r w:rsidR="00731105" w:rsidRPr="00EE7FF7">
        <w:rPr>
          <w:rFonts w:ascii="Times New Roman" w:hAnsi="Times New Roman" w:cs="Times New Roman"/>
          <w:bCs/>
          <w:iCs/>
          <w:szCs w:val="24"/>
        </w:rPr>
        <w:t>wyjąt</w:t>
      </w:r>
      <w:r w:rsidR="00662202" w:rsidRPr="00EE7FF7">
        <w:rPr>
          <w:rFonts w:ascii="Times New Roman" w:hAnsi="Times New Roman" w:cs="Times New Roman"/>
          <w:bCs/>
          <w:iCs/>
          <w:szCs w:val="24"/>
        </w:rPr>
        <w:t xml:space="preserve">ek w odniesieniu do </w:t>
      </w:r>
      <w:r w:rsidR="00731105" w:rsidRPr="00EE7FF7">
        <w:rPr>
          <w:rFonts w:ascii="Times New Roman" w:hAnsi="Times New Roman" w:cs="Times New Roman"/>
          <w:bCs/>
          <w:iCs/>
          <w:szCs w:val="24"/>
        </w:rPr>
        <w:t xml:space="preserve">art. 1 pkt </w:t>
      </w:r>
      <w:r w:rsidR="00D6650A" w:rsidRPr="00EE7FF7">
        <w:rPr>
          <w:rFonts w:ascii="Times New Roman" w:hAnsi="Times New Roman" w:cs="Times New Roman"/>
          <w:bCs/>
          <w:iCs/>
          <w:szCs w:val="24"/>
        </w:rPr>
        <w:t>3</w:t>
      </w:r>
      <w:r w:rsidR="00BA7F59" w:rsidRPr="00EE7FF7">
        <w:rPr>
          <w:rFonts w:ascii="Times New Roman" w:hAnsi="Times New Roman" w:cs="Times New Roman"/>
          <w:bCs/>
          <w:iCs/>
          <w:szCs w:val="24"/>
        </w:rPr>
        <w:t xml:space="preserve"> oraz art. 7, które wchodzą</w:t>
      </w:r>
      <w:r w:rsidR="00731105" w:rsidRPr="00EE7FF7">
        <w:rPr>
          <w:rFonts w:ascii="Times New Roman" w:hAnsi="Times New Roman" w:cs="Times New Roman"/>
          <w:bCs/>
          <w:iCs/>
          <w:szCs w:val="24"/>
        </w:rPr>
        <w:t xml:space="preserve"> w życie z dniem 1 kwietnia 2022 r.;</w:t>
      </w:r>
      <w:r w:rsidR="001E4663" w:rsidRPr="00EE7FF7">
        <w:rPr>
          <w:rFonts w:ascii="Times New Roman" w:hAnsi="Times New Roman" w:cs="Times New Roman"/>
          <w:bCs/>
          <w:iCs/>
          <w:szCs w:val="24"/>
        </w:rPr>
        <w:t xml:space="preserve"> </w:t>
      </w:r>
      <w:r w:rsidR="00731105" w:rsidRPr="00EE7FF7">
        <w:rPr>
          <w:rFonts w:ascii="Times New Roman" w:hAnsi="Times New Roman" w:cs="Times New Roman"/>
          <w:bCs/>
          <w:iCs/>
          <w:szCs w:val="24"/>
        </w:rPr>
        <w:t xml:space="preserve">co związane jest </w:t>
      </w:r>
      <w:r w:rsidR="00067354" w:rsidRPr="00EE7FF7">
        <w:rPr>
          <w:rFonts w:ascii="Times New Roman" w:hAnsi="Times New Roman" w:cs="Times New Roman"/>
          <w:bCs/>
          <w:iCs/>
          <w:szCs w:val="24"/>
        </w:rPr>
        <w:t>z koniecznością umożliwienia KRS dostosowania się do zmienionych przepisów</w:t>
      </w:r>
      <w:r w:rsidR="00731105" w:rsidRPr="00EE7FF7">
        <w:rPr>
          <w:rFonts w:ascii="Times New Roman" w:hAnsi="Times New Roman" w:cs="Times New Roman"/>
          <w:bCs/>
          <w:iCs/>
          <w:szCs w:val="24"/>
        </w:rPr>
        <w:t>.</w:t>
      </w:r>
    </w:p>
    <w:p w14:paraId="1AE976B1" w14:textId="77777777" w:rsidR="00323FC0" w:rsidRPr="00EE7FF7" w:rsidRDefault="00E05CB8" w:rsidP="00EE7FF7">
      <w:pPr>
        <w:pStyle w:val="Standard"/>
        <w:widowControl/>
        <w:spacing w:before="240" w:line="360" w:lineRule="auto"/>
        <w:jc w:val="both"/>
        <w:rPr>
          <w:rFonts w:ascii="Times New Roman" w:hAnsi="Times New Roman" w:cs="Times New Roman"/>
          <w:b/>
          <w:bCs/>
          <w:i/>
          <w:iCs/>
          <w:szCs w:val="24"/>
        </w:rPr>
      </w:pPr>
      <w:r w:rsidRPr="00EE7FF7">
        <w:rPr>
          <w:rFonts w:ascii="Times New Roman" w:hAnsi="Times New Roman" w:cs="Times New Roman"/>
          <w:b/>
          <w:bCs/>
          <w:i/>
          <w:iCs/>
          <w:szCs w:val="24"/>
        </w:rPr>
        <w:t xml:space="preserve">10. </w:t>
      </w:r>
      <w:r w:rsidR="006814C6" w:rsidRPr="00EE7FF7">
        <w:rPr>
          <w:rFonts w:ascii="Times New Roman" w:hAnsi="Times New Roman" w:cs="Times New Roman"/>
          <w:b/>
          <w:bCs/>
          <w:i/>
          <w:iCs/>
          <w:szCs w:val="24"/>
        </w:rPr>
        <w:t>Ścieżka prac legislacyjnych</w:t>
      </w:r>
    </w:p>
    <w:p w14:paraId="097B2D36" w14:textId="172B36C6" w:rsidR="00323FC0" w:rsidRPr="00F30ED8" w:rsidRDefault="00E05CB8" w:rsidP="00EE7FF7">
      <w:pPr>
        <w:pStyle w:val="ARTartustawynprozporzdzenia"/>
        <w:ind w:firstLine="0"/>
        <w:rPr>
          <w:rFonts w:ascii="Times New Roman" w:hAnsi="Times New Roman" w:cs="Times New Roman"/>
          <w:szCs w:val="24"/>
        </w:rPr>
      </w:pPr>
      <w:r w:rsidRPr="00EE7FF7">
        <w:rPr>
          <w:rFonts w:ascii="Times New Roman" w:hAnsi="Times New Roman" w:cs="Times New Roman"/>
          <w:szCs w:val="24"/>
        </w:rPr>
        <w:t>10</w:t>
      </w:r>
      <w:r w:rsidR="006814C6" w:rsidRPr="00EE7FF7">
        <w:rPr>
          <w:rFonts w:ascii="Times New Roman" w:hAnsi="Times New Roman" w:cs="Times New Roman"/>
          <w:szCs w:val="24"/>
        </w:rPr>
        <w:t xml:space="preserve">.1. Projekt ustawy został wpisany do </w:t>
      </w:r>
      <w:r w:rsidR="00650886">
        <w:rPr>
          <w:rFonts w:ascii="Times New Roman" w:hAnsi="Times New Roman" w:cs="Times New Roman"/>
          <w:szCs w:val="24"/>
        </w:rPr>
        <w:t>W</w:t>
      </w:r>
      <w:r w:rsidR="006814C6" w:rsidRPr="00EE7FF7">
        <w:rPr>
          <w:rFonts w:ascii="Times New Roman" w:hAnsi="Times New Roman" w:cs="Times New Roman"/>
          <w:szCs w:val="24"/>
        </w:rPr>
        <w:t>ykazu prac legislacyjnych Rady Ministrów pod numerem</w:t>
      </w:r>
      <w:r w:rsidR="00BC18EC" w:rsidRPr="00EE7FF7">
        <w:rPr>
          <w:rFonts w:ascii="Times New Roman" w:hAnsi="Times New Roman" w:cs="Times New Roman"/>
          <w:szCs w:val="24"/>
        </w:rPr>
        <w:t xml:space="preserve"> </w:t>
      </w:r>
      <w:r w:rsidR="006A2A89" w:rsidRPr="00EE7FF7">
        <w:rPr>
          <w:rFonts w:ascii="Times New Roman" w:hAnsi="Times New Roman" w:cs="Times New Roman"/>
          <w:szCs w:val="24"/>
        </w:rPr>
        <w:t>UD113</w:t>
      </w:r>
      <w:r w:rsidR="006A2A89" w:rsidRPr="00F30ED8" w:rsidDel="006A2A89">
        <w:rPr>
          <w:rFonts w:ascii="Times New Roman" w:hAnsi="Times New Roman" w:cs="Times New Roman"/>
          <w:szCs w:val="24"/>
        </w:rPr>
        <w:t xml:space="preserve"> </w:t>
      </w:r>
      <w:r w:rsidR="00BC18EC" w:rsidRPr="00F30ED8">
        <w:rPr>
          <w:rFonts w:ascii="Times New Roman" w:hAnsi="Times New Roman" w:cs="Times New Roman"/>
          <w:szCs w:val="24"/>
        </w:rPr>
        <w:t>.</w:t>
      </w:r>
    </w:p>
    <w:p w14:paraId="558219FA" w14:textId="6FE10FE9" w:rsidR="00323FC0" w:rsidRDefault="00E05CB8" w:rsidP="00EE7FF7">
      <w:pPr>
        <w:pStyle w:val="Standard"/>
        <w:widowControl/>
        <w:spacing w:before="120" w:line="360" w:lineRule="auto"/>
        <w:jc w:val="both"/>
        <w:rPr>
          <w:rFonts w:ascii="Times New Roman" w:hAnsi="Times New Roman" w:cs="Times New Roman"/>
          <w:szCs w:val="24"/>
        </w:rPr>
      </w:pPr>
      <w:r w:rsidRPr="00931E42">
        <w:rPr>
          <w:rFonts w:ascii="Times New Roman" w:hAnsi="Times New Roman" w:cs="Times New Roman"/>
          <w:szCs w:val="24"/>
        </w:rPr>
        <w:t>10</w:t>
      </w:r>
      <w:r w:rsidR="006814C6" w:rsidRPr="00931E42">
        <w:rPr>
          <w:rFonts w:ascii="Times New Roman" w:hAnsi="Times New Roman" w:cs="Times New Roman"/>
          <w:szCs w:val="24"/>
        </w:rPr>
        <w:t>.2. Stosownie do art. 5 ustawy z dnia 7 lipca 2005 r. o działalności lobbingowej w procesie stanowienia prawa (Dz. U. z 2017 r. poz. 248) oraz art. 52 § 1 uchwały nr 190 Rady Ministrów z 29 października 20153 r.</w:t>
      </w:r>
      <w:r w:rsidR="00DA4799">
        <w:rPr>
          <w:rFonts w:ascii="Times New Roman" w:hAnsi="Times New Roman" w:cs="Times New Roman"/>
          <w:szCs w:val="24"/>
        </w:rPr>
        <w:t xml:space="preserve"> </w:t>
      </w:r>
      <w:r w:rsidR="006814C6" w:rsidRPr="00931E42">
        <w:rPr>
          <w:rFonts w:ascii="Times New Roman" w:hAnsi="Times New Roman" w:cs="Times New Roman"/>
          <w:szCs w:val="24"/>
        </w:rPr>
        <w:t xml:space="preserve">– Regulamin pracy Rady Ministrów projekt ustawy został zamieszczony w Biuletynie Informacji Publicznej Rządowego Centrum Legislacji </w:t>
      </w:r>
      <w:r w:rsidR="00650886">
        <w:rPr>
          <w:rFonts w:ascii="Times New Roman" w:hAnsi="Times New Roman" w:cs="Times New Roman"/>
          <w:szCs w:val="24"/>
        </w:rPr>
        <w:t xml:space="preserve">w zakładce Rządowy </w:t>
      </w:r>
      <w:r w:rsidR="00343773">
        <w:rPr>
          <w:rFonts w:ascii="Times New Roman" w:hAnsi="Times New Roman" w:cs="Times New Roman"/>
          <w:szCs w:val="24"/>
        </w:rPr>
        <w:t>P</w:t>
      </w:r>
      <w:r w:rsidR="00650886">
        <w:rPr>
          <w:rFonts w:ascii="Times New Roman" w:hAnsi="Times New Roman" w:cs="Times New Roman"/>
          <w:szCs w:val="24"/>
        </w:rPr>
        <w:t xml:space="preserve">roces </w:t>
      </w:r>
      <w:r w:rsidR="00343773">
        <w:rPr>
          <w:rFonts w:ascii="Times New Roman" w:hAnsi="Times New Roman" w:cs="Times New Roman"/>
          <w:szCs w:val="24"/>
        </w:rPr>
        <w:t>L</w:t>
      </w:r>
      <w:r w:rsidR="00650886">
        <w:rPr>
          <w:rFonts w:ascii="Times New Roman" w:hAnsi="Times New Roman" w:cs="Times New Roman"/>
          <w:szCs w:val="24"/>
        </w:rPr>
        <w:t xml:space="preserve">egislacyjny </w:t>
      </w:r>
      <w:r w:rsidR="006814C6" w:rsidRPr="00931E42">
        <w:rPr>
          <w:rFonts w:ascii="Times New Roman" w:hAnsi="Times New Roman" w:cs="Times New Roman"/>
          <w:szCs w:val="24"/>
        </w:rPr>
        <w:t>oraz na stronach internetowych Ministerstwa Aktywów Państwowych.</w:t>
      </w:r>
    </w:p>
    <w:p w14:paraId="6E95B567" w14:textId="1171574B" w:rsidR="00813BC2" w:rsidRPr="00931E42" w:rsidRDefault="00813BC2" w:rsidP="00EE7FF7">
      <w:pPr>
        <w:pStyle w:val="Standard"/>
        <w:widowControl/>
        <w:spacing w:before="120" w:line="360" w:lineRule="auto"/>
        <w:jc w:val="both"/>
        <w:rPr>
          <w:rFonts w:ascii="Times New Roman" w:hAnsi="Times New Roman" w:cs="Times New Roman"/>
          <w:szCs w:val="24"/>
        </w:rPr>
      </w:pPr>
      <w:r>
        <w:rPr>
          <w:rFonts w:ascii="Times New Roman" w:hAnsi="Times New Roman" w:cs="Times New Roman"/>
          <w:szCs w:val="24"/>
        </w:rPr>
        <w:t>Żaden podmiot nie zgłosił zainteresowania pracami nad projektem w trybie przepisów o działalności lobbingowej w procesie stanowienia prawa.</w:t>
      </w:r>
    </w:p>
    <w:p w14:paraId="72B7C09C" w14:textId="62B94A9E" w:rsidR="0051284C" w:rsidRPr="00DA4799" w:rsidRDefault="0051284C" w:rsidP="00EE7FF7">
      <w:pPr>
        <w:pStyle w:val="Standard"/>
        <w:widowControl/>
        <w:spacing w:before="120" w:line="360" w:lineRule="auto"/>
        <w:jc w:val="both"/>
        <w:rPr>
          <w:rFonts w:ascii="Times New Roman" w:hAnsi="Times New Roman" w:cs="Times New Roman"/>
          <w:szCs w:val="24"/>
        </w:rPr>
      </w:pPr>
      <w:r w:rsidRPr="00931E42">
        <w:rPr>
          <w:rFonts w:ascii="Times New Roman" w:hAnsi="Times New Roman" w:cs="Times New Roman"/>
          <w:szCs w:val="24"/>
        </w:rPr>
        <w:lastRenderedPageBreak/>
        <w:t xml:space="preserve">10.3 Dokument nie był przedstawiany instytucjom Unii Europejskiej, w tym Europejskiemu Bankowi Centralnemu, celem uzyskania ich </w:t>
      </w:r>
      <w:r w:rsidRPr="005D5147">
        <w:rPr>
          <w:rFonts w:ascii="Times New Roman" w:hAnsi="Times New Roman" w:cs="Times New Roman"/>
          <w:szCs w:val="24"/>
        </w:rPr>
        <w:t>opinii, dokonania powiadomienia, konsultacji albo uzgodnienia.</w:t>
      </w:r>
    </w:p>
    <w:sectPr w:rsidR="0051284C" w:rsidRPr="00DA4799" w:rsidSect="00EE7FF7">
      <w:footerReference w:type="default" r:id="rId8"/>
      <w:pgSz w:w="11906" w:h="16838"/>
      <w:pgMar w:top="1588" w:right="1418" w:bottom="1418" w:left="1985" w:header="708" w:footer="708" w:gutter="0"/>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502D0F" w16cex:dateUtc="2021-05-19T22:34:00Z"/>
  <w16cex:commentExtensible w16cex:durableId="24502EBA" w16cex:dateUtc="2021-05-19T22:41:00Z"/>
  <w16cex:commentExtensible w16cex:durableId="24502F65" w16cex:dateUtc="2021-05-19T22:44:00Z"/>
  <w16cex:commentExtensible w16cex:durableId="2450357B" w16cex:dateUtc="2021-05-19T23:10:00Z"/>
  <w16cex:commentExtensible w16cex:durableId="2450306B" w16cex:dateUtc="2021-05-19T2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D5544A" w16cid:durableId="24C9FD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136AE" w14:textId="77777777" w:rsidR="005E3EB6" w:rsidRDefault="005E3EB6">
      <w:r>
        <w:separator/>
      </w:r>
    </w:p>
  </w:endnote>
  <w:endnote w:type="continuationSeparator" w:id="0">
    <w:p w14:paraId="5F545004" w14:textId="77777777" w:rsidR="005E3EB6" w:rsidRDefault="005E3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F">
    <w:altName w:val="Times New Roman"/>
    <w:charset w:val="00"/>
    <w:family w:val="auto"/>
    <w:pitch w:val="variable"/>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708403"/>
      <w:docPartObj>
        <w:docPartGallery w:val="Page Numbers (Bottom of Page)"/>
        <w:docPartUnique/>
      </w:docPartObj>
    </w:sdtPr>
    <w:sdtEndPr>
      <w:rPr>
        <w:rFonts w:ascii="Times New Roman" w:hAnsi="Times New Roman" w:cs="Times New Roman"/>
      </w:rPr>
    </w:sdtEndPr>
    <w:sdtContent>
      <w:p w14:paraId="0B70F14B" w14:textId="481306DF" w:rsidR="00245F5C" w:rsidRDefault="00245F5C" w:rsidP="00EE7FF7">
        <w:pPr>
          <w:pStyle w:val="Stopka"/>
          <w:jc w:val="center"/>
        </w:pPr>
        <w:r w:rsidRPr="00EE7FF7">
          <w:rPr>
            <w:rFonts w:ascii="Times New Roman" w:hAnsi="Times New Roman" w:cs="Times New Roman"/>
          </w:rPr>
          <w:fldChar w:fldCharType="begin"/>
        </w:r>
        <w:r w:rsidRPr="00EE7FF7">
          <w:rPr>
            <w:rFonts w:ascii="Times New Roman" w:hAnsi="Times New Roman" w:cs="Times New Roman"/>
          </w:rPr>
          <w:instrText>PAGE   \* MERGEFORMAT</w:instrText>
        </w:r>
        <w:r w:rsidRPr="00EE7FF7">
          <w:rPr>
            <w:rFonts w:ascii="Times New Roman" w:hAnsi="Times New Roman" w:cs="Times New Roman"/>
          </w:rPr>
          <w:fldChar w:fldCharType="separate"/>
        </w:r>
        <w:r w:rsidR="00765726">
          <w:rPr>
            <w:rFonts w:ascii="Times New Roman" w:hAnsi="Times New Roman" w:cs="Times New Roman"/>
            <w:noProof/>
          </w:rPr>
          <w:t>20</w:t>
        </w:r>
        <w:r w:rsidRPr="00EE7FF7">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DBD8F" w14:textId="77777777" w:rsidR="005E3EB6" w:rsidRDefault="005E3EB6">
      <w:r>
        <w:rPr>
          <w:color w:val="000000"/>
        </w:rPr>
        <w:separator/>
      </w:r>
    </w:p>
  </w:footnote>
  <w:footnote w:type="continuationSeparator" w:id="0">
    <w:p w14:paraId="70AD5FD3" w14:textId="77777777" w:rsidR="005E3EB6" w:rsidRDefault="005E3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B6E9A"/>
    <w:multiLevelType w:val="multilevel"/>
    <w:tmpl w:val="BD061A2A"/>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FC0"/>
    <w:rsid w:val="00004422"/>
    <w:rsid w:val="0001131A"/>
    <w:rsid w:val="00011E1F"/>
    <w:rsid w:val="00036322"/>
    <w:rsid w:val="000374C3"/>
    <w:rsid w:val="0003783B"/>
    <w:rsid w:val="00045E78"/>
    <w:rsid w:val="00065094"/>
    <w:rsid w:val="00067354"/>
    <w:rsid w:val="000838E8"/>
    <w:rsid w:val="000A51EC"/>
    <w:rsid w:val="000A7046"/>
    <w:rsid w:val="000C5B52"/>
    <w:rsid w:val="000D0EC1"/>
    <w:rsid w:val="000D2B4C"/>
    <w:rsid w:val="000D52DD"/>
    <w:rsid w:val="000E5BB4"/>
    <w:rsid w:val="00101F2F"/>
    <w:rsid w:val="001033F1"/>
    <w:rsid w:val="00104A12"/>
    <w:rsid w:val="00113C2F"/>
    <w:rsid w:val="001173B9"/>
    <w:rsid w:val="00120242"/>
    <w:rsid w:val="00120E87"/>
    <w:rsid w:val="00122D5F"/>
    <w:rsid w:val="00123222"/>
    <w:rsid w:val="00127B84"/>
    <w:rsid w:val="00131B80"/>
    <w:rsid w:val="00133305"/>
    <w:rsid w:val="00134056"/>
    <w:rsid w:val="00140578"/>
    <w:rsid w:val="00164176"/>
    <w:rsid w:val="001660D7"/>
    <w:rsid w:val="00170D80"/>
    <w:rsid w:val="00174ADF"/>
    <w:rsid w:val="00176E26"/>
    <w:rsid w:val="001800AA"/>
    <w:rsid w:val="00182CFA"/>
    <w:rsid w:val="001A3653"/>
    <w:rsid w:val="001A6953"/>
    <w:rsid w:val="001B0564"/>
    <w:rsid w:val="001B625E"/>
    <w:rsid w:val="001C110E"/>
    <w:rsid w:val="001C6010"/>
    <w:rsid w:val="001E0252"/>
    <w:rsid w:val="001E07DB"/>
    <w:rsid w:val="001E4663"/>
    <w:rsid w:val="001E7BE7"/>
    <w:rsid w:val="001F1F90"/>
    <w:rsid w:val="002105A8"/>
    <w:rsid w:val="002320A3"/>
    <w:rsid w:val="00240EE4"/>
    <w:rsid w:val="00245F5C"/>
    <w:rsid w:val="002505AB"/>
    <w:rsid w:val="00251D47"/>
    <w:rsid w:val="00257267"/>
    <w:rsid w:val="00261CCC"/>
    <w:rsid w:val="00266104"/>
    <w:rsid w:val="002703FB"/>
    <w:rsid w:val="00281FB2"/>
    <w:rsid w:val="00296C06"/>
    <w:rsid w:val="002A61C8"/>
    <w:rsid w:val="002B0628"/>
    <w:rsid w:val="002B140F"/>
    <w:rsid w:val="002C11E5"/>
    <w:rsid w:val="002C593F"/>
    <w:rsid w:val="002C77F0"/>
    <w:rsid w:val="002E1FD2"/>
    <w:rsid w:val="002F2B3D"/>
    <w:rsid w:val="002F2FE6"/>
    <w:rsid w:val="00317FFB"/>
    <w:rsid w:val="00323FC0"/>
    <w:rsid w:val="003347E0"/>
    <w:rsid w:val="003429EE"/>
    <w:rsid w:val="00343773"/>
    <w:rsid w:val="003447E9"/>
    <w:rsid w:val="0035044A"/>
    <w:rsid w:val="003517AF"/>
    <w:rsid w:val="00351EB9"/>
    <w:rsid w:val="0035328B"/>
    <w:rsid w:val="00360311"/>
    <w:rsid w:val="003734FB"/>
    <w:rsid w:val="00384504"/>
    <w:rsid w:val="00392905"/>
    <w:rsid w:val="003A56E6"/>
    <w:rsid w:val="003A59B0"/>
    <w:rsid w:val="003A66A7"/>
    <w:rsid w:val="003B0C56"/>
    <w:rsid w:val="003B3BA5"/>
    <w:rsid w:val="003B4354"/>
    <w:rsid w:val="003C4ED4"/>
    <w:rsid w:val="003D6064"/>
    <w:rsid w:val="004025CE"/>
    <w:rsid w:val="004069CA"/>
    <w:rsid w:val="004115F3"/>
    <w:rsid w:val="00422D3A"/>
    <w:rsid w:val="004246B8"/>
    <w:rsid w:val="00426661"/>
    <w:rsid w:val="00427C66"/>
    <w:rsid w:val="00432F32"/>
    <w:rsid w:val="00443246"/>
    <w:rsid w:val="00451FA6"/>
    <w:rsid w:val="00454F9C"/>
    <w:rsid w:val="00456CEE"/>
    <w:rsid w:val="00466A81"/>
    <w:rsid w:val="00476E05"/>
    <w:rsid w:val="004A6B9B"/>
    <w:rsid w:val="004C6AE0"/>
    <w:rsid w:val="004C6AF8"/>
    <w:rsid w:val="004F6D86"/>
    <w:rsid w:val="004F7A8A"/>
    <w:rsid w:val="00507BF8"/>
    <w:rsid w:val="005124AC"/>
    <w:rsid w:val="0051284C"/>
    <w:rsid w:val="00540D60"/>
    <w:rsid w:val="005417FB"/>
    <w:rsid w:val="005433B3"/>
    <w:rsid w:val="00554F10"/>
    <w:rsid w:val="005603FE"/>
    <w:rsid w:val="0057144A"/>
    <w:rsid w:val="005739C8"/>
    <w:rsid w:val="00576B15"/>
    <w:rsid w:val="00581BFC"/>
    <w:rsid w:val="00583B4A"/>
    <w:rsid w:val="00586400"/>
    <w:rsid w:val="00595B55"/>
    <w:rsid w:val="005A5D42"/>
    <w:rsid w:val="005A66F3"/>
    <w:rsid w:val="005B0978"/>
    <w:rsid w:val="005B2436"/>
    <w:rsid w:val="005B55D8"/>
    <w:rsid w:val="005B5768"/>
    <w:rsid w:val="005C3C41"/>
    <w:rsid w:val="005D18A7"/>
    <w:rsid w:val="005D41FB"/>
    <w:rsid w:val="005D4B77"/>
    <w:rsid w:val="005D5147"/>
    <w:rsid w:val="005D61DC"/>
    <w:rsid w:val="005E15A1"/>
    <w:rsid w:val="005E3EB6"/>
    <w:rsid w:val="005F0377"/>
    <w:rsid w:val="005F18F2"/>
    <w:rsid w:val="005F50B1"/>
    <w:rsid w:val="006003C9"/>
    <w:rsid w:val="00611BFC"/>
    <w:rsid w:val="00613BDC"/>
    <w:rsid w:val="006153B7"/>
    <w:rsid w:val="006208E5"/>
    <w:rsid w:val="00621DFD"/>
    <w:rsid w:val="00634898"/>
    <w:rsid w:val="00637FF2"/>
    <w:rsid w:val="00642865"/>
    <w:rsid w:val="0065077B"/>
    <w:rsid w:val="00650886"/>
    <w:rsid w:val="00657E01"/>
    <w:rsid w:val="00662202"/>
    <w:rsid w:val="00676452"/>
    <w:rsid w:val="006814C6"/>
    <w:rsid w:val="006844AE"/>
    <w:rsid w:val="00684CA2"/>
    <w:rsid w:val="00685FB3"/>
    <w:rsid w:val="0068733A"/>
    <w:rsid w:val="006914FB"/>
    <w:rsid w:val="006A1E8C"/>
    <w:rsid w:val="006A2A89"/>
    <w:rsid w:val="006A3127"/>
    <w:rsid w:val="006A6745"/>
    <w:rsid w:val="006B6B67"/>
    <w:rsid w:val="006C24F1"/>
    <w:rsid w:val="006C26E8"/>
    <w:rsid w:val="006C5727"/>
    <w:rsid w:val="006D140A"/>
    <w:rsid w:val="006D56E9"/>
    <w:rsid w:val="006E5BF9"/>
    <w:rsid w:val="006E6AAD"/>
    <w:rsid w:val="006F0CC7"/>
    <w:rsid w:val="00706051"/>
    <w:rsid w:val="0070738B"/>
    <w:rsid w:val="0071110B"/>
    <w:rsid w:val="00712AFE"/>
    <w:rsid w:val="007177E0"/>
    <w:rsid w:val="007236CA"/>
    <w:rsid w:val="00731105"/>
    <w:rsid w:val="00736356"/>
    <w:rsid w:val="007529CD"/>
    <w:rsid w:val="00756056"/>
    <w:rsid w:val="00756D4B"/>
    <w:rsid w:val="00765726"/>
    <w:rsid w:val="007758F3"/>
    <w:rsid w:val="007A6FB4"/>
    <w:rsid w:val="007D230F"/>
    <w:rsid w:val="007D2B86"/>
    <w:rsid w:val="007E4AC5"/>
    <w:rsid w:val="007F077F"/>
    <w:rsid w:val="007F3962"/>
    <w:rsid w:val="007F7334"/>
    <w:rsid w:val="008007D0"/>
    <w:rsid w:val="00807107"/>
    <w:rsid w:val="00807C4B"/>
    <w:rsid w:val="00813BC2"/>
    <w:rsid w:val="0081659A"/>
    <w:rsid w:val="0081718C"/>
    <w:rsid w:val="0082210D"/>
    <w:rsid w:val="0082249D"/>
    <w:rsid w:val="00822F68"/>
    <w:rsid w:val="00822F72"/>
    <w:rsid w:val="00824167"/>
    <w:rsid w:val="00834724"/>
    <w:rsid w:val="00835CF1"/>
    <w:rsid w:val="00836B01"/>
    <w:rsid w:val="00836F50"/>
    <w:rsid w:val="00860B1F"/>
    <w:rsid w:val="00887861"/>
    <w:rsid w:val="0089145A"/>
    <w:rsid w:val="00892619"/>
    <w:rsid w:val="00894767"/>
    <w:rsid w:val="00897A4E"/>
    <w:rsid w:val="008A4712"/>
    <w:rsid w:val="008B41A8"/>
    <w:rsid w:val="008B429D"/>
    <w:rsid w:val="008B4FE4"/>
    <w:rsid w:val="008E2D66"/>
    <w:rsid w:val="008F18E2"/>
    <w:rsid w:val="008F2B9A"/>
    <w:rsid w:val="00901158"/>
    <w:rsid w:val="009167DC"/>
    <w:rsid w:val="00922D44"/>
    <w:rsid w:val="009305C6"/>
    <w:rsid w:val="00930B2B"/>
    <w:rsid w:val="00931E42"/>
    <w:rsid w:val="009321BD"/>
    <w:rsid w:val="00942BA1"/>
    <w:rsid w:val="00942D9E"/>
    <w:rsid w:val="00951C25"/>
    <w:rsid w:val="0096177F"/>
    <w:rsid w:val="00987144"/>
    <w:rsid w:val="00992809"/>
    <w:rsid w:val="009A22A3"/>
    <w:rsid w:val="009A40CE"/>
    <w:rsid w:val="009A748F"/>
    <w:rsid w:val="009A7BC1"/>
    <w:rsid w:val="009B2BB0"/>
    <w:rsid w:val="009B538D"/>
    <w:rsid w:val="009C243F"/>
    <w:rsid w:val="009D4226"/>
    <w:rsid w:val="009D4479"/>
    <w:rsid w:val="009D61E1"/>
    <w:rsid w:val="009E3740"/>
    <w:rsid w:val="009E43AE"/>
    <w:rsid w:val="009F232C"/>
    <w:rsid w:val="009F7680"/>
    <w:rsid w:val="00A00B07"/>
    <w:rsid w:val="00A026B2"/>
    <w:rsid w:val="00A02A8D"/>
    <w:rsid w:val="00A11EFE"/>
    <w:rsid w:val="00A1372A"/>
    <w:rsid w:val="00A1719C"/>
    <w:rsid w:val="00A25ADE"/>
    <w:rsid w:val="00A306BC"/>
    <w:rsid w:val="00A31111"/>
    <w:rsid w:val="00A33BC5"/>
    <w:rsid w:val="00A350B6"/>
    <w:rsid w:val="00A37558"/>
    <w:rsid w:val="00A4654A"/>
    <w:rsid w:val="00A473B0"/>
    <w:rsid w:val="00A52180"/>
    <w:rsid w:val="00A53E10"/>
    <w:rsid w:val="00A668B9"/>
    <w:rsid w:val="00A74B0F"/>
    <w:rsid w:val="00A76893"/>
    <w:rsid w:val="00A8343A"/>
    <w:rsid w:val="00A83ED3"/>
    <w:rsid w:val="00A90C28"/>
    <w:rsid w:val="00A943B3"/>
    <w:rsid w:val="00AA1FE5"/>
    <w:rsid w:val="00AB29B0"/>
    <w:rsid w:val="00AB3189"/>
    <w:rsid w:val="00AB3DD5"/>
    <w:rsid w:val="00AB7831"/>
    <w:rsid w:val="00AC4280"/>
    <w:rsid w:val="00AD1F78"/>
    <w:rsid w:val="00AD50EC"/>
    <w:rsid w:val="00AE1FD4"/>
    <w:rsid w:val="00AE519F"/>
    <w:rsid w:val="00AF4E27"/>
    <w:rsid w:val="00AF5DBB"/>
    <w:rsid w:val="00B002FA"/>
    <w:rsid w:val="00B04457"/>
    <w:rsid w:val="00B0497D"/>
    <w:rsid w:val="00B0594D"/>
    <w:rsid w:val="00B24378"/>
    <w:rsid w:val="00B251C6"/>
    <w:rsid w:val="00B32832"/>
    <w:rsid w:val="00B33BE2"/>
    <w:rsid w:val="00B3528F"/>
    <w:rsid w:val="00B464E2"/>
    <w:rsid w:val="00B64D3A"/>
    <w:rsid w:val="00B752AD"/>
    <w:rsid w:val="00B76A5E"/>
    <w:rsid w:val="00B7736F"/>
    <w:rsid w:val="00B84A4D"/>
    <w:rsid w:val="00B87BC2"/>
    <w:rsid w:val="00B92ACE"/>
    <w:rsid w:val="00BA7F59"/>
    <w:rsid w:val="00BB1349"/>
    <w:rsid w:val="00BB2CF1"/>
    <w:rsid w:val="00BB501E"/>
    <w:rsid w:val="00BC18EC"/>
    <w:rsid w:val="00BC2E7A"/>
    <w:rsid w:val="00BC7921"/>
    <w:rsid w:val="00BD36BF"/>
    <w:rsid w:val="00BD6487"/>
    <w:rsid w:val="00BD7A01"/>
    <w:rsid w:val="00BF3382"/>
    <w:rsid w:val="00BF5310"/>
    <w:rsid w:val="00BF6A06"/>
    <w:rsid w:val="00C027D4"/>
    <w:rsid w:val="00C0741E"/>
    <w:rsid w:val="00C07A21"/>
    <w:rsid w:val="00C2233D"/>
    <w:rsid w:val="00C229A9"/>
    <w:rsid w:val="00C27607"/>
    <w:rsid w:val="00C37455"/>
    <w:rsid w:val="00C54CC3"/>
    <w:rsid w:val="00C602A7"/>
    <w:rsid w:val="00C642DC"/>
    <w:rsid w:val="00C76935"/>
    <w:rsid w:val="00C801AD"/>
    <w:rsid w:val="00C875B2"/>
    <w:rsid w:val="00C97188"/>
    <w:rsid w:val="00CA7CAC"/>
    <w:rsid w:val="00CB2430"/>
    <w:rsid w:val="00CC2FA9"/>
    <w:rsid w:val="00CE057C"/>
    <w:rsid w:val="00CE1FE3"/>
    <w:rsid w:val="00D00949"/>
    <w:rsid w:val="00D0507D"/>
    <w:rsid w:val="00D16B3B"/>
    <w:rsid w:val="00D216D7"/>
    <w:rsid w:val="00D34080"/>
    <w:rsid w:val="00D3754E"/>
    <w:rsid w:val="00D45534"/>
    <w:rsid w:val="00D54002"/>
    <w:rsid w:val="00D56998"/>
    <w:rsid w:val="00D6390E"/>
    <w:rsid w:val="00D6650A"/>
    <w:rsid w:val="00D75563"/>
    <w:rsid w:val="00D765BF"/>
    <w:rsid w:val="00D92A84"/>
    <w:rsid w:val="00D96565"/>
    <w:rsid w:val="00DA158E"/>
    <w:rsid w:val="00DA1A06"/>
    <w:rsid w:val="00DA4799"/>
    <w:rsid w:val="00DC20F6"/>
    <w:rsid w:val="00DC2AE0"/>
    <w:rsid w:val="00DE09C8"/>
    <w:rsid w:val="00DE761A"/>
    <w:rsid w:val="00DF12B5"/>
    <w:rsid w:val="00DF2D87"/>
    <w:rsid w:val="00DF530A"/>
    <w:rsid w:val="00DF7B01"/>
    <w:rsid w:val="00DF7C37"/>
    <w:rsid w:val="00DF7ED3"/>
    <w:rsid w:val="00E05CB8"/>
    <w:rsid w:val="00E13BC4"/>
    <w:rsid w:val="00E1624E"/>
    <w:rsid w:val="00E20409"/>
    <w:rsid w:val="00E2641B"/>
    <w:rsid w:val="00E27735"/>
    <w:rsid w:val="00E27894"/>
    <w:rsid w:val="00E419ED"/>
    <w:rsid w:val="00E45D5F"/>
    <w:rsid w:val="00E46158"/>
    <w:rsid w:val="00E56C16"/>
    <w:rsid w:val="00E66882"/>
    <w:rsid w:val="00E675DD"/>
    <w:rsid w:val="00E67BDA"/>
    <w:rsid w:val="00E71C63"/>
    <w:rsid w:val="00E94F71"/>
    <w:rsid w:val="00EB21CB"/>
    <w:rsid w:val="00EB31DD"/>
    <w:rsid w:val="00EC2C0E"/>
    <w:rsid w:val="00ED6461"/>
    <w:rsid w:val="00ED7619"/>
    <w:rsid w:val="00EE4581"/>
    <w:rsid w:val="00EE7FF7"/>
    <w:rsid w:val="00EF2667"/>
    <w:rsid w:val="00EF63CF"/>
    <w:rsid w:val="00F000CF"/>
    <w:rsid w:val="00F0124C"/>
    <w:rsid w:val="00F07DC1"/>
    <w:rsid w:val="00F1592B"/>
    <w:rsid w:val="00F1601C"/>
    <w:rsid w:val="00F1618C"/>
    <w:rsid w:val="00F22CA0"/>
    <w:rsid w:val="00F2518E"/>
    <w:rsid w:val="00F30ED8"/>
    <w:rsid w:val="00F3592E"/>
    <w:rsid w:val="00F372C4"/>
    <w:rsid w:val="00F37804"/>
    <w:rsid w:val="00F4026A"/>
    <w:rsid w:val="00F44E01"/>
    <w:rsid w:val="00F5598A"/>
    <w:rsid w:val="00F7351B"/>
    <w:rsid w:val="00F80D79"/>
    <w:rsid w:val="00F81EE1"/>
    <w:rsid w:val="00F82EB4"/>
    <w:rsid w:val="00F85CC5"/>
    <w:rsid w:val="00F94E6D"/>
    <w:rsid w:val="00FA46F9"/>
    <w:rsid w:val="00FA50DD"/>
    <w:rsid w:val="00FA759A"/>
    <w:rsid w:val="00FB0495"/>
    <w:rsid w:val="00FB1791"/>
    <w:rsid w:val="00FC72FF"/>
    <w:rsid w:val="00FF3C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49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F"/>
        <w:sz w:val="24"/>
        <w:szCs w:val="22"/>
        <w:lang w:val="pl-PL"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Pr>
      <w:rFonts w:cs="Tahoma"/>
      <w:lang w:eastAsia="pl-PL"/>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Lucida Sans"/>
    </w:rPr>
  </w:style>
  <w:style w:type="paragraph" w:styleId="Legenda">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customStyle="1" w:styleId="ARTartustawynprozporzdzenia">
    <w:name w:val="ART(§) – art. ustawy (§ np. rozporządzenia)"/>
    <w:uiPriority w:val="11"/>
    <w:qFormat/>
    <w:pPr>
      <w:widowControl/>
      <w:spacing w:before="120" w:line="360" w:lineRule="auto"/>
      <w:ind w:firstLine="510"/>
      <w:jc w:val="both"/>
    </w:pPr>
    <w:rPr>
      <w:rFonts w:ascii="Times" w:eastAsia="F" w:hAnsi="Times" w:cs="Arial"/>
      <w:szCs w:val="20"/>
      <w:lang w:eastAsia="pl-PL"/>
    </w:rPr>
  </w:style>
  <w:style w:type="paragraph" w:customStyle="1" w:styleId="TYTUAKTUprzedmiotregulacjiustawylubrozporzdzenia">
    <w:name w:val="TYTUŁ_AKTU – przedmiot regulacji ustawy lub rozporządzenia"/>
    <w:next w:val="ARTartustawynprozporzdzenia"/>
    <w:pPr>
      <w:keepNext/>
      <w:widowControl/>
      <w:spacing w:before="120" w:after="360" w:line="360" w:lineRule="auto"/>
      <w:jc w:val="center"/>
    </w:pPr>
    <w:rPr>
      <w:rFonts w:ascii="Times" w:eastAsia="F" w:hAnsi="Times" w:cs="Arial"/>
      <w:b/>
      <w:bCs/>
      <w:szCs w:val="24"/>
      <w:lang w:eastAsia="pl-PL"/>
    </w:rPr>
  </w:style>
  <w:style w:type="paragraph" w:customStyle="1" w:styleId="NOTATKILEGISLATORA">
    <w:name w:val="NOTATKI_LEGISLATORA"/>
    <w:basedOn w:val="Standard"/>
    <w:rPr>
      <w:b/>
      <w:i/>
    </w:rPr>
  </w:style>
  <w:style w:type="paragraph" w:styleId="Wcicienormalne">
    <w:name w:val="Normal Indent"/>
    <w:basedOn w:val="Standard"/>
    <w:pPr>
      <w:widowControl/>
      <w:spacing w:after="200" w:line="276" w:lineRule="auto"/>
      <w:ind w:left="720"/>
    </w:pPr>
    <w:rPr>
      <w:rFonts w:ascii="Times New Roman" w:eastAsia="Times New Roman" w:hAnsi="Times New Roman" w:cs="Times New Roman"/>
    </w:rPr>
  </w:style>
  <w:style w:type="character" w:customStyle="1" w:styleId="IGindeksgrny">
    <w:name w:val="_IG_ – indeks górny"/>
    <w:basedOn w:val="Domylnaczcionkaakapitu"/>
    <w:qFormat/>
    <w:rPr>
      <w:b w:val="0"/>
      <w:i w:val="0"/>
      <w:vanish w:val="0"/>
      <w:spacing w:val="0"/>
      <w:position w:val="0"/>
      <w:vertAlign w:val="superscript"/>
    </w:rPr>
  </w:style>
  <w:style w:type="character" w:styleId="Uwydatnienie">
    <w:name w:val="Emphasis"/>
    <w:basedOn w:val="Domylnaczcionkaakapitu"/>
    <w:qFormat/>
    <w:rPr>
      <w:i/>
      <w:iCs/>
    </w:rPr>
  </w:style>
  <w:style w:type="character" w:customStyle="1" w:styleId="NumberingSymbols">
    <w:name w:val="Numbering Symbols"/>
  </w:style>
  <w:style w:type="numbering" w:customStyle="1" w:styleId="Bezlisty1">
    <w:name w:val="Bez listy1"/>
    <w:basedOn w:val="Bezlisty"/>
    <w:pPr>
      <w:numPr>
        <w:numId w:val="1"/>
      </w:numPr>
    </w:pPr>
  </w:style>
  <w:style w:type="character" w:styleId="Odwoaniedokomentarza">
    <w:name w:val="annotation reference"/>
    <w:basedOn w:val="Domylnaczcionkaakapitu"/>
    <w:uiPriority w:val="99"/>
    <w:semiHidden/>
    <w:unhideWhenUsed/>
    <w:rsid w:val="009A748F"/>
    <w:rPr>
      <w:sz w:val="16"/>
      <w:szCs w:val="16"/>
    </w:rPr>
  </w:style>
  <w:style w:type="paragraph" w:styleId="Tekstkomentarza">
    <w:name w:val="annotation text"/>
    <w:basedOn w:val="Normalny"/>
    <w:link w:val="TekstkomentarzaZnak"/>
    <w:uiPriority w:val="99"/>
    <w:semiHidden/>
    <w:unhideWhenUsed/>
    <w:rsid w:val="009A748F"/>
    <w:rPr>
      <w:sz w:val="20"/>
      <w:szCs w:val="20"/>
    </w:rPr>
  </w:style>
  <w:style w:type="character" w:customStyle="1" w:styleId="TekstkomentarzaZnak">
    <w:name w:val="Tekst komentarza Znak"/>
    <w:basedOn w:val="Domylnaczcionkaakapitu"/>
    <w:link w:val="Tekstkomentarza"/>
    <w:uiPriority w:val="99"/>
    <w:semiHidden/>
    <w:rsid w:val="009A748F"/>
    <w:rPr>
      <w:sz w:val="20"/>
      <w:szCs w:val="20"/>
    </w:rPr>
  </w:style>
  <w:style w:type="paragraph" w:styleId="Tematkomentarza">
    <w:name w:val="annotation subject"/>
    <w:basedOn w:val="Tekstkomentarza"/>
    <w:next w:val="Tekstkomentarza"/>
    <w:link w:val="TematkomentarzaZnak"/>
    <w:uiPriority w:val="99"/>
    <w:semiHidden/>
    <w:unhideWhenUsed/>
    <w:rsid w:val="009A748F"/>
    <w:rPr>
      <w:b/>
      <w:bCs/>
    </w:rPr>
  </w:style>
  <w:style w:type="character" w:customStyle="1" w:styleId="TematkomentarzaZnak">
    <w:name w:val="Temat komentarza Znak"/>
    <w:basedOn w:val="TekstkomentarzaZnak"/>
    <w:link w:val="Tematkomentarza"/>
    <w:uiPriority w:val="99"/>
    <w:semiHidden/>
    <w:rsid w:val="009A748F"/>
    <w:rPr>
      <w:b/>
      <w:bCs/>
      <w:sz w:val="20"/>
      <w:szCs w:val="20"/>
    </w:rPr>
  </w:style>
  <w:style w:type="paragraph" w:styleId="Tekstdymka">
    <w:name w:val="Balloon Text"/>
    <w:basedOn w:val="Normalny"/>
    <w:link w:val="TekstdymkaZnak"/>
    <w:uiPriority w:val="99"/>
    <w:semiHidden/>
    <w:unhideWhenUsed/>
    <w:rsid w:val="009A748F"/>
    <w:rPr>
      <w:rFonts w:ascii="Segoe UI" w:hAnsi="Segoe UI" w:cs="Segoe UI"/>
      <w:sz w:val="18"/>
      <w:szCs w:val="18"/>
    </w:rPr>
  </w:style>
  <w:style w:type="character" w:customStyle="1" w:styleId="TekstdymkaZnak">
    <w:name w:val="Tekst dymka Znak"/>
    <w:basedOn w:val="Domylnaczcionkaakapitu"/>
    <w:link w:val="Tekstdymka"/>
    <w:uiPriority w:val="99"/>
    <w:semiHidden/>
    <w:rsid w:val="009A748F"/>
    <w:rPr>
      <w:rFonts w:ascii="Segoe UI" w:hAnsi="Segoe UI" w:cs="Segoe UI"/>
      <w:sz w:val="18"/>
      <w:szCs w:val="18"/>
    </w:rPr>
  </w:style>
  <w:style w:type="paragraph" w:styleId="Nagwek">
    <w:name w:val="header"/>
    <w:basedOn w:val="Normalny"/>
    <w:link w:val="NagwekZnak"/>
    <w:uiPriority w:val="99"/>
    <w:unhideWhenUsed/>
    <w:rsid w:val="00736356"/>
    <w:pPr>
      <w:tabs>
        <w:tab w:val="center" w:pos="4536"/>
        <w:tab w:val="right" w:pos="9072"/>
      </w:tabs>
    </w:pPr>
  </w:style>
  <w:style w:type="character" w:customStyle="1" w:styleId="NagwekZnak">
    <w:name w:val="Nagłówek Znak"/>
    <w:basedOn w:val="Domylnaczcionkaakapitu"/>
    <w:link w:val="Nagwek"/>
    <w:uiPriority w:val="99"/>
    <w:rsid w:val="00736356"/>
  </w:style>
  <w:style w:type="paragraph" w:styleId="Stopka">
    <w:name w:val="footer"/>
    <w:basedOn w:val="Normalny"/>
    <w:link w:val="StopkaZnak"/>
    <w:uiPriority w:val="99"/>
    <w:unhideWhenUsed/>
    <w:rsid w:val="00736356"/>
    <w:pPr>
      <w:tabs>
        <w:tab w:val="center" w:pos="4536"/>
        <w:tab w:val="right" w:pos="9072"/>
      </w:tabs>
    </w:pPr>
  </w:style>
  <w:style w:type="character" w:customStyle="1" w:styleId="StopkaZnak">
    <w:name w:val="Stopka Znak"/>
    <w:basedOn w:val="Domylnaczcionkaakapitu"/>
    <w:link w:val="Stopka"/>
    <w:uiPriority w:val="99"/>
    <w:rsid w:val="00736356"/>
  </w:style>
  <w:style w:type="paragraph" w:customStyle="1" w:styleId="DATAAKTUdatauchwalenialubwydaniaaktu">
    <w:name w:val="DATA_AKTU – data uchwalenia lub wydania aktu"/>
    <w:next w:val="TYTUAKTUprzedmiotregulacjiustawylubrozporzdzenia"/>
    <w:uiPriority w:val="6"/>
    <w:qFormat/>
    <w:rsid w:val="0070738B"/>
    <w:pPr>
      <w:keepNext/>
      <w:widowControl/>
      <w:autoSpaceDN/>
      <w:spacing w:before="120" w:after="120" w:line="360" w:lineRule="auto"/>
      <w:jc w:val="center"/>
      <w:textAlignment w:val="auto"/>
    </w:pPr>
    <w:rPr>
      <w:rFonts w:ascii="Times" w:eastAsia="Times New Roman" w:hAnsi="Times" w:cs="Arial"/>
      <w:bCs/>
      <w:szCs w:val="24"/>
      <w:lang w:eastAsia="pl-PL"/>
    </w:rPr>
  </w:style>
  <w:style w:type="paragraph" w:styleId="Poprawka">
    <w:name w:val="Revision"/>
    <w:hidden/>
    <w:uiPriority w:val="99"/>
    <w:semiHidden/>
    <w:rsid w:val="00942BA1"/>
    <w:pPr>
      <w:widowControl/>
      <w:suppressAutoHyphens w:val="0"/>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848939">
      <w:bodyDiv w:val="1"/>
      <w:marLeft w:val="0"/>
      <w:marRight w:val="0"/>
      <w:marTop w:val="0"/>
      <w:marBottom w:val="0"/>
      <w:divBdr>
        <w:top w:val="none" w:sz="0" w:space="0" w:color="auto"/>
        <w:left w:val="none" w:sz="0" w:space="0" w:color="auto"/>
        <w:bottom w:val="none" w:sz="0" w:space="0" w:color="auto"/>
        <w:right w:val="none" w:sz="0" w:space="0" w:color="auto"/>
      </w:divBdr>
    </w:div>
    <w:div w:id="1787429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DAF1-BDBB-46D0-8414-038BEFDC6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19693</Words>
  <Characters>118163</Characters>
  <Application>Microsoft Office Word</Application>
  <DocSecurity>0</DocSecurity>
  <Lines>984</Lines>
  <Paragraphs>275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2021-08-20T08:06:00Z</dcterms:created>
  <dcterms:modified xsi:type="dcterms:W3CDTF">2021-08-20T14:16:00Z</dcterms:modified>
</cp:coreProperties>
</file>