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080" w:rsidRPr="00EB6080" w:rsidRDefault="00EB6080" w:rsidP="00EB6080">
      <w:pPr>
        <w:spacing w:line="360" w:lineRule="auto"/>
        <w:ind w:firstLine="708"/>
        <w:jc w:val="right"/>
        <w:rPr>
          <w:bCs/>
          <w:color w:val="000000"/>
        </w:rPr>
      </w:pPr>
    </w:p>
    <w:p w:rsidR="00EB6080" w:rsidRPr="00EB6080" w:rsidRDefault="00EB6080" w:rsidP="00EB6080">
      <w:pPr>
        <w:spacing w:line="360" w:lineRule="auto"/>
        <w:ind w:firstLine="708"/>
        <w:jc w:val="right"/>
        <w:rPr>
          <w:bCs/>
          <w:color w:val="000000"/>
        </w:rPr>
      </w:pPr>
    </w:p>
    <w:p w:rsidR="003A747F" w:rsidRDefault="00EB6080" w:rsidP="00EB6080">
      <w:pPr>
        <w:spacing w:line="360" w:lineRule="auto"/>
        <w:jc w:val="center"/>
        <w:rPr>
          <w:b/>
          <w:color w:val="000000"/>
        </w:rPr>
      </w:pPr>
      <w:r w:rsidRPr="00EB6080">
        <w:rPr>
          <w:b/>
          <w:color w:val="000000"/>
        </w:rPr>
        <w:t xml:space="preserve">Stanowisko Rządu </w:t>
      </w:r>
    </w:p>
    <w:p w:rsidR="003A747F" w:rsidRDefault="00EB6080" w:rsidP="00EB6080">
      <w:pPr>
        <w:spacing w:line="360" w:lineRule="auto"/>
        <w:jc w:val="center"/>
        <w:rPr>
          <w:b/>
        </w:rPr>
      </w:pPr>
      <w:r w:rsidRPr="00EB6080">
        <w:rPr>
          <w:b/>
          <w:color w:val="000000"/>
        </w:rPr>
        <w:t xml:space="preserve">wobec poselskiego projektu ustawy </w:t>
      </w:r>
      <w:r w:rsidRPr="00EB6080">
        <w:rPr>
          <w:b/>
          <w:color w:val="000000"/>
          <w:shd w:val="clear" w:color="auto" w:fill="FFFFFF"/>
        </w:rPr>
        <w:t>o</w:t>
      </w:r>
      <w:r w:rsidR="00A74E29">
        <w:rPr>
          <w:b/>
        </w:rPr>
        <w:t xml:space="preserve"> zmianie ustawy </w:t>
      </w:r>
    </w:p>
    <w:p w:rsidR="00EB6080" w:rsidRPr="00EB6080" w:rsidRDefault="00EB6080" w:rsidP="00EB6080">
      <w:pPr>
        <w:spacing w:line="360" w:lineRule="auto"/>
        <w:jc w:val="center"/>
        <w:rPr>
          <w:b/>
          <w:bCs/>
          <w:color w:val="000000"/>
        </w:rPr>
      </w:pPr>
      <w:r w:rsidRPr="00EB6080">
        <w:rPr>
          <w:b/>
        </w:rPr>
        <w:t>o</w:t>
      </w:r>
      <w:r w:rsidR="00A74E29">
        <w:rPr>
          <w:b/>
        </w:rPr>
        <w:t> </w:t>
      </w:r>
      <w:r w:rsidRPr="00EB6080">
        <w:rPr>
          <w:b/>
        </w:rPr>
        <w:t xml:space="preserve">nauczycielskich świadczeniach kompensacyjnych </w:t>
      </w:r>
      <w:r w:rsidRPr="00EB6080">
        <w:rPr>
          <w:b/>
          <w:color w:val="000000"/>
          <w:shd w:val="clear" w:color="auto" w:fill="FFFFFF"/>
        </w:rPr>
        <w:t>(druk nr 1517)</w:t>
      </w:r>
    </w:p>
    <w:p w:rsidR="00EB6080" w:rsidRPr="00EB6080" w:rsidRDefault="00EB6080" w:rsidP="00EB6080">
      <w:pPr>
        <w:spacing w:line="360" w:lineRule="auto"/>
        <w:jc w:val="both"/>
        <w:rPr>
          <w:b/>
          <w:bCs/>
          <w:color w:val="000000"/>
        </w:rPr>
      </w:pPr>
    </w:p>
    <w:p w:rsidR="00EB6080" w:rsidRPr="00EB6080" w:rsidRDefault="00EB6080" w:rsidP="00EB6080">
      <w:pPr>
        <w:spacing w:line="360" w:lineRule="auto"/>
        <w:jc w:val="both"/>
        <w:rPr>
          <w:b/>
          <w:bCs/>
          <w:color w:val="000000"/>
        </w:rPr>
      </w:pPr>
    </w:p>
    <w:p w:rsidR="00EB6080" w:rsidRPr="00EB6080" w:rsidRDefault="00EB6080" w:rsidP="00EB6080">
      <w:pPr>
        <w:spacing w:line="360" w:lineRule="auto"/>
        <w:jc w:val="both"/>
        <w:rPr>
          <w:b/>
          <w:bCs/>
          <w:color w:val="000000"/>
        </w:rPr>
      </w:pPr>
    </w:p>
    <w:p w:rsidR="00EB6080" w:rsidRPr="00EB6080" w:rsidRDefault="00EB6080" w:rsidP="00EB6080">
      <w:pPr>
        <w:spacing w:line="360" w:lineRule="auto"/>
        <w:jc w:val="both"/>
        <w:rPr>
          <w:b/>
          <w:color w:val="000000"/>
        </w:rPr>
      </w:pPr>
      <w:r w:rsidRPr="00EB6080">
        <w:rPr>
          <w:b/>
          <w:color w:val="000000"/>
        </w:rPr>
        <w:t>I. Projektowane zmiany</w:t>
      </w:r>
    </w:p>
    <w:p w:rsidR="00EB6080" w:rsidRPr="00EB6080" w:rsidRDefault="00EB6080" w:rsidP="00EB6080">
      <w:pPr>
        <w:spacing w:line="360" w:lineRule="auto"/>
        <w:ind w:left="720"/>
        <w:contextualSpacing/>
        <w:jc w:val="both"/>
        <w:rPr>
          <w:b/>
          <w:bCs/>
          <w:color w:val="000000"/>
        </w:rPr>
      </w:pPr>
    </w:p>
    <w:p w:rsidR="00EB6080" w:rsidRPr="00EB6080" w:rsidRDefault="00EB6080" w:rsidP="00EB6080">
      <w:pPr>
        <w:spacing w:line="360" w:lineRule="auto"/>
        <w:ind w:right="-142" w:firstLine="709"/>
        <w:jc w:val="both"/>
        <w:rPr>
          <w:bCs/>
        </w:rPr>
      </w:pPr>
      <w:r w:rsidRPr="00EB6080">
        <w:rPr>
          <w:bCs/>
        </w:rPr>
        <w:t>Poselski projekt ustawy o zmianie ustawy o nauczycielskich świadczeniach kompensacyjnych (druk nr 1517) przewiduje uchylenie ust. 2 w art. 9 ustawy</w:t>
      </w:r>
      <w:r w:rsidRPr="00EB6080">
        <w:t xml:space="preserve"> </w:t>
      </w:r>
      <w:r w:rsidRPr="00EB6080">
        <w:rPr>
          <w:bCs/>
        </w:rPr>
        <w:t>z dnia 22 maja 2009 r. o nauczycielskich świadczeniach kompensacyjnych (Dz. U. z 2018 r. poz. 128). Celem projektowanej nowelizacji jest umożliwienie nauczycielom pobierającym nauczycielskie świadczenie kompensacyjne podjęcia zatrudnienia w jednostkach systemu oświaty bez</w:t>
      </w:r>
      <w:r w:rsidR="00A74E29">
        <w:rPr>
          <w:bCs/>
        </w:rPr>
        <w:t> </w:t>
      </w:r>
      <w:r w:rsidRPr="00EB6080">
        <w:rPr>
          <w:bCs/>
        </w:rPr>
        <w:t>zawieszenia prawa do tego świadczenia.</w:t>
      </w:r>
    </w:p>
    <w:p w:rsidR="00EB6080" w:rsidRPr="00EB6080" w:rsidRDefault="00436D69" w:rsidP="00EB6080">
      <w:pPr>
        <w:spacing w:line="360" w:lineRule="auto"/>
        <w:ind w:right="-142" w:firstLine="709"/>
        <w:jc w:val="both"/>
        <w:rPr>
          <w:bCs/>
        </w:rPr>
      </w:pPr>
      <w:r>
        <w:rPr>
          <w:bCs/>
        </w:rPr>
        <w:t>Zgodnie z projektem ustawy</w:t>
      </w:r>
      <w:r w:rsidR="00EB6080" w:rsidRPr="00EB6080">
        <w:rPr>
          <w:bCs/>
        </w:rPr>
        <w:t xml:space="preserve"> nauczyciele, którzy korzystają, bądź w kolejnych latach skorzystają z prawa do świadczenia kompensacyjnego, będą mogli łączyć jego pobieranie z zatrudnieniem w jednostkach, o których mowa w art. 1 ust</w:t>
      </w:r>
      <w:r w:rsidR="006077DF">
        <w:rPr>
          <w:bCs/>
        </w:rPr>
        <w:t xml:space="preserve">awy z dnia 26 stycznia 1982 r. </w:t>
      </w:r>
      <w:r w:rsidR="006077DF" w:rsidRPr="00EB6080">
        <w:t>–</w:t>
      </w:r>
      <w:r w:rsidR="00EB6080" w:rsidRPr="00EB6080">
        <w:rPr>
          <w:bCs/>
        </w:rPr>
        <w:t xml:space="preserve">Karta Nauczyciela (Dz. U. z 2019 r. poz. 2215, z </w:t>
      </w:r>
      <w:proofErr w:type="spellStart"/>
      <w:r w:rsidR="00EB6080" w:rsidRPr="00EB6080">
        <w:rPr>
          <w:bCs/>
        </w:rPr>
        <w:t>późn</w:t>
      </w:r>
      <w:proofErr w:type="spellEnd"/>
      <w:r w:rsidR="00EB6080" w:rsidRPr="00EB6080">
        <w:rPr>
          <w:bCs/>
        </w:rPr>
        <w:t>. zm.).</w:t>
      </w:r>
    </w:p>
    <w:p w:rsidR="00EB6080" w:rsidRPr="00EB6080" w:rsidRDefault="00EB6080" w:rsidP="00EB6080">
      <w:pPr>
        <w:spacing w:line="360" w:lineRule="auto"/>
        <w:jc w:val="both"/>
        <w:rPr>
          <w:b/>
          <w:color w:val="000000"/>
        </w:rPr>
      </w:pPr>
    </w:p>
    <w:p w:rsidR="00EB6080" w:rsidRPr="00EB6080" w:rsidRDefault="00EB6080" w:rsidP="00EB6080">
      <w:pPr>
        <w:spacing w:line="360" w:lineRule="auto"/>
        <w:jc w:val="both"/>
        <w:rPr>
          <w:b/>
          <w:color w:val="000000"/>
        </w:rPr>
      </w:pPr>
      <w:r w:rsidRPr="00EB6080">
        <w:rPr>
          <w:b/>
          <w:color w:val="000000"/>
        </w:rPr>
        <w:t>II. Obecny stan prawny</w:t>
      </w:r>
    </w:p>
    <w:p w:rsidR="00EB6080" w:rsidRPr="00EB6080" w:rsidRDefault="00EB6080" w:rsidP="00EB6080">
      <w:pPr>
        <w:spacing w:line="360" w:lineRule="auto"/>
        <w:jc w:val="both"/>
        <w:rPr>
          <w:b/>
          <w:color w:val="000000"/>
        </w:rPr>
      </w:pPr>
    </w:p>
    <w:p w:rsidR="00EB6080" w:rsidRPr="00EB6080" w:rsidRDefault="00EB6080" w:rsidP="00EB6080">
      <w:pPr>
        <w:spacing w:line="360" w:lineRule="auto"/>
        <w:ind w:right="-142" w:firstLine="709"/>
        <w:contextualSpacing/>
        <w:jc w:val="both"/>
        <w:rPr>
          <w:bCs/>
        </w:rPr>
      </w:pPr>
      <w:r w:rsidRPr="00EB6080">
        <w:t>W obecnym stanie prawnym, zgodnie z art. 9 ust. 2 ustawy o nauczycielskich świadczeniach kompensacyjnych, prawo do świadczenia kompensacyjnego ulega zawieszeniu w</w:t>
      </w:r>
      <w:r w:rsidR="001F0412">
        <w:t> </w:t>
      </w:r>
      <w:r w:rsidRPr="00EB6080">
        <w:t>razie podjęcia przez uprawnionego pracy w jednostkach, o których mowa w art. 1 ustawy</w:t>
      </w:r>
      <w:r w:rsidRPr="00EB6080">
        <w:rPr>
          <w:bCs/>
        </w:rPr>
        <w:t xml:space="preserve"> </w:t>
      </w:r>
      <w:r w:rsidR="006077DF" w:rsidRPr="00EB6080">
        <w:t>–</w:t>
      </w:r>
      <w:r w:rsidRPr="00EB6080">
        <w:t xml:space="preserve"> Karta Nauczyciela, bez względu na wysokość uzyskiwanego przychodu. </w:t>
      </w:r>
    </w:p>
    <w:p w:rsidR="00EB6080" w:rsidRPr="00EB6080" w:rsidRDefault="00EB6080" w:rsidP="00EB6080">
      <w:pPr>
        <w:spacing w:line="360" w:lineRule="auto"/>
        <w:jc w:val="both"/>
        <w:rPr>
          <w:rFonts w:eastAsia="Calibri"/>
          <w:color w:val="000000"/>
          <w:lang w:eastAsia="en-US"/>
        </w:rPr>
      </w:pPr>
    </w:p>
    <w:p w:rsidR="00EB6080" w:rsidRPr="00EB6080" w:rsidRDefault="00EB6080" w:rsidP="00EB6080">
      <w:pPr>
        <w:spacing w:line="360" w:lineRule="auto"/>
        <w:jc w:val="both"/>
        <w:rPr>
          <w:rFonts w:eastAsia="Calibri"/>
          <w:b/>
          <w:color w:val="000000"/>
          <w:lang w:eastAsia="en-US"/>
        </w:rPr>
      </w:pPr>
      <w:r w:rsidRPr="00EB6080">
        <w:rPr>
          <w:b/>
          <w:color w:val="000000"/>
        </w:rPr>
        <w:t>III. Ocena projektowanych rozwiązań</w:t>
      </w:r>
    </w:p>
    <w:p w:rsidR="00EB6080" w:rsidRPr="00EB6080" w:rsidRDefault="00EB6080" w:rsidP="00EB6080">
      <w:pPr>
        <w:spacing w:line="360" w:lineRule="auto"/>
        <w:jc w:val="both"/>
        <w:rPr>
          <w:rFonts w:eastAsia="Calibri"/>
          <w:b/>
          <w:color w:val="000000"/>
          <w:lang w:eastAsia="en-US"/>
        </w:rPr>
      </w:pPr>
    </w:p>
    <w:p w:rsidR="00EB6080" w:rsidRPr="00EB6080" w:rsidRDefault="00EB6080" w:rsidP="00EB6080">
      <w:pPr>
        <w:spacing w:line="360" w:lineRule="auto"/>
        <w:ind w:right="-1" w:firstLine="709"/>
        <w:jc w:val="both"/>
      </w:pPr>
      <w:r w:rsidRPr="00EB6080">
        <w:t xml:space="preserve">Ustawą z dnia 22 maja 2009 r. </w:t>
      </w:r>
      <w:r w:rsidRPr="00EB6080">
        <w:rPr>
          <w:bCs/>
        </w:rPr>
        <w:t xml:space="preserve">o nauczycielskich świadczeniach kompensacyjnych </w:t>
      </w:r>
      <w:r w:rsidRPr="00EB6080">
        <w:t>została utworzona nowa instytucja zabezpieczenia społecznego skierowana do nauczycieli – nauczycielskie świadczenie kompensacyjne, które może być przyznane przed osiągnięciem wieku emerytalnego.</w:t>
      </w:r>
    </w:p>
    <w:p w:rsidR="00EB6080" w:rsidRPr="00EB6080" w:rsidRDefault="00EB6080" w:rsidP="00EB6080">
      <w:pPr>
        <w:spacing w:line="360" w:lineRule="auto"/>
        <w:ind w:right="-1" w:firstLine="709"/>
        <w:jc w:val="both"/>
      </w:pPr>
      <w:r w:rsidRPr="00EB6080">
        <w:lastRenderedPageBreak/>
        <w:t>Prawo do nauczycielskiego świadczenia kompensacyjn</w:t>
      </w:r>
      <w:r w:rsidR="003A747F">
        <w:t>ego uzyskuje nauczyciel, który</w:t>
      </w:r>
      <w:r w:rsidR="008E1D0A">
        <w:t> </w:t>
      </w:r>
      <w:r w:rsidRPr="00EB6080">
        <w:t>spełnił łącznie następujące warunki:</w:t>
      </w:r>
    </w:p>
    <w:p w:rsidR="00EB6080" w:rsidRPr="00EB6080" w:rsidRDefault="00EB6080" w:rsidP="00EB6080">
      <w:pPr>
        <w:spacing w:line="360" w:lineRule="auto"/>
        <w:ind w:left="993" w:right="-1" w:hanging="284"/>
        <w:jc w:val="both"/>
      </w:pPr>
      <w:bookmarkStart w:id="0" w:name="mip41401833"/>
      <w:bookmarkEnd w:id="0"/>
      <w:r w:rsidRPr="00EB6080">
        <w:t>1) osiągnął wiek, o którym mowa w art. 4 ust. 3 ustawy o nauczycielskich świadczeniach kompensacyjnych;</w:t>
      </w:r>
    </w:p>
    <w:p w:rsidR="00EB6080" w:rsidRPr="00EB6080" w:rsidRDefault="00EB6080" w:rsidP="00EB6080">
      <w:pPr>
        <w:spacing w:line="360" w:lineRule="auto"/>
        <w:ind w:left="993" w:right="-1" w:hanging="284"/>
        <w:jc w:val="both"/>
      </w:pPr>
      <w:bookmarkStart w:id="1" w:name="mip41401834"/>
      <w:bookmarkEnd w:id="1"/>
      <w:r w:rsidRPr="00EB6080">
        <w:t>2) ma okres składkowy i nieskładkowy w rozumieniu ustawy z dnia 17 grudnia 1998 r. o emeryturach i rentach z Funduszu Ubezpieczeń Społecznych (Dz. U. z 2021 r. poz.</w:t>
      </w:r>
      <w:r w:rsidR="001F0412">
        <w:t> </w:t>
      </w:r>
      <w:r w:rsidRPr="00EB6080">
        <w:t xml:space="preserve">291, z </w:t>
      </w:r>
      <w:proofErr w:type="spellStart"/>
      <w:r w:rsidRPr="00EB6080">
        <w:t>późn</w:t>
      </w:r>
      <w:proofErr w:type="spellEnd"/>
      <w:r w:rsidRPr="00EB6080">
        <w:t>. zm.) wynoszący 30 lat, w tym 20 lat wykonywania pracy w jednostkach, o których mowa w </w:t>
      </w:r>
      <w:hyperlink r:id="rId6" w:history="1">
        <w:r w:rsidRPr="00EB6080">
          <w:t>art. 2 pkt 1</w:t>
        </w:r>
      </w:hyperlink>
      <w:r w:rsidRPr="00EB6080">
        <w:t xml:space="preserve"> ustawy o nauczycielskich świadczeniach kompensacyjnych, w wymiarze co najmniej 1/2 obowiązkowego wymiaru zajęć;</w:t>
      </w:r>
    </w:p>
    <w:p w:rsidR="00EB6080" w:rsidRPr="00EB6080" w:rsidRDefault="00EB6080" w:rsidP="00EB6080">
      <w:pPr>
        <w:spacing w:line="360" w:lineRule="auto"/>
        <w:ind w:right="-1" w:firstLine="709"/>
        <w:jc w:val="both"/>
      </w:pPr>
      <w:bookmarkStart w:id="2" w:name="mip41401835"/>
      <w:bookmarkEnd w:id="2"/>
      <w:r w:rsidRPr="00EB6080">
        <w:t>3) rozwiązał stosunek pracy.</w:t>
      </w:r>
    </w:p>
    <w:p w:rsidR="00EB6080" w:rsidRPr="00EB6080" w:rsidRDefault="00EB6080" w:rsidP="00EB6080">
      <w:pPr>
        <w:spacing w:line="360" w:lineRule="auto"/>
        <w:ind w:right="-1" w:firstLine="709"/>
        <w:jc w:val="both"/>
      </w:pPr>
      <w:r w:rsidRPr="00EB6080">
        <w:t>Wiek uprawniający do nauczycielskiego świadczenia kompensacyjnego będzie wzrastał w kolejnych latach kalendarzowych, aż osiągnie 59 lat w przypadku kobiet i 64 lata w</w:t>
      </w:r>
      <w:r w:rsidR="001F0412">
        <w:t> </w:t>
      </w:r>
      <w:r w:rsidRPr="00EB6080">
        <w:t>przypadku mężczyzn, co nast</w:t>
      </w:r>
      <w:r w:rsidR="00566A7F">
        <w:t>ąpi odpowiednio</w:t>
      </w:r>
      <w:r w:rsidR="006077DF">
        <w:t xml:space="preserve"> w latach 2031</w:t>
      </w:r>
      <w:r w:rsidR="006077DF" w:rsidRPr="00EB6080">
        <w:t>–</w:t>
      </w:r>
      <w:r w:rsidR="00566A7F">
        <w:t>20</w:t>
      </w:r>
      <w:r w:rsidRPr="00EB6080">
        <w:t>32 (art. 4 ust. 3 ustawy o nauczycielskich świadczeniach kompensacyjnych). Nauczyciel, który otrzymał świadczenie kompensacyjne, pobiera je do czasu uzyskania wieku emerytalnego.</w:t>
      </w:r>
    </w:p>
    <w:p w:rsidR="00EB6080" w:rsidRPr="00EB6080" w:rsidRDefault="00EB6080" w:rsidP="00EB6080">
      <w:pPr>
        <w:spacing w:line="360" w:lineRule="auto"/>
        <w:ind w:right="-1" w:firstLine="709"/>
        <w:jc w:val="both"/>
      </w:pPr>
      <w:r w:rsidRPr="00EB6080">
        <w:t>Prawo do świadczeń kompensacyjnych będzie obowiązywało do 2032 r. – będzie to ostatni rok, w którym nauczyciele będą mogli uzyskać prawo do świadczeń kompensacyjnych.</w:t>
      </w:r>
    </w:p>
    <w:p w:rsidR="00EB6080" w:rsidRPr="00EB6080" w:rsidRDefault="00EB6080" w:rsidP="00EB6080">
      <w:pPr>
        <w:spacing w:line="360" w:lineRule="auto"/>
        <w:ind w:right="-1" w:firstLine="709"/>
        <w:jc w:val="both"/>
      </w:pPr>
      <w:r w:rsidRPr="00EB6080">
        <w:t>Podczas prac w Sejmie nad projektem ustawy o nauczycielskich świadczeniach kompensacyjnych Biuro Analiz Sejmowych przedstawiło ocenę prawną instytucji nauczycielskich świadczeń kompensacyjnych (opinie z dnia 1</w:t>
      </w:r>
      <w:r w:rsidR="003A747F">
        <w:t xml:space="preserve">3 stycznia 2009 r. sporządzone </w:t>
      </w:r>
      <w:r w:rsidRPr="00EB6080">
        <w:t>na zlecenie Biura Analiz Sejmowych przez p. dr M. Szczepańską oraz p. G. Ciurę, specjalistę ds. społ</w:t>
      </w:r>
      <w:r w:rsidR="00436D69">
        <w:t>ecznych). Według autorów opinii</w:t>
      </w:r>
      <w:r w:rsidRPr="00EB6080">
        <w:t xml:space="preserve"> nauczycielskie świadczenia kompensacyjne należy rozpatrywać jako dodatkowy element do systemu emerytur pomostowych, który wszedł w życie 1 stycznia 2009 r., mający na celu m.in. rekompensatę dla nauczycieli w związku z nieobjęciem ich prawem do uzyskania emerytury pomostowej. Podniesiono również, że „charakter nauczycielskich świadczeń kompensacyjnych oraz zasady ich nabywania są w pewnym zakresie zbliżone do emerytur pomostowych”.</w:t>
      </w:r>
    </w:p>
    <w:p w:rsidR="00EB6080" w:rsidRPr="00EB6080" w:rsidRDefault="00EB6080" w:rsidP="00EB6080">
      <w:pPr>
        <w:spacing w:line="360" w:lineRule="auto"/>
        <w:ind w:right="-1" w:firstLine="709"/>
        <w:jc w:val="both"/>
      </w:pPr>
      <w:r w:rsidRPr="00EB6080">
        <w:t>Do cech wspólnych obydwu systemów należy przyjęcie jednakowego rozwiązania polegającego na zawieszeniu prawa do świadczeń w przypadku podjęcia przez</w:t>
      </w:r>
      <w:r w:rsidR="00A74E29">
        <w:t> </w:t>
      </w:r>
      <w:r w:rsidRPr="00EB6080">
        <w:t>świadczeniobiorcę pracy, które zostało przewidziane w:</w:t>
      </w:r>
    </w:p>
    <w:p w:rsidR="00EB6080" w:rsidRPr="00EB6080" w:rsidRDefault="006077DF" w:rsidP="00EB6080">
      <w:pPr>
        <w:spacing w:line="360" w:lineRule="auto"/>
        <w:ind w:right="-1"/>
        <w:jc w:val="both"/>
      </w:pPr>
      <w:r w:rsidRPr="00EB6080">
        <w:t>–</w:t>
      </w:r>
      <w:r w:rsidR="00EB6080" w:rsidRPr="00EB6080">
        <w:t xml:space="preserve"> art. 9 ust. 2 ustawy o nauczycielskich</w:t>
      </w:r>
      <w:r>
        <w:t xml:space="preserve"> świadczeniach kompensacyjnych </w:t>
      </w:r>
      <w:r w:rsidRPr="00EB6080">
        <w:t>–</w:t>
      </w:r>
      <w:r w:rsidR="00EB6080" w:rsidRPr="00EB6080">
        <w:t xml:space="preserve"> </w:t>
      </w:r>
      <w:r w:rsidR="00EB6080" w:rsidRPr="00EB6080">
        <w:rPr>
          <w:i/>
        </w:rPr>
        <w:t xml:space="preserve">Prawo do świadczenia ulega zawieszeniu bez względu na wysokość uzyskiwanego przychodu w razie </w:t>
      </w:r>
      <w:r w:rsidR="00EB6080" w:rsidRPr="00EB6080">
        <w:rPr>
          <w:i/>
        </w:rPr>
        <w:lastRenderedPageBreak/>
        <w:t>podjęcia przez uprawnionego pracy w jednostkach, o których mowa w art. 1</w:t>
      </w:r>
      <w:r w:rsidR="00EB6080" w:rsidRPr="00EB6080">
        <w:rPr>
          <w:i/>
          <w:vertAlign w:val="superscript"/>
        </w:rPr>
        <w:footnoteReference w:id="1"/>
      </w:r>
      <w:r w:rsidR="004D6357" w:rsidRPr="0001204C">
        <w:rPr>
          <w:i/>
          <w:vertAlign w:val="superscript"/>
        </w:rPr>
        <w:t>)</w:t>
      </w:r>
      <w:r w:rsidR="00EB6080" w:rsidRPr="00EB6080">
        <w:rPr>
          <w:i/>
        </w:rPr>
        <w:t xml:space="preserve"> ustawy z dnia 26</w:t>
      </w:r>
      <w:r w:rsidR="00A74E29">
        <w:rPr>
          <w:i/>
        </w:rPr>
        <w:t> </w:t>
      </w:r>
      <w:r>
        <w:rPr>
          <w:i/>
        </w:rPr>
        <w:t xml:space="preserve">stycznia 1982 r. </w:t>
      </w:r>
      <w:r w:rsidRPr="00EB6080">
        <w:t>–</w:t>
      </w:r>
      <w:r w:rsidR="00EB6080" w:rsidRPr="00EB6080">
        <w:rPr>
          <w:i/>
        </w:rPr>
        <w:t xml:space="preserve"> Karta Nauczyciela</w:t>
      </w:r>
      <w:r w:rsidR="00EB6080" w:rsidRPr="00EB6080">
        <w:t>,</w:t>
      </w:r>
    </w:p>
    <w:p w:rsidR="00EB6080" w:rsidRPr="00EB6080" w:rsidRDefault="006077DF" w:rsidP="00EB6080">
      <w:pPr>
        <w:spacing w:line="360" w:lineRule="auto"/>
        <w:ind w:right="-1"/>
        <w:jc w:val="both"/>
      </w:pPr>
      <w:r w:rsidRPr="00EB6080">
        <w:t>–</w:t>
      </w:r>
      <w:r w:rsidR="00EB6080" w:rsidRPr="00EB6080">
        <w:t xml:space="preserve"> art. 17 ust. 4 us</w:t>
      </w:r>
      <w:r>
        <w:t xml:space="preserve">tawy o emeryturach pomostowych </w:t>
      </w:r>
      <w:r w:rsidRPr="00EB6080">
        <w:t>–</w:t>
      </w:r>
      <w:r w:rsidR="00EB6080" w:rsidRPr="00EB6080">
        <w:t xml:space="preserve"> </w:t>
      </w:r>
      <w:r w:rsidR="00EB6080" w:rsidRPr="00EB6080">
        <w:rPr>
          <w:i/>
        </w:rPr>
        <w:t>Prawo do emerytury pomostowej ulega zawieszeniu bez względu na wysokość uzyskiwanego przychodu w razie podjęcia przez</w:t>
      </w:r>
      <w:r>
        <w:rPr>
          <w:i/>
        </w:rPr>
        <w:t> </w:t>
      </w:r>
      <w:r w:rsidR="00EB6080" w:rsidRPr="00EB6080">
        <w:rPr>
          <w:i/>
        </w:rPr>
        <w:t>uprawnionego pracy w szczególnych warunkach lub o szczególnym charakterze, w</w:t>
      </w:r>
      <w:r>
        <w:rPr>
          <w:i/>
        </w:rPr>
        <w:t> </w:t>
      </w:r>
      <w:r w:rsidR="00EB6080" w:rsidRPr="00EB6080">
        <w:rPr>
          <w:i/>
        </w:rPr>
        <w:t>rozumieniu art. 3 ust. 1 i 3</w:t>
      </w:r>
      <w:r w:rsidR="00EB6080" w:rsidRPr="00EB6080">
        <w:rPr>
          <w:i/>
          <w:vertAlign w:val="superscript"/>
        </w:rPr>
        <w:footnoteReference w:id="2"/>
      </w:r>
      <w:r w:rsidR="004D6357" w:rsidRPr="0001204C">
        <w:rPr>
          <w:i/>
          <w:vertAlign w:val="superscript"/>
        </w:rPr>
        <w:t>)</w:t>
      </w:r>
      <w:r w:rsidR="00EB6080" w:rsidRPr="00EB6080">
        <w:t xml:space="preserve">. </w:t>
      </w:r>
    </w:p>
    <w:p w:rsidR="00EB6080" w:rsidRPr="00EB6080" w:rsidRDefault="00EB6080" w:rsidP="00EB6080">
      <w:pPr>
        <w:spacing w:line="360" w:lineRule="auto"/>
        <w:ind w:right="-1" w:firstLine="709"/>
        <w:jc w:val="both"/>
      </w:pPr>
      <w:r w:rsidRPr="00EB6080">
        <w:t>Tak więc nauczycielskie świadczenia kompensacyjne nie są jedynymi świadczeniami, do których prawo zostaje zawieszone w związku z podjęciem pracy w określonych w ustawie jednostkach.</w:t>
      </w:r>
    </w:p>
    <w:p w:rsidR="00EB6080" w:rsidRPr="00EB6080" w:rsidRDefault="00EB6080" w:rsidP="00EB6080">
      <w:pPr>
        <w:spacing w:line="360" w:lineRule="auto"/>
        <w:ind w:right="-1" w:firstLine="709"/>
        <w:jc w:val="both"/>
      </w:pPr>
      <w:r w:rsidRPr="00EB6080">
        <w:t>Ponadto podkreślenia wymaga fakt, że nauczycielskie świadczenia kompensacyjne są w</w:t>
      </w:r>
      <w:r w:rsidR="001F0412">
        <w:t> </w:t>
      </w:r>
      <w:r w:rsidRPr="00EB6080">
        <w:t>całości finansowane z budżetu państwa, nie są więc świadczeniem uzyskiwanym w zamian za opłacaną składkę ubezpieczeniową (nie obciążają funduszy gromadzonych przez</w:t>
      </w:r>
      <w:r w:rsidR="006077DF">
        <w:t> </w:t>
      </w:r>
      <w:r w:rsidRPr="00EB6080">
        <w:t xml:space="preserve">nauczyciela na emeryturę). W ww. opiniach Biura Analiz Sejmowych podkreślono, że „przyjęte w projekcie ustawy rozwiązanie oznacza, że w odniesieniu do metody finansowania świadczeń nie przyjęto zasady ubezpieczeniowej, polegającej na wprowadzeniu obowiązku współfinansowania tego systemu, poprzez obowiązek opłacania dodatkowej składki, przez pracodawców, zatrudniających nauczycieli, mających prawo do nauczycielskich świadczeń kompensacyjnych bądź samych uprawnionych”. Ustanowione w art. 9 ust. 2 ustawy o nauczycielskich świadczeniach kompensacyjnych rozwiązanie wprowadzające regułę, </w:t>
      </w:r>
      <w:bookmarkStart w:id="3" w:name="_GoBack"/>
      <w:bookmarkEnd w:id="3"/>
      <w:r w:rsidRPr="00EB6080">
        <w:t>że</w:t>
      </w:r>
      <w:r w:rsidR="001F0412">
        <w:t> </w:t>
      </w:r>
      <w:r w:rsidRPr="00EB6080">
        <w:t>prawo do świadczenia ulega zawieszeniu bez względu na wysokość uzyskiwanego przychodu, w sytuacji gdy osoba uprawniona do tego świadczenia podejmuje pracę w jednostkach, o których mowa w art. 1 ustawy – Karta Nauczyciela</w:t>
      </w:r>
      <w:r w:rsidR="00A34254">
        <w:t>,</w:t>
      </w:r>
      <w:r w:rsidRPr="00EB6080">
        <w:rPr>
          <w:rFonts w:ascii="Arial" w:hAnsi="Arial" w:cs="Arial"/>
        </w:rPr>
        <w:t xml:space="preserve"> </w:t>
      </w:r>
      <w:r w:rsidRPr="00EB6080">
        <w:t xml:space="preserve">zostało ocenione pozytywnie. Wskazano, że „możliwość jednoczesnego pobierania nauczycielskiego świadczenia kompensacyjnego i otrzymywania wynagrodzenia z tytułu świadczenia pracy w charakterze nauczyciela naruszałaby cel i charakter tego świadczenia oraz wprowadzałaby </w:t>
      </w:r>
      <w:r w:rsidRPr="00EB6080">
        <w:lastRenderedPageBreak/>
        <w:t>nieuzasadnione przywilej</w:t>
      </w:r>
      <w:r w:rsidR="006C236F">
        <w:t xml:space="preserve">e dla tej grupy uprawnionych”. </w:t>
      </w:r>
      <w:r w:rsidRPr="00EB6080">
        <w:t>Należy podkreślić, że</w:t>
      </w:r>
      <w:r w:rsidR="006C236F">
        <w:t> </w:t>
      </w:r>
      <w:r w:rsidRPr="00EB6080">
        <w:t>jak</w:t>
      </w:r>
      <w:r w:rsidR="006C236F">
        <w:t> </w:t>
      </w:r>
      <w:r w:rsidRPr="00EB6080">
        <w:t>wskazano wyżej, grupy zawodowe uprawnione do emerytury pomostowej również mają ograniczenia w możliwościach ponownego podjęcia zatrudnienia, mimo że zgodnie z art. 9 ustawy o emeryturach pomostowych utworzony został Fundusz Emerytur Pomostowych, który</w:t>
      </w:r>
      <w:r w:rsidR="00996E52">
        <w:t> </w:t>
      </w:r>
      <w:r w:rsidRPr="00EB6080">
        <w:t>jest</w:t>
      </w:r>
      <w:r w:rsidR="006C236F">
        <w:t> </w:t>
      </w:r>
      <w:r w:rsidRPr="00EB6080">
        <w:t>państwowym funduszem celowym powołanym w celu fina</w:t>
      </w:r>
      <w:r w:rsidR="006C236F">
        <w:t xml:space="preserve">nsowania emerytur pomostowych. </w:t>
      </w:r>
      <w:r w:rsidRPr="00EB6080">
        <w:t>Dysponente</w:t>
      </w:r>
      <w:r w:rsidR="003A747F">
        <w:t>m Funduszu Emerytur Pomostowych</w:t>
      </w:r>
      <w:r w:rsidRPr="00EB6080">
        <w:t xml:space="preserve"> jest Zakład Ubezpieczeń Społecznych. Jednym ze źródeł finansowania ww. funduszu są składki opłacane przez</w:t>
      </w:r>
      <w:r w:rsidR="006C236F">
        <w:t> </w:t>
      </w:r>
      <w:r w:rsidRPr="00EB6080">
        <w:t>pracodawców za pracownika, który wykonuje prace w szczególnych warunkach lub</w:t>
      </w:r>
      <w:r w:rsidR="006C236F">
        <w:t> </w:t>
      </w:r>
      <w:r w:rsidRPr="00EB6080">
        <w:t xml:space="preserve">o szczególnym charakterze. </w:t>
      </w:r>
    </w:p>
    <w:p w:rsidR="00EB6080" w:rsidRPr="00EB6080" w:rsidRDefault="00EB6080" w:rsidP="00EB6080">
      <w:pPr>
        <w:spacing w:line="360" w:lineRule="auto"/>
        <w:ind w:right="-1" w:firstLine="709"/>
        <w:jc w:val="both"/>
      </w:pPr>
      <w:r w:rsidRPr="00EB6080">
        <w:t>Jednocześnie należy zauważyć, że w przy</w:t>
      </w:r>
      <w:r w:rsidR="006C236F">
        <w:t>padku uchylenia ust. 2 w art. 9</w:t>
      </w:r>
      <w:r w:rsidRPr="00EB6080">
        <w:t xml:space="preserve"> ustawy o nauczycielskich świadczeniach kompensacyjnych może powstać zarzut podwójnego finansowania z funduszy budżetu państwa. Zarówno bowiem środki na wypłatę nauczycielskiego świadczenia kompensacyjnego, jak i środki na średnie wynagrodzenia nauczycieli, są zagwarantowane przez państwo i finansowane z budżetu państwa.</w:t>
      </w:r>
    </w:p>
    <w:p w:rsidR="00EB6080" w:rsidRPr="00EB6080" w:rsidRDefault="00EB6080" w:rsidP="00EB6080">
      <w:pPr>
        <w:spacing w:line="360" w:lineRule="auto"/>
        <w:ind w:right="-142" w:firstLine="709"/>
        <w:jc w:val="both"/>
      </w:pPr>
      <w:r w:rsidRPr="00EB6080">
        <w:t>Ponadto należy podkreślić, że proponowane rozwiązanie spowoduje skutek finansowy dla budżetu państwa. Z danych zawartych w Systemie Informacji Oświatowej wg stanu na</w:t>
      </w:r>
      <w:r w:rsidR="006C236F">
        <w:t> </w:t>
      </w:r>
      <w:r w:rsidRPr="00EB6080">
        <w:t>30 września 2020 r. wynik</w:t>
      </w:r>
      <w:r w:rsidR="00455047">
        <w:t>a, że 83 378 etatów nauczycieli</w:t>
      </w:r>
      <w:r w:rsidRPr="00EB6080">
        <w:t xml:space="preserve"> to etaty obsadzone przez</w:t>
      </w:r>
      <w:r w:rsidR="006C236F">
        <w:t> </w:t>
      </w:r>
      <w:r w:rsidRPr="00EB6080">
        <w:t>nauczycieli, którzy mają prawo do świadczeń kompensacyjnych. Można domniemywać, że obecnie nauczyciele nie korzystają z nabytego uprawnienia, m.in. w związku z brakiem możliwości podjęcia pracy w zawodzie. W przypadku umożliwienia ponownego zatrudnienia, może dojść do sytuacji, w której nauczyciele, mając w perspektywie ponowne zatrudnienie, chętnie będą odchodzili na świadczenia kompensacyjne. Sytuacja taka może spowodować znaczne koszty dla budżetu państwa (trudne do oszacowania) związane z koniecznością wypłaty odpraw oraz wypłaty świadczeń kompensacyjnych do czasu uzyskania przez</w:t>
      </w:r>
      <w:r w:rsidR="003A747F">
        <w:t> </w:t>
      </w:r>
      <w:r w:rsidRPr="00EB6080">
        <w:t>świadczeniobiorcę uprawnień emerytalnych.</w:t>
      </w:r>
    </w:p>
    <w:p w:rsidR="00EB6080" w:rsidRPr="00EB6080" w:rsidRDefault="00EB6080" w:rsidP="00EB6080">
      <w:pPr>
        <w:spacing w:line="360" w:lineRule="auto"/>
        <w:contextualSpacing/>
        <w:jc w:val="both"/>
        <w:rPr>
          <w:b/>
          <w:bCs/>
          <w:color w:val="000000"/>
        </w:rPr>
      </w:pPr>
    </w:p>
    <w:p w:rsidR="00EB6080" w:rsidRPr="00EB6080" w:rsidRDefault="00EB6080" w:rsidP="00EB6080">
      <w:pPr>
        <w:spacing w:line="360" w:lineRule="auto"/>
        <w:contextualSpacing/>
        <w:jc w:val="both"/>
        <w:rPr>
          <w:b/>
          <w:bCs/>
          <w:color w:val="000000"/>
        </w:rPr>
      </w:pPr>
      <w:r w:rsidRPr="00EB6080">
        <w:rPr>
          <w:b/>
          <w:bCs/>
          <w:color w:val="000000"/>
        </w:rPr>
        <w:t>IV. Stanowisko Rady Ministrów</w:t>
      </w:r>
    </w:p>
    <w:p w:rsidR="00EB6080" w:rsidRPr="00EB6080" w:rsidRDefault="00EB6080" w:rsidP="00EB6080">
      <w:pPr>
        <w:spacing w:line="360" w:lineRule="auto"/>
        <w:contextualSpacing/>
        <w:jc w:val="both"/>
        <w:rPr>
          <w:b/>
          <w:bCs/>
          <w:color w:val="000000"/>
        </w:rPr>
      </w:pPr>
    </w:p>
    <w:p w:rsidR="008A687F" w:rsidRPr="00D523DA" w:rsidRDefault="00EB6080" w:rsidP="00D523DA">
      <w:pPr>
        <w:spacing w:line="360" w:lineRule="auto"/>
        <w:ind w:firstLine="708"/>
        <w:jc w:val="both"/>
        <w:rPr>
          <w:bCs/>
          <w:color w:val="000000"/>
        </w:rPr>
      </w:pPr>
      <w:r w:rsidRPr="00EB6080">
        <w:rPr>
          <w:bCs/>
          <w:color w:val="000000"/>
        </w:rPr>
        <w:t>Mając na uwadze powyższe, Rada Ministrów negatywnie ocenia poselski projekt ustawy o zmianie ustawy o nauczycielskich świadczeniach kompensacyjnych zawarty w druku nr 1517.</w:t>
      </w:r>
    </w:p>
    <w:sectPr w:rsidR="008A687F" w:rsidRPr="00D523DA" w:rsidSect="00380624">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CBB" w:rsidRDefault="00C55CBB" w:rsidP="00EB6080">
      <w:r>
        <w:separator/>
      </w:r>
    </w:p>
  </w:endnote>
  <w:endnote w:type="continuationSeparator" w:id="0">
    <w:p w:rsidR="00C55CBB" w:rsidRDefault="00C55CBB" w:rsidP="00EB6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624" w:rsidRDefault="00380624">
    <w:pPr>
      <w:pStyle w:val="Stopka"/>
      <w:jc w:val="center"/>
    </w:pPr>
    <w:r>
      <w:fldChar w:fldCharType="begin"/>
    </w:r>
    <w:r>
      <w:instrText>PAGE   \* MERGEFORMAT</w:instrText>
    </w:r>
    <w:r>
      <w:fldChar w:fldCharType="separate"/>
    </w:r>
    <w:r w:rsidR="001F0412">
      <w:rPr>
        <w:noProof/>
      </w:rPr>
      <w:t>4</w:t>
    </w:r>
    <w:r>
      <w:fldChar w:fldCharType="end"/>
    </w:r>
  </w:p>
  <w:p w:rsidR="00380624" w:rsidRDefault="0038062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CBB" w:rsidRDefault="00C55CBB" w:rsidP="00EB6080">
      <w:r>
        <w:separator/>
      </w:r>
    </w:p>
  </w:footnote>
  <w:footnote w:type="continuationSeparator" w:id="0">
    <w:p w:rsidR="00C55CBB" w:rsidRDefault="00C55CBB" w:rsidP="00EB6080">
      <w:r>
        <w:continuationSeparator/>
      </w:r>
    </w:p>
  </w:footnote>
  <w:footnote w:id="1">
    <w:p w:rsidR="00EB6080" w:rsidRDefault="00EB6080" w:rsidP="004D6357">
      <w:pPr>
        <w:pStyle w:val="Tekstprzypisudolnego"/>
        <w:ind w:left="284" w:hanging="284"/>
      </w:pPr>
      <w:r>
        <w:rPr>
          <w:rStyle w:val="Odwoanieprzypisudolnego"/>
        </w:rPr>
        <w:footnoteRef/>
      </w:r>
      <w:r w:rsidR="004D6357" w:rsidRPr="0001204C">
        <w:rPr>
          <w:vertAlign w:val="superscript"/>
        </w:rPr>
        <w:t>)</w:t>
      </w:r>
      <w:r w:rsidR="004D6357">
        <w:rPr>
          <w:vertAlign w:val="superscript"/>
        </w:rPr>
        <w:tab/>
      </w:r>
      <w:r w:rsidRPr="00A956A8">
        <w:rPr>
          <w:rFonts w:ascii="Times New Roman" w:hAnsi="Times New Roman" w:cs="Times New Roman"/>
        </w:rPr>
        <w:t>Dotyczy wszystkich jednostek systemu oświaty</w:t>
      </w:r>
    </w:p>
  </w:footnote>
  <w:footnote w:id="2">
    <w:p w:rsidR="00EB6080" w:rsidRPr="00A956A8" w:rsidRDefault="00EB6080" w:rsidP="004D6357">
      <w:pPr>
        <w:pStyle w:val="Tekstprzypisudolnego"/>
        <w:ind w:left="284" w:hanging="284"/>
        <w:jc w:val="both"/>
        <w:rPr>
          <w:rFonts w:ascii="Times New Roman" w:hAnsi="Times New Roman" w:cs="Times New Roman"/>
        </w:rPr>
      </w:pPr>
      <w:r>
        <w:rPr>
          <w:rStyle w:val="Odwoanieprzypisudolnego"/>
        </w:rPr>
        <w:footnoteRef/>
      </w:r>
      <w:r w:rsidR="004D6357" w:rsidRPr="0001204C">
        <w:rPr>
          <w:vertAlign w:val="superscript"/>
        </w:rPr>
        <w:t>)</w:t>
      </w:r>
      <w:r w:rsidR="004D6357">
        <w:rPr>
          <w:vertAlign w:val="superscript"/>
        </w:rPr>
        <w:tab/>
      </w:r>
      <w:r w:rsidRPr="00A956A8">
        <w:rPr>
          <w:rFonts w:ascii="Times New Roman" w:hAnsi="Times New Roman" w:cs="Times New Roman"/>
        </w:rPr>
        <w:t>Art. 3 ust. 1 Prace w szczególnych warunkach to prace związane z czynnikami ryzyka, które z wiekiem mogą z</w:t>
      </w:r>
      <w:r>
        <w:rPr>
          <w:rFonts w:ascii="Times New Roman" w:hAnsi="Times New Roman" w:cs="Times New Roman"/>
        </w:rPr>
        <w:t> </w:t>
      </w:r>
      <w:r w:rsidRPr="00A956A8">
        <w:rPr>
          <w:rFonts w:ascii="Times New Roman" w:hAnsi="Times New Roman" w:cs="Times New Roman"/>
        </w:rPr>
        <w:t>dużym prawdopodobieństwem spowodować trwałe uszkodzenie zdrowia, wykonywane w szczególnych warunkach środowiska pracy, determinowanych siłami natury lub procesami technologicznymi, które mimo zastosowania środków profilaktyki technicznej, organizacyjnej i medycznej stawiają przed pracownikami wymagania przekraczające poziom ich możliwości, ograniczony w wyniku procesu starzenia się jeszcze przed</w:t>
      </w:r>
      <w:r w:rsidR="0058634A">
        <w:rPr>
          <w:rFonts w:ascii="Times New Roman" w:hAnsi="Times New Roman" w:cs="Times New Roman"/>
        </w:rPr>
        <w:t> </w:t>
      </w:r>
      <w:r w:rsidRPr="00A956A8">
        <w:rPr>
          <w:rFonts w:ascii="Times New Roman" w:hAnsi="Times New Roman" w:cs="Times New Roman"/>
        </w:rPr>
        <w:t>osiągnięciem wieku emerytalnego, w stopniu utrudniającym ich pracę na dotychczasowym stanowisku; wykaz prac w szczególnych warunkach określa załącznik nr 1 do ustawy.</w:t>
      </w:r>
    </w:p>
    <w:p w:rsidR="00EB6080" w:rsidRPr="00A956A8" w:rsidRDefault="00EB6080" w:rsidP="0001204C">
      <w:pPr>
        <w:pStyle w:val="Tekstprzypisudolnego"/>
        <w:ind w:left="284"/>
        <w:jc w:val="both"/>
        <w:rPr>
          <w:rFonts w:ascii="Times New Roman" w:hAnsi="Times New Roman" w:cs="Times New Roman"/>
        </w:rPr>
      </w:pPr>
      <w:r w:rsidRPr="00A956A8">
        <w:rPr>
          <w:rFonts w:ascii="Times New Roman" w:hAnsi="Times New Roman" w:cs="Times New Roman"/>
        </w:rPr>
        <w:t>Art. 3 ust. 3 Prace o szczególnym charakterze to prace wymagające szczególnej odpowiedzialności oraz</w:t>
      </w:r>
      <w:r w:rsidR="006C236F">
        <w:rPr>
          <w:rFonts w:ascii="Times New Roman" w:hAnsi="Times New Roman" w:cs="Times New Roman"/>
        </w:rPr>
        <w:t> </w:t>
      </w:r>
      <w:r w:rsidRPr="00A956A8">
        <w:rPr>
          <w:rFonts w:ascii="Times New Roman" w:hAnsi="Times New Roman" w:cs="Times New Roman"/>
        </w:rPr>
        <w:t>szczególnej sprawności psychofizycznej, których możliwość należytego wykonywania w sposób niezagrażający bezpieczeństwu publicznemu, w tym zdrowiu lub życiu innych osób, zmniejsza się</w:t>
      </w:r>
      <w:r w:rsidR="0058634A">
        <w:rPr>
          <w:rFonts w:ascii="Times New Roman" w:hAnsi="Times New Roman" w:cs="Times New Roman"/>
        </w:rPr>
        <w:t> </w:t>
      </w:r>
      <w:r w:rsidRPr="00A956A8">
        <w:rPr>
          <w:rFonts w:ascii="Times New Roman" w:hAnsi="Times New Roman" w:cs="Times New Roman"/>
        </w:rPr>
        <w:t>przed</w:t>
      </w:r>
      <w:r w:rsidR="0058634A">
        <w:rPr>
          <w:rFonts w:ascii="Times New Roman" w:hAnsi="Times New Roman" w:cs="Times New Roman"/>
        </w:rPr>
        <w:t> </w:t>
      </w:r>
      <w:r w:rsidRPr="00A956A8">
        <w:rPr>
          <w:rFonts w:ascii="Times New Roman" w:hAnsi="Times New Roman" w:cs="Times New Roman"/>
        </w:rPr>
        <w:t>osiągnięciem wieku emerytalnego na skutek pogorszenia sprawności psychofizycznej, związanego z</w:t>
      </w:r>
      <w:r w:rsidR="0058634A">
        <w:rPr>
          <w:rFonts w:ascii="Times New Roman" w:hAnsi="Times New Roman" w:cs="Times New Roman"/>
        </w:rPr>
        <w:t> </w:t>
      </w:r>
      <w:r w:rsidRPr="00A956A8">
        <w:rPr>
          <w:rFonts w:ascii="Times New Roman" w:hAnsi="Times New Roman" w:cs="Times New Roman"/>
        </w:rPr>
        <w:t>procesem starzenia się; wykaz prac o szczególnym charakterze określa załącznik nr 2 do ustawy.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E92"/>
    <w:rsid w:val="0001204C"/>
    <w:rsid w:val="000151F3"/>
    <w:rsid w:val="000358C5"/>
    <w:rsid w:val="00061A20"/>
    <w:rsid w:val="000D1D25"/>
    <w:rsid w:val="000E0D74"/>
    <w:rsid w:val="00111FAE"/>
    <w:rsid w:val="0015096B"/>
    <w:rsid w:val="00193246"/>
    <w:rsid w:val="001A7300"/>
    <w:rsid w:val="001C11AC"/>
    <w:rsid w:val="001F0412"/>
    <w:rsid w:val="00213EB6"/>
    <w:rsid w:val="00230302"/>
    <w:rsid w:val="002737BA"/>
    <w:rsid w:val="003062D5"/>
    <w:rsid w:val="0030719F"/>
    <w:rsid w:val="00374771"/>
    <w:rsid w:val="00380624"/>
    <w:rsid w:val="003A09A2"/>
    <w:rsid w:val="003A205F"/>
    <w:rsid w:val="003A747F"/>
    <w:rsid w:val="003B5C01"/>
    <w:rsid w:val="003C1DE1"/>
    <w:rsid w:val="00411B83"/>
    <w:rsid w:val="00436D69"/>
    <w:rsid w:val="00455047"/>
    <w:rsid w:val="004605ED"/>
    <w:rsid w:val="00470101"/>
    <w:rsid w:val="004C15E2"/>
    <w:rsid w:val="004C1E8F"/>
    <w:rsid w:val="004D05CB"/>
    <w:rsid w:val="004D6357"/>
    <w:rsid w:val="00531E6A"/>
    <w:rsid w:val="00566A7F"/>
    <w:rsid w:val="0058634A"/>
    <w:rsid w:val="005D08B6"/>
    <w:rsid w:val="006077DF"/>
    <w:rsid w:val="006242FA"/>
    <w:rsid w:val="00641DFB"/>
    <w:rsid w:val="006921E8"/>
    <w:rsid w:val="006A5AA5"/>
    <w:rsid w:val="006C236F"/>
    <w:rsid w:val="00704C9C"/>
    <w:rsid w:val="00744EC9"/>
    <w:rsid w:val="007A2825"/>
    <w:rsid w:val="007A739E"/>
    <w:rsid w:val="007C27D4"/>
    <w:rsid w:val="007D011B"/>
    <w:rsid w:val="007E1894"/>
    <w:rsid w:val="00801F65"/>
    <w:rsid w:val="00804092"/>
    <w:rsid w:val="008060A8"/>
    <w:rsid w:val="00807019"/>
    <w:rsid w:val="00856F23"/>
    <w:rsid w:val="008916AF"/>
    <w:rsid w:val="008A2D15"/>
    <w:rsid w:val="008A687F"/>
    <w:rsid w:val="008C4A77"/>
    <w:rsid w:val="008E1D0A"/>
    <w:rsid w:val="00922417"/>
    <w:rsid w:val="00987A42"/>
    <w:rsid w:val="00996E52"/>
    <w:rsid w:val="009E23F6"/>
    <w:rsid w:val="00A34254"/>
    <w:rsid w:val="00A7160D"/>
    <w:rsid w:val="00A74E29"/>
    <w:rsid w:val="00A8373E"/>
    <w:rsid w:val="00A95B12"/>
    <w:rsid w:val="00AA1AA7"/>
    <w:rsid w:val="00AB0878"/>
    <w:rsid w:val="00AD4236"/>
    <w:rsid w:val="00AE7F63"/>
    <w:rsid w:val="00B03499"/>
    <w:rsid w:val="00B25671"/>
    <w:rsid w:val="00BD33EC"/>
    <w:rsid w:val="00BD6487"/>
    <w:rsid w:val="00C253B8"/>
    <w:rsid w:val="00C55CBB"/>
    <w:rsid w:val="00C76344"/>
    <w:rsid w:val="00C76672"/>
    <w:rsid w:val="00C82B27"/>
    <w:rsid w:val="00CA6BC8"/>
    <w:rsid w:val="00D06826"/>
    <w:rsid w:val="00D11E92"/>
    <w:rsid w:val="00D3587B"/>
    <w:rsid w:val="00D523DA"/>
    <w:rsid w:val="00DA2638"/>
    <w:rsid w:val="00DA44EB"/>
    <w:rsid w:val="00DC69DE"/>
    <w:rsid w:val="00DF7DE3"/>
    <w:rsid w:val="00E13BCD"/>
    <w:rsid w:val="00E154E5"/>
    <w:rsid w:val="00E16D7D"/>
    <w:rsid w:val="00E86725"/>
    <w:rsid w:val="00EB1CC1"/>
    <w:rsid w:val="00EB6080"/>
    <w:rsid w:val="00EF26CA"/>
    <w:rsid w:val="00F47F46"/>
    <w:rsid w:val="00F500C2"/>
    <w:rsid w:val="00F50546"/>
    <w:rsid w:val="00F50AD5"/>
    <w:rsid w:val="00FF5E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014E51"/>
  <w15:chartTrackingRefBased/>
  <w15:docId w15:val="{1EC8D1AC-0431-49C3-9890-AAD4E63A1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nhideWhenUsed/>
    <w:rsid w:val="00EB6080"/>
    <w:rPr>
      <w:rFonts w:ascii="Arial" w:hAnsi="Arial" w:cs="Arial"/>
      <w:sz w:val="20"/>
      <w:szCs w:val="20"/>
    </w:rPr>
  </w:style>
  <w:style w:type="character" w:customStyle="1" w:styleId="TekstprzypisudolnegoZnak">
    <w:name w:val="Tekst przypisu dolnego Znak"/>
    <w:link w:val="Tekstprzypisudolnego"/>
    <w:rsid w:val="00EB6080"/>
    <w:rPr>
      <w:rFonts w:ascii="Arial" w:hAnsi="Arial" w:cs="Arial"/>
    </w:rPr>
  </w:style>
  <w:style w:type="character" w:styleId="Odwoanieprzypisudolnego">
    <w:name w:val="footnote reference"/>
    <w:unhideWhenUsed/>
    <w:rsid w:val="00EB6080"/>
    <w:rPr>
      <w:vertAlign w:val="superscript"/>
    </w:rPr>
  </w:style>
  <w:style w:type="paragraph" w:styleId="Nagwek">
    <w:name w:val="header"/>
    <w:basedOn w:val="Normalny"/>
    <w:link w:val="NagwekZnak"/>
    <w:rsid w:val="00380624"/>
    <w:pPr>
      <w:tabs>
        <w:tab w:val="center" w:pos="4536"/>
        <w:tab w:val="right" w:pos="9072"/>
      </w:tabs>
    </w:pPr>
  </w:style>
  <w:style w:type="character" w:customStyle="1" w:styleId="NagwekZnak">
    <w:name w:val="Nagłówek Znak"/>
    <w:link w:val="Nagwek"/>
    <w:rsid w:val="00380624"/>
    <w:rPr>
      <w:sz w:val="24"/>
      <w:szCs w:val="24"/>
    </w:rPr>
  </w:style>
  <w:style w:type="paragraph" w:styleId="Stopka">
    <w:name w:val="footer"/>
    <w:basedOn w:val="Normalny"/>
    <w:link w:val="StopkaZnak"/>
    <w:uiPriority w:val="99"/>
    <w:rsid w:val="00380624"/>
    <w:pPr>
      <w:tabs>
        <w:tab w:val="center" w:pos="4536"/>
        <w:tab w:val="right" w:pos="9072"/>
      </w:tabs>
    </w:pPr>
  </w:style>
  <w:style w:type="character" w:customStyle="1" w:styleId="StopkaZnak">
    <w:name w:val="Stopka Znak"/>
    <w:link w:val="Stopka"/>
    <w:uiPriority w:val="99"/>
    <w:rsid w:val="00380624"/>
    <w:rPr>
      <w:sz w:val="24"/>
      <w:szCs w:val="24"/>
    </w:rPr>
  </w:style>
  <w:style w:type="paragraph" w:styleId="Tekstdymka">
    <w:name w:val="Balloon Text"/>
    <w:basedOn w:val="Normalny"/>
    <w:link w:val="TekstdymkaZnak"/>
    <w:rsid w:val="004D6357"/>
    <w:rPr>
      <w:rFonts w:ascii="Segoe UI" w:hAnsi="Segoe UI" w:cs="Segoe UI"/>
      <w:sz w:val="18"/>
      <w:szCs w:val="18"/>
    </w:rPr>
  </w:style>
  <w:style w:type="character" w:customStyle="1" w:styleId="TekstdymkaZnak">
    <w:name w:val="Tekst dymka Znak"/>
    <w:basedOn w:val="Domylnaczcionkaakapitu"/>
    <w:link w:val="Tekstdymka"/>
    <w:rsid w:val="004D63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ip.legalis.pl/document-view.seam?documentId=mfrxilrtg4ytcobwg4ytiltqmfyc4nbrgqydcobsg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1167</Words>
  <Characters>7006</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WOI-TBD</Company>
  <LinksUpToDate>false</LinksUpToDate>
  <CharactersWithSpaces>8157</CharactersWithSpaces>
  <SharedDoc>false</SharedDoc>
  <HLinks>
    <vt:vector size="6" baseType="variant">
      <vt:variant>
        <vt:i4>3014773</vt:i4>
      </vt:variant>
      <vt:variant>
        <vt:i4>0</vt:i4>
      </vt:variant>
      <vt:variant>
        <vt:i4>0</vt:i4>
      </vt:variant>
      <vt:variant>
        <vt:i4>5</vt:i4>
      </vt:variant>
      <vt:variant>
        <vt:lpwstr>https://sip.legalis.pl/document-view.seam?documentId=mfrxilrtg4ytcobwg4ytiltqmfyc4nbrgqydcobsgy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msawicka</dc:creator>
  <cp:keywords/>
  <dc:description/>
  <cp:lastModifiedBy>Sabiniewicz Marcin</cp:lastModifiedBy>
  <cp:revision>9</cp:revision>
  <dcterms:created xsi:type="dcterms:W3CDTF">2021-10-18T08:34:00Z</dcterms:created>
  <dcterms:modified xsi:type="dcterms:W3CDTF">2021-10-18T11:48:00Z</dcterms:modified>
</cp:coreProperties>
</file>