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BF3AB" w14:textId="7142DCDD" w:rsidR="00C52745" w:rsidRDefault="00C52745" w:rsidP="00336FD2">
      <w:pPr>
        <w:pStyle w:val="OZNPROJEKTUwskazaniedatylubwersjiprojektu"/>
      </w:pPr>
      <w:bookmarkStart w:id="0" w:name="_GoBack"/>
      <w:bookmarkEnd w:id="0"/>
      <w:r w:rsidRPr="00C52745">
        <w:t>Projekt</w:t>
      </w:r>
    </w:p>
    <w:p w14:paraId="52DA78DE" w14:textId="7497CD03" w:rsidR="00D74CA6" w:rsidRPr="00D74CA6" w:rsidRDefault="00D74CA6" w:rsidP="00D74CA6">
      <w:pPr>
        <w:pStyle w:val="OZNRODZAKTUtznustawalubrozporzdzenieiorganwydajcy"/>
      </w:pPr>
      <w:r w:rsidRPr="00D74CA6">
        <w:t>U</w:t>
      </w:r>
      <w:r w:rsidR="00E90C80">
        <w:t>ST</w:t>
      </w:r>
      <w:r w:rsidRPr="00D74CA6">
        <w:t>A</w:t>
      </w:r>
      <w:r w:rsidR="00E90C80">
        <w:t>W</w:t>
      </w:r>
      <w:r w:rsidRPr="00D74CA6">
        <w:t>A</w:t>
      </w:r>
    </w:p>
    <w:p w14:paraId="225BC074" w14:textId="7C28E6ED" w:rsidR="00D74CA6" w:rsidRPr="00D74CA6" w:rsidRDefault="00E90C80" w:rsidP="00D74CA6">
      <w:pPr>
        <w:pStyle w:val="DATAAKTUdatauchwalenialubwydaniaaktu"/>
      </w:pPr>
      <w:r>
        <w:t>z dnia</w:t>
      </w:r>
    </w:p>
    <w:p w14:paraId="34F2F9E2" w14:textId="77777777" w:rsidR="00D74CA6" w:rsidRPr="00447A90" w:rsidRDefault="00D74CA6" w:rsidP="00447A90">
      <w:pPr>
        <w:pStyle w:val="TYTUAKTUprzedmiotregulacjiustawylubrozporzdzenia"/>
      </w:pPr>
      <w:r w:rsidRPr="00447A90">
        <w:t>o zmianie ustawy – Prawo budowlane oraz ustawy o planowaniu i zagospodarowaniu</w:t>
      </w:r>
      <w:r w:rsidR="00447A90">
        <w:t xml:space="preserve"> </w:t>
      </w:r>
      <w:r w:rsidRPr="00447A90">
        <w:t>przestrzennym</w:t>
      </w:r>
    </w:p>
    <w:p w14:paraId="68692179" w14:textId="1CCF43EC" w:rsidR="00D74CA6" w:rsidRPr="00447A90" w:rsidRDefault="00AD7E25">
      <w:pPr>
        <w:pStyle w:val="ARTartustawynprozporzdzenia"/>
      </w:pPr>
      <w:r>
        <w:rPr>
          <w:rStyle w:val="Ppogrubienie"/>
        </w:rPr>
        <w:t>Art. </w:t>
      </w:r>
      <w:r w:rsidR="00D74CA6" w:rsidRPr="008C180E">
        <w:rPr>
          <w:rStyle w:val="Ppogrubienie"/>
        </w:rPr>
        <w:t>1.</w:t>
      </w:r>
      <w:r>
        <w:t> </w:t>
      </w:r>
      <w:r w:rsidR="00D74CA6" w:rsidRPr="00447A90">
        <w:t xml:space="preserve">W ustawie z dnia 7 lipca 1994 r. – Prawo budowlane (Dz. U. z 2020 r. poz. 1333, z </w:t>
      </w:r>
      <w:proofErr w:type="spellStart"/>
      <w:r w:rsidR="00D74CA6" w:rsidRPr="00447A90">
        <w:t>pó</w:t>
      </w:r>
      <w:r w:rsidR="00D74CA6" w:rsidRPr="00447A90">
        <w:rPr>
          <w:rFonts w:hint="eastAsia"/>
        </w:rPr>
        <w:t>ź</w:t>
      </w:r>
      <w:r w:rsidR="00D74CA6" w:rsidRPr="00447A90">
        <w:t>n</w:t>
      </w:r>
      <w:proofErr w:type="spellEnd"/>
      <w:r w:rsidR="00D74CA6" w:rsidRPr="00447A90">
        <w:t>. zm.</w:t>
      </w:r>
      <w:r w:rsidR="00447A90">
        <w:rPr>
          <w:rStyle w:val="Odwoanieprzypisudolnego"/>
        </w:rPr>
        <w:footnoteReference w:customMarkFollows="1" w:id="1"/>
        <w:t>1)</w:t>
      </w:r>
      <w:r w:rsidR="00D74CA6" w:rsidRPr="00447A90">
        <w:t>) wprowadza si</w:t>
      </w:r>
      <w:r w:rsidR="00D74CA6" w:rsidRPr="00447A90">
        <w:rPr>
          <w:rFonts w:hint="eastAsia"/>
        </w:rPr>
        <w:t>ę</w:t>
      </w:r>
      <w:r w:rsidR="00D74CA6" w:rsidRPr="00447A90">
        <w:t xml:space="preserve"> nast</w:t>
      </w:r>
      <w:r w:rsidR="00D74CA6" w:rsidRPr="00447A90">
        <w:rPr>
          <w:rFonts w:hint="eastAsia"/>
        </w:rPr>
        <w:t>ę</w:t>
      </w:r>
      <w:r w:rsidR="00D74CA6" w:rsidRPr="00447A90">
        <w:t>puj</w:t>
      </w:r>
      <w:r w:rsidR="00D74CA6" w:rsidRPr="00447A90">
        <w:rPr>
          <w:rFonts w:hint="eastAsia"/>
        </w:rPr>
        <w:t>ą</w:t>
      </w:r>
      <w:r w:rsidR="00D74CA6" w:rsidRPr="00447A90">
        <w:t>ce zmiany:</w:t>
      </w:r>
    </w:p>
    <w:p w14:paraId="24361F03" w14:textId="77777777" w:rsidR="00E56E4E" w:rsidRPr="00E56E4E" w:rsidRDefault="00D74CA6" w:rsidP="008C180E">
      <w:pPr>
        <w:pStyle w:val="PKTpunkt"/>
      </w:pPr>
      <w:r w:rsidRPr="00D74CA6">
        <w:t>1)</w:t>
      </w:r>
      <w:r w:rsidR="008C180E">
        <w:tab/>
      </w:r>
      <w:r w:rsidR="00E56E4E" w:rsidRPr="00E56E4E">
        <w:t xml:space="preserve">w art. 21 dotychczasową treść oznacza się jako ust. 1 i dodaje </w:t>
      </w:r>
      <w:r w:rsidR="00B7661F">
        <w:t xml:space="preserve">się </w:t>
      </w:r>
      <w:r w:rsidR="00E56E4E" w:rsidRPr="00E56E4E">
        <w:t>ust. 2 w brzmieniu:</w:t>
      </w:r>
    </w:p>
    <w:p w14:paraId="4B5079D3" w14:textId="77777777" w:rsidR="00E56E4E" w:rsidRPr="00447A90" w:rsidRDefault="00E56E4E" w:rsidP="008C180E">
      <w:pPr>
        <w:pStyle w:val="ZUSTzmustartykuempunktem"/>
      </w:pPr>
      <w:r w:rsidRPr="00447A90">
        <w:t>„2. W przypadku</w:t>
      </w:r>
      <w:r w:rsidR="00B7661F">
        <w:t xml:space="preserve"> robót budowlanych</w:t>
      </w:r>
      <w:r w:rsidR="008D489D">
        <w:t>,</w:t>
      </w:r>
      <w:r w:rsidR="00B7661F">
        <w:t xml:space="preserve"> dla których nie prowadzi się dziennika budowy, </w:t>
      </w:r>
      <w:r w:rsidRPr="00447A90">
        <w:t xml:space="preserve">uprawnienie projektanta do </w:t>
      </w:r>
      <w:r w:rsidRPr="00447A90">
        <w:rPr>
          <w:rFonts w:hint="eastAsia"/>
        </w:rPr>
        <w:t>żą</w:t>
      </w:r>
      <w:r w:rsidRPr="00447A90">
        <w:t xml:space="preserve">dania wstrzymania </w:t>
      </w:r>
      <w:r w:rsidR="00B7661F">
        <w:t>robót budowlanych, o który</w:t>
      </w:r>
      <w:r w:rsidR="008C180E">
        <w:t>m</w:t>
      </w:r>
      <w:r w:rsidRPr="00447A90">
        <w:t xml:space="preserve"> </w:t>
      </w:r>
      <w:r w:rsidR="00B7661F">
        <w:t>mowa w ust. 1 pkt 2</w:t>
      </w:r>
      <w:r w:rsidRPr="00447A90">
        <w:t>, jest realizowane przez zawiadomienie w</w:t>
      </w:r>
      <w:r w:rsidRPr="00447A90">
        <w:rPr>
          <w:rFonts w:hint="eastAsia"/>
        </w:rPr>
        <w:t>ł</w:t>
      </w:r>
      <w:r w:rsidRPr="00447A90">
        <w:t>a</w:t>
      </w:r>
      <w:r w:rsidRPr="00447A90">
        <w:rPr>
          <w:rFonts w:hint="eastAsia"/>
        </w:rPr>
        <w:t>ś</w:t>
      </w:r>
      <w:r w:rsidRPr="00447A90">
        <w:t>ciwego organu nadzoru budow</w:t>
      </w:r>
      <w:r w:rsidR="00D829AE">
        <w:t>l</w:t>
      </w:r>
      <w:r w:rsidRPr="00447A90">
        <w:t>anego</w:t>
      </w:r>
      <w:r w:rsidR="00B7661F">
        <w:t xml:space="preserve"> o wyst</w:t>
      </w:r>
      <w:r w:rsidR="009466CA">
        <w:t>ąpieniu przesłanek określonych w ust. 1 pkt 2 lit. a lub b</w:t>
      </w:r>
      <w:r w:rsidRPr="00447A90">
        <w:t>.”;</w:t>
      </w:r>
    </w:p>
    <w:p w14:paraId="695E7548" w14:textId="77777777" w:rsidR="00D74CA6" w:rsidRPr="00447A90" w:rsidRDefault="00E56E4E">
      <w:pPr>
        <w:pStyle w:val="PKTpunkt"/>
      </w:pPr>
      <w:r w:rsidRPr="00447A90">
        <w:t>2)</w:t>
      </w:r>
      <w:r w:rsidR="008C180E">
        <w:tab/>
      </w:r>
      <w:r w:rsidR="00D74CA6" w:rsidRPr="00447A90">
        <w:t>w art. 29 w ust. 1:</w:t>
      </w:r>
    </w:p>
    <w:p w14:paraId="67C63EFE" w14:textId="77777777" w:rsidR="00D74CA6" w:rsidRPr="00447A90" w:rsidRDefault="00D74CA6">
      <w:pPr>
        <w:pStyle w:val="LITlitera"/>
      </w:pPr>
      <w:r w:rsidRPr="00447A90">
        <w:t>a)</w:t>
      </w:r>
      <w:r w:rsidR="008C180E">
        <w:tab/>
      </w:r>
      <w:r w:rsidRPr="00447A90">
        <w:t>po pkt 1 dodaje si</w:t>
      </w:r>
      <w:r w:rsidRPr="00447A90">
        <w:rPr>
          <w:rFonts w:hint="eastAsia"/>
        </w:rPr>
        <w:t>ę</w:t>
      </w:r>
      <w:r w:rsidRPr="00447A90">
        <w:t xml:space="preserve"> pkt 1a w brzmieniu: </w:t>
      </w:r>
    </w:p>
    <w:p w14:paraId="3B6B8F6F" w14:textId="3F664348" w:rsidR="00D74CA6" w:rsidRPr="00447A90" w:rsidRDefault="00022A68" w:rsidP="008C180E">
      <w:pPr>
        <w:pStyle w:val="ZLITPKTzmpktliter"/>
      </w:pPr>
      <w:r>
        <w:t>„1a)</w:t>
      </w:r>
      <w:r>
        <w:tab/>
      </w:r>
      <w:r w:rsidR="00D74CA6" w:rsidRPr="00447A90">
        <w:t>wolno stoj</w:t>
      </w:r>
      <w:r w:rsidR="00D74CA6" w:rsidRPr="00447A90">
        <w:rPr>
          <w:rFonts w:hint="eastAsia"/>
        </w:rPr>
        <w:t>ą</w:t>
      </w:r>
      <w:r w:rsidR="00D74CA6" w:rsidRPr="00447A90">
        <w:t>cych, nie wi</w:t>
      </w:r>
      <w:r w:rsidR="00D74CA6" w:rsidRPr="00447A90">
        <w:rPr>
          <w:rFonts w:hint="eastAsia"/>
        </w:rPr>
        <w:t>ę</w:t>
      </w:r>
      <w:r w:rsidR="00D74CA6" w:rsidRPr="00447A90">
        <w:t>cej ni</w:t>
      </w:r>
      <w:r w:rsidR="00D74CA6" w:rsidRPr="00447A90">
        <w:rPr>
          <w:rFonts w:hint="eastAsia"/>
        </w:rPr>
        <w:t>ż</w:t>
      </w:r>
      <w:r w:rsidR="00D74CA6" w:rsidRPr="00447A90">
        <w:t xml:space="preserve"> dwukondygnacyjnych budynków mieszkalnych jednorodzinnych o powierzchni zabudowy do 70 m</w:t>
      </w:r>
      <w:r w:rsidR="009466CA">
        <w:rPr>
          <w:rFonts w:cs="Times"/>
        </w:rPr>
        <w:t>²</w:t>
      </w:r>
      <w:r w:rsidR="00D74CA6" w:rsidRPr="00447A90">
        <w:t xml:space="preserve">, </w:t>
      </w:r>
      <w:r w:rsidR="004F5FC7" w:rsidRPr="004F5FC7">
        <w:t xml:space="preserve">których obszar oddziaływania mieści się w całości na działce, na której zostały zaprojektowane, przy czym liczba tych budynków </w:t>
      </w:r>
      <w:r w:rsidR="00D550FA">
        <w:t xml:space="preserve">na działce </w:t>
      </w:r>
      <w:r w:rsidR="004F5FC7" w:rsidRPr="004F5FC7">
        <w:t>nie mo</w:t>
      </w:r>
      <w:r w:rsidR="004F5FC7" w:rsidRPr="004F5FC7">
        <w:rPr>
          <w:rFonts w:hint="eastAsia"/>
        </w:rPr>
        <w:t>ż</w:t>
      </w:r>
      <w:r w:rsidR="004F5FC7" w:rsidRPr="004F5FC7">
        <w:t>e by</w:t>
      </w:r>
      <w:r w:rsidR="004F5FC7" w:rsidRPr="004F5FC7">
        <w:rPr>
          <w:rFonts w:hint="eastAsia"/>
        </w:rPr>
        <w:t>ć</w:t>
      </w:r>
      <w:r w:rsidR="004F5FC7" w:rsidRPr="004F5FC7">
        <w:t xml:space="preserve"> wi</w:t>
      </w:r>
      <w:r w:rsidR="004F5FC7" w:rsidRPr="004F5FC7">
        <w:rPr>
          <w:rFonts w:hint="eastAsia"/>
        </w:rPr>
        <w:t>ę</w:t>
      </w:r>
      <w:r w:rsidR="004F5FC7" w:rsidRPr="004F5FC7">
        <w:t>ksza ni</w:t>
      </w:r>
      <w:r w:rsidR="004F5FC7" w:rsidRPr="004F5FC7">
        <w:rPr>
          <w:rFonts w:hint="eastAsia"/>
        </w:rPr>
        <w:t>ż</w:t>
      </w:r>
      <w:r w:rsidR="004F5FC7" w:rsidRPr="004F5FC7">
        <w:t xml:space="preserve"> jeden na ka</w:t>
      </w:r>
      <w:r w:rsidR="004F5FC7" w:rsidRPr="004F5FC7">
        <w:rPr>
          <w:rFonts w:hint="eastAsia"/>
        </w:rPr>
        <w:t>ż</w:t>
      </w:r>
      <w:r w:rsidR="004F5FC7" w:rsidRPr="004F5FC7">
        <w:t>de 500 m² powierzchni dzia</w:t>
      </w:r>
      <w:r w:rsidR="004F5FC7" w:rsidRPr="004F5FC7">
        <w:rPr>
          <w:rFonts w:hint="eastAsia"/>
        </w:rPr>
        <w:t>ł</w:t>
      </w:r>
      <w:r w:rsidR="004F5FC7" w:rsidRPr="004F5FC7">
        <w:t>ki, a budowa jest prowadzona w celu zaspokojenia własnych potrzeb mieszkaniowych inwestora;</w:t>
      </w:r>
      <w:r w:rsidR="00D74CA6" w:rsidRPr="00447A90">
        <w:t>”</w:t>
      </w:r>
      <w:r w:rsidR="00E56E4E" w:rsidRPr="00447A90">
        <w:t>,</w:t>
      </w:r>
    </w:p>
    <w:p w14:paraId="286A6427" w14:textId="668F12E4" w:rsidR="004F5FC7" w:rsidRPr="004F5FC7" w:rsidRDefault="00D74CA6" w:rsidP="004F5FC7">
      <w:pPr>
        <w:pStyle w:val="LITlitera"/>
      </w:pPr>
      <w:r w:rsidRPr="00447A90">
        <w:t>b)</w:t>
      </w:r>
      <w:r w:rsidR="008C180E">
        <w:tab/>
      </w:r>
      <w:r w:rsidR="004F5FC7" w:rsidRPr="004F5FC7">
        <w:t>pkt 16 otrzymuje brzmienie:</w:t>
      </w:r>
    </w:p>
    <w:p w14:paraId="1490E2F2" w14:textId="67F2BED0" w:rsidR="004F5FC7" w:rsidRPr="004F5FC7" w:rsidRDefault="004F5FC7" w:rsidP="004F5FC7">
      <w:pPr>
        <w:pStyle w:val="ZLITPKTzmpktliter"/>
      </w:pPr>
      <w:r w:rsidRPr="004F5FC7">
        <w:t>„16)</w:t>
      </w:r>
      <w:r w:rsidR="00AD6FC6">
        <w:tab/>
      </w:r>
      <w:r w:rsidRPr="004F5FC7">
        <w:t>wolno stojących parterowych budynków rekreacji indywidua</w:t>
      </w:r>
      <w:r w:rsidR="00D829AE">
        <w:t>l</w:t>
      </w:r>
      <w:r w:rsidRPr="004F5FC7">
        <w:t xml:space="preserve">nej rozumianych jako budynki przeznaczone do okresowego wypoczynku, o powierzchni zabudowy: </w:t>
      </w:r>
    </w:p>
    <w:p w14:paraId="155F08ED" w14:textId="77777777" w:rsidR="004F5FC7" w:rsidRPr="004F5FC7" w:rsidRDefault="004F5FC7" w:rsidP="00AD6FC6">
      <w:pPr>
        <w:pStyle w:val="ZLITLITwPKTzmlitwpktliter"/>
      </w:pPr>
      <w:r w:rsidRPr="004F5FC7">
        <w:t>a)</w:t>
      </w:r>
      <w:r w:rsidR="00AD6FC6">
        <w:tab/>
      </w:r>
      <w:r w:rsidRPr="004F5FC7">
        <w:t>do 35 m²,</w:t>
      </w:r>
    </w:p>
    <w:p w14:paraId="79E6299C" w14:textId="662CC30B" w:rsidR="004F5FC7" w:rsidRPr="004F5FC7" w:rsidRDefault="004F5FC7" w:rsidP="00AD6FC6">
      <w:pPr>
        <w:pStyle w:val="ZLITLITwPKTzmlitwpktliter"/>
      </w:pPr>
      <w:r w:rsidRPr="004F5FC7">
        <w:t>b)</w:t>
      </w:r>
      <w:r w:rsidR="00AD6FC6">
        <w:tab/>
      </w:r>
      <w:r w:rsidRPr="004F5FC7">
        <w:t>do 70 m², przy rozpi</w:t>
      </w:r>
      <w:r w:rsidRPr="004F5FC7">
        <w:rPr>
          <w:rFonts w:hint="eastAsia"/>
        </w:rPr>
        <w:t>ę</w:t>
      </w:r>
      <w:r w:rsidRPr="004F5FC7">
        <w:t>to</w:t>
      </w:r>
      <w:r w:rsidRPr="004F5FC7">
        <w:rPr>
          <w:rFonts w:hint="eastAsia"/>
        </w:rPr>
        <w:t>ś</w:t>
      </w:r>
      <w:r w:rsidR="00F70E1C">
        <w:t>ci</w:t>
      </w:r>
      <w:r w:rsidRPr="004F5FC7">
        <w:t xml:space="preserve"> elementów konstrukcyjnych </w:t>
      </w:r>
      <w:r w:rsidR="00F70E1C">
        <w:t>do</w:t>
      </w:r>
      <w:r w:rsidR="008E3B46">
        <w:t xml:space="preserve"> </w:t>
      </w:r>
      <w:r w:rsidRPr="004F5FC7">
        <w:t>6 m</w:t>
      </w:r>
      <w:r w:rsidR="000F550B">
        <w:t xml:space="preserve"> </w:t>
      </w:r>
      <w:r w:rsidR="008E3B46">
        <w:t>i</w:t>
      </w:r>
      <w:r w:rsidR="008E3B46" w:rsidRPr="004F5FC7">
        <w:t xml:space="preserve"> </w:t>
      </w:r>
      <w:r w:rsidRPr="004F5FC7">
        <w:t>wysi</w:t>
      </w:r>
      <w:r w:rsidRPr="004F5FC7">
        <w:rPr>
          <w:rFonts w:hint="eastAsia"/>
        </w:rPr>
        <w:t>ę</w:t>
      </w:r>
      <w:r w:rsidRPr="004F5FC7">
        <w:t>g</w:t>
      </w:r>
      <w:r w:rsidR="008E3B46">
        <w:t>u</w:t>
      </w:r>
      <w:r w:rsidRPr="004F5FC7">
        <w:t xml:space="preserve"> wsporników </w:t>
      </w:r>
      <w:r w:rsidR="008E3B46">
        <w:t xml:space="preserve">do </w:t>
      </w:r>
      <w:r w:rsidRPr="004F5FC7">
        <w:t>2 m</w:t>
      </w:r>
    </w:p>
    <w:p w14:paraId="0DD74ABF" w14:textId="25A72AF0" w:rsidR="00D52F7D" w:rsidRDefault="000F550B" w:rsidP="00AD6FC6">
      <w:pPr>
        <w:pStyle w:val="ZLITCZWSPLITwPKTzmczciwsplitwpktliter"/>
      </w:pPr>
      <w:r>
        <w:lastRenderedPageBreak/>
        <w:t>–</w:t>
      </w:r>
      <w:r w:rsidR="004F5FC7" w:rsidRPr="004F5FC7">
        <w:t xml:space="preserve"> przy czym liczba tych budynków</w:t>
      </w:r>
      <w:r w:rsidR="00D550FA">
        <w:t xml:space="preserve"> na działce</w:t>
      </w:r>
      <w:r w:rsidR="004F5FC7" w:rsidRPr="004F5FC7">
        <w:t xml:space="preserve"> nie mo</w:t>
      </w:r>
      <w:r w:rsidR="004F5FC7" w:rsidRPr="004F5FC7">
        <w:rPr>
          <w:rFonts w:hint="eastAsia"/>
        </w:rPr>
        <w:t>ż</w:t>
      </w:r>
      <w:r w:rsidR="004F5FC7" w:rsidRPr="004F5FC7">
        <w:t>e by</w:t>
      </w:r>
      <w:r w:rsidR="004F5FC7" w:rsidRPr="004F5FC7">
        <w:rPr>
          <w:rFonts w:hint="eastAsia"/>
        </w:rPr>
        <w:t>ć</w:t>
      </w:r>
      <w:r w:rsidR="004F5FC7" w:rsidRPr="004F5FC7">
        <w:t xml:space="preserve"> wi</w:t>
      </w:r>
      <w:r w:rsidR="004F5FC7" w:rsidRPr="004F5FC7">
        <w:rPr>
          <w:rFonts w:hint="eastAsia"/>
        </w:rPr>
        <w:t>ę</w:t>
      </w:r>
      <w:r w:rsidR="004F5FC7" w:rsidRPr="004F5FC7">
        <w:t>ksza ni</w:t>
      </w:r>
      <w:r w:rsidR="004F5FC7" w:rsidRPr="004F5FC7">
        <w:rPr>
          <w:rFonts w:hint="eastAsia"/>
        </w:rPr>
        <w:t>ż</w:t>
      </w:r>
      <w:r w:rsidR="004F5FC7" w:rsidRPr="004F5FC7">
        <w:t xml:space="preserve"> jeden na ka</w:t>
      </w:r>
      <w:r w:rsidR="004F5FC7" w:rsidRPr="004F5FC7">
        <w:rPr>
          <w:rFonts w:hint="eastAsia"/>
        </w:rPr>
        <w:t>ż</w:t>
      </w:r>
      <w:r w:rsidR="004F5FC7" w:rsidRPr="004F5FC7">
        <w:t>de 500 m² powierzchni dzia</w:t>
      </w:r>
      <w:r w:rsidR="004F5FC7" w:rsidRPr="004F5FC7">
        <w:rPr>
          <w:rFonts w:hint="eastAsia"/>
        </w:rPr>
        <w:t>ł</w:t>
      </w:r>
      <w:r w:rsidR="004F5FC7" w:rsidRPr="004F5FC7">
        <w:t>ki</w:t>
      </w:r>
      <w:r w:rsidR="00D52F7D">
        <w:t>;</w:t>
      </w:r>
      <w:r w:rsidRPr="00447A90">
        <w:t>”</w:t>
      </w:r>
      <w:r w:rsidR="00D52F7D">
        <w:t>;</w:t>
      </w:r>
    </w:p>
    <w:p w14:paraId="175B4BA5" w14:textId="77777777" w:rsidR="00F74CAE" w:rsidRDefault="00E56E4E" w:rsidP="00B55622">
      <w:pPr>
        <w:pStyle w:val="PKTpunkt"/>
      </w:pPr>
      <w:r w:rsidRPr="00447A90">
        <w:t>3</w:t>
      </w:r>
      <w:r w:rsidR="00D74CA6" w:rsidRPr="00447A90">
        <w:t>)</w:t>
      </w:r>
      <w:r w:rsidR="008C180E">
        <w:tab/>
      </w:r>
      <w:r w:rsidR="001F4E4C">
        <w:t>w art. 30</w:t>
      </w:r>
      <w:r w:rsidR="00F74CAE">
        <w:t>:</w:t>
      </w:r>
    </w:p>
    <w:p w14:paraId="2471ACA5" w14:textId="210BA6DD" w:rsidR="001F4E4C" w:rsidRDefault="00F74CAE" w:rsidP="00AD6FC6">
      <w:pPr>
        <w:pStyle w:val="LITlitera"/>
      </w:pPr>
      <w:r>
        <w:t>a)</w:t>
      </w:r>
      <w:r w:rsidR="00AD6FC6">
        <w:tab/>
      </w:r>
      <w:r w:rsidR="001F4E4C">
        <w:t xml:space="preserve">w ust. 2a </w:t>
      </w:r>
      <w:r w:rsidR="006B25EE">
        <w:t>w</w:t>
      </w:r>
      <w:r w:rsidR="001F4E4C">
        <w:t xml:space="preserve"> pkt 5</w:t>
      </w:r>
      <w:r w:rsidR="006B25EE">
        <w:t xml:space="preserve"> kropkę zastępuje się średnikiem i</w:t>
      </w:r>
      <w:r w:rsidR="001F4E4C">
        <w:t xml:space="preserve"> dodaje się pkt 6 </w:t>
      </w:r>
      <w:r w:rsidR="000F550B">
        <w:t xml:space="preserve">i 7 </w:t>
      </w:r>
      <w:r w:rsidR="00A035FD">
        <w:t>w </w:t>
      </w:r>
      <w:r w:rsidR="001F4E4C">
        <w:t>brzmieniu:</w:t>
      </w:r>
    </w:p>
    <w:p w14:paraId="6508298E" w14:textId="143CB55F" w:rsidR="007C4876" w:rsidRDefault="000F550B" w:rsidP="008E3B46">
      <w:pPr>
        <w:pStyle w:val="ZLITPKTzmpktliter"/>
      </w:pPr>
      <w:r w:rsidRPr="004F5FC7">
        <w:t>„</w:t>
      </w:r>
      <w:r w:rsidR="001F4E4C">
        <w:t>6)</w:t>
      </w:r>
      <w:r w:rsidR="00AD6FC6">
        <w:tab/>
      </w:r>
      <w:r w:rsidRPr="006A3D3A">
        <w:t>w przypadku budowy, o której mowa w art. 29 ust. 1 pkt 1a</w:t>
      </w:r>
      <w:r>
        <w:t xml:space="preserve"> –</w:t>
      </w:r>
      <w:r w:rsidRPr="000F550B">
        <w:t xml:space="preserve"> </w:t>
      </w:r>
      <w:r w:rsidR="006A3D3A" w:rsidRPr="006A3D3A">
        <w:t>oświadczenie inwestora, że</w:t>
      </w:r>
      <w:r>
        <w:t xml:space="preserve"> </w:t>
      </w:r>
      <w:r w:rsidR="007C4876">
        <w:t>planowana budowa jest prowadzona w celu zaspokojenia własnych potrzeb mieszkaniowych,</w:t>
      </w:r>
      <w:r w:rsidR="00C71F2D" w:rsidRPr="00C71F2D">
        <w:t xml:space="preserve"> </w:t>
      </w:r>
      <w:r w:rsidR="00C71F2D" w:rsidRPr="001F4E4C">
        <w:t xml:space="preserve">złożone pod rygorem odpowiedzialności karnej </w:t>
      </w:r>
      <w:r w:rsidR="00B16C82" w:rsidRPr="00B16C82">
        <w:t>za złożenie fałszywego oświadczenia wynikającej z</w:t>
      </w:r>
      <w:r w:rsidR="008E3B46">
        <w:t xml:space="preserve"> art. 233 § 6</w:t>
      </w:r>
      <w:r w:rsidR="00B16C82" w:rsidRPr="00B16C82">
        <w:t xml:space="preserve"> ustawy z dnia 6 czerwca 1997 r. </w:t>
      </w:r>
      <w:r w:rsidR="00B16C82">
        <w:t>–</w:t>
      </w:r>
      <w:r w:rsidR="00B16C82" w:rsidRPr="00B16C82">
        <w:t xml:space="preserve"> Kodeks karny (Dz.</w:t>
      </w:r>
      <w:r w:rsidR="00B16C82">
        <w:t xml:space="preserve"> </w:t>
      </w:r>
      <w:r w:rsidR="00B16C82" w:rsidRPr="00B16C82">
        <w:t>U. z 2020 r.</w:t>
      </w:r>
      <w:r w:rsidR="008E3B46">
        <w:t xml:space="preserve"> poz.</w:t>
      </w:r>
      <w:r w:rsidR="00B16C82" w:rsidRPr="00B16C82">
        <w:t xml:space="preserve"> </w:t>
      </w:r>
      <w:r w:rsidR="00B16C82">
        <w:t>1444 i 1517 oraz z 2021 r. poz. 1023</w:t>
      </w:r>
      <w:r w:rsidR="00B16C82" w:rsidRPr="00B16C82">
        <w:t>); składający oświadczenie jest obowiązany do zawarcia w nim klauzuli o następującej treści: „Jestem świadomy(-ma) odpowiedzialności karnej za złożenie fałszywego oświadczenia.”</w:t>
      </w:r>
      <w:r w:rsidR="00B16C82">
        <w:t>;</w:t>
      </w:r>
      <w:r w:rsidR="00B16C82" w:rsidRPr="00B16C82">
        <w:t xml:space="preserve"> </w:t>
      </w:r>
      <w:r w:rsidR="00B16C82">
        <w:t>k</w:t>
      </w:r>
      <w:r w:rsidR="00B16C82" w:rsidRPr="00B16C82">
        <w:t>lauzula ta zastępuje pouczenie organu o odpowiedzialności karnej za składanie fałszywych oświadczeń;</w:t>
      </w:r>
    </w:p>
    <w:p w14:paraId="052F224D" w14:textId="77777777" w:rsidR="000F550B" w:rsidRDefault="000F550B" w:rsidP="008E3B46">
      <w:pPr>
        <w:pStyle w:val="ZLITPKTzmpktliter"/>
      </w:pPr>
      <w:r>
        <w:t>7)</w:t>
      </w:r>
      <w:r>
        <w:tab/>
        <w:t>oświadczenie inwestora, że:</w:t>
      </w:r>
    </w:p>
    <w:p w14:paraId="7C43A528" w14:textId="1FCF6D1B" w:rsidR="006A3D3A" w:rsidRDefault="000F550B" w:rsidP="00AD6FC6">
      <w:pPr>
        <w:pStyle w:val="ZLITLITwPKTzmlitwpktliter"/>
      </w:pPr>
      <w:r>
        <w:t>a</w:t>
      </w:r>
      <w:r w:rsidR="007C4876">
        <w:t>)</w:t>
      </w:r>
      <w:r w:rsidR="00AD6FC6">
        <w:tab/>
      </w:r>
      <w:r w:rsidR="00C71F2D">
        <w:t>przyjmuje odpowiedzialność za kierowanie budową w przypadku nieustanowienia kierownika budowy</w:t>
      </w:r>
      <w:r w:rsidR="00CF3E3C">
        <w:t>,</w:t>
      </w:r>
    </w:p>
    <w:p w14:paraId="4A23F0C8" w14:textId="7399695D" w:rsidR="00CF3E3C" w:rsidRDefault="000F550B" w:rsidP="00AD6FC6">
      <w:pPr>
        <w:pStyle w:val="ZLITLITwPKTzmlitwpktliter"/>
      </w:pPr>
      <w:r>
        <w:t>b</w:t>
      </w:r>
      <w:r w:rsidR="00CF3E3C">
        <w:t>)</w:t>
      </w:r>
      <w:r w:rsidR="00AD6FC6">
        <w:tab/>
      </w:r>
      <w:r w:rsidR="00CF3E3C">
        <w:t>dokumentacja dołączona do zgłoszenia jest kompletna</w:t>
      </w:r>
    </w:p>
    <w:p w14:paraId="5FD90F3B" w14:textId="51961269" w:rsidR="007C4876" w:rsidRDefault="000F550B" w:rsidP="000F550B">
      <w:pPr>
        <w:pStyle w:val="ZLITCZWSPLITwPKTzmczciwsplitwpktliter"/>
      </w:pPr>
      <w:r>
        <w:t>–</w:t>
      </w:r>
      <w:r w:rsidR="00AD6FC6">
        <w:tab/>
      </w:r>
      <w:r w:rsidR="006A3D3A" w:rsidRPr="006A3D3A">
        <w:t>w przypadku budowy, o której mowa w art. 29 ust. 1 pkt 1a</w:t>
      </w:r>
      <w:r w:rsidR="00C71F2D">
        <w:t>.</w:t>
      </w:r>
      <w:r w:rsidRPr="00447A90">
        <w:t>”</w:t>
      </w:r>
      <w:r w:rsidR="00C71F2D">
        <w:t xml:space="preserve">; </w:t>
      </w:r>
    </w:p>
    <w:p w14:paraId="252A3DD3" w14:textId="7806B435" w:rsidR="006A3D3A" w:rsidRPr="006A3D3A" w:rsidRDefault="00F74CAE" w:rsidP="00AD6FC6">
      <w:pPr>
        <w:pStyle w:val="LITlitera"/>
      </w:pPr>
      <w:r>
        <w:t>b)</w:t>
      </w:r>
      <w:r w:rsidR="00AD6FC6">
        <w:tab/>
      </w:r>
      <w:r w:rsidR="006A3D3A" w:rsidRPr="006A3D3A">
        <w:t xml:space="preserve">po ust. 5i dodaje się ust. 5j </w:t>
      </w:r>
      <w:r w:rsidR="000F550B">
        <w:t>i</w:t>
      </w:r>
      <w:r w:rsidR="006A3D3A" w:rsidRPr="006A3D3A">
        <w:t xml:space="preserve"> 5k w brzmieniu:</w:t>
      </w:r>
    </w:p>
    <w:p w14:paraId="60929700" w14:textId="635F78F5" w:rsidR="006A3D3A" w:rsidRPr="006A3D3A" w:rsidRDefault="000F550B" w:rsidP="00AD6FC6">
      <w:pPr>
        <w:pStyle w:val="ZLITUSTzmustliter"/>
      </w:pPr>
      <w:r w:rsidRPr="004F5FC7">
        <w:t>„</w:t>
      </w:r>
      <w:r w:rsidR="006A3D3A" w:rsidRPr="006A3D3A">
        <w:t>5j. Do zgłoszenia budowy, o której mowa w art. 29 ust. 1 pkt 1a</w:t>
      </w:r>
      <w:r w:rsidR="00D829AE">
        <w:t>,</w:t>
      </w:r>
      <w:r w:rsidR="006A3D3A" w:rsidRPr="006A3D3A">
        <w:t xml:space="preserve"> przepisów ust. 4b zdanie drugie, ust. 5 zdanie drugie i trzecie, ust. 5aa, 5c</w:t>
      </w:r>
      <w:r w:rsidR="006B25EE">
        <w:t xml:space="preserve"> i</w:t>
      </w:r>
      <w:r w:rsidR="006A3D3A" w:rsidRPr="006A3D3A">
        <w:t xml:space="preserve"> 5d oraz ust. 6</w:t>
      </w:r>
      <w:r w:rsidR="00D829AE">
        <w:t>–</w:t>
      </w:r>
      <w:r w:rsidR="006A3D3A" w:rsidRPr="006A3D3A">
        <w:t xml:space="preserve">7 nie stosuje się. </w:t>
      </w:r>
    </w:p>
    <w:p w14:paraId="72B7C28C" w14:textId="4D39E500" w:rsidR="00F74CAE" w:rsidRDefault="006A3D3A" w:rsidP="00AD6FC6">
      <w:pPr>
        <w:pStyle w:val="ZLITUSTzmustliter"/>
      </w:pPr>
      <w:r w:rsidRPr="006A3D3A">
        <w:t>5k. Do budowy, o któr</w:t>
      </w:r>
      <w:r w:rsidR="00BB0CF4">
        <w:t>ej</w:t>
      </w:r>
      <w:r w:rsidRPr="006A3D3A">
        <w:t xml:space="preserve"> mowa w art. 29 ust. 1 pkt 1a, można przystąpić po doręczeniu zgłoszenia organowi administracji architektoniczno-budowlanej.</w:t>
      </w:r>
      <w:r w:rsidR="000F550B" w:rsidRPr="00447A90">
        <w:t>”</w:t>
      </w:r>
      <w:r w:rsidRPr="006A3D3A">
        <w:t>;</w:t>
      </w:r>
    </w:p>
    <w:p w14:paraId="0EAF761D" w14:textId="6F6AEF46" w:rsidR="006B25EE" w:rsidRDefault="006A3D3A" w:rsidP="006A3D3A">
      <w:pPr>
        <w:pStyle w:val="PKTpunkt"/>
      </w:pPr>
      <w:r>
        <w:t>4)</w:t>
      </w:r>
      <w:r w:rsidR="00AD6FC6">
        <w:tab/>
      </w:r>
      <w:r w:rsidR="006B25EE">
        <w:t xml:space="preserve">w art. 33 w ust. 2 w pkt 10 skreśla się wyrazy </w:t>
      </w:r>
      <w:r w:rsidR="006B25EE" w:rsidRPr="006B25EE">
        <w:t>„(Dz.</w:t>
      </w:r>
      <w:r w:rsidR="006B25EE">
        <w:t xml:space="preserve"> </w:t>
      </w:r>
      <w:r w:rsidR="006B25EE" w:rsidRPr="006B25EE">
        <w:t>U. z 2019 r.</w:t>
      </w:r>
      <w:r w:rsidR="008E3B46">
        <w:t xml:space="preserve"> poz. 1950</w:t>
      </w:r>
      <w:r w:rsidR="006B25EE" w:rsidRPr="006B25EE">
        <w:t xml:space="preserve"> i</w:t>
      </w:r>
      <w:r w:rsidR="008E3B46">
        <w:t xml:space="preserve"> 2128</w:t>
      </w:r>
      <w:r w:rsidR="00AD7E25">
        <w:t xml:space="preserve"> oraz z </w:t>
      </w:r>
      <w:r w:rsidR="006B25EE" w:rsidRPr="006B25EE">
        <w:t>2020 r.</w:t>
      </w:r>
      <w:r w:rsidR="008E3B46">
        <w:t xml:space="preserve"> poz. 568, 875 i 1086</w:t>
      </w:r>
      <w:r w:rsidR="006B25EE" w:rsidRPr="006B25EE">
        <w:t>)”</w:t>
      </w:r>
      <w:r w:rsidR="006B25EE">
        <w:t>;</w:t>
      </w:r>
    </w:p>
    <w:p w14:paraId="7C52F6BF" w14:textId="77777777" w:rsidR="006A3D3A" w:rsidRPr="006A3D3A" w:rsidRDefault="006B25EE" w:rsidP="006A3D3A">
      <w:pPr>
        <w:pStyle w:val="PKTpunkt"/>
      </w:pPr>
      <w:r>
        <w:t>5)</w:t>
      </w:r>
      <w:r>
        <w:tab/>
      </w:r>
      <w:r w:rsidR="006A3D3A" w:rsidRPr="006A3D3A">
        <w:t>w art. 34 po ust. 2b dodaje się ust. 2c w brzmieniu:</w:t>
      </w:r>
    </w:p>
    <w:p w14:paraId="15D0F0C7" w14:textId="7B126C05" w:rsidR="00944E2C" w:rsidRPr="00447A90" w:rsidRDefault="000F550B" w:rsidP="00AD6FC6">
      <w:pPr>
        <w:pStyle w:val="ZUSTzmustartykuempunktem"/>
      </w:pPr>
      <w:r w:rsidRPr="004F5FC7">
        <w:t>„</w:t>
      </w:r>
      <w:r w:rsidR="006A3D3A" w:rsidRPr="006A3D3A">
        <w:t>2c. Uprawienia budowlane do projektowania bez ograniczeń w specjalności architektonicznej oraz konstrukcyjno-budowlanej uprawniają do sporządz</w:t>
      </w:r>
      <w:r w:rsidR="006A3D3A">
        <w:t>a</w:t>
      </w:r>
      <w:r w:rsidR="006A3D3A" w:rsidRPr="006A3D3A">
        <w:t xml:space="preserve">nia projektu zagospodarowania działki lub terenu w odniesieniu do </w:t>
      </w:r>
      <w:r w:rsidR="00AD7E25">
        <w:t>budynków, o których mowa w art. </w:t>
      </w:r>
      <w:r w:rsidR="006A3D3A" w:rsidRPr="006A3D3A">
        <w:t>29 ust. 1 pkt 1a.</w:t>
      </w:r>
      <w:r w:rsidRPr="00447A90">
        <w:t>”</w:t>
      </w:r>
      <w:r w:rsidR="006A3D3A" w:rsidRPr="006A3D3A">
        <w:t>;</w:t>
      </w:r>
    </w:p>
    <w:p w14:paraId="0BB1D1A5" w14:textId="1975C6F5" w:rsidR="00D74CA6" w:rsidRPr="00447A90" w:rsidRDefault="00C33F71" w:rsidP="00AD7E25">
      <w:pPr>
        <w:pStyle w:val="PKTpunkt"/>
        <w:keepNext/>
      </w:pPr>
      <w:r>
        <w:lastRenderedPageBreak/>
        <w:t>6</w:t>
      </w:r>
      <w:r w:rsidR="00944E2C">
        <w:t>)</w:t>
      </w:r>
      <w:r w:rsidR="00944E2C">
        <w:tab/>
      </w:r>
      <w:r w:rsidR="00D74CA6" w:rsidRPr="00447A90">
        <w:t>w art. 41 w ust. 4a w pkt 1 lit. a otrzymuje brzmienie:</w:t>
      </w:r>
    </w:p>
    <w:p w14:paraId="3FC46821" w14:textId="77777777" w:rsidR="00D74CA6" w:rsidRPr="00447A90" w:rsidRDefault="00D74CA6" w:rsidP="005C4805">
      <w:pPr>
        <w:pStyle w:val="ZLITzmlitartykuempunktem"/>
      </w:pPr>
      <w:r w:rsidRPr="00447A90">
        <w:t>„a)</w:t>
      </w:r>
      <w:r w:rsidR="008C180E">
        <w:tab/>
      </w:r>
      <w:r w:rsidRPr="00447A90">
        <w:t>kierownika budowy – w przypadku robót budowlanych wymagaj</w:t>
      </w:r>
      <w:r w:rsidRPr="00447A90">
        <w:rPr>
          <w:rFonts w:hint="eastAsia"/>
        </w:rPr>
        <w:t>ą</w:t>
      </w:r>
      <w:r w:rsidRPr="00447A90">
        <w:t>cych ustanowienia kierownika budowy,”;</w:t>
      </w:r>
    </w:p>
    <w:p w14:paraId="6CDB94E0" w14:textId="565E53C2" w:rsidR="00D74CA6" w:rsidRPr="00447A90" w:rsidRDefault="00C33F71">
      <w:pPr>
        <w:pStyle w:val="PKTpunkt"/>
      </w:pPr>
      <w:r>
        <w:t>7</w:t>
      </w:r>
      <w:r w:rsidR="00D74CA6" w:rsidRPr="00447A90">
        <w:t>)</w:t>
      </w:r>
      <w:r w:rsidR="008C180E">
        <w:tab/>
      </w:r>
      <w:r w:rsidR="00D74CA6" w:rsidRPr="00447A90">
        <w:t>w art. 42 w ust. 1 w pkt 2 lit. b otrzymuje brzmienie:</w:t>
      </w:r>
    </w:p>
    <w:p w14:paraId="3EEB3BE1" w14:textId="77777777" w:rsidR="00D74CA6" w:rsidRPr="00447A90" w:rsidRDefault="00D74CA6" w:rsidP="005C4805">
      <w:pPr>
        <w:pStyle w:val="ZLITzmlitartykuempunktem"/>
      </w:pPr>
      <w:r w:rsidRPr="00447A90">
        <w:t>„b)</w:t>
      </w:r>
      <w:r w:rsidR="008C180E">
        <w:tab/>
      </w:r>
      <w:r w:rsidRPr="00447A90">
        <w:t>budowy, o której mowa w art. 29 ust. 1 pkt 1, 2–4, 9, 27 i 30, oraz instalowania, o</w:t>
      </w:r>
      <w:r w:rsidR="007525DC">
        <w:t> </w:t>
      </w:r>
      <w:r w:rsidRPr="00447A90">
        <w:t>którym mowa w art. 29 ust. 3 pkt 3 lit. d i e,”;</w:t>
      </w:r>
    </w:p>
    <w:p w14:paraId="6164ECCB" w14:textId="7BC02080" w:rsidR="00D74CA6" w:rsidRPr="00447A90" w:rsidRDefault="00C33F71">
      <w:pPr>
        <w:pStyle w:val="PKTpunkt"/>
      </w:pPr>
      <w:r>
        <w:t>8</w:t>
      </w:r>
      <w:r w:rsidR="00D74CA6" w:rsidRPr="00447A90">
        <w:t>)</w:t>
      </w:r>
      <w:r w:rsidR="008C180E">
        <w:tab/>
      </w:r>
      <w:r w:rsidR="00D74CA6" w:rsidRPr="00447A90">
        <w:t>w art. 43 ust. 1aa otrzymuje brzmienie:</w:t>
      </w:r>
    </w:p>
    <w:p w14:paraId="77DD2194" w14:textId="77777777" w:rsidR="00D74CA6" w:rsidRDefault="00D74CA6" w:rsidP="008C180E">
      <w:pPr>
        <w:pStyle w:val="ZUSTzmustartykuempunktem"/>
      </w:pPr>
      <w:r w:rsidRPr="00D74CA6">
        <w:t>„1aa. Obowiązkowi geodezyjnej inwentaryzacji powykonawczej, o której mowa w</w:t>
      </w:r>
      <w:r w:rsidR="007525DC">
        <w:t> </w:t>
      </w:r>
      <w:r w:rsidRPr="00D74CA6">
        <w:t xml:space="preserve">ust. 1, podlegają budynki, o których mowa w art. 29 ust. 1 pkt </w:t>
      </w:r>
      <w:r w:rsidR="001811BC" w:rsidRPr="00D74CA6">
        <w:t>16</w:t>
      </w:r>
      <w:r w:rsidR="001811BC">
        <w:t xml:space="preserve"> lit. b</w:t>
      </w:r>
      <w:r w:rsidR="008D489D">
        <w:t>,</w:t>
      </w:r>
      <w:r w:rsidRPr="00D74CA6">
        <w:t xml:space="preserve"> oraz stacje ładowania, o których mowa w art. 29 ust. 1 pkt 25.”; </w:t>
      </w:r>
    </w:p>
    <w:p w14:paraId="71B6787B" w14:textId="0BBCDDED" w:rsidR="00C71F2D" w:rsidRDefault="00C33F71" w:rsidP="00F05B2A">
      <w:pPr>
        <w:pStyle w:val="PKTpunkt"/>
      </w:pPr>
      <w:r>
        <w:t>9</w:t>
      </w:r>
      <w:r w:rsidR="00C71F2D">
        <w:t>)</w:t>
      </w:r>
      <w:r w:rsidR="00AD6FC6">
        <w:tab/>
      </w:r>
      <w:r w:rsidR="00C71F2D">
        <w:t>w art. 45a</w:t>
      </w:r>
      <w:r w:rsidR="00F05B2A">
        <w:t xml:space="preserve"> </w:t>
      </w:r>
      <w:r w:rsidR="00C71F2D">
        <w:t>w ust. 3a pkt 1 otrzymuje brzmienie:</w:t>
      </w:r>
    </w:p>
    <w:p w14:paraId="0038E805" w14:textId="36D3CD9E" w:rsidR="00C71F2D" w:rsidRPr="00D74CA6" w:rsidRDefault="00D829AE" w:rsidP="00F05B2A">
      <w:pPr>
        <w:pStyle w:val="ZPKTzmpktartykuempunktem"/>
      </w:pPr>
      <w:r>
        <w:t>„</w:t>
      </w:r>
      <w:r w:rsidR="00C71F2D">
        <w:t>1)</w:t>
      </w:r>
      <w:r w:rsidR="00AD6FC6">
        <w:tab/>
      </w:r>
      <w:r w:rsidR="00C71F2D" w:rsidRPr="00C71F2D">
        <w:t>budowy, dla której nie ma obowiązku ustanowienia kierownika budowy</w:t>
      </w:r>
      <w:r w:rsidR="00AD7E25">
        <w:t>, z </w:t>
      </w:r>
      <w:r w:rsidR="00C71F2D">
        <w:t>wyłączeniem bud</w:t>
      </w:r>
      <w:r w:rsidR="009425A0">
        <w:t>owy</w:t>
      </w:r>
      <w:r w:rsidR="00C71F2D">
        <w:t>, o któr</w:t>
      </w:r>
      <w:r w:rsidR="009425A0">
        <w:t>ej</w:t>
      </w:r>
      <w:r w:rsidR="00C71F2D">
        <w:t xml:space="preserve"> mowa w art. 29 ust. 1 pkt 1a</w:t>
      </w:r>
      <w:r w:rsidR="00F05B2A" w:rsidRPr="00F05B2A">
        <w:t>,</w:t>
      </w:r>
      <w:r w:rsidR="00F05B2A">
        <w:t xml:space="preserve"> w przypadku której spełnienie obowiązku, o którym mowa w ust. 1 pkt 3, należy do inwestora;</w:t>
      </w:r>
      <w:r w:rsidR="000F550B" w:rsidRPr="00447A90">
        <w:t>”</w:t>
      </w:r>
      <w:r w:rsidR="00C71F2D">
        <w:t xml:space="preserve">; </w:t>
      </w:r>
    </w:p>
    <w:p w14:paraId="2229B97F" w14:textId="22E88D9E" w:rsidR="00D74CA6" w:rsidRPr="00D74CA6" w:rsidRDefault="00C33F71" w:rsidP="00D74CA6">
      <w:pPr>
        <w:pStyle w:val="PKTpunkt"/>
      </w:pPr>
      <w:r>
        <w:t>10</w:t>
      </w:r>
      <w:r w:rsidR="00D74CA6" w:rsidRPr="00D74CA6">
        <w:t>)</w:t>
      </w:r>
      <w:r w:rsidR="008C180E">
        <w:tab/>
      </w:r>
      <w:r w:rsidR="00D74CA6" w:rsidRPr="00D74CA6">
        <w:t>w art. 54 ust. 1 otrzymuje brzmienie:</w:t>
      </w:r>
    </w:p>
    <w:p w14:paraId="35BE0106" w14:textId="77777777" w:rsidR="00D74CA6" w:rsidRPr="00D74CA6" w:rsidRDefault="00D74CA6" w:rsidP="00D74CA6">
      <w:pPr>
        <w:pStyle w:val="ZUSTzmustartykuempunktem"/>
      </w:pPr>
      <w:r w:rsidRPr="00D74CA6">
        <w:t>„1. Do użytkowania obiektu budowlanego, na budowę którego wymagana jest decyzja o pozwoleniu na budowę albo zgłoszenie budowy, o której mowa w art. 29 ust.</w:t>
      </w:r>
      <w:r w:rsidR="007525DC">
        <w:t> </w:t>
      </w:r>
      <w:r w:rsidRPr="00D74CA6">
        <w:t>1 pkt 1–2, można przystąpić, z zastrzeżeniem art. 55 i art. 57, po zawiadomieniu organu nadzoru budowlanego o zakończeniu budowy, jeżeli organ ten, w terminie 14</w:t>
      </w:r>
      <w:r w:rsidR="007525DC">
        <w:t> </w:t>
      </w:r>
      <w:r w:rsidRPr="00D74CA6">
        <w:t>dni od dnia doręczenia zawiadomienia, nie zgłosi sprzeciwu w drodze decyzji. Przepis art. 30 ust. 6a stosuje się.”;</w:t>
      </w:r>
    </w:p>
    <w:p w14:paraId="553A1AC5" w14:textId="25755FCA" w:rsidR="00D74CA6" w:rsidRPr="00D74CA6" w:rsidRDefault="00D52F7D" w:rsidP="00D74CA6">
      <w:pPr>
        <w:pStyle w:val="PKTpunkt"/>
      </w:pPr>
      <w:r>
        <w:t>1</w:t>
      </w:r>
      <w:r w:rsidR="00C33F71">
        <w:t>1</w:t>
      </w:r>
      <w:r w:rsidR="00D74CA6">
        <w:t>)</w:t>
      </w:r>
      <w:r w:rsidR="008C180E">
        <w:tab/>
      </w:r>
      <w:r w:rsidR="00D74CA6" w:rsidRPr="00D74CA6">
        <w:t>w art. 57 po ust. 1b dodaje się ust. 1ba w brzmieniu:</w:t>
      </w:r>
    </w:p>
    <w:p w14:paraId="32372E06" w14:textId="14C1E0DB" w:rsidR="00F05B2A" w:rsidRDefault="00D74CA6" w:rsidP="008C180E">
      <w:pPr>
        <w:pStyle w:val="ZUSTzmustartykuempunktem"/>
      </w:pPr>
      <w:r w:rsidRPr="00D74CA6">
        <w:t xml:space="preserve">„1ba. </w:t>
      </w:r>
      <w:r w:rsidR="000B67BE">
        <w:t>W przypadku</w:t>
      </w:r>
      <w:r w:rsidRPr="00D74CA6">
        <w:t xml:space="preserve"> zawiadomienia o zakończeniu budowy, o której mowa w</w:t>
      </w:r>
      <w:r w:rsidR="007525DC">
        <w:t> </w:t>
      </w:r>
      <w:r w:rsidRPr="00D74CA6">
        <w:t>art.</w:t>
      </w:r>
      <w:r w:rsidR="007525DC">
        <w:t> </w:t>
      </w:r>
      <w:r w:rsidRPr="00D74CA6">
        <w:t>29 ust. 1 pkt 1a,</w:t>
      </w:r>
      <w:r w:rsidR="000B67BE">
        <w:t xml:space="preserve"> dla której nie ustanowiono</w:t>
      </w:r>
      <w:r w:rsidR="00F05B2A">
        <w:t xml:space="preserve"> kierownika budowy,</w:t>
      </w:r>
      <w:r w:rsidRPr="00D74CA6">
        <w:t xml:space="preserve"> obowiązku, o którym mowa w ust. 1 pkt 2 i ust. 1a, nie stosuje się</w:t>
      </w:r>
      <w:r w:rsidR="00E56E4E">
        <w:t xml:space="preserve">, </w:t>
      </w:r>
      <w:r w:rsidR="009466CA">
        <w:t xml:space="preserve">z tym że </w:t>
      </w:r>
      <w:r w:rsidR="00E56E4E">
        <w:t>inwes</w:t>
      </w:r>
      <w:r w:rsidR="009466CA">
        <w:t>tor jest obowiązany dołączyć do</w:t>
      </w:r>
      <w:r w:rsidR="00E56E4E" w:rsidRPr="00E56E4E">
        <w:t xml:space="preserve"> takiego zawiadomienia oświadczenie</w:t>
      </w:r>
      <w:r w:rsidR="00AE2374">
        <w:t xml:space="preserve"> o</w:t>
      </w:r>
      <w:r w:rsidR="00F05B2A">
        <w:t>:</w:t>
      </w:r>
    </w:p>
    <w:p w14:paraId="1EDC50D1" w14:textId="48E7864E" w:rsidR="00F05B2A" w:rsidRDefault="000B67BE" w:rsidP="00E90C80">
      <w:pPr>
        <w:pStyle w:val="ZPKTzmpktartykuempunktem"/>
      </w:pPr>
      <w:r>
        <w:t>1)</w:t>
      </w:r>
      <w:r w:rsidR="000409FB">
        <w:tab/>
      </w:r>
      <w:r w:rsidR="00E56E4E" w:rsidRPr="00E56E4E">
        <w:t>dokonaniu pomiarów powierzchni użytkowej budynku i poszczególnych lokali mieszkalnych, w</w:t>
      </w:r>
      <w:r w:rsidR="00F92A5E">
        <w:t> </w:t>
      </w:r>
      <w:r w:rsidR="00E56E4E" w:rsidRPr="00E56E4E">
        <w:t>sposób zgodny z przepisami rozporządzenia, o którym mowa w</w:t>
      </w:r>
      <w:r w:rsidR="00AD7E25">
        <w:t> </w:t>
      </w:r>
      <w:hyperlink r:id="rId8" w:history="1">
        <w:r w:rsidR="00AD7E25">
          <w:t>art. </w:t>
        </w:r>
        <w:r w:rsidR="00E56E4E" w:rsidRPr="008C180E">
          <w:t>34 ust. 6 pkt 1</w:t>
        </w:r>
      </w:hyperlink>
      <w:r w:rsidR="000409FB">
        <w:t>;</w:t>
      </w:r>
    </w:p>
    <w:p w14:paraId="3121DE5F" w14:textId="305D38B7" w:rsidR="00D74CA6" w:rsidRPr="00D74CA6" w:rsidRDefault="00F05B2A" w:rsidP="00E90C80">
      <w:pPr>
        <w:pStyle w:val="ZPKTzmpktartykuempunktem"/>
      </w:pPr>
      <w:r>
        <w:t>2)</w:t>
      </w:r>
      <w:r w:rsidR="000409FB">
        <w:tab/>
      </w:r>
      <w:r>
        <w:t>zgodności wykonania budynku z projektem budowlanym oraz przepisami</w:t>
      </w:r>
      <w:r w:rsidR="00D74CA6" w:rsidRPr="00D74CA6">
        <w:t>.”.</w:t>
      </w:r>
    </w:p>
    <w:p w14:paraId="0F983202" w14:textId="22832600" w:rsidR="00B01C9F" w:rsidRPr="00C345CA" w:rsidRDefault="00D5718B" w:rsidP="00B01C9F">
      <w:pPr>
        <w:pStyle w:val="ARTartustawynprozporzdzenia"/>
      </w:pPr>
      <w:r>
        <w:rPr>
          <w:rStyle w:val="Ppogrubienie"/>
        </w:rPr>
        <w:t>Art. </w:t>
      </w:r>
      <w:r w:rsidR="00B01C9F" w:rsidRPr="008C180E">
        <w:rPr>
          <w:rStyle w:val="Ppogrubienie"/>
        </w:rPr>
        <w:t>2.</w:t>
      </w:r>
      <w:r>
        <w:t> </w:t>
      </w:r>
      <w:r w:rsidR="00B01C9F" w:rsidRPr="00C345CA">
        <w:t>W ustawie z dnia 27 marca 2003 r. o planowaniu i zagospodarowaniu przestrzennym (Dz. U. z 2021 r. poz. 741, 784 i 922) wprowadza się następujące zmiany:</w:t>
      </w:r>
    </w:p>
    <w:p w14:paraId="5CC3378A" w14:textId="77777777" w:rsidR="00B01C9F" w:rsidRPr="00C345CA" w:rsidRDefault="00B01C9F" w:rsidP="00B01C9F">
      <w:pPr>
        <w:pStyle w:val="PKTpunkt"/>
      </w:pPr>
      <w:r>
        <w:t>1)</w:t>
      </w:r>
      <w:r>
        <w:tab/>
      </w:r>
      <w:r w:rsidRPr="00C345CA">
        <w:t>w art. 51 po ust. 2d dodaje się ust. 2e–2i w brzmieniu:</w:t>
      </w:r>
    </w:p>
    <w:p w14:paraId="4836878B" w14:textId="76D1390C" w:rsidR="00B01C9F" w:rsidRPr="00A1263D" w:rsidRDefault="00B01C9F" w:rsidP="00B01C9F">
      <w:pPr>
        <w:pStyle w:val="ZUSTzmustartykuempunktem"/>
      </w:pPr>
      <w:r>
        <w:lastRenderedPageBreak/>
        <w:t>„</w:t>
      </w:r>
      <w:r w:rsidRPr="00A1263D">
        <w:t>2e. Postępowanie w sprawie wymierzenia kary pieniężnej, o której mowa w ust. 2, wszczyna się z urzędu</w:t>
      </w:r>
      <w:r w:rsidR="007F6939">
        <w:t>,</w:t>
      </w:r>
      <w:r w:rsidRPr="00A1263D">
        <w:t xml:space="preserve"> </w:t>
      </w:r>
      <w:r>
        <w:t xml:space="preserve">jeżeli </w:t>
      </w:r>
      <w:r w:rsidRPr="00A1263D">
        <w:t xml:space="preserve">podmiot, który wystąpił z wnioskiem </w:t>
      </w:r>
      <w:r>
        <w:t xml:space="preserve">o </w:t>
      </w:r>
      <w:r w:rsidRPr="00A1263D">
        <w:t>ustaleni</w:t>
      </w:r>
      <w:r>
        <w:t>e</w:t>
      </w:r>
      <w:r w:rsidRPr="00A1263D">
        <w:t xml:space="preserve"> lokalizacji inwestycji celu publicznego</w:t>
      </w:r>
      <w:r>
        <w:t>, wniesie żądanie wymierzenia tej kary</w:t>
      </w:r>
      <w:r w:rsidRPr="00A1263D">
        <w:t>.</w:t>
      </w:r>
    </w:p>
    <w:p w14:paraId="6EFAB43D" w14:textId="77777777" w:rsidR="00B01C9F" w:rsidRPr="00A1263D" w:rsidRDefault="00B01C9F" w:rsidP="00B01C9F">
      <w:pPr>
        <w:pStyle w:val="ZUSTzmustartykuempunktem"/>
      </w:pPr>
      <w:r w:rsidRPr="00A1263D">
        <w:t>2f. Żądanie, o którym mowa w ust. 2e, wnosi się za pośrednictwem organu właściwego do wydania decyzji w sprawie ustalenia lokalizacji inwestycji celu publicznego.</w:t>
      </w:r>
    </w:p>
    <w:p w14:paraId="22E172B6" w14:textId="77777777" w:rsidR="00B01C9F" w:rsidRPr="00A1263D" w:rsidRDefault="00B01C9F" w:rsidP="00B01C9F">
      <w:pPr>
        <w:pStyle w:val="ZUSTzmustartykuempunktem"/>
      </w:pPr>
      <w:r w:rsidRPr="00A1263D">
        <w:t>2g. Organ właściwy do wydania decyzji w sprawie ustalenia lokalizacji inwestycji celu publicznego jest obowiązany przekazać żądanie, o którym mowa w ust. 2e, organowi wyższego stopnia w terminie 7 dni od dnia</w:t>
      </w:r>
      <w:r>
        <w:t xml:space="preserve"> jego otrzymania, a w przypadku wniesienia żądania przed dniem wydania tej decyzji </w:t>
      </w:r>
      <w:r w:rsidRPr="0074224C">
        <w:t>–</w:t>
      </w:r>
      <w:r>
        <w:t xml:space="preserve"> w terminie 7 dni od dnia</w:t>
      </w:r>
      <w:r w:rsidRPr="00A1263D">
        <w:t xml:space="preserve"> jej wydania. Organ właściwy do wydania decyzji w sprawie ustalenia lokalizacji inwestycji celu publicznego przekazuje żądanie wraz z niezbędnymi odpisami akt sprawy. Odpisy mogą zostać sporządzone w formie dokumentu elektronicznego.</w:t>
      </w:r>
    </w:p>
    <w:p w14:paraId="3DFA6ED5" w14:textId="77777777" w:rsidR="00B01C9F" w:rsidRPr="00A1263D" w:rsidRDefault="00B01C9F" w:rsidP="00B01C9F">
      <w:pPr>
        <w:pStyle w:val="ZUSTzmustartykuempunktem"/>
      </w:pPr>
      <w:r w:rsidRPr="00A1263D">
        <w:t xml:space="preserve">2h. W decyzji w sprawie ustalenia lokalizacji inwestycji celu publicznego </w:t>
      </w:r>
      <w:r>
        <w:t>zamieszcza się pouczenie</w:t>
      </w:r>
      <w:r w:rsidRPr="00A1263D">
        <w:t xml:space="preserve"> o prawie do wniesienia żądania, o którym mowa ust. 2e.</w:t>
      </w:r>
    </w:p>
    <w:p w14:paraId="4B7ABC7E" w14:textId="42676C6D" w:rsidR="00B01C9F" w:rsidRPr="00A1263D" w:rsidRDefault="00B01C9F" w:rsidP="00B01C9F">
      <w:pPr>
        <w:pStyle w:val="ZUSTzmustartykuempunktem"/>
      </w:pPr>
      <w:r w:rsidRPr="00A1263D">
        <w:t>2i. Stroną postępowania w sprawie wymierzenia k</w:t>
      </w:r>
      <w:r w:rsidR="00AD7E25">
        <w:t>ary pieniężnej, o której mowa w </w:t>
      </w:r>
      <w:r w:rsidRPr="00A1263D">
        <w:t>ust. 2, jest organ właściwy do wydania decyzji w sprawie ustalenia lokalizacji inwestycji celu publicznego.</w:t>
      </w:r>
      <w:r>
        <w:t>”</w:t>
      </w:r>
      <w:r w:rsidRPr="00A1263D">
        <w:t>;</w:t>
      </w:r>
    </w:p>
    <w:p w14:paraId="3E9E02D1" w14:textId="77777777" w:rsidR="00B01C9F" w:rsidRPr="00C345CA" w:rsidRDefault="00B01C9F" w:rsidP="00B01C9F">
      <w:pPr>
        <w:pStyle w:val="PKTpunkt"/>
      </w:pPr>
      <w:r>
        <w:t>2)</w:t>
      </w:r>
      <w:r>
        <w:tab/>
        <w:t>w art. 52:</w:t>
      </w:r>
    </w:p>
    <w:p w14:paraId="4EDEEBFC" w14:textId="77777777" w:rsidR="00B01C9F" w:rsidRPr="00C345CA" w:rsidRDefault="00B01C9F" w:rsidP="00B01C9F">
      <w:pPr>
        <w:pStyle w:val="LITlitera"/>
      </w:pPr>
      <w:r>
        <w:t>a)</w:t>
      </w:r>
      <w:r>
        <w:tab/>
        <w:t>w ust. 2:</w:t>
      </w:r>
    </w:p>
    <w:p w14:paraId="590FF724" w14:textId="77777777" w:rsidR="00B01C9F" w:rsidRPr="00C345CA" w:rsidRDefault="00B01C9F" w:rsidP="00B01C9F">
      <w:pPr>
        <w:pStyle w:val="TIRtiret"/>
      </w:pPr>
      <w:r>
        <w:t>–</w:t>
      </w:r>
      <w:r>
        <w:tab/>
      </w:r>
      <w:r w:rsidRPr="00C345CA">
        <w:t>pkt 1 otrzymuje brzmienie:</w:t>
      </w:r>
    </w:p>
    <w:p w14:paraId="5488FCB0" w14:textId="77777777" w:rsidR="00B01C9F" w:rsidRPr="00C345CA" w:rsidRDefault="00B01C9F" w:rsidP="00B01C9F">
      <w:pPr>
        <w:pStyle w:val="ZTIRPKTzmpkttiret"/>
      </w:pPr>
      <w:r>
        <w:t>„</w:t>
      </w:r>
      <w:r w:rsidRPr="00C345CA">
        <w:t>1)</w:t>
      </w:r>
      <w:r w:rsidRPr="00C345CA">
        <w:tab/>
      </w:r>
      <w:bookmarkStart w:id="1" w:name="_Hlk81574431"/>
      <w:r w:rsidRPr="00C345CA">
        <w:t>mapę zasadniczą lub, w przypadku jej braku, mapę ewidencyjną, pochodząc</w:t>
      </w:r>
      <w:r>
        <w:t>e</w:t>
      </w:r>
      <w:r w:rsidRPr="00C345CA">
        <w:t xml:space="preserve"> z państwowego zasobu geodezyjnego i kartograficznego, obejmując</w:t>
      </w:r>
      <w:r>
        <w:t>e</w:t>
      </w:r>
      <w:r w:rsidRPr="00C345CA">
        <w:t xml:space="preserve"> teren</w:t>
      </w:r>
      <w:bookmarkEnd w:id="1"/>
      <w:r w:rsidRPr="00C345CA">
        <w:t>, którego wniosek dotyczy</w:t>
      </w:r>
      <w:r>
        <w:t>,</w:t>
      </w:r>
      <w:r w:rsidRPr="00C345CA">
        <w:t xml:space="preserve"> wraz z obszarem, na który inwestycja będzie oddziaływać</w:t>
      </w:r>
      <w:r>
        <w:t>,</w:t>
      </w:r>
      <w:r w:rsidRPr="00C345CA">
        <w:t xml:space="preserve"> w skali 1:500 lub 1:1000, a w stosunku do inwestycji liniowych również w skali 1:2000, w postaci:</w:t>
      </w:r>
    </w:p>
    <w:p w14:paraId="2652D943" w14:textId="4457424C" w:rsidR="00B01C9F" w:rsidRDefault="00B01C9F" w:rsidP="00B01C9F">
      <w:pPr>
        <w:pStyle w:val="ZTIRLITwPKTzmlitwpkttiret"/>
      </w:pPr>
      <w:r>
        <w:t>a)</w:t>
      </w:r>
      <w:r>
        <w:tab/>
        <w:t xml:space="preserve">elektronicznej </w:t>
      </w:r>
      <w:r w:rsidR="00BB53B9" w:rsidRPr="00BB53B9">
        <w:t>–</w:t>
      </w:r>
      <w:r>
        <w:t xml:space="preserve"> w obowiązującym państwowym systemie odniesień przestrzennych albo</w:t>
      </w:r>
    </w:p>
    <w:p w14:paraId="53659357" w14:textId="31645F44" w:rsidR="00B01C9F" w:rsidRPr="00834EC3" w:rsidRDefault="00D5718B" w:rsidP="00B01C9F">
      <w:pPr>
        <w:pStyle w:val="ZTIRLITwPKTzmlitwpkttiret"/>
      </w:pPr>
      <w:r>
        <w:t>b)</w:t>
      </w:r>
      <w:r w:rsidR="00B01C9F">
        <w:tab/>
        <w:t>papierowej;”,</w:t>
      </w:r>
    </w:p>
    <w:p w14:paraId="7AD24CB0" w14:textId="77777777" w:rsidR="00B01C9F" w:rsidRPr="00C345CA" w:rsidRDefault="00B01C9F" w:rsidP="00B01C9F">
      <w:pPr>
        <w:pStyle w:val="TIRtiret"/>
      </w:pPr>
      <w:r>
        <w:t>–</w:t>
      </w:r>
      <w:r>
        <w:tab/>
        <w:t>po pkt</w:t>
      </w:r>
      <w:r w:rsidRPr="00C345CA">
        <w:t xml:space="preserve"> 1 dodaje się pkt 1a w brzmieniu:</w:t>
      </w:r>
    </w:p>
    <w:p w14:paraId="70D50534" w14:textId="77777777" w:rsidR="00B01C9F" w:rsidRDefault="00B01C9F" w:rsidP="00B01C9F">
      <w:pPr>
        <w:pStyle w:val="ZTIRPKTzmpkttiret"/>
      </w:pPr>
      <w:r>
        <w:t>„1a)</w:t>
      </w:r>
      <w:r>
        <w:tab/>
      </w:r>
      <w:r w:rsidRPr="00834EC3">
        <w:t>określenie granic terenu objętego wnioskiem;</w:t>
      </w:r>
      <w:r>
        <w:t>”;</w:t>
      </w:r>
    </w:p>
    <w:p w14:paraId="3735931A" w14:textId="77777777" w:rsidR="00B01C9F" w:rsidRPr="00C345CA" w:rsidRDefault="00B01C9F" w:rsidP="00D5718B">
      <w:pPr>
        <w:pStyle w:val="LITlitera"/>
        <w:keepNext/>
      </w:pPr>
      <w:r>
        <w:lastRenderedPageBreak/>
        <w:t>b)</w:t>
      </w:r>
      <w:r>
        <w:tab/>
        <w:t>dodaje się ust. 4</w:t>
      </w:r>
      <w:r w:rsidRPr="00C345CA">
        <w:t xml:space="preserve"> w brzmieniu:</w:t>
      </w:r>
    </w:p>
    <w:p w14:paraId="1D5925FD" w14:textId="12C86EF3" w:rsidR="00B01C9F" w:rsidRPr="0088661B" w:rsidRDefault="00B01C9F" w:rsidP="00B01C9F">
      <w:pPr>
        <w:pStyle w:val="ZLITUSTzmustliter"/>
      </w:pPr>
      <w:r w:rsidRPr="008C5AD2">
        <w:t>„</w:t>
      </w:r>
      <w:r>
        <w:t xml:space="preserve">4. </w:t>
      </w:r>
      <w:r w:rsidRPr="0088661B">
        <w:t xml:space="preserve">Zamiast oryginału dokumentu strona może złożyć </w:t>
      </w:r>
      <w:r>
        <w:t>w</w:t>
      </w:r>
      <w:r w:rsidRPr="001E6571">
        <w:t xml:space="preserve">raz z wnioskiem </w:t>
      </w:r>
      <w:r w:rsidR="00AD7E25">
        <w:t>o </w:t>
      </w:r>
      <w:r w:rsidRPr="006A5ACA">
        <w:t xml:space="preserve">ustalenie lokalizacji inwestycji celu publicznego </w:t>
      </w:r>
      <w:r>
        <w:t>kopię dokumentu. Przepis art. 76a §</w:t>
      </w:r>
      <w:r w:rsidRPr="00CD40B2">
        <w:t xml:space="preserve"> 4</w:t>
      </w:r>
      <w:r>
        <w:t xml:space="preserve"> </w:t>
      </w:r>
      <w:r w:rsidRPr="00CD40B2">
        <w:t>Kodeks</w:t>
      </w:r>
      <w:r>
        <w:t>u</w:t>
      </w:r>
      <w:r w:rsidRPr="00CD40B2">
        <w:t xml:space="preserve"> postępowania administracyjnego</w:t>
      </w:r>
      <w:r>
        <w:t xml:space="preserve"> stosuje się odpowiednio.</w:t>
      </w:r>
      <w:r w:rsidRPr="008C5AD2">
        <w:t>”</w:t>
      </w:r>
      <w:r>
        <w:t>;</w:t>
      </w:r>
    </w:p>
    <w:p w14:paraId="001310B7" w14:textId="77777777" w:rsidR="00B01C9F" w:rsidRPr="00C345CA" w:rsidRDefault="00B01C9F" w:rsidP="00B01C9F">
      <w:pPr>
        <w:pStyle w:val="PKTpunkt"/>
      </w:pPr>
      <w:r>
        <w:t>3</w:t>
      </w:r>
      <w:r w:rsidRPr="00C345CA">
        <w:t>)</w:t>
      </w:r>
      <w:r w:rsidRPr="00C345CA">
        <w:tab/>
        <w:t>w art. 59 ust. 2a otrzymuje brzmienie:</w:t>
      </w:r>
    </w:p>
    <w:p w14:paraId="7674D9A0" w14:textId="04281ADC" w:rsidR="00B01C9F" w:rsidRDefault="00B01C9F" w:rsidP="00B01C9F">
      <w:pPr>
        <w:pStyle w:val="ZUSTzmustartykuempunktem"/>
      </w:pPr>
      <w:r>
        <w:t>„</w:t>
      </w:r>
      <w:r w:rsidRPr="00D74CA6">
        <w:t>2a. W przypadku braku miejscowego planu zagospodarowania przestrzennego budowa obiektów budowlanych, o których mowa w art. 29 ust. 1 pkt 1, 1a</w:t>
      </w:r>
      <w:r>
        <w:t>,</w:t>
      </w:r>
      <w:r w:rsidRPr="00D74CA6">
        <w:t xml:space="preserve"> 3</w:t>
      </w:r>
      <w:r w:rsidR="00AD7E25">
        <w:t xml:space="preserve"> i pkt 16 lit. </w:t>
      </w:r>
      <w:r>
        <w:t>b</w:t>
      </w:r>
      <w:r w:rsidRPr="00D74CA6">
        <w:t xml:space="preserve"> ustawy z dnia 7 lipca 1994 r. – Prawo budowlane, wymaga uzyskania decyzji o</w:t>
      </w:r>
      <w:r>
        <w:t> </w:t>
      </w:r>
      <w:r w:rsidRPr="00D74CA6">
        <w:t>warunkach zabudowy i zagospodarowania terenu.</w:t>
      </w:r>
      <w:r>
        <w:t>”</w:t>
      </w:r>
      <w:r w:rsidRPr="00D74CA6">
        <w:t>;</w:t>
      </w:r>
    </w:p>
    <w:p w14:paraId="7BCDC237" w14:textId="77777777" w:rsidR="00B01C9F" w:rsidRPr="00C345CA" w:rsidRDefault="00B01C9F" w:rsidP="00B01C9F">
      <w:pPr>
        <w:pStyle w:val="PKTpunkt"/>
      </w:pPr>
      <w:r>
        <w:t>4</w:t>
      </w:r>
      <w:r w:rsidRPr="00C345CA">
        <w:t>)</w:t>
      </w:r>
      <w:r w:rsidRPr="00C345CA">
        <w:tab/>
        <w:t>w art. 61 po ust. 5 dodaje się ust. 5a w brzmieniu:</w:t>
      </w:r>
    </w:p>
    <w:p w14:paraId="1FA09F75" w14:textId="6CDC3287" w:rsidR="00B01C9F" w:rsidRDefault="00B01C9F" w:rsidP="00B01C9F">
      <w:pPr>
        <w:pStyle w:val="ZUSTzmustartykuempunktem"/>
      </w:pPr>
      <w:r>
        <w:t xml:space="preserve">„5a. </w:t>
      </w:r>
      <w:r w:rsidRPr="00234049">
        <w:t xml:space="preserve">W celu ustalenia wymagań dla nowej zabudowy i zagospodarowania terenu właściwy organ wyznacza wokół </w:t>
      </w:r>
      <w:r>
        <w:t>terenu, o którym mowa w art. 52 ust. 2 pkt 1a</w:t>
      </w:r>
      <w:r w:rsidRPr="00234049">
        <w:t xml:space="preserve">, na kopii </w:t>
      </w:r>
      <w:r>
        <w:t>mapy zasadniczej lub mapy ewidencyjnej dołączonej do wniosku o ustalenie warunków zabudowy</w:t>
      </w:r>
      <w:r w:rsidRPr="00234049">
        <w:t xml:space="preserve"> obszar analizowany w odległości nie mniejszej niż trzykrotna szerokość frontu </w:t>
      </w:r>
      <w:r>
        <w:t xml:space="preserve">terenu, jednak </w:t>
      </w:r>
      <w:r w:rsidRPr="00234049">
        <w:t>nie mniejszej niż 50 metrów</w:t>
      </w:r>
      <w:r>
        <w:t xml:space="preserve">, </w:t>
      </w:r>
      <w:r w:rsidRPr="00234049">
        <w:t xml:space="preserve">i przeprowadza na nim analizę funkcji oraz cech zabudowy i zagospodarowania terenu w zakresie warunków, o których mowa w ust. </w:t>
      </w:r>
      <w:r>
        <w:t>1</w:t>
      </w:r>
      <w:r w:rsidRPr="00234049">
        <w:t>.</w:t>
      </w:r>
      <w:r>
        <w:t xml:space="preserve"> Przez front terenu należy rozumieć tę część granicy działki budowlanej, która przylega do drogi publicznej lub wewnętrznej, z której odbywa się główny wjazd na działkę.”;</w:t>
      </w:r>
    </w:p>
    <w:p w14:paraId="70121F7F" w14:textId="77777777" w:rsidR="00B01C9F" w:rsidRPr="00C345CA" w:rsidRDefault="00B01C9F" w:rsidP="00B01C9F">
      <w:pPr>
        <w:pStyle w:val="PKTpunkt"/>
      </w:pPr>
      <w:r>
        <w:t>5)</w:t>
      </w:r>
      <w:r>
        <w:tab/>
        <w:t xml:space="preserve">w art. 64 </w:t>
      </w:r>
      <w:r w:rsidRPr="00C345CA">
        <w:t>ust. 1 otrzymuje brzmienie:</w:t>
      </w:r>
    </w:p>
    <w:p w14:paraId="024F3CBB" w14:textId="77777777" w:rsidR="00B01C9F" w:rsidRDefault="00B01C9F" w:rsidP="00B01C9F">
      <w:pPr>
        <w:pStyle w:val="ZUSTzmustartykuempunktem"/>
      </w:pPr>
      <w:r>
        <w:t>„</w:t>
      </w:r>
      <w:r w:rsidRPr="00D74CA6">
        <w:t>1.</w:t>
      </w:r>
      <w:r>
        <w:t> </w:t>
      </w:r>
      <w:r w:rsidRPr="00D74CA6">
        <w:t xml:space="preserve">Przepisy art. </w:t>
      </w:r>
      <w:r w:rsidRPr="00F60DB2">
        <w:t xml:space="preserve">51 ust. 2–3, art. 52, art. 53 ust. 3–5a i 5c–5f oraz art. 54–56 </w:t>
      </w:r>
      <w:r w:rsidRPr="00D74CA6">
        <w:t>stosuje się odpowiednio do decyzji o warunkach zabudowy</w:t>
      </w:r>
      <w:r>
        <w:t>, z tym że:</w:t>
      </w:r>
    </w:p>
    <w:p w14:paraId="34D9937F" w14:textId="66E90DAA" w:rsidR="00B01C9F" w:rsidRDefault="00B01C9F" w:rsidP="00B01C9F">
      <w:pPr>
        <w:pStyle w:val="ZPKTzmpktartykuempunktem"/>
      </w:pPr>
      <w:r>
        <w:t>1)</w:t>
      </w:r>
      <w:r>
        <w:tab/>
      </w:r>
      <w:r w:rsidRPr="00D74CA6">
        <w:t>termin, o którym mowa w art. 51 ust. 2, wynosi 90 dni, a w przypadku decyzji o warunkach zabudowy dotyczącej obiektu budowlanego, o którym mowa w art. 29 ust. 1 pkt 1a ustawy z</w:t>
      </w:r>
      <w:r>
        <w:t> </w:t>
      </w:r>
      <w:r w:rsidRPr="00D74CA6">
        <w:t xml:space="preserve">dnia 7 lipca 1994 r. – Prawo budowlane, termin ten wynosi </w:t>
      </w:r>
      <w:r w:rsidR="00AD7E25">
        <w:t>21 </w:t>
      </w:r>
      <w:r>
        <w:t>dni;</w:t>
      </w:r>
    </w:p>
    <w:p w14:paraId="19FC4682" w14:textId="77777777" w:rsidR="00B01C9F" w:rsidRPr="00C345CA" w:rsidRDefault="00B01C9F" w:rsidP="00B01C9F">
      <w:pPr>
        <w:pStyle w:val="ZPKTzmpktartykuempunktem"/>
      </w:pPr>
      <w:r>
        <w:t>2)</w:t>
      </w:r>
      <w:r>
        <w:tab/>
        <w:t>w</w:t>
      </w:r>
      <w:r w:rsidRPr="00C345CA">
        <w:t xml:space="preserve"> odniesieniu do decyzji o warunkach zabudowy dotyczącej obiektu budowlanego, o którym mowa w art. 29 ust. 1 pkt 1a ustawy z dnia 7 lipca 1994 r. – Prawo budowlane</w:t>
      </w:r>
      <w:r>
        <w:t>,</w:t>
      </w:r>
      <w:r w:rsidRPr="00C345CA">
        <w:t xml:space="preserve"> terminy, o których mowa w art. 53 ust. 5 i 5c</w:t>
      </w:r>
      <w:r>
        <w:t>,</w:t>
      </w:r>
      <w:r w:rsidRPr="00C345CA">
        <w:t xml:space="preserve"> wynoszą 7 dni</w:t>
      </w:r>
      <w:r w:rsidRPr="00D74CA6">
        <w:t>.</w:t>
      </w:r>
      <w:r>
        <w:t>”;</w:t>
      </w:r>
    </w:p>
    <w:p w14:paraId="7E29ABC2" w14:textId="77777777" w:rsidR="00B01C9F" w:rsidRPr="00C345CA" w:rsidRDefault="00B01C9F" w:rsidP="00B01C9F">
      <w:pPr>
        <w:pStyle w:val="PKTpunkt"/>
      </w:pPr>
      <w:r>
        <w:t>6</w:t>
      </w:r>
      <w:r w:rsidRPr="00C345CA">
        <w:t>)</w:t>
      </w:r>
      <w:r w:rsidRPr="00C345CA">
        <w:tab/>
        <w:t xml:space="preserve">po art. </w:t>
      </w:r>
      <w:r>
        <w:t>64</w:t>
      </w:r>
      <w:r w:rsidRPr="00C345CA">
        <w:t xml:space="preserve"> dodaje się art. </w:t>
      </w:r>
      <w:r>
        <w:t>64a i art. 64b</w:t>
      </w:r>
      <w:r w:rsidRPr="00C345CA">
        <w:t xml:space="preserve"> w brzmieniu:</w:t>
      </w:r>
    </w:p>
    <w:p w14:paraId="1FAF3D12" w14:textId="04E19C51" w:rsidR="00B01C9F" w:rsidRDefault="00B01C9F" w:rsidP="00B01C9F">
      <w:pPr>
        <w:pStyle w:val="ZARTzmartartykuempunktem"/>
      </w:pPr>
      <w:r>
        <w:t>„</w:t>
      </w:r>
      <w:r w:rsidRPr="003D21C9">
        <w:t xml:space="preserve">Art. </w:t>
      </w:r>
      <w:r>
        <w:t>64a</w:t>
      </w:r>
      <w:r w:rsidRPr="003D21C9">
        <w:t xml:space="preserve">. 1. Stroną </w:t>
      </w:r>
      <w:bookmarkStart w:id="2" w:name="_Hlk81509594"/>
      <w:r w:rsidRPr="003D21C9">
        <w:t>postępowania o wydanie decyzji o warunkach zabudowy dotyczącej obiektu budowlanego, o którym mowa w art. 29 ust. 1 pkt 1</w:t>
      </w:r>
      <w:r w:rsidR="00AD7E25">
        <w:t>a ustawy z dnia 7 </w:t>
      </w:r>
      <w:r w:rsidRPr="003D21C9">
        <w:t>lipca 1994 r. – Prawo budowlane</w:t>
      </w:r>
      <w:bookmarkEnd w:id="2"/>
      <w:r>
        <w:t>,</w:t>
      </w:r>
      <w:r w:rsidRPr="003D21C9">
        <w:t xml:space="preserve"> jest wnioskodawca.</w:t>
      </w:r>
    </w:p>
    <w:p w14:paraId="20C69E4D" w14:textId="2517DE90" w:rsidR="00B01C9F" w:rsidRPr="003D21C9" w:rsidRDefault="00B01C9F" w:rsidP="00B01C9F">
      <w:pPr>
        <w:pStyle w:val="ZUSTzmustartykuempunktem"/>
      </w:pPr>
      <w:r>
        <w:lastRenderedPageBreak/>
        <w:t>2. W postępowaniu, o którym mowa w ust. 1, g</w:t>
      </w:r>
      <w:r w:rsidRPr="00234049">
        <w:t>ranice obszaru analizowanego</w:t>
      </w:r>
      <w:r w:rsidR="00AD7E25">
        <w:t>, o </w:t>
      </w:r>
      <w:r>
        <w:t>którym mowa w art. 61 ust. 5a,</w:t>
      </w:r>
      <w:r w:rsidRPr="00234049">
        <w:t xml:space="preserve"> wyznacza się w odległości nie mniejszej niż trzykrotna szerokość frontu </w:t>
      </w:r>
      <w:r>
        <w:t>terenu,</w:t>
      </w:r>
      <w:r w:rsidRPr="00AB558B">
        <w:t xml:space="preserve"> </w:t>
      </w:r>
      <w:r>
        <w:t xml:space="preserve">o którym mowa w art. 52 ust. 2 pkt 1a, jednak </w:t>
      </w:r>
      <w:r w:rsidRPr="00234049">
        <w:t>nie mniejszej niż 50 metrów</w:t>
      </w:r>
      <w:r>
        <w:t xml:space="preserve"> oraz nie większej niż 200 m.</w:t>
      </w:r>
    </w:p>
    <w:p w14:paraId="7EB3C3BD" w14:textId="77777777" w:rsidR="00B01C9F" w:rsidRPr="003D21C9" w:rsidRDefault="00B01C9F" w:rsidP="00B01C9F">
      <w:pPr>
        <w:pStyle w:val="ZUSTzmustartykuempunktem"/>
      </w:pPr>
      <w:r>
        <w:t>3</w:t>
      </w:r>
      <w:r w:rsidRPr="003D21C9">
        <w:t>. Odstępuje się od uzasadnienia decyzji, o której mowa w ust. 1, gdy uwzględnia ona w całości żądanie strony</w:t>
      </w:r>
      <w:r>
        <w:t>.</w:t>
      </w:r>
    </w:p>
    <w:p w14:paraId="51692CB6" w14:textId="1CD31300" w:rsidR="00B01C9F" w:rsidRPr="003D21C9" w:rsidRDefault="00B01C9F" w:rsidP="00B01C9F">
      <w:pPr>
        <w:pStyle w:val="ZUSTzmustartykuempunktem"/>
      </w:pPr>
      <w:r>
        <w:t>4</w:t>
      </w:r>
      <w:r w:rsidRPr="003D21C9">
        <w:t>. Do decyzji, o której mowa w ust. 1, stosuje się przepisy działu II rozdziału 14 Kodeks</w:t>
      </w:r>
      <w:r w:rsidR="00DF3B75">
        <w:t>u</w:t>
      </w:r>
      <w:r w:rsidRPr="003D21C9">
        <w:t xml:space="preserve"> postępowania administracyjnego, z wyjątkiem przepisów o milczącym załatwieniu sprawy.</w:t>
      </w:r>
    </w:p>
    <w:p w14:paraId="4AE5101E" w14:textId="7F7AC26C" w:rsidR="00B01C9F" w:rsidRDefault="00B01C9F" w:rsidP="00B01C9F">
      <w:pPr>
        <w:pStyle w:val="ZUSTzmustartykuempunktem"/>
      </w:pPr>
      <w:r>
        <w:t>5</w:t>
      </w:r>
      <w:r w:rsidRPr="003D21C9">
        <w:t>. Do decyzji, o której mowa w ust. 1, nie stosuje s</w:t>
      </w:r>
      <w:r>
        <w:t>ię przepisów art. 10 i art. 79a</w:t>
      </w:r>
      <w:r w:rsidR="003A1D5B">
        <w:t xml:space="preserve"> </w:t>
      </w:r>
      <w:r w:rsidRPr="003D21C9">
        <w:t>Kodeks</w:t>
      </w:r>
      <w:r w:rsidR="00DF3B75">
        <w:t>u</w:t>
      </w:r>
      <w:r w:rsidRPr="003D21C9">
        <w:t xml:space="preserve"> postępowania administracyjnego</w:t>
      </w:r>
      <w:r>
        <w:t>.</w:t>
      </w:r>
    </w:p>
    <w:p w14:paraId="50A82C1C" w14:textId="77777777" w:rsidR="00B01C9F" w:rsidRPr="0004105A" w:rsidRDefault="00B01C9F" w:rsidP="00AD7E25">
      <w:pPr>
        <w:pStyle w:val="ZARTzmartartykuempunktem"/>
      </w:pPr>
      <w:r>
        <w:t xml:space="preserve">Art. 64b. 1. </w:t>
      </w:r>
      <w:r w:rsidRPr="0004105A">
        <w:t>Wniosek o ustalenie lokalizacji inwestycji celu publicznego oraz wniosek o ustalenie warunków zabudowy składa się na formularzu wniosku o ustalenie lokalizacji inwestycji celu publicznego albo warunków zabudowy w:</w:t>
      </w:r>
    </w:p>
    <w:p w14:paraId="5EB10683" w14:textId="77777777" w:rsidR="00B01C9F" w:rsidRPr="0004105A" w:rsidRDefault="00B01C9F" w:rsidP="00B01C9F">
      <w:pPr>
        <w:pStyle w:val="ZPKTzmpktartykuempunktem"/>
      </w:pPr>
      <w:r w:rsidRPr="0004105A">
        <w:t>1)</w:t>
      </w:r>
      <w:r w:rsidRPr="0004105A">
        <w:tab/>
        <w:t>postaci papierowej albo</w:t>
      </w:r>
    </w:p>
    <w:p w14:paraId="4853AF59" w14:textId="77777777" w:rsidR="00B01C9F" w:rsidRDefault="00B01C9F" w:rsidP="00B01C9F">
      <w:pPr>
        <w:pStyle w:val="ZPKTzmpktartykuempunktem"/>
      </w:pPr>
      <w:r w:rsidRPr="0004105A">
        <w:t>2)</w:t>
      </w:r>
      <w:r w:rsidRPr="0004105A">
        <w:tab/>
        <w:t>formie dokumentu elektronicznego.</w:t>
      </w:r>
    </w:p>
    <w:p w14:paraId="4D7AC86A" w14:textId="633E9795" w:rsidR="00B01C9F" w:rsidRPr="0004105A" w:rsidRDefault="00B01C9F" w:rsidP="00B01C9F">
      <w:pPr>
        <w:pStyle w:val="ZUSTzmustartykuempunktem"/>
      </w:pPr>
      <w:r>
        <w:t>2</w:t>
      </w:r>
      <w:r w:rsidR="00D5718B">
        <w:t xml:space="preserve">. </w:t>
      </w:r>
      <w:r w:rsidRPr="0004105A">
        <w:t>Minister właściwy do spraw budownictwa, planowania i zagospodarowania przestrzennego oraz mieszkalnictwa określi, w drodze rozporządzenia, wzór formularza wniosku o ustalenie lokalizacji inwestycji celu public</w:t>
      </w:r>
      <w:r w:rsidR="00AD7E25">
        <w:t>znego albo warunków zabudowy, w </w:t>
      </w:r>
      <w:r w:rsidRPr="0004105A">
        <w:t>tym w formie dokumentu elektronicznego w rozumien</w:t>
      </w:r>
      <w:r w:rsidR="00AD7E25">
        <w:t>iu ustawy z dnia 17 lutego 2005 </w:t>
      </w:r>
      <w:r w:rsidRPr="0004105A">
        <w:t>r. o informatyzacji działalności podmiotów realizujących zadania publiczne</w:t>
      </w:r>
      <w:r>
        <w:t xml:space="preserve"> (Dz. U. z 2021 r. poz. 670, 952 i 1005)</w:t>
      </w:r>
      <w:r w:rsidRPr="0004105A">
        <w:t>, mając na względzie łatwość stosowania formularza oraz zapewnienie przejrzystości danych zamieszczanych w formularzu.</w:t>
      </w:r>
    </w:p>
    <w:p w14:paraId="7A67779A" w14:textId="25E7AE93" w:rsidR="00B01C9F" w:rsidRPr="00D74CA6" w:rsidRDefault="00B01C9F" w:rsidP="00B01C9F">
      <w:pPr>
        <w:pStyle w:val="ZUSTzmustartykuempunktem"/>
      </w:pPr>
      <w:r>
        <w:t>3</w:t>
      </w:r>
      <w:r w:rsidR="00D5718B">
        <w:t xml:space="preserve">. </w:t>
      </w:r>
      <w:r w:rsidRPr="0004105A">
        <w:t>Minister właściwy do spraw budownictwa, planowania i zagospodarowania przestrzennego oraz mieszkalnictwa udostępnia formularz wniosku o ustalenie lokalizacji inwestycji celu publicznego albo warunków zabudowy w Biuletynie Informacji Publicznej na stronie podmiotowej obsługującego go urzędu.</w:t>
      </w:r>
      <w:r>
        <w:t>”.</w:t>
      </w:r>
    </w:p>
    <w:p w14:paraId="75258D50" w14:textId="7A2D803A" w:rsidR="00E56E4E" w:rsidRDefault="00AD7E25" w:rsidP="008C180E">
      <w:pPr>
        <w:pStyle w:val="ARTartustawynprozporzdzenia"/>
      </w:pPr>
      <w:r>
        <w:rPr>
          <w:rStyle w:val="Ppogrubienie"/>
        </w:rPr>
        <w:t>Art. </w:t>
      </w:r>
      <w:r w:rsidR="00D74CA6" w:rsidRPr="003D17BA">
        <w:rPr>
          <w:rStyle w:val="Ppogrubienie"/>
        </w:rPr>
        <w:t>3.</w:t>
      </w:r>
      <w:r>
        <w:t> </w:t>
      </w:r>
      <w:r w:rsidR="00E56E4E" w:rsidRPr="00E56E4E">
        <w:t>Do budowy</w:t>
      </w:r>
      <w:r w:rsidR="00B7661F">
        <w:t xml:space="preserve"> budynku spełniającego kryteria, o których</w:t>
      </w:r>
      <w:r w:rsidR="00E56E4E" w:rsidRPr="00E56E4E">
        <w:t xml:space="preserve"> mowa w art. 29 ust. 1 pkt</w:t>
      </w:r>
      <w:r w:rsidR="007525DC">
        <w:t> </w:t>
      </w:r>
      <w:r w:rsidR="00E56E4E" w:rsidRPr="00E56E4E">
        <w:t>1a</w:t>
      </w:r>
      <w:r w:rsidR="00B7661F">
        <w:t xml:space="preserve"> </w:t>
      </w:r>
      <w:r w:rsidR="00D96E17">
        <w:t xml:space="preserve">albo 16 </w:t>
      </w:r>
      <w:r w:rsidR="00B7661F">
        <w:t>ustawy zmienianej w art. 1</w:t>
      </w:r>
      <w:r w:rsidR="00E56E4E" w:rsidRPr="00E56E4E">
        <w:t xml:space="preserve">, </w:t>
      </w:r>
      <w:r w:rsidR="00B7661F">
        <w:t xml:space="preserve">w przypadku której </w:t>
      </w:r>
      <w:r w:rsidR="00E56E4E" w:rsidRPr="00E56E4E">
        <w:t>przed dniem we</w:t>
      </w:r>
      <w:r w:rsidR="008D489D">
        <w:t>jścia w życie niniejszej ustawy</w:t>
      </w:r>
      <w:r w:rsidR="009466CA">
        <w:t xml:space="preserve"> wydano decyzję o pozwoleniu na budowę albo dokonano zgłoszenia, </w:t>
      </w:r>
      <w:r w:rsidR="00E56E4E" w:rsidRPr="00E56E4E">
        <w:t>stosuje się przepisy dotychczasowe.</w:t>
      </w:r>
    </w:p>
    <w:p w14:paraId="3CAB2B53" w14:textId="06E9D952" w:rsidR="00E56E4E" w:rsidRPr="00B01C9F" w:rsidRDefault="00AD7E25" w:rsidP="000409FB">
      <w:pPr>
        <w:pStyle w:val="ARTartustawynprozporzdzenia"/>
      </w:pPr>
      <w:r>
        <w:rPr>
          <w:rStyle w:val="Ppogrubienie"/>
        </w:rPr>
        <w:lastRenderedPageBreak/>
        <w:t>Art. </w:t>
      </w:r>
      <w:r w:rsidR="00B01C9F" w:rsidRPr="00336FD2">
        <w:rPr>
          <w:rStyle w:val="Ppogrubienie"/>
        </w:rPr>
        <w:t>4.</w:t>
      </w:r>
      <w:r>
        <w:t> </w:t>
      </w:r>
      <w:r w:rsidR="00B01C9F" w:rsidRPr="00B01C9F">
        <w:t>Do spraw ustalenia lokalizacji inwestycji celu publicznego lub wydania warunków zabudowy, wszczętych i niezakończonych decyzją ostateczną przed dniem wejścia w życie niniejszej ustawy, stosuje się przepisy ustawy zmienianej w art. 2 w brzmieniu dotychczasowym.</w:t>
      </w:r>
    </w:p>
    <w:p w14:paraId="0DA9F356" w14:textId="712AFB76" w:rsidR="00D74CA6" w:rsidRPr="00D74CA6" w:rsidRDefault="00AD7E25" w:rsidP="008C180E">
      <w:pPr>
        <w:pStyle w:val="ARTartustawynprozporzdzenia"/>
      </w:pPr>
      <w:r>
        <w:rPr>
          <w:rStyle w:val="Ppogrubienie"/>
        </w:rPr>
        <w:t>Art. </w:t>
      </w:r>
      <w:r w:rsidR="00E56E4E" w:rsidRPr="003D17BA">
        <w:rPr>
          <w:rStyle w:val="Ppogrubienie"/>
        </w:rPr>
        <w:t>5.</w:t>
      </w:r>
      <w:r>
        <w:t> </w:t>
      </w:r>
      <w:r w:rsidR="00C345CA" w:rsidRPr="00D74CA6">
        <w:t xml:space="preserve">Ustawa wchodzi w życie po upływie </w:t>
      </w:r>
      <w:r w:rsidR="00C345CA">
        <w:t xml:space="preserve">2 </w:t>
      </w:r>
      <w:r w:rsidR="00C345CA" w:rsidRPr="00D74CA6">
        <w:t>miesi</w:t>
      </w:r>
      <w:r w:rsidR="00C345CA">
        <w:t>ęcy</w:t>
      </w:r>
      <w:r w:rsidR="00C345CA" w:rsidRPr="00D74CA6">
        <w:t xml:space="preserve"> od dnia ogłoszenia.</w:t>
      </w:r>
    </w:p>
    <w:sectPr w:rsidR="00D74CA6" w:rsidRPr="00D74CA6" w:rsidSect="00A035FD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ABD5F" w14:textId="77777777" w:rsidR="00841458" w:rsidRDefault="00841458">
      <w:r>
        <w:separator/>
      </w:r>
    </w:p>
  </w:endnote>
  <w:endnote w:type="continuationSeparator" w:id="0">
    <w:p w14:paraId="35C0C60F" w14:textId="77777777" w:rsidR="00841458" w:rsidRDefault="0084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04463" w14:textId="77777777" w:rsidR="00841458" w:rsidRDefault="00841458">
      <w:r>
        <w:separator/>
      </w:r>
    </w:p>
  </w:footnote>
  <w:footnote w:type="continuationSeparator" w:id="0">
    <w:p w14:paraId="3BA63CB8" w14:textId="77777777" w:rsidR="00841458" w:rsidRDefault="00841458">
      <w:r>
        <w:continuationSeparator/>
      </w:r>
    </w:p>
  </w:footnote>
  <w:footnote w:id="1">
    <w:p w14:paraId="44D0A4C3" w14:textId="77777777" w:rsidR="00447A90" w:rsidRPr="00447A90" w:rsidRDefault="00447A90" w:rsidP="00447A90">
      <w:pPr>
        <w:pStyle w:val="ODNONIKtreodnonika"/>
      </w:pPr>
      <w:r>
        <w:rPr>
          <w:rStyle w:val="Odwoanieprzypisudolnego"/>
        </w:rPr>
        <w:t>1)</w:t>
      </w:r>
      <w:r w:rsidR="005C4805">
        <w:tab/>
      </w:r>
      <w:r w:rsidRPr="00447A90">
        <w:t>Zmiany tekstu jednolitego wymienionej ustawy zostały ogłoszone w Dz. U. z 2020 r. poz. 2127 i 2320 oraz z</w:t>
      </w:r>
      <w:r w:rsidR="007525DC">
        <w:t> </w:t>
      </w:r>
      <w:r w:rsidRPr="00447A90">
        <w:t>2021 r. poz. 11, 234, 282 i 784.</w:t>
      </w:r>
    </w:p>
    <w:p w14:paraId="134D9FCA" w14:textId="77777777" w:rsidR="00447A90" w:rsidRPr="00AD7E25" w:rsidRDefault="00447A90">
      <w:pPr>
        <w:rPr>
          <w:sz w:val="2"/>
          <w:szCs w:val="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16B94" w14:textId="73B62029" w:rsidR="00A035FD" w:rsidRPr="00A035FD" w:rsidRDefault="00A035FD" w:rsidP="00A035FD">
    <w:pPr>
      <w:pStyle w:val="Nagwek"/>
      <w:jc w:val="center"/>
    </w:pPr>
    <w:r w:rsidRPr="00A035FD">
      <w:t>–</w:t>
    </w:r>
    <w:r w:rsidRPr="00A035FD">
      <w:fldChar w:fldCharType="begin"/>
    </w:r>
    <w:r w:rsidRPr="00A035FD">
      <w:instrText xml:space="preserve"> PAGE  \* MERGEFORMAT </w:instrText>
    </w:r>
    <w:r w:rsidRPr="00A035FD">
      <w:fldChar w:fldCharType="separate"/>
    </w:r>
    <w:r w:rsidR="00C859B2">
      <w:rPr>
        <w:noProof/>
      </w:rPr>
      <w:t>7</w:t>
    </w:r>
    <w:r w:rsidRPr="00A035FD">
      <w:fldChar w:fldCharType="end"/>
    </w:r>
    <w:r w:rsidRPr="00A035FD"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2DE79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0829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9640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AE09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2ADF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DA3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82DF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63E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1A1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FC12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2A7FF7"/>
    <w:multiLevelType w:val="hybridMultilevel"/>
    <w:tmpl w:val="E5DE0886"/>
    <w:lvl w:ilvl="0" w:tplc="7BD658AE">
      <w:start w:val="1"/>
      <w:numFmt w:val="lowerLetter"/>
      <w:lvlText w:val="%1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A0647A">
      <w:start w:val="1"/>
      <w:numFmt w:val="lowerLetter"/>
      <w:lvlText w:val="%2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5EAD4C">
      <w:start w:val="1"/>
      <w:numFmt w:val="lowerRoman"/>
      <w:lvlText w:val="%3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6A9AD2">
      <w:start w:val="1"/>
      <w:numFmt w:val="decimal"/>
      <w:lvlText w:val="%4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D446CC">
      <w:start w:val="1"/>
      <w:numFmt w:val="lowerLetter"/>
      <w:lvlText w:val="%5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DA650C">
      <w:start w:val="1"/>
      <w:numFmt w:val="lowerRoman"/>
      <w:lvlText w:val="%6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6FBFA">
      <w:start w:val="1"/>
      <w:numFmt w:val="decimal"/>
      <w:lvlText w:val="%7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664874">
      <w:start w:val="1"/>
      <w:numFmt w:val="lowerLetter"/>
      <w:lvlText w:val="%8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220E3E">
      <w:start w:val="1"/>
      <w:numFmt w:val="lowerRoman"/>
      <w:lvlText w:val="%9"/>
      <w:lvlJc w:val="left"/>
      <w:pPr>
        <w:ind w:left="6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7258DF"/>
    <w:multiLevelType w:val="hybridMultilevel"/>
    <w:tmpl w:val="552CFF78"/>
    <w:lvl w:ilvl="0" w:tplc="40DC975A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0ADCDA">
      <w:start w:val="1"/>
      <w:numFmt w:val="lowerLetter"/>
      <w:lvlText w:val="%2)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14E864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1C276E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B6B09E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36F5AE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F0D01E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B60F98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BEFF6A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2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30"/>
  </w:num>
  <w:num w:numId="42">
    <w:abstractNumId w:val="22"/>
  </w:num>
  <w:num w:numId="43">
    <w:abstractNumId w:val="36"/>
  </w:num>
  <w:num w:numId="44">
    <w:abstractNumId w:val="13"/>
  </w:num>
  <w:num w:numId="45">
    <w:abstractNumId w:val="29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removePersonalInformation/>
  <w:removeDateAndTime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708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CA6"/>
    <w:rsid w:val="000012DA"/>
    <w:rsid w:val="00001DFC"/>
    <w:rsid w:val="0000246E"/>
    <w:rsid w:val="00003862"/>
    <w:rsid w:val="00012A35"/>
    <w:rsid w:val="00016099"/>
    <w:rsid w:val="00017DC2"/>
    <w:rsid w:val="00022A68"/>
    <w:rsid w:val="00023471"/>
    <w:rsid w:val="00023F13"/>
    <w:rsid w:val="00030634"/>
    <w:rsid w:val="00031BCA"/>
    <w:rsid w:val="000330FA"/>
    <w:rsid w:val="0003362F"/>
    <w:rsid w:val="00036B63"/>
    <w:rsid w:val="00037E1A"/>
    <w:rsid w:val="000409FB"/>
    <w:rsid w:val="0004105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67B4E"/>
    <w:rsid w:val="00071BEE"/>
    <w:rsid w:val="000736CD"/>
    <w:rsid w:val="0007533B"/>
    <w:rsid w:val="0007545D"/>
    <w:rsid w:val="000760BF"/>
    <w:rsid w:val="0007613E"/>
    <w:rsid w:val="00076E9E"/>
    <w:rsid w:val="00077D39"/>
    <w:rsid w:val="000814A7"/>
    <w:rsid w:val="0008557B"/>
    <w:rsid w:val="00091BA2"/>
    <w:rsid w:val="000944EF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B67B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550B"/>
    <w:rsid w:val="000F6ED4"/>
    <w:rsid w:val="000F7A6E"/>
    <w:rsid w:val="001027E4"/>
    <w:rsid w:val="001042BA"/>
    <w:rsid w:val="00104E1F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334F2"/>
    <w:rsid w:val="00134CA0"/>
    <w:rsid w:val="0014026F"/>
    <w:rsid w:val="00141726"/>
    <w:rsid w:val="00147A47"/>
    <w:rsid w:val="001520CF"/>
    <w:rsid w:val="0015742A"/>
    <w:rsid w:val="00157DA1"/>
    <w:rsid w:val="00163147"/>
    <w:rsid w:val="00164C57"/>
    <w:rsid w:val="00164C9D"/>
    <w:rsid w:val="00165A11"/>
    <w:rsid w:val="00172F7A"/>
    <w:rsid w:val="00173150"/>
    <w:rsid w:val="001736F0"/>
    <w:rsid w:val="00173BB3"/>
    <w:rsid w:val="001740D0"/>
    <w:rsid w:val="00174F2C"/>
    <w:rsid w:val="001777A9"/>
    <w:rsid w:val="00180F2A"/>
    <w:rsid w:val="001811BC"/>
    <w:rsid w:val="00184D4A"/>
    <w:rsid w:val="00186EC1"/>
    <w:rsid w:val="00191E1F"/>
    <w:rsid w:val="00197649"/>
    <w:rsid w:val="001A01FB"/>
    <w:rsid w:val="001A10E9"/>
    <w:rsid w:val="001A183D"/>
    <w:rsid w:val="001A3CD3"/>
    <w:rsid w:val="001A5BEF"/>
    <w:rsid w:val="001A7F15"/>
    <w:rsid w:val="001B342E"/>
    <w:rsid w:val="001B3F02"/>
    <w:rsid w:val="001C1832"/>
    <w:rsid w:val="001C188C"/>
    <w:rsid w:val="001C2E64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4E4C"/>
    <w:rsid w:val="001F6616"/>
    <w:rsid w:val="00202BD4"/>
    <w:rsid w:val="00202D3F"/>
    <w:rsid w:val="00204A97"/>
    <w:rsid w:val="002114EF"/>
    <w:rsid w:val="00213C61"/>
    <w:rsid w:val="002166AD"/>
    <w:rsid w:val="00217871"/>
    <w:rsid w:val="00221ED8"/>
    <w:rsid w:val="00223FDF"/>
    <w:rsid w:val="002279C0"/>
    <w:rsid w:val="00230B4E"/>
    <w:rsid w:val="002414C0"/>
    <w:rsid w:val="00241FCE"/>
    <w:rsid w:val="00242081"/>
    <w:rsid w:val="00243777"/>
    <w:rsid w:val="002441CD"/>
    <w:rsid w:val="002501A3"/>
    <w:rsid w:val="0025166C"/>
    <w:rsid w:val="002531DE"/>
    <w:rsid w:val="002555D4"/>
    <w:rsid w:val="00264EC6"/>
    <w:rsid w:val="002708BA"/>
    <w:rsid w:val="00271013"/>
    <w:rsid w:val="00271B11"/>
    <w:rsid w:val="002765B4"/>
    <w:rsid w:val="00276A94"/>
    <w:rsid w:val="002772FE"/>
    <w:rsid w:val="0029405D"/>
    <w:rsid w:val="00294C3F"/>
    <w:rsid w:val="00294FA6"/>
    <w:rsid w:val="00295A6F"/>
    <w:rsid w:val="002A20C4"/>
    <w:rsid w:val="002A4E90"/>
    <w:rsid w:val="002A570F"/>
    <w:rsid w:val="002A7292"/>
    <w:rsid w:val="002A7358"/>
    <w:rsid w:val="002A7902"/>
    <w:rsid w:val="002B0232"/>
    <w:rsid w:val="002B0F6B"/>
    <w:rsid w:val="002B1241"/>
    <w:rsid w:val="002B23B8"/>
    <w:rsid w:val="002B4429"/>
    <w:rsid w:val="002B65B8"/>
    <w:rsid w:val="002B68A6"/>
    <w:rsid w:val="002B7FAF"/>
    <w:rsid w:val="002D1364"/>
    <w:rsid w:val="002D5000"/>
    <w:rsid w:val="002E1DE3"/>
    <w:rsid w:val="002E2AB6"/>
    <w:rsid w:val="002E3F34"/>
    <w:rsid w:val="002E64FA"/>
    <w:rsid w:val="002F0A00"/>
    <w:rsid w:val="002F0CFA"/>
    <w:rsid w:val="002F669F"/>
    <w:rsid w:val="00300D91"/>
    <w:rsid w:val="00301C97"/>
    <w:rsid w:val="00305459"/>
    <w:rsid w:val="0031004C"/>
    <w:rsid w:val="00311297"/>
    <w:rsid w:val="003113BE"/>
    <w:rsid w:val="003122CA"/>
    <w:rsid w:val="003148FD"/>
    <w:rsid w:val="00321080"/>
    <w:rsid w:val="00322D45"/>
    <w:rsid w:val="0032569A"/>
    <w:rsid w:val="00325A1F"/>
    <w:rsid w:val="00326795"/>
    <w:rsid w:val="003268F9"/>
    <w:rsid w:val="00330BAF"/>
    <w:rsid w:val="003330EF"/>
    <w:rsid w:val="00334E3A"/>
    <w:rsid w:val="003361DD"/>
    <w:rsid w:val="00336FD2"/>
    <w:rsid w:val="00345B9C"/>
    <w:rsid w:val="00354EB9"/>
    <w:rsid w:val="00360929"/>
    <w:rsid w:val="00362343"/>
    <w:rsid w:val="003647D5"/>
    <w:rsid w:val="003674B0"/>
    <w:rsid w:val="00376499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1D5B"/>
    <w:rsid w:val="003A306E"/>
    <w:rsid w:val="003A60DC"/>
    <w:rsid w:val="003A6A46"/>
    <w:rsid w:val="003A6A74"/>
    <w:rsid w:val="003A7A63"/>
    <w:rsid w:val="003B000C"/>
    <w:rsid w:val="003B0F1D"/>
    <w:rsid w:val="003B4A57"/>
    <w:rsid w:val="003C0AD9"/>
    <w:rsid w:val="003C0ED0"/>
    <w:rsid w:val="003C1D49"/>
    <w:rsid w:val="003C35C4"/>
    <w:rsid w:val="003C3B5E"/>
    <w:rsid w:val="003D12C2"/>
    <w:rsid w:val="003D17BA"/>
    <w:rsid w:val="003D31B9"/>
    <w:rsid w:val="003E0D1A"/>
    <w:rsid w:val="003E10A4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6462"/>
    <w:rsid w:val="00417B22"/>
    <w:rsid w:val="00421085"/>
    <w:rsid w:val="0042137C"/>
    <w:rsid w:val="0042465E"/>
    <w:rsid w:val="00424DF7"/>
    <w:rsid w:val="00432B76"/>
    <w:rsid w:val="00435D26"/>
    <w:rsid w:val="00440C99"/>
    <w:rsid w:val="0044175C"/>
    <w:rsid w:val="00445F4D"/>
    <w:rsid w:val="00447A90"/>
    <w:rsid w:val="004504C0"/>
    <w:rsid w:val="004550FB"/>
    <w:rsid w:val="00462946"/>
    <w:rsid w:val="00463F43"/>
    <w:rsid w:val="00464B94"/>
    <w:rsid w:val="004653A8"/>
    <w:rsid w:val="00465A0B"/>
    <w:rsid w:val="0047077C"/>
    <w:rsid w:val="00472045"/>
    <w:rsid w:val="0047207C"/>
    <w:rsid w:val="00472CD6"/>
    <w:rsid w:val="00476C17"/>
    <w:rsid w:val="00480A58"/>
    <w:rsid w:val="0048326C"/>
    <w:rsid w:val="00485FAD"/>
    <w:rsid w:val="00486112"/>
    <w:rsid w:val="00487AED"/>
    <w:rsid w:val="00491EDF"/>
    <w:rsid w:val="00492A3F"/>
    <w:rsid w:val="00494F62"/>
    <w:rsid w:val="004A2001"/>
    <w:rsid w:val="004A2BCC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D2DEE"/>
    <w:rsid w:val="004D2E1F"/>
    <w:rsid w:val="004D7FD9"/>
    <w:rsid w:val="004E1324"/>
    <w:rsid w:val="004E19A5"/>
    <w:rsid w:val="004E37E5"/>
    <w:rsid w:val="004E3FDB"/>
    <w:rsid w:val="004F296D"/>
    <w:rsid w:val="004F508B"/>
    <w:rsid w:val="004F5FC7"/>
    <w:rsid w:val="004F695F"/>
    <w:rsid w:val="00500752"/>
    <w:rsid w:val="00501A50"/>
    <w:rsid w:val="0050222D"/>
    <w:rsid w:val="00502C76"/>
    <w:rsid w:val="00503406"/>
    <w:rsid w:val="00503AF3"/>
    <w:rsid w:val="0050696D"/>
    <w:rsid w:val="0051094B"/>
    <w:rsid w:val="005110D7"/>
    <w:rsid w:val="00511D99"/>
    <w:rsid w:val="005128D3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2D6A"/>
    <w:rsid w:val="005835E7"/>
    <w:rsid w:val="0058397F"/>
    <w:rsid w:val="00583BF8"/>
    <w:rsid w:val="00585F33"/>
    <w:rsid w:val="00597024"/>
    <w:rsid w:val="005A0274"/>
    <w:rsid w:val="005A095C"/>
    <w:rsid w:val="005A5360"/>
    <w:rsid w:val="005A669D"/>
    <w:rsid w:val="005A75D8"/>
    <w:rsid w:val="005B713E"/>
    <w:rsid w:val="005C03B6"/>
    <w:rsid w:val="005C4805"/>
    <w:rsid w:val="005C68E1"/>
    <w:rsid w:val="005C7A80"/>
    <w:rsid w:val="005D3763"/>
    <w:rsid w:val="005D55E1"/>
    <w:rsid w:val="005E19F7"/>
    <w:rsid w:val="005E4F04"/>
    <w:rsid w:val="005E62C2"/>
    <w:rsid w:val="005E6C71"/>
    <w:rsid w:val="005F2EBA"/>
    <w:rsid w:val="005F35ED"/>
    <w:rsid w:val="005F7812"/>
    <w:rsid w:val="005F7A88"/>
    <w:rsid w:val="00603A1A"/>
    <w:rsid w:val="006046D5"/>
    <w:rsid w:val="00604F84"/>
    <w:rsid w:val="00610C08"/>
    <w:rsid w:val="00611F74"/>
    <w:rsid w:val="00615772"/>
    <w:rsid w:val="00621256"/>
    <w:rsid w:val="00621FCC"/>
    <w:rsid w:val="00622E4B"/>
    <w:rsid w:val="00635134"/>
    <w:rsid w:val="006356E2"/>
    <w:rsid w:val="00637393"/>
    <w:rsid w:val="00642A65"/>
    <w:rsid w:val="00645462"/>
    <w:rsid w:val="00645DCE"/>
    <w:rsid w:val="006465AC"/>
    <w:rsid w:val="006465BF"/>
    <w:rsid w:val="00653B22"/>
    <w:rsid w:val="00657BF4"/>
    <w:rsid w:val="006603FB"/>
    <w:rsid w:val="006623AC"/>
    <w:rsid w:val="00663839"/>
    <w:rsid w:val="006678AF"/>
    <w:rsid w:val="006701EF"/>
    <w:rsid w:val="00673BA5"/>
    <w:rsid w:val="00680058"/>
    <w:rsid w:val="00681F9F"/>
    <w:rsid w:val="006840EA"/>
    <w:rsid w:val="00685267"/>
    <w:rsid w:val="006872AE"/>
    <w:rsid w:val="00690082"/>
    <w:rsid w:val="006946BB"/>
    <w:rsid w:val="006969FA"/>
    <w:rsid w:val="006A35D5"/>
    <w:rsid w:val="006A3D3A"/>
    <w:rsid w:val="006A748A"/>
    <w:rsid w:val="006B25EE"/>
    <w:rsid w:val="006C419E"/>
    <w:rsid w:val="006C4A31"/>
    <w:rsid w:val="006C5AC2"/>
    <w:rsid w:val="006C6AFB"/>
    <w:rsid w:val="006D0A34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277E"/>
    <w:rsid w:val="00711221"/>
    <w:rsid w:val="00712675"/>
    <w:rsid w:val="00713808"/>
    <w:rsid w:val="007151B6"/>
    <w:rsid w:val="0071520D"/>
    <w:rsid w:val="00715EDB"/>
    <w:rsid w:val="007160D5"/>
    <w:rsid w:val="00717C2E"/>
    <w:rsid w:val="007204FA"/>
    <w:rsid w:val="007213B3"/>
    <w:rsid w:val="0072457F"/>
    <w:rsid w:val="00725406"/>
    <w:rsid w:val="0072621B"/>
    <w:rsid w:val="00730555"/>
    <w:rsid w:val="007312CC"/>
    <w:rsid w:val="00735BA2"/>
    <w:rsid w:val="007410B6"/>
    <w:rsid w:val="00744C6F"/>
    <w:rsid w:val="007457F6"/>
    <w:rsid w:val="00745ABB"/>
    <w:rsid w:val="00746E38"/>
    <w:rsid w:val="00747CD5"/>
    <w:rsid w:val="007525DC"/>
    <w:rsid w:val="00753B51"/>
    <w:rsid w:val="00756629"/>
    <w:rsid w:val="00757B4F"/>
    <w:rsid w:val="00757B6A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97F88"/>
    <w:rsid w:val="007A2A5C"/>
    <w:rsid w:val="007A2CDF"/>
    <w:rsid w:val="007A5150"/>
    <w:rsid w:val="007A5373"/>
    <w:rsid w:val="007B75BC"/>
    <w:rsid w:val="007C0BD6"/>
    <w:rsid w:val="007C3806"/>
    <w:rsid w:val="007C4876"/>
    <w:rsid w:val="007C5BB7"/>
    <w:rsid w:val="007C7886"/>
    <w:rsid w:val="007D07D5"/>
    <w:rsid w:val="007D1C64"/>
    <w:rsid w:val="007D32DD"/>
    <w:rsid w:val="007D343E"/>
    <w:rsid w:val="007D6DCE"/>
    <w:rsid w:val="007D72C4"/>
    <w:rsid w:val="007E0BAC"/>
    <w:rsid w:val="007E2CFE"/>
    <w:rsid w:val="007E59C9"/>
    <w:rsid w:val="007F0072"/>
    <w:rsid w:val="007F2EB6"/>
    <w:rsid w:val="007F54C3"/>
    <w:rsid w:val="007F6293"/>
    <w:rsid w:val="007F6939"/>
    <w:rsid w:val="00802949"/>
    <w:rsid w:val="0080301E"/>
    <w:rsid w:val="0080365F"/>
    <w:rsid w:val="00812BE5"/>
    <w:rsid w:val="00817429"/>
    <w:rsid w:val="00821514"/>
    <w:rsid w:val="00824591"/>
    <w:rsid w:val="00824AED"/>
    <w:rsid w:val="00827820"/>
    <w:rsid w:val="00831B8B"/>
    <w:rsid w:val="0083405D"/>
    <w:rsid w:val="008352D4"/>
    <w:rsid w:val="00841458"/>
    <w:rsid w:val="008415B0"/>
    <w:rsid w:val="00842028"/>
    <w:rsid w:val="008460B6"/>
    <w:rsid w:val="00850C9D"/>
    <w:rsid w:val="00852B59"/>
    <w:rsid w:val="008563FF"/>
    <w:rsid w:val="0086051C"/>
    <w:rsid w:val="008611DD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6A10"/>
    <w:rsid w:val="008971B5"/>
    <w:rsid w:val="008A2DFA"/>
    <w:rsid w:val="008A5D26"/>
    <w:rsid w:val="008A6B13"/>
    <w:rsid w:val="008B2866"/>
    <w:rsid w:val="008B3859"/>
    <w:rsid w:val="008B436D"/>
    <w:rsid w:val="008B4E49"/>
    <w:rsid w:val="008B7712"/>
    <w:rsid w:val="008B7B26"/>
    <w:rsid w:val="008C0F71"/>
    <w:rsid w:val="008C1186"/>
    <w:rsid w:val="008C180E"/>
    <w:rsid w:val="008C3524"/>
    <w:rsid w:val="008C4061"/>
    <w:rsid w:val="008C4229"/>
    <w:rsid w:val="008C5AD2"/>
    <w:rsid w:val="008C5BE0"/>
    <w:rsid w:val="008C7233"/>
    <w:rsid w:val="008D2434"/>
    <w:rsid w:val="008D489D"/>
    <w:rsid w:val="008E171D"/>
    <w:rsid w:val="008E2769"/>
    <w:rsid w:val="008E2785"/>
    <w:rsid w:val="008E3B46"/>
    <w:rsid w:val="008E78A3"/>
    <w:rsid w:val="008F0654"/>
    <w:rsid w:val="008F06CB"/>
    <w:rsid w:val="008F612A"/>
    <w:rsid w:val="0090293D"/>
    <w:rsid w:val="009034DE"/>
    <w:rsid w:val="0090605D"/>
    <w:rsid w:val="00906419"/>
    <w:rsid w:val="00912889"/>
    <w:rsid w:val="00913A42"/>
    <w:rsid w:val="009143DB"/>
    <w:rsid w:val="009148A6"/>
    <w:rsid w:val="00915065"/>
    <w:rsid w:val="009164A8"/>
    <w:rsid w:val="00917CE5"/>
    <w:rsid w:val="009217C0"/>
    <w:rsid w:val="0092259F"/>
    <w:rsid w:val="00925241"/>
    <w:rsid w:val="00925CEC"/>
    <w:rsid w:val="0092794E"/>
    <w:rsid w:val="00930D30"/>
    <w:rsid w:val="009332A2"/>
    <w:rsid w:val="0093790B"/>
    <w:rsid w:val="009425A0"/>
    <w:rsid w:val="00944E2C"/>
    <w:rsid w:val="009466CA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5F88"/>
    <w:rsid w:val="00971475"/>
    <w:rsid w:val="00983F08"/>
    <w:rsid w:val="00984E03"/>
    <w:rsid w:val="00987E85"/>
    <w:rsid w:val="009921A5"/>
    <w:rsid w:val="009A0D12"/>
    <w:rsid w:val="009A1987"/>
    <w:rsid w:val="009A2BEE"/>
    <w:rsid w:val="009A5289"/>
    <w:rsid w:val="009A58CD"/>
    <w:rsid w:val="009A7A53"/>
    <w:rsid w:val="009B0402"/>
    <w:rsid w:val="009B0B75"/>
    <w:rsid w:val="009B16DF"/>
    <w:rsid w:val="009B4CB2"/>
    <w:rsid w:val="009B5E55"/>
    <w:rsid w:val="009B6701"/>
    <w:rsid w:val="009B6EF7"/>
    <w:rsid w:val="009B7000"/>
    <w:rsid w:val="009B739C"/>
    <w:rsid w:val="009C328C"/>
    <w:rsid w:val="009C4444"/>
    <w:rsid w:val="009C79AD"/>
    <w:rsid w:val="009C7CA6"/>
    <w:rsid w:val="009D3316"/>
    <w:rsid w:val="009D46C7"/>
    <w:rsid w:val="009D55AA"/>
    <w:rsid w:val="009E3E77"/>
    <w:rsid w:val="009E3FAB"/>
    <w:rsid w:val="009E5B3F"/>
    <w:rsid w:val="009E7D90"/>
    <w:rsid w:val="009F0E7A"/>
    <w:rsid w:val="009F1AB0"/>
    <w:rsid w:val="009F501D"/>
    <w:rsid w:val="009F58E2"/>
    <w:rsid w:val="00A035FD"/>
    <w:rsid w:val="00A039D5"/>
    <w:rsid w:val="00A046AD"/>
    <w:rsid w:val="00A04B92"/>
    <w:rsid w:val="00A075E0"/>
    <w:rsid w:val="00A079C1"/>
    <w:rsid w:val="00A116A8"/>
    <w:rsid w:val="00A130FD"/>
    <w:rsid w:val="00A13D6D"/>
    <w:rsid w:val="00A14769"/>
    <w:rsid w:val="00A16151"/>
    <w:rsid w:val="00A16EC6"/>
    <w:rsid w:val="00A17539"/>
    <w:rsid w:val="00A17C06"/>
    <w:rsid w:val="00A21706"/>
    <w:rsid w:val="00A24FCC"/>
    <w:rsid w:val="00A26A90"/>
    <w:rsid w:val="00A26B27"/>
    <w:rsid w:val="00A27948"/>
    <w:rsid w:val="00A30E4F"/>
    <w:rsid w:val="00A3310E"/>
    <w:rsid w:val="00A333A0"/>
    <w:rsid w:val="00A37E70"/>
    <w:rsid w:val="00A437E1"/>
    <w:rsid w:val="00A4685E"/>
    <w:rsid w:val="00A50CD4"/>
    <w:rsid w:val="00A51191"/>
    <w:rsid w:val="00A56187"/>
    <w:rsid w:val="00A56F07"/>
    <w:rsid w:val="00A5762C"/>
    <w:rsid w:val="00A600FC"/>
    <w:rsid w:val="00A60BCA"/>
    <w:rsid w:val="00A638DA"/>
    <w:rsid w:val="00A65E00"/>
    <w:rsid w:val="00A662E5"/>
    <w:rsid w:val="00A66A78"/>
    <w:rsid w:val="00A7436E"/>
    <w:rsid w:val="00A74E96"/>
    <w:rsid w:val="00A75A8E"/>
    <w:rsid w:val="00A80ED5"/>
    <w:rsid w:val="00A83676"/>
    <w:rsid w:val="00A83B7B"/>
    <w:rsid w:val="00A84274"/>
    <w:rsid w:val="00A850F3"/>
    <w:rsid w:val="00A864E3"/>
    <w:rsid w:val="00A86FCB"/>
    <w:rsid w:val="00A92F24"/>
    <w:rsid w:val="00A94574"/>
    <w:rsid w:val="00A95936"/>
    <w:rsid w:val="00A95B9F"/>
    <w:rsid w:val="00A96265"/>
    <w:rsid w:val="00A97084"/>
    <w:rsid w:val="00AA1C2C"/>
    <w:rsid w:val="00AA35F6"/>
    <w:rsid w:val="00AA667C"/>
    <w:rsid w:val="00AA6E91"/>
    <w:rsid w:val="00AB047E"/>
    <w:rsid w:val="00AB0B0A"/>
    <w:rsid w:val="00AB0BB7"/>
    <w:rsid w:val="00AB22C6"/>
    <w:rsid w:val="00AB67FC"/>
    <w:rsid w:val="00AC00F2"/>
    <w:rsid w:val="00AC31B5"/>
    <w:rsid w:val="00AC4EA1"/>
    <w:rsid w:val="00AC5381"/>
    <w:rsid w:val="00AC5920"/>
    <w:rsid w:val="00AC5DBD"/>
    <w:rsid w:val="00AD0154"/>
    <w:rsid w:val="00AD0E65"/>
    <w:rsid w:val="00AD0F56"/>
    <w:rsid w:val="00AD2777"/>
    <w:rsid w:val="00AD2BF2"/>
    <w:rsid w:val="00AD4E90"/>
    <w:rsid w:val="00AD5422"/>
    <w:rsid w:val="00AD6FC6"/>
    <w:rsid w:val="00AD7E25"/>
    <w:rsid w:val="00AE14E0"/>
    <w:rsid w:val="00AE2374"/>
    <w:rsid w:val="00AE2FFD"/>
    <w:rsid w:val="00AE4179"/>
    <w:rsid w:val="00AE4425"/>
    <w:rsid w:val="00AE650F"/>
    <w:rsid w:val="00AE7D16"/>
    <w:rsid w:val="00AF0781"/>
    <w:rsid w:val="00AF101C"/>
    <w:rsid w:val="00AF4CAA"/>
    <w:rsid w:val="00AF571A"/>
    <w:rsid w:val="00AF60A0"/>
    <w:rsid w:val="00AF67FC"/>
    <w:rsid w:val="00AF7DF5"/>
    <w:rsid w:val="00B006E5"/>
    <w:rsid w:val="00B01C9F"/>
    <w:rsid w:val="00B024C2"/>
    <w:rsid w:val="00B05D5E"/>
    <w:rsid w:val="00B07700"/>
    <w:rsid w:val="00B07E36"/>
    <w:rsid w:val="00B1528C"/>
    <w:rsid w:val="00B16C82"/>
    <w:rsid w:val="00B21487"/>
    <w:rsid w:val="00B232D1"/>
    <w:rsid w:val="00B24DB5"/>
    <w:rsid w:val="00B31F9E"/>
    <w:rsid w:val="00B3268F"/>
    <w:rsid w:val="00B32C2C"/>
    <w:rsid w:val="00B33A1A"/>
    <w:rsid w:val="00B371CC"/>
    <w:rsid w:val="00B41CD9"/>
    <w:rsid w:val="00B427E6"/>
    <w:rsid w:val="00B428A6"/>
    <w:rsid w:val="00B43E1F"/>
    <w:rsid w:val="00B45FBC"/>
    <w:rsid w:val="00B47965"/>
    <w:rsid w:val="00B51A7D"/>
    <w:rsid w:val="00B535C2"/>
    <w:rsid w:val="00B54BD5"/>
    <w:rsid w:val="00B55544"/>
    <w:rsid w:val="00B55622"/>
    <w:rsid w:val="00B642FC"/>
    <w:rsid w:val="00B64D26"/>
    <w:rsid w:val="00B64FBB"/>
    <w:rsid w:val="00B70E22"/>
    <w:rsid w:val="00B7661F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3A9E"/>
    <w:rsid w:val="00BA561A"/>
    <w:rsid w:val="00BB0CF4"/>
    <w:rsid w:val="00BB1E19"/>
    <w:rsid w:val="00BB21D1"/>
    <w:rsid w:val="00BB32F2"/>
    <w:rsid w:val="00BB4338"/>
    <w:rsid w:val="00BB53B9"/>
    <w:rsid w:val="00BB6C0E"/>
    <w:rsid w:val="00BC11E5"/>
    <w:rsid w:val="00BC52FD"/>
    <w:rsid w:val="00BC639C"/>
    <w:rsid w:val="00BC6E62"/>
    <w:rsid w:val="00BC7443"/>
    <w:rsid w:val="00BD0648"/>
    <w:rsid w:val="00BD1040"/>
    <w:rsid w:val="00BD34AA"/>
    <w:rsid w:val="00BE1B8B"/>
    <w:rsid w:val="00BE2A18"/>
    <w:rsid w:val="00BE41EC"/>
    <w:rsid w:val="00BE56FB"/>
    <w:rsid w:val="00BE7883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3F71"/>
    <w:rsid w:val="00C345CA"/>
    <w:rsid w:val="00C37194"/>
    <w:rsid w:val="00C40637"/>
    <w:rsid w:val="00C40F6C"/>
    <w:rsid w:val="00C44426"/>
    <w:rsid w:val="00C445F3"/>
    <w:rsid w:val="00C451F4"/>
    <w:rsid w:val="00C45EB1"/>
    <w:rsid w:val="00C500E6"/>
    <w:rsid w:val="00C52745"/>
    <w:rsid w:val="00C54A3A"/>
    <w:rsid w:val="00C55566"/>
    <w:rsid w:val="00C71F2D"/>
    <w:rsid w:val="00C72223"/>
    <w:rsid w:val="00C73761"/>
    <w:rsid w:val="00C76417"/>
    <w:rsid w:val="00C7726F"/>
    <w:rsid w:val="00C77469"/>
    <w:rsid w:val="00C823DA"/>
    <w:rsid w:val="00C8259F"/>
    <w:rsid w:val="00C82746"/>
    <w:rsid w:val="00C84C47"/>
    <w:rsid w:val="00C859B2"/>
    <w:rsid w:val="00C86AFA"/>
    <w:rsid w:val="00CA24D4"/>
    <w:rsid w:val="00CB18D0"/>
    <w:rsid w:val="00CB24F5"/>
    <w:rsid w:val="00CB2663"/>
    <w:rsid w:val="00CB3BBE"/>
    <w:rsid w:val="00CB4B66"/>
    <w:rsid w:val="00CB59E9"/>
    <w:rsid w:val="00CC0D6A"/>
    <w:rsid w:val="00CC3831"/>
    <w:rsid w:val="00CC519B"/>
    <w:rsid w:val="00CC52B6"/>
    <w:rsid w:val="00CD12C1"/>
    <w:rsid w:val="00CD214E"/>
    <w:rsid w:val="00CD46FA"/>
    <w:rsid w:val="00CD5973"/>
    <w:rsid w:val="00CE31A6"/>
    <w:rsid w:val="00CE5B6E"/>
    <w:rsid w:val="00CF09AA"/>
    <w:rsid w:val="00CF1648"/>
    <w:rsid w:val="00CF3E3C"/>
    <w:rsid w:val="00CF4813"/>
    <w:rsid w:val="00CF5233"/>
    <w:rsid w:val="00D025A5"/>
    <w:rsid w:val="00D029B8"/>
    <w:rsid w:val="00D02F60"/>
    <w:rsid w:val="00D03601"/>
    <w:rsid w:val="00D0464E"/>
    <w:rsid w:val="00D07A7B"/>
    <w:rsid w:val="00D10E06"/>
    <w:rsid w:val="00D16820"/>
    <w:rsid w:val="00D169C8"/>
    <w:rsid w:val="00D1793F"/>
    <w:rsid w:val="00D21E00"/>
    <w:rsid w:val="00D2292C"/>
    <w:rsid w:val="00D235EA"/>
    <w:rsid w:val="00D247A9"/>
    <w:rsid w:val="00D25A3F"/>
    <w:rsid w:val="00D32721"/>
    <w:rsid w:val="00D328DC"/>
    <w:rsid w:val="00D402FB"/>
    <w:rsid w:val="00D47D7A"/>
    <w:rsid w:val="00D50ABD"/>
    <w:rsid w:val="00D52F7D"/>
    <w:rsid w:val="00D550FA"/>
    <w:rsid w:val="00D5718B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4CA6"/>
    <w:rsid w:val="00D76EC9"/>
    <w:rsid w:val="00D80E7D"/>
    <w:rsid w:val="00D81397"/>
    <w:rsid w:val="00D829AE"/>
    <w:rsid w:val="00D848B9"/>
    <w:rsid w:val="00D849F6"/>
    <w:rsid w:val="00D90E69"/>
    <w:rsid w:val="00D9118F"/>
    <w:rsid w:val="00D91368"/>
    <w:rsid w:val="00D93106"/>
    <w:rsid w:val="00D933E9"/>
    <w:rsid w:val="00D9505D"/>
    <w:rsid w:val="00D953D0"/>
    <w:rsid w:val="00D959F5"/>
    <w:rsid w:val="00D96E17"/>
    <w:rsid w:val="00DA3FDD"/>
    <w:rsid w:val="00DA4D93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32CC"/>
    <w:rsid w:val="00DE590F"/>
    <w:rsid w:val="00DE7DC1"/>
    <w:rsid w:val="00DF3B75"/>
    <w:rsid w:val="00DF3F7E"/>
    <w:rsid w:val="00DF6578"/>
    <w:rsid w:val="00DF7648"/>
    <w:rsid w:val="00E00E29"/>
    <w:rsid w:val="00E02BAB"/>
    <w:rsid w:val="00E04CEB"/>
    <w:rsid w:val="00E060BC"/>
    <w:rsid w:val="00E11420"/>
    <w:rsid w:val="00E170B7"/>
    <w:rsid w:val="00E177DD"/>
    <w:rsid w:val="00E20900"/>
    <w:rsid w:val="00E20C7F"/>
    <w:rsid w:val="00E2396E"/>
    <w:rsid w:val="00E24728"/>
    <w:rsid w:val="00E276AC"/>
    <w:rsid w:val="00E34A35"/>
    <w:rsid w:val="00E354C3"/>
    <w:rsid w:val="00E37C2F"/>
    <w:rsid w:val="00E41C28"/>
    <w:rsid w:val="00E46308"/>
    <w:rsid w:val="00E51E17"/>
    <w:rsid w:val="00E52DAB"/>
    <w:rsid w:val="00E539B0"/>
    <w:rsid w:val="00E55994"/>
    <w:rsid w:val="00E56E40"/>
    <w:rsid w:val="00E56E4E"/>
    <w:rsid w:val="00E57CD5"/>
    <w:rsid w:val="00E60C66"/>
    <w:rsid w:val="00E6164D"/>
    <w:rsid w:val="00E618C9"/>
    <w:rsid w:val="00E6307C"/>
    <w:rsid w:val="00E636FA"/>
    <w:rsid w:val="00E66C50"/>
    <w:rsid w:val="00E67543"/>
    <w:rsid w:val="00E679D3"/>
    <w:rsid w:val="00E71208"/>
    <w:rsid w:val="00E71444"/>
    <w:rsid w:val="00E74092"/>
    <w:rsid w:val="00E749D7"/>
    <w:rsid w:val="00E75DDA"/>
    <w:rsid w:val="00E773E8"/>
    <w:rsid w:val="00E83ADD"/>
    <w:rsid w:val="00E84F38"/>
    <w:rsid w:val="00E85623"/>
    <w:rsid w:val="00E90C80"/>
    <w:rsid w:val="00E91FAE"/>
    <w:rsid w:val="00E96E3F"/>
    <w:rsid w:val="00EA2348"/>
    <w:rsid w:val="00EA270C"/>
    <w:rsid w:val="00EA532E"/>
    <w:rsid w:val="00EB06D9"/>
    <w:rsid w:val="00EB192B"/>
    <w:rsid w:val="00EB19ED"/>
    <w:rsid w:val="00EB1CAB"/>
    <w:rsid w:val="00EC4265"/>
    <w:rsid w:val="00EC4CEB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5B2A"/>
    <w:rsid w:val="00F070E9"/>
    <w:rsid w:val="00F115CA"/>
    <w:rsid w:val="00F14EBA"/>
    <w:rsid w:val="00F1510F"/>
    <w:rsid w:val="00F1533A"/>
    <w:rsid w:val="00F15E5A"/>
    <w:rsid w:val="00F17CE9"/>
    <w:rsid w:val="00F17F0A"/>
    <w:rsid w:val="00F2668F"/>
    <w:rsid w:val="00F2742F"/>
    <w:rsid w:val="00F2753B"/>
    <w:rsid w:val="00F302CC"/>
    <w:rsid w:val="00F340B2"/>
    <w:rsid w:val="00F36B91"/>
    <w:rsid w:val="00F43390"/>
    <w:rsid w:val="00F443B2"/>
    <w:rsid w:val="00F458D8"/>
    <w:rsid w:val="00F50237"/>
    <w:rsid w:val="00F50827"/>
    <w:rsid w:val="00F53596"/>
    <w:rsid w:val="00F55BA8"/>
    <w:rsid w:val="00F55DB1"/>
    <w:rsid w:val="00F56ACA"/>
    <w:rsid w:val="00F600FE"/>
    <w:rsid w:val="00F62E4D"/>
    <w:rsid w:val="00F66169"/>
    <w:rsid w:val="00F66B34"/>
    <w:rsid w:val="00F675B9"/>
    <w:rsid w:val="00F70E1C"/>
    <w:rsid w:val="00F711C9"/>
    <w:rsid w:val="00F74C59"/>
    <w:rsid w:val="00F74CAE"/>
    <w:rsid w:val="00F7793D"/>
    <w:rsid w:val="00F82E30"/>
    <w:rsid w:val="00F831CB"/>
    <w:rsid w:val="00F848A3"/>
    <w:rsid w:val="00F84ACF"/>
    <w:rsid w:val="00F85742"/>
    <w:rsid w:val="00F85BF8"/>
    <w:rsid w:val="00F871CE"/>
    <w:rsid w:val="00F87802"/>
    <w:rsid w:val="00F92A5E"/>
    <w:rsid w:val="00F92C0A"/>
    <w:rsid w:val="00F9415B"/>
    <w:rsid w:val="00FA13C2"/>
    <w:rsid w:val="00FA7F91"/>
    <w:rsid w:val="00FB121C"/>
    <w:rsid w:val="00FB14EC"/>
    <w:rsid w:val="00FB1CDD"/>
    <w:rsid w:val="00FB2C2F"/>
    <w:rsid w:val="00FB305C"/>
    <w:rsid w:val="00FC2E3D"/>
    <w:rsid w:val="00FC3BDE"/>
    <w:rsid w:val="00FC4375"/>
    <w:rsid w:val="00FD1DBE"/>
    <w:rsid w:val="00FD27B6"/>
    <w:rsid w:val="00FD3689"/>
    <w:rsid w:val="00FD42A3"/>
    <w:rsid w:val="00FD7468"/>
    <w:rsid w:val="00FD7CE0"/>
    <w:rsid w:val="00FE0B3B"/>
    <w:rsid w:val="00FE153A"/>
    <w:rsid w:val="00FE1BE2"/>
    <w:rsid w:val="00FE3AC7"/>
    <w:rsid w:val="00FE730A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62B00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WMATFIZCHEMwzorymatfizlubchemiichlegendy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30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71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71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72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58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73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4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71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4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7"/>
    <w:qFormat/>
    <w:rsid w:val="006A748A"/>
  </w:style>
  <w:style w:type="paragraph" w:customStyle="1" w:styleId="ZTIR2TIRzmpodwtir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1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2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2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uiPriority w:val="40"/>
    <w:qFormat/>
    <w:rsid w:val="006A748A"/>
    <w:pPr>
      <w:ind w:left="1497"/>
    </w:pPr>
  </w:style>
  <w:style w:type="paragraph" w:customStyle="1" w:styleId="ODNONIKtreodnonika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65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8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9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61"/>
    <w:qFormat/>
    <w:rsid w:val="006A748A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7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6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5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6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7"/>
    <w:qFormat/>
    <w:rsid w:val="006A748A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uiPriority w:val="62"/>
    <w:qFormat/>
    <w:rsid w:val="006A748A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4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41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41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7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8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8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8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9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9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81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2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6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8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81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1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7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7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6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6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67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8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73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73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9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90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70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8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8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8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9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9"/>
    <w:qFormat/>
    <w:rsid w:val="006A748A"/>
    <w:pPr>
      <w:ind w:left="1894"/>
    </w:pPr>
  </w:style>
  <w:style w:type="paragraph" w:customStyle="1" w:styleId="TEKSTWTABELItekstzwcitympierwwierszem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P1wTABELIpoziom1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uiPriority w:val="29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8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8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uiPriority w:val="29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9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9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8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30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6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3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30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30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5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7"/>
    <w:qFormat/>
    <w:rsid w:val="006A748A"/>
    <w:pPr>
      <w:ind w:left="567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2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2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2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4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4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3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4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4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semiHidden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4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4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91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8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9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9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55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63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53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53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53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54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54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62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62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62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62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3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3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Dindeksdolny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2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1"/>
    <w:qFormat/>
    <w:rsid w:val="00390E89"/>
    <w:rPr>
      <w:caps/>
    </w:rPr>
  </w:style>
  <w:style w:type="character" w:styleId="Hipercze">
    <w:name w:val="Hyperlink"/>
    <w:basedOn w:val="Domylnaczcionkaakapitu"/>
    <w:uiPriority w:val="99"/>
    <w:unhideWhenUsed/>
    <w:rsid w:val="00E56E4E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6C8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E3B46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3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obqgy4dcltqmfyc4nbzgq4dcnzvh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C75D6-14A9-45C9-9B2A-800BE0590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1958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2021-09-09T07:54:00Z</dcterms:created>
  <dcterms:modified xsi:type="dcterms:W3CDTF">2021-09-09T07:54:00Z</dcterms:modified>
</cp:coreProperties>
</file>