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2E88" w:rsidRPr="002D0830" w:rsidRDefault="001B2E88" w:rsidP="002D0830">
      <w:pPr>
        <w:spacing w:after="240" w:line="360" w:lineRule="auto"/>
        <w:jc w:val="center"/>
        <w:outlineLvl w:val="0"/>
      </w:pPr>
      <w:bookmarkStart w:id="0" w:name="_GoBack"/>
      <w:bookmarkEnd w:id="0"/>
      <w:r w:rsidRPr="002D0830">
        <w:t>UZASADNIENIE</w:t>
      </w:r>
    </w:p>
    <w:p w:rsidR="001B2E88" w:rsidRPr="00FB467A" w:rsidRDefault="001B2E88" w:rsidP="002D0830">
      <w:pPr>
        <w:pStyle w:val="Tekstpodstawowy"/>
        <w:spacing w:line="360" w:lineRule="auto"/>
      </w:pPr>
      <w:r w:rsidRPr="00FB467A">
        <w:t xml:space="preserve">Rządowy projekt ustawy </w:t>
      </w:r>
      <w:r>
        <w:t xml:space="preserve">o zmianie ustawy </w:t>
      </w:r>
      <w:r w:rsidRPr="00FB467A">
        <w:t>o szczególnych rozwiązaniach służących realizacji ustawy budżetowej na rok 202</w:t>
      </w:r>
      <w:r>
        <w:t>1</w:t>
      </w:r>
      <w:r w:rsidRPr="00FB467A">
        <w:t xml:space="preserve"> jest ściśle związany z rządowym projektem ustawy </w:t>
      </w:r>
      <w:r>
        <w:t xml:space="preserve">o zmianie ustawy </w:t>
      </w:r>
      <w:r w:rsidRPr="00FB467A">
        <w:t xml:space="preserve">budżetowej na rok </w:t>
      </w:r>
      <w:r>
        <w:t>2021</w:t>
      </w:r>
      <w:r w:rsidRPr="00FB467A">
        <w:t>.</w:t>
      </w:r>
    </w:p>
    <w:p w:rsidR="001B2E88" w:rsidRPr="00FB467A" w:rsidRDefault="001B2E88" w:rsidP="002D0830">
      <w:pPr>
        <w:pStyle w:val="Tekstpodstawowy"/>
        <w:spacing w:line="360" w:lineRule="auto"/>
      </w:pPr>
      <w:r w:rsidRPr="00FB467A">
        <w:t xml:space="preserve">Regulacje projektu ustawy mają charakter komplementarny do projektu ustawy </w:t>
      </w:r>
      <w:r>
        <w:t xml:space="preserve">o zmianie ustawy </w:t>
      </w:r>
      <w:r w:rsidRPr="00FB467A">
        <w:t>budżetowej na rok 202</w:t>
      </w:r>
      <w:r>
        <w:t>1</w:t>
      </w:r>
      <w:r w:rsidRPr="00FB467A">
        <w:t>.</w:t>
      </w:r>
    </w:p>
    <w:p w:rsidR="001B2E88" w:rsidRPr="00C46222" w:rsidRDefault="001B2E88" w:rsidP="002D0830">
      <w:pPr>
        <w:pStyle w:val="Tekstpodstawowy"/>
        <w:spacing w:line="360" w:lineRule="auto"/>
      </w:pPr>
      <w:r w:rsidRPr="00FB467A">
        <w:t>Przedłożone rozwiązania, w tym propozycje zmian niektórych ustaw</w:t>
      </w:r>
      <w:r>
        <w:t>,</w:t>
      </w:r>
      <w:r w:rsidRPr="00FB467A">
        <w:t xml:space="preserve"> znajdują swoje odzwierciedlenie i </w:t>
      </w:r>
      <w:r w:rsidRPr="00C46222">
        <w:t xml:space="preserve">wymierną korelację w kwotach ujętych w projekcie </w:t>
      </w:r>
      <w:r>
        <w:t xml:space="preserve">ustawy o zmianie ustawy budżetowej na rok 2021 </w:t>
      </w:r>
      <w:r w:rsidRPr="00C46222">
        <w:t>i wiążą się z prawidłową realizacją ustawy budżetowej na rok 202</w:t>
      </w:r>
      <w:r>
        <w:t>1</w:t>
      </w:r>
      <w:r w:rsidRPr="00C46222">
        <w:t>.</w:t>
      </w:r>
    </w:p>
    <w:p w:rsidR="00E5780B" w:rsidRPr="002C06CC" w:rsidRDefault="00E5780B" w:rsidP="002D0830">
      <w:pPr>
        <w:spacing w:after="120" w:line="360" w:lineRule="auto"/>
        <w:ind w:left="425" w:hanging="425"/>
        <w:jc w:val="center"/>
        <w:outlineLvl w:val="0"/>
        <w:rPr>
          <w:b/>
          <w:color w:val="000000"/>
          <w:spacing w:val="-2"/>
        </w:rPr>
      </w:pPr>
      <w:r w:rsidRPr="002C06CC">
        <w:rPr>
          <w:b/>
          <w:color w:val="000000"/>
          <w:spacing w:val="-2"/>
        </w:rPr>
        <w:t>Zmiany związane ze świadczeniami oraz wynagrodzeniami w sektorze finansów publicznych (</w:t>
      </w:r>
      <w:r>
        <w:rPr>
          <w:b/>
          <w:color w:val="000000"/>
          <w:spacing w:val="-2"/>
        </w:rPr>
        <w:t>art. 1 pkt 1</w:t>
      </w:r>
      <w:r w:rsidR="002D0830">
        <w:rPr>
          <w:b/>
          <w:color w:val="000000"/>
          <w:spacing w:val="-2"/>
        </w:rPr>
        <w:t>–</w:t>
      </w:r>
      <w:r>
        <w:rPr>
          <w:b/>
          <w:color w:val="000000"/>
          <w:spacing w:val="-2"/>
        </w:rPr>
        <w:t xml:space="preserve">3 w zakresie zmiany </w:t>
      </w:r>
      <w:r w:rsidRPr="002C06CC">
        <w:rPr>
          <w:b/>
          <w:color w:val="000000"/>
          <w:spacing w:val="-2"/>
        </w:rPr>
        <w:t xml:space="preserve">art. </w:t>
      </w:r>
      <w:r>
        <w:rPr>
          <w:b/>
          <w:color w:val="000000"/>
          <w:spacing w:val="-2"/>
        </w:rPr>
        <w:t>7</w:t>
      </w:r>
      <w:r w:rsidR="00F00D30">
        <w:rPr>
          <w:b/>
          <w:color w:val="000000"/>
          <w:spacing w:val="-2"/>
        </w:rPr>
        <w:t xml:space="preserve"> i</w:t>
      </w:r>
      <w:r>
        <w:rPr>
          <w:b/>
          <w:color w:val="000000"/>
          <w:spacing w:val="-2"/>
        </w:rPr>
        <w:t xml:space="preserve"> </w:t>
      </w:r>
      <w:r w:rsidR="002E142F">
        <w:rPr>
          <w:b/>
          <w:color w:val="000000"/>
          <w:spacing w:val="-2"/>
        </w:rPr>
        <w:t>art. 8</w:t>
      </w:r>
      <w:r w:rsidR="00F00D30">
        <w:rPr>
          <w:b/>
          <w:color w:val="000000"/>
          <w:spacing w:val="-2"/>
        </w:rPr>
        <w:t xml:space="preserve"> oraz doda</w:t>
      </w:r>
      <w:r w:rsidR="008023C5">
        <w:rPr>
          <w:b/>
          <w:color w:val="000000"/>
          <w:spacing w:val="-2"/>
        </w:rPr>
        <w:t>nie</w:t>
      </w:r>
      <w:r w:rsidR="00F00D30">
        <w:rPr>
          <w:b/>
          <w:color w:val="000000"/>
          <w:spacing w:val="-2"/>
        </w:rPr>
        <w:t xml:space="preserve"> </w:t>
      </w:r>
      <w:r>
        <w:rPr>
          <w:b/>
          <w:color w:val="000000"/>
          <w:spacing w:val="-2"/>
        </w:rPr>
        <w:t>art. 9a</w:t>
      </w:r>
      <w:r w:rsidR="002D0830">
        <w:rPr>
          <w:b/>
          <w:color w:val="000000"/>
          <w:spacing w:val="-2"/>
        </w:rPr>
        <w:t>–</w:t>
      </w:r>
      <w:r>
        <w:rPr>
          <w:b/>
          <w:color w:val="000000"/>
          <w:spacing w:val="-2"/>
        </w:rPr>
        <w:t>9c</w:t>
      </w:r>
      <w:r w:rsidRPr="002C06CC">
        <w:rPr>
          <w:b/>
          <w:color w:val="000000"/>
          <w:spacing w:val="-2"/>
        </w:rPr>
        <w:t>)</w:t>
      </w:r>
    </w:p>
    <w:p w:rsidR="00E5780B" w:rsidRDefault="00E5780B" w:rsidP="002D0830">
      <w:pPr>
        <w:spacing w:before="120" w:line="360" w:lineRule="auto"/>
        <w:jc w:val="both"/>
        <w:rPr>
          <w:color w:val="000000"/>
          <w:spacing w:val="-2"/>
        </w:rPr>
      </w:pPr>
      <w:r>
        <w:rPr>
          <w:color w:val="000000"/>
          <w:spacing w:val="-2"/>
        </w:rPr>
        <w:t>W art. 1 w pkt 1 p</w:t>
      </w:r>
      <w:r w:rsidRPr="002C06CC">
        <w:rPr>
          <w:color w:val="000000"/>
          <w:spacing w:val="-2"/>
        </w:rPr>
        <w:t xml:space="preserve">roponuje się </w:t>
      </w:r>
      <w:r>
        <w:rPr>
          <w:color w:val="000000"/>
          <w:spacing w:val="-2"/>
        </w:rPr>
        <w:t>uchylenie w art. 7 w ust. 1 pkt 3 i ust</w:t>
      </w:r>
      <w:r w:rsidR="00BF6CEB">
        <w:rPr>
          <w:color w:val="000000"/>
          <w:spacing w:val="-2"/>
        </w:rPr>
        <w:t>.</w:t>
      </w:r>
      <w:r>
        <w:rPr>
          <w:color w:val="000000"/>
          <w:spacing w:val="-2"/>
        </w:rPr>
        <w:t xml:space="preserve"> 2 przewidującego niepodnoszenie wynagrodzeń w jednostkach sektora finansów publicznych takich jak: </w:t>
      </w:r>
      <w:r w:rsidRPr="002C06CC">
        <w:rPr>
          <w:color w:val="000000"/>
          <w:spacing w:val="-2"/>
        </w:rPr>
        <w:t>agencje wykonawcze, instytucje gospodarki budżeto</w:t>
      </w:r>
      <w:r>
        <w:rPr>
          <w:color w:val="000000"/>
          <w:spacing w:val="-2"/>
        </w:rPr>
        <w:t>wej, państwowe fundusze celowe,</w:t>
      </w:r>
      <w:r w:rsidRPr="008A0104">
        <w:rPr>
          <w:color w:val="000000"/>
          <w:spacing w:val="-2"/>
        </w:rPr>
        <w:t xml:space="preserve"> </w:t>
      </w:r>
      <w:r w:rsidRPr="002C06CC">
        <w:rPr>
          <w:color w:val="000000"/>
          <w:spacing w:val="-2"/>
        </w:rPr>
        <w:t>Zakład Ubezpieczeń Społecznych, Kas</w:t>
      </w:r>
      <w:r>
        <w:rPr>
          <w:color w:val="000000"/>
          <w:spacing w:val="-2"/>
        </w:rPr>
        <w:t>a</w:t>
      </w:r>
      <w:r w:rsidRPr="002C06CC">
        <w:rPr>
          <w:color w:val="000000"/>
          <w:spacing w:val="-2"/>
        </w:rPr>
        <w:t xml:space="preserve"> Rolniczego Ubezpieczenia Społecznego i fundusz</w:t>
      </w:r>
      <w:r w:rsidR="00F00D30">
        <w:rPr>
          <w:color w:val="000000"/>
          <w:spacing w:val="-2"/>
        </w:rPr>
        <w:t>e</w:t>
      </w:r>
      <w:r w:rsidRPr="002C06CC">
        <w:rPr>
          <w:color w:val="000000"/>
          <w:spacing w:val="-2"/>
        </w:rPr>
        <w:t xml:space="preserve"> zarządzan</w:t>
      </w:r>
      <w:r w:rsidR="00F00D30">
        <w:rPr>
          <w:color w:val="000000"/>
          <w:spacing w:val="-2"/>
        </w:rPr>
        <w:t>e</w:t>
      </w:r>
      <w:r w:rsidRPr="002C06CC">
        <w:rPr>
          <w:color w:val="000000"/>
          <w:spacing w:val="-2"/>
        </w:rPr>
        <w:t xml:space="preserve"> przez Prezesa Kasy Rolniczego Ubezpieczenia Społecznego</w:t>
      </w:r>
      <w:r>
        <w:rPr>
          <w:color w:val="000000"/>
          <w:spacing w:val="-2"/>
        </w:rPr>
        <w:t>,</w:t>
      </w:r>
      <w:r w:rsidRPr="002C06CC">
        <w:rPr>
          <w:color w:val="000000"/>
          <w:spacing w:val="-2"/>
        </w:rPr>
        <w:t xml:space="preserve"> </w:t>
      </w:r>
      <w:r>
        <w:rPr>
          <w:color w:val="000000"/>
          <w:spacing w:val="-2"/>
        </w:rPr>
        <w:t>Narodow</w:t>
      </w:r>
      <w:r w:rsidR="00532EBC">
        <w:rPr>
          <w:color w:val="000000"/>
          <w:spacing w:val="-2"/>
        </w:rPr>
        <w:t>y</w:t>
      </w:r>
      <w:r>
        <w:rPr>
          <w:color w:val="000000"/>
          <w:spacing w:val="-2"/>
        </w:rPr>
        <w:t xml:space="preserve"> Fundusz Zdrowia </w:t>
      </w:r>
      <w:r w:rsidRPr="002C06CC">
        <w:rPr>
          <w:color w:val="000000"/>
          <w:spacing w:val="-2"/>
        </w:rPr>
        <w:t>oraz inn</w:t>
      </w:r>
      <w:r w:rsidR="00532EBC">
        <w:rPr>
          <w:color w:val="000000"/>
          <w:spacing w:val="-2"/>
        </w:rPr>
        <w:t>e</w:t>
      </w:r>
      <w:r w:rsidRPr="002C06CC">
        <w:rPr>
          <w:color w:val="000000"/>
          <w:spacing w:val="-2"/>
        </w:rPr>
        <w:t xml:space="preserve"> państwow</w:t>
      </w:r>
      <w:r w:rsidR="00532EBC">
        <w:rPr>
          <w:color w:val="000000"/>
          <w:spacing w:val="-2"/>
        </w:rPr>
        <w:t>e</w:t>
      </w:r>
      <w:r w:rsidRPr="002C06CC">
        <w:rPr>
          <w:color w:val="000000"/>
          <w:spacing w:val="-2"/>
        </w:rPr>
        <w:t xml:space="preserve"> osob</w:t>
      </w:r>
      <w:r w:rsidR="00532EBC">
        <w:rPr>
          <w:color w:val="000000"/>
          <w:spacing w:val="-2"/>
        </w:rPr>
        <w:t>y</w:t>
      </w:r>
      <w:r w:rsidRPr="002C06CC">
        <w:rPr>
          <w:color w:val="000000"/>
          <w:spacing w:val="-2"/>
        </w:rPr>
        <w:t xml:space="preserve"> prawn</w:t>
      </w:r>
      <w:r w:rsidR="00532EBC">
        <w:rPr>
          <w:color w:val="000000"/>
          <w:spacing w:val="-2"/>
        </w:rPr>
        <w:t>e</w:t>
      </w:r>
      <w:r w:rsidRPr="002C06CC">
        <w:rPr>
          <w:color w:val="000000"/>
          <w:spacing w:val="-2"/>
        </w:rPr>
        <w:t xml:space="preserve"> należąc</w:t>
      </w:r>
      <w:r w:rsidR="00532EBC">
        <w:rPr>
          <w:color w:val="000000"/>
          <w:spacing w:val="-2"/>
        </w:rPr>
        <w:t>e</w:t>
      </w:r>
      <w:r w:rsidRPr="002C06CC">
        <w:rPr>
          <w:color w:val="000000"/>
          <w:spacing w:val="-2"/>
        </w:rPr>
        <w:t xml:space="preserve"> do sektora finansów publicznych, o których mowa w art. 9 pkt 14 ustawy </w:t>
      </w:r>
      <w:r>
        <w:rPr>
          <w:color w:val="000000"/>
          <w:spacing w:val="-2"/>
        </w:rPr>
        <w:t xml:space="preserve">z dnia 27 sierpnia 2009 r. </w:t>
      </w:r>
      <w:r w:rsidRPr="002C06CC">
        <w:rPr>
          <w:color w:val="000000"/>
          <w:spacing w:val="-2"/>
        </w:rPr>
        <w:t>o finansach publicznych</w:t>
      </w:r>
      <w:r w:rsidR="002D0830">
        <w:rPr>
          <w:color w:val="000000"/>
          <w:spacing w:val="-2"/>
        </w:rPr>
        <w:t xml:space="preserve"> (Dz. U. z 2021 r. poz. </w:t>
      </w:r>
      <w:r>
        <w:rPr>
          <w:color w:val="000000"/>
          <w:spacing w:val="-2"/>
        </w:rPr>
        <w:t>305, z późn. zm.). Należy zauważyć, że jednostki te posiada</w:t>
      </w:r>
      <w:r w:rsidR="00532EBC">
        <w:rPr>
          <w:color w:val="000000"/>
          <w:spacing w:val="-2"/>
        </w:rPr>
        <w:t>ją autonomię</w:t>
      </w:r>
      <w:r>
        <w:rPr>
          <w:color w:val="000000"/>
          <w:spacing w:val="-2"/>
        </w:rPr>
        <w:t xml:space="preserve"> finansową określoną przez przepisy regulujące funkcjonowanie tych jednostek oraz realizują szereg działań na rynku, przyczyniając się do rozwoju. W tej sytuacji nie podwyższanie wynagrodzeń, jako takie, wydaje się niecelowe. W miejsce instytucjonalnego utrzymania poziomu wynagrodzeń, w art. 9a</w:t>
      </w:r>
      <w:r w:rsidR="002D0830">
        <w:rPr>
          <w:color w:val="000000"/>
          <w:spacing w:val="-2"/>
        </w:rPr>
        <w:t>–</w:t>
      </w:r>
      <w:r>
        <w:rPr>
          <w:color w:val="000000"/>
          <w:spacing w:val="-2"/>
        </w:rPr>
        <w:t>9c proponuje się wprowadzenie mechanizmu pozwalającego na zwiększenie wynagrodzeń, po uzyskaniu zgody ministra lub innego o</w:t>
      </w:r>
      <w:r w:rsidR="00532EBC">
        <w:rPr>
          <w:color w:val="000000"/>
          <w:spacing w:val="-2"/>
        </w:rPr>
        <w:t>rganu nadzorującego oraz zgody m</w:t>
      </w:r>
      <w:r>
        <w:rPr>
          <w:color w:val="000000"/>
          <w:spacing w:val="-2"/>
        </w:rPr>
        <w:t>inistra właściwego</w:t>
      </w:r>
      <w:r w:rsidR="002D0830">
        <w:rPr>
          <w:color w:val="000000"/>
          <w:spacing w:val="-2"/>
        </w:rPr>
        <w:t xml:space="preserve"> </w:t>
      </w:r>
      <w:r>
        <w:rPr>
          <w:color w:val="000000"/>
          <w:spacing w:val="-2"/>
        </w:rPr>
        <w:t>do spraw finansów publicznych.</w:t>
      </w:r>
    </w:p>
    <w:p w:rsidR="002E142F" w:rsidRDefault="002E142F" w:rsidP="002D0830">
      <w:pPr>
        <w:spacing w:before="120" w:line="360" w:lineRule="auto"/>
        <w:jc w:val="center"/>
        <w:rPr>
          <w:b/>
          <w:color w:val="000000"/>
          <w:spacing w:val="-2"/>
        </w:rPr>
      </w:pPr>
      <w:r w:rsidRPr="002C06CC">
        <w:rPr>
          <w:b/>
          <w:color w:val="000000"/>
          <w:spacing w:val="-2"/>
        </w:rPr>
        <w:t>Zmiany związane</w:t>
      </w:r>
      <w:r>
        <w:rPr>
          <w:b/>
          <w:color w:val="000000"/>
          <w:spacing w:val="-2"/>
        </w:rPr>
        <w:t xml:space="preserve"> z utworzeniem dodatkowego fundusz</w:t>
      </w:r>
      <w:r w:rsidR="00EB3D46">
        <w:rPr>
          <w:b/>
          <w:color w:val="000000"/>
          <w:spacing w:val="-2"/>
        </w:rPr>
        <w:t xml:space="preserve">u motywacyjnego (art. 1 pkt 4 </w:t>
      </w:r>
      <w:r>
        <w:rPr>
          <w:b/>
          <w:color w:val="000000"/>
          <w:spacing w:val="-2"/>
        </w:rPr>
        <w:t>dodani</w:t>
      </w:r>
      <w:r w:rsidR="00376886">
        <w:rPr>
          <w:b/>
          <w:color w:val="000000"/>
          <w:spacing w:val="-2"/>
        </w:rPr>
        <w:t>e</w:t>
      </w:r>
      <w:r>
        <w:rPr>
          <w:b/>
          <w:color w:val="000000"/>
          <w:spacing w:val="-2"/>
        </w:rPr>
        <w:t xml:space="preserve"> art. 45a</w:t>
      </w:r>
      <w:r w:rsidR="00844482">
        <w:rPr>
          <w:b/>
          <w:color w:val="000000"/>
          <w:spacing w:val="-2"/>
        </w:rPr>
        <w:t xml:space="preserve"> i art. 1 pkt 1</w:t>
      </w:r>
      <w:r w:rsidR="008023C5">
        <w:rPr>
          <w:b/>
          <w:color w:val="000000"/>
          <w:spacing w:val="-2"/>
        </w:rPr>
        <w:t>8</w:t>
      </w:r>
      <w:r w:rsidR="00F00D30">
        <w:rPr>
          <w:b/>
          <w:color w:val="000000"/>
          <w:spacing w:val="-2"/>
        </w:rPr>
        <w:t xml:space="preserve"> w zakresie dodawanego art. 90b</w:t>
      </w:r>
      <w:r>
        <w:rPr>
          <w:b/>
          <w:color w:val="000000"/>
          <w:spacing w:val="-2"/>
        </w:rPr>
        <w:t xml:space="preserve">) </w:t>
      </w:r>
    </w:p>
    <w:p w:rsidR="00D341D1" w:rsidRPr="00EB3D46" w:rsidRDefault="002E142F" w:rsidP="002D0830">
      <w:pPr>
        <w:pStyle w:val="ZARTzmartartykuempunktem"/>
        <w:ind w:left="0" w:firstLine="0"/>
        <w:rPr>
          <w:rFonts w:ascii="Times New Roman" w:eastAsia="Times New Roman" w:hAnsi="Times New Roman" w:cs="Times New Roman"/>
          <w:color w:val="000000"/>
          <w:spacing w:val="-2"/>
          <w:szCs w:val="24"/>
        </w:rPr>
      </w:pPr>
      <w:r w:rsidRPr="00EB3D46">
        <w:rPr>
          <w:rFonts w:ascii="Times New Roman" w:eastAsia="Times New Roman" w:hAnsi="Times New Roman" w:cs="Times New Roman"/>
          <w:color w:val="000000"/>
          <w:spacing w:val="-2"/>
          <w:szCs w:val="24"/>
        </w:rPr>
        <w:t>W art. 1 w pkt 4 projektu proponuje się dodanie przepis</w:t>
      </w:r>
      <w:r w:rsidR="00532EBC" w:rsidRPr="00EB3D46">
        <w:rPr>
          <w:rFonts w:ascii="Times New Roman" w:eastAsia="Times New Roman" w:hAnsi="Times New Roman" w:cs="Times New Roman"/>
          <w:color w:val="000000"/>
          <w:spacing w:val="-2"/>
          <w:szCs w:val="24"/>
        </w:rPr>
        <w:t xml:space="preserve">u </w:t>
      </w:r>
      <w:r w:rsidRPr="00EB3D46">
        <w:rPr>
          <w:rFonts w:ascii="Times New Roman" w:eastAsia="Times New Roman" w:hAnsi="Times New Roman" w:cs="Times New Roman"/>
          <w:color w:val="000000"/>
          <w:spacing w:val="-2"/>
          <w:szCs w:val="24"/>
        </w:rPr>
        <w:t>art. 45a</w:t>
      </w:r>
      <w:r w:rsidR="00BF6CEB" w:rsidRPr="00EB3D46">
        <w:rPr>
          <w:rFonts w:ascii="Times New Roman" w:eastAsia="Times New Roman" w:hAnsi="Times New Roman" w:cs="Times New Roman"/>
          <w:color w:val="000000"/>
          <w:spacing w:val="-2"/>
          <w:szCs w:val="24"/>
        </w:rPr>
        <w:t>,</w:t>
      </w:r>
      <w:r w:rsidRPr="00EB3D46">
        <w:rPr>
          <w:rFonts w:ascii="Times New Roman" w:eastAsia="Times New Roman" w:hAnsi="Times New Roman" w:cs="Times New Roman"/>
          <w:color w:val="000000"/>
          <w:spacing w:val="-2"/>
          <w:szCs w:val="24"/>
        </w:rPr>
        <w:t xml:space="preserve"> umożliwiając</w:t>
      </w:r>
      <w:r w:rsidR="00532EBC" w:rsidRPr="00EB3D46">
        <w:rPr>
          <w:rFonts w:ascii="Times New Roman" w:eastAsia="Times New Roman" w:hAnsi="Times New Roman" w:cs="Times New Roman"/>
          <w:color w:val="000000"/>
          <w:spacing w:val="-2"/>
          <w:szCs w:val="24"/>
        </w:rPr>
        <w:t>ego</w:t>
      </w:r>
      <w:r w:rsidRPr="00EB3D46">
        <w:rPr>
          <w:rFonts w:ascii="Times New Roman" w:eastAsia="Times New Roman" w:hAnsi="Times New Roman" w:cs="Times New Roman"/>
          <w:color w:val="000000"/>
          <w:spacing w:val="-2"/>
          <w:szCs w:val="24"/>
        </w:rPr>
        <w:t xml:space="preserve"> przyznanie przez pracodawcę (kierownika jednostki </w:t>
      </w:r>
      <w:r w:rsidR="00532EBC" w:rsidRPr="00EB3D46">
        <w:rPr>
          <w:rFonts w:ascii="Times New Roman" w:eastAsia="Times New Roman" w:hAnsi="Times New Roman" w:cs="Times New Roman"/>
          <w:color w:val="000000"/>
          <w:spacing w:val="-2"/>
          <w:szCs w:val="24"/>
        </w:rPr>
        <w:t>albo</w:t>
      </w:r>
      <w:r w:rsidRPr="00EB3D46">
        <w:rPr>
          <w:rFonts w:ascii="Times New Roman" w:eastAsia="Times New Roman" w:hAnsi="Times New Roman" w:cs="Times New Roman"/>
          <w:color w:val="000000"/>
          <w:spacing w:val="-2"/>
          <w:szCs w:val="24"/>
        </w:rPr>
        <w:t xml:space="preserve"> dyrektora generalnego) pracownikom państwowej sfery budżetowej, specjalnych dodatków motywacyjnych w ramach utworzonego dodatkowego funduszu motywacyjnego. Dodatkowy fundusz motywacyjny utworzony zostanie w wysokości </w:t>
      </w:r>
      <w:r w:rsidRPr="00EB3D46">
        <w:rPr>
          <w:rFonts w:ascii="Times New Roman" w:eastAsia="Times New Roman" w:hAnsi="Times New Roman" w:cs="Times New Roman"/>
          <w:color w:val="000000"/>
          <w:spacing w:val="-2"/>
          <w:szCs w:val="24"/>
        </w:rPr>
        <w:lastRenderedPageBreak/>
        <w:t>6% planowanych na rok 2021 wynagrodzeń osobowych i uposażeń z wyłączeniem</w:t>
      </w:r>
      <w:r w:rsidR="00D341D1" w:rsidRPr="00EB3D46">
        <w:rPr>
          <w:rFonts w:ascii="Times New Roman" w:eastAsia="Times New Roman" w:hAnsi="Times New Roman" w:cs="Times New Roman"/>
          <w:color w:val="000000"/>
          <w:spacing w:val="-2"/>
          <w:szCs w:val="24"/>
        </w:rPr>
        <w:t xml:space="preserve"> środków zaplanowanych w roku 2021 na regulację wynagrodzeń na podstawie odrębnych przepisów, wydatków osobowych, o których mowa w art. 38 ust. 1 ustawy z dnia 9 sierpnia 2019 r. o narodowym spisie powszechnym ludności i mieszkań w 2021 r. (Dz. U. z 2021 r. poz. 1143), środków na sfinansowanie wypłaty nagród, o których mowa w art. 46 ust. 2 pkt 2 ustawy z dnia 15 grudnia 2016 r. o Prokuratorii Generalnej Rzeczypospolitej Polskiej i wynagrodzeń finansowanych w ramach programów realizowanych z udziałem środków, o których mowa w art. 5 ust. 1 pkt 2 lub 3 ustawy o finansach publicznych. </w:t>
      </w:r>
      <w:r w:rsidRPr="00EB3D46">
        <w:rPr>
          <w:rFonts w:ascii="Times New Roman" w:eastAsia="Times New Roman" w:hAnsi="Times New Roman" w:cs="Times New Roman"/>
          <w:color w:val="000000"/>
          <w:spacing w:val="-2"/>
          <w:szCs w:val="24"/>
        </w:rPr>
        <w:t>Wyłączenie</w:t>
      </w:r>
      <w:r w:rsidR="00D341D1" w:rsidRPr="00EB3D46">
        <w:rPr>
          <w:rFonts w:ascii="Times New Roman" w:eastAsia="Times New Roman" w:hAnsi="Times New Roman" w:cs="Times New Roman"/>
          <w:color w:val="000000"/>
          <w:spacing w:val="-2"/>
          <w:szCs w:val="24"/>
        </w:rPr>
        <w:t xml:space="preserve"> środków zaplanowanych w roku 2021 na regulację wynagrodzeń na podstawie odrębnych przepisów</w:t>
      </w:r>
      <w:r w:rsidRPr="00EB3D46">
        <w:rPr>
          <w:rFonts w:ascii="Times New Roman" w:eastAsia="Times New Roman" w:hAnsi="Times New Roman" w:cs="Times New Roman"/>
          <w:color w:val="000000"/>
          <w:spacing w:val="-2"/>
          <w:szCs w:val="24"/>
        </w:rPr>
        <w:t xml:space="preserve"> dotyczy m.in.</w:t>
      </w:r>
      <w:r w:rsidR="002D0830">
        <w:rPr>
          <w:rFonts w:ascii="Times New Roman" w:eastAsia="Times New Roman" w:hAnsi="Times New Roman" w:cs="Times New Roman"/>
          <w:color w:val="000000"/>
          <w:spacing w:val="-2"/>
          <w:szCs w:val="24"/>
        </w:rPr>
        <w:t xml:space="preserve"> </w:t>
      </w:r>
      <w:r w:rsidRPr="00EB3D46">
        <w:rPr>
          <w:rFonts w:ascii="Times New Roman" w:eastAsia="Times New Roman" w:hAnsi="Times New Roman" w:cs="Times New Roman"/>
          <w:color w:val="000000"/>
          <w:spacing w:val="-2"/>
          <w:szCs w:val="24"/>
        </w:rPr>
        <w:t xml:space="preserve">ustawy z dnia 8 czerwca 2017 r. o sposobie ustalania najniższego wynagrodzenia zasadniczego niektórych pracowników zatrudnionych w podmiotach leczniczych. Przepis nie dotyczy „orzeczników”, nauczycieli zatrudnionych w szkołach i placówkach prowadzonych przez organy administracji rządowej, osób zajmujących kierownicze stanowiska państwowe, </w:t>
      </w:r>
      <w:r w:rsidR="00C75E39" w:rsidRPr="00EB3D46">
        <w:rPr>
          <w:rFonts w:ascii="Times New Roman" w:eastAsia="Times New Roman" w:hAnsi="Times New Roman" w:cs="Times New Roman"/>
          <w:color w:val="000000"/>
          <w:spacing w:val="-2"/>
          <w:szCs w:val="24"/>
        </w:rPr>
        <w:t xml:space="preserve">prokuratorów, w tym </w:t>
      </w:r>
      <w:r w:rsidRPr="00EB3D46">
        <w:rPr>
          <w:rFonts w:ascii="Times New Roman" w:eastAsia="Times New Roman" w:hAnsi="Times New Roman" w:cs="Times New Roman"/>
          <w:color w:val="000000"/>
          <w:spacing w:val="-2"/>
          <w:szCs w:val="24"/>
        </w:rPr>
        <w:t>prokuratorów do spraw wojskowych, oraz</w:t>
      </w:r>
      <w:r w:rsidR="002D0830">
        <w:rPr>
          <w:rFonts w:ascii="Times New Roman" w:eastAsia="Times New Roman" w:hAnsi="Times New Roman" w:cs="Times New Roman"/>
          <w:color w:val="000000"/>
          <w:spacing w:val="-2"/>
          <w:szCs w:val="24"/>
        </w:rPr>
        <w:t xml:space="preserve"> </w:t>
      </w:r>
      <w:r w:rsidRPr="00EB3D46">
        <w:rPr>
          <w:rFonts w:ascii="Times New Roman" w:eastAsia="Times New Roman" w:hAnsi="Times New Roman" w:cs="Times New Roman"/>
          <w:color w:val="000000"/>
          <w:spacing w:val="-2"/>
          <w:szCs w:val="24"/>
        </w:rPr>
        <w:t xml:space="preserve">pracowników w zakresie wynagrodzeń, o których mowa w art. 38 ust. 1 ustawy z dnia 9 sierpnia 2019 r. o narodowym spisie powszechnym ludności i mieszkań w 2021 r., a także pracowników Prokuratorii Generalnej Rzeczypospolitej Polskiej w zakresie środków na sfinansowanie wypłaty nagród, o których mowa w art. 46 ust. 2 pkt 2 ustawy </w:t>
      </w:r>
      <w:r w:rsidR="002565B8" w:rsidRPr="00EB3D46">
        <w:rPr>
          <w:rFonts w:ascii="Times New Roman" w:eastAsia="Times New Roman" w:hAnsi="Times New Roman" w:cs="Times New Roman"/>
          <w:color w:val="000000"/>
          <w:spacing w:val="-2"/>
          <w:szCs w:val="24"/>
        </w:rPr>
        <w:t xml:space="preserve">z dnia 15 grudnia 2016 r. </w:t>
      </w:r>
      <w:r w:rsidRPr="00EB3D46">
        <w:rPr>
          <w:rFonts w:ascii="Times New Roman" w:eastAsia="Times New Roman" w:hAnsi="Times New Roman" w:cs="Times New Roman"/>
          <w:color w:val="000000"/>
          <w:spacing w:val="-2"/>
          <w:szCs w:val="24"/>
        </w:rPr>
        <w:t>o Prokuratorii Generalnej Rzeczypospolitej Polskiej</w:t>
      </w:r>
      <w:r w:rsidR="002565B8" w:rsidRPr="00EB3D46">
        <w:rPr>
          <w:rFonts w:ascii="Times New Roman" w:eastAsia="Times New Roman" w:hAnsi="Times New Roman" w:cs="Times New Roman"/>
          <w:color w:val="000000"/>
          <w:spacing w:val="-2"/>
          <w:szCs w:val="24"/>
        </w:rPr>
        <w:t xml:space="preserve"> (Dz. U. z 2020 r. poz. 762, z późn. zm.)</w:t>
      </w:r>
      <w:r w:rsidRPr="00EB3D46">
        <w:rPr>
          <w:rFonts w:ascii="Times New Roman" w:eastAsia="Times New Roman" w:hAnsi="Times New Roman" w:cs="Times New Roman"/>
          <w:color w:val="000000"/>
          <w:spacing w:val="-2"/>
          <w:szCs w:val="24"/>
        </w:rPr>
        <w:t xml:space="preserve">. </w:t>
      </w:r>
      <w:r w:rsidR="00D341D1" w:rsidRPr="00EB3D46">
        <w:rPr>
          <w:rFonts w:ascii="Times New Roman" w:eastAsia="Times New Roman" w:hAnsi="Times New Roman" w:cs="Times New Roman"/>
          <w:color w:val="000000"/>
          <w:spacing w:val="-2"/>
          <w:szCs w:val="24"/>
        </w:rPr>
        <w:t>Określone w ustawie okołobudżetowej na rok 2021 ograniczenia związane ze zwiększaniem poziomu wynagrodzeń, w tym poziomu funduszu nagród w 2021 r. w państwowej sferze budżetowej, nie dotyczyły projektów realizowanych z udziałem środków, o których mowa w art. 5 ust. 1 pkt 2 lub 3 ustawy o finansach publicznych. W związku z powyższym należało dokonać również wyłączenia ww. środków z możliwości zwiększenia, o którym mowa w art. 45a ust. 1.</w:t>
      </w:r>
    </w:p>
    <w:p w:rsidR="002E142F" w:rsidRPr="00EB3D46" w:rsidRDefault="000901CC" w:rsidP="002D0830">
      <w:pPr>
        <w:pStyle w:val="ZARTzmartartykuempunktem"/>
        <w:ind w:left="0" w:firstLine="0"/>
        <w:rPr>
          <w:rFonts w:ascii="Times New Roman" w:eastAsia="Times New Roman" w:hAnsi="Times New Roman" w:cs="Times New Roman"/>
          <w:color w:val="000000"/>
          <w:spacing w:val="-2"/>
          <w:szCs w:val="24"/>
        </w:rPr>
      </w:pPr>
      <w:r w:rsidRPr="00EB3D46">
        <w:rPr>
          <w:rFonts w:ascii="Times New Roman" w:eastAsia="Times New Roman" w:hAnsi="Times New Roman" w:cs="Times New Roman"/>
          <w:color w:val="000000"/>
          <w:spacing w:val="-2"/>
          <w:szCs w:val="24"/>
        </w:rPr>
        <w:t>Dodatkowe środki będą mogli również otrzymać pracownicy zatrudnieni w urzędach organów władzy publicznej, kontroli, ochrony prawa oraz sądach i trybunałach, o których mowa w art. 139 ust. 2 ustawy z dnia 27 sierpnia 2009 r. o finansach publicznych, z wyłączeniem sędziów i asesorów sądowych, referendarzy sądowych, prokuratorów,</w:t>
      </w:r>
      <w:r w:rsidR="002D0830">
        <w:rPr>
          <w:rFonts w:ascii="Times New Roman" w:eastAsia="Times New Roman" w:hAnsi="Times New Roman" w:cs="Times New Roman"/>
          <w:color w:val="000000"/>
          <w:spacing w:val="-2"/>
          <w:szCs w:val="24"/>
        </w:rPr>
        <w:t xml:space="preserve"> </w:t>
      </w:r>
      <w:r w:rsidRPr="00EB3D46">
        <w:rPr>
          <w:rFonts w:ascii="Times New Roman" w:eastAsia="Times New Roman" w:hAnsi="Times New Roman" w:cs="Times New Roman"/>
          <w:color w:val="000000"/>
          <w:spacing w:val="-2"/>
          <w:szCs w:val="24"/>
        </w:rPr>
        <w:t>członków Biura Studiów i Analiz Sądu Najwyższego niebędących sędziami oraz członków Biura Orzecznictwa Naczelnego Sądu Administracyjnego niebędących sędziami, posłów i senatorów. W tym celu wprowadzono także regulację umożliwiającą zwiększenie wynagrodzeń w tych podmiotach, o kwoty środków odpowiadających planowanym 6</w:t>
      </w:r>
      <w:r w:rsidR="00BF6CEB" w:rsidRPr="00EB3D46">
        <w:rPr>
          <w:rFonts w:ascii="Times New Roman" w:eastAsia="Times New Roman" w:hAnsi="Times New Roman" w:cs="Times New Roman"/>
          <w:color w:val="000000"/>
          <w:spacing w:val="-2"/>
          <w:szCs w:val="24"/>
        </w:rPr>
        <w:t>%</w:t>
      </w:r>
      <w:r w:rsidRPr="00EB3D46">
        <w:rPr>
          <w:rFonts w:ascii="Times New Roman" w:eastAsia="Times New Roman" w:hAnsi="Times New Roman" w:cs="Times New Roman"/>
          <w:color w:val="000000"/>
          <w:spacing w:val="-2"/>
          <w:szCs w:val="24"/>
        </w:rPr>
        <w:t xml:space="preserve"> wzrostom. Fundusz motywacyjny utworzony został</w:t>
      </w:r>
      <w:r w:rsidR="00BF6CEB" w:rsidRPr="00EB3D46">
        <w:rPr>
          <w:rFonts w:ascii="Times New Roman" w:eastAsia="Times New Roman" w:hAnsi="Times New Roman" w:cs="Times New Roman"/>
          <w:color w:val="000000"/>
          <w:spacing w:val="-2"/>
          <w:szCs w:val="24"/>
        </w:rPr>
        <w:t>by</w:t>
      </w:r>
      <w:r w:rsidRPr="00EB3D46">
        <w:rPr>
          <w:rFonts w:ascii="Times New Roman" w:eastAsia="Times New Roman" w:hAnsi="Times New Roman" w:cs="Times New Roman"/>
          <w:color w:val="000000"/>
          <w:spacing w:val="-2"/>
          <w:szCs w:val="24"/>
        </w:rPr>
        <w:t xml:space="preserve"> także dla pracowników powiatowych inspektoratów nadzoru</w:t>
      </w:r>
      <w:r w:rsidR="003C3720" w:rsidRPr="00EB3D46">
        <w:rPr>
          <w:rFonts w:ascii="Times New Roman" w:eastAsia="Times New Roman" w:hAnsi="Times New Roman" w:cs="Times New Roman"/>
          <w:color w:val="000000"/>
          <w:spacing w:val="-2"/>
          <w:szCs w:val="24"/>
        </w:rPr>
        <w:t xml:space="preserve"> budowalnego oraz pracowników i </w:t>
      </w:r>
      <w:r w:rsidRPr="00EB3D46">
        <w:rPr>
          <w:rFonts w:ascii="Times New Roman" w:eastAsia="Times New Roman" w:hAnsi="Times New Roman" w:cs="Times New Roman"/>
          <w:color w:val="000000"/>
          <w:spacing w:val="-2"/>
          <w:szCs w:val="24"/>
        </w:rPr>
        <w:t>funkcjonariuszy komend powiatowych (miejskich) Państwowej Straży Pożarnej.</w:t>
      </w:r>
    </w:p>
    <w:p w:rsidR="00844482" w:rsidRPr="00EB3D46" w:rsidRDefault="00844482" w:rsidP="002D0830">
      <w:pPr>
        <w:spacing w:line="360" w:lineRule="auto"/>
        <w:jc w:val="both"/>
        <w:rPr>
          <w:color w:val="000000"/>
          <w:spacing w:val="-2"/>
        </w:rPr>
      </w:pPr>
      <w:r w:rsidRPr="00EB3D46">
        <w:rPr>
          <w:color w:val="000000"/>
          <w:spacing w:val="-2"/>
        </w:rPr>
        <w:lastRenderedPageBreak/>
        <w:t xml:space="preserve">Specjalne dodatki motywacyjne, o których mowa w ust. 1, będą miały charakter uznaniowy i będą przyznawane w szczególności za duże zaangażowanie w pracę, efektywną realizację zadań oraz wysoką jakość wykonywanej pracy. Podmioty dysponujące dodatkowym funduszem motywacyjnym będą przedstawiały propozycję sposobu i kryteriów przyznawania specjalnych dodatków motywacyjnych zakładowej organizacji związkowej, celem wyrażenia opinii. Termin na przedstawienia opinii będzie nie dłuższy niż 10 dni. Nieprzedstawienie opinii w tym terminie będzie uważane za rezygnację z prawa jej wyrażenia. </w:t>
      </w:r>
    </w:p>
    <w:p w:rsidR="00AE7FBE" w:rsidRPr="00EB3D46" w:rsidRDefault="00AE7FBE" w:rsidP="002D0830">
      <w:pPr>
        <w:spacing w:line="360" w:lineRule="auto"/>
        <w:jc w:val="both"/>
        <w:rPr>
          <w:color w:val="000000"/>
          <w:spacing w:val="-2"/>
        </w:rPr>
      </w:pPr>
      <w:r w:rsidRPr="00EB3D46">
        <w:rPr>
          <w:color w:val="000000"/>
          <w:spacing w:val="-2"/>
        </w:rPr>
        <w:t xml:space="preserve">Środki przeznaczone na specjalne dodatki motywacyjne, które nie zostaną wykorzystane w 2021 r. będą stanowiły wydatki niewygasające w roku budżetowym 2021 r. i będą mogły być wydatkowane do </w:t>
      </w:r>
      <w:r w:rsidR="00F00D30">
        <w:rPr>
          <w:color w:val="000000"/>
          <w:spacing w:val="-2"/>
        </w:rPr>
        <w:t xml:space="preserve">dnia </w:t>
      </w:r>
      <w:r w:rsidRPr="00EB3D46">
        <w:rPr>
          <w:color w:val="000000"/>
          <w:spacing w:val="-2"/>
        </w:rPr>
        <w:t>30 listopada 2022 r.</w:t>
      </w:r>
      <w:r w:rsidR="003C3720" w:rsidRPr="00EB3D46">
        <w:rPr>
          <w:color w:val="000000"/>
          <w:spacing w:val="-2"/>
        </w:rPr>
        <w:t xml:space="preserve"> </w:t>
      </w:r>
      <w:r w:rsidRPr="00EB3D46">
        <w:rPr>
          <w:color w:val="000000"/>
          <w:spacing w:val="-2"/>
        </w:rPr>
        <w:t>Szczegółowy podział niewykorzystanych środków na dysponentów ze wskazaniem kwot i pełnej szczegółowości klasyfikacji budżetowej będzie zamieszczony w rozporządzeniu Rady Ministrów w sprawie wydatków budżetu państwa, które nie wygasają z upływem roku budżetowego.</w:t>
      </w:r>
      <w:r w:rsidR="003C3720" w:rsidRPr="00EB3D46">
        <w:rPr>
          <w:color w:val="000000"/>
          <w:spacing w:val="-2"/>
        </w:rPr>
        <w:t xml:space="preserve"> </w:t>
      </w:r>
      <w:r w:rsidRPr="00EB3D46">
        <w:rPr>
          <w:color w:val="000000"/>
          <w:spacing w:val="-2"/>
        </w:rPr>
        <w:t>Do wydatków, o których mowa w przepisie będą miały zastosowanie regulacje zawarte w art. 21 ustawy z dnia 11 sierpnia 2021 r. o zmianie ustawy o finansach publicznych oraz niektórych innych ustaw, w szczególności w zakresie trybu i procedur gospodarowania tymi środkami. Umożliwi to racjonalną realizację i bieżące zarządzanie w 2022 r. niewykorzystanymi w 2021 r. środkami na nagrody w sposób dostosowany do innych wydatków, które nie wygasły z upływem bieżącego roku, z uwzględnieniem płynności środków w budżecie państwa.</w:t>
      </w:r>
    </w:p>
    <w:p w:rsidR="00844482" w:rsidRPr="002D0830" w:rsidRDefault="00844482" w:rsidP="002D0830">
      <w:pPr>
        <w:spacing w:line="360" w:lineRule="auto"/>
        <w:jc w:val="both"/>
        <w:rPr>
          <w:color w:val="000000"/>
          <w:spacing w:val="-2"/>
        </w:rPr>
      </w:pPr>
      <w:r w:rsidRPr="00EB3D46">
        <w:rPr>
          <w:color w:val="000000"/>
          <w:spacing w:val="-2"/>
        </w:rPr>
        <w:t>Procedura dotycząca przekazywania dokumentów w sprawie ujęcia wydatków w projekcie rozporządzenia Rady Ministrów w sprawie wydatków budżetu państwa, które nie wygasają z upływem roku budżetowego jest złożona i czasochłonna. Proces składania wniosków do ujęcia zadań w rozporządzeniu Rady Ministrów w sprawie wydatków tzw. niewygasających jest sekwencyjny. Dysponenci części budżetowych analizują wydatki w ramach wszystkich podległych im jednostek i oceniają, które zadania będzie można wykonać do końca roku, a które będą wymagały wydłużenia terminu realizacji na kolejny rok. Proces ten odbywa się w krótkim okresie czasu i rozpoczyna już w listopadzie. Zgodnie z hierarchią w strukturze dysponentów najpierw dysponenci 3 stopnia składają wnioski o ujęcie w wykazie tzw. „wydatków niewygasających” do dysponentów 2 stopnia i kolejno do dysponenta głównego.</w:t>
      </w:r>
      <w:r w:rsidR="002D0830">
        <w:rPr>
          <w:color w:val="000000"/>
          <w:spacing w:val="-2"/>
        </w:rPr>
        <w:t xml:space="preserve"> </w:t>
      </w:r>
      <w:r w:rsidRPr="00EB3D46">
        <w:rPr>
          <w:color w:val="000000"/>
          <w:spacing w:val="-2"/>
        </w:rPr>
        <w:t>Na poszczególnych etapach niektóre zadania są agregowane do zbiorczych na poziomie dysponenta głównego. Wymaga to przeliczania kwot, uzgodnień merytorycznych, korekty nazw zadań</w:t>
      </w:r>
      <w:r w:rsidR="00F00D30">
        <w:rPr>
          <w:color w:val="000000"/>
          <w:spacing w:val="-2"/>
        </w:rPr>
        <w:t>,</w:t>
      </w:r>
      <w:r w:rsidRPr="00EB3D46">
        <w:rPr>
          <w:color w:val="000000"/>
          <w:spacing w:val="-2"/>
        </w:rPr>
        <w:t xml:space="preserve"> itp. Analogiczny proces odbywa się za pośrednictwem systemu informatycznego TREZOR – wnioski składane w tym systemie muszą być identyczne z przysłanymi za pośrednictwem platformy ePUAP. Wymaga to kolejnej kontroli i weryfikacji agregacji na poszczególnych poziomach – </w:t>
      </w:r>
      <w:r w:rsidRPr="00EB3D46">
        <w:rPr>
          <w:color w:val="000000"/>
          <w:spacing w:val="-2"/>
        </w:rPr>
        <w:lastRenderedPageBreak/>
        <w:t>ew</w:t>
      </w:r>
      <w:r w:rsidR="00F00D30">
        <w:rPr>
          <w:color w:val="000000"/>
          <w:spacing w:val="-2"/>
        </w:rPr>
        <w:t>entualnie</w:t>
      </w:r>
      <w:r w:rsidRPr="00EB3D46">
        <w:rPr>
          <w:color w:val="000000"/>
          <w:spacing w:val="-2"/>
        </w:rPr>
        <w:t xml:space="preserve"> odblokowywania wniosków do poprawy na niższy poziom. Ponadto przed złożeniem wniosku należy zabezpieczyć odpowiadające wnioskowi środki w „Harmonogramie bieżącym”</w:t>
      </w:r>
      <w:r w:rsidR="00F00D30">
        <w:rPr>
          <w:color w:val="000000"/>
          <w:spacing w:val="-2"/>
        </w:rPr>
        <w:t>,</w:t>
      </w:r>
      <w:r w:rsidRPr="00EB3D46">
        <w:rPr>
          <w:color w:val="000000"/>
          <w:spacing w:val="-2"/>
        </w:rPr>
        <w:t xml:space="preserve"> tj. zabezpieczyć w ramach bieżącego wykonania w systemie TREZOR w odpowiedniej zakładce. To kolejne komplikacje wpływające na złożoność i wydłużenie procesu składania i weryfikacji wniosków. Uwzględniając powyższe uwarunkowania oraz przewidywany czas zakończenia procesu legislacyjnego niniejszego projektu ustawy, a także mając na względzie umożliwienie zrealizowania celów jakim służyć mają specjalne dodatki motywacyjne za uzasadnione należy uznać wprowadzenie ww. modyfikacji w procesie uzgodnień warunków przyznania tych dodatków ze związkami zawodowymi. </w:t>
      </w:r>
    </w:p>
    <w:p w:rsidR="00E5780B" w:rsidRDefault="00E5780B" w:rsidP="002D0830">
      <w:pPr>
        <w:spacing w:before="240" w:line="360" w:lineRule="auto"/>
        <w:jc w:val="center"/>
        <w:rPr>
          <w:b/>
          <w:bCs/>
          <w:color w:val="000000"/>
          <w:spacing w:val="-2"/>
        </w:rPr>
      </w:pPr>
      <w:r>
        <w:rPr>
          <w:b/>
          <w:bCs/>
          <w:color w:val="000000"/>
          <w:spacing w:val="-2"/>
        </w:rPr>
        <w:t xml:space="preserve">Zmiany dotyczące Funduszy Ministra Spraw Wewnętrznych i Administracji (art. 1 </w:t>
      </w:r>
      <w:r w:rsidR="002D0830">
        <w:rPr>
          <w:b/>
          <w:bCs/>
          <w:color w:val="000000"/>
          <w:spacing w:val="-2"/>
        </w:rPr>
        <w:br/>
      </w:r>
      <w:r>
        <w:rPr>
          <w:b/>
          <w:bCs/>
          <w:color w:val="000000"/>
          <w:spacing w:val="-2"/>
        </w:rPr>
        <w:t xml:space="preserve">pkt </w:t>
      </w:r>
      <w:r w:rsidR="000901CC">
        <w:rPr>
          <w:b/>
          <w:bCs/>
          <w:color w:val="000000"/>
          <w:spacing w:val="-2"/>
        </w:rPr>
        <w:t>5</w:t>
      </w:r>
      <w:r w:rsidR="002D0830">
        <w:rPr>
          <w:b/>
          <w:bCs/>
          <w:color w:val="000000"/>
          <w:spacing w:val="-2"/>
        </w:rPr>
        <w:t>–</w:t>
      </w:r>
      <w:r w:rsidR="000901CC">
        <w:rPr>
          <w:b/>
          <w:bCs/>
          <w:color w:val="000000"/>
          <w:spacing w:val="-2"/>
        </w:rPr>
        <w:t xml:space="preserve">7 w zakresie zmian </w:t>
      </w:r>
      <w:r>
        <w:rPr>
          <w:b/>
          <w:bCs/>
          <w:color w:val="000000"/>
          <w:spacing w:val="-2"/>
        </w:rPr>
        <w:t xml:space="preserve">art. </w:t>
      </w:r>
      <w:r w:rsidR="000901CC">
        <w:rPr>
          <w:b/>
          <w:bCs/>
          <w:color w:val="000000"/>
          <w:spacing w:val="-2"/>
        </w:rPr>
        <w:t>56</w:t>
      </w:r>
      <w:r>
        <w:rPr>
          <w:b/>
          <w:bCs/>
          <w:color w:val="000000"/>
          <w:spacing w:val="-2"/>
        </w:rPr>
        <w:t xml:space="preserve">, art. </w:t>
      </w:r>
      <w:r w:rsidR="000901CC">
        <w:rPr>
          <w:b/>
          <w:bCs/>
          <w:color w:val="000000"/>
          <w:spacing w:val="-2"/>
        </w:rPr>
        <w:t>58</w:t>
      </w:r>
      <w:r>
        <w:rPr>
          <w:b/>
          <w:bCs/>
          <w:color w:val="000000"/>
          <w:spacing w:val="-2"/>
        </w:rPr>
        <w:t xml:space="preserve"> i art. </w:t>
      </w:r>
      <w:r w:rsidR="00D910FD" w:rsidRPr="0003201F">
        <w:rPr>
          <w:b/>
          <w:bCs/>
          <w:spacing w:val="-2"/>
        </w:rPr>
        <w:t>60</w:t>
      </w:r>
      <w:r>
        <w:rPr>
          <w:b/>
          <w:bCs/>
          <w:color w:val="000000"/>
          <w:spacing w:val="-2"/>
        </w:rPr>
        <w:t>)</w:t>
      </w:r>
    </w:p>
    <w:p w:rsidR="00E5780B" w:rsidRPr="00D967C7" w:rsidRDefault="00E5780B" w:rsidP="002D0830">
      <w:pPr>
        <w:spacing w:line="360" w:lineRule="auto"/>
        <w:jc w:val="both"/>
        <w:rPr>
          <w:color w:val="000000"/>
          <w:spacing w:val="-2"/>
        </w:rPr>
      </w:pPr>
      <w:r w:rsidRPr="00D967C7">
        <w:rPr>
          <w:color w:val="000000"/>
          <w:spacing w:val="-2"/>
        </w:rPr>
        <w:t>Projektowane przepisy przewiduje możliwość przeznaczenia z budżetu państwa środków na zasilenie</w:t>
      </w:r>
    </w:p>
    <w:p w:rsidR="00E5780B" w:rsidRPr="00D967C7" w:rsidRDefault="00E5780B" w:rsidP="002D0830">
      <w:pPr>
        <w:pStyle w:val="Akapitzlist"/>
        <w:numPr>
          <w:ilvl w:val="0"/>
          <w:numId w:val="1"/>
        </w:numPr>
        <w:spacing w:after="0" w:line="360" w:lineRule="auto"/>
        <w:jc w:val="both"/>
        <w:rPr>
          <w:rFonts w:ascii="Times New Roman" w:hAnsi="Times New Roman"/>
          <w:color w:val="000000"/>
          <w:spacing w:val="-2"/>
          <w:sz w:val="24"/>
          <w:szCs w:val="24"/>
        </w:rPr>
      </w:pPr>
      <w:r w:rsidRPr="00D967C7">
        <w:rPr>
          <w:rFonts w:ascii="Times New Roman" w:hAnsi="Times New Roman"/>
          <w:color w:val="000000"/>
          <w:spacing w:val="-2"/>
          <w:sz w:val="24"/>
          <w:szCs w:val="24"/>
        </w:rPr>
        <w:t>Funduszu Wsparcia Policji, o którym mowa w art. 13 ust. 4c ustawy z dnia 6 kwietnia 1990 r. o Policji</w:t>
      </w:r>
      <w:r w:rsidR="00704D3A">
        <w:rPr>
          <w:rFonts w:ascii="Times New Roman" w:hAnsi="Times New Roman"/>
          <w:color w:val="000000"/>
          <w:spacing w:val="-2"/>
          <w:sz w:val="24"/>
          <w:szCs w:val="24"/>
        </w:rPr>
        <w:t xml:space="preserve"> (Dz. U. z 2020 r. poz. 360</w:t>
      </w:r>
      <w:r w:rsidR="002565B8">
        <w:rPr>
          <w:rFonts w:ascii="Times New Roman" w:hAnsi="Times New Roman"/>
          <w:color w:val="000000"/>
          <w:spacing w:val="-2"/>
          <w:sz w:val="24"/>
          <w:szCs w:val="24"/>
        </w:rPr>
        <w:t>, z późn. zm.</w:t>
      </w:r>
      <w:r w:rsidR="00704D3A">
        <w:rPr>
          <w:rFonts w:ascii="Times New Roman" w:hAnsi="Times New Roman"/>
          <w:color w:val="000000"/>
          <w:spacing w:val="-2"/>
          <w:sz w:val="24"/>
          <w:szCs w:val="24"/>
        </w:rPr>
        <w:t>),</w:t>
      </w:r>
    </w:p>
    <w:p w:rsidR="00E5780B" w:rsidRPr="00D967C7" w:rsidRDefault="00E5780B" w:rsidP="002D0830">
      <w:pPr>
        <w:pStyle w:val="Akapitzlist"/>
        <w:numPr>
          <w:ilvl w:val="0"/>
          <w:numId w:val="1"/>
        </w:numPr>
        <w:spacing w:after="0" w:line="360" w:lineRule="auto"/>
        <w:jc w:val="both"/>
        <w:rPr>
          <w:rFonts w:ascii="Times New Roman" w:hAnsi="Times New Roman"/>
          <w:color w:val="000000"/>
          <w:spacing w:val="-2"/>
          <w:sz w:val="24"/>
          <w:szCs w:val="24"/>
        </w:rPr>
      </w:pPr>
      <w:r w:rsidRPr="00D967C7">
        <w:rPr>
          <w:rFonts w:ascii="Times New Roman" w:hAnsi="Times New Roman"/>
          <w:color w:val="000000"/>
          <w:spacing w:val="-2"/>
          <w:sz w:val="24"/>
          <w:szCs w:val="24"/>
        </w:rPr>
        <w:t xml:space="preserve">Funduszu Wsparcia Straży Granicznej, o którym mowa w </w:t>
      </w:r>
      <w:r w:rsidR="002D0830">
        <w:rPr>
          <w:rFonts w:ascii="Times New Roman" w:hAnsi="Times New Roman"/>
          <w:color w:val="000000"/>
          <w:spacing w:val="-2"/>
          <w:sz w:val="24"/>
          <w:szCs w:val="24"/>
        </w:rPr>
        <w:t>art. 8a ust. 2 ustawy z dnia 12 </w:t>
      </w:r>
      <w:r w:rsidRPr="00D967C7">
        <w:rPr>
          <w:rFonts w:ascii="Times New Roman" w:hAnsi="Times New Roman"/>
          <w:color w:val="000000"/>
          <w:spacing w:val="-2"/>
          <w:sz w:val="24"/>
          <w:szCs w:val="24"/>
        </w:rPr>
        <w:t>października 1990 r. o Straży Granicznej</w:t>
      </w:r>
      <w:r w:rsidR="00704D3A">
        <w:rPr>
          <w:rFonts w:ascii="Times New Roman" w:hAnsi="Times New Roman"/>
          <w:color w:val="000000"/>
          <w:spacing w:val="-2"/>
          <w:sz w:val="24"/>
          <w:szCs w:val="24"/>
        </w:rPr>
        <w:t xml:space="preserve"> (Dz. U. z 202</w:t>
      </w:r>
      <w:r w:rsidR="002565B8">
        <w:rPr>
          <w:rFonts w:ascii="Times New Roman" w:hAnsi="Times New Roman"/>
          <w:color w:val="000000"/>
          <w:spacing w:val="-2"/>
          <w:sz w:val="24"/>
          <w:szCs w:val="24"/>
        </w:rPr>
        <w:t>1</w:t>
      </w:r>
      <w:r w:rsidR="00704D3A">
        <w:rPr>
          <w:rFonts w:ascii="Times New Roman" w:hAnsi="Times New Roman"/>
          <w:color w:val="000000"/>
          <w:spacing w:val="-2"/>
          <w:sz w:val="24"/>
          <w:szCs w:val="24"/>
        </w:rPr>
        <w:t xml:space="preserve"> r. poz. </w:t>
      </w:r>
      <w:r w:rsidR="002565B8">
        <w:rPr>
          <w:rFonts w:ascii="Times New Roman" w:hAnsi="Times New Roman"/>
          <w:color w:val="000000"/>
          <w:spacing w:val="-2"/>
          <w:sz w:val="24"/>
          <w:szCs w:val="24"/>
        </w:rPr>
        <w:t>1486</w:t>
      </w:r>
      <w:r w:rsidR="00F00D30">
        <w:rPr>
          <w:rFonts w:ascii="Times New Roman" w:hAnsi="Times New Roman"/>
          <w:color w:val="000000"/>
          <w:spacing w:val="-2"/>
          <w:sz w:val="24"/>
          <w:szCs w:val="24"/>
        </w:rPr>
        <w:t>, z późn.</w:t>
      </w:r>
      <w:r w:rsidR="002D0830">
        <w:rPr>
          <w:rFonts w:ascii="Times New Roman" w:hAnsi="Times New Roman"/>
          <w:color w:val="000000"/>
          <w:spacing w:val="-2"/>
          <w:sz w:val="24"/>
          <w:szCs w:val="24"/>
        </w:rPr>
        <w:t xml:space="preserve"> </w:t>
      </w:r>
      <w:r w:rsidR="00F00D30">
        <w:rPr>
          <w:rFonts w:ascii="Times New Roman" w:hAnsi="Times New Roman"/>
          <w:color w:val="000000"/>
          <w:spacing w:val="-2"/>
          <w:sz w:val="24"/>
          <w:szCs w:val="24"/>
        </w:rPr>
        <w:t>zm.</w:t>
      </w:r>
      <w:r w:rsidR="00704D3A">
        <w:rPr>
          <w:rFonts w:ascii="Times New Roman" w:hAnsi="Times New Roman"/>
          <w:color w:val="000000"/>
          <w:spacing w:val="-2"/>
          <w:sz w:val="24"/>
          <w:szCs w:val="24"/>
        </w:rPr>
        <w:t>),</w:t>
      </w:r>
    </w:p>
    <w:p w:rsidR="00E5780B" w:rsidRPr="00D967C7" w:rsidRDefault="00E5780B" w:rsidP="002D0830">
      <w:pPr>
        <w:pStyle w:val="Akapitzlist"/>
        <w:numPr>
          <w:ilvl w:val="0"/>
          <w:numId w:val="1"/>
        </w:numPr>
        <w:spacing w:after="0" w:line="360" w:lineRule="auto"/>
        <w:ind w:left="714" w:hanging="357"/>
        <w:jc w:val="both"/>
        <w:rPr>
          <w:rFonts w:ascii="Times New Roman" w:hAnsi="Times New Roman"/>
          <w:color w:val="000000"/>
          <w:spacing w:val="-2"/>
          <w:sz w:val="24"/>
          <w:szCs w:val="24"/>
        </w:rPr>
      </w:pPr>
      <w:r w:rsidRPr="00D967C7">
        <w:rPr>
          <w:rFonts w:ascii="Times New Roman" w:hAnsi="Times New Roman"/>
          <w:color w:val="000000"/>
          <w:spacing w:val="-2"/>
          <w:sz w:val="24"/>
          <w:szCs w:val="24"/>
        </w:rPr>
        <w:t>Funduszu Wsparcia Państwowej Straży Pożarnej, o którym mowa w art. 19e ustawy z dnia 24 sierpnia 1991 r. o Państwowej Straży Pożarnej</w:t>
      </w:r>
      <w:r w:rsidR="00704D3A">
        <w:rPr>
          <w:rFonts w:ascii="Times New Roman" w:hAnsi="Times New Roman"/>
          <w:color w:val="000000"/>
          <w:spacing w:val="-2"/>
          <w:sz w:val="24"/>
          <w:szCs w:val="24"/>
        </w:rPr>
        <w:t xml:space="preserve"> (Dz. U</w:t>
      </w:r>
      <w:r w:rsidR="00F00D30">
        <w:rPr>
          <w:rFonts w:ascii="Times New Roman" w:hAnsi="Times New Roman"/>
          <w:color w:val="000000"/>
          <w:spacing w:val="-2"/>
          <w:sz w:val="24"/>
          <w:szCs w:val="24"/>
        </w:rPr>
        <w:t>.</w:t>
      </w:r>
      <w:r w:rsidR="00704D3A">
        <w:rPr>
          <w:rFonts w:ascii="Times New Roman" w:hAnsi="Times New Roman"/>
          <w:color w:val="000000"/>
          <w:spacing w:val="-2"/>
          <w:sz w:val="24"/>
          <w:szCs w:val="24"/>
        </w:rPr>
        <w:t xml:space="preserve"> z 202</w:t>
      </w:r>
      <w:r w:rsidR="002565B8">
        <w:rPr>
          <w:rFonts w:ascii="Times New Roman" w:hAnsi="Times New Roman"/>
          <w:color w:val="000000"/>
          <w:spacing w:val="-2"/>
          <w:sz w:val="24"/>
          <w:szCs w:val="24"/>
        </w:rPr>
        <w:t>0</w:t>
      </w:r>
      <w:r w:rsidR="00704D3A">
        <w:rPr>
          <w:rFonts w:ascii="Times New Roman" w:hAnsi="Times New Roman"/>
          <w:color w:val="000000"/>
          <w:spacing w:val="-2"/>
          <w:sz w:val="24"/>
          <w:szCs w:val="24"/>
        </w:rPr>
        <w:t xml:space="preserve"> r. poz. </w:t>
      </w:r>
      <w:r w:rsidR="002565B8">
        <w:rPr>
          <w:rFonts w:ascii="Times New Roman" w:hAnsi="Times New Roman"/>
          <w:color w:val="000000"/>
          <w:spacing w:val="-2"/>
          <w:sz w:val="24"/>
          <w:szCs w:val="24"/>
        </w:rPr>
        <w:t>1123, z późn. zm.</w:t>
      </w:r>
      <w:r w:rsidR="00704D3A">
        <w:rPr>
          <w:rFonts w:ascii="Times New Roman" w:hAnsi="Times New Roman"/>
          <w:color w:val="000000"/>
          <w:spacing w:val="-2"/>
          <w:sz w:val="24"/>
          <w:szCs w:val="24"/>
        </w:rPr>
        <w:t xml:space="preserve">) </w:t>
      </w:r>
    </w:p>
    <w:p w:rsidR="00E5780B" w:rsidRPr="00F36C1F" w:rsidRDefault="002D0830" w:rsidP="002D0830">
      <w:pPr>
        <w:spacing w:line="360" w:lineRule="auto"/>
        <w:jc w:val="both"/>
        <w:rPr>
          <w:rFonts w:eastAsiaTheme="minorHAnsi"/>
          <w:color w:val="000000"/>
          <w:spacing w:val="-2"/>
        </w:rPr>
      </w:pPr>
      <w:r>
        <w:rPr>
          <w:color w:val="000000"/>
          <w:spacing w:val="-2"/>
        </w:rPr>
        <w:t>–</w:t>
      </w:r>
      <w:r w:rsidR="00E5780B" w:rsidRPr="00F36C1F">
        <w:rPr>
          <w:color w:val="000000"/>
          <w:spacing w:val="-2"/>
        </w:rPr>
        <w:t xml:space="preserve"> na realizację zadań z zakresu bezpieczeństwa publicznego.</w:t>
      </w:r>
    </w:p>
    <w:p w:rsidR="00E5780B" w:rsidRPr="00F36C1F" w:rsidRDefault="00E5780B" w:rsidP="002D0830">
      <w:pPr>
        <w:spacing w:line="360" w:lineRule="auto"/>
        <w:jc w:val="both"/>
        <w:rPr>
          <w:color w:val="000000"/>
          <w:spacing w:val="-2"/>
        </w:rPr>
      </w:pPr>
      <w:r w:rsidRPr="00F36C1F">
        <w:rPr>
          <w:color w:val="000000"/>
          <w:spacing w:val="-2"/>
        </w:rPr>
        <w:t>Powyższe pozwoli na realizację w większym zakresie ustawowych zadań ww. Funduszy, polegających na pokrywaniu wydatków inwestycyjnych, modernizacyjnych lub remontowych oraz kosztów utrzymania i funkcjonowania jednostek organizacyjnych Policji, Straży Granicznej i Państwowej Straży Pożarnej, a także zakup niezbędnych na ich potrzeby towarów i usług.</w:t>
      </w:r>
    </w:p>
    <w:p w:rsidR="00E5780B" w:rsidRPr="00F36C1F" w:rsidRDefault="000901CC" w:rsidP="002D0830">
      <w:pPr>
        <w:spacing w:before="240" w:line="360" w:lineRule="auto"/>
        <w:ind w:left="360"/>
        <w:jc w:val="center"/>
        <w:rPr>
          <w:b/>
          <w:bCs/>
          <w:color w:val="000000"/>
          <w:spacing w:val="-2"/>
        </w:rPr>
      </w:pPr>
      <w:r>
        <w:rPr>
          <w:b/>
          <w:bCs/>
          <w:color w:val="000000"/>
          <w:spacing w:val="-2"/>
        </w:rPr>
        <w:t>Zmiana dotycząca p</w:t>
      </w:r>
      <w:r w:rsidR="00E5780B" w:rsidRPr="00F36C1F">
        <w:rPr>
          <w:b/>
          <w:bCs/>
          <w:color w:val="000000"/>
          <w:spacing w:val="-2"/>
        </w:rPr>
        <w:t xml:space="preserve">rzekazanie z budżetu państwa środków do </w:t>
      </w:r>
      <w:r w:rsidR="00E5780B" w:rsidRPr="00F36C1F">
        <w:rPr>
          <w:b/>
          <w:color w:val="000000"/>
          <w:spacing w:val="-2"/>
        </w:rPr>
        <w:t>Funduszu Modernizacji Sił Zbrojnych</w:t>
      </w:r>
      <w:r w:rsidR="00E5780B" w:rsidRPr="00F36C1F">
        <w:rPr>
          <w:b/>
          <w:bCs/>
          <w:color w:val="000000"/>
          <w:spacing w:val="-2"/>
        </w:rPr>
        <w:t xml:space="preserve"> (</w:t>
      </w:r>
      <w:r>
        <w:rPr>
          <w:b/>
          <w:bCs/>
          <w:color w:val="000000"/>
          <w:spacing w:val="-2"/>
        </w:rPr>
        <w:t xml:space="preserve">art. 1 pkt 8 </w:t>
      </w:r>
      <w:r w:rsidR="002D0830">
        <w:rPr>
          <w:b/>
          <w:bCs/>
          <w:color w:val="000000"/>
          <w:spacing w:val="-2"/>
        </w:rPr>
        <w:t>–</w:t>
      </w:r>
      <w:r w:rsidR="008023C5">
        <w:rPr>
          <w:b/>
          <w:bCs/>
          <w:color w:val="000000"/>
          <w:spacing w:val="-2"/>
        </w:rPr>
        <w:t xml:space="preserve"> </w:t>
      </w:r>
      <w:r>
        <w:rPr>
          <w:b/>
          <w:bCs/>
          <w:color w:val="000000"/>
          <w:spacing w:val="-2"/>
        </w:rPr>
        <w:t>dodani</w:t>
      </w:r>
      <w:r w:rsidR="008023C5">
        <w:rPr>
          <w:b/>
          <w:bCs/>
          <w:color w:val="000000"/>
          <w:spacing w:val="-2"/>
        </w:rPr>
        <w:t xml:space="preserve">e </w:t>
      </w:r>
      <w:r w:rsidR="00E5780B" w:rsidRPr="00F36C1F">
        <w:rPr>
          <w:b/>
          <w:bCs/>
          <w:color w:val="000000"/>
          <w:spacing w:val="-2"/>
        </w:rPr>
        <w:t>art. 67a)</w:t>
      </w:r>
    </w:p>
    <w:p w:rsidR="00E5780B" w:rsidRDefault="00E5780B" w:rsidP="002D0830">
      <w:pPr>
        <w:spacing w:before="120" w:line="360" w:lineRule="auto"/>
        <w:jc w:val="both"/>
        <w:rPr>
          <w:color w:val="000000"/>
          <w:spacing w:val="-2"/>
        </w:rPr>
      </w:pPr>
      <w:r w:rsidRPr="003F19E6">
        <w:rPr>
          <w:color w:val="000000"/>
          <w:spacing w:val="-2"/>
        </w:rPr>
        <w:t>W roku 2021 proponuje się wprowadzenie regulacji, która umożliwi przeznaczenie z budżetu państwa środków na zasilenie Funduszu Modernizacji Sił Zbrojnych utworzonego na podstawie art. 11 ustawy z dnia 25 maja 2001 r. o przebudowie i modernizacji technicznej oraz finansowaniu Sił Zbrojnych Rzeczypospolitej Polskiej</w:t>
      </w:r>
      <w:r w:rsidR="002565B8">
        <w:rPr>
          <w:color w:val="000000"/>
          <w:spacing w:val="-2"/>
        </w:rPr>
        <w:t xml:space="preserve"> (Dz. U. z 2021 r. poz. 1221, z pó</w:t>
      </w:r>
      <w:r w:rsidR="00AF4E5D">
        <w:rPr>
          <w:color w:val="000000"/>
          <w:spacing w:val="-2"/>
        </w:rPr>
        <w:t>ź</w:t>
      </w:r>
      <w:r w:rsidR="002565B8">
        <w:rPr>
          <w:color w:val="000000"/>
          <w:spacing w:val="-2"/>
        </w:rPr>
        <w:t>n. zm.)</w:t>
      </w:r>
      <w:r w:rsidRPr="003F19E6">
        <w:rPr>
          <w:color w:val="000000"/>
          <w:spacing w:val="-2"/>
        </w:rPr>
        <w:t xml:space="preserve">, którego dysponentem jest Minister Obrony Narodowej. Przepis ten pozwoli na realizację w większym </w:t>
      </w:r>
      <w:r w:rsidRPr="003F19E6">
        <w:rPr>
          <w:color w:val="000000"/>
          <w:spacing w:val="-2"/>
        </w:rPr>
        <w:lastRenderedPageBreak/>
        <w:t xml:space="preserve">zakresie ustawowych zadań programu rozwoju Sił Zbrojnych wymienionych w art. 4 ww. ustawy, które są finansowane m.in. ze środków Funduszu Modernizacji Sił Zbrojnych. </w:t>
      </w:r>
    </w:p>
    <w:p w:rsidR="008F1019" w:rsidRDefault="008F1019" w:rsidP="002D0830">
      <w:pPr>
        <w:spacing w:before="120" w:line="360" w:lineRule="auto"/>
        <w:jc w:val="center"/>
        <w:rPr>
          <w:b/>
          <w:color w:val="000000"/>
          <w:spacing w:val="-2"/>
        </w:rPr>
      </w:pPr>
      <w:r w:rsidRPr="008F1019">
        <w:rPr>
          <w:b/>
          <w:color w:val="000000"/>
          <w:spacing w:val="-2"/>
        </w:rPr>
        <w:t>Zmiana dotycząca</w:t>
      </w:r>
      <w:r>
        <w:rPr>
          <w:b/>
          <w:color w:val="000000"/>
          <w:spacing w:val="-2"/>
        </w:rPr>
        <w:t xml:space="preserve"> zasad prowadzenia gospodarki finansowej przez Centralny Ośrodek Sportu (art. 1 pkt 9 </w:t>
      </w:r>
      <w:r w:rsidR="002D0830">
        <w:rPr>
          <w:b/>
          <w:color w:val="000000"/>
          <w:spacing w:val="-2"/>
        </w:rPr>
        <w:t>–</w:t>
      </w:r>
      <w:r w:rsidR="008023C5">
        <w:rPr>
          <w:b/>
          <w:color w:val="000000"/>
          <w:spacing w:val="-2"/>
        </w:rPr>
        <w:t xml:space="preserve"> </w:t>
      </w:r>
      <w:r>
        <w:rPr>
          <w:b/>
          <w:color w:val="000000"/>
          <w:spacing w:val="-2"/>
        </w:rPr>
        <w:t>dodani</w:t>
      </w:r>
      <w:r w:rsidR="008023C5">
        <w:rPr>
          <w:b/>
          <w:color w:val="000000"/>
          <w:spacing w:val="-2"/>
        </w:rPr>
        <w:t>e</w:t>
      </w:r>
      <w:r>
        <w:rPr>
          <w:b/>
          <w:color w:val="000000"/>
          <w:spacing w:val="-2"/>
        </w:rPr>
        <w:t xml:space="preserve"> art. 69a) </w:t>
      </w:r>
    </w:p>
    <w:p w:rsidR="008F1019" w:rsidRPr="008F1019" w:rsidRDefault="008F1019" w:rsidP="002D0830">
      <w:pPr>
        <w:autoSpaceDE w:val="0"/>
        <w:autoSpaceDN w:val="0"/>
        <w:spacing w:before="120" w:line="360" w:lineRule="auto"/>
        <w:jc w:val="both"/>
        <w:rPr>
          <w:color w:val="1F497D"/>
          <w:lang w:eastAsia="en-US"/>
        </w:rPr>
      </w:pPr>
      <w:r>
        <w:rPr>
          <w:color w:val="000000"/>
        </w:rPr>
        <w:t xml:space="preserve">Przepis </w:t>
      </w:r>
      <w:r w:rsidRPr="008F1019">
        <w:rPr>
          <w:color w:val="000000"/>
        </w:rPr>
        <w:t>umożliwi</w:t>
      </w:r>
      <w:r>
        <w:rPr>
          <w:color w:val="000000"/>
        </w:rPr>
        <w:t xml:space="preserve"> </w:t>
      </w:r>
      <w:r w:rsidRPr="008F1019">
        <w:rPr>
          <w:color w:val="000000"/>
        </w:rPr>
        <w:t>ministrowi właściwemu do spraw kultury fizycznej zwiększenie dotacji z budżetu państwa dla</w:t>
      </w:r>
      <w:r>
        <w:rPr>
          <w:color w:val="000000"/>
        </w:rPr>
        <w:t xml:space="preserve"> </w:t>
      </w:r>
      <w:r w:rsidRPr="008F1019">
        <w:rPr>
          <w:color w:val="000000"/>
        </w:rPr>
        <w:t>Centralnego Ośrodka Sportu, będącego instytucją gospodarki budżetowej, na realizację zadań</w:t>
      </w:r>
      <w:r>
        <w:rPr>
          <w:color w:val="000000"/>
        </w:rPr>
        <w:t xml:space="preserve"> </w:t>
      </w:r>
      <w:r w:rsidRPr="008F1019">
        <w:rPr>
          <w:color w:val="000000"/>
        </w:rPr>
        <w:t>publicznych związanych z zapewnieniem warunków organizacyjnych, ekonomicznych</w:t>
      </w:r>
      <w:r>
        <w:rPr>
          <w:color w:val="000000"/>
        </w:rPr>
        <w:t xml:space="preserve"> </w:t>
      </w:r>
      <w:r w:rsidRPr="008F1019">
        <w:rPr>
          <w:color w:val="000000"/>
        </w:rPr>
        <w:t>i technicznych do szkolenia sportowego w zakresie, o którym mowa w art. 29 ust. 1a ustawy</w:t>
      </w:r>
      <w:r>
        <w:rPr>
          <w:color w:val="000000"/>
        </w:rPr>
        <w:t xml:space="preserve"> </w:t>
      </w:r>
      <w:r w:rsidRPr="008F1019">
        <w:rPr>
          <w:color w:val="000000"/>
        </w:rPr>
        <w:t>z dnia 25 czerwca 2010 r. o sporcie</w:t>
      </w:r>
      <w:r>
        <w:rPr>
          <w:color w:val="000000"/>
        </w:rPr>
        <w:t xml:space="preserve"> </w:t>
      </w:r>
      <w:r>
        <w:t>(Dz. U. z 2020 r. poz. 1133, z późn. zm.)</w:t>
      </w:r>
      <w:r w:rsidRPr="008F1019">
        <w:rPr>
          <w:color w:val="000000"/>
        </w:rPr>
        <w:t xml:space="preserve">. </w:t>
      </w:r>
      <w:r>
        <w:rPr>
          <w:color w:val="000000"/>
        </w:rPr>
        <w:t>R</w:t>
      </w:r>
      <w:r w:rsidRPr="008F1019">
        <w:rPr>
          <w:color w:val="000000"/>
        </w:rPr>
        <w:t>ozwiązani</w:t>
      </w:r>
      <w:r>
        <w:rPr>
          <w:color w:val="000000"/>
        </w:rPr>
        <w:t>e</w:t>
      </w:r>
      <w:r w:rsidRPr="008F1019">
        <w:rPr>
          <w:color w:val="000000"/>
        </w:rPr>
        <w:t xml:space="preserve"> </w:t>
      </w:r>
      <w:r>
        <w:rPr>
          <w:color w:val="000000"/>
        </w:rPr>
        <w:t xml:space="preserve">takie </w:t>
      </w:r>
      <w:r w:rsidRPr="008F1019">
        <w:rPr>
          <w:color w:val="000000"/>
        </w:rPr>
        <w:t>wynika</w:t>
      </w:r>
      <w:r>
        <w:rPr>
          <w:color w:val="000000"/>
        </w:rPr>
        <w:t xml:space="preserve"> </w:t>
      </w:r>
      <w:r w:rsidRPr="008F1019">
        <w:rPr>
          <w:color w:val="000000"/>
        </w:rPr>
        <w:t>z konieczności zabezpieczenia przewidywanych dodatkowych kosztów wynikających</w:t>
      </w:r>
      <w:r>
        <w:rPr>
          <w:color w:val="000000"/>
        </w:rPr>
        <w:t xml:space="preserve"> </w:t>
      </w:r>
      <w:r w:rsidRPr="008F1019">
        <w:rPr>
          <w:color w:val="000000"/>
        </w:rPr>
        <w:t>z utworzenia w strukturze organizacyjnej Centralnego Ośrodka Sportu nowego Ośrodka</w:t>
      </w:r>
      <w:r>
        <w:rPr>
          <w:color w:val="000000"/>
        </w:rPr>
        <w:t xml:space="preserve"> </w:t>
      </w:r>
      <w:r w:rsidRPr="008F1019">
        <w:rPr>
          <w:color w:val="000000"/>
        </w:rPr>
        <w:t>Przygotowań Olimpijskich w Dusznikach-Zdroju.</w:t>
      </w:r>
      <w:r>
        <w:rPr>
          <w:color w:val="000000"/>
        </w:rPr>
        <w:t xml:space="preserve"> </w:t>
      </w:r>
    </w:p>
    <w:p w:rsidR="007E6135" w:rsidRPr="007E6135" w:rsidRDefault="007E6135" w:rsidP="002D0830">
      <w:pPr>
        <w:spacing w:before="240" w:line="360" w:lineRule="auto"/>
        <w:jc w:val="center"/>
        <w:rPr>
          <w:b/>
          <w:color w:val="000000"/>
          <w:spacing w:val="-2"/>
        </w:rPr>
      </w:pPr>
      <w:r w:rsidRPr="007E6135">
        <w:rPr>
          <w:b/>
          <w:color w:val="000000"/>
          <w:spacing w:val="-2"/>
        </w:rPr>
        <w:t>Zmiany związane ze szkolnictwem wyższym (</w:t>
      </w:r>
      <w:r w:rsidR="008F1019">
        <w:rPr>
          <w:b/>
          <w:color w:val="000000"/>
          <w:spacing w:val="-2"/>
        </w:rPr>
        <w:t xml:space="preserve">art. 1 pkt 10 </w:t>
      </w:r>
      <w:r w:rsidR="002D0830">
        <w:rPr>
          <w:b/>
          <w:color w:val="000000"/>
          <w:spacing w:val="-2"/>
        </w:rPr>
        <w:t>–</w:t>
      </w:r>
      <w:r w:rsidR="008023C5">
        <w:rPr>
          <w:b/>
          <w:color w:val="000000"/>
          <w:spacing w:val="-2"/>
        </w:rPr>
        <w:t xml:space="preserve"> </w:t>
      </w:r>
      <w:r w:rsidR="008F1019">
        <w:rPr>
          <w:b/>
          <w:color w:val="000000"/>
          <w:spacing w:val="-2"/>
        </w:rPr>
        <w:t>dodani</w:t>
      </w:r>
      <w:r w:rsidR="008023C5">
        <w:rPr>
          <w:b/>
          <w:color w:val="000000"/>
          <w:spacing w:val="-2"/>
        </w:rPr>
        <w:t>e</w:t>
      </w:r>
      <w:r w:rsidR="008F1019">
        <w:rPr>
          <w:b/>
          <w:color w:val="000000"/>
          <w:spacing w:val="-2"/>
        </w:rPr>
        <w:t xml:space="preserve"> </w:t>
      </w:r>
      <w:r w:rsidRPr="007E6135">
        <w:rPr>
          <w:b/>
          <w:color w:val="000000"/>
          <w:spacing w:val="-2"/>
        </w:rPr>
        <w:t xml:space="preserve">art. 71a) </w:t>
      </w:r>
    </w:p>
    <w:p w:rsidR="007E6135" w:rsidRPr="000D25CF" w:rsidRDefault="007E6135" w:rsidP="002D0830">
      <w:pPr>
        <w:spacing w:before="120" w:line="360" w:lineRule="auto"/>
        <w:jc w:val="both"/>
        <w:rPr>
          <w:color w:val="000000"/>
          <w:spacing w:val="-2"/>
        </w:rPr>
      </w:pPr>
      <w:r w:rsidRPr="007E6135">
        <w:rPr>
          <w:color w:val="000000"/>
          <w:spacing w:val="-2"/>
        </w:rPr>
        <w:t xml:space="preserve">Przekazanie uczelniom oraz instytutom </w:t>
      </w:r>
      <w:r w:rsidR="00E35F44">
        <w:rPr>
          <w:color w:val="000000"/>
          <w:spacing w:val="-2"/>
        </w:rPr>
        <w:t xml:space="preserve">działającym w ramach </w:t>
      </w:r>
      <w:r w:rsidRPr="007E6135">
        <w:rPr>
          <w:color w:val="000000"/>
          <w:spacing w:val="-2"/>
        </w:rPr>
        <w:t xml:space="preserve">Sieci </w:t>
      </w:r>
      <w:r w:rsidR="00E35F44">
        <w:rPr>
          <w:color w:val="000000"/>
          <w:spacing w:val="-2"/>
        </w:rPr>
        <w:t xml:space="preserve">Badawczej </w:t>
      </w:r>
      <w:r w:rsidRPr="007E6135">
        <w:rPr>
          <w:color w:val="000000"/>
          <w:spacing w:val="-2"/>
        </w:rPr>
        <w:t>Łukasiewicz dodatkowych środków w ramach zwiększenia wysokości subwencji pozwoli tym podmiotom na swobodne zaplanowanie procesu inwestycyjnego i wykorzystanie przekazanych środków w kolejnych latach budżetowych. Takie działanie byłoby szczególnie istotne w kontekście przedsięwzięć związanych z odbudową gospodarki po pandemii COVID</w:t>
      </w:r>
      <w:r w:rsidR="00697CA8">
        <w:rPr>
          <w:color w:val="000000"/>
          <w:spacing w:val="-2"/>
        </w:rPr>
        <w:t>-19</w:t>
      </w:r>
      <w:r w:rsidRPr="007E6135">
        <w:rPr>
          <w:color w:val="000000"/>
          <w:spacing w:val="-2"/>
        </w:rPr>
        <w:t>, jak również ułatwiałoby spełnianie wymogów wynikających z tzw. „Nowego Zielonego Ładu”</w:t>
      </w:r>
      <w:r w:rsidR="00697CA8">
        <w:rPr>
          <w:color w:val="000000"/>
          <w:spacing w:val="-2"/>
        </w:rPr>
        <w:t>,</w:t>
      </w:r>
      <w:r w:rsidRPr="007E6135">
        <w:rPr>
          <w:color w:val="000000"/>
          <w:spacing w:val="-2"/>
        </w:rPr>
        <w:t xml:space="preserve"> w tym pakietu „Fit for 55”</w:t>
      </w:r>
      <w:r w:rsidR="00697CA8">
        <w:rPr>
          <w:color w:val="000000"/>
          <w:spacing w:val="-2"/>
        </w:rPr>
        <w:t>,</w:t>
      </w:r>
      <w:r w:rsidRPr="007E6135">
        <w:rPr>
          <w:color w:val="000000"/>
          <w:spacing w:val="-2"/>
        </w:rPr>
        <w:t xml:space="preserve"> mającego na celu ograniczenie zmian klimatu i degradacji środowiska oraz sprawienie, że gospodarki unijnych krajów będą nowoczesne, </w:t>
      </w:r>
      <w:r>
        <w:rPr>
          <w:color w:val="000000"/>
          <w:spacing w:val="-2"/>
        </w:rPr>
        <w:t>oszczędzające zasoby</w:t>
      </w:r>
      <w:r w:rsidRPr="007E6135">
        <w:rPr>
          <w:color w:val="000000"/>
          <w:spacing w:val="-2"/>
        </w:rPr>
        <w:t xml:space="preserve"> i konkurencyjne.</w:t>
      </w:r>
    </w:p>
    <w:p w:rsidR="00E5780B" w:rsidRPr="007F519D" w:rsidRDefault="008F1019" w:rsidP="002D0830">
      <w:pPr>
        <w:spacing w:before="240" w:line="360" w:lineRule="auto"/>
        <w:jc w:val="center"/>
        <w:rPr>
          <w:b/>
          <w:color w:val="000000"/>
          <w:spacing w:val="-2"/>
        </w:rPr>
      </w:pPr>
      <w:r w:rsidRPr="007E6135">
        <w:rPr>
          <w:b/>
          <w:color w:val="000000"/>
          <w:spacing w:val="-2"/>
        </w:rPr>
        <w:t xml:space="preserve">Zmiany związane </w:t>
      </w:r>
      <w:r>
        <w:rPr>
          <w:b/>
          <w:color w:val="000000"/>
          <w:spacing w:val="-2"/>
        </w:rPr>
        <w:t>z</w:t>
      </w:r>
      <w:r w:rsidRPr="007E6135">
        <w:rPr>
          <w:b/>
          <w:color w:val="000000"/>
          <w:spacing w:val="-2"/>
        </w:rPr>
        <w:t xml:space="preserve"> </w:t>
      </w:r>
      <w:r w:rsidR="00E5780B" w:rsidRPr="007F519D">
        <w:rPr>
          <w:b/>
          <w:color w:val="000000"/>
          <w:spacing w:val="-2"/>
        </w:rPr>
        <w:t>Narodow</w:t>
      </w:r>
      <w:r>
        <w:rPr>
          <w:b/>
          <w:color w:val="000000"/>
          <w:spacing w:val="-2"/>
        </w:rPr>
        <w:t>ym</w:t>
      </w:r>
      <w:r w:rsidR="00E5780B" w:rsidRPr="007F519D">
        <w:rPr>
          <w:b/>
          <w:color w:val="000000"/>
          <w:spacing w:val="-2"/>
        </w:rPr>
        <w:t xml:space="preserve"> Fundusz</w:t>
      </w:r>
      <w:r>
        <w:rPr>
          <w:b/>
          <w:color w:val="000000"/>
          <w:spacing w:val="-2"/>
        </w:rPr>
        <w:t>em</w:t>
      </w:r>
      <w:r w:rsidR="00E5780B" w:rsidRPr="007F519D">
        <w:rPr>
          <w:b/>
          <w:color w:val="000000"/>
          <w:spacing w:val="-2"/>
        </w:rPr>
        <w:t xml:space="preserve"> Ochrony Zabytków (</w:t>
      </w:r>
      <w:r>
        <w:rPr>
          <w:b/>
          <w:color w:val="000000"/>
          <w:spacing w:val="-2"/>
        </w:rPr>
        <w:t xml:space="preserve">art. 1 pkt 11 </w:t>
      </w:r>
      <w:r w:rsidR="00F7589E">
        <w:rPr>
          <w:b/>
          <w:color w:val="000000"/>
          <w:spacing w:val="-2"/>
        </w:rPr>
        <w:t>w zakresie doda</w:t>
      </w:r>
      <w:r w:rsidR="00697CA8">
        <w:rPr>
          <w:b/>
          <w:color w:val="000000"/>
          <w:spacing w:val="-2"/>
        </w:rPr>
        <w:t>wanego</w:t>
      </w:r>
      <w:r w:rsidR="00F7589E">
        <w:rPr>
          <w:b/>
          <w:color w:val="000000"/>
          <w:spacing w:val="-2"/>
        </w:rPr>
        <w:t xml:space="preserve"> </w:t>
      </w:r>
      <w:r w:rsidR="00E5780B" w:rsidRPr="007F519D">
        <w:rPr>
          <w:b/>
          <w:color w:val="000000"/>
          <w:spacing w:val="-2"/>
        </w:rPr>
        <w:t>art. 74</w:t>
      </w:r>
      <w:r w:rsidR="00E5780B">
        <w:rPr>
          <w:b/>
          <w:color w:val="000000"/>
          <w:spacing w:val="-2"/>
        </w:rPr>
        <w:t>a</w:t>
      </w:r>
      <w:r w:rsidR="00E5780B" w:rsidRPr="007F519D">
        <w:rPr>
          <w:b/>
          <w:color w:val="000000"/>
          <w:spacing w:val="-2"/>
        </w:rPr>
        <w:t>)</w:t>
      </w:r>
    </w:p>
    <w:p w:rsidR="00E5780B" w:rsidRDefault="00E5780B" w:rsidP="002D0830">
      <w:pPr>
        <w:spacing w:before="120" w:line="360" w:lineRule="auto"/>
        <w:jc w:val="both"/>
        <w:rPr>
          <w:color w:val="000000"/>
        </w:rPr>
      </w:pPr>
      <w:r>
        <w:rPr>
          <w:color w:val="000000"/>
          <w:spacing w:val="-2"/>
        </w:rPr>
        <w:t>Dodawany przepis</w:t>
      </w:r>
      <w:r w:rsidR="002D0830">
        <w:rPr>
          <w:color w:val="000000"/>
          <w:spacing w:val="-2"/>
        </w:rPr>
        <w:t xml:space="preserve"> </w:t>
      </w:r>
      <w:r>
        <w:rPr>
          <w:color w:val="000000"/>
          <w:spacing w:val="-2"/>
        </w:rPr>
        <w:t xml:space="preserve">przewiduje zmianę </w:t>
      </w:r>
      <w:r w:rsidRPr="00604B93">
        <w:rPr>
          <w:color w:val="000000"/>
          <w:spacing w:val="-2"/>
        </w:rPr>
        <w:t xml:space="preserve">polegającą na umożliwieniu ministrowi właściwemu do spraw kultury i ochrony dziedzicowa narodowego zasilenie Narodowego Funduszu Ochrony Zabytków środkami </w:t>
      </w:r>
      <w:r w:rsidR="00E35F44">
        <w:rPr>
          <w:color w:val="000000"/>
          <w:spacing w:val="-2"/>
        </w:rPr>
        <w:t xml:space="preserve">z </w:t>
      </w:r>
      <w:r w:rsidRPr="00604B93">
        <w:rPr>
          <w:color w:val="000000"/>
          <w:spacing w:val="-2"/>
        </w:rPr>
        <w:t>budżetu państwa. Środki Narodowego Funduszu Ochrony Zabytków są przeznaczane m.in. na dofinansowanie nakładów koniecznych na wykonanie prac konserwatorskich, restauratorskich lub robót budowlanych przy zabytkach wpisanych do rejestru zabytków.</w:t>
      </w:r>
      <w:r>
        <w:rPr>
          <w:color w:val="000000"/>
          <w:spacing w:val="-2"/>
        </w:rPr>
        <w:t xml:space="preserve"> </w:t>
      </w:r>
      <w:r w:rsidRPr="00A51BFB">
        <w:rPr>
          <w:color w:val="000000"/>
        </w:rPr>
        <w:t xml:space="preserve">W ostatnich pięciu latach Ministerstwo Kultury, Dziedzictwa Narodowego i Sportu odnotowuje zwiększone zainteresowanie właścicieli i posiadaczy obiektów zabytków </w:t>
      </w:r>
      <w:r w:rsidRPr="00A51BFB">
        <w:rPr>
          <w:color w:val="000000"/>
        </w:rPr>
        <w:lastRenderedPageBreak/>
        <w:t xml:space="preserve">pozyskaniem dotacji na prace przy tych zabytkach. W 2016 r. do MKDNiS złożonych zostało 2113 poprawnych formalnie wniosków o dotację, w 2021 r. jest ich 2869. Ze względu na wzrost cen materiałów budowlanych i usług również oczekiwana kwota dofinansowania znacząco wzrosła – z 638,9 mln zł do 1,1 mld. Aktualny budżet przeznaczony na dofinansowanie prac przy obiektach zabytkowych jest niewystarczający, </w:t>
      </w:r>
      <w:r w:rsidR="00302051">
        <w:rPr>
          <w:color w:val="000000"/>
        </w:rPr>
        <w:t>a</w:t>
      </w:r>
      <w:r w:rsidRPr="00A51BFB">
        <w:rPr>
          <w:color w:val="000000"/>
        </w:rPr>
        <w:t>by możliwe było pokrycie wszystkich, nawet najpilniejszych potrzeb w tym zakresie.</w:t>
      </w:r>
    </w:p>
    <w:p w:rsidR="00E5780B" w:rsidRPr="00E543D1" w:rsidRDefault="00E5780B" w:rsidP="002D0830">
      <w:pPr>
        <w:spacing w:before="240" w:line="360" w:lineRule="auto"/>
        <w:jc w:val="center"/>
        <w:rPr>
          <w:b/>
          <w:color w:val="000000"/>
          <w:spacing w:val="-2"/>
        </w:rPr>
      </w:pPr>
      <w:r w:rsidRPr="00E543D1">
        <w:rPr>
          <w:b/>
          <w:color w:val="000000"/>
          <w:spacing w:val="-2"/>
        </w:rPr>
        <w:t>Zmiany dotyczące Państwowego Funduszu Rehabilitacji</w:t>
      </w:r>
      <w:r>
        <w:rPr>
          <w:b/>
          <w:color w:val="000000"/>
          <w:spacing w:val="-2"/>
        </w:rPr>
        <w:t xml:space="preserve"> Osób Niepełnosprawnych (</w:t>
      </w:r>
      <w:r w:rsidR="00F7589E">
        <w:rPr>
          <w:b/>
          <w:color w:val="000000"/>
          <w:spacing w:val="-2"/>
        </w:rPr>
        <w:t xml:space="preserve">art. 1 pkt 11 w zakresie </w:t>
      </w:r>
      <w:r w:rsidR="00376886">
        <w:rPr>
          <w:b/>
          <w:color w:val="000000"/>
          <w:spacing w:val="-2"/>
        </w:rPr>
        <w:t>doda</w:t>
      </w:r>
      <w:r w:rsidR="00697CA8">
        <w:rPr>
          <w:b/>
          <w:color w:val="000000"/>
          <w:spacing w:val="-2"/>
        </w:rPr>
        <w:t>wanego</w:t>
      </w:r>
      <w:r w:rsidR="00376886">
        <w:rPr>
          <w:b/>
          <w:color w:val="000000"/>
          <w:spacing w:val="-2"/>
        </w:rPr>
        <w:t xml:space="preserve"> </w:t>
      </w:r>
      <w:r>
        <w:rPr>
          <w:b/>
          <w:color w:val="000000"/>
          <w:spacing w:val="-2"/>
        </w:rPr>
        <w:t>art. 74b</w:t>
      </w:r>
      <w:r w:rsidRPr="00E543D1">
        <w:rPr>
          <w:b/>
          <w:color w:val="000000"/>
          <w:spacing w:val="-2"/>
        </w:rPr>
        <w:t>)</w:t>
      </w:r>
    </w:p>
    <w:p w:rsidR="00E5780B" w:rsidRDefault="00E5780B" w:rsidP="002D0830">
      <w:pPr>
        <w:spacing w:before="120" w:line="360" w:lineRule="auto"/>
        <w:jc w:val="both"/>
        <w:rPr>
          <w:color w:val="000000"/>
        </w:rPr>
      </w:pPr>
      <w:r w:rsidRPr="00E543D1">
        <w:rPr>
          <w:color w:val="000000"/>
        </w:rPr>
        <w:t>Planowane jest podjęcie nowych oraz kontynuacja i rozszerzenie dotychczasowych inicjatyw na rzecz osób niepełnosprawnych, ze szczególnym uwzględnieniem działań wynikających ze „Strategii na rzecz Osób z Niepełnosprawnościami 2021</w:t>
      </w:r>
      <w:r w:rsidR="002D0830">
        <w:rPr>
          <w:color w:val="000000"/>
        </w:rPr>
        <w:t>–</w:t>
      </w:r>
      <w:r w:rsidRPr="00E543D1">
        <w:rPr>
          <w:color w:val="000000"/>
        </w:rPr>
        <w:t xml:space="preserve">2030”. </w:t>
      </w:r>
      <w:r w:rsidR="00F7589E">
        <w:rPr>
          <w:color w:val="000000"/>
        </w:rPr>
        <w:t xml:space="preserve">Zwiększenie </w:t>
      </w:r>
      <w:r w:rsidR="00F7589E" w:rsidRPr="00E543D1">
        <w:rPr>
          <w:color w:val="000000"/>
        </w:rPr>
        <w:t xml:space="preserve">w 2021 r. </w:t>
      </w:r>
      <w:r w:rsidR="00F7589E">
        <w:rPr>
          <w:color w:val="000000"/>
        </w:rPr>
        <w:t>przychodów</w:t>
      </w:r>
      <w:r w:rsidRPr="00E543D1">
        <w:rPr>
          <w:color w:val="000000"/>
        </w:rPr>
        <w:t xml:space="preserve"> Państwowego Funduszu Rehabilitacji Osób Niepełnosprawnych dodatkowymi środkami ma na celu wsparcie finansowe Funduszu w celu zwiększenia finansowania zadań służących poprawie jakości życia osób niepełnosprawnych oraz nowych programów zatwierdzanych przez Radę Nadzorczą PFRON</w:t>
      </w:r>
      <w:r w:rsidR="00872BB0">
        <w:rPr>
          <w:color w:val="000000"/>
        </w:rPr>
        <w:t>.</w:t>
      </w:r>
    </w:p>
    <w:p w:rsidR="00835B6E" w:rsidRDefault="00835B6E" w:rsidP="002D0830">
      <w:pPr>
        <w:spacing w:before="360" w:line="360" w:lineRule="auto"/>
        <w:jc w:val="center"/>
        <w:rPr>
          <w:b/>
        </w:rPr>
      </w:pPr>
      <w:r w:rsidRPr="00105176">
        <w:rPr>
          <w:b/>
        </w:rPr>
        <w:t xml:space="preserve">Zmiany w zakresie </w:t>
      </w:r>
      <w:r>
        <w:rPr>
          <w:b/>
        </w:rPr>
        <w:t xml:space="preserve">kosztów związanych z operacjami na </w:t>
      </w:r>
      <w:r w:rsidRPr="00105176">
        <w:rPr>
          <w:b/>
        </w:rPr>
        <w:t>skarbowych papier</w:t>
      </w:r>
      <w:r>
        <w:rPr>
          <w:b/>
        </w:rPr>
        <w:t>ach</w:t>
      </w:r>
      <w:r w:rsidRPr="00105176">
        <w:rPr>
          <w:b/>
        </w:rPr>
        <w:t xml:space="preserve"> wartościowych przekazanych Funduszowi Reprywatyzacji</w:t>
      </w:r>
      <w:r>
        <w:rPr>
          <w:b/>
        </w:rPr>
        <w:t xml:space="preserve"> (art. 1 pkt 12 </w:t>
      </w:r>
      <w:r w:rsidR="002D0830">
        <w:rPr>
          <w:b/>
        </w:rPr>
        <w:t>–</w:t>
      </w:r>
      <w:r w:rsidR="00697CA8">
        <w:rPr>
          <w:b/>
        </w:rPr>
        <w:t xml:space="preserve"> </w:t>
      </w:r>
      <w:r>
        <w:rPr>
          <w:b/>
        </w:rPr>
        <w:t>dodani</w:t>
      </w:r>
      <w:r w:rsidR="00697CA8">
        <w:rPr>
          <w:b/>
        </w:rPr>
        <w:t>e</w:t>
      </w:r>
      <w:r>
        <w:rPr>
          <w:b/>
        </w:rPr>
        <w:t xml:space="preserve"> ust. 7 w art. 76)</w:t>
      </w:r>
    </w:p>
    <w:p w:rsidR="00835B6E" w:rsidRDefault="00835B6E" w:rsidP="002D0830">
      <w:pPr>
        <w:spacing w:before="240" w:line="360" w:lineRule="auto"/>
        <w:jc w:val="both"/>
      </w:pPr>
      <w:r w:rsidRPr="009F59C2">
        <w:t xml:space="preserve">Przekazanie przez ministra właściwego do spraw budżetu skarbowych papierów wartościowych, o których mowa w art. 76 </w:t>
      </w:r>
      <w:r>
        <w:t xml:space="preserve">ust. 1 </w:t>
      </w:r>
      <w:r w:rsidRPr="009F59C2">
        <w:t>oraz art. 19 ustawy z dnia 11 sierpnia 2021 r. o zmianie ustawy o finansach publicznych oraz niektórych innych ustaw (Dz. U. poz. 1535)</w:t>
      </w:r>
      <w:r>
        <w:t>,</w:t>
      </w:r>
      <w:r w:rsidRPr="009F59C2">
        <w:t xml:space="preserve"> Funduszowi Reprywatyzacji wiąże się z koniecznością obsługi tego procesu przez rachunek depozytowy i pokrycia ze środków Funduszu kosztów związanych z operacjami na ww. papierach. Zmiana ma na celu określenie źródła pokrycia tych kosztów. </w:t>
      </w:r>
    </w:p>
    <w:p w:rsidR="00835B6E" w:rsidRPr="009F59C2" w:rsidRDefault="00835B6E" w:rsidP="002D0830">
      <w:pPr>
        <w:spacing w:line="360" w:lineRule="auto"/>
        <w:jc w:val="both"/>
      </w:pPr>
    </w:p>
    <w:p w:rsidR="00936715" w:rsidRDefault="00E25FFD" w:rsidP="002D0830">
      <w:pPr>
        <w:keepNext/>
        <w:keepLines/>
        <w:spacing w:line="360" w:lineRule="auto"/>
        <w:jc w:val="center"/>
        <w:rPr>
          <w:b/>
        </w:rPr>
      </w:pPr>
      <w:r w:rsidRPr="00105176">
        <w:rPr>
          <w:b/>
        </w:rPr>
        <w:t xml:space="preserve">Zmiany </w:t>
      </w:r>
      <w:r w:rsidR="00376886">
        <w:rPr>
          <w:b/>
        </w:rPr>
        <w:t>dotyczące</w:t>
      </w:r>
      <w:r>
        <w:rPr>
          <w:b/>
        </w:rPr>
        <w:t xml:space="preserve"> Rządowej Agencji Rezerw Strategicznych (art. 1 pkt 13 w zakresie doda</w:t>
      </w:r>
      <w:r w:rsidR="00304A84">
        <w:rPr>
          <w:b/>
        </w:rPr>
        <w:t>wanego</w:t>
      </w:r>
      <w:r>
        <w:rPr>
          <w:b/>
        </w:rPr>
        <w:t xml:space="preserve"> art. 77a)</w:t>
      </w:r>
    </w:p>
    <w:p w:rsidR="00032616" w:rsidRDefault="00032616" w:rsidP="002D0830">
      <w:pPr>
        <w:spacing w:before="120" w:line="360" w:lineRule="auto"/>
        <w:jc w:val="both"/>
      </w:pPr>
      <w:r w:rsidRPr="00032616">
        <w:t xml:space="preserve"> </w:t>
      </w:r>
      <w:r w:rsidR="00AF4E5D">
        <w:t>Zmiana</w:t>
      </w:r>
      <w:r>
        <w:t xml:space="preserve"> przewiduje możliwość przekazania dotacji celowej Rządowej Agencji Rezerw Strategicznych oraz umożliwia realizację przez agencję zadań wspierających proces rehabilitacji w związku ze zdiagnozowaną sytuacją obywateli z niepełnosprawnością, z której wynika, iż aktualnie osoby z niepełnosprawnościami oraz ich rodziny i opiekunowie nie mają </w:t>
      </w:r>
      <w:r>
        <w:lastRenderedPageBreak/>
        <w:t>zapewnionej dostatecznej dostępności do całej gamy przedmiotów ortopedycznych, urządzeń rehabilitacyjnych i asystujących oraz wysoko zaawansowanych technologicznie sprzętów kompensacyjnych. O</w:t>
      </w:r>
      <w:r w:rsidRPr="00B702FA">
        <w:t>graniczona wysokość środków finansowych oraz brak lub bardzo niski udział samorządów we współfinansowaniu, przekłada się na bardzo niski stopień zaspokojenia rzeczywistych potrzeb</w:t>
      </w:r>
      <w:r w:rsidR="00637D83">
        <w:t xml:space="preserve"> osób niepełnosprawnych</w:t>
      </w:r>
      <w:r w:rsidRPr="00B702FA">
        <w:t>.</w:t>
      </w:r>
      <w:r w:rsidR="00637D83">
        <w:t xml:space="preserve"> </w:t>
      </w:r>
      <w:r w:rsidRPr="00B702FA">
        <w:t xml:space="preserve">Dlatego też planowane jest uruchomienie systemu </w:t>
      </w:r>
      <w:r>
        <w:t>udostępniania</w:t>
      </w:r>
      <w:r w:rsidRPr="00B702FA">
        <w:t>, w którym powinna być dostępna ca</w:t>
      </w:r>
      <w:r w:rsidR="00AF4E5D">
        <w:t>ła gama przedmiotów, urządzeń i </w:t>
      </w:r>
      <w:r w:rsidRPr="00B702FA">
        <w:t>technologii wspomagających, odpowiadających jedn</w:t>
      </w:r>
      <w:r w:rsidR="00AF4E5D">
        <w:t>ocześnie w sposób kompleksowy i </w:t>
      </w:r>
      <w:r w:rsidRPr="00B702FA">
        <w:t>zindywidualizowany na potrzeby osób z</w:t>
      </w:r>
      <w:r>
        <w:t> </w:t>
      </w:r>
      <w:r w:rsidRPr="00B702FA">
        <w:t>niepełnosprawnościami.</w:t>
      </w:r>
      <w:r w:rsidR="00AF4E5D">
        <w:t xml:space="preserve"> </w:t>
      </w:r>
      <w:r w:rsidRPr="00B702FA">
        <w:t xml:space="preserve">Racjonalność i efektywność wydatków publicznych uzasadnia potrzebę/możliwość </w:t>
      </w:r>
      <w:r>
        <w:t xml:space="preserve">udostępniania </w:t>
      </w:r>
      <w:r w:rsidRPr="00B702FA">
        <w:t>potrzebnego sprzętu/technologii z możliwością jego powrotu do wypożyczalni gdy nie jest już użyt</w:t>
      </w:r>
      <w:r>
        <w:t xml:space="preserve">kowany </w:t>
      </w:r>
      <w:r w:rsidRPr="00B702FA">
        <w:t>i przekazania go kolejnemu użytkownikowi.</w:t>
      </w:r>
    </w:p>
    <w:p w:rsidR="00E25FFD" w:rsidRDefault="00E25FFD" w:rsidP="009D688B">
      <w:pPr>
        <w:keepNext/>
        <w:keepLines/>
        <w:spacing w:before="360" w:after="240" w:line="360" w:lineRule="auto"/>
        <w:jc w:val="center"/>
        <w:rPr>
          <w:b/>
        </w:rPr>
      </w:pPr>
      <w:r w:rsidRPr="00105176">
        <w:rPr>
          <w:b/>
        </w:rPr>
        <w:t xml:space="preserve">Zmiany </w:t>
      </w:r>
      <w:r w:rsidR="00376886">
        <w:rPr>
          <w:b/>
        </w:rPr>
        <w:t xml:space="preserve">dotyczące </w:t>
      </w:r>
      <w:r w:rsidR="0046311F">
        <w:rPr>
          <w:b/>
        </w:rPr>
        <w:t xml:space="preserve">PKP Polskie Linie Kolejowe S.A. (art. 1 pkt 13 </w:t>
      </w:r>
      <w:r w:rsidR="00376886">
        <w:rPr>
          <w:b/>
        </w:rPr>
        <w:t>w zakresie doda</w:t>
      </w:r>
      <w:r w:rsidR="00304A84">
        <w:rPr>
          <w:b/>
        </w:rPr>
        <w:t>wanego</w:t>
      </w:r>
      <w:r w:rsidR="00376886">
        <w:rPr>
          <w:b/>
        </w:rPr>
        <w:t xml:space="preserve"> </w:t>
      </w:r>
      <w:r w:rsidR="0046311F">
        <w:rPr>
          <w:b/>
        </w:rPr>
        <w:t>art. 77b)</w:t>
      </w:r>
    </w:p>
    <w:p w:rsidR="0046311F" w:rsidRDefault="0046311F" w:rsidP="002D0830">
      <w:pPr>
        <w:spacing w:line="360" w:lineRule="auto"/>
        <w:jc w:val="both"/>
        <w:rPr>
          <w:rStyle w:val="markedcontent"/>
          <w:rFonts w:cstheme="minorHAnsi"/>
        </w:rPr>
      </w:pPr>
      <w:r>
        <w:rPr>
          <w:rStyle w:val="markedcontent"/>
          <w:rFonts w:cstheme="minorHAnsi"/>
        </w:rPr>
        <w:t xml:space="preserve">Proponowany przepis </w:t>
      </w:r>
      <w:r w:rsidRPr="0025189B">
        <w:rPr>
          <w:rStyle w:val="markedcontent"/>
          <w:rFonts w:cstheme="minorHAnsi"/>
        </w:rPr>
        <w:t xml:space="preserve">umożliwi objęcie przez Skarb Państwa akcji spółki PKP Polskie Linie Kolejowe S.A. (PKP PLK S.A.). Umożliwienie przekazania w 2021 r. środków z budżetu </w:t>
      </w:r>
      <w:r>
        <w:rPr>
          <w:rStyle w:val="markedcontent"/>
          <w:rFonts w:cstheme="minorHAnsi"/>
        </w:rPr>
        <w:t xml:space="preserve">państwa </w:t>
      </w:r>
      <w:r w:rsidRPr="0025189B">
        <w:rPr>
          <w:rStyle w:val="markedcontent"/>
          <w:rFonts w:cstheme="minorHAnsi"/>
        </w:rPr>
        <w:t xml:space="preserve">z przeznaczeniem na objęcie akcji PKP PLK S.A. wpłynie na poprawę struktury właścicielskiej, gdzie Skarb Państwa konsekwentnie dąży do objęcia 100% akcji narodowego zarządcy infrastruktury. Podniesienie kapitału zakładowego jeszcze w 2021 r. przyczyni się do wzmocnienia pozycji Spółki realizującej strategiczne kolejowe projekty inwestycyjne w ramach programu rządowego. Środki z dokapitalizowania </w:t>
      </w:r>
      <w:r>
        <w:rPr>
          <w:rStyle w:val="markedcontent"/>
          <w:rFonts w:cstheme="minorHAnsi"/>
        </w:rPr>
        <w:t xml:space="preserve">zostaną przeznaczone </w:t>
      </w:r>
      <w:r w:rsidRPr="0025189B">
        <w:rPr>
          <w:rStyle w:val="markedcontent"/>
          <w:rFonts w:cstheme="minorHAnsi"/>
        </w:rPr>
        <w:t>na realizację zadań ujętych w programie wieloletnim pn. Krajowy Program Kolejowy do 2023 r.</w:t>
      </w:r>
      <w:r>
        <w:rPr>
          <w:rStyle w:val="markedcontent"/>
          <w:rFonts w:cstheme="minorHAnsi"/>
        </w:rPr>
        <w:t xml:space="preserve"> Proponowana forma zasilenia spółki przyczyni się do poprawy struktury kapitałów PKP PLK S.A.</w:t>
      </w:r>
    </w:p>
    <w:p w:rsidR="00480F8A" w:rsidRDefault="00480F8A" w:rsidP="009D688B">
      <w:pPr>
        <w:keepNext/>
        <w:keepLines/>
        <w:spacing w:before="360" w:after="240" w:line="360" w:lineRule="auto"/>
        <w:jc w:val="center"/>
        <w:rPr>
          <w:b/>
        </w:rPr>
      </w:pPr>
      <w:r w:rsidRPr="00105176">
        <w:rPr>
          <w:b/>
        </w:rPr>
        <w:t xml:space="preserve">Zmiany </w:t>
      </w:r>
      <w:r>
        <w:rPr>
          <w:b/>
        </w:rPr>
        <w:t xml:space="preserve">dotyczące przekazania </w:t>
      </w:r>
      <w:r w:rsidRPr="00480F8A">
        <w:rPr>
          <w:b/>
        </w:rPr>
        <w:t>środków finansowych z gospodarowania mieniem Zasobu Własności Rolnej Skarbu Państwa na finansowanie zadań określonych w art. 77 ust. 1 pkt 4 ustawy z dnia 20 grudnia 1990 r. o ubezpieczeniu społecznym rolników</w:t>
      </w:r>
      <w:r>
        <w:t xml:space="preserve"> </w:t>
      </w:r>
      <w:r>
        <w:rPr>
          <w:b/>
        </w:rPr>
        <w:t>(art. 1 pkt 13 w zakresie doda</w:t>
      </w:r>
      <w:r w:rsidR="00304A84">
        <w:rPr>
          <w:b/>
        </w:rPr>
        <w:t>wanego</w:t>
      </w:r>
      <w:r>
        <w:rPr>
          <w:b/>
        </w:rPr>
        <w:t xml:space="preserve"> art. 77c)</w:t>
      </w:r>
    </w:p>
    <w:p w:rsidR="00480F8A" w:rsidRPr="00480F8A" w:rsidRDefault="00480F8A" w:rsidP="002D0830">
      <w:pPr>
        <w:autoSpaceDE w:val="0"/>
        <w:autoSpaceDN w:val="0"/>
        <w:adjustRightInd w:val="0"/>
        <w:spacing w:line="360" w:lineRule="auto"/>
        <w:jc w:val="both"/>
      </w:pPr>
      <w:r w:rsidRPr="00480F8A">
        <w:rPr>
          <w:rFonts w:eastAsiaTheme="minorHAnsi"/>
          <w:lang w:eastAsia="en-US"/>
        </w:rPr>
        <w:t xml:space="preserve">Zaproponowana zmiana umożliwi sfinansowanie ze środków finansowych z gospodarowania mieniem Zasobu Własności Rolnej Skarbu Państwa objęcia przez Fundusz Składkowy Ubezpieczenia Społecznego Rolników w 2021 roku udziałów w towarzystwach ubezpieczeń wzajemnych. Po wejściu w życie powyższych przepisów, zostaną dokonane odpowiednio </w:t>
      </w:r>
      <w:r w:rsidRPr="00480F8A">
        <w:rPr>
          <w:rFonts w:eastAsiaTheme="minorHAnsi"/>
          <w:lang w:eastAsia="en-US"/>
        </w:rPr>
        <w:lastRenderedPageBreak/>
        <w:t>zmiany w planie finansowym Zasobu Własności Rolnej Skarbu Państwa w trybie przepisów o finansach publicznych.</w:t>
      </w:r>
    </w:p>
    <w:p w:rsidR="0046311F" w:rsidRDefault="0046311F" w:rsidP="002D0830">
      <w:pPr>
        <w:spacing w:before="360" w:line="360" w:lineRule="auto"/>
        <w:jc w:val="center"/>
        <w:rPr>
          <w:b/>
        </w:rPr>
      </w:pPr>
      <w:r w:rsidRPr="00105176">
        <w:rPr>
          <w:b/>
        </w:rPr>
        <w:t>Zmiany w zakresie</w:t>
      </w:r>
      <w:r>
        <w:rPr>
          <w:b/>
        </w:rPr>
        <w:t xml:space="preserve"> </w:t>
      </w:r>
      <w:r w:rsidRPr="0046311F">
        <w:rPr>
          <w:b/>
        </w:rPr>
        <w:t>wsparcia finansowego jednostek samorządu terytorialnego</w:t>
      </w:r>
      <w:r>
        <w:rPr>
          <w:b/>
        </w:rPr>
        <w:t xml:space="preserve"> (art. 1 pkt 14)</w:t>
      </w:r>
    </w:p>
    <w:p w:rsidR="0046311F" w:rsidRDefault="0046311F" w:rsidP="002D0830">
      <w:pPr>
        <w:spacing w:before="120" w:after="120" w:line="360" w:lineRule="auto"/>
        <w:jc w:val="both"/>
      </w:pPr>
      <w:r w:rsidRPr="0046311F">
        <w:t>Proponowane rozwiązania realizują zapowiedzi Rząd</w:t>
      </w:r>
      <w:r>
        <w:t>u</w:t>
      </w:r>
      <w:r w:rsidRPr="0046311F">
        <w:t xml:space="preserve"> dotyczące wsparcia finansowego jednostek samorządu terytorialnego w realizacji ich zadań inwestycyjnych. Podstawowym celem projektowanych przepisów jest wsparcie gminy w finansowaniu zadań inwestycyjnych w zakresie wodociągów i zaopatrzenia w wodę oraz kanalizacji</w:t>
      </w:r>
      <w:r w:rsidR="00434E2C">
        <w:t xml:space="preserve">. </w:t>
      </w:r>
      <w:r w:rsidRPr="0046311F">
        <w:t xml:space="preserve">Dodatkowe środki przyczynią się do dokonania znacznych inwestycji </w:t>
      </w:r>
      <w:r>
        <w:t>i </w:t>
      </w:r>
      <w:r w:rsidRPr="0046311F">
        <w:t>nadrobienia opóźnień w infrastrukturze komunalnej. Tym samym</w:t>
      </w:r>
      <w:r w:rsidR="002D0830">
        <w:t xml:space="preserve"> </w:t>
      </w:r>
      <w:r w:rsidRPr="0046311F">
        <w:t>przyczy</w:t>
      </w:r>
      <w:r>
        <w:t xml:space="preserve">nią się do zmniejszenia różnic </w:t>
      </w:r>
      <w:r w:rsidRPr="0046311F">
        <w:t>w standardach życia w miastach i na obszarach wiejskich.</w:t>
      </w:r>
      <w:r>
        <w:t xml:space="preserve"> </w:t>
      </w:r>
      <w:r w:rsidRPr="0046311F">
        <w:t>Przewiduje się, że w roku 2021 gminy otrzymają z budżetu państwa środki finansowe w kwocie 1</w:t>
      </w:r>
      <w:r w:rsidR="00304A84">
        <w:t xml:space="preserve"> </w:t>
      </w:r>
      <w:r w:rsidRPr="0046311F">
        <w:t>000 mln zł,</w:t>
      </w:r>
      <w:r w:rsidR="002D0830">
        <w:t xml:space="preserve"> </w:t>
      </w:r>
      <w:r w:rsidRPr="0046311F">
        <w:t>z przeznaczeniem na wsparcie finansowe inwestycji w zakresie wodociągów i zaopatrzenia w wodę oraz 3</w:t>
      </w:r>
      <w:r w:rsidR="00304A84">
        <w:t xml:space="preserve"> </w:t>
      </w:r>
      <w:r w:rsidRPr="0046311F">
        <w:t>000 mln zł, z przeznaczeniem na wsparcie in</w:t>
      </w:r>
      <w:r w:rsidR="00434E2C">
        <w:t>westycji w zakresie kanalizacji</w:t>
      </w:r>
      <w:r w:rsidRPr="0046311F">
        <w:t>. Wymienione środki zostaną przekazane do gmin jako</w:t>
      </w:r>
      <w:r w:rsidR="002D0830">
        <w:t xml:space="preserve"> </w:t>
      </w:r>
      <w:r w:rsidRPr="0046311F">
        <w:t>uzupełnienie subwencji ogólnej.</w:t>
      </w:r>
      <w:r>
        <w:t xml:space="preserve"> </w:t>
      </w:r>
      <w:r w:rsidRPr="0046311F">
        <w:t>Dodatkowe środki otrzymają gminy, w których odsetek mieszkańców korzystających z sieci wodociągowej jest mniejszy od 90% oraz gminy, w których odsetek mieszkańców korzystających z sieci kanalizacyjnej jest mniejszy od 60%. Podział na poszczególne gminy zostanie dokonany proporcjonalnie do liczby mieszkańców niezbędnej do osiągnięcia przez dana gminę wyżej wskazanego poziomu. Przy czym liczba mieszkańców zostanie skorygowana wskaźnikiem odzwierciedlającym zamożność gminy.</w:t>
      </w:r>
      <w:r>
        <w:t xml:space="preserve"> </w:t>
      </w:r>
      <w:r w:rsidRPr="0046311F">
        <w:t>Ustalenie uprawnionych gmin oraz podział poszczególnych kwot zostanie dokonany na podstawie danych przekazanych przez Główny Urząd Statystyczny.</w:t>
      </w:r>
    </w:p>
    <w:p w:rsidR="0046311F" w:rsidRDefault="00965B39" w:rsidP="009D688B">
      <w:pPr>
        <w:keepNext/>
        <w:keepLines/>
        <w:spacing w:before="360" w:after="240" w:line="360" w:lineRule="auto"/>
        <w:jc w:val="center"/>
        <w:rPr>
          <w:b/>
        </w:rPr>
      </w:pPr>
      <w:r w:rsidRPr="00105176">
        <w:rPr>
          <w:b/>
        </w:rPr>
        <w:t>Zmiany w zakresie</w:t>
      </w:r>
      <w:r>
        <w:rPr>
          <w:b/>
        </w:rPr>
        <w:t xml:space="preserve"> przychodów Funduszu Kolejowego (art. 1 pkt 15 </w:t>
      </w:r>
      <w:r w:rsidR="002D0830">
        <w:rPr>
          <w:b/>
        </w:rPr>
        <w:t>–</w:t>
      </w:r>
      <w:r w:rsidR="00304A84">
        <w:rPr>
          <w:b/>
        </w:rPr>
        <w:t xml:space="preserve"> </w:t>
      </w:r>
      <w:r>
        <w:rPr>
          <w:b/>
        </w:rPr>
        <w:t>dodanie art. 83a</w:t>
      </w:r>
      <w:r w:rsidR="004C5257">
        <w:rPr>
          <w:b/>
        </w:rPr>
        <w:t>)</w:t>
      </w:r>
    </w:p>
    <w:p w:rsidR="004C5257" w:rsidRDefault="004C5257" w:rsidP="002D0830">
      <w:pPr>
        <w:spacing w:before="120" w:after="120" w:line="360" w:lineRule="auto"/>
        <w:jc w:val="both"/>
      </w:pPr>
      <w:r w:rsidRPr="0025189B">
        <w:rPr>
          <w:rFonts w:cstheme="minorHAnsi"/>
        </w:rPr>
        <w:t xml:space="preserve">Zmiana </w:t>
      </w:r>
      <w:r w:rsidRPr="004C5257">
        <w:rPr>
          <w:rFonts w:cstheme="minorHAnsi"/>
        </w:rPr>
        <w:t>ustawy z dnia 16 grudnia 2005 r. o Funduszu Kolejowym (Dz. U. z 2017 r. poz. 510, z późn. zm.)</w:t>
      </w:r>
      <w:r w:rsidRPr="0025189B">
        <w:rPr>
          <w:rFonts w:cstheme="minorHAnsi"/>
        </w:rPr>
        <w:t xml:space="preserve"> podyktowana jest koniecznością dokonania dodatkowego zasilenia środkami budżetu państwa tego Funduszu jeszcze w 2021 r. Środki Funduszu Kolejowego przeznacza się w głównej mierze na realizację strategicznych gospodarczo programów rządowych dotyczących infrastruktury kolejowej. Realizacja</w:t>
      </w:r>
      <w:r w:rsidRPr="00721AC9">
        <w:rPr>
          <w:rFonts w:cstheme="minorHAnsi"/>
        </w:rPr>
        <w:t xml:space="preserve"> </w:t>
      </w:r>
      <w:r>
        <w:rPr>
          <w:rFonts w:cstheme="minorHAnsi"/>
        </w:rPr>
        <w:t xml:space="preserve">na </w:t>
      </w:r>
      <w:r w:rsidRPr="0025189B">
        <w:rPr>
          <w:rFonts w:cstheme="minorHAnsi"/>
        </w:rPr>
        <w:t xml:space="preserve">szeroką skalę Krajowego Programu Kolejowego do 2023 roku, współfinansowanego ze środków UE, determinuje konieczność zapewnienia </w:t>
      </w:r>
      <w:r>
        <w:rPr>
          <w:rFonts w:cstheme="minorHAnsi"/>
        </w:rPr>
        <w:t>stanu infrastruktury kolejowej</w:t>
      </w:r>
      <w:r w:rsidRPr="0025189B">
        <w:rPr>
          <w:rFonts w:cstheme="minorHAnsi"/>
        </w:rPr>
        <w:t xml:space="preserve"> na coraz wyższym poziomie i </w:t>
      </w:r>
      <w:r>
        <w:rPr>
          <w:rFonts w:cstheme="minorHAnsi"/>
        </w:rPr>
        <w:t xml:space="preserve">w odpowiednio wysokim </w:t>
      </w:r>
      <w:r w:rsidRPr="0025189B">
        <w:rPr>
          <w:rFonts w:cstheme="minorHAnsi"/>
        </w:rPr>
        <w:t xml:space="preserve">standardzie. Dlatego też niezbędne jest zapewnienie środków finansowych na </w:t>
      </w:r>
      <w:r w:rsidRPr="0025189B">
        <w:rPr>
          <w:rFonts w:cstheme="minorHAnsi"/>
        </w:rPr>
        <w:lastRenderedPageBreak/>
        <w:t>realizację zadań zarządców infrastruktury kolejowej, w tym w szczególności zadań w zakresie utrzymania i remontów infrastruktury kolejowej.</w:t>
      </w:r>
      <w:r>
        <w:rPr>
          <w:rFonts w:cstheme="minorHAnsi"/>
        </w:rPr>
        <w:t xml:space="preserve"> </w:t>
      </w:r>
      <w:r w:rsidRPr="0025189B">
        <w:rPr>
          <w:rStyle w:val="markedcontent"/>
          <w:rFonts w:cstheme="minorHAnsi"/>
        </w:rPr>
        <w:t>Natomiast przekazanie w 2021 r. do Funduszu Kolejowego określonej puli środków pochodzących z budżetu państwa oraz zadedykowanie ich na inwestycje kapitałowe stanowi istotny element budowania potencjału spółek infrastrukturalnych, stymulacji procesów in</w:t>
      </w:r>
      <w:r>
        <w:rPr>
          <w:rStyle w:val="markedcontent"/>
          <w:rFonts w:cstheme="minorHAnsi"/>
        </w:rPr>
        <w:t>westycyjnych oraz mobilizacji</w:t>
      </w:r>
      <w:r w:rsidRPr="0025189B">
        <w:rPr>
          <w:rStyle w:val="markedcontent"/>
          <w:rFonts w:cstheme="minorHAnsi"/>
        </w:rPr>
        <w:t xml:space="preserve"> </w:t>
      </w:r>
      <w:r>
        <w:rPr>
          <w:rStyle w:val="markedcontent"/>
          <w:rFonts w:cstheme="minorHAnsi"/>
        </w:rPr>
        <w:t>firm</w:t>
      </w:r>
      <w:r w:rsidRPr="0025189B">
        <w:rPr>
          <w:rStyle w:val="markedcontent"/>
          <w:rFonts w:cstheme="minorHAnsi"/>
        </w:rPr>
        <w:t xml:space="preserve"> </w:t>
      </w:r>
      <w:r>
        <w:rPr>
          <w:rStyle w:val="markedcontent"/>
          <w:rFonts w:cstheme="minorHAnsi"/>
        </w:rPr>
        <w:t>infrastrukturalnych</w:t>
      </w:r>
      <w:r w:rsidRPr="0025189B">
        <w:rPr>
          <w:rStyle w:val="markedcontent"/>
          <w:rFonts w:cstheme="minorHAnsi"/>
        </w:rPr>
        <w:t xml:space="preserve"> do rozwoju.</w:t>
      </w:r>
      <w:r>
        <w:rPr>
          <w:rStyle w:val="markedcontent"/>
          <w:rFonts w:cstheme="minorHAnsi"/>
        </w:rPr>
        <w:t xml:space="preserve"> </w:t>
      </w:r>
      <w:r w:rsidRPr="00AE3C2E">
        <w:t xml:space="preserve">Dodatkowo w 2021 r. </w:t>
      </w:r>
      <w:r w:rsidR="00304A84">
        <w:t xml:space="preserve">w </w:t>
      </w:r>
      <w:r w:rsidRPr="00AE3C2E">
        <w:t>cel</w:t>
      </w:r>
      <w:r w:rsidR="00304A84">
        <w:t>u</w:t>
      </w:r>
      <w:r w:rsidRPr="00AE3C2E">
        <w:t xml:space="preserve"> dalszego wzmocnienia struktury właścicielskiej w PKP PLK S.A. przez działania zmierzające do objęcia przez Skarb Państwa 100% akcji narodowego zarządcy infrastruktury kolejowe</w:t>
      </w:r>
      <w:r w:rsidR="00304A84">
        <w:t>j</w:t>
      </w:r>
      <w:r w:rsidRPr="00AE3C2E">
        <w:t xml:space="preserve"> niezbędne jest zasilenie Funduszu Kolejowego dodatkowymi środkami z budżetu państwa. Wpłata w wysokości 600 mln zł zostanie przeznaczona na sfinansowanie nabycia przez Skarb Państwa, reprezentowany przez ministra właściwego do spraw transportu, akcji PKP PLK S</w:t>
      </w:r>
      <w:r w:rsidR="00872BB0">
        <w:t>.</w:t>
      </w:r>
      <w:r w:rsidRPr="00AE3C2E">
        <w:t>A</w:t>
      </w:r>
      <w:r w:rsidR="00872BB0">
        <w:t>.</w:t>
      </w:r>
      <w:r w:rsidRPr="00AE3C2E">
        <w:t xml:space="preserve"> od Polskich Kolei Państwowych Spółka Akcyjna</w:t>
      </w:r>
      <w:r w:rsidR="00872BB0">
        <w:t>.</w:t>
      </w:r>
      <w:r w:rsidR="00C15D5F">
        <w:t xml:space="preserve"> </w:t>
      </w:r>
      <w:r w:rsidRPr="00AE3C2E">
        <w:t>Takie działanie przyczyni się również do zapewnienia PKP S</w:t>
      </w:r>
      <w:r w:rsidR="00872BB0">
        <w:t>.</w:t>
      </w:r>
      <w:r w:rsidRPr="00AE3C2E">
        <w:t>A</w:t>
      </w:r>
      <w:r w:rsidR="00872BB0">
        <w:t>.</w:t>
      </w:r>
      <w:r w:rsidRPr="00AE3C2E">
        <w:t xml:space="preserve"> środków finansowych niezbędnych dla sfinansowania nakładów inwestycyjnych na zadania realizowane przez Spółkę</w:t>
      </w:r>
      <w:r>
        <w:t xml:space="preserve"> w zakresie</w:t>
      </w:r>
      <w:r w:rsidRPr="00AE3C2E">
        <w:t xml:space="preserve"> </w:t>
      </w:r>
      <w:r>
        <w:t>inwestycji d</w:t>
      </w:r>
      <w:r w:rsidRPr="00AE3C2E">
        <w:t xml:space="preserve">worcowych. Zapewnienie dodatkowych środków </w:t>
      </w:r>
      <w:r>
        <w:t xml:space="preserve">dla PKP S.A. </w:t>
      </w:r>
      <w:r w:rsidRPr="00AE3C2E">
        <w:t xml:space="preserve">jest elementem polityki </w:t>
      </w:r>
      <w:r w:rsidR="00304A84">
        <w:t>R</w:t>
      </w:r>
      <w:r w:rsidRPr="00AE3C2E">
        <w:t>ządu zmierzającej do promowania kolei jako zrównoważonego środka transportu, wpisującego się również w realizację tzw. Zielonego Ładu.</w:t>
      </w:r>
    </w:p>
    <w:p w:rsidR="0030647E" w:rsidRPr="0030647E" w:rsidRDefault="0030647E" w:rsidP="009D688B">
      <w:pPr>
        <w:keepNext/>
        <w:keepLines/>
        <w:spacing w:before="360" w:after="240" w:line="360" w:lineRule="auto"/>
        <w:jc w:val="center"/>
        <w:rPr>
          <w:b/>
        </w:rPr>
      </w:pPr>
      <w:r w:rsidRPr="0030647E">
        <w:rPr>
          <w:b/>
        </w:rPr>
        <w:t xml:space="preserve">Zmiany w zakresie </w:t>
      </w:r>
      <w:r>
        <w:rPr>
          <w:b/>
        </w:rPr>
        <w:t xml:space="preserve">realizacji </w:t>
      </w:r>
      <w:r w:rsidRPr="0030647E">
        <w:rPr>
          <w:b/>
          <w:spacing w:val="4"/>
        </w:rPr>
        <w:t>programu rozwoju instytucji opieki nad dziećmi w wieku do lat 3 „MALUCH+”</w:t>
      </w:r>
      <w:r w:rsidRPr="00513C0A">
        <w:t xml:space="preserve"> </w:t>
      </w:r>
      <w:r>
        <w:rPr>
          <w:b/>
        </w:rPr>
        <w:t xml:space="preserve">(art. 1 pkt 16 </w:t>
      </w:r>
      <w:r w:rsidR="002D0830">
        <w:rPr>
          <w:b/>
        </w:rPr>
        <w:t>–</w:t>
      </w:r>
      <w:r w:rsidR="00304A84">
        <w:rPr>
          <w:b/>
        </w:rPr>
        <w:t xml:space="preserve"> </w:t>
      </w:r>
      <w:r>
        <w:rPr>
          <w:b/>
        </w:rPr>
        <w:t>dodanie art. 84a)</w:t>
      </w:r>
    </w:p>
    <w:p w:rsidR="0030647E" w:rsidRPr="009E5FEB" w:rsidRDefault="0030647E" w:rsidP="002D0830">
      <w:pPr>
        <w:pStyle w:val="Nagwek"/>
        <w:tabs>
          <w:tab w:val="clear" w:pos="4536"/>
          <w:tab w:val="clear" w:pos="9072"/>
        </w:tabs>
        <w:spacing w:line="360" w:lineRule="auto"/>
        <w:jc w:val="both"/>
      </w:pPr>
      <w:r w:rsidRPr="009E5FEB">
        <w:t>Na terytorium</w:t>
      </w:r>
      <w:r>
        <w:t xml:space="preserve"> Polski </w:t>
      </w:r>
      <w:r w:rsidRPr="009E5FEB">
        <w:t>nadal obowiązuje stan epidemii, w miesiącach wiosennych br. wystąpiła tzw. trzecia fala epidemii COVID-19, zaś na miesiące jesienne prognozowana jest kolejna jej fala, co w konsekwencji istotnie oddziałuje na możliwość realizacji niektórych</w:t>
      </w:r>
      <w:r>
        <w:t xml:space="preserve"> zadań z </w:t>
      </w:r>
      <w:r w:rsidRPr="009E5FEB">
        <w:t xml:space="preserve">udziałem środków publicznych, istotnych z punktu widzenia kluczowych kierunków polityki </w:t>
      </w:r>
      <w:r w:rsidR="00304A84">
        <w:t>R</w:t>
      </w:r>
      <w:r w:rsidRPr="009E5FEB">
        <w:t xml:space="preserve">ządu. </w:t>
      </w:r>
    </w:p>
    <w:p w:rsidR="0030647E" w:rsidRPr="009E5FEB" w:rsidRDefault="0030647E" w:rsidP="002D0830">
      <w:pPr>
        <w:pStyle w:val="Nagwek"/>
        <w:tabs>
          <w:tab w:val="clear" w:pos="4536"/>
          <w:tab w:val="clear" w:pos="9072"/>
        </w:tabs>
        <w:spacing w:line="360" w:lineRule="auto"/>
        <w:jc w:val="both"/>
        <w:rPr>
          <w:spacing w:val="4"/>
        </w:rPr>
      </w:pPr>
      <w:r w:rsidRPr="009E5FEB">
        <w:t>Jednym z takich kierunków jest polityki rodzinna, a w jej ramach działania na rzecz rozwoju systemu opieki nad dzie</w:t>
      </w:r>
      <w:r w:rsidR="00304A84">
        <w:t>ćmi</w:t>
      </w:r>
      <w:r w:rsidR="002D0830">
        <w:t xml:space="preserve"> </w:t>
      </w:r>
      <w:r w:rsidRPr="009E5FEB">
        <w:t>w wiek</w:t>
      </w:r>
      <w:r w:rsidR="00304A84">
        <w:t>u</w:t>
      </w:r>
      <w:r w:rsidRPr="009E5FEB">
        <w:t xml:space="preserve"> do lat 3, w tym poprzez program </w:t>
      </w:r>
      <w:r w:rsidRPr="009E5FEB">
        <w:rPr>
          <w:spacing w:val="4"/>
        </w:rPr>
        <w:t>„MALUCH+”</w:t>
      </w:r>
      <w:r w:rsidRPr="009E5FEB">
        <w:t xml:space="preserve"> m.in. </w:t>
      </w:r>
      <w:r>
        <w:t>z </w:t>
      </w:r>
      <w:r w:rsidRPr="009E5FEB">
        <w:t xml:space="preserve">udziałem środków Funduszu Pracy. </w:t>
      </w:r>
    </w:p>
    <w:p w:rsidR="0030647E" w:rsidRPr="00B45469" w:rsidRDefault="0030647E" w:rsidP="002D0830">
      <w:pPr>
        <w:spacing w:line="360" w:lineRule="auto"/>
        <w:jc w:val="both"/>
      </w:pPr>
      <w:r w:rsidRPr="009E5FEB">
        <w:t xml:space="preserve">Mając na celu zoptymalizowanie wykorzystania środków Funduszu Pracy na realizację programu </w:t>
      </w:r>
      <w:r w:rsidRPr="009E5FEB">
        <w:rPr>
          <w:spacing w:val="4"/>
        </w:rPr>
        <w:t>„MALUCH+”</w:t>
      </w:r>
      <w:r w:rsidR="002D0830">
        <w:rPr>
          <w:spacing w:val="4"/>
        </w:rPr>
        <w:t xml:space="preserve"> </w:t>
      </w:r>
      <w:r w:rsidR="002D0830">
        <w:t>–</w:t>
      </w:r>
      <w:r w:rsidRPr="009E5FEB">
        <w:t xml:space="preserve"> edycja 2021, a tym samym zmaksymalizowanie działań na rzecz rozwoju systemu opieki instytucjonalnej nad małym dzieckiem, zasadne wydaje się być ujęcie w ramach </w:t>
      </w:r>
      <w:r w:rsidRPr="009E5FEB">
        <w:rPr>
          <w:spacing w:val="4"/>
        </w:rPr>
        <w:t>projektu</w:t>
      </w:r>
      <w:r w:rsidRPr="009E5FEB">
        <w:rPr>
          <w:i/>
          <w:spacing w:val="4"/>
        </w:rPr>
        <w:t xml:space="preserve"> </w:t>
      </w:r>
      <w:r w:rsidRPr="00C769A6">
        <w:rPr>
          <w:i/>
          <w:spacing w:val="4"/>
        </w:rPr>
        <w:t>ustawy</w:t>
      </w:r>
      <w:r w:rsidRPr="009E5FEB">
        <w:rPr>
          <w:i/>
          <w:spacing w:val="4"/>
        </w:rPr>
        <w:t xml:space="preserve"> o szczególnych rozwiązaniach służących realizacji ustawy budżetowej na rok 2022 </w:t>
      </w:r>
      <w:r w:rsidRPr="009E5FEB">
        <w:rPr>
          <w:spacing w:val="4"/>
        </w:rPr>
        <w:t xml:space="preserve">przepisów pozwalających na wydłużenie, dla wydatków ponoszonych ze środków Funduszu Pracy w roku 2021 na realizację programu rozwoju </w:t>
      </w:r>
      <w:r w:rsidRPr="009E5FEB">
        <w:rPr>
          <w:spacing w:val="4"/>
        </w:rPr>
        <w:lastRenderedPageBreak/>
        <w:t>instytucji opieki nad dziećmi w wieku do lat 3 „MALUCH+”, terminu ich wykorzystania do dnia 30 listopada 2022 r.</w:t>
      </w:r>
    </w:p>
    <w:p w:rsidR="004C5257" w:rsidRDefault="004C5257" w:rsidP="009D688B">
      <w:pPr>
        <w:keepNext/>
        <w:keepLines/>
        <w:spacing w:before="360" w:after="240" w:line="360" w:lineRule="auto"/>
        <w:jc w:val="center"/>
      </w:pPr>
      <w:r w:rsidRPr="00105176">
        <w:rPr>
          <w:b/>
        </w:rPr>
        <w:t xml:space="preserve">Zmiany </w:t>
      </w:r>
      <w:r w:rsidR="00376886">
        <w:rPr>
          <w:b/>
        </w:rPr>
        <w:t>dotyczące</w:t>
      </w:r>
      <w:r>
        <w:rPr>
          <w:b/>
        </w:rPr>
        <w:t xml:space="preserve"> </w:t>
      </w:r>
      <w:r w:rsidR="00AE748F">
        <w:rPr>
          <w:b/>
        </w:rPr>
        <w:t>Polskiej Agencji Inwestycji i Handlu Spółka Akcyjna</w:t>
      </w:r>
      <w:r>
        <w:rPr>
          <w:b/>
        </w:rPr>
        <w:t xml:space="preserve"> (art. 1 pkt 1</w:t>
      </w:r>
      <w:r w:rsidR="0030647E">
        <w:rPr>
          <w:b/>
        </w:rPr>
        <w:t>7</w:t>
      </w:r>
      <w:r>
        <w:rPr>
          <w:b/>
        </w:rPr>
        <w:t xml:space="preserve"> </w:t>
      </w:r>
      <w:r w:rsidR="002D0830">
        <w:rPr>
          <w:b/>
        </w:rPr>
        <w:t>–</w:t>
      </w:r>
      <w:r>
        <w:rPr>
          <w:b/>
        </w:rPr>
        <w:t>dodanie art. 8</w:t>
      </w:r>
      <w:r w:rsidR="00AE748F">
        <w:rPr>
          <w:b/>
        </w:rPr>
        <w:t>8</w:t>
      </w:r>
      <w:r>
        <w:rPr>
          <w:b/>
        </w:rPr>
        <w:t>a)</w:t>
      </w:r>
    </w:p>
    <w:p w:rsidR="00AE748F" w:rsidRDefault="00AE748F" w:rsidP="002D0830">
      <w:pPr>
        <w:spacing w:line="360" w:lineRule="auto"/>
        <w:jc w:val="both"/>
      </w:pPr>
      <w:r>
        <w:t xml:space="preserve">Proponowana zmiana w ustawie z dnia 7 lipca 2017 r. o wykonywaniu zadań z zakresu promocji polskiej gospodarki przez Polską Agencję Inwestycji i Handlu Spółka Akcyjna (Dz. U. z 2021 r. poz. 633), upoważnia ministra właściwego do spraw gospodarki do przeznaczenia środków w wysokości 300 mln zł na zakup i objęcie akcji w podwyższonym kapitale zakładowym Polskiej Agencji Inwestycji i Handlu Spółka Akcyjna, w związku z realizacją zadań wynikających z ustawy. Konsekwencją jest zwiększenie maksymalnego limitu wydatków, określonego w art. 12 ust. 1 pkt 5 </w:t>
      </w:r>
      <w:r w:rsidR="00872BB0">
        <w:t xml:space="preserve">ww. </w:t>
      </w:r>
      <w:r>
        <w:t>ustawy</w:t>
      </w:r>
      <w:r w:rsidR="00872BB0">
        <w:t>.</w:t>
      </w:r>
    </w:p>
    <w:p w:rsidR="004C5257" w:rsidRDefault="00E63A23" w:rsidP="009D688B">
      <w:pPr>
        <w:keepNext/>
        <w:keepLines/>
        <w:spacing w:before="360" w:after="240" w:line="360" w:lineRule="auto"/>
        <w:jc w:val="center"/>
      </w:pPr>
      <w:r w:rsidRPr="00105176">
        <w:rPr>
          <w:b/>
        </w:rPr>
        <w:t xml:space="preserve">Zmiany w </w:t>
      </w:r>
      <w:r>
        <w:rPr>
          <w:b/>
        </w:rPr>
        <w:t>Rządowym Funduszu Rozwoju Dróg (art. 1 pkt 1</w:t>
      </w:r>
      <w:r w:rsidR="0030647E">
        <w:rPr>
          <w:b/>
        </w:rPr>
        <w:t>8</w:t>
      </w:r>
      <w:r>
        <w:rPr>
          <w:b/>
        </w:rPr>
        <w:t xml:space="preserve"> </w:t>
      </w:r>
      <w:r w:rsidR="00304A84">
        <w:rPr>
          <w:b/>
        </w:rPr>
        <w:t xml:space="preserve">w zakresie </w:t>
      </w:r>
      <w:r>
        <w:rPr>
          <w:b/>
        </w:rPr>
        <w:t>doda</w:t>
      </w:r>
      <w:r w:rsidR="00304A84">
        <w:rPr>
          <w:b/>
        </w:rPr>
        <w:t>wanego</w:t>
      </w:r>
      <w:r>
        <w:rPr>
          <w:b/>
        </w:rPr>
        <w:t xml:space="preserve"> art. 90a)</w:t>
      </w:r>
    </w:p>
    <w:p w:rsidR="004C5257" w:rsidRDefault="00E63A23" w:rsidP="002D0830">
      <w:pPr>
        <w:spacing w:before="120" w:line="360" w:lineRule="auto"/>
        <w:jc w:val="both"/>
      </w:pPr>
      <w:r>
        <w:t>Rządowy Fundusz Rozwoju Dróg (RFRD) jest istotnym mechanizmem wsparcia jednostek samorządu terytorialnego w zakresie rozwoju samorządowej infrastruktury drogowej. Wysokość dofinansowania ze środków RFRD jest uzależniona od określonych kryteriów dochodu, branych pod uwagę przy dofinansowaniu poszczególnych kategorii zadań. Maksymalne dofinansowanie może wynieść aż do 80% kosztów realizacji zadania. RFRD charakteryzuje się znacznym zainteresowaniem samorządów, które na masową skalę składają wnioski o dofinansowanie realizacji zadań. Celem pobudzenia i dalszego utrzymania dynamicznego rozwoju gospodarczego kraju i poprawy stanu sieci drogowej, także tej lokalnej, zasadne jest zwiększenie w 2021 r. strumienia środków z budżetu państwa do Funduszu w łącznej wysokości: 3,1 mld zł., z czego 2,0 mld zł jest zasileniem dodatkowymi środkami przeznaczonymi na realizację zadań inwestycyjnych</w:t>
      </w:r>
      <w:r w:rsidR="00872BB0">
        <w:t>,</w:t>
      </w:r>
      <w:r>
        <w:t xml:space="preserve"> a 1,1 mld zł jest przyspieszonym zasileniem Funduszu, wcześniej planowanym na rok 2022. Wskazane środki finansowe zostaną przekazane na realizację rozszerzonego katalogu zadań na drogach samorządowych możliwych do objęcia dofinansowaniem z RFRD.</w:t>
      </w:r>
    </w:p>
    <w:p w:rsidR="00C8088E" w:rsidRDefault="00C8088E" w:rsidP="002D0830">
      <w:pPr>
        <w:spacing w:before="120" w:line="360" w:lineRule="auto"/>
        <w:jc w:val="both"/>
      </w:pPr>
    </w:p>
    <w:p w:rsidR="00C8088E" w:rsidRPr="0026307C" w:rsidRDefault="00C8088E" w:rsidP="002D0830">
      <w:pPr>
        <w:autoSpaceDE w:val="0"/>
        <w:autoSpaceDN w:val="0"/>
        <w:adjustRightInd w:val="0"/>
        <w:spacing w:before="120" w:after="120" w:line="360" w:lineRule="auto"/>
        <w:jc w:val="both"/>
      </w:pPr>
      <w:r w:rsidRPr="0026307C">
        <w:t xml:space="preserve">Ustawa wejdzie w życie z dniem </w:t>
      </w:r>
      <w:r w:rsidR="00D910FD" w:rsidRPr="0026307C">
        <w:t xml:space="preserve">następującym po dniu ogłoszenia. </w:t>
      </w:r>
      <w:r w:rsidR="0026307C" w:rsidRPr="0026307C">
        <w:t xml:space="preserve">Zgodnie z art. 4 ust. 2 ustawy z dnia 20 lipca 2000 r. o ogłaszaniu </w:t>
      </w:r>
      <w:r w:rsidR="0026307C" w:rsidRPr="00FF37A5">
        <w:t xml:space="preserve">aktów normatywnych i niektórych innych aktów </w:t>
      </w:r>
      <w:r w:rsidR="0026307C" w:rsidRPr="00FF37A5">
        <w:lastRenderedPageBreak/>
        <w:t>prawnych (Dz. U. z 2019 r. poz. 14</w:t>
      </w:r>
      <w:r w:rsidR="00304A84">
        <w:t>6</w:t>
      </w:r>
      <w:r w:rsidR="0026307C" w:rsidRPr="00FF37A5">
        <w:t xml:space="preserve">1) </w:t>
      </w:r>
      <w:r w:rsidR="0026307C">
        <w:rPr>
          <w:color w:val="000000"/>
        </w:rPr>
        <w:t>w</w:t>
      </w:r>
      <w:r w:rsidR="0026307C" w:rsidRPr="00FF37A5">
        <w:rPr>
          <w:color w:val="000000"/>
        </w:rPr>
        <w:t xml:space="preserve"> uzasadnionych przypadkach akty normatywne mogą wchodzić w życie w terminie krótszym niż czternaście dni, a jeżeli ważny interes państwa wymaga natychmiastowego wejścia w życie aktu normatywnego i zasady demokratycznego państwa prawnego nie stoją temu na przeszkodzie, dniem wejścia w życie może być dzień ogłoszenia tego aktu w dzienniku urzędowym.</w:t>
      </w:r>
      <w:r w:rsidR="0026307C">
        <w:rPr>
          <w:color w:val="000000"/>
        </w:rPr>
        <w:t xml:space="preserve"> Charakter przepisów zawartych w omawianym projekcie uzasadnia zastosowanie wyżej wymienionego przepisu ponieważ dotyczą one niezbędnych zmian zapewniających realizację ustawy budżetowej na rok 2021.</w:t>
      </w:r>
    </w:p>
    <w:p w:rsidR="00C8088E" w:rsidRPr="00C46222" w:rsidRDefault="00C8088E" w:rsidP="002D0830">
      <w:pPr>
        <w:autoSpaceDE w:val="0"/>
        <w:autoSpaceDN w:val="0"/>
        <w:adjustRightInd w:val="0"/>
        <w:spacing w:before="120" w:after="120" w:line="360" w:lineRule="auto"/>
        <w:jc w:val="both"/>
      </w:pPr>
      <w:r w:rsidRPr="00C46222">
        <w:t>Projekt ustawy nie podlega notyfikacji zgodnie z przepisami dotyczącymi funkcjonowania krajowego systemu notyfikacji norm i aktów prawnych, stosownie do § 27 ust. 3 pkt 4 lit. b uchwały nr 190 Rady Ministrów z dnia 29 października 2013 r. – Regulamin pracy Rady Ministrów (M.P. z 2016 r. poz. 1006, z późn. zm.).</w:t>
      </w:r>
    </w:p>
    <w:p w:rsidR="00C8088E" w:rsidRDefault="00C8088E" w:rsidP="002D0830">
      <w:pPr>
        <w:pStyle w:val="NIEARTTEKSTtekstnieartykuowanynppodstprawnarozplubpreambua"/>
        <w:ind w:firstLine="0"/>
        <w:rPr>
          <w:rFonts w:ascii="Times New Roman" w:eastAsia="Times New Roman" w:hAnsi="Times New Roman" w:cs="Times New Roman"/>
        </w:rPr>
      </w:pPr>
      <w:r w:rsidRPr="00C46222">
        <w:rPr>
          <w:rFonts w:ascii="Times New Roman" w:eastAsia="Times New Roman" w:hAnsi="Times New Roman" w:cs="Times New Roman"/>
        </w:rPr>
        <w:t>Projekt ustawy nie dotyczy majątkowych praw i obowiązków przedsiębiorców lub praw i obowiązków przedsiębiorców wobec organów</w:t>
      </w:r>
      <w:r w:rsidRPr="00B743A2">
        <w:rPr>
          <w:rFonts w:ascii="Times New Roman" w:eastAsia="Times New Roman" w:hAnsi="Times New Roman" w:cs="Times New Roman"/>
        </w:rPr>
        <w:t xml:space="preserve"> administracji publicznej i nie wpływa na działalność mikro przedsiębiorców oraz małych i średnich przedsiębiorców.</w:t>
      </w:r>
    </w:p>
    <w:p w:rsidR="00C8088E" w:rsidRPr="0046311F" w:rsidRDefault="00C8088E" w:rsidP="002D0830">
      <w:pPr>
        <w:pStyle w:val="NIEARTTEKSTtekstnieartykuowanynppodstprawnarozplubpreambua"/>
        <w:ind w:firstLine="0"/>
      </w:pPr>
      <w:r w:rsidRPr="00B743A2">
        <w:rPr>
          <w:rFonts w:ascii="Times New Roman" w:eastAsia="Times New Roman" w:hAnsi="Times New Roman" w:cs="Times New Roman"/>
        </w:rPr>
        <w:t xml:space="preserve">Zgodnie z art. 5 ustawy z dnia 7 lipca 2005 r. o działalności lobbingowej w procesie stanowienia prawa (Dz. U. z 2017 r. poz. 248) projekt </w:t>
      </w:r>
      <w:r>
        <w:rPr>
          <w:rFonts w:ascii="Times New Roman" w:eastAsia="Times New Roman" w:hAnsi="Times New Roman" w:cs="Times New Roman"/>
        </w:rPr>
        <w:t>zostanie</w:t>
      </w:r>
      <w:r w:rsidRPr="00B743A2">
        <w:rPr>
          <w:rFonts w:ascii="Times New Roman" w:eastAsia="Times New Roman" w:hAnsi="Times New Roman" w:cs="Times New Roman"/>
        </w:rPr>
        <w:t xml:space="preserve"> udostępniony w Biuletynie Informacji Publicznej na stronie podmiotowej Rządowego Centrum Legislacji, w serwisie Rządowy Proces Legislacyjny.</w:t>
      </w:r>
      <w:r>
        <w:rPr>
          <w:rFonts w:ascii="Times New Roman" w:eastAsia="Times New Roman" w:hAnsi="Times New Roman" w:cs="Times New Roman"/>
        </w:rPr>
        <w:t xml:space="preserve"> </w:t>
      </w:r>
    </w:p>
    <w:sectPr w:rsidR="00C8088E" w:rsidRPr="0046311F" w:rsidSect="002D0830">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4E48" w:rsidRDefault="007B4E48" w:rsidP="00376886">
      <w:r>
        <w:separator/>
      </w:r>
    </w:p>
  </w:endnote>
  <w:endnote w:type="continuationSeparator" w:id="0">
    <w:p w:rsidR="007B4E48" w:rsidRDefault="007B4E48" w:rsidP="003768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3872351"/>
      <w:docPartObj>
        <w:docPartGallery w:val="Page Numbers (Bottom of Page)"/>
        <w:docPartUnique/>
      </w:docPartObj>
    </w:sdtPr>
    <w:sdtEndPr/>
    <w:sdtContent>
      <w:p w:rsidR="00376886" w:rsidRDefault="00376886" w:rsidP="002D0830">
        <w:pPr>
          <w:pStyle w:val="Stopka"/>
          <w:jc w:val="center"/>
        </w:pPr>
        <w:r>
          <w:fldChar w:fldCharType="begin"/>
        </w:r>
        <w:r>
          <w:instrText>PAGE   \* MERGEFORMAT</w:instrText>
        </w:r>
        <w:r>
          <w:fldChar w:fldCharType="separate"/>
        </w:r>
        <w:r w:rsidR="00030486">
          <w:rPr>
            <w:noProof/>
          </w:rPr>
          <w:t>11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4E48" w:rsidRDefault="007B4E48" w:rsidP="00376886">
      <w:r>
        <w:separator/>
      </w:r>
    </w:p>
  </w:footnote>
  <w:footnote w:type="continuationSeparator" w:id="0">
    <w:p w:rsidR="007B4E48" w:rsidRDefault="007B4E48" w:rsidP="003768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44C0C"/>
    <w:multiLevelType w:val="hybridMultilevel"/>
    <w:tmpl w:val="049E94F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6C083EA6"/>
    <w:multiLevelType w:val="hybridMultilevel"/>
    <w:tmpl w:val="30F6966E"/>
    <w:lvl w:ilvl="0" w:tplc="7E88CDD0">
      <w:start w:val="1"/>
      <w:numFmt w:val="decimal"/>
      <w:lvlText w:val="%1)"/>
      <w:lvlJc w:val="left"/>
      <w:pPr>
        <w:ind w:left="720" w:hanging="360"/>
      </w:pPr>
      <w:rPr>
        <w:rFonts w:ascii="Times New Roman" w:eastAsia="Times New Roman" w:hAnsi="Times New Roman" w:cs="Times New Roman" w:hint="default"/>
        <w:spacing w:val="-17"/>
        <w:w w:val="10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78F52533"/>
    <w:multiLevelType w:val="hybridMultilevel"/>
    <w:tmpl w:val="799A79F8"/>
    <w:lvl w:ilvl="0" w:tplc="5E94D4AE">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2E88"/>
    <w:rsid w:val="0000390E"/>
    <w:rsid w:val="00030486"/>
    <w:rsid w:val="0003201F"/>
    <w:rsid w:val="00032616"/>
    <w:rsid w:val="000901CC"/>
    <w:rsid w:val="001B2E88"/>
    <w:rsid w:val="0023182C"/>
    <w:rsid w:val="00235DD5"/>
    <w:rsid w:val="002565B8"/>
    <w:rsid w:val="0026307C"/>
    <w:rsid w:val="002D0830"/>
    <w:rsid w:val="002E142F"/>
    <w:rsid w:val="00302051"/>
    <w:rsid w:val="00304A84"/>
    <w:rsid w:val="0030647E"/>
    <w:rsid w:val="0035722C"/>
    <w:rsid w:val="00376886"/>
    <w:rsid w:val="003C3720"/>
    <w:rsid w:val="004001BC"/>
    <w:rsid w:val="00434E2C"/>
    <w:rsid w:val="00461144"/>
    <w:rsid w:val="0046311F"/>
    <w:rsid w:val="00480F8A"/>
    <w:rsid w:val="004854B0"/>
    <w:rsid w:val="004B1F50"/>
    <w:rsid w:val="004C5257"/>
    <w:rsid w:val="00532EBC"/>
    <w:rsid w:val="005715CC"/>
    <w:rsid w:val="005B18E2"/>
    <w:rsid w:val="00637D83"/>
    <w:rsid w:val="00697CA8"/>
    <w:rsid w:val="00704D3A"/>
    <w:rsid w:val="007A7383"/>
    <w:rsid w:val="007B19B4"/>
    <w:rsid w:val="007B4E48"/>
    <w:rsid w:val="007E6135"/>
    <w:rsid w:val="008023C5"/>
    <w:rsid w:val="00835B6E"/>
    <w:rsid w:val="00844482"/>
    <w:rsid w:val="00872BB0"/>
    <w:rsid w:val="008F1019"/>
    <w:rsid w:val="00936715"/>
    <w:rsid w:val="0095074D"/>
    <w:rsid w:val="00965B39"/>
    <w:rsid w:val="00991631"/>
    <w:rsid w:val="009D688B"/>
    <w:rsid w:val="009E6050"/>
    <w:rsid w:val="00A27D39"/>
    <w:rsid w:val="00A4318A"/>
    <w:rsid w:val="00AE748F"/>
    <w:rsid w:val="00AE7FBE"/>
    <w:rsid w:val="00AF4E5D"/>
    <w:rsid w:val="00B050B7"/>
    <w:rsid w:val="00B610EF"/>
    <w:rsid w:val="00BF6CEB"/>
    <w:rsid w:val="00C15D5F"/>
    <w:rsid w:val="00C75E39"/>
    <w:rsid w:val="00C769A6"/>
    <w:rsid w:val="00C8088E"/>
    <w:rsid w:val="00CB3112"/>
    <w:rsid w:val="00CD754A"/>
    <w:rsid w:val="00D341D1"/>
    <w:rsid w:val="00D910FD"/>
    <w:rsid w:val="00E25FFD"/>
    <w:rsid w:val="00E35F44"/>
    <w:rsid w:val="00E36605"/>
    <w:rsid w:val="00E5780B"/>
    <w:rsid w:val="00E63A23"/>
    <w:rsid w:val="00EB3D46"/>
    <w:rsid w:val="00F00D30"/>
    <w:rsid w:val="00F408EB"/>
    <w:rsid w:val="00F7589E"/>
    <w:rsid w:val="00FF37A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E6AA35D-151B-4B7B-AD5A-4643A4654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480F8A"/>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1B2E88"/>
    <w:pPr>
      <w:spacing w:after="120"/>
      <w:jc w:val="both"/>
    </w:pPr>
  </w:style>
  <w:style w:type="character" w:customStyle="1" w:styleId="TekstpodstawowyZnak">
    <w:name w:val="Tekst podstawowy Znak"/>
    <w:basedOn w:val="Domylnaczcionkaakapitu"/>
    <w:link w:val="Tekstpodstawowy"/>
    <w:rsid w:val="001B2E88"/>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E5780B"/>
    <w:pPr>
      <w:spacing w:after="160" w:line="256" w:lineRule="auto"/>
      <w:ind w:left="720"/>
      <w:contextualSpacing/>
    </w:pPr>
    <w:rPr>
      <w:rFonts w:asciiTheme="minorHAnsi" w:eastAsiaTheme="minorHAnsi" w:hAnsiTheme="minorHAnsi" w:cstheme="minorBidi"/>
      <w:sz w:val="22"/>
      <w:szCs w:val="22"/>
      <w:lang w:eastAsia="en-US"/>
    </w:rPr>
  </w:style>
  <w:style w:type="character" w:customStyle="1" w:styleId="markedcontent">
    <w:name w:val="markedcontent"/>
    <w:basedOn w:val="Domylnaczcionkaakapitu"/>
    <w:rsid w:val="0046311F"/>
  </w:style>
  <w:style w:type="paragraph" w:customStyle="1" w:styleId="NIEARTTEKSTtekstnieartykuowanynppodstprawnarozplubpreambua">
    <w:name w:val="NIEART_TEKST – tekst nieartykułowany (np. podst. prawna rozp. lub preambuła)"/>
    <w:basedOn w:val="Normalny"/>
    <w:uiPriority w:val="7"/>
    <w:qFormat/>
    <w:rsid w:val="00C8088E"/>
    <w:pPr>
      <w:autoSpaceDE w:val="0"/>
      <w:autoSpaceDN w:val="0"/>
      <w:spacing w:before="120" w:line="360" w:lineRule="auto"/>
      <w:ind w:firstLine="510"/>
      <w:jc w:val="both"/>
    </w:pPr>
    <w:rPr>
      <w:rFonts w:ascii="Times" w:eastAsiaTheme="minorHAnsi" w:hAnsi="Times" w:cs="Times"/>
    </w:rPr>
  </w:style>
  <w:style w:type="paragraph" w:styleId="Nagwek">
    <w:name w:val="header"/>
    <w:basedOn w:val="Normalny"/>
    <w:link w:val="NagwekZnak"/>
    <w:unhideWhenUsed/>
    <w:rsid w:val="00376886"/>
    <w:pPr>
      <w:tabs>
        <w:tab w:val="center" w:pos="4536"/>
        <w:tab w:val="right" w:pos="9072"/>
      </w:tabs>
    </w:pPr>
  </w:style>
  <w:style w:type="character" w:customStyle="1" w:styleId="NagwekZnak">
    <w:name w:val="Nagłówek Znak"/>
    <w:basedOn w:val="Domylnaczcionkaakapitu"/>
    <w:link w:val="Nagwek"/>
    <w:rsid w:val="00376886"/>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376886"/>
    <w:pPr>
      <w:tabs>
        <w:tab w:val="center" w:pos="4536"/>
        <w:tab w:val="right" w:pos="9072"/>
      </w:tabs>
    </w:pPr>
  </w:style>
  <w:style w:type="character" w:customStyle="1" w:styleId="StopkaZnak">
    <w:name w:val="Stopka Znak"/>
    <w:basedOn w:val="Domylnaczcionkaakapitu"/>
    <w:link w:val="Stopka"/>
    <w:uiPriority w:val="99"/>
    <w:rsid w:val="00376886"/>
    <w:rPr>
      <w:rFonts w:ascii="Times New Roman" w:eastAsia="Times New Roman" w:hAnsi="Times New Roman" w:cs="Times New Roman"/>
      <w:sz w:val="24"/>
      <w:szCs w:val="24"/>
      <w:lang w:eastAsia="pl-PL"/>
    </w:rPr>
  </w:style>
  <w:style w:type="character" w:styleId="Odwoaniedokomentarza">
    <w:name w:val="annotation reference"/>
    <w:basedOn w:val="Domylnaczcionkaakapitu"/>
    <w:uiPriority w:val="99"/>
    <w:semiHidden/>
    <w:unhideWhenUsed/>
    <w:rsid w:val="00BF6CEB"/>
    <w:rPr>
      <w:sz w:val="16"/>
      <w:szCs w:val="16"/>
    </w:rPr>
  </w:style>
  <w:style w:type="paragraph" w:styleId="Tekstkomentarza">
    <w:name w:val="annotation text"/>
    <w:basedOn w:val="Normalny"/>
    <w:link w:val="TekstkomentarzaZnak"/>
    <w:uiPriority w:val="99"/>
    <w:semiHidden/>
    <w:unhideWhenUsed/>
    <w:rsid w:val="00BF6CEB"/>
    <w:rPr>
      <w:sz w:val="20"/>
      <w:szCs w:val="20"/>
    </w:rPr>
  </w:style>
  <w:style w:type="character" w:customStyle="1" w:styleId="TekstkomentarzaZnak">
    <w:name w:val="Tekst komentarza Znak"/>
    <w:basedOn w:val="Domylnaczcionkaakapitu"/>
    <w:link w:val="Tekstkomentarza"/>
    <w:uiPriority w:val="99"/>
    <w:semiHidden/>
    <w:rsid w:val="00BF6CEB"/>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BF6CEB"/>
    <w:rPr>
      <w:b/>
      <w:bCs/>
    </w:rPr>
  </w:style>
  <w:style w:type="character" w:customStyle="1" w:styleId="TematkomentarzaZnak">
    <w:name w:val="Temat komentarza Znak"/>
    <w:basedOn w:val="TekstkomentarzaZnak"/>
    <w:link w:val="Tematkomentarza"/>
    <w:uiPriority w:val="99"/>
    <w:semiHidden/>
    <w:rsid w:val="00BF6CEB"/>
    <w:rPr>
      <w:rFonts w:ascii="Times New Roman" w:eastAsia="Times New Roman" w:hAnsi="Times New Roman" w:cs="Times New Roman"/>
      <w:b/>
      <w:bCs/>
      <w:sz w:val="20"/>
      <w:szCs w:val="20"/>
      <w:lang w:eastAsia="pl-PL"/>
    </w:rPr>
  </w:style>
  <w:style w:type="paragraph" w:styleId="Tekstdymka">
    <w:name w:val="Balloon Text"/>
    <w:basedOn w:val="Normalny"/>
    <w:link w:val="TekstdymkaZnak"/>
    <w:uiPriority w:val="99"/>
    <w:semiHidden/>
    <w:unhideWhenUsed/>
    <w:rsid w:val="00BF6CEB"/>
    <w:rPr>
      <w:rFonts w:ascii="Segoe UI" w:hAnsi="Segoe UI" w:cs="Segoe UI"/>
      <w:sz w:val="18"/>
      <w:szCs w:val="18"/>
    </w:rPr>
  </w:style>
  <w:style w:type="character" w:customStyle="1" w:styleId="TekstdymkaZnak">
    <w:name w:val="Tekst dymka Znak"/>
    <w:basedOn w:val="Domylnaczcionkaakapitu"/>
    <w:link w:val="Tekstdymka"/>
    <w:uiPriority w:val="99"/>
    <w:semiHidden/>
    <w:rsid w:val="00BF6CEB"/>
    <w:rPr>
      <w:rFonts w:ascii="Segoe UI" w:eastAsia="Times New Roman" w:hAnsi="Segoe UI" w:cs="Segoe UI"/>
      <w:sz w:val="18"/>
      <w:szCs w:val="18"/>
      <w:lang w:eastAsia="pl-PL"/>
    </w:rPr>
  </w:style>
  <w:style w:type="paragraph" w:customStyle="1" w:styleId="ZARTzmartartykuempunktem">
    <w:name w:val="Z/ART(§) – zm. art. (§) artykułem (punktem)"/>
    <w:basedOn w:val="Normalny"/>
    <w:uiPriority w:val="30"/>
    <w:qFormat/>
    <w:rsid w:val="00D341D1"/>
    <w:pPr>
      <w:suppressAutoHyphens/>
      <w:autoSpaceDE w:val="0"/>
      <w:autoSpaceDN w:val="0"/>
      <w:adjustRightInd w:val="0"/>
      <w:spacing w:line="360" w:lineRule="auto"/>
      <w:ind w:left="510" w:firstLine="510"/>
      <w:jc w:val="both"/>
    </w:pPr>
    <w:rPr>
      <w:rFonts w:ascii="Times" w:eastAsiaTheme="minorEastAsia" w:hAnsi="Times" w:cs="Arial"/>
      <w:szCs w:val="20"/>
    </w:rPr>
  </w:style>
  <w:style w:type="paragraph" w:customStyle="1" w:styleId="ZUSTzmustartykuempunktem">
    <w:name w:val="Z/UST(§) – zm. ust. (§) artykułem (punktem)"/>
    <w:basedOn w:val="ZARTzmartartykuempunktem"/>
    <w:uiPriority w:val="30"/>
    <w:qFormat/>
    <w:rsid w:val="00D341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806611">
      <w:bodyDiv w:val="1"/>
      <w:marLeft w:val="0"/>
      <w:marRight w:val="0"/>
      <w:marTop w:val="0"/>
      <w:marBottom w:val="0"/>
      <w:divBdr>
        <w:top w:val="none" w:sz="0" w:space="0" w:color="auto"/>
        <w:left w:val="none" w:sz="0" w:space="0" w:color="auto"/>
        <w:bottom w:val="none" w:sz="0" w:space="0" w:color="auto"/>
        <w:right w:val="none" w:sz="0" w:space="0" w:color="auto"/>
      </w:divBdr>
    </w:div>
    <w:div w:id="624971115">
      <w:bodyDiv w:val="1"/>
      <w:marLeft w:val="0"/>
      <w:marRight w:val="0"/>
      <w:marTop w:val="0"/>
      <w:marBottom w:val="0"/>
      <w:divBdr>
        <w:top w:val="none" w:sz="0" w:space="0" w:color="auto"/>
        <w:left w:val="none" w:sz="0" w:space="0" w:color="auto"/>
        <w:bottom w:val="none" w:sz="0" w:space="0" w:color="auto"/>
        <w:right w:val="none" w:sz="0" w:space="0" w:color="auto"/>
      </w:divBdr>
    </w:div>
    <w:div w:id="727843346">
      <w:bodyDiv w:val="1"/>
      <w:marLeft w:val="0"/>
      <w:marRight w:val="0"/>
      <w:marTop w:val="0"/>
      <w:marBottom w:val="0"/>
      <w:divBdr>
        <w:top w:val="none" w:sz="0" w:space="0" w:color="auto"/>
        <w:left w:val="none" w:sz="0" w:space="0" w:color="auto"/>
        <w:bottom w:val="none" w:sz="0" w:space="0" w:color="auto"/>
        <w:right w:val="none" w:sz="0" w:space="0" w:color="auto"/>
      </w:divBdr>
    </w:div>
    <w:div w:id="1556505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8B7B51-065B-49E3-A2ED-D1F7102BC7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3791</Words>
  <Characters>22747</Characters>
  <Application>Microsoft Office Word</Application>
  <DocSecurity>0</DocSecurity>
  <Lines>189</Lines>
  <Paragraphs>52</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26486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Palińska Wanda</dc:creator>
  <cp:lastModifiedBy>Grażyna D. Grabowska</cp:lastModifiedBy>
  <cp:revision>2</cp:revision>
  <dcterms:created xsi:type="dcterms:W3CDTF">2021-09-22T17:13:00Z</dcterms:created>
  <dcterms:modified xsi:type="dcterms:W3CDTF">2021-09-22T17:13:00Z</dcterms:modified>
</cp:coreProperties>
</file>