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520E5E" w14:textId="305953C2" w:rsidR="0096542B" w:rsidRPr="005C3CCB" w:rsidRDefault="005C3CCB" w:rsidP="0019323B">
      <w:pPr>
        <w:spacing w:after="0" w:line="360" w:lineRule="auto"/>
        <w:jc w:val="center"/>
        <w:rPr>
          <w:rFonts w:ascii="Tahoma" w:hAnsi="Tahoma" w:cs="Tahoma"/>
          <w:b/>
          <w:bCs/>
          <w:sz w:val="24"/>
          <w:szCs w:val="24"/>
        </w:rPr>
      </w:pPr>
      <w:r w:rsidRPr="005C3CCB">
        <w:rPr>
          <w:rFonts w:ascii="Tahoma" w:hAnsi="Tahoma" w:cs="Tahoma"/>
          <w:b/>
          <w:bCs/>
          <w:sz w:val="24"/>
          <w:szCs w:val="24"/>
        </w:rPr>
        <w:t>Uzasadnienie</w:t>
      </w:r>
    </w:p>
    <w:p w14:paraId="7F478EB7" w14:textId="773B012E" w:rsidR="0096542B" w:rsidRPr="005C3CCB" w:rsidRDefault="0096542B" w:rsidP="0096542B">
      <w:pPr>
        <w:spacing w:after="0" w:line="360" w:lineRule="auto"/>
        <w:ind w:firstLine="708"/>
        <w:jc w:val="center"/>
        <w:rPr>
          <w:rFonts w:ascii="Tahoma" w:hAnsi="Tahoma" w:cs="Tahoma"/>
          <w:b/>
          <w:bCs/>
          <w:sz w:val="24"/>
          <w:szCs w:val="24"/>
        </w:rPr>
      </w:pPr>
    </w:p>
    <w:p w14:paraId="52387568" w14:textId="77777777" w:rsidR="0096542B" w:rsidRPr="005C3CCB" w:rsidRDefault="0096542B" w:rsidP="0096542B">
      <w:pPr>
        <w:spacing w:after="0" w:line="360" w:lineRule="auto"/>
        <w:ind w:firstLine="708"/>
        <w:jc w:val="both"/>
        <w:rPr>
          <w:rFonts w:ascii="Tahoma" w:hAnsi="Tahoma" w:cs="Tahoma"/>
          <w:b/>
          <w:sz w:val="24"/>
          <w:szCs w:val="24"/>
        </w:rPr>
      </w:pPr>
      <w:r w:rsidRPr="005C3CCB">
        <w:rPr>
          <w:rFonts w:ascii="Tahoma" w:hAnsi="Tahoma" w:cs="Tahoma"/>
          <w:b/>
          <w:sz w:val="24"/>
          <w:szCs w:val="24"/>
        </w:rPr>
        <w:t>1. Cel i potrzeba wydania ustawy, rzeczywisty stan w dziedzinie, która ma zostać unormowana</w:t>
      </w:r>
    </w:p>
    <w:p w14:paraId="1EDC117B" w14:textId="77777777" w:rsidR="00DD4207" w:rsidRPr="005C3CCB" w:rsidRDefault="00DD4207" w:rsidP="0096542B">
      <w:pPr>
        <w:spacing w:after="0" w:line="360" w:lineRule="auto"/>
        <w:ind w:firstLine="708"/>
        <w:jc w:val="both"/>
        <w:rPr>
          <w:rFonts w:ascii="Tahoma" w:hAnsi="Tahoma" w:cs="Tahoma"/>
          <w:b/>
          <w:sz w:val="24"/>
          <w:szCs w:val="24"/>
        </w:rPr>
      </w:pPr>
    </w:p>
    <w:p w14:paraId="314A81F8" w14:textId="5CF1C3F1" w:rsidR="000F7B2C" w:rsidRPr="005C3CCB" w:rsidRDefault="00DB1C0F" w:rsidP="005C3CCB">
      <w:pPr>
        <w:shd w:val="clear" w:color="auto" w:fill="FFFFFF"/>
        <w:spacing w:after="0" w:line="360" w:lineRule="auto"/>
        <w:ind w:firstLine="708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5C3CCB">
        <w:rPr>
          <w:rFonts w:ascii="Tahoma" w:hAnsi="Tahoma" w:cs="Tahoma"/>
          <w:sz w:val="24"/>
          <w:szCs w:val="24"/>
        </w:rPr>
        <w:t xml:space="preserve">W obowiązującym stanie prawnym występują trzy rodzaje aktów stanu cywilnego: akt urodzenia, akt małżeństwa oraz akt zgonu (art. 2 ust. 3 ustawy z 28 listopada 2014 r. – Prawo o aktach stanu cywilnego, tekst jedn. Dz.U. z 2021 r. poz. 709; dalej: p.a.s.c.). </w:t>
      </w:r>
      <w:r w:rsidR="00EA4B3F" w:rsidRPr="005C3CCB">
        <w:rPr>
          <w:rFonts w:ascii="Tahoma" w:hAnsi="Tahoma" w:cs="Tahoma"/>
          <w:sz w:val="24"/>
          <w:szCs w:val="24"/>
          <w:shd w:val="clear" w:color="auto" w:fill="FFFFFF"/>
        </w:rPr>
        <w:t>Szczególny charakter ma akt urodzenia. Stwierdza on nie tylko urodzenie żywego dziecka, ale także – martwe urodzenie. Zgodnie bowiem z art. 52 ust. 2 p.a.s.c. jeśli dziecko urodziło się martwe, nie sporządza się aktu zgonu, a sporządza się akt urodzenia z adnotacją, że dziecko urodziło się martwe.</w:t>
      </w:r>
      <w:r w:rsidR="00B65AA9" w:rsidRPr="005C3CCB">
        <w:rPr>
          <w:rFonts w:ascii="Tahoma" w:hAnsi="Tahoma" w:cs="Tahoma"/>
          <w:sz w:val="24"/>
          <w:szCs w:val="24"/>
          <w:shd w:val="clear" w:color="auto" w:fill="FFFFFF"/>
        </w:rPr>
        <w:t xml:space="preserve"> Podstawą sporządzenia aktu urodzenia jest karta urodzenia albo karta martwego urodzenia</w:t>
      </w:r>
      <w:r w:rsidR="003D25A7" w:rsidRPr="005C3CCB">
        <w:rPr>
          <w:rFonts w:ascii="Tahoma" w:hAnsi="Tahoma" w:cs="Tahoma"/>
          <w:sz w:val="24"/>
          <w:szCs w:val="24"/>
          <w:shd w:val="clear" w:color="auto" w:fill="FFFFFF"/>
        </w:rPr>
        <w:t>,</w:t>
      </w:r>
      <w:r w:rsidR="00B65AA9" w:rsidRPr="005C3CCB">
        <w:rPr>
          <w:rFonts w:ascii="Tahoma" w:hAnsi="Tahoma" w:cs="Tahoma"/>
          <w:sz w:val="24"/>
          <w:szCs w:val="24"/>
          <w:shd w:val="clear" w:color="auto" w:fill="FFFFFF"/>
        </w:rPr>
        <w:t xml:space="preserve"> przekazana przez </w:t>
      </w:r>
      <w:r w:rsidR="00B65AA9" w:rsidRPr="005C3CCB">
        <w:rPr>
          <w:rFonts w:ascii="Tahoma" w:eastAsia="Times New Roman" w:hAnsi="Tahoma" w:cs="Tahoma"/>
          <w:sz w:val="24"/>
          <w:szCs w:val="24"/>
          <w:lang w:eastAsia="pl-PL"/>
        </w:rPr>
        <w:t>podmiot wykonujący działalność leczniczą</w:t>
      </w:r>
      <w:r w:rsidR="003D25A7" w:rsidRPr="005C3CCB">
        <w:rPr>
          <w:rFonts w:ascii="Tahoma" w:eastAsia="Times New Roman" w:hAnsi="Tahoma" w:cs="Tahoma"/>
          <w:sz w:val="24"/>
          <w:szCs w:val="24"/>
          <w:lang w:eastAsia="pl-PL"/>
        </w:rPr>
        <w:t>,</w:t>
      </w:r>
      <w:r w:rsidR="00B65AA9" w:rsidRPr="005C3CCB">
        <w:rPr>
          <w:rFonts w:ascii="Tahoma" w:eastAsia="Times New Roman" w:hAnsi="Tahoma" w:cs="Tahoma"/>
          <w:sz w:val="24"/>
          <w:szCs w:val="24"/>
          <w:lang w:eastAsia="pl-PL"/>
        </w:rPr>
        <w:t xml:space="preserve"> oraz protokół zgłoszenia urodzenia (art. 53 ust. 1 p.a.s.c.). Obowiązujące przepisy deklarują zasadę równoważności karty urodzenia oraz karty martwego urodzenia. Znajduje ona odzwierciedlenie nie tylko w tożsamości skutków prawnych sporządzenia tych dokumentów, ale także w obowiązku odzwierciedlenia w nich tych samych treści. Zgodnie z art. 54 ust. 3 p.a.s.c. k</w:t>
      </w:r>
      <w:r w:rsidR="00B65AA9" w:rsidRPr="005C3CCB">
        <w:rPr>
          <w:rFonts w:ascii="Tahoma" w:hAnsi="Tahoma" w:cs="Tahoma"/>
          <w:sz w:val="24"/>
          <w:szCs w:val="24"/>
          <w:shd w:val="clear" w:color="auto" w:fill="FFFFFF"/>
        </w:rPr>
        <w:t>arta martwego urodzenia zawiera informację, że dziecko urodziło się martwe oraz d</w:t>
      </w:r>
      <w:r w:rsidR="003D25A7" w:rsidRPr="005C3CCB">
        <w:rPr>
          <w:rFonts w:ascii="Tahoma" w:hAnsi="Tahoma" w:cs="Tahoma"/>
          <w:sz w:val="24"/>
          <w:szCs w:val="24"/>
          <w:shd w:val="clear" w:color="auto" w:fill="FFFFFF"/>
        </w:rPr>
        <w:t>ane wymagane w karcie urodzenia. Są to</w:t>
      </w:r>
      <w:r w:rsidR="00B65AA9" w:rsidRPr="005C3CCB">
        <w:rPr>
          <w:rFonts w:ascii="Tahoma" w:hAnsi="Tahoma" w:cs="Tahoma"/>
          <w:sz w:val="24"/>
          <w:szCs w:val="24"/>
          <w:shd w:val="clear" w:color="auto" w:fill="FFFFFF"/>
        </w:rPr>
        <w:t xml:space="preserve"> – stosownie do art. 54 ust. 2 p.a.s.c. – </w:t>
      </w:r>
      <w:r w:rsidR="004F19B1" w:rsidRPr="005C3CCB">
        <w:rPr>
          <w:rFonts w:ascii="Tahoma" w:eastAsia="Times New Roman" w:hAnsi="Tahoma" w:cs="Tahoma"/>
          <w:sz w:val="24"/>
          <w:szCs w:val="24"/>
          <w:lang w:eastAsia="pl-PL"/>
        </w:rPr>
        <w:t> nazwisko, imię (imiona), nazwisko rodowe, dat</w:t>
      </w:r>
      <w:r w:rsidR="003D25A7" w:rsidRPr="005C3CCB">
        <w:rPr>
          <w:rFonts w:ascii="Tahoma" w:eastAsia="Times New Roman" w:hAnsi="Tahoma" w:cs="Tahoma"/>
          <w:sz w:val="24"/>
          <w:szCs w:val="24"/>
          <w:lang w:eastAsia="pl-PL"/>
        </w:rPr>
        <w:t>a</w:t>
      </w:r>
      <w:r w:rsidR="004F19B1" w:rsidRPr="005C3CCB">
        <w:rPr>
          <w:rFonts w:ascii="Tahoma" w:eastAsia="Times New Roman" w:hAnsi="Tahoma" w:cs="Tahoma"/>
          <w:sz w:val="24"/>
          <w:szCs w:val="24"/>
          <w:lang w:eastAsia="pl-PL"/>
        </w:rPr>
        <w:t xml:space="preserve"> i miejsce urodzenia</w:t>
      </w:r>
      <w:r w:rsidR="003D25A7" w:rsidRPr="005C3CCB">
        <w:rPr>
          <w:rFonts w:ascii="Tahoma" w:eastAsia="Times New Roman" w:hAnsi="Tahoma" w:cs="Tahoma"/>
          <w:sz w:val="24"/>
          <w:szCs w:val="24"/>
          <w:lang w:eastAsia="pl-PL"/>
        </w:rPr>
        <w:t xml:space="preserve"> oraz numer PESEL matki dziecka</w:t>
      </w:r>
      <w:r w:rsidR="004F19B1" w:rsidRPr="005C3CCB">
        <w:rPr>
          <w:rFonts w:ascii="Tahoma" w:eastAsia="Times New Roman" w:hAnsi="Tahoma" w:cs="Tahoma"/>
          <w:sz w:val="24"/>
          <w:szCs w:val="24"/>
          <w:lang w:eastAsia="pl-PL"/>
        </w:rPr>
        <w:t>; miejsce, dat</w:t>
      </w:r>
      <w:r w:rsidR="003D25A7" w:rsidRPr="005C3CCB">
        <w:rPr>
          <w:rFonts w:ascii="Tahoma" w:eastAsia="Times New Roman" w:hAnsi="Tahoma" w:cs="Tahoma"/>
          <w:sz w:val="24"/>
          <w:szCs w:val="24"/>
          <w:lang w:eastAsia="pl-PL"/>
        </w:rPr>
        <w:t>a</w:t>
      </w:r>
      <w:r w:rsidR="004F19B1" w:rsidRPr="005C3CCB">
        <w:rPr>
          <w:rFonts w:ascii="Tahoma" w:eastAsia="Times New Roman" w:hAnsi="Tahoma" w:cs="Tahoma"/>
          <w:sz w:val="24"/>
          <w:szCs w:val="24"/>
          <w:lang w:eastAsia="pl-PL"/>
        </w:rPr>
        <w:t xml:space="preserve"> i godzin</w:t>
      </w:r>
      <w:r w:rsidR="003D25A7" w:rsidRPr="005C3CCB">
        <w:rPr>
          <w:rFonts w:ascii="Tahoma" w:eastAsia="Times New Roman" w:hAnsi="Tahoma" w:cs="Tahoma"/>
          <w:sz w:val="24"/>
          <w:szCs w:val="24"/>
          <w:lang w:eastAsia="pl-PL"/>
        </w:rPr>
        <w:t>a</w:t>
      </w:r>
      <w:r w:rsidR="004F19B1" w:rsidRPr="005C3CCB">
        <w:rPr>
          <w:rFonts w:ascii="Tahoma" w:eastAsia="Times New Roman" w:hAnsi="Tahoma" w:cs="Tahoma"/>
          <w:sz w:val="24"/>
          <w:szCs w:val="24"/>
          <w:lang w:eastAsia="pl-PL"/>
        </w:rPr>
        <w:t xml:space="preserve"> urodzenia dziecka oraz jego płeć. </w:t>
      </w:r>
    </w:p>
    <w:p w14:paraId="517133E2" w14:textId="41F6E5B1" w:rsidR="00DD4207" w:rsidRPr="005C3CCB" w:rsidRDefault="001940B4" w:rsidP="005C3CCB">
      <w:pPr>
        <w:spacing w:after="0" w:line="360" w:lineRule="auto"/>
        <w:ind w:firstLine="708"/>
        <w:jc w:val="both"/>
        <w:rPr>
          <w:rFonts w:ascii="Tahoma" w:hAnsi="Tahoma" w:cs="Tahoma"/>
          <w:sz w:val="24"/>
          <w:szCs w:val="24"/>
          <w:shd w:val="clear" w:color="auto" w:fill="FFFFFF"/>
        </w:rPr>
      </w:pPr>
      <w:r w:rsidRPr="005C3CCB">
        <w:rPr>
          <w:rFonts w:ascii="Tahoma" w:hAnsi="Tahoma" w:cs="Tahoma"/>
          <w:sz w:val="24"/>
          <w:szCs w:val="24"/>
        </w:rPr>
        <w:t>Akty stanu cywilnego</w:t>
      </w:r>
      <w:r w:rsidRPr="005C3CCB">
        <w:rPr>
          <w:rFonts w:ascii="Tahoma" w:hAnsi="Tahoma" w:cs="Tahoma"/>
          <w:sz w:val="24"/>
          <w:szCs w:val="24"/>
          <w:shd w:val="clear" w:color="auto" w:fill="FFFFFF"/>
        </w:rPr>
        <w:t xml:space="preserve"> stanowią wyłączny dowód zdarzeń w nich stwierdzonych (art. 3 p.a.s.c.). Oznacza to w szczególności, że fakt martwego urodzenia nie może zostać ustalony w sposób wiążący dla innych podmiotów </w:t>
      </w:r>
      <w:r w:rsidR="003D25A7" w:rsidRPr="005C3CCB">
        <w:rPr>
          <w:rFonts w:ascii="Tahoma" w:hAnsi="Tahoma" w:cs="Tahoma"/>
          <w:sz w:val="24"/>
          <w:szCs w:val="24"/>
          <w:shd w:val="clear" w:color="auto" w:fill="FFFFFF"/>
        </w:rPr>
        <w:t>inaczej</w:t>
      </w:r>
      <w:r w:rsidRPr="005C3CCB">
        <w:rPr>
          <w:rFonts w:ascii="Tahoma" w:hAnsi="Tahoma" w:cs="Tahoma"/>
          <w:sz w:val="24"/>
          <w:szCs w:val="24"/>
          <w:shd w:val="clear" w:color="auto" w:fill="FFFFFF"/>
        </w:rPr>
        <w:t xml:space="preserve"> niż przez sporządzenie aktu urodzenia. Zasada ta znajduje odzwierciedlenie w przepisach postępowania administracyjnego, prawa pracy</w:t>
      </w:r>
      <w:r w:rsidR="003D25A7" w:rsidRPr="005C3CCB">
        <w:rPr>
          <w:rFonts w:ascii="Tahoma" w:hAnsi="Tahoma" w:cs="Tahoma"/>
          <w:sz w:val="24"/>
          <w:szCs w:val="24"/>
          <w:shd w:val="clear" w:color="auto" w:fill="FFFFFF"/>
        </w:rPr>
        <w:t xml:space="preserve"> i ubezpieczeń społecznych. Akt</w:t>
      </w:r>
      <w:r w:rsidRPr="005C3CCB">
        <w:rPr>
          <w:rFonts w:ascii="Tahoma" w:hAnsi="Tahoma" w:cs="Tahoma"/>
          <w:sz w:val="24"/>
          <w:szCs w:val="24"/>
          <w:shd w:val="clear" w:color="auto" w:fill="FFFFFF"/>
        </w:rPr>
        <w:t xml:space="preserve"> urodzenia odzwierciedlający martwe urodzenie stanowi bowiem m.in. wyłączny dowód potwierdzający martwe urodzenie w postępowaniu w sprawie ustalenia prawa do zasiłku pogrzebowego (§ 16 pkt 1 rozporządzenia Ministra Pracy i Polityki Społecznej z dnia 11 października 2011 r. w sprawie</w:t>
      </w:r>
      <w:bookmarkStart w:id="0" w:name="_GoBack"/>
      <w:bookmarkEnd w:id="0"/>
      <w:r w:rsidRPr="005C3CCB">
        <w:rPr>
          <w:rFonts w:ascii="Tahoma" w:hAnsi="Tahoma" w:cs="Tahoma"/>
          <w:sz w:val="24"/>
          <w:szCs w:val="24"/>
          <w:shd w:val="clear" w:color="auto" w:fill="FFFFFF"/>
        </w:rPr>
        <w:t xml:space="preserve"> postępowania o świadczenia emerytalno-</w:t>
      </w:r>
      <w:r w:rsidRPr="005C3CCB">
        <w:rPr>
          <w:rFonts w:ascii="Tahoma" w:hAnsi="Tahoma" w:cs="Tahoma"/>
          <w:sz w:val="24"/>
          <w:szCs w:val="24"/>
          <w:shd w:val="clear" w:color="auto" w:fill="FFFFFF"/>
        </w:rPr>
        <w:lastRenderedPageBreak/>
        <w:t xml:space="preserve">rentowe (Dz.U. Nr 237, poz. 1412) czy w postępowaniu w sprawie przyznania i wypłaty zasiłku macierzyńskiego </w:t>
      </w:r>
      <w:r w:rsidRPr="005C3CCB">
        <w:rPr>
          <w:rFonts w:ascii="Tahoma" w:hAnsi="Tahoma" w:cs="Tahoma"/>
          <w:sz w:val="24"/>
          <w:szCs w:val="24"/>
        </w:rPr>
        <w:t>za okres urlopu macierzyńskiego przysługującego w razie urodzenia martwego dziecka (</w:t>
      </w:r>
      <w:r w:rsidRPr="005C3CCB">
        <w:rPr>
          <w:rFonts w:ascii="Tahoma" w:hAnsi="Tahoma" w:cs="Tahoma"/>
          <w:sz w:val="24"/>
          <w:szCs w:val="24"/>
          <w:shd w:val="clear" w:color="auto" w:fill="FFFFFF"/>
        </w:rPr>
        <w:t xml:space="preserve">§ 9 pkt 2 rozporządzenia Ministra Rodziny, Pracy i Polityki Społecznej z 8 grudnia 2015 r. w sprawie zakresu informacji o okolicznościach mających wpływ na prawo do zasiłków z ubezpieczenia społecznego w razie choroby i macierzyństwa lub ich wysokość oraz dokumentów niezbędnych do przyznania i wypłaty zasiłków, tekst jedn. Dz.U. z 2017 r. poz. 87). </w:t>
      </w:r>
    </w:p>
    <w:p w14:paraId="568A2255" w14:textId="37D69BC8" w:rsidR="005207A5" w:rsidRPr="005C3CCB" w:rsidRDefault="001940B4" w:rsidP="005C3CCB">
      <w:pPr>
        <w:spacing w:after="0" w:line="360" w:lineRule="auto"/>
        <w:ind w:firstLine="708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5C3CCB">
        <w:rPr>
          <w:rFonts w:ascii="Tahoma" w:hAnsi="Tahoma" w:cs="Tahoma"/>
          <w:sz w:val="24"/>
          <w:szCs w:val="24"/>
          <w:shd w:val="clear" w:color="auto" w:fill="FFFFFF"/>
        </w:rPr>
        <w:t xml:space="preserve">W tym kontekście należy zwrócić uwagę, że wskazanie płci dziecka, które urodziło się martwe, jest nie tylko obligatoryjnym elementem </w:t>
      </w:r>
      <w:r w:rsidRPr="005C3CCB">
        <w:rPr>
          <w:rFonts w:ascii="Tahoma" w:eastAsia="Times New Roman" w:hAnsi="Tahoma" w:cs="Tahoma"/>
          <w:sz w:val="24"/>
          <w:szCs w:val="24"/>
          <w:lang w:eastAsia="pl-PL"/>
        </w:rPr>
        <w:t>karty martwego urodzenia, ale i przesłanką przekazania jej kierownikowi właściwego urzędu stanu cywilnego. Art. 54 ust. 3 p.a.s.c. stanowi bowiem, że jeśli nie jest możliwe ustalenie płci dziecka, karty martwego urodzenia nie przekazuje się. Powoduje to więc, że ustalenie płci dziecka martwo urodzonego i jej wskazanie w karcie martwego urodzenia jest niezbędne do tego, aby jego matka mogła skorzystać z przysługujących jej</w:t>
      </w:r>
      <w:r w:rsidR="00F96C03" w:rsidRPr="005C3CCB">
        <w:rPr>
          <w:rFonts w:ascii="Tahoma" w:eastAsia="Times New Roman" w:hAnsi="Tahoma" w:cs="Tahoma"/>
          <w:sz w:val="24"/>
          <w:szCs w:val="24"/>
          <w:lang w:eastAsia="pl-PL"/>
        </w:rPr>
        <w:t xml:space="preserve"> w związku z martwym urodzeniem</w:t>
      </w:r>
      <w:r w:rsidRPr="005C3CCB">
        <w:rPr>
          <w:rFonts w:ascii="Tahoma" w:eastAsia="Times New Roman" w:hAnsi="Tahoma" w:cs="Tahoma"/>
          <w:sz w:val="24"/>
          <w:szCs w:val="24"/>
          <w:lang w:eastAsia="pl-PL"/>
        </w:rPr>
        <w:t xml:space="preserve"> uprawnień przewidzianych przepisami prawa pracy i ubezpieczeń społecznych. W obecnym stanie wiedzy i technologii medycznej określenie płci dziecka martwo urodzonego jest możliwe, ale w niektórych przypadkach wymaga przeprowadzenia kosztownych badań genetycznych, które nie </w:t>
      </w:r>
      <w:r w:rsidR="003D25A7" w:rsidRPr="005C3CCB">
        <w:rPr>
          <w:rFonts w:ascii="Tahoma" w:eastAsia="Times New Roman" w:hAnsi="Tahoma" w:cs="Tahoma"/>
          <w:sz w:val="24"/>
          <w:szCs w:val="24"/>
          <w:lang w:eastAsia="pl-PL"/>
        </w:rPr>
        <w:t>są finansowane ze środków publicznych. Koszt takiego badania wynosi obecnie ok. 400 złotych (zob. np. https://www.gyncentrum.pl/badania-genetyczne-po-poronieniu</w:t>
      </w:r>
      <w:r w:rsidR="00B24970" w:rsidRPr="005C3CCB">
        <w:rPr>
          <w:rFonts w:ascii="Tahoma" w:eastAsia="Times New Roman" w:hAnsi="Tahoma" w:cs="Tahoma"/>
          <w:sz w:val="24"/>
          <w:szCs w:val="24"/>
          <w:lang w:eastAsia="pl-PL"/>
        </w:rPr>
        <w:t xml:space="preserve">), a jego przeprowadzenie </w:t>
      </w:r>
      <w:r w:rsidR="000F7B2C" w:rsidRPr="005C3CCB">
        <w:rPr>
          <w:rFonts w:ascii="Tahoma" w:eastAsia="Times New Roman" w:hAnsi="Tahoma" w:cs="Tahoma"/>
          <w:sz w:val="24"/>
          <w:szCs w:val="24"/>
          <w:lang w:eastAsia="pl-PL"/>
        </w:rPr>
        <w:t xml:space="preserve">może wiązać się z istotnym dyskomfortem po stronie rodziców dziecka martwo urodzonego. </w:t>
      </w:r>
    </w:p>
    <w:p w14:paraId="10928E85" w14:textId="1E061C71" w:rsidR="00AF5AA8" w:rsidRPr="005C3CCB" w:rsidRDefault="00706F52" w:rsidP="00706F52">
      <w:pPr>
        <w:spacing w:after="0" w:line="360" w:lineRule="auto"/>
        <w:ind w:firstLine="708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5C3CCB">
        <w:rPr>
          <w:rFonts w:ascii="Tahoma" w:eastAsia="Times New Roman" w:hAnsi="Tahoma" w:cs="Tahoma"/>
          <w:sz w:val="24"/>
          <w:szCs w:val="24"/>
          <w:lang w:eastAsia="pl-PL"/>
        </w:rPr>
        <w:t xml:space="preserve">Podkreślić przy tym </w:t>
      </w:r>
      <w:r w:rsidR="005C3CCB" w:rsidRPr="005C3CCB">
        <w:rPr>
          <w:rFonts w:ascii="Tahoma" w:eastAsia="Times New Roman" w:hAnsi="Tahoma" w:cs="Tahoma"/>
          <w:sz w:val="24"/>
          <w:szCs w:val="24"/>
          <w:lang w:eastAsia="pl-PL"/>
        </w:rPr>
        <w:t>należy</w:t>
      </w:r>
      <w:r w:rsidRPr="005C3CCB">
        <w:rPr>
          <w:rFonts w:ascii="Tahoma" w:eastAsia="Times New Roman" w:hAnsi="Tahoma" w:cs="Tahoma"/>
          <w:sz w:val="24"/>
          <w:szCs w:val="24"/>
          <w:lang w:eastAsia="pl-PL"/>
        </w:rPr>
        <w:t xml:space="preserve">, że wskazywanie w karcie martwego urodzenia, akcie urodzenia i gromadzenie w rejestrze stanu cywilnego danych dotyczących płci dziecka martwo urodzonego nie znajduje uzasadnienia w celach przewidzianych dla aktów stanu cywilnego w przepisach prawa. Wskazać bowiem należy, że rolą aktów stanu cywilnego – stosownie do art. 2 ust. 1 p.a.s.c. – jest stwierdzenie sytuacji prawnej osoby wyrażonej przez jej cechy indywidualizujące, kształtowane przez zdarzenia naturalne, czynności prawne, orzeczenia sądów lub decyzje organów. </w:t>
      </w:r>
      <w:r w:rsidR="00AF5AA8" w:rsidRPr="005C3CCB">
        <w:rPr>
          <w:rFonts w:ascii="Tahoma" w:eastAsia="Times New Roman" w:hAnsi="Tahoma" w:cs="Tahoma"/>
          <w:sz w:val="24"/>
          <w:szCs w:val="24"/>
          <w:lang w:eastAsia="pl-PL"/>
        </w:rPr>
        <w:t xml:space="preserve">Przez sytuację prawną należy rozumieć ogół uprawnień i obowiązków danego podmiotu prawa. W polskim systemie prawa płodowi przed urodzeniem można przypisać jedynie warunkową zdolność prawną, która uzależniona jest od jego żywego urodzenia. </w:t>
      </w:r>
      <w:r w:rsidR="00AF5AA8" w:rsidRPr="005C3CCB">
        <w:rPr>
          <w:rFonts w:ascii="Tahoma" w:eastAsia="Times New Roman" w:hAnsi="Tahoma" w:cs="Tahoma"/>
          <w:sz w:val="24"/>
          <w:szCs w:val="24"/>
          <w:lang w:eastAsia="pl-PL"/>
        </w:rPr>
        <w:lastRenderedPageBreak/>
        <w:t xml:space="preserve">Oznacza to w szczególności, że dziecku martwo urodzonemu nie można przypisać ani przed urodzeniem, ani po urodzeniu jakichkolwiek uprawnień </w:t>
      </w:r>
      <w:r w:rsidR="005207A5" w:rsidRPr="005C3CCB">
        <w:rPr>
          <w:rFonts w:ascii="Tahoma" w:eastAsia="Times New Roman" w:hAnsi="Tahoma" w:cs="Tahoma"/>
          <w:sz w:val="24"/>
          <w:szCs w:val="24"/>
          <w:lang w:eastAsia="pl-PL"/>
        </w:rPr>
        <w:t>i</w:t>
      </w:r>
      <w:r w:rsidR="00AF5AA8" w:rsidRPr="005C3CCB">
        <w:rPr>
          <w:rFonts w:ascii="Tahoma" w:eastAsia="Times New Roman" w:hAnsi="Tahoma" w:cs="Tahoma"/>
          <w:sz w:val="24"/>
          <w:szCs w:val="24"/>
          <w:lang w:eastAsia="pl-PL"/>
        </w:rPr>
        <w:t xml:space="preserve"> obowiązków. Rejestracja cech indywidualizujących dziecka martwo urodzonego jest więc o tyle uzasadniona, o ile mogą one znaleźć odzwierciedlenie w </w:t>
      </w:r>
      <w:r w:rsidR="006460EE" w:rsidRPr="005C3CCB">
        <w:rPr>
          <w:rFonts w:ascii="Tahoma" w:eastAsia="Times New Roman" w:hAnsi="Tahoma" w:cs="Tahoma"/>
          <w:sz w:val="24"/>
          <w:szCs w:val="24"/>
          <w:lang w:eastAsia="pl-PL"/>
        </w:rPr>
        <w:t xml:space="preserve">sferze uprawnień i obowiązków innych podmiotów posiadających zdolność prawną. Mowa tu w szczególności o matce dziecka martwo urodzonego. Tymczasem żadne z przysługujących jej uprawnień nie jest uzależnione od płci dziecka martwo urodzonego. </w:t>
      </w:r>
    </w:p>
    <w:p w14:paraId="20FD37C3" w14:textId="77777777" w:rsidR="00425A36" w:rsidRPr="005C3CCB" w:rsidRDefault="00425A36" w:rsidP="00706F52">
      <w:pPr>
        <w:spacing w:after="0" w:line="360" w:lineRule="auto"/>
        <w:ind w:firstLine="708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3582E281" w14:textId="37610014" w:rsidR="003E29B5" w:rsidRPr="005C3CCB" w:rsidRDefault="003E29B5" w:rsidP="00F96C03">
      <w:pPr>
        <w:spacing w:after="0" w:line="360" w:lineRule="auto"/>
        <w:ind w:firstLine="708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5C3CCB">
        <w:rPr>
          <w:rFonts w:ascii="Tahoma" w:eastAsia="Times New Roman" w:hAnsi="Tahoma" w:cs="Tahoma"/>
          <w:sz w:val="24"/>
          <w:szCs w:val="24"/>
          <w:lang w:eastAsia="pl-PL"/>
        </w:rPr>
        <w:t>Projektowana ustawa ma więc dwa zasadnicze cele. Po pierwsze, zapewnienie niezbędnej szybkości postępowania zmierzającego do sporządzenia aktu urodzenia dziecka martwo urodzonego oraz eliminację po stronie jego rodziców dyskomfortu związanego z ustalaniem na potrzeby tego postępowania płci dziecka w drodze kosztownych badań genetycznych. Po drugie, dostosowanie treści aktu urodzenia dziecka martwo urodzonego do roli, jaką w tym przypadku powinien pełnić</w:t>
      </w:r>
      <w:r w:rsidR="00D90BEC" w:rsidRPr="005C3CCB">
        <w:rPr>
          <w:rFonts w:ascii="Tahoma" w:eastAsia="Times New Roman" w:hAnsi="Tahoma" w:cs="Tahoma"/>
          <w:sz w:val="24"/>
          <w:szCs w:val="24"/>
          <w:lang w:eastAsia="pl-PL"/>
        </w:rPr>
        <w:t xml:space="preserve"> akt stanu cywilnego</w:t>
      </w:r>
      <w:r w:rsidR="00F96C03" w:rsidRPr="005C3CCB">
        <w:rPr>
          <w:rFonts w:ascii="Tahoma" w:eastAsia="Times New Roman" w:hAnsi="Tahoma" w:cs="Tahoma"/>
          <w:sz w:val="24"/>
          <w:szCs w:val="24"/>
          <w:lang w:eastAsia="pl-PL"/>
        </w:rPr>
        <w:t xml:space="preserve">. Mowa tu o stwierdzeniu </w:t>
      </w:r>
      <w:r w:rsidR="00D90BEC" w:rsidRPr="005C3CCB">
        <w:rPr>
          <w:rFonts w:ascii="Tahoma" w:eastAsia="Times New Roman" w:hAnsi="Tahoma" w:cs="Tahoma"/>
          <w:sz w:val="24"/>
          <w:szCs w:val="24"/>
          <w:lang w:eastAsia="pl-PL"/>
        </w:rPr>
        <w:t xml:space="preserve">okoliczności istotnych z punktu widzenia zakresu uprawnień i obowiązków rodziców dziecka martwo urodzonego. </w:t>
      </w:r>
    </w:p>
    <w:p w14:paraId="23F435AE" w14:textId="77777777" w:rsidR="003E29B5" w:rsidRPr="005C3CCB" w:rsidRDefault="003E29B5" w:rsidP="003E29B5">
      <w:pPr>
        <w:spacing w:after="0" w:line="360" w:lineRule="auto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3324959B" w14:textId="2E2299A2" w:rsidR="0096542B" w:rsidRPr="005C3CCB" w:rsidRDefault="0096542B" w:rsidP="0096542B">
      <w:pPr>
        <w:spacing w:after="0" w:line="360" w:lineRule="auto"/>
        <w:jc w:val="both"/>
        <w:rPr>
          <w:rFonts w:ascii="Tahoma" w:hAnsi="Tahoma" w:cs="Tahoma"/>
          <w:b/>
          <w:bCs/>
          <w:sz w:val="24"/>
          <w:szCs w:val="24"/>
        </w:rPr>
      </w:pPr>
      <w:r w:rsidRPr="005C3CCB">
        <w:rPr>
          <w:rFonts w:ascii="Tahoma" w:hAnsi="Tahoma" w:cs="Tahoma"/>
          <w:b/>
          <w:bCs/>
          <w:sz w:val="24"/>
          <w:szCs w:val="24"/>
        </w:rPr>
        <w:tab/>
        <w:t>2. Różnice między dotychczasowym a projektowanym stanem prawnym</w:t>
      </w:r>
    </w:p>
    <w:p w14:paraId="14FC3EE6" w14:textId="61F83511" w:rsidR="006460EE" w:rsidRPr="005C3CCB" w:rsidRDefault="006460EE" w:rsidP="00F96C03">
      <w:pPr>
        <w:tabs>
          <w:tab w:val="left" w:pos="2790"/>
        </w:tabs>
        <w:spacing w:after="0" w:line="360" w:lineRule="auto"/>
        <w:jc w:val="both"/>
        <w:rPr>
          <w:rFonts w:ascii="Tahoma" w:hAnsi="Tahoma" w:cs="Tahoma"/>
          <w:b/>
          <w:bCs/>
          <w:sz w:val="24"/>
          <w:szCs w:val="24"/>
        </w:rPr>
      </w:pPr>
    </w:p>
    <w:p w14:paraId="77D2F454" w14:textId="6B7DE35B" w:rsidR="00280764" w:rsidRPr="005C3CCB" w:rsidRDefault="006460EE" w:rsidP="006460EE">
      <w:pPr>
        <w:spacing w:after="0" w:line="360" w:lineRule="auto"/>
        <w:jc w:val="both"/>
        <w:rPr>
          <w:rFonts w:ascii="Tahoma" w:hAnsi="Tahoma" w:cs="Tahoma"/>
          <w:sz w:val="24"/>
          <w:szCs w:val="24"/>
        </w:rPr>
      </w:pPr>
      <w:r w:rsidRPr="005C3CCB">
        <w:rPr>
          <w:rFonts w:ascii="Tahoma" w:hAnsi="Tahoma" w:cs="Tahoma"/>
          <w:bCs/>
          <w:sz w:val="24"/>
          <w:szCs w:val="24"/>
        </w:rPr>
        <w:tab/>
        <w:t xml:space="preserve">Projekt przewiduje </w:t>
      </w:r>
      <w:r w:rsidR="00F96C03" w:rsidRPr="005C3CCB">
        <w:rPr>
          <w:rFonts w:ascii="Tahoma" w:hAnsi="Tahoma" w:cs="Tahoma"/>
          <w:bCs/>
          <w:sz w:val="24"/>
          <w:szCs w:val="24"/>
        </w:rPr>
        <w:t xml:space="preserve">nowe </w:t>
      </w:r>
      <w:r w:rsidRPr="005C3CCB">
        <w:rPr>
          <w:rFonts w:ascii="Tahoma" w:hAnsi="Tahoma" w:cs="Tahoma"/>
          <w:bCs/>
          <w:sz w:val="24"/>
          <w:szCs w:val="24"/>
        </w:rPr>
        <w:t>br</w:t>
      </w:r>
      <w:r w:rsidR="00F96C03" w:rsidRPr="005C3CCB">
        <w:rPr>
          <w:rFonts w:ascii="Tahoma" w:hAnsi="Tahoma" w:cs="Tahoma"/>
          <w:bCs/>
          <w:sz w:val="24"/>
          <w:szCs w:val="24"/>
        </w:rPr>
        <w:t>zmienie</w:t>
      </w:r>
      <w:r w:rsidRPr="005C3CCB">
        <w:rPr>
          <w:rFonts w:ascii="Tahoma" w:hAnsi="Tahoma" w:cs="Tahoma"/>
          <w:bCs/>
          <w:sz w:val="24"/>
          <w:szCs w:val="24"/>
        </w:rPr>
        <w:t xml:space="preserve"> art. 54 ust. 3 p.a.s.c. W obowiązującym stanie prawnym przepis ten stanowi, że karta martwego </w:t>
      </w:r>
      <w:r w:rsidRPr="005C3CCB">
        <w:rPr>
          <w:rFonts w:ascii="Tahoma" w:eastAsia="Times New Roman" w:hAnsi="Tahoma" w:cs="Tahoma"/>
          <w:sz w:val="24"/>
          <w:szCs w:val="24"/>
          <w:lang w:eastAsia="pl-PL"/>
        </w:rPr>
        <w:t xml:space="preserve">urodzenia zawiera dane wymagane w karcie urodzenia oraz informację, że dziecko urodziło się martwe. Zgodnie z tym przepisem kartę martwego urodzenia przekazuje się kierownikowi urzędu stanu cywilnego w terminie jednego dnia od dnia jej sporządzenia, a jeżeli nie jest możliwe ustalenie płci dziecka, karty martwego urodzenia nie przekazuje się. </w:t>
      </w:r>
      <w:r w:rsidR="00C02114" w:rsidRPr="005C3CCB">
        <w:rPr>
          <w:rFonts w:ascii="Tahoma" w:eastAsia="Times New Roman" w:hAnsi="Tahoma" w:cs="Tahoma"/>
          <w:sz w:val="24"/>
          <w:szCs w:val="24"/>
          <w:lang w:eastAsia="pl-PL"/>
        </w:rPr>
        <w:t xml:space="preserve">Projekt zakłada, że w karcie martwego urodzenia zamieszcza się dane wymagane w karcie urodzenia z wyjątkiem płci, </w:t>
      </w:r>
      <w:r w:rsidR="00C02114" w:rsidRPr="005C3CCB">
        <w:rPr>
          <w:rFonts w:ascii="Tahoma" w:hAnsi="Tahoma" w:cs="Tahoma"/>
          <w:sz w:val="24"/>
          <w:szCs w:val="24"/>
        </w:rPr>
        <w:t xml:space="preserve">chyba że jej zamieszczenia zażąda matka lub ojciec dziecka, oraz informację, że dziecko urodziło się martwe. W zamierzeniu projektodawców w dokumencie tym obligatoryjnie </w:t>
      </w:r>
      <w:r w:rsidR="00DE736A" w:rsidRPr="005C3CCB">
        <w:rPr>
          <w:rFonts w:ascii="Tahoma" w:hAnsi="Tahoma" w:cs="Tahoma"/>
          <w:sz w:val="24"/>
          <w:szCs w:val="24"/>
        </w:rPr>
        <w:t>odzwierciedlane</w:t>
      </w:r>
      <w:r w:rsidR="00C02114" w:rsidRPr="005C3CCB">
        <w:rPr>
          <w:rFonts w:ascii="Tahoma" w:hAnsi="Tahoma" w:cs="Tahoma"/>
          <w:sz w:val="24"/>
          <w:szCs w:val="24"/>
        </w:rPr>
        <w:t xml:space="preserve"> będą </w:t>
      </w:r>
      <w:r w:rsidR="00280764" w:rsidRPr="005C3CCB">
        <w:rPr>
          <w:rFonts w:ascii="Tahoma" w:hAnsi="Tahoma" w:cs="Tahoma"/>
          <w:sz w:val="24"/>
          <w:szCs w:val="24"/>
        </w:rPr>
        <w:t xml:space="preserve">więc </w:t>
      </w:r>
      <w:r w:rsidR="00280764" w:rsidRPr="005C3CCB">
        <w:rPr>
          <w:rFonts w:ascii="Tahoma" w:eastAsia="Times New Roman" w:hAnsi="Tahoma" w:cs="Tahoma"/>
          <w:sz w:val="24"/>
          <w:szCs w:val="24"/>
          <w:lang w:eastAsia="pl-PL"/>
        </w:rPr>
        <w:t> nazwisko, imię (imiona), nazwisko rodowe, data i miejsce urodzenia, numer PESEL matki dziecka, jeżeli został nadan</w:t>
      </w:r>
      <w:bookmarkStart w:id="1" w:name="mip58595361"/>
      <w:bookmarkEnd w:id="1"/>
      <w:r w:rsidR="00280764" w:rsidRPr="005C3CCB">
        <w:rPr>
          <w:rFonts w:ascii="Tahoma" w:eastAsia="Times New Roman" w:hAnsi="Tahoma" w:cs="Tahoma"/>
          <w:sz w:val="24"/>
          <w:szCs w:val="24"/>
          <w:lang w:eastAsia="pl-PL"/>
        </w:rPr>
        <w:t xml:space="preserve">y, miejsce, data i godzina urodzenia dziecka, </w:t>
      </w:r>
      <w:r w:rsidR="00280764" w:rsidRPr="005C3CCB">
        <w:rPr>
          <w:rFonts w:ascii="Tahoma" w:eastAsia="Times New Roman" w:hAnsi="Tahoma" w:cs="Tahoma"/>
          <w:sz w:val="24"/>
          <w:szCs w:val="24"/>
          <w:lang w:eastAsia="pl-PL"/>
        </w:rPr>
        <w:lastRenderedPageBreak/>
        <w:t xml:space="preserve">fakultatywnie zaś – jego płeć, jeśli zażąda tego przed </w:t>
      </w:r>
      <w:r w:rsidR="00280764" w:rsidRPr="005C3CCB">
        <w:rPr>
          <w:rFonts w:ascii="Tahoma" w:hAnsi="Tahoma" w:cs="Tahoma"/>
          <w:sz w:val="24"/>
          <w:szCs w:val="24"/>
        </w:rPr>
        <w:t xml:space="preserve">sporządzeniem karty martwego urodzenia matka lub ojciec dziecka. </w:t>
      </w:r>
    </w:p>
    <w:p w14:paraId="0947FE05" w14:textId="7BDC813B" w:rsidR="00D50ED9" w:rsidRPr="005C3CCB" w:rsidRDefault="00280764" w:rsidP="0096542B">
      <w:pPr>
        <w:spacing w:after="0" w:line="360" w:lineRule="auto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5C3CCB">
        <w:rPr>
          <w:rFonts w:ascii="Tahoma" w:hAnsi="Tahoma" w:cs="Tahoma"/>
          <w:sz w:val="24"/>
          <w:szCs w:val="24"/>
        </w:rPr>
        <w:tab/>
        <w:t xml:space="preserve">Projekt zakłada zmianę w art. 60 pkt 3 </w:t>
      </w:r>
      <w:r w:rsidRPr="005C3CCB">
        <w:rPr>
          <w:rFonts w:ascii="Tahoma" w:hAnsi="Tahoma" w:cs="Tahoma"/>
          <w:bCs/>
          <w:sz w:val="24"/>
          <w:szCs w:val="24"/>
        </w:rPr>
        <w:t xml:space="preserve">p.a.s.c. </w:t>
      </w:r>
      <w:r w:rsidR="00926DCF" w:rsidRPr="005C3CCB">
        <w:rPr>
          <w:rFonts w:ascii="Tahoma" w:hAnsi="Tahoma" w:cs="Tahoma"/>
          <w:bCs/>
          <w:sz w:val="24"/>
          <w:szCs w:val="24"/>
        </w:rPr>
        <w:t xml:space="preserve">Obecnie przepis ten przewiduje, że akt urodzenia zawiera: </w:t>
      </w:r>
      <w:r w:rsidR="00926DCF" w:rsidRPr="005C3CCB">
        <w:rPr>
          <w:rFonts w:ascii="Tahoma" w:hAnsi="Tahoma" w:cs="Tahoma"/>
          <w:sz w:val="24"/>
          <w:szCs w:val="24"/>
        </w:rPr>
        <w:t xml:space="preserve">nazwisko, imię (imiona) dziecka; kraj, datę i miejsce urodzenia dziecka; płeć dziecka; nazwiska, imiona oraz nazwiska rodowe, daty i miejsca urodzenia rodziców dziecka; nazwisko i imię osoby zgłaszającej urodzenie oraz nazwisko i imię biegłego lub tłumacza, jeżeli brał udział w czynności. </w:t>
      </w:r>
      <w:r w:rsidR="00926DCF" w:rsidRPr="005C3CCB">
        <w:rPr>
          <w:rFonts w:ascii="Tahoma" w:eastAsia="Times New Roman" w:hAnsi="Tahoma" w:cs="Tahoma"/>
          <w:sz w:val="24"/>
          <w:szCs w:val="24"/>
          <w:lang w:eastAsia="pl-PL"/>
        </w:rPr>
        <w:t xml:space="preserve">Projekt przewiduje, że w akcie urodzenia dziecka martwo urodzonego płeć dziecka będzie zamieszczona wyłącznie w przypadku, gdy w karcie martwego urodzenia, na podstawie której się go sporządza, taka dana zostanie odzwierciedlona. Projektowana zmiana stanowi konsekwencję </w:t>
      </w:r>
      <w:r w:rsidR="00926DCF" w:rsidRPr="005C3CCB">
        <w:rPr>
          <w:rFonts w:ascii="Tahoma" w:hAnsi="Tahoma" w:cs="Tahoma"/>
          <w:bCs/>
          <w:sz w:val="24"/>
          <w:szCs w:val="24"/>
        </w:rPr>
        <w:t>proponowanego brzmienia art. 54 ust. 3 p.a.s.c.</w:t>
      </w:r>
    </w:p>
    <w:p w14:paraId="006C9746" w14:textId="77777777" w:rsidR="0096542B" w:rsidRPr="005C3CCB" w:rsidRDefault="0096542B" w:rsidP="0096542B">
      <w:pPr>
        <w:spacing w:after="0" w:line="360" w:lineRule="auto"/>
        <w:jc w:val="both"/>
        <w:rPr>
          <w:rFonts w:ascii="Tahoma" w:hAnsi="Tahoma" w:cs="Tahoma"/>
          <w:b/>
          <w:bCs/>
          <w:sz w:val="24"/>
          <w:szCs w:val="24"/>
        </w:rPr>
      </w:pPr>
    </w:p>
    <w:p w14:paraId="7A5C79DC" w14:textId="60F40D7A" w:rsidR="0096542B" w:rsidRPr="005C3CCB" w:rsidRDefault="0096542B" w:rsidP="0096542B">
      <w:pPr>
        <w:spacing w:after="0" w:line="360" w:lineRule="auto"/>
        <w:jc w:val="both"/>
        <w:rPr>
          <w:rFonts w:ascii="Tahoma" w:hAnsi="Tahoma" w:cs="Tahoma"/>
          <w:b/>
          <w:bCs/>
          <w:sz w:val="24"/>
          <w:szCs w:val="24"/>
        </w:rPr>
      </w:pPr>
      <w:r w:rsidRPr="005C3CCB">
        <w:rPr>
          <w:rFonts w:ascii="Tahoma" w:hAnsi="Tahoma" w:cs="Tahoma"/>
          <w:b/>
          <w:bCs/>
          <w:sz w:val="24"/>
          <w:szCs w:val="24"/>
        </w:rPr>
        <w:tab/>
        <w:t>3. Przewidywane skutki społeczne, gospodarcze, finansowe i prawne</w:t>
      </w:r>
    </w:p>
    <w:p w14:paraId="53F515B8" w14:textId="0E1AABD6" w:rsidR="005207A5" w:rsidRPr="005C3CCB" w:rsidRDefault="00727CE1" w:rsidP="00727CE1">
      <w:pPr>
        <w:tabs>
          <w:tab w:val="left" w:pos="6705"/>
        </w:tabs>
        <w:spacing w:after="0" w:line="360" w:lineRule="auto"/>
        <w:jc w:val="both"/>
        <w:rPr>
          <w:rFonts w:ascii="Tahoma" w:hAnsi="Tahoma" w:cs="Tahoma"/>
          <w:b/>
          <w:bCs/>
          <w:sz w:val="24"/>
          <w:szCs w:val="24"/>
        </w:rPr>
      </w:pPr>
      <w:r w:rsidRPr="005C3CCB">
        <w:rPr>
          <w:rFonts w:ascii="Tahoma" w:hAnsi="Tahoma" w:cs="Tahoma"/>
          <w:b/>
          <w:bCs/>
          <w:sz w:val="24"/>
          <w:szCs w:val="24"/>
        </w:rPr>
        <w:tab/>
      </w:r>
    </w:p>
    <w:p w14:paraId="6CFD2B47" w14:textId="5787FEC3" w:rsidR="0097605B" w:rsidRPr="005C3CCB" w:rsidRDefault="005207A5" w:rsidP="005C3CCB">
      <w:pPr>
        <w:spacing w:after="0" w:line="360" w:lineRule="auto"/>
        <w:ind w:firstLine="708"/>
        <w:jc w:val="both"/>
        <w:rPr>
          <w:rFonts w:ascii="Tahoma" w:hAnsi="Tahoma" w:cs="Tahoma"/>
          <w:bCs/>
          <w:sz w:val="24"/>
          <w:szCs w:val="24"/>
        </w:rPr>
      </w:pPr>
      <w:r w:rsidRPr="005C3CCB">
        <w:rPr>
          <w:rFonts w:ascii="Tahoma" w:hAnsi="Tahoma" w:cs="Tahoma"/>
          <w:bCs/>
          <w:sz w:val="24"/>
          <w:szCs w:val="24"/>
        </w:rPr>
        <w:t xml:space="preserve">Wejście w życie projektu </w:t>
      </w:r>
      <w:r w:rsidR="00727CE1" w:rsidRPr="005C3CCB">
        <w:rPr>
          <w:rFonts w:ascii="Tahoma" w:hAnsi="Tahoma" w:cs="Tahoma"/>
          <w:bCs/>
          <w:sz w:val="24"/>
          <w:szCs w:val="24"/>
        </w:rPr>
        <w:t xml:space="preserve">wywoła pożądane skutki społeczne. </w:t>
      </w:r>
      <w:r w:rsidR="00DC7081" w:rsidRPr="005C3CCB">
        <w:rPr>
          <w:rFonts w:ascii="Tahoma" w:hAnsi="Tahoma" w:cs="Tahoma"/>
          <w:bCs/>
          <w:sz w:val="24"/>
          <w:szCs w:val="24"/>
        </w:rPr>
        <w:t xml:space="preserve">Rodzice dzieci martwo urodzonych nie będą musieli ponosić dodatkowych kosztów związanych z ustaleniem płci dziecka, a postępowanie zmierzające do sporządzenia aktu urodzenia stanie się szybsze i bardziej dla nich komfortowe. </w:t>
      </w:r>
      <w:r w:rsidR="0097605B" w:rsidRPr="005C3CCB">
        <w:rPr>
          <w:rFonts w:ascii="Tahoma" w:hAnsi="Tahoma" w:cs="Tahoma"/>
          <w:bCs/>
          <w:sz w:val="24"/>
          <w:szCs w:val="24"/>
        </w:rPr>
        <w:t xml:space="preserve">W ten sposób zagwarantowany zostanie również pełny, faktyczny dostęp do uprawnień z zakresu prawa pracy i ubezpieczeń społecznych przysługujących matkom dzieci martwo urodzonych. W obowiązującym stanie prawnym jest on bowiem w wielu przypadkach ograniczony koniecznością przeprowadzania badań </w:t>
      </w:r>
      <w:r w:rsidR="0097605B" w:rsidRPr="005C3CCB">
        <w:rPr>
          <w:rFonts w:ascii="Tahoma" w:eastAsia="Times New Roman" w:hAnsi="Tahoma" w:cs="Tahoma"/>
          <w:sz w:val="24"/>
          <w:szCs w:val="24"/>
          <w:lang w:eastAsia="pl-PL"/>
        </w:rPr>
        <w:t xml:space="preserve">genetycznych zmierzających do ustalenia płci dziecka martwo urodzonego. </w:t>
      </w:r>
    </w:p>
    <w:p w14:paraId="7D60B423" w14:textId="5B1FD49B" w:rsidR="005207A5" w:rsidRPr="005C3CCB" w:rsidRDefault="005207A5" w:rsidP="0096542B">
      <w:pPr>
        <w:spacing w:after="0" w:line="360" w:lineRule="auto"/>
        <w:jc w:val="both"/>
        <w:rPr>
          <w:rFonts w:ascii="Tahoma" w:hAnsi="Tahoma" w:cs="Tahoma"/>
          <w:bCs/>
          <w:sz w:val="24"/>
          <w:szCs w:val="24"/>
        </w:rPr>
      </w:pPr>
      <w:r w:rsidRPr="005C3CCB">
        <w:rPr>
          <w:rFonts w:ascii="Tahoma" w:hAnsi="Tahoma" w:cs="Tahoma"/>
          <w:bCs/>
          <w:sz w:val="24"/>
          <w:szCs w:val="24"/>
        </w:rPr>
        <w:tab/>
        <w:t>Projektowana ustawa nie będzie oddziaływać na siły popytu i podaży na żadnym rynku ani wpływać na warunki podejmowania i prowadzenia działalności gospodarczej.</w:t>
      </w:r>
    </w:p>
    <w:p w14:paraId="024AE78A" w14:textId="6F2C1C7E" w:rsidR="005207A5" w:rsidRPr="005C3CCB" w:rsidRDefault="005207A5" w:rsidP="0096542B">
      <w:pPr>
        <w:spacing w:after="0" w:line="360" w:lineRule="auto"/>
        <w:jc w:val="both"/>
        <w:rPr>
          <w:rFonts w:ascii="Tahoma" w:hAnsi="Tahoma" w:cs="Tahoma"/>
          <w:bCs/>
          <w:sz w:val="24"/>
          <w:szCs w:val="24"/>
        </w:rPr>
      </w:pPr>
      <w:r w:rsidRPr="005C3CCB">
        <w:rPr>
          <w:rFonts w:ascii="Tahoma" w:hAnsi="Tahoma" w:cs="Tahoma"/>
          <w:bCs/>
          <w:sz w:val="24"/>
          <w:szCs w:val="24"/>
        </w:rPr>
        <w:tab/>
        <w:t xml:space="preserve">Wejście w życie projektowanej ustawy nie spowoduje zmian w dochodach i wydatkach budżetu państwa ani budżetów jednostek samorządu terytorialnego. </w:t>
      </w:r>
    </w:p>
    <w:p w14:paraId="4C4A5E36" w14:textId="36FC6733" w:rsidR="005207A5" w:rsidRPr="005C3CCB" w:rsidRDefault="005207A5" w:rsidP="005207A5">
      <w:pPr>
        <w:spacing w:after="0" w:line="360" w:lineRule="auto"/>
        <w:ind w:firstLine="708"/>
        <w:jc w:val="both"/>
        <w:rPr>
          <w:rFonts w:ascii="Tahoma" w:hAnsi="Tahoma" w:cs="Tahoma"/>
          <w:bCs/>
          <w:sz w:val="24"/>
          <w:szCs w:val="24"/>
        </w:rPr>
      </w:pPr>
      <w:r w:rsidRPr="005C3CCB">
        <w:rPr>
          <w:rFonts w:ascii="Tahoma" w:hAnsi="Tahoma" w:cs="Tahoma"/>
          <w:bCs/>
          <w:sz w:val="24"/>
          <w:szCs w:val="24"/>
        </w:rPr>
        <w:t xml:space="preserve">Projektowana ustawa spowoduje konieczność zmiany rozporządzenia wydanego na podstawie art. 144 ust. 6 p.a.s.c. (obecnie, do 1 </w:t>
      </w:r>
      <w:r w:rsidRPr="005C3CCB">
        <w:rPr>
          <w:rFonts w:ascii="Tahoma" w:hAnsi="Tahoma" w:cs="Tahoma"/>
          <w:sz w:val="24"/>
          <w:szCs w:val="24"/>
        </w:rPr>
        <w:t xml:space="preserve">stycznia 2023 r. jest to rozporządzenie Ministra Zdrowia z 7 grudnia 2017 r. w sprawie wzorów karty urodzenia i karty martwego urodzenia, tekst jedn. Dz.U. z 2017 r. poz. 2305). </w:t>
      </w:r>
    </w:p>
    <w:p w14:paraId="7738B3C1" w14:textId="77777777" w:rsidR="005207A5" w:rsidRPr="005C3CCB" w:rsidRDefault="005207A5" w:rsidP="005207A5">
      <w:pPr>
        <w:spacing w:after="0" w:line="360" w:lineRule="auto"/>
        <w:ind w:firstLine="708"/>
        <w:jc w:val="both"/>
        <w:rPr>
          <w:rFonts w:ascii="Tahoma" w:hAnsi="Tahoma" w:cs="Tahoma"/>
          <w:b/>
          <w:bCs/>
          <w:sz w:val="24"/>
          <w:szCs w:val="24"/>
        </w:rPr>
      </w:pPr>
    </w:p>
    <w:p w14:paraId="3DFB4406" w14:textId="181AE933" w:rsidR="0096542B" w:rsidRPr="005C3CCB" w:rsidRDefault="0096542B" w:rsidP="0096542B">
      <w:pPr>
        <w:spacing w:after="0" w:line="360" w:lineRule="auto"/>
        <w:ind w:firstLine="708"/>
        <w:jc w:val="both"/>
        <w:rPr>
          <w:rFonts w:ascii="Tahoma" w:hAnsi="Tahoma" w:cs="Tahoma"/>
          <w:b/>
          <w:bCs/>
          <w:sz w:val="24"/>
          <w:szCs w:val="24"/>
        </w:rPr>
      </w:pPr>
      <w:r w:rsidRPr="005C3CCB">
        <w:rPr>
          <w:rFonts w:ascii="Tahoma" w:hAnsi="Tahoma" w:cs="Tahoma"/>
          <w:b/>
          <w:bCs/>
          <w:sz w:val="24"/>
          <w:szCs w:val="24"/>
        </w:rPr>
        <w:lastRenderedPageBreak/>
        <w:t>4. Założenia podstawowych aktów wykonawczych</w:t>
      </w:r>
    </w:p>
    <w:p w14:paraId="7B975B85" w14:textId="77777777" w:rsidR="00DD4207" w:rsidRPr="005C3CCB" w:rsidRDefault="00DD4207" w:rsidP="0096542B">
      <w:pPr>
        <w:spacing w:after="0" w:line="360" w:lineRule="auto"/>
        <w:ind w:firstLine="708"/>
        <w:jc w:val="both"/>
        <w:rPr>
          <w:rFonts w:ascii="Tahoma" w:hAnsi="Tahoma" w:cs="Tahoma"/>
          <w:b/>
          <w:bCs/>
          <w:sz w:val="24"/>
          <w:szCs w:val="24"/>
        </w:rPr>
      </w:pPr>
    </w:p>
    <w:p w14:paraId="455BBA9A" w14:textId="2C050629" w:rsidR="003D25A7" w:rsidRPr="005C3CCB" w:rsidRDefault="003D25A7" w:rsidP="00DD4207">
      <w:pPr>
        <w:spacing w:after="0" w:line="360" w:lineRule="auto"/>
        <w:ind w:firstLine="708"/>
        <w:jc w:val="both"/>
        <w:rPr>
          <w:rFonts w:ascii="Tahoma" w:hAnsi="Tahoma" w:cs="Tahoma"/>
          <w:sz w:val="24"/>
          <w:szCs w:val="24"/>
        </w:rPr>
      </w:pPr>
      <w:r w:rsidRPr="005C3CCB">
        <w:rPr>
          <w:rFonts w:ascii="Tahoma" w:hAnsi="Tahoma" w:cs="Tahoma"/>
          <w:bCs/>
          <w:sz w:val="24"/>
          <w:szCs w:val="24"/>
        </w:rPr>
        <w:t xml:space="preserve">Projekt nie przewiduje upoważnień do wydawania aktów wykonawczych. </w:t>
      </w:r>
      <w:r w:rsidR="00C6162B" w:rsidRPr="005C3CCB">
        <w:rPr>
          <w:rFonts w:ascii="Tahoma" w:hAnsi="Tahoma" w:cs="Tahoma"/>
          <w:bCs/>
          <w:sz w:val="24"/>
          <w:szCs w:val="24"/>
        </w:rPr>
        <w:t xml:space="preserve">Wejście w życie projektowanej ustawy będzie jednak miało wpływ na treść rozporządzenia wydanego na podstawie art. 144 ust. 6 p.a.s.c. Przepis ten zawiera upoważnienie dla ministra właściwego do spraw zdrowia do określenia w drodze rozporządzenia wzoru karty martwego urodzenia. Projektowana ustawa przewiduje zmianę w katalogu danych, które umieszczane są obligatoryjnie w karcie martwego urodzenia. </w:t>
      </w:r>
      <w:r w:rsidR="00E84E73" w:rsidRPr="005C3CCB">
        <w:rPr>
          <w:rFonts w:ascii="Tahoma" w:hAnsi="Tahoma" w:cs="Tahoma"/>
          <w:bCs/>
          <w:sz w:val="24"/>
          <w:szCs w:val="24"/>
        </w:rPr>
        <w:t xml:space="preserve">Nowelizacja ta będzie musiała więc znaleźć odzwierciedlenie w treści rozporządzenia wydanego na podstawie art. 144 ust. 6 p.a.s.c. </w:t>
      </w:r>
      <w:r w:rsidR="00DD4207" w:rsidRPr="005C3CCB">
        <w:rPr>
          <w:rFonts w:ascii="Tahoma" w:hAnsi="Tahoma" w:cs="Tahoma"/>
          <w:sz w:val="24"/>
          <w:szCs w:val="24"/>
        </w:rPr>
        <w:t xml:space="preserve">W ocenie projektodawców rozporządzenie to powinno uwzględniać pole, w którym możliwe byłoby wskazanie płci dziecka martwo urodzonego, z zaznaczeniem, że jego wypełnienie jest fakultatywne. </w:t>
      </w:r>
    </w:p>
    <w:p w14:paraId="12F4B07C" w14:textId="77777777" w:rsidR="003D25A7" w:rsidRPr="005C3CCB" w:rsidRDefault="003D25A7" w:rsidP="0096542B">
      <w:pPr>
        <w:spacing w:after="0" w:line="360" w:lineRule="auto"/>
        <w:ind w:firstLine="708"/>
        <w:jc w:val="both"/>
        <w:rPr>
          <w:rFonts w:ascii="Tahoma" w:hAnsi="Tahoma" w:cs="Tahoma"/>
          <w:bCs/>
          <w:sz w:val="24"/>
          <w:szCs w:val="24"/>
        </w:rPr>
      </w:pPr>
    </w:p>
    <w:p w14:paraId="3E49A79C" w14:textId="77777777" w:rsidR="0096542B" w:rsidRPr="005C3CCB" w:rsidRDefault="0096542B" w:rsidP="00DD4207">
      <w:pPr>
        <w:spacing w:after="0" w:line="360" w:lineRule="auto"/>
        <w:ind w:firstLine="708"/>
        <w:jc w:val="both"/>
        <w:rPr>
          <w:rFonts w:ascii="Tahoma" w:hAnsi="Tahoma" w:cs="Tahoma"/>
          <w:b/>
          <w:bCs/>
          <w:sz w:val="24"/>
          <w:szCs w:val="24"/>
        </w:rPr>
      </w:pPr>
      <w:r w:rsidRPr="005C3CCB">
        <w:rPr>
          <w:rFonts w:ascii="Tahoma" w:hAnsi="Tahoma" w:cs="Tahoma"/>
          <w:b/>
          <w:bCs/>
          <w:sz w:val="24"/>
          <w:szCs w:val="24"/>
        </w:rPr>
        <w:t>5. Oświadczenie o zgodności projektu ustawy z prawem Unii Europejskiej albo oświadczenie, że przedmiot projektowanej regulacji nie jest objęty prawem Unii Europejskiej</w:t>
      </w:r>
    </w:p>
    <w:p w14:paraId="2AAFD208" w14:textId="77777777" w:rsidR="0096542B" w:rsidRPr="005C3CCB" w:rsidRDefault="0096542B" w:rsidP="0096542B">
      <w:pPr>
        <w:spacing w:after="0" w:line="360" w:lineRule="auto"/>
        <w:ind w:firstLine="708"/>
        <w:jc w:val="both"/>
        <w:rPr>
          <w:rFonts w:ascii="Tahoma" w:hAnsi="Tahoma" w:cs="Tahoma"/>
          <w:b/>
          <w:bCs/>
          <w:sz w:val="24"/>
          <w:szCs w:val="24"/>
        </w:rPr>
      </w:pPr>
    </w:p>
    <w:p w14:paraId="361945E3" w14:textId="55F00B3B" w:rsidR="0096542B" w:rsidRPr="005C3CCB" w:rsidRDefault="0096542B" w:rsidP="0096542B">
      <w:pPr>
        <w:spacing w:after="0" w:line="360" w:lineRule="auto"/>
        <w:ind w:firstLine="708"/>
        <w:jc w:val="both"/>
        <w:rPr>
          <w:rFonts w:ascii="Tahoma" w:hAnsi="Tahoma" w:cs="Tahoma"/>
          <w:sz w:val="24"/>
          <w:szCs w:val="24"/>
        </w:rPr>
      </w:pPr>
      <w:r w:rsidRPr="005C3CCB">
        <w:rPr>
          <w:rFonts w:ascii="Tahoma" w:hAnsi="Tahoma" w:cs="Tahoma"/>
          <w:sz w:val="24"/>
          <w:szCs w:val="24"/>
        </w:rPr>
        <w:t>Projektowana ustawa nie jest objęta prawem Unii Europejskiej</w:t>
      </w:r>
      <w:r w:rsidR="005C3CCB" w:rsidRPr="005C3CCB">
        <w:rPr>
          <w:rFonts w:ascii="Tahoma" w:hAnsi="Tahoma" w:cs="Tahoma"/>
          <w:sz w:val="24"/>
          <w:szCs w:val="24"/>
        </w:rPr>
        <w:t xml:space="preserve"> i nie podlega notyfikacji do właściwych organów Unii Europejskiej.</w:t>
      </w:r>
    </w:p>
    <w:p w14:paraId="74EBAB66" w14:textId="101B6783" w:rsidR="005C3CCB" w:rsidRPr="005C3CCB" w:rsidRDefault="005C3CCB" w:rsidP="0096542B">
      <w:pPr>
        <w:spacing w:after="0" w:line="360" w:lineRule="auto"/>
        <w:ind w:firstLine="708"/>
        <w:jc w:val="both"/>
        <w:rPr>
          <w:rFonts w:ascii="Tahoma" w:hAnsi="Tahoma" w:cs="Tahoma"/>
          <w:sz w:val="24"/>
          <w:szCs w:val="24"/>
        </w:rPr>
      </w:pPr>
    </w:p>
    <w:p w14:paraId="065EBF05" w14:textId="173647EF" w:rsidR="005C3CCB" w:rsidRPr="005C3CCB" w:rsidRDefault="005C3CCB" w:rsidP="0096542B">
      <w:pPr>
        <w:spacing w:after="0" w:line="360" w:lineRule="auto"/>
        <w:ind w:firstLine="708"/>
        <w:jc w:val="both"/>
        <w:rPr>
          <w:rFonts w:ascii="Tahoma" w:hAnsi="Tahoma" w:cs="Tahoma"/>
          <w:b/>
          <w:bCs/>
          <w:sz w:val="24"/>
          <w:szCs w:val="24"/>
        </w:rPr>
      </w:pPr>
      <w:r w:rsidRPr="005C3CCB">
        <w:rPr>
          <w:rFonts w:ascii="Tahoma" w:hAnsi="Tahoma" w:cs="Tahoma"/>
          <w:b/>
          <w:bCs/>
          <w:sz w:val="24"/>
          <w:szCs w:val="24"/>
        </w:rPr>
        <w:t>6. Oświadczenie o zgodności z Konstytucją RP</w:t>
      </w:r>
    </w:p>
    <w:p w14:paraId="18725958" w14:textId="77777777" w:rsidR="005C3CCB" w:rsidRPr="005C3CCB" w:rsidRDefault="005C3CCB" w:rsidP="0096542B">
      <w:pPr>
        <w:spacing w:after="0" w:line="360" w:lineRule="auto"/>
        <w:ind w:firstLine="708"/>
        <w:jc w:val="both"/>
        <w:rPr>
          <w:rFonts w:ascii="Tahoma" w:hAnsi="Tahoma" w:cs="Tahoma"/>
          <w:sz w:val="24"/>
          <w:szCs w:val="24"/>
        </w:rPr>
      </w:pPr>
    </w:p>
    <w:p w14:paraId="67BBD311" w14:textId="2FB6E9DB" w:rsidR="005C3CCB" w:rsidRPr="005C3CCB" w:rsidRDefault="005C3CCB" w:rsidP="0096542B">
      <w:pPr>
        <w:spacing w:after="0" w:line="360" w:lineRule="auto"/>
        <w:ind w:firstLine="708"/>
        <w:jc w:val="both"/>
        <w:rPr>
          <w:rFonts w:ascii="Tahoma" w:hAnsi="Tahoma" w:cs="Tahoma"/>
          <w:sz w:val="24"/>
          <w:szCs w:val="24"/>
        </w:rPr>
      </w:pPr>
      <w:r w:rsidRPr="005C3CCB">
        <w:rPr>
          <w:rFonts w:ascii="Tahoma" w:hAnsi="Tahoma" w:cs="Tahoma"/>
          <w:sz w:val="24"/>
          <w:szCs w:val="24"/>
        </w:rPr>
        <w:t>W ocenie projektodawców projekt ustawy jest zgodny z Konstytucją RP.</w:t>
      </w:r>
    </w:p>
    <w:p w14:paraId="029AEC29" w14:textId="77777777" w:rsidR="0096542B" w:rsidRPr="005C3CCB" w:rsidRDefault="0096542B" w:rsidP="0096542B">
      <w:pPr>
        <w:spacing w:after="0" w:line="360" w:lineRule="auto"/>
        <w:ind w:firstLine="708"/>
        <w:jc w:val="both"/>
        <w:rPr>
          <w:rFonts w:ascii="Tahoma" w:hAnsi="Tahoma" w:cs="Tahoma"/>
          <w:sz w:val="24"/>
          <w:szCs w:val="24"/>
        </w:rPr>
      </w:pPr>
    </w:p>
    <w:p w14:paraId="0C629A71" w14:textId="53E2A2E0" w:rsidR="0096542B" w:rsidRPr="005C3CCB" w:rsidRDefault="005C3CCB" w:rsidP="0096542B">
      <w:pPr>
        <w:spacing w:after="0" w:line="360" w:lineRule="auto"/>
        <w:ind w:firstLine="708"/>
        <w:jc w:val="both"/>
        <w:rPr>
          <w:rFonts w:ascii="Tahoma" w:hAnsi="Tahoma" w:cs="Tahoma"/>
          <w:b/>
          <w:bCs/>
          <w:sz w:val="24"/>
          <w:szCs w:val="24"/>
        </w:rPr>
      </w:pPr>
      <w:r w:rsidRPr="005C3CCB">
        <w:rPr>
          <w:rFonts w:ascii="Tahoma" w:hAnsi="Tahoma" w:cs="Tahoma"/>
          <w:b/>
          <w:bCs/>
          <w:sz w:val="24"/>
          <w:szCs w:val="24"/>
        </w:rPr>
        <w:t>7.</w:t>
      </w:r>
      <w:r w:rsidR="0096542B" w:rsidRPr="005C3CCB">
        <w:rPr>
          <w:rFonts w:ascii="Tahoma" w:hAnsi="Tahoma" w:cs="Tahoma"/>
          <w:b/>
          <w:bCs/>
          <w:sz w:val="24"/>
          <w:szCs w:val="24"/>
        </w:rPr>
        <w:t xml:space="preserve"> Wpływ na działalność mikroprzedsiębiorców oraz małych i średnich przedsiębiorców</w:t>
      </w:r>
    </w:p>
    <w:p w14:paraId="6D4987D0" w14:textId="77777777" w:rsidR="00DD4207" w:rsidRPr="005C3CCB" w:rsidRDefault="00DD4207" w:rsidP="0096542B">
      <w:pPr>
        <w:spacing w:after="0" w:line="360" w:lineRule="auto"/>
        <w:ind w:firstLine="708"/>
        <w:jc w:val="both"/>
        <w:rPr>
          <w:rFonts w:ascii="Tahoma" w:hAnsi="Tahoma" w:cs="Tahoma"/>
          <w:sz w:val="24"/>
          <w:szCs w:val="24"/>
        </w:rPr>
      </w:pPr>
    </w:p>
    <w:p w14:paraId="6A988F18" w14:textId="37B4614C" w:rsidR="00DD4207" w:rsidRPr="005C3CCB" w:rsidRDefault="00DD4207" w:rsidP="00DD4207">
      <w:pPr>
        <w:spacing w:after="0" w:line="360" w:lineRule="auto"/>
        <w:ind w:firstLine="708"/>
        <w:jc w:val="both"/>
        <w:rPr>
          <w:rFonts w:ascii="Tahoma" w:hAnsi="Tahoma" w:cs="Tahoma"/>
          <w:b/>
          <w:bCs/>
          <w:sz w:val="24"/>
          <w:szCs w:val="24"/>
        </w:rPr>
      </w:pPr>
      <w:r w:rsidRPr="005C3CCB">
        <w:rPr>
          <w:rFonts w:ascii="Tahoma" w:hAnsi="Tahoma" w:cs="Tahoma"/>
          <w:sz w:val="24"/>
          <w:szCs w:val="24"/>
        </w:rPr>
        <w:t xml:space="preserve">Wejście w życie projektowanej ustawy nie wpłynie na </w:t>
      </w:r>
      <w:r w:rsidRPr="005C3CCB">
        <w:rPr>
          <w:rFonts w:ascii="Tahoma" w:hAnsi="Tahoma" w:cs="Tahoma"/>
          <w:bCs/>
          <w:sz w:val="24"/>
          <w:szCs w:val="24"/>
        </w:rPr>
        <w:t>działalność mikroprzedsiębiorców oraz małych i średnich przedsiębiorców.</w:t>
      </w:r>
    </w:p>
    <w:p w14:paraId="40B8C6D8" w14:textId="77777777" w:rsidR="0096542B" w:rsidRPr="005C3CCB" w:rsidRDefault="0096542B" w:rsidP="0096542B">
      <w:pPr>
        <w:spacing w:after="0" w:line="360" w:lineRule="auto"/>
        <w:ind w:firstLine="708"/>
        <w:jc w:val="both"/>
        <w:rPr>
          <w:rFonts w:ascii="Tahoma" w:hAnsi="Tahoma" w:cs="Tahoma"/>
          <w:b/>
          <w:bCs/>
          <w:sz w:val="24"/>
          <w:szCs w:val="24"/>
        </w:rPr>
      </w:pPr>
    </w:p>
    <w:p w14:paraId="01CAAD33" w14:textId="6E953BAA" w:rsidR="0096542B" w:rsidRPr="005C3CCB" w:rsidRDefault="0096542B" w:rsidP="0096542B">
      <w:pPr>
        <w:spacing w:after="0" w:line="360" w:lineRule="auto"/>
        <w:jc w:val="both"/>
        <w:rPr>
          <w:rFonts w:ascii="Tahoma" w:hAnsi="Tahoma" w:cs="Tahoma"/>
          <w:b/>
          <w:bCs/>
          <w:sz w:val="24"/>
          <w:szCs w:val="24"/>
        </w:rPr>
      </w:pPr>
      <w:r w:rsidRPr="005C3CCB">
        <w:rPr>
          <w:rFonts w:ascii="Tahoma" w:hAnsi="Tahoma" w:cs="Tahoma"/>
          <w:b/>
          <w:bCs/>
          <w:sz w:val="24"/>
          <w:szCs w:val="24"/>
        </w:rPr>
        <w:tab/>
      </w:r>
      <w:r w:rsidR="005C3CCB" w:rsidRPr="005C3CCB">
        <w:rPr>
          <w:rFonts w:ascii="Tahoma" w:hAnsi="Tahoma" w:cs="Tahoma"/>
          <w:b/>
          <w:bCs/>
          <w:sz w:val="24"/>
          <w:szCs w:val="24"/>
        </w:rPr>
        <w:t>8</w:t>
      </w:r>
      <w:r w:rsidRPr="005C3CCB">
        <w:rPr>
          <w:rFonts w:ascii="Tahoma" w:hAnsi="Tahoma" w:cs="Tahoma"/>
          <w:b/>
          <w:bCs/>
          <w:sz w:val="24"/>
          <w:szCs w:val="24"/>
        </w:rPr>
        <w:t>. Konsultacje społeczne</w:t>
      </w:r>
    </w:p>
    <w:p w14:paraId="57631F6E" w14:textId="77777777" w:rsidR="0096542B" w:rsidRPr="005C3CCB" w:rsidRDefault="0096542B" w:rsidP="0096542B">
      <w:pPr>
        <w:spacing w:after="0" w:line="360" w:lineRule="auto"/>
        <w:jc w:val="both"/>
        <w:rPr>
          <w:rFonts w:ascii="Tahoma" w:hAnsi="Tahoma" w:cs="Tahoma"/>
          <w:sz w:val="24"/>
          <w:szCs w:val="24"/>
        </w:rPr>
      </w:pPr>
    </w:p>
    <w:p w14:paraId="672AB808" w14:textId="7CEE1052" w:rsidR="00CA7270" w:rsidRPr="005C3CCB" w:rsidRDefault="0096542B" w:rsidP="005207A5">
      <w:pPr>
        <w:spacing w:after="0" w:line="360" w:lineRule="auto"/>
        <w:ind w:firstLine="708"/>
        <w:jc w:val="both"/>
        <w:rPr>
          <w:rFonts w:ascii="Tahoma" w:hAnsi="Tahoma" w:cs="Tahoma"/>
          <w:sz w:val="24"/>
          <w:szCs w:val="24"/>
        </w:rPr>
      </w:pPr>
      <w:r w:rsidRPr="005C3CCB">
        <w:rPr>
          <w:rFonts w:ascii="Tahoma" w:hAnsi="Tahoma" w:cs="Tahoma"/>
          <w:sz w:val="24"/>
          <w:szCs w:val="24"/>
        </w:rPr>
        <w:t>Proje</w:t>
      </w:r>
      <w:r w:rsidR="003D25A7" w:rsidRPr="005C3CCB">
        <w:rPr>
          <w:rFonts w:ascii="Tahoma" w:hAnsi="Tahoma" w:cs="Tahoma"/>
          <w:sz w:val="24"/>
          <w:szCs w:val="24"/>
        </w:rPr>
        <w:t>kt nie był poddany konsultacjom, ale uwzględnia postulaty przekazane p</w:t>
      </w:r>
      <w:r w:rsidR="00D50ED9" w:rsidRPr="005C3CCB">
        <w:rPr>
          <w:rFonts w:ascii="Tahoma" w:hAnsi="Tahoma" w:cs="Tahoma"/>
          <w:sz w:val="24"/>
          <w:szCs w:val="24"/>
        </w:rPr>
        <w:t>rzez zainteresowane środowiska.</w:t>
      </w:r>
    </w:p>
    <w:sectPr w:rsidR="00CA7270" w:rsidRPr="005C3CCB" w:rsidSect="007B65D6">
      <w:footerReference w:type="default" r:id="rId6"/>
      <w:pgSz w:w="11906" w:h="16838"/>
      <w:pgMar w:top="1417" w:right="1417" w:bottom="1417" w:left="1417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F40356" w14:textId="77777777" w:rsidR="00EF6F72" w:rsidRDefault="00EF6F72" w:rsidP="00C6162B">
      <w:pPr>
        <w:spacing w:after="0" w:line="240" w:lineRule="auto"/>
      </w:pPr>
      <w:r>
        <w:separator/>
      </w:r>
    </w:p>
  </w:endnote>
  <w:endnote w:type="continuationSeparator" w:id="0">
    <w:p w14:paraId="05377580" w14:textId="77777777" w:rsidR="00EF6F72" w:rsidRDefault="00EF6F72" w:rsidP="00C61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01813917"/>
      <w:docPartObj>
        <w:docPartGallery w:val="Page Numbers (Bottom of Page)"/>
        <w:docPartUnique/>
      </w:docPartObj>
    </w:sdtPr>
    <w:sdtEndPr/>
    <w:sdtContent>
      <w:p w14:paraId="16A4F405" w14:textId="0B24595E" w:rsidR="005C3CCB" w:rsidRDefault="005C3CCB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65D6">
          <w:rPr>
            <w:noProof/>
          </w:rPr>
          <w:t>3</w:t>
        </w:r>
        <w:r>
          <w:fldChar w:fldCharType="end"/>
        </w:r>
      </w:p>
    </w:sdtContent>
  </w:sdt>
  <w:p w14:paraId="2E970415" w14:textId="77777777" w:rsidR="005207A5" w:rsidRDefault="005207A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D4D3C1" w14:textId="77777777" w:rsidR="00EF6F72" w:rsidRDefault="00EF6F72" w:rsidP="00C6162B">
      <w:pPr>
        <w:spacing w:after="0" w:line="240" w:lineRule="auto"/>
      </w:pPr>
      <w:r>
        <w:separator/>
      </w:r>
    </w:p>
  </w:footnote>
  <w:footnote w:type="continuationSeparator" w:id="0">
    <w:p w14:paraId="0C57C287" w14:textId="77777777" w:rsidR="00EF6F72" w:rsidRDefault="00EF6F72" w:rsidP="00C6162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2BA4"/>
    <w:rsid w:val="000F7B2C"/>
    <w:rsid w:val="0019323B"/>
    <w:rsid w:val="001940B4"/>
    <w:rsid w:val="0023738D"/>
    <w:rsid w:val="00280764"/>
    <w:rsid w:val="00335FAE"/>
    <w:rsid w:val="003D25A7"/>
    <w:rsid w:val="003E29B5"/>
    <w:rsid w:val="00425A36"/>
    <w:rsid w:val="004B0A92"/>
    <w:rsid w:val="004C4A6A"/>
    <w:rsid w:val="004F19B1"/>
    <w:rsid w:val="005207A5"/>
    <w:rsid w:val="005C3CCB"/>
    <w:rsid w:val="006460EE"/>
    <w:rsid w:val="00706F52"/>
    <w:rsid w:val="00727CE1"/>
    <w:rsid w:val="007641A8"/>
    <w:rsid w:val="007B65D6"/>
    <w:rsid w:val="008E2BA4"/>
    <w:rsid w:val="00926DCF"/>
    <w:rsid w:val="0096542B"/>
    <w:rsid w:val="0097605B"/>
    <w:rsid w:val="009F23D3"/>
    <w:rsid w:val="00AC31DC"/>
    <w:rsid w:val="00AF5AA8"/>
    <w:rsid w:val="00B24970"/>
    <w:rsid w:val="00B65AA9"/>
    <w:rsid w:val="00C02114"/>
    <w:rsid w:val="00C6162B"/>
    <w:rsid w:val="00CA7270"/>
    <w:rsid w:val="00D50ED9"/>
    <w:rsid w:val="00D90BEC"/>
    <w:rsid w:val="00DB1C0F"/>
    <w:rsid w:val="00DC7081"/>
    <w:rsid w:val="00DD4207"/>
    <w:rsid w:val="00DD4307"/>
    <w:rsid w:val="00DE736A"/>
    <w:rsid w:val="00E529AF"/>
    <w:rsid w:val="00E84E73"/>
    <w:rsid w:val="00EA4B3F"/>
    <w:rsid w:val="00EC3FB7"/>
    <w:rsid w:val="00EF6F72"/>
    <w:rsid w:val="00F96C03"/>
    <w:rsid w:val="00FF3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537CB"/>
  <w15:docId w15:val="{F52D0CE1-C85F-4BAC-942B-139F36D37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4F19B1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6162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6162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6162B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5207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207A5"/>
  </w:style>
  <w:style w:type="paragraph" w:styleId="Stopka">
    <w:name w:val="footer"/>
    <w:basedOn w:val="Normalny"/>
    <w:link w:val="StopkaZnak"/>
    <w:uiPriority w:val="99"/>
    <w:unhideWhenUsed/>
    <w:rsid w:val="005207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207A5"/>
  </w:style>
  <w:style w:type="paragraph" w:styleId="Tekstdymka">
    <w:name w:val="Balloon Text"/>
    <w:basedOn w:val="Normalny"/>
    <w:link w:val="TekstdymkaZnak"/>
    <w:uiPriority w:val="99"/>
    <w:semiHidden/>
    <w:unhideWhenUsed/>
    <w:rsid w:val="009760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60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73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88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60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0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90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7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59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37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24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70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67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69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49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74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17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53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55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35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1512</Words>
  <Characters>9077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Sebastian Gajewski</dc:creator>
  <cp:lastModifiedBy>Grzegorz Molesztak</cp:lastModifiedBy>
  <cp:revision>3</cp:revision>
  <cp:lastPrinted>2021-06-10T15:59:00Z</cp:lastPrinted>
  <dcterms:created xsi:type="dcterms:W3CDTF">2021-08-27T08:45:00Z</dcterms:created>
  <dcterms:modified xsi:type="dcterms:W3CDTF">2021-09-29T10:01:00Z</dcterms:modified>
</cp:coreProperties>
</file>