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37111B" w14:textId="77777777" w:rsidR="001B05F1" w:rsidRPr="00CC0390" w:rsidRDefault="001B05F1" w:rsidP="00CC0390">
      <w:pPr>
        <w:spacing w:after="240" w:line="360" w:lineRule="auto"/>
        <w:jc w:val="center"/>
        <w:rPr>
          <w:rFonts w:ascii="Times New Roman" w:hAnsi="Times New Roman" w:cs="Times New Roman"/>
          <w:sz w:val="24"/>
          <w:szCs w:val="24"/>
        </w:rPr>
      </w:pPr>
      <w:bookmarkStart w:id="0" w:name="_GoBack"/>
      <w:bookmarkEnd w:id="0"/>
      <w:r w:rsidRPr="00CC0390">
        <w:rPr>
          <w:rFonts w:ascii="Times New Roman" w:hAnsi="Times New Roman" w:cs="Times New Roman"/>
          <w:sz w:val="24"/>
          <w:szCs w:val="24"/>
        </w:rPr>
        <w:t>UZASADNIENIE</w:t>
      </w:r>
    </w:p>
    <w:p w14:paraId="56A7E715" w14:textId="77777777" w:rsidR="00F500FA" w:rsidRPr="00CC0390" w:rsidRDefault="00F500FA" w:rsidP="00CC0390">
      <w:pPr>
        <w:pStyle w:val="NormalnyWeb"/>
        <w:spacing w:before="120" w:after="0" w:line="360" w:lineRule="auto"/>
        <w:ind w:firstLine="708"/>
        <w:jc w:val="both"/>
        <w:rPr>
          <w:b/>
        </w:rPr>
      </w:pPr>
      <w:r w:rsidRPr="00CC0390">
        <w:rPr>
          <w:b/>
        </w:rPr>
        <w:t>Cel projektowanej regulacji</w:t>
      </w:r>
    </w:p>
    <w:p w14:paraId="0258EC7F" w14:textId="03CC4A32" w:rsidR="006B3E8F" w:rsidRPr="00CC0390" w:rsidRDefault="001B05F1" w:rsidP="00CC0390">
      <w:pPr>
        <w:pStyle w:val="NormalnyWeb"/>
        <w:spacing w:before="120" w:after="0" w:line="360" w:lineRule="auto"/>
        <w:ind w:firstLine="708"/>
        <w:jc w:val="both"/>
      </w:pPr>
      <w:r w:rsidRPr="00CC0390">
        <w:t xml:space="preserve">Do podjęcia </w:t>
      </w:r>
      <w:r w:rsidR="002A1D80" w:rsidRPr="00CC0390">
        <w:t xml:space="preserve">prac nad </w:t>
      </w:r>
      <w:r w:rsidRPr="00CC0390">
        <w:t>zmian</w:t>
      </w:r>
      <w:r w:rsidR="002A1D80" w:rsidRPr="00CC0390">
        <w:t xml:space="preserve">ą </w:t>
      </w:r>
      <w:r w:rsidRPr="00CC0390">
        <w:t xml:space="preserve">regulacji zawartych w ustawie </w:t>
      </w:r>
      <w:r w:rsidR="00D738A7" w:rsidRPr="00CC0390">
        <w:t>z dnia 12 marca</w:t>
      </w:r>
      <w:r w:rsidR="00CC0390">
        <w:t xml:space="preserve"> </w:t>
      </w:r>
      <w:r w:rsidR="00B51536" w:rsidRPr="00CC0390">
        <w:t>2004 r. o pomocy społecznej (Dz. U. z 2020 r. poz. 1876</w:t>
      </w:r>
      <w:r w:rsidR="000C6257" w:rsidRPr="00CC0390">
        <w:t>,</w:t>
      </w:r>
      <w:r w:rsidR="00B51536" w:rsidRPr="00CC0390">
        <w:t xml:space="preserve"> </w:t>
      </w:r>
      <w:r w:rsidR="000C6257" w:rsidRPr="00CC0390">
        <w:t xml:space="preserve">z późn. zm., </w:t>
      </w:r>
      <w:r w:rsidR="002B3E88" w:rsidRPr="00CC0390">
        <w:t>dalej: „u.p.s.”</w:t>
      </w:r>
      <w:r w:rsidR="00B51536" w:rsidRPr="00CC0390">
        <w:t xml:space="preserve">) </w:t>
      </w:r>
      <w:r w:rsidRPr="00CC0390">
        <w:t xml:space="preserve">odnoszących się do kwestii ponoszenia odpłatności za pobyt </w:t>
      </w:r>
      <w:r w:rsidR="00B51536" w:rsidRPr="00CC0390">
        <w:t>w</w:t>
      </w:r>
      <w:r w:rsidRPr="00CC0390">
        <w:t xml:space="preserve"> domu pomocy społecznej </w:t>
      </w:r>
      <w:r w:rsidR="00B51536" w:rsidRPr="00CC0390">
        <w:t>(</w:t>
      </w:r>
      <w:r w:rsidR="009D4BEE" w:rsidRPr="00CC0390">
        <w:t>dalej: „</w:t>
      </w:r>
      <w:r w:rsidR="00B51536" w:rsidRPr="00CC0390">
        <w:t>DPS</w:t>
      </w:r>
      <w:r w:rsidR="009D4BEE" w:rsidRPr="00CC0390">
        <w:t>”</w:t>
      </w:r>
      <w:r w:rsidR="00B51536" w:rsidRPr="00CC0390">
        <w:t xml:space="preserve">) </w:t>
      </w:r>
      <w:r w:rsidR="009D4BEE" w:rsidRPr="00CC0390">
        <w:t>skłani</w:t>
      </w:r>
      <w:r w:rsidR="000F0850" w:rsidRPr="00CC0390">
        <w:t xml:space="preserve">a </w:t>
      </w:r>
      <w:r w:rsidRPr="00CC0390">
        <w:t>wyrażana w wielu środowiskach społeczna potrzeba zagwarantowan</w:t>
      </w:r>
      <w:r w:rsidR="000F0850" w:rsidRPr="00CC0390">
        <w:t>i</w:t>
      </w:r>
      <w:r w:rsidRPr="00CC0390">
        <w:t xml:space="preserve">a większej ochrony członkom rodzin pensjonariuszy </w:t>
      </w:r>
      <w:r w:rsidR="00B51536" w:rsidRPr="00CC0390">
        <w:t>tych instytucji.</w:t>
      </w:r>
      <w:r w:rsidR="00AB002C" w:rsidRPr="00CC0390">
        <w:t xml:space="preserve"> Celem projektowanej regulacji jest</w:t>
      </w:r>
      <w:r w:rsidR="006B3E8F" w:rsidRPr="00CC0390">
        <w:t xml:space="preserve"> </w:t>
      </w:r>
      <w:r w:rsidR="002A5DE2" w:rsidRPr="00CC0390">
        <w:t>roz</w:t>
      </w:r>
      <w:r w:rsidR="006B3E8F" w:rsidRPr="00CC0390">
        <w:t xml:space="preserve">szerzenie </w:t>
      </w:r>
      <w:r w:rsidR="002A5DE2" w:rsidRPr="00CC0390">
        <w:t>katalogu</w:t>
      </w:r>
      <w:r w:rsidR="006B3E8F" w:rsidRPr="00CC0390">
        <w:t xml:space="preserve"> przesłanek </w:t>
      </w:r>
      <w:r w:rsidR="002569D0" w:rsidRPr="00CC0390">
        <w:t>obligatoryjnego</w:t>
      </w:r>
      <w:r w:rsidR="00CC0390">
        <w:t xml:space="preserve"> </w:t>
      </w:r>
      <w:r w:rsidR="002A5DE2" w:rsidRPr="00CC0390">
        <w:t>i fakultatywnego</w:t>
      </w:r>
      <w:r w:rsidR="006B3E8F" w:rsidRPr="00CC0390">
        <w:t xml:space="preserve"> zwolnienia członków rodziny mieszkańca domu pomocy społecznej</w:t>
      </w:r>
      <w:r w:rsidR="00CC0390">
        <w:t xml:space="preserve"> </w:t>
      </w:r>
      <w:r w:rsidR="006B3E8F" w:rsidRPr="00CC0390">
        <w:t>z odpłatności za jego pobyt w domu.</w:t>
      </w:r>
      <w:r w:rsidR="00EF4EA8">
        <w:t xml:space="preserve"> </w:t>
      </w:r>
    </w:p>
    <w:p w14:paraId="28756BC7" w14:textId="77777777" w:rsidR="00F500FA" w:rsidRPr="00CC0390" w:rsidRDefault="00F500FA" w:rsidP="00CC0390">
      <w:pPr>
        <w:pStyle w:val="Default"/>
        <w:spacing w:before="120" w:line="360" w:lineRule="auto"/>
        <w:jc w:val="both"/>
        <w:rPr>
          <w:rFonts w:ascii="Times New Roman" w:hAnsi="Times New Roman" w:cs="Times New Roman"/>
          <w:b/>
        </w:rPr>
      </w:pPr>
      <w:r w:rsidRPr="00CC0390">
        <w:rPr>
          <w:rFonts w:ascii="Times New Roman" w:hAnsi="Times New Roman" w:cs="Times New Roman"/>
          <w:b/>
        </w:rPr>
        <w:t>Aktualny stan prawny</w:t>
      </w:r>
    </w:p>
    <w:p w14:paraId="3BB46825" w14:textId="55346A34" w:rsidR="002B3E88" w:rsidRPr="00CC0390" w:rsidRDefault="002B3E88" w:rsidP="00CC0390">
      <w:pPr>
        <w:pStyle w:val="Default"/>
        <w:spacing w:before="120" w:line="360" w:lineRule="auto"/>
        <w:ind w:firstLine="708"/>
        <w:jc w:val="both"/>
        <w:rPr>
          <w:rFonts w:ascii="Times New Roman" w:hAnsi="Times New Roman" w:cs="Times New Roman"/>
        </w:rPr>
      </w:pPr>
      <w:r w:rsidRPr="00CC0390">
        <w:rPr>
          <w:rFonts w:ascii="Times New Roman" w:hAnsi="Times New Roman" w:cs="Times New Roman"/>
        </w:rPr>
        <w:t xml:space="preserve">Kwestię ponoszenia opłat za pobyt w DPS regulują przede wszystkim przepisy art. 61 u.p.s. Zgodnie z ust. 1 tego artykułu obowiązani do wnoszenia opłaty za pobyt w domu pomocy społecznej są w kolejności: </w:t>
      </w:r>
    </w:p>
    <w:p w14:paraId="130C1C6D" w14:textId="73E8D9E1" w:rsidR="002B3E88" w:rsidRPr="00CC0390" w:rsidRDefault="002B3E88" w:rsidP="00CC0390">
      <w:pPr>
        <w:pStyle w:val="Default"/>
        <w:numPr>
          <w:ilvl w:val="0"/>
          <w:numId w:val="2"/>
        </w:numPr>
        <w:spacing w:before="120" w:line="360" w:lineRule="auto"/>
        <w:jc w:val="both"/>
        <w:rPr>
          <w:rFonts w:ascii="Times New Roman" w:hAnsi="Times New Roman" w:cs="Times New Roman"/>
        </w:rPr>
      </w:pPr>
      <w:r w:rsidRPr="00CC0390">
        <w:rPr>
          <w:rFonts w:ascii="Times New Roman" w:hAnsi="Times New Roman" w:cs="Times New Roman"/>
          <w:iCs/>
        </w:rPr>
        <w:t xml:space="preserve">mieszkaniec domu, a w przypadku osób małoletnich przedstawiciel ustawowy z dochodów dziecka, </w:t>
      </w:r>
    </w:p>
    <w:p w14:paraId="52AB31ED" w14:textId="77777777" w:rsidR="002B3E88" w:rsidRPr="00CC0390" w:rsidRDefault="002B3E88" w:rsidP="00CC0390">
      <w:pPr>
        <w:pStyle w:val="Default"/>
        <w:numPr>
          <w:ilvl w:val="0"/>
          <w:numId w:val="2"/>
        </w:numPr>
        <w:spacing w:before="120" w:line="360" w:lineRule="auto"/>
        <w:jc w:val="both"/>
        <w:rPr>
          <w:rFonts w:ascii="Times New Roman" w:hAnsi="Times New Roman" w:cs="Times New Roman"/>
        </w:rPr>
      </w:pPr>
      <w:r w:rsidRPr="00CC0390">
        <w:rPr>
          <w:rFonts w:ascii="Times New Roman" w:hAnsi="Times New Roman" w:cs="Times New Roman"/>
          <w:iCs/>
        </w:rPr>
        <w:t xml:space="preserve">małżonek, zstępni przed wstępnymi, </w:t>
      </w:r>
    </w:p>
    <w:p w14:paraId="0CA73102" w14:textId="77777777" w:rsidR="002B3E88" w:rsidRPr="00CC0390" w:rsidRDefault="002B3E88" w:rsidP="00CC0390">
      <w:pPr>
        <w:pStyle w:val="Default"/>
        <w:numPr>
          <w:ilvl w:val="0"/>
          <w:numId w:val="2"/>
        </w:numPr>
        <w:spacing w:before="120" w:line="360" w:lineRule="auto"/>
        <w:jc w:val="both"/>
        <w:rPr>
          <w:rFonts w:ascii="Times New Roman" w:hAnsi="Times New Roman" w:cs="Times New Roman"/>
        </w:rPr>
      </w:pPr>
      <w:r w:rsidRPr="00CC0390">
        <w:rPr>
          <w:rFonts w:ascii="Times New Roman" w:hAnsi="Times New Roman" w:cs="Times New Roman"/>
          <w:iCs/>
        </w:rPr>
        <w:t xml:space="preserve">gmina, z której osoba została skierowana do domu pomocy społecznej </w:t>
      </w:r>
    </w:p>
    <w:p w14:paraId="050FE063" w14:textId="77777777" w:rsidR="002B3E88" w:rsidRPr="00CC0390" w:rsidRDefault="002B3E88" w:rsidP="00CC0390">
      <w:pPr>
        <w:pStyle w:val="NormalnyWeb"/>
        <w:spacing w:before="120" w:after="0" w:line="360" w:lineRule="auto"/>
        <w:jc w:val="both"/>
      </w:pPr>
      <w:r w:rsidRPr="00CC0390">
        <w:rPr>
          <w:iCs/>
        </w:rPr>
        <w:t>– przy czym osoby i gmina określone w pkt 2 i 3 nie mają obowiązku wnoszenia opłat, jeżeli mieszkaniec domu ponosi pełną odpłatność</w:t>
      </w:r>
      <w:r w:rsidRPr="00CC0390">
        <w:t>.</w:t>
      </w:r>
    </w:p>
    <w:p w14:paraId="4D1FF474" w14:textId="77777777" w:rsidR="002B3E88" w:rsidRPr="00CC0390" w:rsidRDefault="002B3E88" w:rsidP="00CC0390">
      <w:pPr>
        <w:pStyle w:val="Default"/>
        <w:spacing w:before="120" w:line="360" w:lineRule="auto"/>
        <w:ind w:firstLine="360"/>
        <w:jc w:val="both"/>
        <w:rPr>
          <w:rFonts w:ascii="Times New Roman" w:hAnsi="Times New Roman" w:cs="Times New Roman"/>
        </w:rPr>
      </w:pPr>
      <w:r w:rsidRPr="00CC0390">
        <w:rPr>
          <w:rFonts w:ascii="Times New Roman" w:hAnsi="Times New Roman" w:cs="Times New Roman"/>
        </w:rPr>
        <w:t xml:space="preserve">Z kolei zgodnie z art. 61 ust. 2 u.p.s. </w:t>
      </w:r>
      <w:r w:rsidRPr="00CC0390">
        <w:rPr>
          <w:rFonts w:ascii="Times New Roman" w:hAnsi="Times New Roman" w:cs="Times New Roman"/>
          <w:iCs/>
        </w:rPr>
        <w:t xml:space="preserve">opłatę za pobyt w domu pomocy społecznej wnoszą: </w:t>
      </w:r>
    </w:p>
    <w:p w14:paraId="5DF1F2B6" w14:textId="77777777" w:rsidR="002B3E88" w:rsidRPr="00CC0390" w:rsidRDefault="002B3E88" w:rsidP="00CC0390">
      <w:pPr>
        <w:pStyle w:val="Default"/>
        <w:numPr>
          <w:ilvl w:val="0"/>
          <w:numId w:val="5"/>
        </w:numPr>
        <w:spacing w:before="120" w:line="360" w:lineRule="auto"/>
        <w:jc w:val="both"/>
        <w:rPr>
          <w:rFonts w:ascii="Times New Roman" w:hAnsi="Times New Roman" w:cs="Times New Roman"/>
        </w:rPr>
      </w:pPr>
      <w:r w:rsidRPr="00CC0390">
        <w:rPr>
          <w:rFonts w:ascii="Times New Roman" w:hAnsi="Times New Roman" w:cs="Times New Roman"/>
          <w:iCs/>
        </w:rPr>
        <w:t xml:space="preserve">mieszkaniec domu, nie więcej jednak niż 70% swojego dochodu, a w przypadku osób małoletnich przedstawiciel ustawowy z dochodów dziecka, nie więcej niż 70% tego dochodu; </w:t>
      </w:r>
    </w:p>
    <w:p w14:paraId="25F91187" w14:textId="0D8E8D85" w:rsidR="002B3E88" w:rsidRPr="00CC0390" w:rsidRDefault="002B3E88" w:rsidP="00CC0390">
      <w:pPr>
        <w:pStyle w:val="Default"/>
        <w:numPr>
          <w:ilvl w:val="0"/>
          <w:numId w:val="5"/>
        </w:numPr>
        <w:spacing w:before="120" w:line="360" w:lineRule="auto"/>
        <w:jc w:val="both"/>
        <w:rPr>
          <w:rFonts w:ascii="Times New Roman" w:hAnsi="Times New Roman" w:cs="Times New Roman"/>
        </w:rPr>
      </w:pPr>
      <w:r w:rsidRPr="00CC0390">
        <w:rPr>
          <w:rFonts w:ascii="Times New Roman" w:hAnsi="Times New Roman" w:cs="Times New Roman"/>
          <w:iCs/>
        </w:rPr>
        <w:t>małżonek, zstępni przed wstępnymi – zgodnie z umową</w:t>
      </w:r>
      <w:r w:rsidR="00583BC8">
        <w:rPr>
          <w:rFonts w:ascii="Times New Roman" w:hAnsi="Times New Roman" w:cs="Times New Roman"/>
          <w:iCs/>
        </w:rPr>
        <w:t xml:space="preserve"> zawartą w trybie art. 103 ust. </w:t>
      </w:r>
      <w:r w:rsidRPr="00CC0390">
        <w:rPr>
          <w:rFonts w:ascii="Times New Roman" w:hAnsi="Times New Roman" w:cs="Times New Roman"/>
          <w:iCs/>
        </w:rPr>
        <w:t xml:space="preserve">2: </w:t>
      </w:r>
    </w:p>
    <w:p w14:paraId="5F22209D" w14:textId="77777777" w:rsidR="002B3E88" w:rsidRPr="00CC0390" w:rsidRDefault="002B3E88" w:rsidP="00CC0390">
      <w:pPr>
        <w:pStyle w:val="Default"/>
        <w:numPr>
          <w:ilvl w:val="0"/>
          <w:numId w:val="6"/>
        </w:numPr>
        <w:spacing w:before="120" w:line="360" w:lineRule="auto"/>
        <w:ind w:left="1134" w:hanging="425"/>
        <w:jc w:val="both"/>
        <w:rPr>
          <w:rFonts w:ascii="Times New Roman" w:hAnsi="Times New Roman" w:cs="Times New Roman"/>
        </w:rPr>
      </w:pPr>
      <w:r w:rsidRPr="00CC0390">
        <w:rPr>
          <w:rFonts w:ascii="Times New Roman" w:hAnsi="Times New Roman" w:cs="Times New Roman"/>
          <w:iCs/>
        </w:rPr>
        <w:t xml:space="preserve">w przypadku osoby samotnie gospodarującej, jeżeli dochód jest wyższy niż 300% kryterium dochodowego osoby samotnie gospodarującej, jednak kwota dochodu pozostająca po wniesieniu opłaty nie może być niższa niż 300% tego kryterium, </w:t>
      </w:r>
    </w:p>
    <w:p w14:paraId="3B4A0632" w14:textId="77777777" w:rsidR="002B3E88" w:rsidRPr="00CC0390" w:rsidRDefault="002B3E88" w:rsidP="00CC0390">
      <w:pPr>
        <w:pStyle w:val="Default"/>
        <w:numPr>
          <w:ilvl w:val="0"/>
          <w:numId w:val="6"/>
        </w:numPr>
        <w:spacing w:before="120" w:line="360" w:lineRule="auto"/>
        <w:ind w:left="1134" w:hanging="425"/>
        <w:jc w:val="both"/>
        <w:rPr>
          <w:rFonts w:ascii="Times New Roman" w:hAnsi="Times New Roman" w:cs="Times New Roman"/>
        </w:rPr>
      </w:pPr>
      <w:r w:rsidRPr="00CC0390">
        <w:rPr>
          <w:rFonts w:ascii="Times New Roman" w:hAnsi="Times New Roman" w:cs="Times New Roman"/>
          <w:iCs/>
        </w:rPr>
        <w:lastRenderedPageBreak/>
        <w:t xml:space="preserve">w przypadku osoby w rodzinie, jeżeli posiadany dochód na osobę jest wyższy niż 300% kryterium dochodowego na osobę w rodzinie, z tym że kwota dochodu pozostająca po wniesieniu opłaty nie może być niższa niż 300% kryterium dochodowego na osobę w rodzinie; </w:t>
      </w:r>
    </w:p>
    <w:p w14:paraId="21DC79DE" w14:textId="4948F27D" w:rsidR="002B3E88" w:rsidRPr="00CC0390" w:rsidRDefault="002B3E88" w:rsidP="00CC0390">
      <w:pPr>
        <w:pStyle w:val="Default"/>
        <w:numPr>
          <w:ilvl w:val="0"/>
          <w:numId w:val="5"/>
        </w:numPr>
        <w:spacing w:before="120" w:line="360" w:lineRule="auto"/>
        <w:jc w:val="both"/>
        <w:rPr>
          <w:rFonts w:ascii="Times New Roman" w:hAnsi="Times New Roman" w:cs="Times New Roman"/>
        </w:rPr>
      </w:pPr>
      <w:r w:rsidRPr="00CC0390">
        <w:rPr>
          <w:rFonts w:ascii="Times New Roman" w:hAnsi="Times New Roman" w:cs="Times New Roman"/>
          <w:iCs/>
        </w:rPr>
        <w:t>gmina, z której osoba została skierowana do domu pomocy społecznej – w wysokości różnicy między średnim kosztem utrzymania w domu pomocy społecznej a opłatami wnoszonymi przez osoby, o których mowa w pkt 1 i 2</w:t>
      </w:r>
      <w:r w:rsidRPr="00CC0390">
        <w:rPr>
          <w:rFonts w:ascii="Times New Roman" w:hAnsi="Times New Roman" w:cs="Times New Roman"/>
        </w:rPr>
        <w:t xml:space="preserve">. </w:t>
      </w:r>
    </w:p>
    <w:p w14:paraId="223BFAFD" w14:textId="77777777" w:rsidR="002B3E88" w:rsidRPr="00CC0390" w:rsidRDefault="002B3E88" w:rsidP="00CC0390">
      <w:pPr>
        <w:pStyle w:val="NormalnyWeb"/>
        <w:spacing w:before="120" w:after="0" w:line="360" w:lineRule="auto"/>
        <w:ind w:firstLine="708"/>
        <w:jc w:val="both"/>
      </w:pPr>
      <w:r w:rsidRPr="00CC0390">
        <w:t>Opłatę za pobyt w domu pomocy społecznej mogą wnosić również osoby niewymienione w art. 61 ust. 2 (</w:t>
      </w:r>
      <w:r w:rsidR="008407C0" w:rsidRPr="00CC0390">
        <w:t>art. 61 ust. 2a u.p.s.).</w:t>
      </w:r>
    </w:p>
    <w:p w14:paraId="72187E5E" w14:textId="0E8B892E" w:rsidR="0090687B" w:rsidRPr="00CC0390" w:rsidRDefault="0090687B" w:rsidP="00CC0390">
      <w:pPr>
        <w:spacing w:before="120" w:after="0" w:line="360" w:lineRule="auto"/>
        <w:ind w:firstLine="708"/>
        <w:jc w:val="both"/>
        <w:rPr>
          <w:rFonts w:ascii="Times New Roman" w:hAnsi="Times New Roman" w:cs="Times New Roman"/>
          <w:sz w:val="24"/>
          <w:szCs w:val="24"/>
        </w:rPr>
      </w:pPr>
      <w:r w:rsidRPr="00CC0390">
        <w:rPr>
          <w:rFonts w:ascii="Times New Roman" w:hAnsi="Times New Roman" w:cs="Times New Roman"/>
          <w:bCs/>
          <w:sz w:val="24"/>
          <w:szCs w:val="24"/>
        </w:rPr>
        <w:t>Jednocześnie przepis art. 64a u.p.s. wskazuje, że o</w:t>
      </w:r>
      <w:r w:rsidRPr="00CC0390">
        <w:rPr>
          <w:rFonts w:ascii="Times New Roman" w:hAnsi="Times New Roman" w:cs="Times New Roman"/>
          <w:sz w:val="24"/>
          <w:szCs w:val="24"/>
        </w:rPr>
        <w:t>sobę obowiązaną do wnoszenia opłaty za pobyt mieszkańca domu w domu pomocy społecznej zwalnia się całkowicie z tej opłaty, na jej wniosek, pod warunkiem że przedstawi prawomocne orzeczenie sądu o pozbawieniu rodzica władzy rodzicielskiej nad tą osobą i oświadczy, że władza rodzicielska nie została przywrócona albo prawomocne orzeczenie sądu o skazaniu za umyślne przestępstwo popełnione z użyciem przemocy na szkodę osoby obowiązanej do wnoszenia opłaty, jej małoletniego rodzeństwa lub jej rodzica. Zwolnienia te obejmują zstępnych osoby zwolnionej z opłaty za pobyt mieszkańca</w:t>
      </w:r>
      <w:r w:rsidR="008407C0" w:rsidRPr="00CC0390">
        <w:rPr>
          <w:rFonts w:ascii="Times New Roman" w:hAnsi="Times New Roman" w:cs="Times New Roman"/>
          <w:sz w:val="24"/>
          <w:szCs w:val="24"/>
        </w:rPr>
        <w:t xml:space="preserve"> domu w domu pomocy społecznej.</w:t>
      </w:r>
    </w:p>
    <w:p w14:paraId="30B4E0C6" w14:textId="664D7BD3" w:rsidR="00737A0F" w:rsidRPr="00CC0390" w:rsidRDefault="0090687B" w:rsidP="00CC0390">
      <w:pPr>
        <w:spacing w:before="120" w:after="0" w:line="360" w:lineRule="auto"/>
        <w:ind w:firstLine="708"/>
        <w:jc w:val="both"/>
        <w:rPr>
          <w:rFonts w:ascii="Times New Roman" w:eastAsia="Times New Roman" w:hAnsi="Times New Roman" w:cs="Times New Roman"/>
          <w:sz w:val="24"/>
          <w:szCs w:val="24"/>
          <w:lang w:eastAsia="pl-PL"/>
        </w:rPr>
      </w:pPr>
      <w:r w:rsidRPr="00CC0390">
        <w:rPr>
          <w:rFonts w:ascii="Times New Roman" w:eastAsia="Times New Roman" w:hAnsi="Times New Roman" w:cs="Times New Roman"/>
          <w:sz w:val="24"/>
          <w:szCs w:val="24"/>
          <w:lang w:eastAsia="pl-PL"/>
        </w:rPr>
        <w:t>Artykuł 64a został dodany do u.p.s. w wyniku jej nowelizacji z 2015 r. W uzasadnieniu ustawy nowelizującej wskazano, że „wprowadzenie nowej regulacji w art. 64a ma na celu przeciwdziałanie poczuciu niesprawiedliwości w stosunku do dzieci zobowiązanych do ponoszenia odpłatności za pobyt rodzica w domu pomocy społecznej, wobec którego zostało wydane orzeczenie o pozbawieniu władzy rodzicielskiej. Proponowany przepis pozwoli</w:t>
      </w:r>
      <w:r w:rsidR="000472E3" w:rsidRPr="00CC0390">
        <w:rPr>
          <w:rFonts w:ascii="Times New Roman" w:eastAsia="Times New Roman" w:hAnsi="Times New Roman" w:cs="Times New Roman"/>
          <w:sz w:val="24"/>
          <w:szCs w:val="24"/>
          <w:lang w:eastAsia="pl-PL"/>
        </w:rPr>
        <w:t>ć miał</w:t>
      </w:r>
      <w:r w:rsidRPr="00CC0390">
        <w:rPr>
          <w:rFonts w:ascii="Times New Roman" w:eastAsia="Times New Roman" w:hAnsi="Times New Roman" w:cs="Times New Roman"/>
          <w:sz w:val="24"/>
          <w:szCs w:val="24"/>
          <w:lang w:eastAsia="pl-PL"/>
        </w:rPr>
        <w:t xml:space="preserve"> zatem dzieciom, w stosunku do których rodzice przez całe życie postępowali w sposób naganny, lekceważąc swoje obowiązki, a przez to dzieci te musiały przebywać w rodzinach zastępczych</w:t>
      </w:r>
      <w:r w:rsidR="00F639D4" w:rsidRPr="00CC0390">
        <w:rPr>
          <w:rFonts w:ascii="Times New Roman" w:eastAsia="Times New Roman" w:hAnsi="Times New Roman" w:cs="Times New Roman"/>
          <w:sz w:val="24"/>
          <w:szCs w:val="24"/>
          <w:lang w:eastAsia="pl-PL"/>
        </w:rPr>
        <w:t>,</w:t>
      </w:r>
      <w:r w:rsidRPr="00CC0390">
        <w:rPr>
          <w:rFonts w:ascii="Times New Roman" w:eastAsia="Times New Roman" w:hAnsi="Times New Roman" w:cs="Times New Roman"/>
          <w:sz w:val="24"/>
          <w:szCs w:val="24"/>
          <w:lang w:eastAsia="pl-PL"/>
        </w:rPr>
        <w:t xml:space="preserve"> bądź w placówkach opiekuńczo-wychowawczych, nie ponosić kosztów utrzymania rodziców w domu pomocy społecznej”. Jak podkreśla </w:t>
      </w:r>
      <w:r w:rsidRPr="00CC0390">
        <w:rPr>
          <w:rFonts w:ascii="Times New Roman" w:hAnsi="Times New Roman" w:cs="Times New Roman"/>
          <w:sz w:val="24"/>
          <w:szCs w:val="24"/>
        </w:rPr>
        <w:t>I. Sierpowska w Komentarzu do art.64a ustawy o pomocy społecznej</w:t>
      </w:r>
      <w:r w:rsidRPr="00CC0390">
        <w:rPr>
          <w:rFonts w:ascii="Times New Roman" w:eastAsia="Times New Roman" w:hAnsi="Times New Roman" w:cs="Times New Roman"/>
          <w:sz w:val="24"/>
          <w:szCs w:val="24"/>
          <w:lang w:eastAsia="pl-PL"/>
        </w:rPr>
        <w:t xml:space="preserve"> idea takiej regulacji jest słuszna, niemniej dotyczy ona wyłącznie osób, których rodzice zostali pozbawieni władzy rodzicielskiej. Poza jej zakresem pozostają zatem osoby, które w dzieciństwie zostały faktycznie przez rodziców porzucone, przebywały w rodzinnej lub instytucjonalnej pieczy zastępczej, ale ich rodziców nie pozbawiono władzy rodzicielskiej. Ponadto zwolnienie nie </w:t>
      </w:r>
      <w:r w:rsidR="000472E3" w:rsidRPr="00CC0390">
        <w:rPr>
          <w:rFonts w:ascii="Times New Roman" w:eastAsia="Times New Roman" w:hAnsi="Times New Roman" w:cs="Times New Roman"/>
          <w:sz w:val="24"/>
          <w:szCs w:val="24"/>
          <w:lang w:eastAsia="pl-PL"/>
        </w:rPr>
        <w:t>m</w:t>
      </w:r>
      <w:r w:rsidR="00001EEA" w:rsidRPr="00CC0390">
        <w:rPr>
          <w:rFonts w:ascii="Times New Roman" w:eastAsia="Times New Roman" w:hAnsi="Times New Roman" w:cs="Times New Roman"/>
          <w:sz w:val="24"/>
          <w:szCs w:val="24"/>
          <w:lang w:eastAsia="pl-PL"/>
        </w:rPr>
        <w:t>i</w:t>
      </w:r>
      <w:r w:rsidR="000472E3" w:rsidRPr="00CC0390">
        <w:rPr>
          <w:rFonts w:ascii="Times New Roman" w:eastAsia="Times New Roman" w:hAnsi="Times New Roman" w:cs="Times New Roman"/>
          <w:sz w:val="24"/>
          <w:szCs w:val="24"/>
          <w:lang w:eastAsia="pl-PL"/>
        </w:rPr>
        <w:t>a</w:t>
      </w:r>
      <w:r w:rsidR="00001EEA" w:rsidRPr="00CC0390">
        <w:rPr>
          <w:rFonts w:ascii="Times New Roman" w:eastAsia="Times New Roman" w:hAnsi="Times New Roman" w:cs="Times New Roman"/>
          <w:sz w:val="24"/>
          <w:szCs w:val="24"/>
          <w:lang w:eastAsia="pl-PL"/>
        </w:rPr>
        <w:t>ło</w:t>
      </w:r>
      <w:r w:rsidRPr="00CC0390">
        <w:rPr>
          <w:rFonts w:ascii="Times New Roman" w:eastAsia="Times New Roman" w:hAnsi="Times New Roman" w:cs="Times New Roman"/>
          <w:sz w:val="24"/>
          <w:szCs w:val="24"/>
          <w:lang w:eastAsia="pl-PL"/>
        </w:rPr>
        <w:t xml:space="preserve"> zastosowania względem osób, których rodzice zostali pozbawieni </w:t>
      </w:r>
      <w:r w:rsidRPr="00CC0390">
        <w:rPr>
          <w:rFonts w:ascii="Times New Roman" w:eastAsia="Times New Roman" w:hAnsi="Times New Roman" w:cs="Times New Roman"/>
          <w:sz w:val="24"/>
          <w:szCs w:val="24"/>
          <w:lang w:eastAsia="pl-PL"/>
        </w:rPr>
        <w:lastRenderedPageBreak/>
        <w:t>władzy nad nimi, ale władzę tę przywrócono. Drugą grupą uprawnionych do korzystania z obligatoryjnego zwolnienia, wprowadzoną do ustawy nowelizacją z 2019 r., są osoby, które mają prawomocne orzeczenie sądu o skazaniu ich rodzica za umyślne przestępstwo popełnione z użyciem przemocy na szkodę osoby zobowiązanej do ponoszenia opłaty, jej małoletniego rodzeństwa lub jej rodzica. Zwolnienia te obejmują również zstępnych osoby zwolnionej z opłaty.</w:t>
      </w:r>
      <w:r w:rsidR="00B16DA5" w:rsidRPr="00CC0390">
        <w:rPr>
          <w:rFonts w:ascii="Times New Roman" w:eastAsia="Times New Roman" w:hAnsi="Times New Roman" w:cs="Times New Roman"/>
          <w:sz w:val="24"/>
          <w:szCs w:val="24"/>
          <w:lang w:eastAsia="pl-PL"/>
        </w:rPr>
        <w:t xml:space="preserve"> </w:t>
      </w:r>
      <w:r w:rsidRPr="00CC0390">
        <w:rPr>
          <w:rFonts w:ascii="Times New Roman" w:eastAsia="Times New Roman" w:hAnsi="Times New Roman" w:cs="Times New Roman"/>
          <w:sz w:val="24"/>
          <w:szCs w:val="24"/>
          <w:lang w:eastAsia="pl-PL"/>
        </w:rPr>
        <w:t>Warunkiem zastosowania zwolnienia, o którym mowa w przedmiotowym przepisie, jest złożenie wniosku oraz prawomocnego orzeczenia sądu, a gdy dotyczy ono pozbawienia władzy rodzicielskiej</w:t>
      </w:r>
      <w:r w:rsidR="00A33577">
        <w:rPr>
          <w:rFonts w:ascii="Times New Roman" w:eastAsia="Times New Roman" w:hAnsi="Times New Roman" w:cs="Times New Roman"/>
          <w:sz w:val="24"/>
          <w:szCs w:val="24"/>
          <w:lang w:eastAsia="pl-PL"/>
        </w:rPr>
        <w:t>,</w:t>
      </w:r>
      <w:r w:rsidRPr="00CC0390">
        <w:rPr>
          <w:rFonts w:ascii="Times New Roman" w:eastAsia="Times New Roman" w:hAnsi="Times New Roman" w:cs="Times New Roman"/>
          <w:sz w:val="24"/>
          <w:szCs w:val="24"/>
          <w:lang w:eastAsia="pl-PL"/>
        </w:rPr>
        <w:t xml:space="preserve"> również oświadczenia, że władza ta nie została przywrócona. Tryb orzekania w powyższej sprawie jest podobny jak przy zwolnieniu z opłat uregulowanym w poprzednim artykule, z tym że organ podejmuje tu decyzję związaną, a nie uznaniową. O ile na podstawie art. 64 u.p.s. możliwe jest zwolnienie z opłat, o tyle spełnienie przesłanek określonych w art. 64a u.p.s. nakłada na organ obowiązek zastosowania zwolnienia. Różnicą pomiędzy obydwoma regulacjami jest również to, że w przypadku bezpowrotnego pozbawienia rodzica władzy rodzicielskiej lub sądowego stwierdzenia stosowania przez niego przemocy wobec bliskich zstępny podlega całkowitemu zwolnieniu z opłaty za jego pobyt w domu pomocy społecznej. W przedmiotowym komentarzu podkreślono, że zakres normowania komentowanego artykułu nie pozostaje w bezpośredniej relacji z obowiązkiem alimentacyjnym określonym w Kodeksie rodzinnym i opiekuńczym. </w:t>
      </w:r>
    </w:p>
    <w:p w14:paraId="261FD2E4" w14:textId="4D1D80D7" w:rsidR="008407C0" w:rsidRPr="00CC0390" w:rsidRDefault="00E73FE0" w:rsidP="00CC0390">
      <w:pPr>
        <w:pStyle w:val="Teksttreci0"/>
        <w:shd w:val="clear" w:color="auto" w:fill="auto"/>
        <w:spacing w:before="120" w:after="0" w:line="360" w:lineRule="auto"/>
        <w:ind w:firstLine="708"/>
        <w:rPr>
          <w:sz w:val="24"/>
          <w:szCs w:val="24"/>
        </w:rPr>
      </w:pPr>
      <w:r w:rsidRPr="00CC0390">
        <w:rPr>
          <w:color w:val="000000"/>
          <w:sz w:val="24"/>
          <w:szCs w:val="24"/>
          <w:lang w:eastAsia="pl-PL" w:bidi="pl-PL"/>
        </w:rPr>
        <w:t>Przedmiot projektowanej regulacji był analizowany przez Rzecznika Praw Obywatelskich, który postulowa</w:t>
      </w:r>
      <w:r w:rsidR="00311BDA" w:rsidRPr="00CC0390">
        <w:rPr>
          <w:color w:val="000000"/>
          <w:sz w:val="24"/>
          <w:szCs w:val="24"/>
          <w:lang w:eastAsia="pl-PL" w:bidi="pl-PL"/>
        </w:rPr>
        <w:t>ł</w:t>
      </w:r>
      <w:r w:rsidRPr="00CC0390">
        <w:rPr>
          <w:color w:val="000000"/>
          <w:sz w:val="24"/>
          <w:szCs w:val="24"/>
          <w:lang w:eastAsia="pl-PL" w:bidi="pl-PL"/>
        </w:rPr>
        <w:t xml:space="preserve"> wprowadzenie zmian do ustawy o pomocy społecznej w tym zakresie</w:t>
      </w:r>
      <w:r w:rsidR="00311BDA" w:rsidRPr="00CC0390">
        <w:rPr>
          <w:color w:val="000000"/>
          <w:sz w:val="24"/>
          <w:szCs w:val="24"/>
          <w:lang w:eastAsia="pl-PL" w:bidi="pl-PL"/>
        </w:rPr>
        <w:t>,</w:t>
      </w:r>
      <w:r w:rsidRPr="00CC0390">
        <w:rPr>
          <w:color w:val="000000"/>
          <w:sz w:val="24"/>
          <w:szCs w:val="24"/>
          <w:lang w:eastAsia="pl-PL" w:bidi="pl-PL"/>
        </w:rPr>
        <w:t xml:space="preserve"> proponując obligatoryjne zwolnienie przez organ administracji osób wymienionych w zamkniętym katalogu art. 61 ust. 1 ww. ustawy z wnoszenia opłat za pobyt rodzica bądź innego krewnego w domu pomocy społecznej w przypadku, gdy uprawniony zachowywał się sprzecznie z zasadami współżycia społecznego w stosunku do niego, np. rodzic porzucił dziecko, nie interesował się jego losem, stosował przemoc czy nie przyczyniał się do jego utrzymywania i wychowywania. Rzecznik Praw Obywate</w:t>
      </w:r>
      <w:r w:rsidR="00A56A7D" w:rsidRPr="00CC0390">
        <w:rPr>
          <w:color w:val="000000"/>
          <w:sz w:val="24"/>
          <w:szCs w:val="24"/>
          <w:lang w:eastAsia="pl-PL" w:bidi="pl-PL"/>
        </w:rPr>
        <w:t>lskich w kierowany</w:t>
      </w:r>
      <w:r w:rsidR="001347C3" w:rsidRPr="00CC0390">
        <w:rPr>
          <w:color w:val="000000"/>
          <w:sz w:val="24"/>
          <w:szCs w:val="24"/>
          <w:lang w:eastAsia="pl-PL" w:bidi="pl-PL"/>
        </w:rPr>
        <w:t>ch</w:t>
      </w:r>
      <w:r w:rsidR="00A56A7D" w:rsidRPr="00CC0390">
        <w:rPr>
          <w:color w:val="000000"/>
          <w:sz w:val="24"/>
          <w:szCs w:val="24"/>
          <w:lang w:eastAsia="pl-PL" w:bidi="pl-PL"/>
        </w:rPr>
        <w:t xml:space="preserve"> do Ministra Pracy i Polityki Społecznej </w:t>
      </w:r>
      <w:r w:rsidR="001347C3" w:rsidRPr="00CC0390">
        <w:rPr>
          <w:color w:val="000000"/>
          <w:sz w:val="24"/>
          <w:szCs w:val="24"/>
          <w:lang w:eastAsia="pl-PL" w:bidi="pl-PL"/>
        </w:rPr>
        <w:t xml:space="preserve">pismach z dnia 24 maja 2013 r. (sygn. RPO-725428-III/13/JA), z dnia 5 lutego 2014 r. (sygn. III.7065.58.2014.LN) oraz z dnia 23 lutego 2018 r. (sygn. III.7065.71.2017.JA) </w:t>
      </w:r>
      <w:r w:rsidR="00A56A7D" w:rsidRPr="00CC0390">
        <w:rPr>
          <w:color w:val="000000"/>
          <w:sz w:val="24"/>
          <w:szCs w:val="24"/>
          <w:lang w:eastAsia="pl-PL" w:bidi="pl-PL"/>
        </w:rPr>
        <w:t>sygnalizował potrzebę podjęcia inicjatywy ustawodawczej mającej doprowadzić</w:t>
      </w:r>
      <w:r w:rsidR="001347C3" w:rsidRPr="00CC0390">
        <w:rPr>
          <w:color w:val="000000"/>
          <w:sz w:val="24"/>
          <w:szCs w:val="24"/>
          <w:lang w:eastAsia="pl-PL" w:bidi="pl-PL"/>
        </w:rPr>
        <w:t xml:space="preserve"> do </w:t>
      </w:r>
      <w:r w:rsidR="001347C3" w:rsidRPr="00CC0390">
        <w:rPr>
          <w:sz w:val="24"/>
          <w:szCs w:val="24"/>
          <w:lang w:eastAsia="pl-PL" w:bidi="pl-PL"/>
        </w:rPr>
        <w:t>złagodzenia zasa</w:t>
      </w:r>
      <w:r w:rsidR="00B16DA5" w:rsidRPr="00CC0390">
        <w:rPr>
          <w:sz w:val="24"/>
          <w:szCs w:val="24"/>
          <w:lang w:eastAsia="pl-PL" w:bidi="pl-PL"/>
        </w:rPr>
        <w:t xml:space="preserve">d finansowania przez małżonka, zstępnych i wstępnych </w:t>
      </w:r>
      <w:r w:rsidR="001347C3" w:rsidRPr="00CC0390">
        <w:rPr>
          <w:sz w:val="24"/>
          <w:szCs w:val="24"/>
          <w:lang w:eastAsia="pl-PL" w:bidi="pl-PL"/>
        </w:rPr>
        <w:t>kosztów pobytu członka rodziny w DPS</w:t>
      </w:r>
      <w:r w:rsidR="001347C3" w:rsidRPr="00CC0390">
        <w:rPr>
          <w:color w:val="000000"/>
          <w:sz w:val="24"/>
          <w:szCs w:val="24"/>
          <w:lang w:eastAsia="pl-PL" w:bidi="pl-PL"/>
        </w:rPr>
        <w:t>.</w:t>
      </w:r>
      <w:r w:rsidR="00EF4EA8">
        <w:rPr>
          <w:color w:val="000000"/>
          <w:sz w:val="24"/>
          <w:szCs w:val="24"/>
          <w:lang w:eastAsia="pl-PL" w:bidi="pl-PL"/>
        </w:rPr>
        <w:t xml:space="preserve"> </w:t>
      </w:r>
      <w:r w:rsidR="001347C3" w:rsidRPr="00CC0390">
        <w:rPr>
          <w:color w:val="000000"/>
          <w:sz w:val="24"/>
          <w:szCs w:val="24"/>
          <w:lang w:eastAsia="pl-PL" w:bidi="pl-PL"/>
        </w:rPr>
        <w:t>W piśmie z 24 maja 2013</w:t>
      </w:r>
      <w:r w:rsidR="00794D54" w:rsidRPr="00CC0390">
        <w:rPr>
          <w:color w:val="000000"/>
          <w:sz w:val="24"/>
          <w:szCs w:val="24"/>
          <w:lang w:eastAsia="pl-PL" w:bidi="pl-PL"/>
        </w:rPr>
        <w:t xml:space="preserve"> r. RPO wskazał, że u</w:t>
      </w:r>
      <w:r w:rsidR="00794D54" w:rsidRPr="00CC0390">
        <w:rPr>
          <w:sz w:val="24"/>
          <w:szCs w:val="24"/>
        </w:rPr>
        <w:t>stalanie odpłatności za pobyt w domu pomocy społecznej odbywa się w oparciu o przepisy ustawy o pomocy społecznej, których kształt nie pozostawia organowi żadnego luzu decyzyjnego</w:t>
      </w:r>
      <w:r w:rsidR="00A33577">
        <w:rPr>
          <w:sz w:val="24"/>
          <w:szCs w:val="24"/>
        </w:rPr>
        <w:t>,</w:t>
      </w:r>
      <w:r w:rsidR="00794D54" w:rsidRPr="00CC0390">
        <w:rPr>
          <w:sz w:val="24"/>
          <w:szCs w:val="24"/>
        </w:rPr>
        <w:t xml:space="preserve"> w ramach którego mógłby, uwzględniając wyjątkowe okoliczności, odstąpić od ustalenia opłaty. Wynikające z przepisów ustawy zobowiązanie </w:t>
      </w:r>
      <w:r w:rsidR="00794D54" w:rsidRPr="00CC0390">
        <w:rPr>
          <w:sz w:val="24"/>
          <w:szCs w:val="24"/>
        </w:rPr>
        <w:lastRenderedPageBreak/>
        <w:t>krewnych do ponoszenia opłat za pobyt członka rodziny w domu pomocy społecznej oparte jedynie na faktycznych więzach pokrewieństwa w oderwaniu od zasad współżycia społecznego może budzić uzasadnione rozgoryczenie. Podnoszone przez skarżących</w:t>
      </w:r>
      <w:r w:rsidR="00CC0390">
        <w:rPr>
          <w:sz w:val="24"/>
          <w:szCs w:val="24"/>
        </w:rPr>
        <w:t xml:space="preserve"> </w:t>
      </w:r>
      <w:r w:rsidR="00794D54" w:rsidRPr="00CC0390">
        <w:rPr>
          <w:sz w:val="24"/>
          <w:szCs w:val="24"/>
        </w:rPr>
        <w:t xml:space="preserve">w toku postępowania o ustalenie odpłatności kwestie dotyczące stosunków rodzinnych </w:t>
      </w:r>
      <w:r w:rsidR="008A50D6" w:rsidRPr="00CC0390">
        <w:rPr>
          <w:sz w:val="24"/>
          <w:szCs w:val="24"/>
        </w:rPr>
        <w:t>–</w:t>
      </w:r>
      <w:r w:rsidR="00794D54" w:rsidRPr="00CC0390">
        <w:rPr>
          <w:sz w:val="24"/>
          <w:szCs w:val="24"/>
        </w:rPr>
        <w:t xml:space="preserve"> w tym okoliczność pozbawienia władzy rodzicielskiej, pasożytniczy tryb życia, opuszczenie rodziny, brak zainteresowania losem dzieci, przemoc wobec bliskich ze strony pensjonariusza domu pomocy społecznej w myśl przepisów </w:t>
      </w:r>
      <w:r w:rsidR="008A50D6" w:rsidRPr="00CC0390">
        <w:rPr>
          <w:sz w:val="24"/>
          <w:szCs w:val="24"/>
        </w:rPr>
        <w:t>u.p.s.</w:t>
      </w:r>
      <w:r w:rsidR="00794D54" w:rsidRPr="00CC0390">
        <w:rPr>
          <w:sz w:val="24"/>
          <w:szCs w:val="24"/>
        </w:rPr>
        <w:t xml:space="preserve"> nie mogą być w ogóle rozważane, a jedynym istotnym faktem jest umieszczenie osoby w domu pomocy społecznej. W opinii Rzecznika istnieje potrzeba rozważenia możliwości wprowadzenia do </w:t>
      </w:r>
      <w:r w:rsidR="002A2F46" w:rsidRPr="00CC0390">
        <w:rPr>
          <w:sz w:val="24"/>
          <w:szCs w:val="24"/>
        </w:rPr>
        <w:t>u.p.s.</w:t>
      </w:r>
      <w:r w:rsidR="00794D54" w:rsidRPr="00CC0390">
        <w:rPr>
          <w:sz w:val="24"/>
          <w:szCs w:val="24"/>
        </w:rPr>
        <w:t xml:space="preserve"> wyraźnej regulacji prawnej umożliwiającej organowi odstąpienie od obciążania odpłatnością za pobyt w domu pomocy społecznej w sytuacji, gdy zobowiązanie byłoby sprzeczne z zasadami współżycia społecznego. Podobne rozwiązanie zostało uregulowane w Kodeksie rodzinnym i opiekuńczym, który stanowi, iż zobowiązany może uchylić się od wykonania obowiązku alimentacyjnego względem uprawnionego, jeżeli żądanie alimentów jest sprzeczne z zasadami współżycia społecznego – art. 144</w:t>
      </w:r>
      <w:r w:rsidR="00794D54" w:rsidRPr="00CC0390">
        <w:rPr>
          <w:sz w:val="24"/>
          <w:szCs w:val="24"/>
          <w:vertAlign w:val="superscript"/>
        </w:rPr>
        <w:t xml:space="preserve">1 </w:t>
      </w:r>
      <w:r w:rsidR="00794D54" w:rsidRPr="00CC0390">
        <w:rPr>
          <w:sz w:val="24"/>
          <w:szCs w:val="24"/>
        </w:rPr>
        <w:t xml:space="preserve">Kodeksu rodzinnego i opiekuńczego. RPO w piśmie z dnia 5 lutego 2014 r. wskazał </w:t>
      </w:r>
      <w:r w:rsidR="00311BDA" w:rsidRPr="00CC0390">
        <w:rPr>
          <w:sz w:val="24"/>
          <w:szCs w:val="24"/>
        </w:rPr>
        <w:t>z kolei</w:t>
      </w:r>
      <w:r w:rsidR="00794D54" w:rsidRPr="00CC0390">
        <w:rPr>
          <w:sz w:val="24"/>
          <w:szCs w:val="24"/>
        </w:rPr>
        <w:t xml:space="preserve">, że obowiązująca regulacja nie pozwala małżonkowi oraz krewnym na uchylenie się od obowiązku ponoszenia opłaty w sytuacji, kiedy jego nałożenie nie zasługuje na uwzględnienie ze względu na szczególne okoliczności (na przykład zobowiązanie do wnoszenia opłaty za pobyt w domu pomocy społecznej dotyczy osoby, która opuściła dawno rodzinę, nie realizowała obowiązku alimentacyjnego itp.). W </w:t>
      </w:r>
      <w:r w:rsidR="00B0546B" w:rsidRPr="00CC0390">
        <w:rPr>
          <w:sz w:val="24"/>
          <w:szCs w:val="24"/>
        </w:rPr>
        <w:t xml:space="preserve">opinii RPO w </w:t>
      </w:r>
      <w:r w:rsidR="00794D54" w:rsidRPr="00CC0390">
        <w:rPr>
          <w:sz w:val="24"/>
          <w:szCs w:val="24"/>
        </w:rPr>
        <w:t xml:space="preserve">regulacji zasad ponoszenia kosztów pobytu osoby w domu pomocy społecznej brakuje określenia, że małżonek, zstępni przed wstępnymi mają obowiązek ponoszenia opłaty wówczas, gdy zgodnie z przepisami Kodeksu rodzinnego i opiekuńczego obciąża takie osoby obowiązek alimentacyjny. </w:t>
      </w:r>
      <w:r w:rsidR="005A1F52" w:rsidRPr="00CC0390">
        <w:rPr>
          <w:sz w:val="24"/>
          <w:szCs w:val="24"/>
        </w:rPr>
        <w:t>RPO postulował zatem wprowadzenie regulacji pozwalającej</w:t>
      </w:r>
      <w:r w:rsidR="00794D54" w:rsidRPr="00CC0390">
        <w:rPr>
          <w:sz w:val="24"/>
          <w:szCs w:val="24"/>
        </w:rPr>
        <w:t xml:space="preserve"> na uwzględnienie treści art. 144</w:t>
      </w:r>
      <w:r w:rsidR="009610C6" w:rsidRPr="00CC0390">
        <w:rPr>
          <w:sz w:val="24"/>
          <w:szCs w:val="24"/>
          <w:vertAlign w:val="superscript"/>
        </w:rPr>
        <w:t xml:space="preserve">1 </w:t>
      </w:r>
      <w:r w:rsidR="00794D54" w:rsidRPr="00CC0390">
        <w:rPr>
          <w:sz w:val="24"/>
          <w:szCs w:val="24"/>
        </w:rPr>
        <w:t xml:space="preserve">k.r.o., zgodnie z którym zobowiązany może uchylić się od wykonania obowiązku alimentacyjnego względem uprawnionego, jeżeli żądanie alimentów jest sprzeczne z zasadami współżycia społecznego. Przepis ten chroni uzasadniony interes zobowiązanego i środki jego utrzymania przed żądaniem niezasługującym na ochronę. W przekonaniu </w:t>
      </w:r>
      <w:r w:rsidR="002A2F46" w:rsidRPr="00CC0390">
        <w:rPr>
          <w:sz w:val="24"/>
          <w:szCs w:val="24"/>
        </w:rPr>
        <w:t xml:space="preserve">RPO </w:t>
      </w:r>
      <w:r w:rsidR="00794D54" w:rsidRPr="00CC0390">
        <w:rPr>
          <w:sz w:val="24"/>
          <w:szCs w:val="24"/>
        </w:rPr>
        <w:t>podobna ochrona powinna mieć miejsce przy regulacji zasad ponoszenia przez małżonka i krewnych kosztów pobytu członka rodziny w domu pomocy społecznej.</w:t>
      </w:r>
      <w:r w:rsidR="00311BDA" w:rsidRPr="00CC0390">
        <w:rPr>
          <w:sz w:val="24"/>
          <w:szCs w:val="24"/>
        </w:rPr>
        <w:t xml:space="preserve"> RPO </w:t>
      </w:r>
      <w:r w:rsidR="005A1F52" w:rsidRPr="00CC0390">
        <w:rPr>
          <w:sz w:val="24"/>
          <w:szCs w:val="24"/>
        </w:rPr>
        <w:t xml:space="preserve">wskazywał wielokrotnie, </w:t>
      </w:r>
      <w:r w:rsidR="00311BDA" w:rsidRPr="00CC0390">
        <w:rPr>
          <w:sz w:val="24"/>
          <w:szCs w:val="24"/>
        </w:rPr>
        <w:t>że poza</w:t>
      </w:r>
      <w:r w:rsidR="005A1F52" w:rsidRPr="00CC0390">
        <w:rPr>
          <w:sz w:val="24"/>
          <w:szCs w:val="24"/>
        </w:rPr>
        <w:t xml:space="preserve"> projektowaną regulacją znajdują</w:t>
      </w:r>
      <w:r w:rsidR="00311BDA" w:rsidRPr="00CC0390">
        <w:rPr>
          <w:sz w:val="24"/>
          <w:szCs w:val="24"/>
        </w:rPr>
        <w:t xml:space="preserve"> się </w:t>
      </w:r>
      <w:r w:rsidR="00311BDA" w:rsidRPr="00CC0390">
        <w:rPr>
          <w:color w:val="000000"/>
          <w:sz w:val="24"/>
          <w:szCs w:val="24"/>
        </w:rPr>
        <w:t xml:space="preserve">nadal </w:t>
      </w:r>
      <w:r w:rsidR="005A1F52" w:rsidRPr="00CC0390">
        <w:rPr>
          <w:color w:val="000000"/>
          <w:sz w:val="24"/>
          <w:szCs w:val="24"/>
        </w:rPr>
        <w:t xml:space="preserve">(mimo nowelizacji u.p.s.) </w:t>
      </w:r>
      <w:r w:rsidR="00311BDA" w:rsidRPr="00CC0390">
        <w:rPr>
          <w:color w:val="000000"/>
          <w:sz w:val="24"/>
          <w:szCs w:val="24"/>
        </w:rPr>
        <w:t>sytuacje, w których ponoszenie przez bliskich członków rodziny opłaty za pobyt krewnego w domu pomocy społecznej pozostaje w kolizji z z</w:t>
      </w:r>
      <w:r w:rsidR="008407C0" w:rsidRPr="00CC0390">
        <w:rPr>
          <w:color w:val="000000"/>
          <w:sz w:val="24"/>
          <w:szCs w:val="24"/>
        </w:rPr>
        <w:t xml:space="preserve">asadami współżycia społecznego, np. </w:t>
      </w:r>
      <w:r w:rsidR="00311BDA" w:rsidRPr="00CC0390">
        <w:rPr>
          <w:color w:val="000000"/>
          <w:sz w:val="24"/>
          <w:szCs w:val="24"/>
        </w:rPr>
        <w:t xml:space="preserve">pomimo nagannego postępowania rodzica, </w:t>
      </w:r>
      <w:r w:rsidR="00311BDA" w:rsidRPr="00CC0390">
        <w:rPr>
          <w:color w:val="000000"/>
          <w:sz w:val="24"/>
          <w:szCs w:val="24"/>
        </w:rPr>
        <w:lastRenderedPageBreak/>
        <w:t>z przyczyn niezawinionych przez dziecko, nie zostało wydane orzeczenie o pozbawieniu</w:t>
      </w:r>
      <w:r w:rsidR="008407C0" w:rsidRPr="00CC0390">
        <w:rPr>
          <w:color w:val="000000"/>
          <w:sz w:val="24"/>
          <w:szCs w:val="24"/>
        </w:rPr>
        <w:t xml:space="preserve"> rodzica władzy rodzicielskiej. </w:t>
      </w:r>
      <w:r w:rsidR="00311BDA" w:rsidRPr="00CC0390">
        <w:rPr>
          <w:rFonts w:eastAsiaTheme="minorHAnsi"/>
          <w:color w:val="000000"/>
          <w:sz w:val="24"/>
          <w:szCs w:val="24"/>
        </w:rPr>
        <w:t xml:space="preserve">W ocenie </w:t>
      </w:r>
      <w:r w:rsidR="008407C0" w:rsidRPr="00CC0390">
        <w:rPr>
          <w:rFonts w:eastAsiaTheme="minorHAnsi"/>
          <w:color w:val="000000"/>
          <w:sz w:val="24"/>
          <w:szCs w:val="24"/>
        </w:rPr>
        <w:t xml:space="preserve">RPO </w:t>
      </w:r>
      <w:r w:rsidR="00311BDA" w:rsidRPr="00CC0390">
        <w:rPr>
          <w:rFonts w:eastAsiaTheme="minorHAnsi"/>
          <w:color w:val="000000"/>
          <w:sz w:val="24"/>
          <w:szCs w:val="24"/>
        </w:rPr>
        <w:t xml:space="preserve">dorosłe dzieci rodziców, którzy względem nich w sposób rażący zaniedbywali obowiązki rodzicielskie lub byli sprawcami przemocy wobec dzieci, zasługują na ochronę państwa i powinni zostać objęci obligatoryjnym zwolnieniem z opłat bez względu na ich sytuację materialną. </w:t>
      </w:r>
    </w:p>
    <w:p w14:paraId="2DEA28D4" w14:textId="0280F493" w:rsidR="00A506FF" w:rsidRPr="00CC0390" w:rsidRDefault="00D349AF" w:rsidP="00CC0390">
      <w:pPr>
        <w:pStyle w:val="Teksttreci0"/>
        <w:shd w:val="clear" w:color="auto" w:fill="auto"/>
        <w:spacing w:before="120" w:after="0" w:line="360" w:lineRule="auto"/>
        <w:ind w:firstLine="708"/>
        <w:rPr>
          <w:sz w:val="24"/>
          <w:szCs w:val="24"/>
        </w:rPr>
      </w:pPr>
      <w:r w:rsidRPr="00CC0390">
        <w:rPr>
          <w:sz w:val="24"/>
          <w:szCs w:val="24"/>
        </w:rPr>
        <w:t xml:space="preserve">Omawiany problem był również przedmiotem analiz Rzecznika Praw Dziecka, który w piśmie z dnia </w:t>
      </w:r>
      <w:r w:rsidR="009610C6" w:rsidRPr="00CC0390">
        <w:rPr>
          <w:sz w:val="24"/>
          <w:szCs w:val="24"/>
        </w:rPr>
        <w:t xml:space="preserve">12 grudnia 2017 r. kierowanym do Ministra Rodziny, Pracy i Polityki Społecznej </w:t>
      </w:r>
      <w:r w:rsidRPr="00CC0390">
        <w:rPr>
          <w:sz w:val="24"/>
          <w:szCs w:val="24"/>
        </w:rPr>
        <w:t>(sygn. ZSS.422.14.2017.AT)</w:t>
      </w:r>
      <w:r w:rsidR="009610C6" w:rsidRPr="00CC0390">
        <w:rPr>
          <w:sz w:val="24"/>
          <w:szCs w:val="24"/>
        </w:rPr>
        <w:t xml:space="preserve"> odnoszącym się do projektowanych wówczas zmian w u.p.s. </w:t>
      </w:r>
      <w:r w:rsidR="003B5952" w:rsidRPr="00CC0390">
        <w:rPr>
          <w:sz w:val="24"/>
          <w:szCs w:val="24"/>
        </w:rPr>
        <w:t>(</w:t>
      </w:r>
      <w:r w:rsidR="009610C6" w:rsidRPr="00CC0390">
        <w:rPr>
          <w:sz w:val="24"/>
          <w:szCs w:val="24"/>
        </w:rPr>
        <w:t xml:space="preserve">(ustawa z dnia 19 lipca 2019 r. o zmianie ustawy o pomocy społecznej oraz ustawy o ochronie zdrowia psychicznego </w:t>
      </w:r>
      <w:r w:rsidR="00E83080" w:rsidRPr="00CC0390">
        <w:rPr>
          <w:sz w:val="24"/>
          <w:szCs w:val="24"/>
        </w:rPr>
        <w:t>(</w:t>
      </w:r>
      <w:r w:rsidR="009610C6" w:rsidRPr="00CC0390">
        <w:rPr>
          <w:sz w:val="24"/>
          <w:szCs w:val="24"/>
        </w:rPr>
        <w:t>Dz. U. poz. 1690</w:t>
      </w:r>
      <w:r w:rsidR="00E83080" w:rsidRPr="00CC0390">
        <w:rPr>
          <w:sz w:val="24"/>
          <w:szCs w:val="24"/>
        </w:rPr>
        <w:t>, z późn. zm.)</w:t>
      </w:r>
      <w:r w:rsidR="009610C6" w:rsidRPr="00CC0390">
        <w:rPr>
          <w:sz w:val="24"/>
          <w:szCs w:val="24"/>
        </w:rPr>
        <w:t>) wskazał m.in., że p</w:t>
      </w:r>
      <w:r w:rsidR="009610C6" w:rsidRPr="00CC0390">
        <w:rPr>
          <w:sz w:val="24"/>
          <w:szCs w:val="24"/>
          <w:lang w:eastAsia="pl-PL" w:bidi="pl-PL"/>
        </w:rPr>
        <w:t xml:space="preserve">rojekt budzi </w:t>
      </w:r>
      <w:r w:rsidR="00B16DA5" w:rsidRPr="00CC0390">
        <w:rPr>
          <w:sz w:val="24"/>
          <w:szCs w:val="24"/>
          <w:lang w:eastAsia="pl-PL" w:bidi="pl-PL"/>
        </w:rPr>
        <w:t>zastrzeżenia, gdyż k</w:t>
      </w:r>
      <w:r w:rsidR="009610C6" w:rsidRPr="00CC0390">
        <w:rPr>
          <w:sz w:val="24"/>
          <w:szCs w:val="24"/>
          <w:lang w:eastAsia="pl-PL" w:bidi="pl-PL"/>
        </w:rPr>
        <w:t xml:space="preserve">atalog przypadków nie wyczerpuje wszystkich sytuacji, w których ponoszenie przez bliższych i dalszych zstępnych opłaty za pobyt wstępnego </w:t>
      </w:r>
      <w:r w:rsidR="002A2A61" w:rsidRPr="00CC0390">
        <w:rPr>
          <w:sz w:val="24"/>
          <w:szCs w:val="24"/>
          <w:lang w:eastAsia="pl-PL" w:bidi="pl-PL"/>
        </w:rPr>
        <w:t>–</w:t>
      </w:r>
      <w:r w:rsidR="009610C6" w:rsidRPr="00CC0390">
        <w:rPr>
          <w:sz w:val="24"/>
          <w:szCs w:val="24"/>
          <w:lang w:eastAsia="pl-PL" w:bidi="pl-PL"/>
        </w:rPr>
        <w:t xml:space="preserve"> osoby wymagającej całodobowej opieki, stoi w sprzeczności z zasadami współżycia społecznego. Dotyczy to w szczególności sytuacji, gdy zobowiązanie do ponoszenia kosztów utrzymania mieszkańca domu pomocy społecznej dotyczy osób, względem których dotychczasowe postępowanie wstępnego było naganne, nie tylko moralnie, a pomimo tego </w:t>
      </w:r>
      <w:r w:rsidR="002A2A61" w:rsidRPr="00CC0390">
        <w:rPr>
          <w:sz w:val="24"/>
          <w:szCs w:val="24"/>
          <w:lang w:eastAsia="pl-PL" w:bidi="pl-PL"/>
        </w:rPr>
        <w:t>–</w:t>
      </w:r>
      <w:r w:rsidR="009610C6" w:rsidRPr="00CC0390">
        <w:rPr>
          <w:sz w:val="24"/>
          <w:szCs w:val="24"/>
          <w:lang w:eastAsia="pl-PL" w:bidi="pl-PL"/>
        </w:rPr>
        <w:t xml:space="preserve"> z różnych przyczyn, niezawinionych przez dziecko </w:t>
      </w:r>
      <w:r w:rsidR="002A2A61" w:rsidRPr="00CC0390">
        <w:rPr>
          <w:sz w:val="24"/>
          <w:szCs w:val="24"/>
          <w:lang w:eastAsia="pl-PL" w:bidi="pl-PL"/>
        </w:rPr>
        <w:t>–</w:t>
      </w:r>
      <w:r w:rsidR="009610C6" w:rsidRPr="00CC0390">
        <w:rPr>
          <w:sz w:val="24"/>
          <w:szCs w:val="24"/>
          <w:lang w:eastAsia="pl-PL" w:bidi="pl-PL"/>
        </w:rPr>
        <w:t xml:space="preserve"> zstępnego, nie zostało wydane orzeczenie w przedmiocie pozbawienia władzy rodzicielskiej. Projektowana regulacja nie realizuje więc w pełni zasady słuszności i szeroko rozumianej sprawiedliwości społecznej. W sytuacji gdy wstępny nie wykonywał ustawowego lub wynikającego z orzeczenia sądu obowiązku alimentacyjnego wobec bliższego zstępnego lub w inny sposób rażąco naruszał wobec niego zasady prawa rodzinnego albo popełnił przestępstwo na szkodę dziecka, wobec którego sprawował władzę rodzicielską </w:t>
      </w:r>
      <w:r w:rsidR="002A2A61" w:rsidRPr="00CC0390">
        <w:rPr>
          <w:sz w:val="24"/>
          <w:szCs w:val="24"/>
          <w:lang w:eastAsia="pl-PL" w:bidi="pl-PL"/>
        </w:rPr>
        <w:t>–</w:t>
      </w:r>
      <w:r w:rsidR="009610C6" w:rsidRPr="00CC0390">
        <w:rPr>
          <w:sz w:val="24"/>
          <w:szCs w:val="24"/>
          <w:lang w:eastAsia="pl-PL" w:bidi="pl-PL"/>
        </w:rPr>
        <w:t xml:space="preserve"> nie może oczekiwać, że w każdych okolicznościach zstępny będzie bezwzględnie zobowiązany do spełniania świadczeń związanych</w:t>
      </w:r>
      <w:r w:rsidR="009610C6" w:rsidRPr="00CC0390">
        <w:rPr>
          <w:sz w:val="24"/>
          <w:szCs w:val="24"/>
        </w:rPr>
        <w:t xml:space="preserve"> </w:t>
      </w:r>
      <w:r w:rsidR="009610C6" w:rsidRPr="00CC0390">
        <w:rPr>
          <w:sz w:val="24"/>
          <w:szCs w:val="24"/>
          <w:lang w:eastAsia="pl-PL" w:bidi="pl-PL"/>
        </w:rPr>
        <w:t>z zapewnieniem utrzymania i opieki wobec wstępnego. Dotyczy to obowiązków ustawowych ciążących na zstępnych zobowiązanych zarówno w bliższej, jak i dalszej kolejności wobec wstępnych. W ocenie Rzecznika Praw Dziecka prawo powinno chronić dorosłe dzieci rodziców, w przypadkach braku wykonywania przez nich obowiązków rodzicielskich, uchylania się od świadczeń alimentacyjnych, nadużywania władzy rodzicielskiej czy popełniania na szkodę małoletnich dzieci przestępstw.</w:t>
      </w:r>
      <w:r w:rsidR="009610C6" w:rsidRPr="00CC0390">
        <w:rPr>
          <w:sz w:val="24"/>
          <w:szCs w:val="24"/>
        </w:rPr>
        <w:t xml:space="preserve"> </w:t>
      </w:r>
      <w:r w:rsidR="009610C6" w:rsidRPr="00CC0390">
        <w:rPr>
          <w:sz w:val="24"/>
          <w:szCs w:val="24"/>
          <w:lang w:eastAsia="pl-PL" w:bidi="pl-PL"/>
        </w:rPr>
        <w:t xml:space="preserve">W opinii Rzecznika Praw Dziecka zwolnieniu z opłat za dom pomocy społecznej obligatoryjnie powinni podlegać zstępni, wobec których osoba kierowana do domu pomocy społecznej lub w nim przebywająca stosowała przemoc, co udokumentowane zostało prawomocnym wyrokiem skazującym za umyślne przestępstwo z użyciem przemocy, określone w Kodeksie karnym. Zstępni w bliższej i dalszej kolejności w takich sytuacjach, </w:t>
      </w:r>
      <w:r w:rsidR="009610C6" w:rsidRPr="00CC0390">
        <w:rPr>
          <w:sz w:val="24"/>
          <w:szCs w:val="24"/>
          <w:lang w:eastAsia="pl-PL" w:bidi="pl-PL"/>
        </w:rPr>
        <w:lastRenderedPageBreak/>
        <w:t>niezależnie od ich statusu majątkowego, powinni mieć możliwość uchylenia się od obowiązków pokrywania kosztów pobytu wstępnego w domu pomocy społecznej.</w:t>
      </w:r>
      <w:r w:rsidR="009610C6" w:rsidRPr="00CC0390">
        <w:rPr>
          <w:sz w:val="24"/>
          <w:szCs w:val="24"/>
        </w:rPr>
        <w:t xml:space="preserve"> RPD wskazał, że w</w:t>
      </w:r>
      <w:r w:rsidR="009610C6" w:rsidRPr="00CC0390">
        <w:rPr>
          <w:sz w:val="24"/>
          <w:szCs w:val="24"/>
          <w:lang w:eastAsia="pl-PL" w:bidi="pl-PL"/>
        </w:rPr>
        <w:t xml:space="preserve"> praktyce zdarzają się przypadki, że po świadczenia alimentacyjne zgłaszają się do dzieci rodzice, którzy całe życie nie interesowali się swoim dzieckiem i nie dokładali jakichkolwiek starań do jego wychowania, utrzymania, nie wywiązywali się z odpowiedzialności rodzicielskiej. W obecnym stanie prawnym w takich przypadkach dziecko i jego zstępni, a także inne uprawnione do alimentacji osoby mają możliwość powołania się na przepisy ogólne dotyczące wykonywania prawa podmiotowego. Tego typu roszczenie rodzica o świadczenia alimentacyjne, w skonkretyzowanej sytuacji, może stanowić nadużycie przysługującego mu uprawnienia.</w:t>
      </w:r>
      <w:r w:rsidR="009610C6" w:rsidRPr="00CC0390">
        <w:rPr>
          <w:sz w:val="24"/>
          <w:szCs w:val="24"/>
        </w:rPr>
        <w:t xml:space="preserve"> </w:t>
      </w:r>
      <w:r w:rsidR="009610C6" w:rsidRPr="00CC0390">
        <w:rPr>
          <w:sz w:val="24"/>
          <w:szCs w:val="24"/>
          <w:lang w:eastAsia="pl-PL" w:bidi="pl-PL"/>
        </w:rPr>
        <w:t>Zgodnie z art. 144</w:t>
      </w:r>
      <w:r w:rsidR="009610C6" w:rsidRPr="00CC0390">
        <w:rPr>
          <w:sz w:val="24"/>
          <w:szCs w:val="24"/>
          <w:vertAlign w:val="superscript"/>
        </w:rPr>
        <w:t xml:space="preserve">1 </w:t>
      </w:r>
      <w:r w:rsidR="00B16DA5" w:rsidRPr="00CC0390">
        <w:rPr>
          <w:sz w:val="24"/>
          <w:szCs w:val="24"/>
        </w:rPr>
        <w:t>k.r.o.</w:t>
      </w:r>
      <w:r w:rsidR="009610C6" w:rsidRPr="00CC0390">
        <w:rPr>
          <w:sz w:val="24"/>
          <w:szCs w:val="24"/>
          <w:lang w:eastAsia="pl-PL" w:bidi="pl-PL"/>
        </w:rPr>
        <w:t xml:space="preserve"> zobowiązany może uchylić się od wykonania obowiązku alimentacyjnego względem uprawnionego, jeżeli żądanie alimentów jest sprzeczne z zasadami współżycia społecznego. Przepis chroni więc zobowiązanego przed wykonywaniem obowiązku alimentacyjnego względem uprawnionego w określonej w Kodeksie sytuacji. Ochrony takiej pozbawiony jest zaś zstępny zarówno w bliższej, jak i dalszej kolejności, który decyzją administracyjną jest obciążony kosztami pobytu wstępnego w domu pomocy społecznej, gdy wstępny rażąco naruszał zasady prawa rodzinnego lub uchylał się od wykonywania obowiązków wynikających z odpowiedzialności rodzica wobec dziecka. </w:t>
      </w:r>
    </w:p>
    <w:p w14:paraId="0B2D291B" w14:textId="67586C03" w:rsidR="009C3F22" w:rsidRPr="00CC0390" w:rsidRDefault="00A506FF" w:rsidP="00CC0390">
      <w:pPr>
        <w:pStyle w:val="Teksttreci0"/>
        <w:shd w:val="clear" w:color="auto" w:fill="auto"/>
        <w:spacing w:before="120" w:after="0" w:line="360" w:lineRule="auto"/>
        <w:ind w:firstLine="708"/>
        <w:rPr>
          <w:color w:val="000000"/>
          <w:sz w:val="24"/>
          <w:szCs w:val="24"/>
          <w:lang w:eastAsia="pl-PL" w:bidi="pl-PL"/>
        </w:rPr>
      </w:pPr>
      <w:r w:rsidRPr="00CC0390">
        <w:rPr>
          <w:sz w:val="24"/>
          <w:szCs w:val="24"/>
        </w:rPr>
        <w:t xml:space="preserve">Na problem stanowiący przedmiot projektowanej regulacji zwrócili uwagę </w:t>
      </w:r>
      <w:r w:rsidR="00D349AF" w:rsidRPr="00CC0390">
        <w:rPr>
          <w:sz w:val="24"/>
          <w:szCs w:val="24"/>
        </w:rPr>
        <w:t>sami pracownicy DPS</w:t>
      </w:r>
      <w:r w:rsidRPr="00CC0390">
        <w:rPr>
          <w:sz w:val="24"/>
          <w:szCs w:val="24"/>
        </w:rPr>
        <w:t xml:space="preserve">. Polska Federacja Związkowa Pracowników Socjalnych i Pomocy Społecznej w piśmie z dnia 28 kwietnia 2017 r. kierowanym do </w:t>
      </w:r>
      <w:r w:rsidRPr="00CC0390">
        <w:rPr>
          <w:sz w:val="24"/>
          <w:szCs w:val="24"/>
          <w:lang w:eastAsia="pl-PL" w:bidi="pl-PL"/>
        </w:rPr>
        <w:t xml:space="preserve">Ministra Rodziny, Pracy i Polityki Społecznej poparła ww. wniosek Rzecznika Praw Dziecka i </w:t>
      </w:r>
      <w:r w:rsidRPr="00CC0390">
        <w:rPr>
          <w:color w:val="000000"/>
          <w:sz w:val="24"/>
          <w:szCs w:val="24"/>
          <w:lang w:eastAsia="pl-PL" w:bidi="pl-PL"/>
        </w:rPr>
        <w:t xml:space="preserve">zwróciła się o podjęcie działań legislacyjnych zmierzających do rozszerzenia katalogu osób, wobec których możliwe będzie zastosowanie instytucji zwolnienia z odpłatności za pobyt rodzica w domu pomocy społecznej, a określonej w art. 64a u.p.s. Podzielając argumenty prawne przedstawione przez Rzecznika, podmiot ten zwrócił uwagę na zaporowe warunki, jakie muszą wypełnić dorosłe dzieci </w:t>
      </w:r>
      <w:r w:rsidR="00D64EF2" w:rsidRPr="00CC0390">
        <w:rPr>
          <w:color w:val="000000"/>
          <w:sz w:val="24"/>
          <w:szCs w:val="24"/>
          <w:lang w:eastAsia="pl-PL" w:bidi="pl-PL"/>
        </w:rPr>
        <w:t>–</w:t>
      </w:r>
      <w:r w:rsidRPr="00CC0390">
        <w:rPr>
          <w:color w:val="000000"/>
          <w:sz w:val="24"/>
          <w:szCs w:val="24"/>
          <w:lang w:eastAsia="pl-PL" w:bidi="pl-PL"/>
        </w:rPr>
        <w:t xml:space="preserve"> ofiary wcześniejszych nadużyć ze strony rodziców – by nie być zobowiązan</w:t>
      </w:r>
      <w:r w:rsidR="00B0546B" w:rsidRPr="00CC0390">
        <w:rPr>
          <w:color w:val="000000"/>
          <w:sz w:val="24"/>
          <w:szCs w:val="24"/>
          <w:lang w:eastAsia="pl-PL" w:bidi="pl-PL"/>
        </w:rPr>
        <w:t>ymi</w:t>
      </w:r>
      <w:r w:rsidRPr="00CC0390">
        <w:rPr>
          <w:color w:val="000000"/>
          <w:sz w:val="24"/>
          <w:szCs w:val="24"/>
          <w:lang w:eastAsia="pl-PL" w:bidi="pl-PL"/>
        </w:rPr>
        <w:t xml:space="preserve"> do pokrywania kosztów związanych z pobytem tych rodziców w domu pomocy społecznej. Biorąc pod uwagę obserwowaną praktykę, jak również typowe mechanizmy towarzyszące rodzicielskim nadużyciom </w:t>
      </w:r>
      <w:r w:rsidR="009A5D8A" w:rsidRPr="00CC0390">
        <w:rPr>
          <w:color w:val="000000"/>
          <w:sz w:val="24"/>
          <w:szCs w:val="24"/>
          <w:lang w:eastAsia="pl-PL" w:bidi="pl-PL"/>
        </w:rPr>
        <w:t>–</w:t>
      </w:r>
      <w:r w:rsidRPr="00CC0390">
        <w:rPr>
          <w:color w:val="000000"/>
          <w:sz w:val="24"/>
          <w:szCs w:val="24"/>
          <w:lang w:eastAsia="pl-PL" w:bidi="pl-PL"/>
        </w:rPr>
        <w:t xml:space="preserve"> </w:t>
      </w:r>
      <w:r w:rsidRPr="00CC0390">
        <w:rPr>
          <w:sz w:val="24"/>
          <w:szCs w:val="24"/>
        </w:rPr>
        <w:t>Polska Federacja Związkowa Pracowników Socjalnych i Pomocy Społecznej</w:t>
      </w:r>
      <w:r w:rsidR="00EF4EA8">
        <w:rPr>
          <w:sz w:val="24"/>
          <w:szCs w:val="24"/>
        </w:rPr>
        <w:t xml:space="preserve"> </w:t>
      </w:r>
      <w:r w:rsidRPr="00CC0390">
        <w:rPr>
          <w:sz w:val="24"/>
          <w:szCs w:val="24"/>
        </w:rPr>
        <w:t xml:space="preserve">wskazała, że </w:t>
      </w:r>
      <w:r w:rsidRPr="00CC0390">
        <w:rPr>
          <w:color w:val="000000"/>
          <w:sz w:val="24"/>
          <w:szCs w:val="24"/>
          <w:lang w:eastAsia="pl-PL" w:bidi="pl-PL"/>
        </w:rPr>
        <w:t xml:space="preserve">trudno oczekiwać, by w okresie zmagania się z najtrudniejszą fazą braku opieki i dbałości o potrzeby dziecka były one same w stanie lub ich drugi opiekun zwykle sam uwikłany w problem przemocy lub uzależnienia partnera zadbać jeszcze o doprowadzenie do prawomocnego orzeczenia o pozbawieniu władzy rodzicielskiej. Zwykle bowiem opiekunowie ci słusznie zaangażowani są przede wszystkim w </w:t>
      </w:r>
      <w:r w:rsidRPr="00CC0390">
        <w:rPr>
          <w:color w:val="000000"/>
          <w:sz w:val="24"/>
          <w:szCs w:val="24"/>
          <w:lang w:eastAsia="pl-PL" w:bidi="pl-PL"/>
        </w:rPr>
        <w:lastRenderedPageBreak/>
        <w:t>niwelowanie deficytów i ograniczeń w zaspokajaniu potrzeb rozwojowych swoich dzieci, a należy również zauważyć, iż niejednokrotnie zdarza się, że drugi z rodziców nie żyje, co w praktyce eliminuje możliwość pozbawienia władzy rodzicielskiej jedynego opiekuna dopuszczającego się nadużyć.</w:t>
      </w:r>
      <w:r w:rsidRPr="00CC0390">
        <w:rPr>
          <w:sz w:val="24"/>
          <w:szCs w:val="24"/>
        </w:rPr>
        <w:t xml:space="preserve"> Pracownicy socjalni podkreślili, że w</w:t>
      </w:r>
      <w:r w:rsidRPr="00CC0390">
        <w:rPr>
          <w:color w:val="000000"/>
          <w:sz w:val="24"/>
          <w:szCs w:val="24"/>
          <w:lang w:eastAsia="pl-PL" w:bidi="pl-PL"/>
        </w:rPr>
        <w:t xml:space="preserve">ykonując obowiązki związane z niesieniem pomocy jako profesjonaliści, chcący wspomóc ww. dzieci w ich trudnej sytuacji zarówno w okresie niepełnoletności, jak i dorosłym życiu </w:t>
      </w:r>
      <w:r w:rsidR="009A5D8A" w:rsidRPr="00CC0390">
        <w:rPr>
          <w:color w:val="000000"/>
          <w:sz w:val="24"/>
          <w:szCs w:val="24"/>
          <w:lang w:eastAsia="pl-PL" w:bidi="pl-PL"/>
        </w:rPr>
        <w:t>–</w:t>
      </w:r>
      <w:r w:rsidRPr="00CC0390">
        <w:rPr>
          <w:color w:val="000000"/>
          <w:sz w:val="24"/>
          <w:szCs w:val="24"/>
          <w:lang w:eastAsia="pl-PL" w:bidi="pl-PL"/>
        </w:rPr>
        <w:t xml:space="preserve"> zauważają, że zastosowanie instytucji zwolnienia z odpłatności za pobyt w domu pomocy społecznej w obecnym kształcie napotyka na poważne trudności i ograniczenia. Samo bowiem pozbawienie władzy rodzicielskiej obwarowane jest szeregiem istotnych przesłanek i używane jest w praktyce sądowej w sposób ostrożny i zdecydowanie ostateczny, zwykle w sytuacjach skrajnego i bezpośredniego narażenia zdrowia i życia tychże dzieci. Z kolei opiekunowie dopuszczający się równie drastycznych form nadużyć i braku opieki nad małoletnimi, w tym związanych z niezaspokajaniem ich potrzeb rozwojowych </w:t>
      </w:r>
      <w:r w:rsidR="00D64EF2" w:rsidRPr="00CC0390">
        <w:rPr>
          <w:color w:val="000000"/>
          <w:sz w:val="24"/>
          <w:szCs w:val="24"/>
          <w:lang w:eastAsia="pl-PL" w:bidi="pl-PL"/>
        </w:rPr>
        <w:t>–</w:t>
      </w:r>
      <w:r w:rsidRPr="00CC0390">
        <w:rPr>
          <w:color w:val="000000"/>
          <w:sz w:val="24"/>
          <w:szCs w:val="24"/>
          <w:lang w:eastAsia="pl-PL" w:bidi="pl-PL"/>
        </w:rPr>
        <w:t xml:space="preserve"> spotykają się ze zdecydowanie słabszą reakcją sądową. W przyszłości uniemożliwia to skuteczne uniknięcie przez dorosłe już dzieci takich opiekunów partycypowania w kosztach finansowania ich pobytu w DPS. Co więcej ww. dzieci, które swoją ciężką pracą i wyrzeczeniami doprowadziły do sytuacji samodzielności finansowej własnych rodzin, dbałości o stan zdrowia i bezpieczeństwo materialne</w:t>
      </w:r>
      <w:r w:rsidR="009D5023">
        <w:rPr>
          <w:color w:val="000000"/>
          <w:sz w:val="24"/>
          <w:szCs w:val="24"/>
          <w:lang w:eastAsia="pl-PL" w:bidi="pl-PL"/>
        </w:rPr>
        <w:t>,</w:t>
      </w:r>
      <w:r w:rsidRPr="00CC0390">
        <w:rPr>
          <w:color w:val="000000"/>
          <w:sz w:val="24"/>
          <w:szCs w:val="24"/>
          <w:lang w:eastAsia="pl-PL" w:bidi="pl-PL"/>
        </w:rPr>
        <w:t xml:space="preserve"> nie mogą nawet liczyć na fakultatywne zastosowanie</w:t>
      </w:r>
      <w:r w:rsidRPr="00CC0390">
        <w:rPr>
          <w:sz w:val="24"/>
          <w:szCs w:val="24"/>
        </w:rPr>
        <w:t xml:space="preserve"> </w:t>
      </w:r>
      <w:r w:rsidRPr="00CC0390">
        <w:rPr>
          <w:color w:val="000000"/>
          <w:sz w:val="24"/>
          <w:szCs w:val="24"/>
          <w:lang w:eastAsia="pl-PL" w:bidi="pl-PL"/>
        </w:rPr>
        <w:t>instytucji ulgi określonej w art. 64 u.p.s., bowiem samorządy wywierają nieformalną presję, by w sposób zdecydowany ograniczać koszty własne związane z finansowaniem pobytów mieszkańców w domach pomocy społecznej.</w:t>
      </w:r>
      <w:r w:rsidRPr="00CC0390">
        <w:rPr>
          <w:sz w:val="24"/>
          <w:szCs w:val="24"/>
        </w:rPr>
        <w:t xml:space="preserve"> </w:t>
      </w:r>
      <w:r w:rsidRPr="00CC0390">
        <w:rPr>
          <w:color w:val="000000"/>
          <w:sz w:val="24"/>
          <w:szCs w:val="24"/>
          <w:lang w:eastAsia="pl-PL" w:bidi="pl-PL"/>
        </w:rPr>
        <w:t>Tym samym</w:t>
      </w:r>
      <w:r w:rsidR="00F90DEA" w:rsidRPr="00CC0390">
        <w:rPr>
          <w:sz w:val="24"/>
          <w:szCs w:val="24"/>
        </w:rPr>
        <w:t xml:space="preserve"> Polska Federacja Związkowa Pracowników Socjalnych i Pomocy Społecznej</w:t>
      </w:r>
      <w:r w:rsidR="00F90DEA" w:rsidRPr="00CC0390">
        <w:rPr>
          <w:color w:val="000000"/>
          <w:sz w:val="24"/>
          <w:szCs w:val="24"/>
          <w:lang w:eastAsia="pl-PL" w:bidi="pl-PL"/>
        </w:rPr>
        <w:t xml:space="preserve"> za zasadne uznała </w:t>
      </w:r>
      <w:r w:rsidRPr="00CC0390">
        <w:rPr>
          <w:color w:val="000000"/>
          <w:sz w:val="24"/>
          <w:szCs w:val="24"/>
          <w:lang w:eastAsia="pl-PL" w:bidi="pl-PL"/>
        </w:rPr>
        <w:t>wprowadzenie niezbędnych zmian legislacyjnych w tym zakresie, przychylając się jednocześnie do wniosku Rzecznika</w:t>
      </w:r>
      <w:r w:rsidR="00F90DEA" w:rsidRPr="00CC0390">
        <w:rPr>
          <w:color w:val="000000"/>
          <w:sz w:val="24"/>
          <w:szCs w:val="24"/>
          <w:lang w:eastAsia="pl-PL" w:bidi="pl-PL"/>
        </w:rPr>
        <w:t xml:space="preserve"> Praw Dziecka</w:t>
      </w:r>
      <w:r w:rsidRPr="00CC0390">
        <w:rPr>
          <w:color w:val="000000"/>
          <w:sz w:val="24"/>
          <w:szCs w:val="24"/>
          <w:lang w:eastAsia="pl-PL" w:bidi="pl-PL"/>
        </w:rPr>
        <w:t>, by instytucja zwolnienia z odpłatności objęła również przypadki postępowań rodziców określone mianem sprzecznych z zasadami współżycia społecznego, które to pojęcie na gruncie prawa posiada swoje precyzyjne odniesienie i interpretacje.</w:t>
      </w:r>
    </w:p>
    <w:p w14:paraId="5E8EAD59" w14:textId="35C8E61A" w:rsidR="006C1A65" w:rsidRPr="00CC0390" w:rsidRDefault="006C1A65" w:rsidP="00CC0390">
      <w:pPr>
        <w:pStyle w:val="Teksttreci0"/>
        <w:shd w:val="clear" w:color="auto" w:fill="auto"/>
        <w:spacing w:before="120" w:after="0" w:line="360" w:lineRule="auto"/>
        <w:ind w:firstLine="708"/>
        <w:rPr>
          <w:color w:val="000000"/>
          <w:sz w:val="24"/>
          <w:szCs w:val="24"/>
          <w:lang w:eastAsia="pl-PL" w:bidi="pl-PL"/>
        </w:rPr>
      </w:pPr>
      <w:r w:rsidRPr="00CC0390">
        <w:rPr>
          <w:color w:val="000000"/>
          <w:sz w:val="24"/>
          <w:szCs w:val="24"/>
          <w:lang w:eastAsia="pl-PL" w:bidi="pl-PL"/>
        </w:rPr>
        <w:t>W odpowiedzi na ww. wystąpienie Minister Rodziny, Pracy i Polityki Społecznej, w związku z przedstawioną w nim propozycją wprowadzenia zwolnienia z opłaty za pobyt w DPS w przypadku, gdy uprawniony zachowywał się sprzecznie z zasadami współżycia społecznego, wskazał m. in., że klauzula zasad współżycia społecznego, jako zwrot niedookreślony, nie powinna być używana w przepisach statuujących obowiązek określonego działania lub zaniechania. Jako instytuc</w:t>
      </w:r>
      <w:r w:rsidR="00E64AFD" w:rsidRPr="00CC0390">
        <w:rPr>
          <w:color w:val="000000"/>
          <w:sz w:val="24"/>
          <w:szCs w:val="24"/>
          <w:lang w:eastAsia="pl-PL" w:bidi="pl-PL"/>
        </w:rPr>
        <w:t>ja prawa materialnego (art. 5 Kodeksu cywilnego</w:t>
      </w:r>
      <w:r w:rsidRPr="00CC0390">
        <w:rPr>
          <w:color w:val="000000"/>
          <w:sz w:val="24"/>
          <w:szCs w:val="24"/>
          <w:lang w:eastAsia="pl-PL" w:bidi="pl-PL"/>
        </w:rPr>
        <w:t xml:space="preserve">) służy łagodzeniu rygoryzmu prawniczego i nie ma stałej treści. </w:t>
      </w:r>
    </w:p>
    <w:p w14:paraId="229D268C" w14:textId="3276CB73" w:rsidR="00117085" w:rsidRPr="00CC0390" w:rsidRDefault="009C3F22" w:rsidP="00CC0390">
      <w:pPr>
        <w:pStyle w:val="Teksttreci0"/>
        <w:shd w:val="clear" w:color="auto" w:fill="auto"/>
        <w:spacing w:before="120" w:after="0" w:line="360" w:lineRule="auto"/>
        <w:ind w:firstLine="708"/>
        <w:rPr>
          <w:sz w:val="24"/>
          <w:szCs w:val="24"/>
          <w:lang w:eastAsia="pl-PL" w:bidi="pl-PL"/>
        </w:rPr>
      </w:pPr>
      <w:r w:rsidRPr="00CC0390">
        <w:rPr>
          <w:sz w:val="24"/>
          <w:szCs w:val="24"/>
        </w:rPr>
        <w:t>Również osoby</w:t>
      </w:r>
      <w:r w:rsidR="00EF4EA8">
        <w:rPr>
          <w:sz w:val="24"/>
          <w:szCs w:val="24"/>
        </w:rPr>
        <w:t xml:space="preserve"> </w:t>
      </w:r>
      <w:r w:rsidRPr="00CC0390">
        <w:rPr>
          <w:sz w:val="24"/>
          <w:szCs w:val="24"/>
        </w:rPr>
        <w:t xml:space="preserve">prywatne wnosiły do Sejmu RP petycje w sprawie zmian </w:t>
      </w:r>
      <w:r w:rsidRPr="00CC0390">
        <w:rPr>
          <w:sz w:val="24"/>
          <w:szCs w:val="24"/>
          <w:lang w:eastAsia="pl-PL"/>
        </w:rPr>
        <w:t xml:space="preserve">art. 61, </w:t>
      </w:r>
      <w:r w:rsidR="009D5023">
        <w:rPr>
          <w:sz w:val="24"/>
          <w:szCs w:val="24"/>
          <w:lang w:eastAsia="pl-PL"/>
        </w:rPr>
        <w:t xml:space="preserve">art. </w:t>
      </w:r>
      <w:r w:rsidRPr="00CC0390">
        <w:rPr>
          <w:sz w:val="24"/>
          <w:szCs w:val="24"/>
          <w:lang w:eastAsia="pl-PL"/>
        </w:rPr>
        <w:t xml:space="preserve">64 i </w:t>
      </w:r>
      <w:r w:rsidR="009D5023">
        <w:rPr>
          <w:sz w:val="24"/>
          <w:szCs w:val="24"/>
          <w:lang w:eastAsia="pl-PL"/>
        </w:rPr>
        <w:t xml:space="preserve">art. </w:t>
      </w:r>
      <w:r w:rsidRPr="00CC0390">
        <w:rPr>
          <w:sz w:val="24"/>
          <w:szCs w:val="24"/>
          <w:lang w:eastAsia="pl-PL"/>
        </w:rPr>
        <w:t>64a u.p.s</w:t>
      </w:r>
      <w:r w:rsidRPr="00CC0390">
        <w:rPr>
          <w:sz w:val="24"/>
          <w:szCs w:val="24"/>
        </w:rPr>
        <w:t xml:space="preserve">. dotyczących kwestii odpłatności za pobyt pensjonariusza w DPS, które stanowiły przedmiot </w:t>
      </w:r>
      <w:r w:rsidRPr="00CC0390">
        <w:rPr>
          <w:sz w:val="24"/>
          <w:szCs w:val="24"/>
        </w:rPr>
        <w:lastRenderedPageBreak/>
        <w:t xml:space="preserve">opiniowania Biura Analiz Sejmowych. </w:t>
      </w:r>
    </w:p>
    <w:p w14:paraId="01DC7BF7" w14:textId="584F9271" w:rsidR="0005641C" w:rsidRPr="00CC0390" w:rsidRDefault="006B3E8F" w:rsidP="00CC0390">
      <w:pPr>
        <w:spacing w:before="120" w:after="0" w:line="360" w:lineRule="auto"/>
        <w:ind w:firstLine="708"/>
        <w:jc w:val="both"/>
        <w:rPr>
          <w:rFonts w:ascii="Times New Roman" w:eastAsia="Times New Roman" w:hAnsi="Times New Roman" w:cs="Times New Roman"/>
          <w:sz w:val="24"/>
          <w:szCs w:val="24"/>
          <w:lang w:eastAsia="pl-PL"/>
        </w:rPr>
      </w:pPr>
      <w:r w:rsidRPr="00CC0390">
        <w:rPr>
          <w:rFonts w:ascii="Times New Roman" w:hAnsi="Times New Roman" w:cs="Times New Roman"/>
          <w:sz w:val="24"/>
          <w:szCs w:val="24"/>
        </w:rPr>
        <w:t>Należy także zwrócić uwagę na orzecznictwo s</w:t>
      </w:r>
      <w:r w:rsidR="00393C5B" w:rsidRPr="00CC0390">
        <w:rPr>
          <w:rFonts w:ascii="Times New Roman" w:hAnsi="Times New Roman" w:cs="Times New Roman"/>
          <w:sz w:val="24"/>
          <w:szCs w:val="24"/>
        </w:rPr>
        <w:t>ą</w:t>
      </w:r>
      <w:r w:rsidR="002569D0" w:rsidRPr="00CC0390">
        <w:rPr>
          <w:rFonts w:ascii="Times New Roman" w:hAnsi="Times New Roman" w:cs="Times New Roman"/>
          <w:sz w:val="24"/>
          <w:szCs w:val="24"/>
        </w:rPr>
        <w:t>dów administracyjnych</w:t>
      </w:r>
      <w:r w:rsidR="00CC0390">
        <w:rPr>
          <w:rFonts w:ascii="Times New Roman" w:hAnsi="Times New Roman" w:cs="Times New Roman"/>
          <w:sz w:val="24"/>
          <w:szCs w:val="24"/>
        </w:rPr>
        <w:t xml:space="preserve"> </w:t>
      </w:r>
      <w:r w:rsidRPr="00CC0390">
        <w:rPr>
          <w:rFonts w:ascii="Times New Roman" w:hAnsi="Times New Roman" w:cs="Times New Roman"/>
          <w:sz w:val="24"/>
          <w:szCs w:val="24"/>
        </w:rPr>
        <w:t xml:space="preserve">w przedmiotowym zakresie. </w:t>
      </w:r>
      <w:r w:rsidR="00D50AC2" w:rsidRPr="00CC0390">
        <w:rPr>
          <w:rFonts w:ascii="Times New Roman" w:eastAsia="Times New Roman" w:hAnsi="Times New Roman" w:cs="Times New Roman"/>
          <w:sz w:val="24"/>
          <w:szCs w:val="24"/>
        </w:rPr>
        <w:t>W w</w:t>
      </w:r>
      <w:r w:rsidR="00D50AC2" w:rsidRPr="00CC0390">
        <w:rPr>
          <w:rFonts w:ascii="Times New Roman" w:eastAsia="Times New Roman" w:hAnsi="Times New Roman" w:cs="Times New Roman"/>
          <w:sz w:val="24"/>
          <w:szCs w:val="24"/>
          <w:lang w:eastAsia="pl-PL"/>
        </w:rPr>
        <w:t>yroku Naczelnego Sądu Administracyjnego z dnia 24 sierpnia 2020 r. (I OSK 694/20) wskazano, że j</w:t>
      </w:r>
      <w:r w:rsidR="00D50AC2" w:rsidRPr="00CC0390">
        <w:rPr>
          <w:rFonts w:ascii="Times New Roman" w:hAnsi="Times New Roman" w:cs="Times New Roman"/>
          <w:sz w:val="24"/>
          <w:szCs w:val="24"/>
        </w:rPr>
        <w:t>edną z zasad wyrażonych w tej ustawie jest zasada finansowania pomocy społecznej ze środków publicznych. Państwo</w:t>
      </w:r>
      <w:r w:rsidR="00CC0390">
        <w:rPr>
          <w:rFonts w:ascii="Times New Roman" w:hAnsi="Times New Roman" w:cs="Times New Roman"/>
          <w:sz w:val="24"/>
          <w:szCs w:val="24"/>
        </w:rPr>
        <w:t xml:space="preserve"> </w:t>
      </w:r>
      <w:r w:rsidR="00D50AC2" w:rsidRPr="00CC0390">
        <w:rPr>
          <w:rFonts w:ascii="Times New Roman" w:hAnsi="Times New Roman" w:cs="Times New Roman"/>
          <w:sz w:val="24"/>
          <w:szCs w:val="24"/>
        </w:rPr>
        <w:t>i samorządy terytorialne nie tylko mają obowiązek wykonywania zadań pomocy społecznej, ale muszą również ponosić związane z tym obciążenia finansowe. Jest to jedna z podstawowych cech odróżniających pomoc społeczną od ubezpieczeń społecznych, które w znacznej części finansowane są ze składek. Uzupełnieniem powyższej zasady jest jednak zasada odpłatności, o</w:t>
      </w:r>
      <w:r w:rsidR="002569D0" w:rsidRPr="00CC0390">
        <w:rPr>
          <w:rFonts w:ascii="Times New Roman" w:hAnsi="Times New Roman" w:cs="Times New Roman"/>
          <w:sz w:val="24"/>
          <w:szCs w:val="24"/>
        </w:rPr>
        <w:t>kreślająca udział beneficjentów</w:t>
      </w:r>
      <w:r w:rsidR="00CC0390">
        <w:rPr>
          <w:rFonts w:ascii="Times New Roman" w:hAnsi="Times New Roman" w:cs="Times New Roman"/>
          <w:sz w:val="24"/>
          <w:szCs w:val="24"/>
        </w:rPr>
        <w:t xml:space="preserve"> </w:t>
      </w:r>
      <w:r w:rsidR="00D50AC2" w:rsidRPr="00CC0390">
        <w:rPr>
          <w:rFonts w:ascii="Times New Roman" w:hAnsi="Times New Roman" w:cs="Times New Roman"/>
          <w:sz w:val="24"/>
          <w:szCs w:val="24"/>
        </w:rPr>
        <w:t>w pokrywaniu kosztów świadczeń pomocy społecznej (I. Sierpowska, Pomoc społeczna. Komentarz, wyd. IV, WKP 2017). Zauważa się tutaj, że obowiązki rodzinne wyprzedzają powinności państwa. Jeżeli zate</w:t>
      </w:r>
      <w:r w:rsidR="002569D0" w:rsidRPr="00CC0390">
        <w:rPr>
          <w:rFonts w:ascii="Times New Roman" w:hAnsi="Times New Roman" w:cs="Times New Roman"/>
          <w:sz w:val="24"/>
          <w:szCs w:val="24"/>
        </w:rPr>
        <w:t>m istnieją osoby, które zgodnie</w:t>
      </w:r>
      <w:r w:rsidR="009D5023">
        <w:rPr>
          <w:rFonts w:ascii="Times New Roman" w:hAnsi="Times New Roman" w:cs="Times New Roman"/>
          <w:sz w:val="24"/>
          <w:szCs w:val="24"/>
        </w:rPr>
        <w:t xml:space="preserve"> </w:t>
      </w:r>
      <w:r w:rsidR="00D50AC2" w:rsidRPr="00CC0390">
        <w:rPr>
          <w:rFonts w:ascii="Times New Roman" w:hAnsi="Times New Roman" w:cs="Times New Roman"/>
          <w:sz w:val="24"/>
          <w:szCs w:val="24"/>
        </w:rPr>
        <w:t xml:space="preserve">z obowiązkiem alimentacji mogą dostarczyć osobie potrzebującej niezbędnych środków utrzymania, to ich powinności wyprzedzają świadczenia z pomocy społecznej (Sierpowska I., Pomoc społeczna jako administracja świadcząca. Studium administracyjnoprawne. WKP 2012). Ponadto wskazano, że w doktrynie podkreśla się, </w:t>
      </w:r>
      <w:r w:rsidR="006A0E2E" w:rsidRPr="00CC0390">
        <w:rPr>
          <w:rFonts w:ascii="Times New Roman" w:hAnsi="Times New Roman" w:cs="Times New Roman"/>
          <w:sz w:val="24"/>
          <w:szCs w:val="24"/>
        </w:rPr>
        <w:t>i</w:t>
      </w:r>
      <w:r w:rsidR="00D50AC2" w:rsidRPr="00CC0390">
        <w:rPr>
          <w:rFonts w:ascii="Times New Roman" w:hAnsi="Times New Roman" w:cs="Times New Roman"/>
          <w:sz w:val="24"/>
          <w:szCs w:val="24"/>
        </w:rPr>
        <w:t>ż ponieważ uiszczanie opłat na dom pomocy społecznej stanowi dla osoby zobowiązanej obciążenie finansowe, głównym powodem zastosowania zwolnienia powinna być sytuacja materialna zobowiązanego. Zwolnienie nie powinno nastąpić, jeżeli pomimo zaistnienia wskazanych okoliczności osoba jest w stanie płacić za pobyt w placówce (np. utrzymuje się z jednego, ale wysokiego wynagrodzenia). Stosowanie odmiennych zasad godzi w idee i cele pomocy społecznej. Niezasadne zwolnienie jest sprzeczne z zasadą pomocniczości, przerzuca bowiem na jednostki samorządu terytorialnego i obywateli koszty utrzymania osób, które są samowystarczalne pod względem finansowym lub mogą być utrzymywane przez swoich krewnych. (...) Należy pamiętać, że ustawodawca nie uzależnił obowiązku ponoszenia opłat przez krewnych (wstępnych i zstępnych) od okoliczności subiektywnych, takich jak wzajemne stosunki w rodzinie. Dlatego stosowanie zwolnień odwołujących się do tych relacji wymaga dużej rozwagi i ostrożności. (I. Sierpowska, Pomoc społeczna. Komentarz. wyd. IV, WKP 2017).</w:t>
      </w:r>
      <w:r w:rsidR="00E96860" w:rsidRPr="00CC0390">
        <w:rPr>
          <w:rFonts w:ascii="Times New Roman" w:hAnsi="Times New Roman" w:cs="Times New Roman"/>
          <w:sz w:val="24"/>
          <w:szCs w:val="24"/>
        </w:rPr>
        <w:t xml:space="preserve"> Tożsamy pogląd wyraził NSA w wyroku </w:t>
      </w:r>
      <w:r w:rsidR="00D50AC2" w:rsidRPr="00CC0390">
        <w:rPr>
          <w:rFonts w:ascii="Times New Roman" w:eastAsia="Times New Roman" w:hAnsi="Times New Roman" w:cs="Times New Roman"/>
          <w:sz w:val="24"/>
          <w:szCs w:val="24"/>
          <w:lang w:eastAsia="pl-PL"/>
        </w:rPr>
        <w:t>z dnia 16 grudnia 2020 r., I OSK 1643/20</w:t>
      </w:r>
      <w:r w:rsidR="009D5023">
        <w:rPr>
          <w:rFonts w:ascii="Times New Roman" w:eastAsia="Times New Roman" w:hAnsi="Times New Roman" w:cs="Times New Roman"/>
          <w:sz w:val="24"/>
          <w:szCs w:val="24"/>
          <w:lang w:eastAsia="pl-PL"/>
        </w:rPr>
        <w:t>,</w:t>
      </w:r>
      <w:r w:rsidR="00740BFE" w:rsidRPr="00CC0390">
        <w:rPr>
          <w:rFonts w:ascii="Times New Roman" w:eastAsia="Times New Roman" w:hAnsi="Times New Roman" w:cs="Times New Roman"/>
          <w:sz w:val="24"/>
          <w:szCs w:val="24"/>
          <w:lang w:eastAsia="pl-PL"/>
        </w:rPr>
        <w:t xml:space="preserve"> dodatkowo wskazując, że przepis art. 64 ust. 1 u.p.s. przewiduje koncesję od obowiązku ponoszenia opłat za pobyt w DPS przez małżonka, wstępnych i zstępnych, jednak skorzystanie z takiego zwolnienia jest dopuszczalne jedynie, gdy </w:t>
      </w:r>
      <w:r w:rsidR="006B554B" w:rsidRPr="00CC0390">
        <w:rPr>
          <w:rFonts w:ascii="Times New Roman" w:eastAsia="Times New Roman" w:hAnsi="Times New Roman" w:cs="Times New Roman"/>
          <w:sz w:val="24"/>
          <w:szCs w:val="24"/>
          <w:lang w:eastAsia="pl-PL"/>
        </w:rPr>
        <w:t>„</w:t>
      </w:r>
      <w:r w:rsidR="00740BFE" w:rsidRPr="00CC0390">
        <w:rPr>
          <w:rFonts w:ascii="Times New Roman" w:eastAsia="Times New Roman" w:hAnsi="Times New Roman" w:cs="Times New Roman"/>
          <w:sz w:val="24"/>
          <w:szCs w:val="24"/>
          <w:lang w:eastAsia="pl-PL"/>
        </w:rPr>
        <w:t xml:space="preserve">występują uzasadnione okoliczności”. Ustawodawca w powołanym przepisie posłużył się tzw. klauzulą generalną, a więc odesłaniem do kwantyfikatora pozaprawnego </w:t>
      </w:r>
      <w:r w:rsidR="006B554B" w:rsidRPr="00CC0390">
        <w:rPr>
          <w:rFonts w:ascii="Times New Roman" w:eastAsia="Times New Roman" w:hAnsi="Times New Roman" w:cs="Times New Roman"/>
          <w:sz w:val="24"/>
          <w:szCs w:val="24"/>
          <w:lang w:eastAsia="pl-PL"/>
        </w:rPr>
        <w:t>–</w:t>
      </w:r>
      <w:r w:rsidR="00740BFE" w:rsidRPr="00CC0390">
        <w:rPr>
          <w:rFonts w:ascii="Times New Roman" w:eastAsia="Times New Roman" w:hAnsi="Times New Roman" w:cs="Times New Roman"/>
          <w:sz w:val="24"/>
          <w:szCs w:val="24"/>
          <w:lang w:eastAsia="pl-PL"/>
        </w:rPr>
        <w:t xml:space="preserve"> okoliczności dotyczących osoby wnioskującej o zwolnienie,</w:t>
      </w:r>
      <w:r w:rsidR="006A0E2E" w:rsidRPr="00CC0390">
        <w:rPr>
          <w:rFonts w:ascii="Times New Roman" w:eastAsia="Times New Roman" w:hAnsi="Times New Roman" w:cs="Times New Roman"/>
          <w:sz w:val="24"/>
          <w:szCs w:val="24"/>
          <w:lang w:eastAsia="pl-PL"/>
        </w:rPr>
        <w:t xml:space="preserve"> które podlegają wartościowaniu </w:t>
      </w:r>
      <w:r w:rsidR="00740BFE" w:rsidRPr="00CC0390">
        <w:rPr>
          <w:rFonts w:ascii="Times New Roman" w:eastAsia="Times New Roman" w:hAnsi="Times New Roman" w:cs="Times New Roman"/>
          <w:sz w:val="24"/>
          <w:szCs w:val="24"/>
          <w:lang w:eastAsia="pl-PL"/>
        </w:rPr>
        <w:t xml:space="preserve">w kontekście uzasadnienia </w:t>
      </w:r>
      <w:r w:rsidR="00740BFE" w:rsidRPr="00CC0390">
        <w:rPr>
          <w:rFonts w:ascii="Times New Roman" w:eastAsia="Times New Roman" w:hAnsi="Times New Roman" w:cs="Times New Roman"/>
          <w:sz w:val="24"/>
          <w:szCs w:val="24"/>
          <w:lang w:eastAsia="pl-PL"/>
        </w:rPr>
        <w:lastRenderedPageBreak/>
        <w:t xml:space="preserve">rezygnacji przez państwo (jednostkę samorządu terytorialnego) </w:t>
      </w:r>
      <w:r w:rsidR="00A11626" w:rsidRPr="00CC0390">
        <w:rPr>
          <w:rFonts w:ascii="Times New Roman" w:eastAsia="Times New Roman" w:hAnsi="Times New Roman" w:cs="Times New Roman"/>
          <w:sz w:val="24"/>
          <w:szCs w:val="24"/>
          <w:lang w:eastAsia="pl-PL"/>
        </w:rPr>
        <w:t xml:space="preserve">z </w:t>
      </w:r>
      <w:r w:rsidR="00740BFE" w:rsidRPr="00CC0390">
        <w:rPr>
          <w:rFonts w:ascii="Times New Roman" w:eastAsia="Times New Roman" w:hAnsi="Times New Roman" w:cs="Times New Roman"/>
          <w:sz w:val="24"/>
          <w:szCs w:val="24"/>
          <w:lang w:eastAsia="pl-PL"/>
        </w:rPr>
        <w:t xml:space="preserve">domagania się zwrotu wydatków poniesionych na udzielone świadczenie (pobyt w DPS). Decyzja w przedmiocie zwolnienia z obowiązku ponoszenia opłaty z pobyt w DPS ma charakter uznaniowy, co oznacza, że organ pomimo ustalenia okoliczności </w:t>
      </w:r>
      <w:r w:rsidR="00EF4EA8">
        <w:rPr>
          <w:rFonts w:ascii="Times New Roman" w:eastAsia="Times New Roman" w:hAnsi="Times New Roman" w:cs="Times New Roman"/>
          <w:sz w:val="24"/>
          <w:szCs w:val="24"/>
          <w:lang w:eastAsia="pl-PL"/>
        </w:rPr>
        <w:t>–</w:t>
      </w:r>
      <w:r w:rsidR="00740BFE" w:rsidRPr="00CC0390">
        <w:rPr>
          <w:rFonts w:ascii="Times New Roman" w:eastAsia="Times New Roman" w:hAnsi="Times New Roman" w:cs="Times New Roman"/>
          <w:sz w:val="24"/>
          <w:szCs w:val="24"/>
          <w:lang w:eastAsia="pl-PL"/>
        </w:rPr>
        <w:t xml:space="preserve"> </w:t>
      </w:r>
      <w:r w:rsidR="00740BFE" w:rsidRPr="00EF4EA8">
        <w:rPr>
          <w:rFonts w:ascii="Times New Roman" w:eastAsia="Times New Roman" w:hAnsi="Times New Roman" w:cs="Times New Roman"/>
          <w:i/>
          <w:sz w:val="24"/>
          <w:szCs w:val="24"/>
          <w:lang w:eastAsia="pl-PL"/>
        </w:rPr>
        <w:t>in casu</w:t>
      </w:r>
      <w:r w:rsidR="00740BFE" w:rsidRPr="00CC0390">
        <w:rPr>
          <w:rFonts w:ascii="Times New Roman" w:eastAsia="Times New Roman" w:hAnsi="Times New Roman" w:cs="Times New Roman"/>
          <w:sz w:val="24"/>
          <w:szCs w:val="24"/>
          <w:lang w:eastAsia="pl-PL"/>
        </w:rPr>
        <w:t xml:space="preserve"> </w:t>
      </w:r>
      <w:r w:rsidR="00EF4EA8">
        <w:rPr>
          <w:rFonts w:ascii="Times New Roman" w:eastAsia="Times New Roman" w:hAnsi="Times New Roman" w:cs="Times New Roman"/>
          <w:sz w:val="24"/>
          <w:szCs w:val="24"/>
          <w:lang w:eastAsia="pl-PL"/>
        </w:rPr>
        <w:t>–</w:t>
      </w:r>
      <w:r w:rsidR="00740BFE" w:rsidRPr="00CC0390">
        <w:rPr>
          <w:rFonts w:ascii="Times New Roman" w:eastAsia="Times New Roman" w:hAnsi="Times New Roman" w:cs="Times New Roman"/>
          <w:sz w:val="24"/>
          <w:szCs w:val="24"/>
          <w:lang w:eastAsia="pl-PL"/>
        </w:rPr>
        <w:t xml:space="preserve"> z art. 64 ust. 1 pkt 2 u.p.s. może przedmiotowego zwolnienia odmówić. Przy oc</w:t>
      </w:r>
      <w:r w:rsidR="00A11626" w:rsidRPr="00CC0390">
        <w:rPr>
          <w:rFonts w:ascii="Times New Roman" w:eastAsia="Times New Roman" w:hAnsi="Times New Roman" w:cs="Times New Roman"/>
          <w:sz w:val="24"/>
          <w:szCs w:val="24"/>
          <w:lang w:eastAsia="pl-PL"/>
        </w:rPr>
        <w:t>enie legalności takiej decyzji s</w:t>
      </w:r>
      <w:r w:rsidR="00740BFE" w:rsidRPr="00CC0390">
        <w:rPr>
          <w:rFonts w:ascii="Times New Roman" w:eastAsia="Times New Roman" w:hAnsi="Times New Roman" w:cs="Times New Roman"/>
          <w:sz w:val="24"/>
          <w:szCs w:val="24"/>
          <w:lang w:eastAsia="pl-PL"/>
        </w:rPr>
        <w:t xml:space="preserve">ąd weryfikuje jedynie, czy organ właściwie ustalił i rozważył stan faktyczny, czy wydane rozstrzygnięcie mieści się w granicach uznania administracyjnego </w:t>
      </w:r>
      <w:r w:rsidR="006B554B" w:rsidRPr="00CC0390">
        <w:rPr>
          <w:rFonts w:ascii="Times New Roman" w:eastAsia="Times New Roman" w:hAnsi="Times New Roman" w:cs="Times New Roman"/>
          <w:sz w:val="24"/>
          <w:szCs w:val="24"/>
          <w:lang w:eastAsia="pl-PL"/>
        </w:rPr>
        <w:t>–</w:t>
      </w:r>
      <w:r w:rsidR="00740BFE" w:rsidRPr="00CC0390">
        <w:rPr>
          <w:rFonts w:ascii="Times New Roman" w:eastAsia="Times New Roman" w:hAnsi="Times New Roman" w:cs="Times New Roman"/>
          <w:sz w:val="24"/>
          <w:szCs w:val="24"/>
          <w:lang w:eastAsia="pl-PL"/>
        </w:rPr>
        <w:t xml:space="preserve"> wyraża jeden z wariantów przewidzianych w dyspozycji normy uznaniowej </w:t>
      </w:r>
      <w:r w:rsidR="006B554B" w:rsidRPr="00CC0390">
        <w:rPr>
          <w:rFonts w:ascii="Times New Roman" w:eastAsia="Times New Roman" w:hAnsi="Times New Roman" w:cs="Times New Roman"/>
          <w:sz w:val="24"/>
          <w:szCs w:val="24"/>
          <w:lang w:eastAsia="pl-PL"/>
        </w:rPr>
        <w:t>–</w:t>
      </w:r>
      <w:r w:rsidR="00740BFE" w:rsidRPr="00CC0390">
        <w:rPr>
          <w:rFonts w:ascii="Times New Roman" w:eastAsia="Times New Roman" w:hAnsi="Times New Roman" w:cs="Times New Roman"/>
          <w:sz w:val="24"/>
          <w:szCs w:val="24"/>
          <w:lang w:eastAsia="pl-PL"/>
        </w:rPr>
        <w:t xml:space="preserve"> i czy należycie sparametryzowano interes społeczny z interesem indywidualnym </w:t>
      </w:r>
      <w:r w:rsidR="006B554B" w:rsidRPr="00CC0390">
        <w:rPr>
          <w:rFonts w:ascii="Times New Roman" w:eastAsia="Times New Roman" w:hAnsi="Times New Roman" w:cs="Times New Roman"/>
          <w:sz w:val="24"/>
          <w:szCs w:val="24"/>
          <w:lang w:eastAsia="pl-PL"/>
        </w:rPr>
        <w:t>–</w:t>
      </w:r>
      <w:r w:rsidR="00740BFE" w:rsidRPr="00CC0390">
        <w:rPr>
          <w:rFonts w:ascii="Times New Roman" w:eastAsia="Times New Roman" w:hAnsi="Times New Roman" w:cs="Times New Roman"/>
          <w:sz w:val="24"/>
          <w:szCs w:val="24"/>
          <w:lang w:eastAsia="pl-PL"/>
        </w:rPr>
        <w:t xml:space="preserve"> art. 7 k.p.a. W efekcie wydanie decyzji uwzględniającej wniosek o zwolnienie z opłaty za pobyt w DPS powinno mieć charakter zupełnie wyjątkowy, wyłącznie w takim skonfigurowaniu, w którym sytuacja zdrowotna, rodzinna, życiowa i losowa wnioskującego reprezentuje taki ładunek aksjologiczny, który przełamuje fiskalizm państwa. </w:t>
      </w:r>
      <w:r w:rsidR="008F1EB1" w:rsidRPr="00CC0390">
        <w:rPr>
          <w:rFonts w:ascii="Times New Roman" w:eastAsia="Times New Roman" w:hAnsi="Times New Roman" w:cs="Times New Roman"/>
          <w:sz w:val="24"/>
          <w:szCs w:val="24"/>
          <w:lang w:eastAsia="pl-PL"/>
        </w:rPr>
        <w:t xml:space="preserve">Powyższy pogląd przedstawił również Wojewódzki Sąd Administracyjny w Rzeszowie w wyroku </w:t>
      </w:r>
      <w:r w:rsidR="006B554B" w:rsidRPr="00CC0390">
        <w:rPr>
          <w:rFonts w:ascii="Times New Roman" w:eastAsia="Times New Roman" w:hAnsi="Times New Roman" w:cs="Times New Roman"/>
          <w:sz w:val="24"/>
          <w:szCs w:val="24"/>
          <w:lang w:eastAsia="pl-PL"/>
        </w:rPr>
        <w:t xml:space="preserve">z </w:t>
      </w:r>
      <w:r w:rsidR="008F1EB1" w:rsidRPr="00CC0390">
        <w:rPr>
          <w:rFonts w:ascii="Times New Roman" w:eastAsia="Times New Roman" w:hAnsi="Times New Roman" w:cs="Times New Roman"/>
          <w:sz w:val="24"/>
          <w:szCs w:val="24"/>
          <w:lang w:eastAsia="pl-PL"/>
        </w:rPr>
        <w:t>dnia 25 lutego 2020 r. (II SA/Rz 23/20).</w:t>
      </w:r>
    </w:p>
    <w:p w14:paraId="028C6191" w14:textId="010AC09E" w:rsidR="0005641C" w:rsidRPr="00CC0390" w:rsidRDefault="0005641C" w:rsidP="00CC0390">
      <w:pPr>
        <w:spacing w:before="120" w:after="0" w:line="360" w:lineRule="auto"/>
        <w:ind w:firstLine="708"/>
        <w:jc w:val="both"/>
        <w:rPr>
          <w:rFonts w:ascii="Times New Roman" w:hAnsi="Times New Roman" w:cs="Times New Roman"/>
          <w:color w:val="000000"/>
          <w:sz w:val="24"/>
          <w:szCs w:val="24"/>
          <w:lang w:eastAsia="pl-PL" w:bidi="pl-PL"/>
        </w:rPr>
      </w:pPr>
      <w:r w:rsidRPr="00CC0390">
        <w:rPr>
          <w:rFonts w:ascii="Times New Roman" w:hAnsi="Times New Roman" w:cs="Times New Roman"/>
          <w:color w:val="000000"/>
          <w:sz w:val="24"/>
          <w:szCs w:val="24"/>
          <w:lang w:eastAsia="pl-PL" w:bidi="pl-PL"/>
        </w:rPr>
        <w:t xml:space="preserve">W wyroku </w:t>
      </w:r>
      <w:r w:rsidRPr="00CC0390">
        <w:rPr>
          <w:rFonts w:ascii="Times New Roman" w:eastAsia="Times New Roman" w:hAnsi="Times New Roman" w:cs="Times New Roman"/>
          <w:sz w:val="24"/>
          <w:szCs w:val="24"/>
          <w:lang w:eastAsia="pl-PL"/>
        </w:rPr>
        <w:t>Wojewódzki</w:t>
      </w:r>
      <w:r w:rsidR="006B554B" w:rsidRPr="00CC0390">
        <w:rPr>
          <w:rFonts w:ascii="Times New Roman" w:eastAsia="Times New Roman" w:hAnsi="Times New Roman" w:cs="Times New Roman"/>
          <w:sz w:val="24"/>
          <w:szCs w:val="24"/>
          <w:lang w:eastAsia="pl-PL"/>
        </w:rPr>
        <w:t>ego</w:t>
      </w:r>
      <w:r w:rsidRPr="00CC0390">
        <w:rPr>
          <w:rFonts w:ascii="Times New Roman" w:eastAsia="Times New Roman" w:hAnsi="Times New Roman" w:cs="Times New Roman"/>
          <w:sz w:val="24"/>
          <w:szCs w:val="24"/>
          <w:lang w:eastAsia="pl-PL"/>
        </w:rPr>
        <w:t xml:space="preserve"> Sąd</w:t>
      </w:r>
      <w:r w:rsidR="006B554B" w:rsidRPr="00CC0390">
        <w:rPr>
          <w:rFonts w:ascii="Times New Roman" w:eastAsia="Times New Roman" w:hAnsi="Times New Roman" w:cs="Times New Roman"/>
          <w:sz w:val="24"/>
          <w:szCs w:val="24"/>
          <w:lang w:eastAsia="pl-PL"/>
        </w:rPr>
        <w:t>u</w:t>
      </w:r>
      <w:r w:rsidRPr="00CC0390">
        <w:rPr>
          <w:rFonts w:ascii="Times New Roman" w:eastAsia="Times New Roman" w:hAnsi="Times New Roman" w:cs="Times New Roman"/>
          <w:sz w:val="24"/>
          <w:szCs w:val="24"/>
          <w:lang w:eastAsia="pl-PL"/>
        </w:rPr>
        <w:t xml:space="preserve"> Administracyjn</w:t>
      </w:r>
      <w:r w:rsidR="006B554B" w:rsidRPr="00CC0390">
        <w:rPr>
          <w:rFonts w:ascii="Times New Roman" w:eastAsia="Times New Roman" w:hAnsi="Times New Roman" w:cs="Times New Roman"/>
          <w:sz w:val="24"/>
          <w:szCs w:val="24"/>
          <w:lang w:eastAsia="pl-PL"/>
        </w:rPr>
        <w:t>ego</w:t>
      </w:r>
      <w:r w:rsidRPr="00CC0390">
        <w:rPr>
          <w:rFonts w:ascii="Times New Roman" w:eastAsia="Times New Roman" w:hAnsi="Times New Roman" w:cs="Times New Roman"/>
          <w:sz w:val="24"/>
          <w:szCs w:val="24"/>
          <w:lang w:eastAsia="pl-PL"/>
        </w:rPr>
        <w:t xml:space="preserve"> </w:t>
      </w:r>
      <w:r w:rsidRPr="00CC0390">
        <w:rPr>
          <w:rFonts w:ascii="Times New Roman" w:hAnsi="Times New Roman" w:cs="Times New Roman"/>
          <w:color w:val="000000"/>
          <w:sz w:val="24"/>
          <w:szCs w:val="24"/>
          <w:lang w:eastAsia="pl-PL" w:bidi="pl-PL"/>
        </w:rPr>
        <w:t>w Łodz</w:t>
      </w:r>
      <w:r w:rsidR="000C6257" w:rsidRPr="00CC0390">
        <w:rPr>
          <w:rFonts w:ascii="Times New Roman" w:hAnsi="Times New Roman" w:cs="Times New Roman"/>
          <w:color w:val="000000"/>
          <w:sz w:val="24"/>
          <w:szCs w:val="24"/>
          <w:lang w:eastAsia="pl-PL" w:bidi="pl-PL"/>
        </w:rPr>
        <w:t xml:space="preserve">i, II SA/Łd 467/14 z dnia 26 sierpnia </w:t>
      </w:r>
      <w:r w:rsidRPr="00CC0390">
        <w:rPr>
          <w:rFonts w:ascii="Times New Roman" w:hAnsi="Times New Roman" w:cs="Times New Roman"/>
          <w:color w:val="000000"/>
          <w:sz w:val="24"/>
          <w:szCs w:val="24"/>
          <w:lang w:eastAsia="pl-PL" w:bidi="pl-PL"/>
        </w:rPr>
        <w:t>2014</w:t>
      </w:r>
      <w:r w:rsidR="000C6257" w:rsidRPr="00CC0390">
        <w:rPr>
          <w:rFonts w:ascii="Times New Roman" w:hAnsi="Times New Roman" w:cs="Times New Roman"/>
          <w:color w:val="000000"/>
          <w:sz w:val="24"/>
          <w:szCs w:val="24"/>
          <w:lang w:eastAsia="pl-PL" w:bidi="pl-PL"/>
        </w:rPr>
        <w:t xml:space="preserve"> r.</w:t>
      </w:r>
      <w:r w:rsidRPr="00CC0390">
        <w:rPr>
          <w:rFonts w:ascii="Times New Roman" w:hAnsi="Times New Roman" w:cs="Times New Roman"/>
          <w:color w:val="000000"/>
          <w:sz w:val="24"/>
          <w:szCs w:val="24"/>
          <w:lang w:eastAsia="pl-PL" w:bidi="pl-PL"/>
        </w:rPr>
        <w:t xml:space="preserve"> wskazano natomiast, że „(…) </w:t>
      </w:r>
      <w:r w:rsidRPr="00CC0390">
        <w:rPr>
          <w:rFonts w:ascii="Times New Roman" w:hAnsi="Times New Roman" w:cs="Times New Roman"/>
          <w:sz w:val="24"/>
          <w:szCs w:val="24"/>
        </w:rPr>
        <w:t xml:space="preserve">przepis art. 61 ust. 2 pkt 2 u.p.s. nakładając na małżonka, zstępnych i wstępnych obowiązek ponoszenia kosztów pobytu w DPS za osobę tam umieszczoną, z jednej strony stanowi ustawową podstawę odpowiedzialności finansowej tych osób za świadczenia, których nie są podmiotami i które nie są na ich rzecz wykonywane (nie są ich beneficjentami), z drugiej zaś strony przepis art. 61 u.p.s. statuując system odpłatności za pobyt w DPS nie wiąże obowiązku ponoszenia opłat za pensjonariusza z instytucją rodziny, rozumianą jako osoby spokrewnione lub niespokrewnione pozostające w faktycznym związku, wspólnie zamieszkujące i gospodarujące (art. 6 pkt 14 u.p.s.) czy z instytucją alimentacji, lecz konkretnie wskazuje kto (małżonek, zstępni, wstępni) i w jakiej kolejności zobowiązany jest do ponoszenia owych opłat. Oderwanie obowiązku ponoszenia owych opłat zarówno od elementów stanowiących o potrzebie wzajemnego wspierania się członków rodziny, jak i od świadczeń alimentacyjnych sprawia, że obowiązek ten może obciążać osoby, które tylko formalnie wypełniają dyspozycję art. 61 ust. 2 pkt 2 u.p.s., a z pensjonariuszem DPS nic ich nie łączy, w szczególności brak jest jakichkolwiek więzi społecznych uzasadniających potrzebę przyczyniania się do zaspokajania potrzeb umieszczonego w DPS. Automatyczne włączenie wszystkich takich osób do grona ponoszących odpowiedzialność finansową za pobyt w DPS i uzależnienie tej odpowiedzialności wyłącznie od wysokości uzyskiwanych dochodów, w niektórych sytuacjach byłoby niemożliwe do pogodzenia z dyrektywami demokratycznego państwa prawa (art. 2 Konstytucji R.P.).”. </w:t>
      </w:r>
    </w:p>
    <w:p w14:paraId="5E8798F2" w14:textId="7FB1E70B" w:rsidR="00740BFE" w:rsidRPr="00CC0390" w:rsidRDefault="0005641C" w:rsidP="00CC0390">
      <w:pPr>
        <w:spacing w:before="120" w:after="0" w:line="360" w:lineRule="auto"/>
        <w:ind w:firstLine="708"/>
        <w:jc w:val="both"/>
        <w:rPr>
          <w:rFonts w:ascii="Times New Roman" w:hAnsi="Times New Roman" w:cs="Times New Roman"/>
          <w:sz w:val="24"/>
          <w:szCs w:val="24"/>
        </w:rPr>
      </w:pPr>
      <w:r w:rsidRPr="00CC0390">
        <w:rPr>
          <w:rFonts w:ascii="Times New Roman" w:hAnsi="Times New Roman" w:cs="Times New Roman"/>
          <w:sz w:val="24"/>
          <w:szCs w:val="24"/>
        </w:rPr>
        <w:lastRenderedPageBreak/>
        <w:t>Ten sam</w:t>
      </w:r>
      <w:r w:rsidR="00E6511F" w:rsidRPr="00CC0390">
        <w:rPr>
          <w:rFonts w:ascii="Times New Roman" w:hAnsi="Times New Roman" w:cs="Times New Roman"/>
          <w:sz w:val="24"/>
          <w:szCs w:val="24"/>
        </w:rPr>
        <w:t xml:space="preserve"> </w:t>
      </w:r>
      <w:r w:rsidR="00F02BCA" w:rsidRPr="00CC0390">
        <w:rPr>
          <w:rFonts w:ascii="Times New Roman" w:eastAsia="Times New Roman" w:hAnsi="Times New Roman" w:cs="Times New Roman"/>
          <w:sz w:val="24"/>
          <w:szCs w:val="24"/>
          <w:lang w:eastAsia="pl-PL"/>
        </w:rPr>
        <w:t xml:space="preserve">Wojewódzki Sąd Administracyjny w Łodzi w wyroku </w:t>
      </w:r>
      <w:r w:rsidR="00E6511F" w:rsidRPr="00CC0390">
        <w:rPr>
          <w:rFonts w:ascii="Times New Roman" w:eastAsia="Times New Roman" w:hAnsi="Times New Roman" w:cs="Times New Roman"/>
          <w:sz w:val="24"/>
          <w:szCs w:val="24"/>
          <w:lang w:eastAsia="pl-PL"/>
        </w:rPr>
        <w:t>z dnia 3 marca 2020 r.</w:t>
      </w:r>
      <w:r w:rsidR="00F02BCA" w:rsidRPr="00CC0390">
        <w:rPr>
          <w:rFonts w:ascii="Times New Roman" w:eastAsia="Times New Roman" w:hAnsi="Times New Roman" w:cs="Times New Roman"/>
          <w:sz w:val="24"/>
          <w:szCs w:val="24"/>
          <w:lang w:eastAsia="pl-PL"/>
        </w:rPr>
        <w:t xml:space="preserve">, </w:t>
      </w:r>
      <w:r w:rsidR="00E6511F" w:rsidRPr="00CC0390">
        <w:rPr>
          <w:rFonts w:ascii="Times New Roman" w:eastAsia="Times New Roman" w:hAnsi="Times New Roman" w:cs="Times New Roman"/>
          <w:sz w:val="24"/>
          <w:szCs w:val="24"/>
          <w:lang w:eastAsia="pl-PL"/>
        </w:rPr>
        <w:t>II SA/Łd 956/19</w:t>
      </w:r>
      <w:r w:rsidR="00F02BCA" w:rsidRPr="00CC0390">
        <w:rPr>
          <w:rFonts w:ascii="Times New Roman" w:eastAsia="Times New Roman" w:hAnsi="Times New Roman" w:cs="Times New Roman"/>
          <w:sz w:val="24"/>
          <w:szCs w:val="24"/>
          <w:lang w:eastAsia="pl-PL"/>
        </w:rPr>
        <w:t xml:space="preserve"> wskazał, że t</w:t>
      </w:r>
      <w:r w:rsidR="00E6511F" w:rsidRPr="00CC0390">
        <w:rPr>
          <w:rFonts w:ascii="Times New Roman" w:hAnsi="Times New Roman" w:cs="Times New Roman"/>
          <w:sz w:val="24"/>
          <w:szCs w:val="24"/>
        </w:rPr>
        <w:t>reść normatywna art. 64 u.p.s</w:t>
      </w:r>
      <w:r w:rsidR="00081021" w:rsidRPr="00CC0390">
        <w:rPr>
          <w:rFonts w:ascii="Times New Roman" w:hAnsi="Times New Roman" w:cs="Times New Roman"/>
          <w:sz w:val="24"/>
          <w:szCs w:val="24"/>
        </w:rPr>
        <w:t xml:space="preserve"> </w:t>
      </w:r>
      <w:r w:rsidR="00E6511F" w:rsidRPr="00CC0390">
        <w:rPr>
          <w:rFonts w:ascii="Times New Roman" w:hAnsi="Times New Roman" w:cs="Times New Roman"/>
          <w:sz w:val="24"/>
          <w:szCs w:val="24"/>
        </w:rPr>
        <w:t>wskazuje na uznaniowy charakter zwolnienia, co oznacza, że kontrolne kompetencje sądu ograniczone są do zbadania</w:t>
      </w:r>
      <w:r w:rsidR="009D5023">
        <w:rPr>
          <w:rFonts w:ascii="Times New Roman" w:hAnsi="Times New Roman" w:cs="Times New Roman"/>
          <w:sz w:val="24"/>
          <w:szCs w:val="24"/>
        </w:rPr>
        <w:t>,</w:t>
      </w:r>
      <w:r w:rsidR="00E6511F" w:rsidRPr="00CC0390">
        <w:rPr>
          <w:rFonts w:ascii="Times New Roman" w:hAnsi="Times New Roman" w:cs="Times New Roman"/>
          <w:sz w:val="24"/>
          <w:szCs w:val="24"/>
        </w:rPr>
        <w:t xml:space="preserve"> czy przy wydaniu decyzji nie doszło do przekroczenia granic swobodnego uznania, które nie może jednak oznaczać dowolności wyboru rozstrzygnięcia przez organ (por. wyrok WSA w Krakowie z dnia 2 grudnia 2019 r., sygn. III SA/Kr 1039/19). Organ rozpoznający prośbę o zwolnienie z odpłatności za pobyt w placówce nie ma obowiązku przyznania zwolnienia, ale ma takie prawo. Fakultatywność orzeczenia o zwolnieniu z odpłatności zależna jest od sytuacji materialnej i rodzinnej osób zobowiązanych do opłat. Przypadki uprawniające do zwolnień zostały w przepisie wymienione jedynie przykładowo. Ka</w:t>
      </w:r>
      <w:r w:rsidR="00A11626" w:rsidRPr="00CC0390">
        <w:rPr>
          <w:rFonts w:ascii="Times New Roman" w:hAnsi="Times New Roman" w:cs="Times New Roman"/>
          <w:sz w:val="24"/>
          <w:szCs w:val="24"/>
        </w:rPr>
        <w:t>żdorazową decyzję rozstrzygającą</w:t>
      </w:r>
      <w:r w:rsidR="00E6511F" w:rsidRPr="00CC0390">
        <w:rPr>
          <w:rFonts w:ascii="Times New Roman" w:hAnsi="Times New Roman" w:cs="Times New Roman"/>
          <w:sz w:val="24"/>
          <w:szCs w:val="24"/>
        </w:rPr>
        <w:t xml:space="preserve"> o wniosku o przyznanie zwolnienia organ winien uzasadnić w sposób pozwalający prześledzić tok rozumowania organu i poznać kryteria podjęcia danej decyzji. Sądowa kontrola decyzji opartych na uznaniu administracyjnym polega na sprawdzeniu, czy organ nie nadużył przyznanej mu przez ustawodawcę swobody orzekania w sprawie, czyniąc rozstrzygnięcie dowolnym (por. wyrok WSA w Białymstoku z dnia 11 kwietnia 2019 r., sygn. II SA/Bk 815/18).</w:t>
      </w:r>
    </w:p>
    <w:p w14:paraId="13035F44" w14:textId="66F983B6" w:rsidR="00903D6F" w:rsidRPr="00CC0390" w:rsidRDefault="00113EEC" w:rsidP="00CC0390">
      <w:pPr>
        <w:spacing w:before="120" w:after="0" w:line="360" w:lineRule="auto"/>
        <w:ind w:firstLine="708"/>
        <w:jc w:val="both"/>
        <w:rPr>
          <w:rFonts w:ascii="Times New Roman" w:eastAsia="Times New Roman" w:hAnsi="Times New Roman" w:cs="Times New Roman"/>
          <w:i/>
          <w:sz w:val="24"/>
          <w:szCs w:val="24"/>
          <w:lang w:eastAsia="pl-PL"/>
        </w:rPr>
      </w:pPr>
      <w:r w:rsidRPr="00CC0390">
        <w:rPr>
          <w:rFonts w:ascii="Times New Roman" w:eastAsia="Times New Roman" w:hAnsi="Times New Roman" w:cs="Times New Roman"/>
          <w:sz w:val="24"/>
          <w:szCs w:val="24"/>
          <w:lang w:eastAsia="pl-PL"/>
        </w:rPr>
        <w:t>W odniesieniu do przedmiotowych zagadnień</w:t>
      </w:r>
      <w:r w:rsidR="00EF4EA8">
        <w:rPr>
          <w:rFonts w:ascii="Times New Roman" w:eastAsia="Times New Roman" w:hAnsi="Times New Roman" w:cs="Times New Roman"/>
          <w:sz w:val="24"/>
          <w:szCs w:val="24"/>
          <w:lang w:eastAsia="pl-PL"/>
        </w:rPr>
        <w:t xml:space="preserve"> </w:t>
      </w:r>
      <w:r w:rsidRPr="00CC0390">
        <w:rPr>
          <w:rFonts w:ascii="Times New Roman" w:eastAsia="Times New Roman" w:hAnsi="Times New Roman" w:cs="Times New Roman"/>
          <w:sz w:val="24"/>
          <w:szCs w:val="24"/>
          <w:lang w:eastAsia="pl-PL"/>
        </w:rPr>
        <w:t>n</w:t>
      </w:r>
      <w:r w:rsidR="00903D6F" w:rsidRPr="00CC0390">
        <w:rPr>
          <w:rFonts w:ascii="Times New Roman" w:eastAsia="Times New Roman" w:hAnsi="Times New Roman" w:cs="Times New Roman"/>
          <w:sz w:val="24"/>
          <w:szCs w:val="24"/>
          <w:lang w:eastAsia="pl-PL"/>
        </w:rPr>
        <w:t xml:space="preserve">iezwykle </w:t>
      </w:r>
      <w:r w:rsidRPr="00CC0390">
        <w:rPr>
          <w:rFonts w:ascii="Times New Roman" w:eastAsia="Times New Roman" w:hAnsi="Times New Roman" w:cs="Times New Roman"/>
          <w:sz w:val="24"/>
          <w:szCs w:val="24"/>
          <w:lang w:eastAsia="pl-PL"/>
        </w:rPr>
        <w:t xml:space="preserve">istotny </w:t>
      </w:r>
      <w:r w:rsidR="00903D6F" w:rsidRPr="00CC0390">
        <w:rPr>
          <w:rFonts w:ascii="Times New Roman" w:eastAsia="Times New Roman" w:hAnsi="Times New Roman" w:cs="Times New Roman"/>
          <w:sz w:val="24"/>
          <w:szCs w:val="24"/>
          <w:lang w:eastAsia="pl-PL"/>
        </w:rPr>
        <w:t>jest wyrok Sądu Najwyższego</w:t>
      </w:r>
      <w:r w:rsidR="00EF4EA8">
        <w:rPr>
          <w:rFonts w:ascii="Times New Roman" w:eastAsia="Times New Roman" w:hAnsi="Times New Roman" w:cs="Times New Roman"/>
          <w:sz w:val="24"/>
          <w:szCs w:val="24"/>
          <w:lang w:eastAsia="pl-PL"/>
        </w:rPr>
        <w:t xml:space="preserve"> </w:t>
      </w:r>
      <w:r w:rsidR="00903D6F" w:rsidRPr="00CC0390">
        <w:rPr>
          <w:rFonts w:ascii="Times New Roman" w:eastAsia="Times New Roman" w:hAnsi="Times New Roman" w:cs="Times New Roman"/>
          <w:sz w:val="24"/>
          <w:szCs w:val="24"/>
          <w:lang w:eastAsia="pl-PL"/>
        </w:rPr>
        <w:t>z dnia 16 grudnia 1987 r., sygn. III CZP 91/86,</w:t>
      </w:r>
      <w:r w:rsidRPr="00CC0390">
        <w:rPr>
          <w:rFonts w:ascii="Times New Roman" w:eastAsia="Times New Roman" w:hAnsi="Times New Roman" w:cs="Times New Roman"/>
          <w:sz w:val="24"/>
          <w:szCs w:val="24"/>
          <w:lang w:eastAsia="pl-PL"/>
        </w:rPr>
        <w:t xml:space="preserve"> </w:t>
      </w:r>
      <w:r w:rsidR="00903D6F" w:rsidRPr="00CC0390">
        <w:rPr>
          <w:rFonts w:ascii="Times New Roman" w:eastAsia="Times New Roman" w:hAnsi="Times New Roman" w:cs="Times New Roman"/>
          <w:sz w:val="24"/>
          <w:szCs w:val="24"/>
          <w:lang w:eastAsia="pl-PL"/>
        </w:rPr>
        <w:t xml:space="preserve">odnoszący się wprawdzie do alimentów, jednakże wprost wskazujący, że </w:t>
      </w:r>
      <w:r w:rsidR="00903D6F" w:rsidRPr="00CC0390">
        <w:rPr>
          <w:rFonts w:ascii="Times New Roman" w:hAnsi="Times New Roman" w:cs="Times New Roman"/>
          <w:sz w:val="24"/>
          <w:szCs w:val="24"/>
        </w:rPr>
        <w:t xml:space="preserve">w razie rażąco niewłaściwego postępowania osoby uprawnionej do alimentów, budzącego powszechną dezaprobatę, dopuszczalne jest oddalenie powództwa w całości lub w części ze względu na zasady współżycia społecznego. </w:t>
      </w:r>
      <w:r w:rsidR="00D51329" w:rsidRPr="00CC0390">
        <w:rPr>
          <w:rFonts w:ascii="Times New Roman" w:hAnsi="Times New Roman" w:cs="Times New Roman"/>
          <w:sz w:val="24"/>
          <w:szCs w:val="24"/>
        </w:rPr>
        <w:t>SN podkreślił, że w</w:t>
      </w:r>
      <w:r w:rsidR="00903D6F" w:rsidRPr="00CC0390">
        <w:rPr>
          <w:rFonts w:ascii="Times New Roman" w:eastAsia="Times New Roman" w:hAnsi="Times New Roman" w:cs="Times New Roman"/>
          <w:sz w:val="24"/>
          <w:szCs w:val="24"/>
          <w:lang w:eastAsia="pl-PL"/>
        </w:rPr>
        <w:t xml:space="preserve"> praktyce zdarzają się przypadki rażącego naruszenia przez osobę uprawnioną do alimentacji z</w:t>
      </w:r>
      <w:r w:rsidR="00D51329" w:rsidRPr="00CC0390">
        <w:rPr>
          <w:rFonts w:ascii="Times New Roman" w:eastAsia="Times New Roman" w:hAnsi="Times New Roman" w:cs="Times New Roman"/>
          <w:sz w:val="24"/>
          <w:szCs w:val="24"/>
          <w:lang w:eastAsia="pl-PL"/>
        </w:rPr>
        <w:t xml:space="preserve">asad współżycia w rodzinie. (…) </w:t>
      </w:r>
      <w:r w:rsidR="00903D6F" w:rsidRPr="00CC0390">
        <w:rPr>
          <w:rFonts w:ascii="Times New Roman" w:eastAsia="Times New Roman" w:hAnsi="Times New Roman" w:cs="Times New Roman"/>
          <w:sz w:val="24"/>
          <w:szCs w:val="24"/>
          <w:lang w:eastAsia="pl-PL"/>
        </w:rPr>
        <w:t>Rażąco niewłaściwe postępowanie uprawnionego może polegać między innymi na:</w:t>
      </w:r>
      <w:r w:rsidR="00CC0390">
        <w:rPr>
          <w:rFonts w:ascii="Times New Roman" w:eastAsia="Times New Roman" w:hAnsi="Times New Roman" w:cs="Times New Roman"/>
          <w:sz w:val="24"/>
          <w:szCs w:val="24"/>
          <w:lang w:eastAsia="pl-PL"/>
        </w:rPr>
        <w:t xml:space="preserve"> </w:t>
      </w:r>
      <w:r w:rsidR="00903D6F" w:rsidRPr="00CC0390">
        <w:rPr>
          <w:rFonts w:ascii="Times New Roman" w:eastAsia="Times New Roman" w:hAnsi="Times New Roman" w:cs="Times New Roman"/>
          <w:sz w:val="24"/>
          <w:szCs w:val="24"/>
          <w:lang w:eastAsia="pl-PL"/>
        </w:rPr>
        <w:t>a) zachowaniach godzących w życie i zdrowie członka rodziny, b) zachowaniach naruszających godność, dobre imię i inne dobra osobiste człowieka, c) zawinionym popadnięciu w niedostatek lub umyślnym wywołaniu sytuacji prowadzącej do żądania alimentów.</w:t>
      </w:r>
      <w:r w:rsidR="00D51329" w:rsidRPr="00CC0390">
        <w:rPr>
          <w:rFonts w:ascii="Times New Roman" w:eastAsia="Times New Roman" w:hAnsi="Times New Roman" w:cs="Times New Roman"/>
          <w:sz w:val="24"/>
          <w:szCs w:val="24"/>
          <w:lang w:eastAsia="pl-PL"/>
        </w:rPr>
        <w:t xml:space="preserve"> </w:t>
      </w:r>
      <w:r w:rsidR="00903D6F" w:rsidRPr="00CC0390">
        <w:rPr>
          <w:rFonts w:ascii="Times New Roman" w:eastAsia="Times New Roman" w:hAnsi="Times New Roman" w:cs="Times New Roman"/>
          <w:sz w:val="24"/>
          <w:szCs w:val="24"/>
          <w:lang w:eastAsia="pl-PL"/>
        </w:rPr>
        <w:t>Zawinione zachowania są powszechnie potępiane w społeczeństwie i nie można zakładać, ażeby osoba doznająca krzywdy w każdym przypadku mimo to zobowiązana była do świadczenia alimentów na rzecz osoby ją krzywdzącej, tylko dlatego, że obowiązek alimentacyjny wynika z pokrewieństwa, małżeństwa albo</w:t>
      </w:r>
      <w:r w:rsidR="00CC0390">
        <w:rPr>
          <w:rFonts w:ascii="Times New Roman" w:eastAsia="Times New Roman" w:hAnsi="Times New Roman" w:cs="Times New Roman"/>
          <w:sz w:val="24"/>
          <w:szCs w:val="24"/>
          <w:lang w:eastAsia="pl-PL"/>
        </w:rPr>
        <w:t xml:space="preserve"> </w:t>
      </w:r>
      <w:r w:rsidR="00903D6F" w:rsidRPr="00CC0390">
        <w:rPr>
          <w:rFonts w:ascii="Times New Roman" w:eastAsia="Times New Roman" w:hAnsi="Times New Roman" w:cs="Times New Roman"/>
          <w:sz w:val="24"/>
          <w:szCs w:val="24"/>
          <w:lang w:eastAsia="pl-PL"/>
        </w:rPr>
        <w:t>z innych więzów, z którymi ustawa łączy ten obowiązek.</w:t>
      </w:r>
      <w:r w:rsidR="00D51329" w:rsidRPr="00CC0390">
        <w:rPr>
          <w:rFonts w:ascii="Times New Roman" w:eastAsia="Times New Roman" w:hAnsi="Times New Roman" w:cs="Times New Roman"/>
          <w:sz w:val="24"/>
          <w:szCs w:val="24"/>
          <w:lang w:eastAsia="pl-PL"/>
        </w:rPr>
        <w:t xml:space="preserve"> </w:t>
      </w:r>
      <w:r w:rsidR="00D51329" w:rsidRPr="00CC0390">
        <w:rPr>
          <w:rFonts w:ascii="Times New Roman" w:hAnsi="Times New Roman" w:cs="Times New Roman"/>
          <w:sz w:val="24"/>
          <w:szCs w:val="24"/>
        </w:rPr>
        <w:t xml:space="preserve">W </w:t>
      </w:r>
      <w:r w:rsidR="009D5023">
        <w:rPr>
          <w:rFonts w:ascii="Times New Roman" w:hAnsi="Times New Roman" w:cs="Times New Roman"/>
          <w:sz w:val="24"/>
          <w:szCs w:val="24"/>
        </w:rPr>
        <w:t>K</w:t>
      </w:r>
      <w:r w:rsidR="00D51329" w:rsidRPr="00CC0390">
        <w:rPr>
          <w:rFonts w:ascii="Times New Roman" w:hAnsi="Times New Roman" w:cs="Times New Roman"/>
          <w:sz w:val="24"/>
          <w:szCs w:val="24"/>
        </w:rPr>
        <w:t>odeksie rodzinnym</w:t>
      </w:r>
      <w:r w:rsidR="00CC0390">
        <w:rPr>
          <w:rFonts w:ascii="Times New Roman" w:hAnsi="Times New Roman" w:cs="Times New Roman"/>
          <w:sz w:val="24"/>
          <w:szCs w:val="24"/>
        </w:rPr>
        <w:t xml:space="preserve"> </w:t>
      </w:r>
      <w:r w:rsidR="00D51329" w:rsidRPr="00CC0390">
        <w:rPr>
          <w:rFonts w:ascii="Times New Roman" w:hAnsi="Times New Roman" w:cs="Times New Roman"/>
          <w:sz w:val="24"/>
          <w:szCs w:val="24"/>
        </w:rPr>
        <w:t>i opiekuńczym przewidziane zostały przypadki, w których ustawodawca uzależnia skutki prawne od zasad współżycia społecznego. W odniesieniu do pozostałych stosunków prawnorodzinnych istnieje możliwość odwołania się do klauzuli generalnej zawartej w art. 5 Kodeksu cywilnego.</w:t>
      </w:r>
    </w:p>
    <w:p w14:paraId="036A805C" w14:textId="403FFBFA" w:rsidR="00982919" w:rsidRPr="00CC0390" w:rsidRDefault="005E5724" w:rsidP="00CC0390">
      <w:pPr>
        <w:spacing w:before="120" w:after="0" w:line="360" w:lineRule="auto"/>
        <w:ind w:firstLine="708"/>
        <w:jc w:val="both"/>
        <w:rPr>
          <w:rFonts w:ascii="Times New Roman" w:eastAsia="Times New Roman" w:hAnsi="Times New Roman" w:cs="Times New Roman"/>
          <w:sz w:val="24"/>
          <w:szCs w:val="24"/>
          <w:lang w:eastAsia="pl-PL"/>
        </w:rPr>
      </w:pPr>
      <w:r w:rsidRPr="00CC0390">
        <w:rPr>
          <w:rFonts w:ascii="Times New Roman" w:eastAsia="Times New Roman" w:hAnsi="Times New Roman" w:cs="Times New Roman"/>
          <w:sz w:val="24"/>
          <w:szCs w:val="24"/>
          <w:lang w:eastAsia="pl-PL"/>
        </w:rPr>
        <w:lastRenderedPageBreak/>
        <w:t xml:space="preserve">W </w:t>
      </w:r>
      <w:r w:rsidR="008F1EB1" w:rsidRPr="00CC0390">
        <w:rPr>
          <w:rFonts w:ascii="Times New Roman" w:eastAsia="Times New Roman" w:hAnsi="Times New Roman" w:cs="Times New Roman"/>
          <w:sz w:val="24"/>
          <w:szCs w:val="24"/>
          <w:lang w:eastAsia="pl-PL"/>
        </w:rPr>
        <w:t xml:space="preserve">orzecznictwie wskazuje się, że z jednej strony </w:t>
      </w:r>
      <w:r w:rsidR="008F1EB1" w:rsidRPr="00CC0390">
        <w:rPr>
          <w:rFonts w:ascii="Times New Roman" w:hAnsi="Times New Roman" w:cs="Times New Roman"/>
          <w:sz w:val="24"/>
          <w:szCs w:val="24"/>
        </w:rPr>
        <w:t>zasad</w:t>
      </w:r>
      <w:r w:rsidR="00BA4898" w:rsidRPr="00CC0390">
        <w:rPr>
          <w:rFonts w:ascii="Times New Roman" w:hAnsi="Times New Roman" w:cs="Times New Roman"/>
          <w:sz w:val="24"/>
          <w:szCs w:val="24"/>
        </w:rPr>
        <w:t>ą wyrażoną</w:t>
      </w:r>
      <w:r w:rsidR="008F1EB1" w:rsidRPr="00CC0390">
        <w:rPr>
          <w:rFonts w:ascii="Times New Roman" w:hAnsi="Times New Roman" w:cs="Times New Roman"/>
          <w:sz w:val="24"/>
          <w:szCs w:val="24"/>
        </w:rPr>
        <w:t xml:space="preserve"> w u.p.</w:t>
      </w:r>
      <w:r w:rsidR="000C708F" w:rsidRPr="00CC0390">
        <w:rPr>
          <w:rFonts w:ascii="Times New Roman" w:hAnsi="Times New Roman" w:cs="Times New Roman"/>
          <w:sz w:val="24"/>
          <w:szCs w:val="24"/>
        </w:rPr>
        <w:t>s.</w:t>
      </w:r>
      <w:r w:rsidR="008F1EB1" w:rsidRPr="00CC0390">
        <w:rPr>
          <w:rFonts w:ascii="Times New Roman" w:hAnsi="Times New Roman" w:cs="Times New Roman"/>
          <w:sz w:val="24"/>
          <w:szCs w:val="24"/>
        </w:rPr>
        <w:t xml:space="preserve"> jest zasada finansowania pomocy społecznej ze środków publicznych</w:t>
      </w:r>
      <w:r w:rsidR="00BA4898" w:rsidRPr="00CC0390">
        <w:rPr>
          <w:rFonts w:ascii="Times New Roman" w:hAnsi="Times New Roman" w:cs="Times New Roman"/>
          <w:sz w:val="24"/>
          <w:szCs w:val="24"/>
        </w:rPr>
        <w:t>,</w:t>
      </w:r>
      <w:r w:rsidR="008F1EB1" w:rsidRPr="00CC0390">
        <w:rPr>
          <w:rFonts w:ascii="Times New Roman" w:hAnsi="Times New Roman" w:cs="Times New Roman"/>
          <w:sz w:val="24"/>
          <w:szCs w:val="24"/>
        </w:rPr>
        <w:t xml:space="preserve"> oznaczająca, że państwo i samorządy terytorialne mają obowiązek wykonywania zadań pomocy społecznej</w:t>
      </w:r>
      <w:r w:rsidR="00BA4898" w:rsidRPr="00CC0390">
        <w:rPr>
          <w:rFonts w:ascii="Times New Roman" w:hAnsi="Times New Roman" w:cs="Times New Roman"/>
          <w:sz w:val="24"/>
          <w:szCs w:val="24"/>
        </w:rPr>
        <w:t xml:space="preserve"> oraz ponoszenia związanych z tym obciążeń</w:t>
      </w:r>
      <w:r w:rsidR="008F1EB1" w:rsidRPr="00CC0390">
        <w:rPr>
          <w:rFonts w:ascii="Times New Roman" w:hAnsi="Times New Roman" w:cs="Times New Roman"/>
          <w:sz w:val="24"/>
          <w:szCs w:val="24"/>
        </w:rPr>
        <w:t xml:space="preserve"> finansow</w:t>
      </w:r>
      <w:r w:rsidR="00BA4898" w:rsidRPr="00CC0390">
        <w:rPr>
          <w:rFonts w:ascii="Times New Roman" w:hAnsi="Times New Roman" w:cs="Times New Roman"/>
          <w:sz w:val="24"/>
          <w:szCs w:val="24"/>
        </w:rPr>
        <w:t>ych</w:t>
      </w:r>
      <w:r w:rsidR="008F1EB1" w:rsidRPr="00CC0390">
        <w:rPr>
          <w:rFonts w:ascii="Times New Roman" w:hAnsi="Times New Roman" w:cs="Times New Roman"/>
          <w:sz w:val="24"/>
          <w:szCs w:val="24"/>
        </w:rPr>
        <w:t>, z drugiej zaś</w:t>
      </w:r>
      <w:r w:rsidR="00CC39FF" w:rsidRPr="00CC0390">
        <w:rPr>
          <w:rFonts w:ascii="Times New Roman" w:hAnsi="Times New Roman" w:cs="Times New Roman"/>
          <w:sz w:val="24"/>
          <w:szCs w:val="24"/>
        </w:rPr>
        <w:t xml:space="preserve"> wskazuje się, że głównym powodem zastosowania zwolnienia z opłaty powinna być sytuacja materialna zobowiązanego i nie powinno ono nastąpić, jeżeli osoba</w:t>
      </w:r>
      <w:r w:rsidR="006A0E2E" w:rsidRPr="00CC0390">
        <w:rPr>
          <w:rFonts w:ascii="Times New Roman" w:hAnsi="Times New Roman" w:cs="Times New Roman"/>
          <w:sz w:val="24"/>
          <w:szCs w:val="24"/>
        </w:rPr>
        <w:t xml:space="preserve"> obowiązana</w:t>
      </w:r>
      <w:r w:rsidR="00CC39FF" w:rsidRPr="00CC0390">
        <w:rPr>
          <w:rFonts w:ascii="Times New Roman" w:hAnsi="Times New Roman" w:cs="Times New Roman"/>
          <w:sz w:val="24"/>
          <w:szCs w:val="24"/>
        </w:rPr>
        <w:t xml:space="preserve"> jest w stanie płacić za pobyt w DPS. Jednocześnie podkreśla się, że </w:t>
      </w:r>
      <w:r w:rsidR="00CC39FF" w:rsidRPr="00CC0390">
        <w:rPr>
          <w:rFonts w:ascii="Times New Roman" w:eastAsia="Times New Roman" w:hAnsi="Times New Roman" w:cs="Times New Roman"/>
          <w:sz w:val="24"/>
          <w:szCs w:val="24"/>
          <w:lang w:eastAsia="pl-PL"/>
        </w:rPr>
        <w:t xml:space="preserve">art. 64 ust. 1 u.p.s. przewiduje zwolnienie od obowiązku ponoszenia opłat za pobyt w DPS jedynie, gdy </w:t>
      </w:r>
      <w:r w:rsidR="000C708F" w:rsidRPr="00CC0390">
        <w:rPr>
          <w:rFonts w:ascii="Times New Roman" w:eastAsia="Times New Roman" w:hAnsi="Times New Roman" w:cs="Times New Roman"/>
          <w:sz w:val="24"/>
          <w:szCs w:val="24"/>
          <w:lang w:eastAsia="pl-PL"/>
        </w:rPr>
        <w:t>„</w:t>
      </w:r>
      <w:r w:rsidR="00CC39FF" w:rsidRPr="00CC0390">
        <w:rPr>
          <w:rFonts w:ascii="Times New Roman" w:eastAsia="Times New Roman" w:hAnsi="Times New Roman" w:cs="Times New Roman"/>
          <w:sz w:val="24"/>
          <w:szCs w:val="24"/>
          <w:lang w:eastAsia="pl-PL"/>
        </w:rPr>
        <w:t>występują uzasadnione okoliczności” i nawet jeśli organ ustali takie okoliczności</w:t>
      </w:r>
      <w:r w:rsidR="009D5023">
        <w:rPr>
          <w:rFonts w:ascii="Times New Roman" w:eastAsia="Times New Roman" w:hAnsi="Times New Roman" w:cs="Times New Roman"/>
          <w:sz w:val="24"/>
          <w:szCs w:val="24"/>
          <w:lang w:eastAsia="pl-PL"/>
        </w:rPr>
        <w:t>,</w:t>
      </w:r>
      <w:r w:rsidR="00CC39FF" w:rsidRPr="00CC0390">
        <w:rPr>
          <w:rFonts w:ascii="Times New Roman" w:eastAsia="Times New Roman" w:hAnsi="Times New Roman" w:cs="Times New Roman"/>
          <w:sz w:val="24"/>
          <w:szCs w:val="24"/>
          <w:lang w:eastAsia="pl-PL"/>
        </w:rPr>
        <w:t xml:space="preserve"> to może przedmiotowego zwolnienia odmówić, ze względu na pełn</w:t>
      </w:r>
      <w:r w:rsidR="00FA500C" w:rsidRPr="00CC0390">
        <w:rPr>
          <w:rFonts w:ascii="Times New Roman" w:eastAsia="Times New Roman" w:hAnsi="Times New Roman" w:cs="Times New Roman"/>
          <w:sz w:val="24"/>
          <w:szCs w:val="24"/>
          <w:lang w:eastAsia="pl-PL"/>
        </w:rPr>
        <w:t>ą</w:t>
      </w:r>
      <w:r w:rsidR="00CC39FF" w:rsidRPr="00CC0390">
        <w:rPr>
          <w:rFonts w:ascii="Times New Roman" w:eastAsia="Times New Roman" w:hAnsi="Times New Roman" w:cs="Times New Roman"/>
          <w:sz w:val="24"/>
          <w:szCs w:val="24"/>
          <w:lang w:eastAsia="pl-PL"/>
        </w:rPr>
        <w:t xml:space="preserve"> uznaniowość decyzji.</w:t>
      </w:r>
      <w:r w:rsidR="00FA500C" w:rsidRPr="00CC0390">
        <w:rPr>
          <w:rFonts w:ascii="Times New Roman" w:eastAsia="Times New Roman" w:hAnsi="Times New Roman" w:cs="Times New Roman"/>
          <w:sz w:val="24"/>
          <w:szCs w:val="24"/>
          <w:lang w:eastAsia="pl-PL"/>
        </w:rPr>
        <w:t xml:space="preserve"> Orzecznictwo mówi także o tym, że w przepisach </w:t>
      </w:r>
      <w:r w:rsidR="00BA4898" w:rsidRPr="00CC0390">
        <w:rPr>
          <w:rFonts w:ascii="Times New Roman" w:eastAsia="Times New Roman" w:hAnsi="Times New Roman" w:cs="Times New Roman"/>
          <w:sz w:val="24"/>
          <w:szCs w:val="24"/>
          <w:lang w:eastAsia="pl-PL"/>
        </w:rPr>
        <w:t xml:space="preserve">u.p.s. </w:t>
      </w:r>
      <w:r w:rsidR="00FA500C" w:rsidRPr="00CC0390">
        <w:rPr>
          <w:rFonts w:ascii="Times New Roman" w:eastAsia="Times New Roman" w:hAnsi="Times New Roman" w:cs="Times New Roman"/>
          <w:sz w:val="24"/>
          <w:szCs w:val="24"/>
          <w:lang w:eastAsia="pl-PL"/>
        </w:rPr>
        <w:t>zawarta jest tzw. klauzula generalna</w:t>
      </w:r>
      <w:r w:rsidR="00BA4898" w:rsidRPr="00CC0390">
        <w:rPr>
          <w:rFonts w:ascii="Times New Roman" w:eastAsia="Times New Roman" w:hAnsi="Times New Roman" w:cs="Times New Roman"/>
          <w:sz w:val="24"/>
          <w:szCs w:val="24"/>
          <w:lang w:eastAsia="pl-PL"/>
        </w:rPr>
        <w:t xml:space="preserve">, tj. odesłanie do </w:t>
      </w:r>
      <w:r w:rsidR="00FA500C" w:rsidRPr="00CC0390">
        <w:rPr>
          <w:rFonts w:ascii="Times New Roman" w:eastAsia="Times New Roman" w:hAnsi="Times New Roman" w:cs="Times New Roman"/>
          <w:sz w:val="24"/>
          <w:szCs w:val="24"/>
          <w:lang w:eastAsia="pl-PL"/>
        </w:rPr>
        <w:t xml:space="preserve">okoliczności dotyczących osoby wnioskującej o zwolnienie, które podlegają wartościowaniu w kontekście uzasadnienia rezygnacji przez państwo </w:t>
      </w:r>
      <w:r w:rsidR="00F93974" w:rsidRPr="00CC0390">
        <w:rPr>
          <w:rFonts w:ascii="Times New Roman" w:eastAsia="Times New Roman" w:hAnsi="Times New Roman" w:cs="Times New Roman"/>
          <w:sz w:val="24"/>
          <w:szCs w:val="24"/>
          <w:lang w:eastAsia="pl-PL"/>
        </w:rPr>
        <w:t xml:space="preserve">z </w:t>
      </w:r>
      <w:r w:rsidR="00FA500C" w:rsidRPr="00CC0390">
        <w:rPr>
          <w:rFonts w:ascii="Times New Roman" w:eastAsia="Times New Roman" w:hAnsi="Times New Roman" w:cs="Times New Roman"/>
          <w:sz w:val="24"/>
          <w:szCs w:val="24"/>
          <w:lang w:eastAsia="pl-PL"/>
        </w:rPr>
        <w:t>domagania się zwrotu wydatków poniesionych na pobyt w DPS</w:t>
      </w:r>
      <w:r w:rsidR="00BA4898" w:rsidRPr="00CC0390">
        <w:rPr>
          <w:rFonts w:ascii="Times New Roman" w:eastAsia="Times New Roman" w:hAnsi="Times New Roman" w:cs="Times New Roman"/>
          <w:sz w:val="24"/>
          <w:szCs w:val="24"/>
          <w:lang w:eastAsia="pl-PL"/>
        </w:rPr>
        <w:t xml:space="preserve">, wskazując przy tym, że </w:t>
      </w:r>
      <w:r w:rsidR="00FA500C" w:rsidRPr="00CC0390">
        <w:rPr>
          <w:rFonts w:ascii="Times New Roman" w:eastAsia="Times New Roman" w:hAnsi="Times New Roman" w:cs="Times New Roman"/>
          <w:sz w:val="24"/>
          <w:szCs w:val="24"/>
          <w:lang w:eastAsia="pl-PL"/>
        </w:rPr>
        <w:t>wydanie decyzji uwzględniającej wniosek o zwolnieni</w:t>
      </w:r>
      <w:r w:rsidR="00BA4898" w:rsidRPr="00CC0390">
        <w:rPr>
          <w:rFonts w:ascii="Times New Roman" w:eastAsia="Times New Roman" w:hAnsi="Times New Roman" w:cs="Times New Roman"/>
          <w:sz w:val="24"/>
          <w:szCs w:val="24"/>
          <w:lang w:eastAsia="pl-PL"/>
        </w:rPr>
        <w:t>e z opłaty za pobyt w DPS powin</w:t>
      </w:r>
      <w:r w:rsidR="00F93974" w:rsidRPr="00CC0390">
        <w:rPr>
          <w:rFonts w:ascii="Times New Roman" w:eastAsia="Times New Roman" w:hAnsi="Times New Roman" w:cs="Times New Roman"/>
          <w:sz w:val="24"/>
          <w:szCs w:val="24"/>
          <w:lang w:eastAsia="pl-PL"/>
        </w:rPr>
        <w:t>no następować</w:t>
      </w:r>
      <w:r w:rsidR="00BA4898" w:rsidRPr="00CC0390">
        <w:rPr>
          <w:rFonts w:ascii="Times New Roman" w:eastAsia="Times New Roman" w:hAnsi="Times New Roman" w:cs="Times New Roman"/>
          <w:sz w:val="24"/>
          <w:szCs w:val="24"/>
          <w:lang w:eastAsia="pl-PL"/>
        </w:rPr>
        <w:t xml:space="preserve"> w przypadku, gdy </w:t>
      </w:r>
      <w:r w:rsidR="00FA500C" w:rsidRPr="00CC0390">
        <w:rPr>
          <w:rFonts w:ascii="Times New Roman" w:eastAsia="Times New Roman" w:hAnsi="Times New Roman" w:cs="Times New Roman"/>
          <w:sz w:val="24"/>
          <w:szCs w:val="24"/>
          <w:lang w:eastAsia="pl-PL"/>
        </w:rPr>
        <w:t xml:space="preserve">sytuacja zdrowotna, rodzinna, życiowa i losowa wnioskującego reprezentuje </w:t>
      </w:r>
      <w:r w:rsidR="00BA4898" w:rsidRPr="00CC0390">
        <w:rPr>
          <w:rFonts w:ascii="Times New Roman" w:eastAsia="Times New Roman" w:hAnsi="Times New Roman" w:cs="Times New Roman"/>
          <w:sz w:val="24"/>
          <w:szCs w:val="24"/>
          <w:lang w:eastAsia="pl-PL"/>
        </w:rPr>
        <w:t xml:space="preserve">ładunek aksjologiczny, </w:t>
      </w:r>
      <w:r w:rsidR="00FA500C" w:rsidRPr="00CC0390">
        <w:rPr>
          <w:rFonts w:ascii="Times New Roman" w:eastAsia="Times New Roman" w:hAnsi="Times New Roman" w:cs="Times New Roman"/>
          <w:sz w:val="24"/>
          <w:szCs w:val="24"/>
          <w:lang w:eastAsia="pl-PL"/>
        </w:rPr>
        <w:t>przełamuj</w:t>
      </w:r>
      <w:r w:rsidR="00BA4898" w:rsidRPr="00CC0390">
        <w:rPr>
          <w:rFonts w:ascii="Times New Roman" w:eastAsia="Times New Roman" w:hAnsi="Times New Roman" w:cs="Times New Roman"/>
          <w:sz w:val="24"/>
          <w:szCs w:val="24"/>
          <w:lang w:eastAsia="pl-PL"/>
        </w:rPr>
        <w:t>ący jednak</w:t>
      </w:r>
      <w:r w:rsidR="00FA500C" w:rsidRPr="00CC0390">
        <w:rPr>
          <w:rFonts w:ascii="Times New Roman" w:eastAsia="Times New Roman" w:hAnsi="Times New Roman" w:cs="Times New Roman"/>
          <w:sz w:val="24"/>
          <w:szCs w:val="24"/>
          <w:lang w:eastAsia="pl-PL"/>
        </w:rPr>
        <w:t xml:space="preserve"> fiskalizm państwa.</w:t>
      </w:r>
    </w:p>
    <w:p w14:paraId="27CAF5EE" w14:textId="6D9E21CD" w:rsidR="00737A0F" w:rsidRPr="00CC0390" w:rsidRDefault="00E21938" w:rsidP="00CC0390">
      <w:pPr>
        <w:spacing w:before="120" w:after="0" w:line="360" w:lineRule="auto"/>
        <w:ind w:firstLine="708"/>
        <w:jc w:val="both"/>
        <w:rPr>
          <w:rFonts w:ascii="Times New Roman" w:hAnsi="Times New Roman" w:cs="Times New Roman"/>
          <w:sz w:val="24"/>
          <w:szCs w:val="24"/>
        </w:rPr>
      </w:pPr>
      <w:r w:rsidRPr="00CC0390">
        <w:rPr>
          <w:rFonts w:ascii="Times New Roman" w:eastAsia="Times New Roman" w:hAnsi="Times New Roman" w:cs="Times New Roman"/>
          <w:sz w:val="24"/>
          <w:szCs w:val="24"/>
          <w:lang w:eastAsia="pl-PL"/>
        </w:rPr>
        <w:t>Podstawow</w:t>
      </w:r>
      <w:r w:rsidR="00D51329" w:rsidRPr="00CC0390">
        <w:rPr>
          <w:rFonts w:ascii="Times New Roman" w:eastAsia="Times New Roman" w:hAnsi="Times New Roman" w:cs="Times New Roman"/>
          <w:sz w:val="24"/>
          <w:szCs w:val="24"/>
          <w:lang w:eastAsia="pl-PL"/>
        </w:rPr>
        <w:t>ą</w:t>
      </w:r>
      <w:r w:rsidRPr="00CC0390">
        <w:rPr>
          <w:rFonts w:ascii="Times New Roman" w:eastAsia="Times New Roman" w:hAnsi="Times New Roman" w:cs="Times New Roman"/>
          <w:sz w:val="24"/>
          <w:szCs w:val="24"/>
          <w:lang w:eastAsia="pl-PL"/>
        </w:rPr>
        <w:t xml:space="preserve"> rolę w interpretacji obowiązujących przepisów mają zasady konstytuc</w:t>
      </w:r>
      <w:r w:rsidR="00982919" w:rsidRPr="00CC0390">
        <w:rPr>
          <w:rFonts w:ascii="Times New Roman" w:eastAsia="Times New Roman" w:hAnsi="Times New Roman" w:cs="Times New Roman"/>
          <w:sz w:val="24"/>
          <w:szCs w:val="24"/>
          <w:lang w:eastAsia="pl-PL"/>
        </w:rPr>
        <w:t>y</w:t>
      </w:r>
      <w:r w:rsidRPr="00CC0390">
        <w:rPr>
          <w:rFonts w:ascii="Times New Roman" w:eastAsia="Times New Roman" w:hAnsi="Times New Roman" w:cs="Times New Roman"/>
          <w:sz w:val="24"/>
          <w:szCs w:val="24"/>
          <w:lang w:eastAsia="pl-PL"/>
        </w:rPr>
        <w:t>jne.</w:t>
      </w:r>
      <w:r w:rsidR="00982919" w:rsidRPr="00CC0390">
        <w:rPr>
          <w:rFonts w:ascii="Times New Roman" w:eastAsia="Times New Roman" w:hAnsi="Times New Roman" w:cs="Times New Roman"/>
          <w:sz w:val="24"/>
          <w:szCs w:val="24"/>
          <w:lang w:eastAsia="pl-PL"/>
        </w:rPr>
        <w:t xml:space="preserve"> </w:t>
      </w:r>
      <w:r w:rsidR="00982919" w:rsidRPr="00CC0390">
        <w:rPr>
          <w:rFonts w:ascii="Times New Roman" w:hAnsi="Times New Roman" w:cs="Times New Roman"/>
          <w:color w:val="000000"/>
          <w:sz w:val="24"/>
          <w:szCs w:val="24"/>
        </w:rPr>
        <w:t>Konstytucja przyjęła model państwa, w którym sprawiedliwość społeczna jest celem urzeczywistnionym przez demokratyczne państwo prawne. Zasada sprawiedliwości społecznej w zestawieniu z art. 1 i 2 Konstytucji powinna być pojmowana jako czynnik prowadzący do sprawiedliwego wyważenia interesu ogółu (dobra wspólnego) i interesów jednostki (wyrok z 12 kwietnia 2000 r., K 8/98). Na gruncie art. 2 Konstytucji prawo do sprawiedliwego traktowania odnoszone do sfery stosunków objętych gwarancjami konstytucyjnymi, choćby ujętymi ogólnie, podlega szczególnej ochronie. Państwo ma obowiązek stać na straży sprawiedliwości społecznej poprzez zaniechanie stanowienia przepisów prawa, które stałyby w sprzeczności, bądź godziłyby w tę zasadę (wyrok z 24 kwietnia 2002 r., P 5/01). Sprawiedliwość społeczna wy</w:t>
      </w:r>
      <w:r w:rsidR="00982919" w:rsidRPr="00CC0390">
        <w:rPr>
          <w:rFonts w:ascii="Times New Roman" w:hAnsi="Times New Roman" w:cs="Times New Roman"/>
          <w:color w:val="000000"/>
          <w:sz w:val="24"/>
          <w:szCs w:val="24"/>
        </w:rPr>
        <w:softHyphen/>
        <w:t xml:space="preserve">maga trudnego w praktyce wyważenia interesów i oczekiwań potencjalnych adresatów świadczeń socjalnych z interesami tych, którzy je w ostatecznym rozrachunku, przez płacenie podatków, finansują. Ogólne zasady wynikające z art. 2 Konstytucji powinny być przestrzegane szczególnie restryktywnie, gdy chodzi o akty prawne ograniczające wolności i prawa obywatelskie oraz nakładające obowiązki wobec państwa (wyrok z 20 listopada 2002 r., K 41/02), a także w odniesieniu do wolności i praw ekonomicznych, socjalnych i kulturalnych, wśród których znajduje się gwarantowane przez art. 68 ust. 1 Konstytucji prawo do ochrony zdrowia (wyrok z 7 stycznia 2004 r., K 14/03 i 8 </w:t>
      </w:r>
      <w:r w:rsidR="00982919" w:rsidRPr="00CC0390">
        <w:rPr>
          <w:rFonts w:ascii="Times New Roman" w:hAnsi="Times New Roman" w:cs="Times New Roman"/>
          <w:color w:val="000000"/>
          <w:sz w:val="24"/>
          <w:szCs w:val="24"/>
        </w:rPr>
        <w:lastRenderedPageBreak/>
        <w:t>grudnia 2009 r., K 7/08).</w:t>
      </w:r>
      <w:r w:rsidR="00737A0F" w:rsidRPr="00CC0390">
        <w:rPr>
          <w:rFonts w:ascii="Times New Roman" w:hAnsi="Times New Roman" w:cs="Times New Roman"/>
          <w:color w:val="000000"/>
          <w:sz w:val="24"/>
          <w:szCs w:val="24"/>
        </w:rPr>
        <w:t xml:space="preserve"> Jak wskazuje M. Florczak-Wątor w komentarzu do art. 2 Konstytucji RP s</w:t>
      </w:r>
      <w:r w:rsidR="00737A0F" w:rsidRPr="00CC0390">
        <w:rPr>
          <w:rFonts w:ascii="Times New Roman" w:hAnsi="Times New Roman" w:cs="Times New Roman"/>
          <w:sz w:val="24"/>
          <w:szCs w:val="24"/>
        </w:rPr>
        <w:t>prawiedliwość społeczna jest definiowana jako „dążenie do zachowania równowagi w stosunkach społecznych i powstrzymywanie się od kreowania nieusprawiedliwionych, niepopartych obiektywnymi wymogami</w:t>
      </w:r>
      <w:r w:rsidR="00CC0390">
        <w:rPr>
          <w:rFonts w:ascii="Times New Roman" w:hAnsi="Times New Roman" w:cs="Times New Roman"/>
          <w:sz w:val="24"/>
          <w:szCs w:val="24"/>
        </w:rPr>
        <w:t xml:space="preserve"> </w:t>
      </w:r>
      <w:r w:rsidR="00737A0F" w:rsidRPr="00CC0390">
        <w:rPr>
          <w:rFonts w:ascii="Times New Roman" w:hAnsi="Times New Roman" w:cs="Times New Roman"/>
          <w:sz w:val="24"/>
          <w:szCs w:val="24"/>
        </w:rPr>
        <w:t>i kryteriami przywilejów dla wybranych grup obywateli</w:t>
      </w:r>
      <w:r w:rsidR="009A3FBF" w:rsidRPr="00CC0390">
        <w:rPr>
          <w:rFonts w:ascii="Times New Roman" w:hAnsi="Times New Roman" w:cs="Times New Roman"/>
          <w:sz w:val="24"/>
          <w:szCs w:val="24"/>
        </w:rPr>
        <w:t>”</w:t>
      </w:r>
      <w:r w:rsidR="00737A0F" w:rsidRPr="00CC0390">
        <w:rPr>
          <w:rFonts w:ascii="Times New Roman" w:hAnsi="Times New Roman" w:cs="Times New Roman"/>
          <w:sz w:val="24"/>
          <w:szCs w:val="24"/>
        </w:rPr>
        <w:t>, a także podkreśla się, że „sprawiedliwość społeczna jest celem, który ma urzeczywistniać demokratyczne państwo prawne. Nie jest demokratycznym państwem prawnym państwo, które nie realizuje idei sprawiedliwości</w:t>
      </w:r>
      <w:r w:rsidR="009A3FBF" w:rsidRPr="00CC0390">
        <w:rPr>
          <w:rFonts w:ascii="Times New Roman" w:hAnsi="Times New Roman" w:cs="Times New Roman"/>
          <w:sz w:val="24"/>
          <w:szCs w:val="24"/>
        </w:rPr>
        <w:t>”</w:t>
      </w:r>
      <w:r w:rsidR="00737A0F" w:rsidRPr="00CC0390">
        <w:rPr>
          <w:rFonts w:ascii="Times New Roman" w:hAnsi="Times New Roman" w:cs="Times New Roman"/>
          <w:sz w:val="24"/>
          <w:szCs w:val="24"/>
        </w:rPr>
        <w:t xml:space="preserve"> (TK–K 8/98). Sprawiedliwość społeczna wiąże się</w:t>
      </w:r>
      <w:r w:rsidR="00CC0390">
        <w:rPr>
          <w:rFonts w:ascii="Times New Roman" w:hAnsi="Times New Roman" w:cs="Times New Roman"/>
          <w:sz w:val="24"/>
          <w:szCs w:val="24"/>
        </w:rPr>
        <w:t xml:space="preserve"> </w:t>
      </w:r>
      <w:r w:rsidR="00737A0F" w:rsidRPr="00CC0390">
        <w:rPr>
          <w:rFonts w:ascii="Times New Roman" w:hAnsi="Times New Roman" w:cs="Times New Roman"/>
          <w:sz w:val="24"/>
          <w:szCs w:val="24"/>
        </w:rPr>
        <w:t>z zasadą równości, jednakże ma ona bardziej ogólny charakter (TK–K 34/02).</w:t>
      </w:r>
    </w:p>
    <w:p w14:paraId="30498141" w14:textId="6055019D" w:rsidR="00742470" w:rsidRPr="00CC0390" w:rsidRDefault="005E5724" w:rsidP="00CC0390">
      <w:pPr>
        <w:spacing w:before="120" w:after="0" w:line="360" w:lineRule="auto"/>
        <w:ind w:firstLine="708"/>
        <w:jc w:val="both"/>
        <w:rPr>
          <w:rFonts w:ascii="Times New Roman" w:hAnsi="Times New Roman" w:cs="Times New Roman"/>
          <w:sz w:val="24"/>
          <w:szCs w:val="24"/>
        </w:rPr>
      </w:pPr>
      <w:r w:rsidRPr="00CC0390">
        <w:rPr>
          <w:rFonts w:ascii="Times New Roman" w:eastAsia="Times New Roman" w:hAnsi="Times New Roman" w:cs="Times New Roman"/>
          <w:sz w:val="24"/>
          <w:szCs w:val="24"/>
          <w:lang w:eastAsia="pl-PL"/>
        </w:rPr>
        <w:t xml:space="preserve">Przedmiotowych przepisów u.p.s. nie można </w:t>
      </w:r>
      <w:r w:rsidR="00737A0F" w:rsidRPr="00CC0390">
        <w:rPr>
          <w:rFonts w:ascii="Times New Roman" w:eastAsia="Times New Roman" w:hAnsi="Times New Roman" w:cs="Times New Roman"/>
          <w:sz w:val="24"/>
          <w:szCs w:val="24"/>
          <w:lang w:eastAsia="pl-PL"/>
        </w:rPr>
        <w:t xml:space="preserve">również </w:t>
      </w:r>
      <w:r w:rsidR="00282BC0" w:rsidRPr="00CC0390">
        <w:rPr>
          <w:rFonts w:ascii="Times New Roman" w:eastAsia="Times New Roman" w:hAnsi="Times New Roman" w:cs="Times New Roman"/>
          <w:sz w:val="24"/>
          <w:szCs w:val="24"/>
          <w:lang w:eastAsia="pl-PL"/>
        </w:rPr>
        <w:t xml:space="preserve">wykładać </w:t>
      </w:r>
      <w:r w:rsidRPr="00CC0390">
        <w:rPr>
          <w:rFonts w:ascii="Times New Roman" w:eastAsia="Times New Roman" w:hAnsi="Times New Roman" w:cs="Times New Roman"/>
          <w:sz w:val="24"/>
          <w:szCs w:val="24"/>
          <w:lang w:eastAsia="pl-PL"/>
        </w:rPr>
        <w:t xml:space="preserve">w oderwaniu od </w:t>
      </w:r>
      <w:r w:rsidR="00A11626" w:rsidRPr="00CC0390">
        <w:rPr>
          <w:rFonts w:ascii="Times New Roman" w:eastAsia="Times New Roman" w:hAnsi="Times New Roman" w:cs="Times New Roman"/>
          <w:sz w:val="24"/>
          <w:szCs w:val="24"/>
          <w:lang w:eastAsia="pl-PL"/>
        </w:rPr>
        <w:t>zasad</w:t>
      </w:r>
      <w:r w:rsidRPr="00CC0390">
        <w:rPr>
          <w:rFonts w:ascii="Times New Roman" w:eastAsia="Times New Roman" w:hAnsi="Times New Roman" w:cs="Times New Roman"/>
          <w:sz w:val="24"/>
          <w:szCs w:val="24"/>
          <w:lang w:eastAsia="pl-PL"/>
        </w:rPr>
        <w:t xml:space="preserve"> Kodeksu postępowania administracyjnego, który w art. 7 wskazuje, że w</w:t>
      </w:r>
      <w:r w:rsidRPr="00CC0390">
        <w:rPr>
          <w:rFonts w:ascii="Times New Roman" w:hAnsi="Times New Roman" w:cs="Times New Roman"/>
          <w:sz w:val="24"/>
          <w:szCs w:val="24"/>
        </w:rPr>
        <w:t xml:space="preserve"> toku </w:t>
      </w:r>
      <w:r w:rsidRPr="00CC0390">
        <w:rPr>
          <w:rStyle w:val="luchili"/>
          <w:rFonts w:ascii="Times New Roman" w:hAnsi="Times New Roman" w:cs="Times New Roman"/>
          <w:sz w:val="24"/>
          <w:szCs w:val="24"/>
        </w:rPr>
        <w:t>postępowania</w:t>
      </w:r>
      <w:r w:rsidRPr="00CC0390">
        <w:rPr>
          <w:rFonts w:ascii="Times New Roman" w:hAnsi="Times New Roman" w:cs="Times New Roman"/>
          <w:sz w:val="24"/>
          <w:szCs w:val="24"/>
        </w:rPr>
        <w:t xml:space="preserve"> organy administracji publicznej stoją na straży praworządności, z urzędu lub na wniosek stron podejmują wszelkie czynności niezbędne do dokładnego wyjaśnienia stanu faktycznego oraz do załatwienia sprawy, mając na względzie interes społeczny i słuszny interes obywateli.</w:t>
      </w:r>
      <w:r w:rsidR="00742470" w:rsidRPr="00CC0390">
        <w:rPr>
          <w:rFonts w:ascii="Times New Roman" w:hAnsi="Times New Roman" w:cs="Times New Roman"/>
          <w:sz w:val="24"/>
          <w:szCs w:val="24"/>
        </w:rPr>
        <w:t xml:space="preserve"> </w:t>
      </w:r>
      <w:r w:rsidR="000978FD" w:rsidRPr="00CC0390">
        <w:rPr>
          <w:rFonts w:ascii="Times New Roman" w:hAnsi="Times New Roman" w:cs="Times New Roman"/>
          <w:sz w:val="24"/>
          <w:szCs w:val="24"/>
        </w:rPr>
        <w:t>Jak wskazuje P. Przybysz w Komentarzu do</w:t>
      </w:r>
      <w:r w:rsidR="00CC0390">
        <w:rPr>
          <w:rFonts w:ascii="Times New Roman" w:hAnsi="Times New Roman" w:cs="Times New Roman"/>
          <w:sz w:val="24"/>
          <w:szCs w:val="24"/>
        </w:rPr>
        <w:t xml:space="preserve"> </w:t>
      </w:r>
      <w:r w:rsidR="000978FD" w:rsidRPr="00CC0390">
        <w:rPr>
          <w:rFonts w:ascii="Times New Roman" w:hAnsi="Times New Roman" w:cs="Times New Roman"/>
          <w:sz w:val="24"/>
          <w:szCs w:val="24"/>
        </w:rPr>
        <w:t xml:space="preserve">art. 7 </w:t>
      </w:r>
      <w:r w:rsidR="00837447" w:rsidRPr="00CC0390">
        <w:rPr>
          <w:rFonts w:ascii="Times New Roman" w:hAnsi="Times New Roman" w:cs="Times New Roman"/>
          <w:sz w:val="24"/>
          <w:szCs w:val="24"/>
        </w:rPr>
        <w:t>k.p.a.</w:t>
      </w:r>
      <w:r w:rsidR="000978FD" w:rsidRPr="00CC0390">
        <w:rPr>
          <w:rFonts w:ascii="Times New Roman" w:hAnsi="Times New Roman" w:cs="Times New Roman"/>
          <w:sz w:val="24"/>
          <w:szCs w:val="24"/>
        </w:rPr>
        <w:t xml:space="preserve"> przepis ten nakazuje organom administracji stanie na straży praworządności. Zasada legalizmu (praworządności) została wskazana także w art. 6, a ponowna wzmianka o niej w komentowanym przepisie wskazuje na ścisłe związki zasady legalizmu z zasadą prawdy obiektywnej oraz zasadą wyważania interesu społecznego i </w:t>
      </w:r>
      <w:r w:rsidR="00A11626" w:rsidRPr="00CC0390">
        <w:rPr>
          <w:rFonts w:ascii="Times New Roman" w:hAnsi="Times New Roman" w:cs="Times New Roman"/>
          <w:sz w:val="24"/>
          <w:szCs w:val="24"/>
        </w:rPr>
        <w:t>słusznego interesu obywateli. Komentatorzy</w:t>
      </w:r>
      <w:r w:rsidR="000978FD" w:rsidRPr="00CC0390">
        <w:rPr>
          <w:rFonts w:ascii="Times New Roman" w:hAnsi="Times New Roman" w:cs="Times New Roman"/>
          <w:sz w:val="24"/>
          <w:szCs w:val="24"/>
        </w:rPr>
        <w:t xml:space="preserve"> podkreśla</w:t>
      </w:r>
      <w:r w:rsidR="00A11626" w:rsidRPr="00CC0390">
        <w:rPr>
          <w:rFonts w:ascii="Times New Roman" w:hAnsi="Times New Roman" w:cs="Times New Roman"/>
          <w:sz w:val="24"/>
          <w:szCs w:val="24"/>
        </w:rPr>
        <w:t>ją</w:t>
      </w:r>
      <w:r w:rsidR="000978FD" w:rsidRPr="00CC0390">
        <w:rPr>
          <w:rFonts w:ascii="Times New Roman" w:hAnsi="Times New Roman" w:cs="Times New Roman"/>
          <w:sz w:val="24"/>
          <w:szCs w:val="24"/>
        </w:rPr>
        <w:t>, że w art. 7 k.p.a. zostały zawarte zasady rzetelnej procedury, które muszą być respektowane w państwie prawa</w:t>
      </w:r>
      <w:r w:rsidR="00520A36" w:rsidRPr="00CC0390">
        <w:rPr>
          <w:rFonts w:ascii="Times New Roman" w:hAnsi="Times New Roman" w:cs="Times New Roman"/>
          <w:sz w:val="24"/>
          <w:szCs w:val="24"/>
        </w:rPr>
        <w:t>.</w:t>
      </w:r>
      <w:r w:rsidR="00BC3375" w:rsidRPr="00CC0390">
        <w:rPr>
          <w:rFonts w:ascii="Times New Roman" w:hAnsi="Times New Roman" w:cs="Times New Roman"/>
          <w:sz w:val="24"/>
          <w:szCs w:val="24"/>
        </w:rPr>
        <w:t xml:space="preserve"> </w:t>
      </w:r>
      <w:r w:rsidR="00742470" w:rsidRPr="00CC0390">
        <w:rPr>
          <w:rFonts w:ascii="Times New Roman" w:hAnsi="Times New Roman" w:cs="Times New Roman"/>
          <w:sz w:val="24"/>
          <w:szCs w:val="24"/>
        </w:rPr>
        <w:t xml:space="preserve">Wywiedziona z ww. przepisu zasada ogólna prawdy obiektywnej ma </w:t>
      </w:r>
      <w:r w:rsidR="00742470" w:rsidRPr="00CC0390">
        <w:rPr>
          <w:rFonts w:ascii="Times New Roman" w:hAnsi="Times New Roman" w:cs="Times New Roman"/>
          <w:sz w:val="24"/>
          <w:szCs w:val="24"/>
          <w:lang w:eastAsia="pl-PL" w:bidi="pl-PL"/>
        </w:rPr>
        <w:t xml:space="preserve">wpływ na ukształtowanie całego postępowania administracyjnego. Jest ona naczelną zasadą postępowania, ma bowiem kapitalny wpływ na ukształtowanie całego postępowania, a zwłaszcza na rozłożenie ciężaru dowodu w postępowaniu administracyjnym. Z zasady tej wynika obowiązek organu administracji publicznej wyczerpującego zbadania wszystkich okoliczności faktycznych związanych z określoną sprawą, aby w ten sposób stworzyć jej rzeczywisty obraz i uzyskać podstawę do trafnego zastosowania przepisu prawa. Realizacja zasady prawdy </w:t>
      </w:r>
      <w:r w:rsidR="00742470" w:rsidRPr="00CC0390">
        <w:rPr>
          <w:rFonts w:ascii="Times New Roman" w:hAnsi="Times New Roman" w:cs="Times New Roman"/>
          <w:bCs/>
          <w:sz w:val="24"/>
          <w:szCs w:val="24"/>
          <w:lang w:eastAsia="pl-PL" w:bidi="pl-PL"/>
        </w:rPr>
        <w:t>obiektywnej</w:t>
      </w:r>
      <w:r w:rsidR="00742470" w:rsidRPr="00CC0390">
        <w:rPr>
          <w:rFonts w:ascii="Times New Roman" w:hAnsi="Times New Roman" w:cs="Times New Roman"/>
          <w:b/>
          <w:bCs/>
          <w:sz w:val="24"/>
          <w:szCs w:val="24"/>
          <w:lang w:eastAsia="pl-PL" w:bidi="pl-PL"/>
        </w:rPr>
        <w:t xml:space="preserve"> </w:t>
      </w:r>
      <w:r w:rsidR="00742470" w:rsidRPr="00CC0390">
        <w:rPr>
          <w:rFonts w:ascii="Times New Roman" w:hAnsi="Times New Roman" w:cs="Times New Roman"/>
          <w:sz w:val="24"/>
          <w:szCs w:val="24"/>
          <w:lang w:eastAsia="pl-PL" w:bidi="pl-PL"/>
        </w:rPr>
        <w:t xml:space="preserve">ma ścisły związek z realizacją zasady praworządności, </w:t>
      </w:r>
      <w:r w:rsidR="00837447" w:rsidRPr="00CC0390">
        <w:rPr>
          <w:rFonts w:ascii="Times New Roman" w:hAnsi="Times New Roman" w:cs="Times New Roman"/>
          <w:sz w:val="24"/>
          <w:szCs w:val="24"/>
          <w:lang w:eastAsia="pl-PL" w:bidi="pl-PL"/>
        </w:rPr>
        <w:t xml:space="preserve">bowiem </w:t>
      </w:r>
      <w:r w:rsidR="00742470" w:rsidRPr="00CC0390">
        <w:rPr>
          <w:rFonts w:ascii="Times New Roman" w:hAnsi="Times New Roman" w:cs="Times New Roman"/>
          <w:sz w:val="24"/>
          <w:szCs w:val="24"/>
          <w:lang w:eastAsia="pl-PL" w:bidi="pl-PL"/>
        </w:rPr>
        <w:t>prawidłowe ustalenie stanu faktycznego sprawy jest niezbędnym elementem prawidłowego zastosowania normy prawa materialnego. Takie ukształtowanie zasady ogólnej prawdy obiektywnej w pełni odpowiada funkcjom prawa procesowego administracyjnego, które nie są ograniczone wyłącznie do ochrony praw jednostki przy załatwianiu spraw indywidualnych w formie decyzji administracyjnej, ale też i ochron</w:t>
      </w:r>
      <w:r w:rsidR="00837447" w:rsidRPr="00CC0390">
        <w:rPr>
          <w:rFonts w:ascii="Times New Roman" w:hAnsi="Times New Roman" w:cs="Times New Roman"/>
          <w:sz w:val="24"/>
          <w:szCs w:val="24"/>
          <w:lang w:eastAsia="pl-PL" w:bidi="pl-PL"/>
        </w:rPr>
        <w:t>ą</w:t>
      </w:r>
      <w:r w:rsidR="00742470" w:rsidRPr="00CC0390">
        <w:rPr>
          <w:rFonts w:ascii="Times New Roman" w:hAnsi="Times New Roman" w:cs="Times New Roman"/>
          <w:sz w:val="24"/>
          <w:szCs w:val="24"/>
          <w:lang w:eastAsia="pl-PL" w:bidi="pl-PL"/>
        </w:rPr>
        <w:t xml:space="preserve"> interesu publicznego. W nawiązaniu do powyższego należy zatem zaznaczyć, że </w:t>
      </w:r>
      <w:bookmarkStart w:id="1" w:name="bookmark0"/>
      <w:r w:rsidR="00742470" w:rsidRPr="00CC0390">
        <w:rPr>
          <w:rFonts w:ascii="Times New Roman" w:hAnsi="Times New Roman" w:cs="Times New Roman"/>
          <w:sz w:val="24"/>
          <w:szCs w:val="24"/>
          <w:lang w:eastAsia="pl-PL" w:bidi="pl-PL"/>
        </w:rPr>
        <w:t>do obowiązków organu wynikających z zasady prawdy obiektywnej należy</w:t>
      </w:r>
      <w:bookmarkEnd w:id="1"/>
      <w:r w:rsidR="00742470" w:rsidRPr="00CC0390">
        <w:rPr>
          <w:rFonts w:ascii="Times New Roman" w:hAnsi="Times New Roman" w:cs="Times New Roman"/>
          <w:sz w:val="24"/>
          <w:szCs w:val="24"/>
          <w:lang w:eastAsia="pl-PL" w:bidi="pl-PL"/>
        </w:rPr>
        <w:t xml:space="preserve"> przede wszystkim ustalenie</w:t>
      </w:r>
      <w:r w:rsidR="006D0FD4">
        <w:rPr>
          <w:rFonts w:ascii="Times New Roman" w:hAnsi="Times New Roman" w:cs="Times New Roman"/>
          <w:sz w:val="24"/>
          <w:szCs w:val="24"/>
          <w:lang w:eastAsia="pl-PL" w:bidi="pl-PL"/>
        </w:rPr>
        <w:t>,</w:t>
      </w:r>
      <w:r w:rsidR="00742470" w:rsidRPr="00CC0390">
        <w:rPr>
          <w:rFonts w:ascii="Times New Roman" w:hAnsi="Times New Roman" w:cs="Times New Roman"/>
          <w:sz w:val="24"/>
          <w:szCs w:val="24"/>
          <w:lang w:eastAsia="pl-PL" w:bidi="pl-PL"/>
        </w:rPr>
        <w:t xml:space="preserve"> jakie </w:t>
      </w:r>
      <w:r w:rsidR="00742470" w:rsidRPr="00CC0390">
        <w:rPr>
          <w:rFonts w:ascii="Times New Roman" w:hAnsi="Times New Roman" w:cs="Times New Roman"/>
          <w:sz w:val="24"/>
          <w:szCs w:val="24"/>
          <w:lang w:eastAsia="pl-PL" w:bidi="pl-PL"/>
        </w:rPr>
        <w:lastRenderedPageBreak/>
        <w:t>okoliczności faktyczne mają znaczenie dla sprawy, ustalenie</w:t>
      </w:r>
      <w:r w:rsidR="006D0FD4">
        <w:rPr>
          <w:rFonts w:ascii="Times New Roman" w:hAnsi="Times New Roman" w:cs="Times New Roman"/>
          <w:sz w:val="24"/>
          <w:szCs w:val="24"/>
          <w:lang w:eastAsia="pl-PL" w:bidi="pl-PL"/>
        </w:rPr>
        <w:t>,</w:t>
      </w:r>
      <w:r w:rsidR="00742470" w:rsidRPr="00CC0390">
        <w:rPr>
          <w:rFonts w:ascii="Times New Roman" w:hAnsi="Times New Roman" w:cs="Times New Roman"/>
          <w:sz w:val="24"/>
          <w:szCs w:val="24"/>
          <w:lang w:eastAsia="pl-PL" w:bidi="pl-PL"/>
        </w:rPr>
        <w:t xml:space="preserve"> jakie dowody powinny zostać przeprowadzone w celu ustalenia stanu faktycznego, przeprowadzić dowody, które uznał za niezbędne dla ustalenia stanu faktycznego</w:t>
      </w:r>
      <w:r w:rsidR="006D0FD4">
        <w:rPr>
          <w:rFonts w:ascii="Times New Roman" w:hAnsi="Times New Roman" w:cs="Times New Roman"/>
          <w:sz w:val="24"/>
          <w:szCs w:val="24"/>
          <w:lang w:eastAsia="pl-PL" w:bidi="pl-PL"/>
        </w:rPr>
        <w:t>,</w:t>
      </w:r>
      <w:r w:rsidR="00742470" w:rsidRPr="00CC0390">
        <w:rPr>
          <w:rFonts w:ascii="Times New Roman" w:hAnsi="Times New Roman" w:cs="Times New Roman"/>
          <w:sz w:val="24"/>
          <w:szCs w:val="24"/>
          <w:lang w:eastAsia="pl-PL" w:bidi="pl-PL"/>
        </w:rPr>
        <w:t xml:space="preserve"> oraz dokonać oceny przeprowadzonych dowodów zgodnie z zasadą swobodnej oceny dowodów.</w:t>
      </w:r>
    </w:p>
    <w:p w14:paraId="0EF073A2" w14:textId="10D44DDC" w:rsidR="00AD6E2B" w:rsidRPr="00CC0390" w:rsidRDefault="002E2688" w:rsidP="00CC0390">
      <w:pPr>
        <w:pStyle w:val="Teksttreci0"/>
        <w:shd w:val="clear" w:color="auto" w:fill="auto"/>
        <w:tabs>
          <w:tab w:val="left" w:pos="709"/>
        </w:tabs>
        <w:spacing w:before="120" w:after="0" w:line="360" w:lineRule="auto"/>
        <w:ind w:firstLine="0"/>
        <w:rPr>
          <w:sz w:val="24"/>
          <w:szCs w:val="24"/>
        </w:rPr>
      </w:pPr>
      <w:r w:rsidRPr="00CC0390">
        <w:rPr>
          <w:bCs/>
          <w:sz w:val="24"/>
          <w:szCs w:val="24"/>
        </w:rPr>
        <w:tab/>
      </w:r>
      <w:r w:rsidR="00520A36" w:rsidRPr="00CC0390">
        <w:rPr>
          <w:bCs/>
          <w:sz w:val="24"/>
          <w:szCs w:val="24"/>
        </w:rPr>
        <w:t>Przepis art. 7 k.p.a. wprowadza także</w:t>
      </w:r>
      <w:r w:rsidR="00520A36" w:rsidRPr="00CC0390">
        <w:rPr>
          <w:b/>
          <w:bCs/>
          <w:sz w:val="24"/>
          <w:szCs w:val="24"/>
        </w:rPr>
        <w:t xml:space="preserve"> </w:t>
      </w:r>
      <w:r w:rsidR="00520A36" w:rsidRPr="00CC0390">
        <w:rPr>
          <w:sz w:val="24"/>
          <w:szCs w:val="24"/>
        </w:rPr>
        <w:t>zasadę ogólną uwzględniania interesu społecznego i słusznego interesu obywatela, która nie określa hierarchii tych wartości ani też zasad rozstrzygania konfliktów międz</w:t>
      </w:r>
      <w:r w:rsidRPr="00CC0390">
        <w:rPr>
          <w:sz w:val="24"/>
          <w:szCs w:val="24"/>
        </w:rPr>
        <w:t>y nimi. Jak podkreśla A. Wróbel</w:t>
      </w:r>
      <w:r w:rsidR="00CC0390">
        <w:rPr>
          <w:sz w:val="24"/>
          <w:szCs w:val="24"/>
        </w:rPr>
        <w:t xml:space="preserve"> </w:t>
      </w:r>
      <w:r w:rsidR="00520A36" w:rsidRPr="00CC0390">
        <w:rPr>
          <w:sz w:val="24"/>
          <w:szCs w:val="24"/>
        </w:rPr>
        <w:t>w Komentarzu do art. 7 k.p.a.</w:t>
      </w:r>
      <w:r w:rsidR="006D0FD4">
        <w:rPr>
          <w:sz w:val="24"/>
          <w:szCs w:val="24"/>
        </w:rPr>
        <w:t>,</w:t>
      </w:r>
      <w:r w:rsidR="00520A36" w:rsidRPr="00CC0390">
        <w:rPr>
          <w:sz w:val="24"/>
          <w:szCs w:val="24"/>
        </w:rPr>
        <w:t xml:space="preserve"> z punktu widzenia struktury i celów postępowania administracyjnego można przyjąć, że wymienione w tym artykule interesy są prawnie równorzędne, co oznacza, iż w procesie wykładni norm proceduralnych organ administracji publicznej nie może kierować się założoną </w:t>
      </w:r>
      <w:r w:rsidR="00520A36" w:rsidRPr="00CC0390">
        <w:rPr>
          <w:i/>
          <w:iCs/>
          <w:sz w:val="24"/>
          <w:szCs w:val="24"/>
        </w:rPr>
        <w:t>a priori</w:t>
      </w:r>
      <w:r w:rsidR="00520A36" w:rsidRPr="00CC0390">
        <w:rPr>
          <w:sz w:val="24"/>
          <w:szCs w:val="24"/>
        </w:rPr>
        <w:t xml:space="preserve"> hierarchią tych interesów. W wyroku SN z 18.11.1993 r., III ARN 49/93, LEX nr 9595, stwierdzono, że „w państwie prawa nie ma miejsca dla mechanicznie i sztywno pojmowanej zasady nadrzędności interesu ogólnego nad interese</w:t>
      </w:r>
      <w:r w:rsidRPr="00CC0390">
        <w:rPr>
          <w:sz w:val="24"/>
          <w:szCs w:val="24"/>
        </w:rPr>
        <w:t>m indywidualnym</w:t>
      </w:r>
      <w:r w:rsidR="006D0FD4">
        <w:rPr>
          <w:sz w:val="24"/>
          <w:szCs w:val="24"/>
        </w:rPr>
        <w:t>”</w:t>
      </w:r>
      <w:r w:rsidRPr="00CC0390">
        <w:rPr>
          <w:sz w:val="24"/>
          <w:szCs w:val="24"/>
        </w:rPr>
        <w:t>. Oznacza to, że</w:t>
      </w:r>
      <w:r w:rsidR="00CC0390">
        <w:rPr>
          <w:sz w:val="24"/>
          <w:szCs w:val="24"/>
        </w:rPr>
        <w:t xml:space="preserve"> </w:t>
      </w:r>
      <w:r w:rsidR="00520A36" w:rsidRPr="00CC0390">
        <w:rPr>
          <w:sz w:val="24"/>
          <w:szCs w:val="24"/>
        </w:rPr>
        <w:t>w każdym przypadku działający organ ma obowiązek wskazać, o jaki interes ogólny (publiczny) chodzi, i udowodnić, iż on jest na tyle ważny i znaczący, że bezwzględnie wymaga ograniczenia uprawnień indywidualnych obywateli. Zarówno istnienie takiego interesu, jak i jego znaczenie, a także przesłanki powodujące konieczność przedłożenia w konkretnym wypadku interesu publicznego nad indywidualny podlegać muszą zawsze wnikliwej kontroli instancyjnej i sądowej (…). Ogólnie można stwierdzić, iż powyższy przepis nakłada na organy prowadzące postępowanie obowiązek harmonizowania interesu publicznego i interes</w:t>
      </w:r>
      <w:r w:rsidRPr="00CC0390">
        <w:rPr>
          <w:sz w:val="24"/>
          <w:szCs w:val="24"/>
        </w:rPr>
        <w:t>u indywidualnego, jeżeli są one</w:t>
      </w:r>
      <w:r w:rsidR="00CC0390">
        <w:rPr>
          <w:sz w:val="24"/>
          <w:szCs w:val="24"/>
        </w:rPr>
        <w:t xml:space="preserve"> </w:t>
      </w:r>
      <w:r w:rsidR="00520A36" w:rsidRPr="00CC0390">
        <w:rPr>
          <w:sz w:val="24"/>
          <w:szCs w:val="24"/>
        </w:rPr>
        <w:t xml:space="preserve">w konkretnym przypadku ze sobą sprzeczne. </w:t>
      </w:r>
      <w:r w:rsidR="00837447" w:rsidRPr="00CC0390">
        <w:rPr>
          <w:sz w:val="24"/>
          <w:szCs w:val="24"/>
        </w:rPr>
        <w:t>Podkreślenia wymaga, że p</w:t>
      </w:r>
      <w:r w:rsidR="000978FD" w:rsidRPr="00CC0390">
        <w:rPr>
          <w:sz w:val="24"/>
          <w:szCs w:val="24"/>
          <w:lang w:eastAsia="pl-PL" w:bidi="pl-PL"/>
        </w:rPr>
        <w:t xml:space="preserve">ojęcie interesu społecznego i słusznego interesu obywateli nie zostało ustawowo </w:t>
      </w:r>
      <w:r w:rsidR="000978FD" w:rsidRPr="00CC0390">
        <w:rPr>
          <w:bCs/>
          <w:sz w:val="24"/>
          <w:szCs w:val="24"/>
          <w:lang w:eastAsia="pl-PL" w:bidi="pl-PL"/>
        </w:rPr>
        <w:t xml:space="preserve">zdefiniowane. </w:t>
      </w:r>
      <w:r w:rsidR="000978FD" w:rsidRPr="00CC0390">
        <w:rPr>
          <w:sz w:val="24"/>
          <w:szCs w:val="24"/>
          <w:lang w:eastAsia="pl-PL" w:bidi="pl-PL"/>
        </w:rPr>
        <w:t xml:space="preserve">Są to klauzule generalne, których treść organ administracji publicznej </w:t>
      </w:r>
      <w:r w:rsidR="00A94067" w:rsidRPr="00CC0390">
        <w:rPr>
          <w:sz w:val="24"/>
          <w:szCs w:val="24"/>
          <w:lang w:eastAsia="pl-PL" w:bidi="pl-PL"/>
        </w:rPr>
        <w:t>ustala</w:t>
      </w:r>
      <w:r w:rsidR="002569D0" w:rsidRPr="00CC0390">
        <w:rPr>
          <w:sz w:val="24"/>
          <w:szCs w:val="24"/>
          <w:lang w:eastAsia="pl-PL" w:bidi="pl-PL"/>
        </w:rPr>
        <w:t xml:space="preserve"> każdorazowo</w:t>
      </w:r>
      <w:r w:rsidR="00CC0390">
        <w:rPr>
          <w:sz w:val="24"/>
          <w:szCs w:val="24"/>
          <w:lang w:eastAsia="pl-PL" w:bidi="pl-PL"/>
        </w:rPr>
        <w:t xml:space="preserve"> </w:t>
      </w:r>
      <w:r w:rsidR="000978FD" w:rsidRPr="00CC0390">
        <w:rPr>
          <w:sz w:val="24"/>
          <w:szCs w:val="24"/>
          <w:lang w:eastAsia="pl-PL" w:bidi="pl-PL"/>
        </w:rPr>
        <w:t>w toku stosowania prawa administracyjnego.</w:t>
      </w:r>
      <w:r w:rsidR="00520A36" w:rsidRPr="00CC0390">
        <w:rPr>
          <w:sz w:val="24"/>
          <w:szCs w:val="24"/>
          <w:lang w:eastAsia="pl-PL" w:bidi="pl-PL"/>
        </w:rPr>
        <w:t xml:space="preserve"> </w:t>
      </w:r>
      <w:r w:rsidR="00520A36" w:rsidRPr="00CC0390">
        <w:rPr>
          <w:bCs/>
          <w:sz w:val="24"/>
          <w:szCs w:val="24"/>
          <w:lang w:eastAsia="pl-PL" w:bidi="pl-PL"/>
        </w:rPr>
        <w:t>Interes społeczny musi być zawsze uwzględniany w oparciu o stan faktyczny sprawy administracyjnej. Jest to kategoria zmienna w czasie</w:t>
      </w:r>
      <w:r w:rsidR="002569D0" w:rsidRPr="00CC0390">
        <w:rPr>
          <w:bCs/>
          <w:sz w:val="24"/>
          <w:szCs w:val="24"/>
          <w:lang w:eastAsia="pl-PL" w:bidi="pl-PL"/>
        </w:rPr>
        <w:t xml:space="preserve"> </w:t>
      </w:r>
      <w:r w:rsidR="00520A36" w:rsidRPr="00CC0390">
        <w:rPr>
          <w:bCs/>
          <w:sz w:val="24"/>
          <w:szCs w:val="24"/>
          <w:lang w:eastAsia="pl-PL" w:bidi="pl-PL"/>
        </w:rPr>
        <w:t xml:space="preserve">i poszczególnych obszarach prawa </w:t>
      </w:r>
      <w:r w:rsidR="00520A36" w:rsidRPr="00CC0390">
        <w:rPr>
          <w:sz w:val="24"/>
          <w:szCs w:val="24"/>
          <w:lang w:eastAsia="pl-PL" w:bidi="pl-PL"/>
        </w:rPr>
        <w:t>administracyjnego. Interes społeczny może rozwarstwiać się na poszczególne kategorie np.:</w:t>
      </w:r>
      <w:r w:rsidR="00E21938" w:rsidRPr="00CC0390">
        <w:rPr>
          <w:sz w:val="24"/>
          <w:szCs w:val="24"/>
          <w:lang w:eastAsia="pl-PL" w:bidi="pl-PL"/>
        </w:rPr>
        <w:t xml:space="preserve"> </w:t>
      </w:r>
      <w:r w:rsidR="00520A36" w:rsidRPr="00CC0390">
        <w:rPr>
          <w:sz w:val="24"/>
          <w:szCs w:val="24"/>
          <w:lang w:eastAsia="pl-PL" w:bidi="pl-PL"/>
        </w:rPr>
        <w:t xml:space="preserve">o </w:t>
      </w:r>
      <w:r w:rsidR="00E21938" w:rsidRPr="00CC0390">
        <w:rPr>
          <w:sz w:val="24"/>
          <w:szCs w:val="24"/>
          <w:lang w:eastAsia="pl-PL" w:bidi="pl-PL"/>
        </w:rPr>
        <w:t>i</w:t>
      </w:r>
      <w:r w:rsidR="00520A36" w:rsidRPr="00CC0390">
        <w:rPr>
          <w:sz w:val="24"/>
          <w:szCs w:val="24"/>
          <w:lang w:eastAsia="pl-PL" w:bidi="pl-PL"/>
        </w:rPr>
        <w:t>nteres ogólnonarodowy</w:t>
      </w:r>
      <w:r w:rsidR="00E21938" w:rsidRPr="00CC0390">
        <w:rPr>
          <w:sz w:val="24"/>
          <w:szCs w:val="24"/>
          <w:lang w:eastAsia="pl-PL" w:bidi="pl-PL"/>
        </w:rPr>
        <w:t>,</w:t>
      </w:r>
      <w:r w:rsidR="00520A36" w:rsidRPr="00CC0390">
        <w:rPr>
          <w:sz w:val="24"/>
          <w:szCs w:val="24"/>
          <w:lang w:eastAsia="pl-PL" w:bidi="pl-PL"/>
        </w:rPr>
        <w:t xml:space="preserve"> o </w:t>
      </w:r>
      <w:r w:rsidR="00E21938" w:rsidRPr="00CC0390">
        <w:rPr>
          <w:sz w:val="24"/>
          <w:szCs w:val="24"/>
          <w:lang w:eastAsia="pl-PL" w:bidi="pl-PL"/>
        </w:rPr>
        <w:t>i</w:t>
      </w:r>
      <w:r w:rsidR="00520A36" w:rsidRPr="00CC0390">
        <w:rPr>
          <w:sz w:val="24"/>
          <w:szCs w:val="24"/>
          <w:lang w:eastAsia="pl-PL" w:bidi="pl-PL"/>
        </w:rPr>
        <w:t>nteres powiatu, gminy</w:t>
      </w:r>
      <w:r w:rsidR="00E21938" w:rsidRPr="00CC0390">
        <w:rPr>
          <w:sz w:val="24"/>
          <w:szCs w:val="24"/>
          <w:lang w:eastAsia="pl-PL" w:bidi="pl-PL"/>
        </w:rPr>
        <w:t xml:space="preserve">. </w:t>
      </w:r>
      <w:r w:rsidR="00520A36" w:rsidRPr="00CC0390">
        <w:rPr>
          <w:sz w:val="24"/>
          <w:szCs w:val="24"/>
          <w:lang w:eastAsia="pl-PL" w:bidi="pl-PL"/>
        </w:rPr>
        <w:t>Przez pojęcie słusznego interesu obywateli należy rozumieć nie tylko interes jednostki będącej stroną postępowania administracyjnego, lecz również podmiot</w:t>
      </w:r>
      <w:r w:rsidR="00E21938" w:rsidRPr="00CC0390">
        <w:rPr>
          <w:sz w:val="24"/>
          <w:szCs w:val="24"/>
          <w:lang w:eastAsia="pl-PL" w:bidi="pl-PL"/>
        </w:rPr>
        <w:t>ów legitymujących</w:t>
      </w:r>
      <w:r w:rsidR="00520A36" w:rsidRPr="00CC0390">
        <w:rPr>
          <w:sz w:val="24"/>
          <w:szCs w:val="24"/>
          <w:lang w:eastAsia="pl-PL" w:bidi="pl-PL"/>
        </w:rPr>
        <w:t xml:space="preserve"> się interesem faktycznym. Ochronie podlega tylko interes kwalifikowany (słu</w:t>
      </w:r>
      <w:r w:rsidR="002569D0" w:rsidRPr="00CC0390">
        <w:rPr>
          <w:sz w:val="24"/>
          <w:szCs w:val="24"/>
          <w:lang w:eastAsia="pl-PL" w:bidi="pl-PL"/>
        </w:rPr>
        <w:t>szny), który nie jest sprzeczny</w:t>
      </w:r>
      <w:r w:rsidR="00CC0390">
        <w:rPr>
          <w:sz w:val="24"/>
          <w:szCs w:val="24"/>
          <w:lang w:eastAsia="pl-PL" w:bidi="pl-PL"/>
        </w:rPr>
        <w:t xml:space="preserve"> </w:t>
      </w:r>
      <w:r w:rsidR="00520A36" w:rsidRPr="00CC0390">
        <w:rPr>
          <w:sz w:val="24"/>
          <w:szCs w:val="24"/>
          <w:lang w:eastAsia="pl-PL" w:bidi="pl-PL"/>
        </w:rPr>
        <w:t>z prawem, ani zasadami współżycia społecznego</w:t>
      </w:r>
      <w:r w:rsidR="00E21938" w:rsidRPr="00CC0390">
        <w:rPr>
          <w:sz w:val="24"/>
          <w:szCs w:val="24"/>
          <w:lang w:eastAsia="pl-PL" w:bidi="pl-PL"/>
        </w:rPr>
        <w:t xml:space="preserve">. </w:t>
      </w:r>
      <w:r w:rsidR="00520A36" w:rsidRPr="00CC0390">
        <w:rPr>
          <w:sz w:val="24"/>
          <w:szCs w:val="24"/>
          <w:lang w:eastAsia="pl-PL" w:bidi="pl-PL"/>
        </w:rPr>
        <w:t xml:space="preserve">Organ </w:t>
      </w:r>
      <w:r w:rsidR="00520A36" w:rsidRPr="00CC0390">
        <w:rPr>
          <w:bCs/>
          <w:sz w:val="24"/>
          <w:szCs w:val="24"/>
          <w:lang w:eastAsia="pl-PL" w:bidi="pl-PL"/>
        </w:rPr>
        <w:t xml:space="preserve">administracji </w:t>
      </w:r>
      <w:r w:rsidR="00520A36" w:rsidRPr="00CC0390">
        <w:rPr>
          <w:sz w:val="24"/>
          <w:szCs w:val="24"/>
          <w:lang w:eastAsia="pl-PL" w:bidi="pl-PL"/>
        </w:rPr>
        <w:t>publicznej nie może z urzędu dawać pierwszeństwa interesowi społecznemu</w:t>
      </w:r>
      <w:r w:rsidR="0057210D" w:rsidRPr="00CC0390">
        <w:rPr>
          <w:sz w:val="24"/>
          <w:szCs w:val="24"/>
          <w:lang w:eastAsia="pl-PL" w:bidi="pl-PL"/>
        </w:rPr>
        <w:t>.</w:t>
      </w:r>
      <w:r w:rsidR="00520A36" w:rsidRPr="00CC0390">
        <w:rPr>
          <w:sz w:val="24"/>
          <w:szCs w:val="24"/>
          <w:lang w:eastAsia="pl-PL" w:bidi="pl-PL"/>
        </w:rPr>
        <w:t xml:space="preserve"> </w:t>
      </w:r>
      <w:r w:rsidR="0057210D" w:rsidRPr="00CC0390">
        <w:rPr>
          <w:sz w:val="24"/>
          <w:szCs w:val="24"/>
          <w:lang w:eastAsia="pl-PL" w:bidi="pl-PL"/>
        </w:rPr>
        <w:t>M</w:t>
      </w:r>
      <w:r w:rsidR="00520A36" w:rsidRPr="00CC0390">
        <w:rPr>
          <w:sz w:val="24"/>
          <w:szCs w:val="24"/>
          <w:lang w:eastAsia="pl-PL" w:bidi="pl-PL"/>
        </w:rPr>
        <w:t xml:space="preserve">a on obowiązek w toku postępowania określić i uwzględnić oba wskazane </w:t>
      </w:r>
      <w:r w:rsidR="00520A36" w:rsidRPr="00CC0390">
        <w:rPr>
          <w:sz w:val="24"/>
          <w:szCs w:val="24"/>
          <w:lang w:eastAsia="pl-PL" w:bidi="pl-PL"/>
        </w:rPr>
        <w:lastRenderedPageBreak/>
        <w:t>interesy.</w:t>
      </w:r>
      <w:r w:rsidR="00E21938" w:rsidRPr="00CC0390">
        <w:rPr>
          <w:sz w:val="24"/>
          <w:szCs w:val="24"/>
          <w:lang w:eastAsia="pl-PL" w:bidi="pl-PL"/>
        </w:rPr>
        <w:t xml:space="preserve"> Podkreślić jednak należy, że o</w:t>
      </w:r>
      <w:r w:rsidR="00520A36" w:rsidRPr="00CC0390">
        <w:rPr>
          <w:sz w:val="24"/>
          <w:szCs w:val="24"/>
          <w:lang w:eastAsia="pl-PL" w:bidi="pl-PL"/>
        </w:rPr>
        <w:t>rgan administracji publicznej musi uwzględniać interes jednostki, gdyż podlega on szc</w:t>
      </w:r>
      <w:r w:rsidR="00E21938" w:rsidRPr="00CC0390">
        <w:rPr>
          <w:sz w:val="24"/>
          <w:szCs w:val="24"/>
          <w:lang w:eastAsia="pl-PL" w:bidi="pl-PL"/>
        </w:rPr>
        <w:t xml:space="preserve">zególnej ochronię. </w:t>
      </w:r>
      <w:r w:rsidRPr="00CC0390">
        <w:rPr>
          <w:sz w:val="24"/>
          <w:szCs w:val="24"/>
          <w:lang w:eastAsia="pl-PL" w:bidi="pl-PL"/>
        </w:rPr>
        <w:t>W publikacji</w:t>
      </w:r>
      <w:r w:rsidR="00974921" w:rsidRPr="00CC0390">
        <w:rPr>
          <w:sz w:val="24"/>
          <w:szCs w:val="24"/>
          <w:lang w:eastAsia="pl-PL" w:bidi="pl-PL"/>
        </w:rPr>
        <w:t xml:space="preserve"> </w:t>
      </w:r>
      <w:r w:rsidR="00837447" w:rsidRPr="00CC0390">
        <w:rPr>
          <w:sz w:val="24"/>
          <w:szCs w:val="24"/>
          <w:lang w:eastAsia="pl-PL" w:bidi="pl-PL"/>
        </w:rPr>
        <w:t>E. Komierzyńskiej i M. Zdyba pt. „</w:t>
      </w:r>
      <w:r w:rsidR="00837447" w:rsidRPr="00CC0390">
        <w:rPr>
          <w:sz w:val="24"/>
          <w:szCs w:val="24"/>
        </w:rPr>
        <w:t>Klauzula interesu publicznego w działaniach administracji publicznej”</w:t>
      </w:r>
      <w:r w:rsidR="00837447" w:rsidRPr="00CC0390">
        <w:rPr>
          <w:rStyle w:val="Odwoanieprzypisudolnego"/>
          <w:sz w:val="24"/>
          <w:szCs w:val="24"/>
        </w:rPr>
        <w:footnoteReference w:id="1"/>
      </w:r>
      <w:r w:rsidR="00EB1A23" w:rsidRPr="00EB1A23">
        <w:rPr>
          <w:sz w:val="24"/>
          <w:szCs w:val="24"/>
          <w:vertAlign w:val="superscript"/>
        </w:rPr>
        <w:t>)</w:t>
      </w:r>
      <w:r w:rsidR="00837447" w:rsidRPr="00CC0390">
        <w:rPr>
          <w:sz w:val="24"/>
          <w:szCs w:val="24"/>
        </w:rPr>
        <w:t xml:space="preserve"> wskazano, że</w:t>
      </w:r>
      <w:r w:rsidR="00A94067" w:rsidRPr="00CC0390">
        <w:rPr>
          <w:sz w:val="24"/>
          <w:szCs w:val="24"/>
        </w:rPr>
        <w:t xml:space="preserve"> k</w:t>
      </w:r>
      <w:r w:rsidR="00837447" w:rsidRPr="00CC0390">
        <w:rPr>
          <w:sz w:val="24"/>
          <w:szCs w:val="24"/>
        </w:rPr>
        <w:t>lauzula interesu publicznego jest konstrukcją normatywną, o charakterze generalnej klauzuli odsyłającej. Najogólniej rzecz ujmując, jest ona dyrektywą kierowaną do organów administracji publicznej, które swoje zadania powinny wykonywać w interesie publicznym. Klauzula interesu publicznego jest zaliczana do klauzul zasadniczych dla prawa administracyjnego, co nie oznacza przyznania absolutnego prymatu interesowi publicznemu w działaniach administracji publicznej. Należy pamiętać o odpowiednim ważeniu interesu publicznego interesem obywatela (interesem jednostki, interesem indywidualnym), istnieją bowiem określone, zasadnicze prawa człowieka, a nawet można spotkać poglądy, iż pojęcie interesu publicznego nabiera pełnej treści dopiero wtedy, gdy zostanie on zestawiony z prawem poszczególnej jednostki.</w:t>
      </w:r>
      <w:r w:rsidR="00826390" w:rsidRPr="00CC0390">
        <w:rPr>
          <w:sz w:val="24"/>
          <w:szCs w:val="24"/>
        </w:rPr>
        <w:t xml:space="preserve"> Na specyficzny związek relacji interes jednostki – interes publiczny (społeczny) z zasadami prawa zwraca uwagę M. Zdyb. Zauważa on, że „pojęcie interesu publicznego nabiera pełnej treści dopiero przez zestawienie z prawem poszczególnej jednostki, jako namiastki wszelkiej społeczności”</w:t>
      </w:r>
      <w:r w:rsidR="00826390" w:rsidRPr="00CC0390">
        <w:rPr>
          <w:rStyle w:val="Odwoanieprzypisudolnego"/>
          <w:sz w:val="24"/>
          <w:szCs w:val="24"/>
        </w:rPr>
        <w:footnoteReference w:id="2"/>
      </w:r>
      <w:r w:rsidR="00EB1A23" w:rsidRPr="00EB1A23">
        <w:rPr>
          <w:sz w:val="24"/>
          <w:szCs w:val="24"/>
          <w:vertAlign w:val="superscript"/>
        </w:rPr>
        <w:t>)</w:t>
      </w:r>
      <w:r w:rsidR="00826390" w:rsidRPr="00CC0390">
        <w:rPr>
          <w:sz w:val="24"/>
          <w:szCs w:val="24"/>
        </w:rPr>
        <w:t>. Jego zdaniem ewentualną dysharmonię, a nawet konflikt między tymi interesami, należy rozwiązać przede wszystkim z zastosowaniem zasad postępowania administracyjnego. Autor ten zdecydowanie stwierdza, że „wszelkie relacje w stosunkach publicznoprawnych powinny być kształtowane w ten sposób, aby uwzględniały kwintesencję interesów prawnych ucieleśnionych w godności człowieka oraz interes publiczny, a zwłaszcza jego najpełniejsze wcielenie, tj. dobro wspólne”. Ponadto W.</w:t>
      </w:r>
      <w:r w:rsidR="00AD6E2B" w:rsidRPr="00CC0390">
        <w:rPr>
          <w:sz w:val="24"/>
          <w:szCs w:val="24"/>
        </w:rPr>
        <w:t xml:space="preserve"> </w:t>
      </w:r>
      <w:r w:rsidR="00826390" w:rsidRPr="00CC0390">
        <w:rPr>
          <w:sz w:val="24"/>
          <w:szCs w:val="24"/>
        </w:rPr>
        <w:t>J. Wołpiuk twierdzi wyraźnie, że realizacja interesu publicznego (jako wartości konstytucyjnej) nie stanowi legitymacji do naruszania innych wartości i zasad</w:t>
      </w:r>
      <w:r w:rsidR="00826390" w:rsidRPr="00CC0390">
        <w:rPr>
          <w:rStyle w:val="Odwoanieprzypisudolnego"/>
          <w:sz w:val="24"/>
          <w:szCs w:val="24"/>
        </w:rPr>
        <w:footnoteReference w:id="3"/>
      </w:r>
      <w:r w:rsidR="00EB1A23" w:rsidRPr="00EB1A23">
        <w:rPr>
          <w:sz w:val="24"/>
          <w:szCs w:val="24"/>
          <w:vertAlign w:val="superscript"/>
        </w:rPr>
        <w:t>)</w:t>
      </w:r>
      <w:r w:rsidR="00826390" w:rsidRPr="00CC0390">
        <w:rPr>
          <w:sz w:val="24"/>
          <w:szCs w:val="24"/>
        </w:rPr>
        <w:t>.</w:t>
      </w:r>
      <w:r w:rsidR="00AD6E2B" w:rsidRPr="00CC0390">
        <w:rPr>
          <w:sz w:val="24"/>
          <w:szCs w:val="24"/>
        </w:rPr>
        <w:t xml:space="preserve"> </w:t>
      </w:r>
      <w:r w:rsidR="000F0DC9" w:rsidRPr="00CC0390">
        <w:rPr>
          <w:sz w:val="24"/>
          <w:szCs w:val="24"/>
        </w:rPr>
        <w:t>W</w:t>
      </w:r>
      <w:r w:rsidR="00394A8B" w:rsidRPr="00CC0390">
        <w:rPr>
          <w:sz w:val="24"/>
          <w:szCs w:val="24"/>
        </w:rPr>
        <w:t>ażny interes publiczny może być podstawą do dokonania różnego rodzaju ograniczeń uzasadnionych ważnym interesem publicznym, a także ze względu na potrzebę ochrony moralności publicznej, ochrony środowiska</w:t>
      </w:r>
      <w:r w:rsidR="00AD6E2B" w:rsidRPr="00CC0390">
        <w:rPr>
          <w:sz w:val="24"/>
          <w:szCs w:val="24"/>
        </w:rPr>
        <w:t xml:space="preserve"> </w:t>
      </w:r>
      <w:r w:rsidR="00394A8B" w:rsidRPr="00CC0390">
        <w:rPr>
          <w:sz w:val="24"/>
          <w:szCs w:val="24"/>
        </w:rPr>
        <w:t xml:space="preserve">czy </w:t>
      </w:r>
      <w:r w:rsidR="002569D0" w:rsidRPr="00CC0390">
        <w:rPr>
          <w:sz w:val="24"/>
          <w:szCs w:val="24"/>
        </w:rPr>
        <w:t>konieczność ochrony innych praw</w:t>
      </w:r>
      <w:r w:rsidR="00CC0390">
        <w:rPr>
          <w:sz w:val="24"/>
          <w:szCs w:val="24"/>
        </w:rPr>
        <w:t xml:space="preserve"> </w:t>
      </w:r>
      <w:r w:rsidR="00394A8B" w:rsidRPr="00CC0390">
        <w:rPr>
          <w:sz w:val="24"/>
          <w:szCs w:val="24"/>
        </w:rPr>
        <w:t>i wolności konstytucyjnie chronionych. Trzeba jednak mieć na uwadze, iż zgodnie</w:t>
      </w:r>
      <w:r w:rsidR="00CC0390">
        <w:rPr>
          <w:sz w:val="24"/>
          <w:szCs w:val="24"/>
        </w:rPr>
        <w:t xml:space="preserve"> </w:t>
      </w:r>
      <w:r w:rsidR="00394A8B" w:rsidRPr="00CC0390">
        <w:rPr>
          <w:sz w:val="24"/>
          <w:szCs w:val="24"/>
        </w:rPr>
        <w:t>z ukształtowanym orzecznictwem Trybunału Konstytucyjnego, dla oceny, czy doszło do naruszenia zasady proporcjonalności (zakazu nadmiernej ingerencji)</w:t>
      </w:r>
      <w:r w:rsidR="006D0FD4">
        <w:rPr>
          <w:sz w:val="24"/>
          <w:szCs w:val="24"/>
        </w:rPr>
        <w:t>,</w:t>
      </w:r>
      <w:r w:rsidR="00394A8B" w:rsidRPr="00CC0390">
        <w:rPr>
          <w:sz w:val="24"/>
          <w:szCs w:val="24"/>
        </w:rPr>
        <w:t xml:space="preserve"> niezbędne jest udzielenie odpowiedzi na trzy pytania:</w:t>
      </w:r>
      <w:r w:rsidR="00AD6E2B" w:rsidRPr="00CC0390">
        <w:rPr>
          <w:sz w:val="24"/>
          <w:szCs w:val="24"/>
        </w:rPr>
        <w:t xml:space="preserve"> </w:t>
      </w:r>
      <w:r w:rsidR="00394A8B" w:rsidRPr="00CC0390">
        <w:rPr>
          <w:sz w:val="24"/>
          <w:szCs w:val="24"/>
        </w:rPr>
        <w:t xml:space="preserve">1) czy wprowadzona regulacja ustawodawcza jest w stanie doprowadzić do zamierzonych przez nią skutków; </w:t>
      </w:r>
      <w:r w:rsidR="00394A8B" w:rsidRPr="00CC0390">
        <w:rPr>
          <w:sz w:val="24"/>
          <w:szCs w:val="24"/>
        </w:rPr>
        <w:lastRenderedPageBreak/>
        <w:t>2) czy regulacja ta jest niezbędna dla ochrony interesu publicznego, z którym jest powiązana; 3) czy efekty wprowadzanej regulacji pozostają w proporcji do ciężarów nakładanych przez nią na obywatela. Wyczerpującej odpowiedzi na tak sformułowane pytania udzielił Trybunał Konstytucyjny w uzasadnieniu wyroku</w:t>
      </w:r>
      <w:r w:rsidR="00AD6E2B" w:rsidRPr="00CC0390">
        <w:rPr>
          <w:sz w:val="24"/>
          <w:szCs w:val="24"/>
        </w:rPr>
        <w:t xml:space="preserve"> z dnia 12 stycznia 1999 r., sygn. P. 2/98, OTK ZU 1999/1/1. TK wskazał w nim, że nie ulega wątpliwości, „iż spełnienie powyższych postulatów wymaga bliższej analizy w każdym konkretnym przypadku ograniczania prawa lub wolności, w szczególności przez skonfrontowanie wartości i dóbr chronionych daną regulacją z tymi, które w jej efekcie podlegają ograniczeniu, jak również przez ocenę metody realizacji ograniczenia”</w:t>
      </w:r>
      <w:r w:rsidR="00A94067" w:rsidRPr="00CC0390">
        <w:rPr>
          <w:sz w:val="24"/>
          <w:szCs w:val="24"/>
        </w:rPr>
        <w:t>, a także</w:t>
      </w:r>
      <w:r w:rsidR="00EF4EA8">
        <w:rPr>
          <w:sz w:val="24"/>
          <w:szCs w:val="24"/>
        </w:rPr>
        <w:t xml:space="preserve"> </w:t>
      </w:r>
      <w:r w:rsidR="00AD6E2B" w:rsidRPr="00CC0390">
        <w:rPr>
          <w:sz w:val="24"/>
          <w:szCs w:val="24"/>
        </w:rPr>
        <w:t xml:space="preserve">podkreślił, że ocena spełnienia poszczególnych kryteriów składających się na zasadę zakazu nadmiernej (nieproporcjonalnej) ingerencji wymaga pewnego zrelatywizowania stosownie do charakteru poszczególnych praw i wolności jednostki. Autorzy ww. publikacji zwracają również uwagę na to, </w:t>
      </w:r>
      <w:r w:rsidR="006D0FD4">
        <w:rPr>
          <w:sz w:val="24"/>
          <w:szCs w:val="24"/>
        </w:rPr>
        <w:t xml:space="preserve">że </w:t>
      </w:r>
      <w:r w:rsidR="00AD6E2B" w:rsidRPr="00CC0390">
        <w:rPr>
          <w:sz w:val="24"/>
          <w:szCs w:val="24"/>
        </w:rPr>
        <w:t>prawodawca nierzadko posługuje się pojęciem „ważny interes publiczny” w znaczeniu, które wskazuje na to, że w tego typu sytuacjach chodzi o interes państwa. W rzeczywistości może to oznaczać interesy państwa dedukowane przez konkretny organ administracji, natomiast w dalszej perspektywie przez osobę fizyczną (będącą) działającą jako organ administracji, a skoro organy administracji nie mają własnych interesów, to odczytywane przez nie treści traktuje się jako interes publiczny. Problem pojawia się wtedy, gdy administracja wyobcowuje się i zaczyna żyć własnym życiem, gdy aparat administracyjny w takich syt</w:t>
      </w:r>
      <w:r w:rsidR="002569D0" w:rsidRPr="00CC0390">
        <w:rPr>
          <w:sz w:val="24"/>
          <w:szCs w:val="24"/>
        </w:rPr>
        <w:t>uacjach zacznie być utożsamiany</w:t>
      </w:r>
      <w:r w:rsidR="00CC0390">
        <w:rPr>
          <w:sz w:val="24"/>
          <w:szCs w:val="24"/>
        </w:rPr>
        <w:t xml:space="preserve"> </w:t>
      </w:r>
      <w:r w:rsidR="00AD6E2B" w:rsidRPr="00CC0390">
        <w:rPr>
          <w:sz w:val="24"/>
          <w:szCs w:val="24"/>
        </w:rPr>
        <w:t>z państwem. Przy takim podejściu – co wielokrotnie podkreślał M. Zdyb – słynna heglowska idea państwa jako nosiciela ogólności może przyjąć złowrogi sens (czego doświadczyliśmy w okresach triumfów europejskich totalitaryzmów) i prowadzić do wynaturzenia interesu publicznego</w:t>
      </w:r>
      <w:r w:rsidR="00AD6E2B" w:rsidRPr="00CC0390">
        <w:rPr>
          <w:rStyle w:val="Odwoanieprzypisudolnego"/>
          <w:sz w:val="24"/>
          <w:szCs w:val="24"/>
        </w:rPr>
        <w:footnoteReference w:id="4"/>
      </w:r>
      <w:r w:rsidR="00EB1A23" w:rsidRPr="00EB1A23">
        <w:rPr>
          <w:sz w:val="24"/>
          <w:szCs w:val="24"/>
          <w:vertAlign w:val="superscript"/>
        </w:rPr>
        <w:t>)</w:t>
      </w:r>
      <w:r w:rsidR="00AD6E2B" w:rsidRPr="00CC0390">
        <w:rPr>
          <w:sz w:val="24"/>
          <w:szCs w:val="24"/>
        </w:rPr>
        <w:t>. Wskazano</w:t>
      </w:r>
      <w:r w:rsidR="00A94067" w:rsidRPr="00CC0390">
        <w:rPr>
          <w:sz w:val="24"/>
          <w:szCs w:val="24"/>
        </w:rPr>
        <w:t xml:space="preserve"> także</w:t>
      </w:r>
      <w:r w:rsidR="00AD6E2B" w:rsidRPr="00CC0390">
        <w:rPr>
          <w:sz w:val="24"/>
          <w:szCs w:val="24"/>
        </w:rPr>
        <w:t>, że należy przyjąć, że w każdym pojęciu niedookreślonym jest zawarte odesłanie do podstawowych wartości i zasad obowiązującego systemu prawnego. W pojęciu interesu publicznego, tak jak</w:t>
      </w:r>
      <w:r w:rsidR="00CC0390">
        <w:rPr>
          <w:sz w:val="24"/>
          <w:szCs w:val="24"/>
        </w:rPr>
        <w:t xml:space="preserve"> </w:t>
      </w:r>
      <w:r w:rsidR="00AD6E2B" w:rsidRPr="00CC0390">
        <w:rPr>
          <w:sz w:val="24"/>
          <w:szCs w:val="24"/>
        </w:rPr>
        <w:t>w przypadku innych klauzul generalnych, znajduje się też odesłanie do aksjologicznych podstaw obowiązującego prawa i aksjologicznych fundamentów, na których opiera się system prawa pozytywnego w Polsce. Chodzi tu między innymi o odesłania do kluczowych wartości ogólnosystemowych i pozasystemowych oraz różnego rodzaju norm, reguł i zasad pozasystemowych (norm moralnych, zwyczajów, norm wiedzy, normatywów technicznych, zasad prakseologicznych itd.). Prawidłowość wykładni klauzul generalnych podlega kontroli sądowoadministracyjnej.</w:t>
      </w:r>
    </w:p>
    <w:p w14:paraId="3990B93C" w14:textId="2D094C61" w:rsidR="00DE1605" w:rsidRPr="00CC0390" w:rsidRDefault="00E21938" w:rsidP="00CC0390">
      <w:pPr>
        <w:pStyle w:val="Teksttreci0"/>
        <w:shd w:val="clear" w:color="auto" w:fill="auto"/>
        <w:tabs>
          <w:tab w:val="left" w:pos="709"/>
        </w:tabs>
        <w:spacing w:before="120" w:after="0" w:line="360" w:lineRule="auto"/>
        <w:ind w:firstLine="0"/>
        <w:rPr>
          <w:color w:val="000000"/>
          <w:sz w:val="24"/>
          <w:szCs w:val="24"/>
        </w:rPr>
      </w:pPr>
      <w:r w:rsidRPr="00CC0390">
        <w:rPr>
          <w:sz w:val="24"/>
          <w:szCs w:val="24"/>
        </w:rPr>
        <w:tab/>
      </w:r>
      <w:r w:rsidR="00000FD1" w:rsidRPr="00CC0390">
        <w:rPr>
          <w:sz w:val="24"/>
          <w:szCs w:val="24"/>
          <w:lang w:eastAsia="pl-PL"/>
        </w:rPr>
        <w:t xml:space="preserve">Nowelizacja k.p.a. z dnia 1 czerwca 2017 r. </w:t>
      </w:r>
      <w:r w:rsidR="00BC3375" w:rsidRPr="00CC0390">
        <w:rPr>
          <w:sz w:val="24"/>
          <w:szCs w:val="24"/>
        </w:rPr>
        <w:t xml:space="preserve">wprowadziła nową zasadę ogólną rozstrzygania </w:t>
      </w:r>
      <w:r w:rsidR="00BC3375" w:rsidRPr="00CC0390">
        <w:rPr>
          <w:sz w:val="24"/>
          <w:szCs w:val="24"/>
        </w:rPr>
        <w:lastRenderedPageBreak/>
        <w:t xml:space="preserve">wątpliwości na korzyść strony zawartą w dodawanym art. 7a. </w:t>
      </w:r>
      <w:r w:rsidR="00000FD1" w:rsidRPr="00CC0390">
        <w:rPr>
          <w:sz w:val="24"/>
          <w:szCs w:val="24"/>
          <w:lang w:eastAsia="pl-PL"/>
        </w:rPr>
        <w:t xml:space="preserve">Uzasadnieniem dla zasady ogólnej rozstrzygania wątpliwości na korzyść strony </w:t>
      </w:r>
      <w:r w:rsidR="00BC3375" w:rsidRPr="00CC0390">
        <w:rPr>
          <w:sz w:val="24"/>
          <w:szCs w:val="24"/>
          <w:lang w:eastAsia="pl-PL"/>
        </w:rPr>
        <w:t>było</w:t>
      </w:r>
      <w:r w:rsidR="00000FD1" w:rsidRPr="00CC0390">
        <w:rPr>
          <w:sz w:val="24"/>
          <w:szCs w:val="24"/>
          <w:lang w:eastAsia="pl-PL"/>
        </w:rPr>
        <w:t xml:space="preserve"> przekonanie, że zgodnie z wymogami konstytucyjnymi niejasne, niejednoznaczne przepisy prawa nie mogą być interpretowane na niekorzyść strony. W odmiennym przypadku państwo osiągałoby korzyści z wprowadzenia niejasnych przepisów, mogąc stosować je w taki sposób, który byłby najkorzystniejszy z punktu widzenia interesów państwa. Funkcją komentowanego przepisu jest zwiększenie ochrony praw strony przez ograniczenie negatywnych skutków nieprecyzyjnego formułowania przepisów prawa</w:t>
      </w:r>
      <w:r w:rsidR="00BC3375" w:rsidRPr="00CC0390">
        <w:rPr>
          <w:rStyle w:val="Odwoanieprzypisudolnego"/>
          <w:sz w:val="24"/>
          <w:szCs w:val="24"/>
          <w:lang w:eastAsia="pl-PL"/>
        </w:rPr>
        <w:footnoteReference w:id="5"/>
      </w:r>
      <w:r w:rsidR="00EB1A23" w:rsidRPr="00EB1A23">
        <w:rPr>
          <w:sz w:val="24"/>
          <w:szCs w:val="24"/>
          <w:vertAlign w:val="superscript"/>
          <w:lang w:eastAsia="pl-PL"/>
        </w:rPr>
        <w:t>)</w:t>
      </w:r>
      <w:r w:rsidR="00000FD1" w:rsidRPr="00CC0390">
        <w:rPr>
          <w:sz w:val="24"/>
          <w:szCs w:val="24"/>
          <w:lang w:eastAsia="pl-PL"/>
        </w:rPr>
        <w:t>.</w:t>
      </w:r>
      <w:r w:rsidR="00BC3375" w:rsidRPr="00CC0390">
        <w:rPr>
          <w:sz w:val="24"/>
          <w:szCs w:val="24"/>
          <w:lang w:eastAsia="pl-PL"/>
        </w:rPr>
        <w:t xml:space="preserve"> Zaznaczyć należy, że do 2017 r. </w:t>
      </w:r>
      <w:r w:rsidRPr="00CC0390">
        <w:rPr>
          <w:sz w:val="24"/>
          <w:szCs w:val="24"/>
        </w:rPr>
        <w:t>zasada ta nie była prawnie uregulowana, choć znajd</w:t>
      </w:r>
      <w:r w:rsidR="00BC3375" w:rsidRPr="00CC0390">
        <w:rPr>
          <w:sz w:val="24"/>
          <w:szCs w:val="24"/>
        </w:rPr>
        <w:t>owała</w:t>
      </w:r>
      <w:r w:rsidRPr="00CC0390">
        <w:rPr>
          <w:sz w:val="24"/>
          <w:szCs w:val="24"/>
        </w:rPr>
        <w:t xml:space="preserve"> potwierdzenie w orzecznictwie oraz poglądach doktryny. Przykładowo NSA w wyroku z dnia 18 stycznia 1988 r., sygn. Akt III SA 964/87, wskazał, że „należałoby opowiedzieć się za stosowaniem w postępowaniu administracyjnym zakazu rozstrzygania wątpliwości na niekorzyść strony</w:t>
      </w:r>
      <w:r w:rsidR="00220CAA">
        <w:rPr>
          <w:sz w:val="24"/>
          <w:szCs w:val="24"/>
        </w:rPr>
        <w:t>”</w:t>
      </w:r>
      <w:r w:rsidRPr="00CC0390">
        <w:rPr>
          <w:sz w:val="24"/>
          <w:szCs w:val="24"/>
        </w:rPr>
        <w:t>. Zasada taka nie jest wprawdzie wyraźnie sformułowana w przepisach k.p.a., można jednak wyprowadzić ją z zasad: prawdy obiektywnej (art. 7 k.p.a.) I czynnego udziału strony w postępowaniu (art. 10 k.p.a.). W przedmiotowej kwestii wypowiadał się także WSA we Wrocławiu, który</w:t>
      </w:r>
      <w:r w:rsidR="00CC0390">
        <w:rPr>
          <w:sz w:val="24"/>
          <w:szCs w:val="24"/>
        </w:rPr>
        <w:t xml:space="preserve"> </w:t>
      </w:r>
      <w:r w:rsidRPr="00CC0390">
        <w:rPr>
          <w:sz w:val="24"/>
          <w:szCs w:val="24"/>
        </w:rPr>
        <w:t>w wyroku z dnia 2 marca 2017r., sygn. Akt III SA/Wr 1185/16 wskazał, że ,,organ administracji, podejmując w indywidualnej sprawie decyzję w oparciu o uznanie administracyjne, ma obo</w:t>
      </w:r>
      <w:r w:rsidR="00C26D29" w:rsidRPr="00CC0390">
        <w:rPr>
          <w:sz w:val="24"/>
          <w:szCs w:val="24"/>
        </w:rPr>
        <w:t>wiązek zgodnie z art. 7 k.p.a. w</w:t>
      </w:r>
      <w:r w:rsidRPr="00CC0390">
        <w:rPr>
          <w:sz w:val="24"/>
          <w:szCs w:val="24"/>
        </w:rPr>
        <w:t xml:space="preserve">yważyć słuszny interes obywateli, w tym strony postępowania, i interes społeczny, co prowadzi do wniosku, że w przypadku gdy nie sprzeciwia się temu interes publiczny, organ powinien podjąć decyzję na korzyść strony postępowania…’’. Zgodnie z art. 7a k.p.a. </w:t>
      </w:r>
      <w:r w:rsidR="00A94067" w:rsidRPr="00CC0390">
        <w:rPr>
          <w:sz w:val="24"/>
          <w:szCs w:val="24"/>
        </w:rPr>
        <w:t>z</w:t>
      </w:r>
      <w:r w:rsidRPr="00CC0390">
        <w:rPr>
          <w:sz w:val="24"/>
          <w:szCs w:val="24"/>
        </w:rPr>
        <w:t>asadę rozstrzygania wątpliwości na korzyść strony stosujemy</w:t>
      </w:r>
      <w:r w:rsidR="00220CAA">
        <w:rPr>
          <w:sz w:val="24"/>
          <w:szCs w:val="24"/>
        </w:rPr>
        <w:t>,</w:t>
      </w:r>
      <w:r w:rsidR="00EB1A23">
        <w:rPr>
          <w:sz w:val="24"/>
          <w:szCs w:val="24"/>
        </w:rPr>
        <w:t xml:space="preserve"> </w:t>
      </w:r>
      <w:r w:rsidRPr="00CC0390">
        <w:rPr>
          <w:sz w:val="24"/>
          <w:szCs w:val="24"/>
        </w:rPr>
        <w:t>jeśli przedmiotem postępowania administracyjnego jest nałożenie na stronę obowiązku bądź ograniczenie lub odebranie stronie uprawnienia.</w:t>
      </w:r>
      <w:r w:rsidR="00BC3375" w:rsidRPr="00CC0390">
        <w:rPr>
          <w:sz w:val="24"/>
          <w:szCs w:val="24"/>
        </w:rPr>
        <w:t xml:space="preserve"> Jak wskazał Ł. </w:t>
      </w:r>
      <w:r w:rsidR="00BC3375" w:rsidRPr="00CC0390">
        <w:rPr>
          <w:color w:val="000000"/>
          <w:sz w:val="24"/>
          <w:szCs w:val="24"/>
        </w:rPr>
        <w:t>Strzępek w publikacji pt. „O niektórych konsekwencjach stosowania zasady życzliwej interpretacji przepisów – refleksje na tle art. 7a Kodeksu postępowania administracyjnego”</w:t>
      </w:r>
      <w:r w:rsidR="00BC3375" w:rsidRPr="00CC0390">
        <w:rPr>
          <w:rStyle w:val="Odwoanieprzypisudolnego"/>
          <w:color w:val="000000"/>
          <w:sz w:val="24"/>
          <w:szCs w:val="24"/>
        </w:rPr>
        <w:footnoteReference w:id="6"/>
      </w:r>
      <w:r w:rsidR="00EB1A23" w:rsidRPr="00EB1A23">
        <w:rPr>
          <w:color w:val="000000"/>
          <w:sz w:val="24"/>
          <w:szCs w:val="24"/>
          <w:vertAlign w:val="superscript"/>
        </w:rPr>
        <w:t>)</w:t>
      </w:r>
      <w:r w:rsidR="00220CAA">
        <w:rPr>
          <w:color w:val="000000"/>
          <w:sz w:val="24"/>
          <w:szCs w:val="24"/>
        </w:rPr>
        <w:t xml:space="preserve">, </w:t>
      </w:r>
      <w:r w:rsidR="00BC3375" w:rsidRPr="00CC0390">
        <w:rPr>
          <w:color w:val="000000"/>
          <w:sz w:val="24"/>
          <w:szCs w:val="24"/>
        </w:rPr>
        <w:t>niektóre rozwiązania normatywne mają zmniejszyć zakres swobody organu przy rozstrzyganiu sprawy na rzecz działania zgodnego z interesem strony.</w:t>
      </w:r>
      <w:r w:rsidR="00BC3375" w:rsidRPr="00CC0390">
        <w:rPr>
          <w:sz w:val="24"/>
          <w:szCs w:val="24"/>
        </w:rPr>
        <w:t xml:space="preserve"> Podkreślił, że u</w:t>
      </w:r>
      <w:r w:rsidR="00BC3375" w:rsidRPr="00CC0390">
        <w:rPr>
          <w:color w:val="000000"/>
          <w:sz w:val="24"/>
          <w:szCs w:val="24"/>
        </w:rPr>
        <w:t xml:space="preserve">zasadnienia dla stosowania „życzliwej wykładni” dopatrywano się przede </w:t>
      </w:r>
      <w:r w:rsidR="00220CAA">
        <w:rPr>
          <w:color w:val="000000"/>
          <w:sz w:val="24"/>
          <w:szCs w:val="24"/>
        </w:rPr>
        <w:t>wszystkim w spoczywającym na or</w:t>
      </w:r>
      <w:r w:rsidR="00BC3375" w:rsidRPr="00CC0390">
        <w:rPr>
          <w:color w:val="000000"/>
          <w:sz w:val="24"/>
          <w:szCs w:val="24"/>
        </w:rPr>
        <w:t>ganie obowiązk</w:t>
      </w:r>
      <w:r w:rsidR="00A94067" w:rsidRPr="00CC0390">
        <w:rPr>
          <w:color w:val="000000"/>
          <w:sz w:val="24"/>
          <w:szCs w:val="24"/>
        </w:rPr>
        <w:t>u</w:t>
      </w:r>
      <w:r w:rsidR="00BC3375" w:rsidRPr="00CC0390">
        <w:rPr>
          <w:color w:val="000000"/>
          <w:sz w:val="24"/>
          <w:szCs w:val="24"/>
        </w:rPr>
        <w:t xml:space="preserve"> wyważania interesu społecznego i słusznego interesu obywatela, w tym ostatnim dostrzegając potrzebę orzekania, w miarę możliwości, z uwzględnieniem interesu strony. Wprowadzon</w:t>
      </w:r>
      <w:r w:rsidR="00583BC8">
        <w:rPr>
          <w:color w:val="000000"/>
          <w:sz w:val="24"/>
          <w:szCs w:val="24"/>
        </w:rPr>
        <w:t>y ustawą z dnia 7 kwietnia 2017 </w:t>
      </w:r>
      <w:r w:rsidR="00BC3375" w:rsidRPr="00CC0390">
        <w:rPr>
          <w:color w:val="000000"/>
          <w:sz w:val="24"/>
          <w:szCs w:val="24"/>
        </w:rPr>
        <w:t xml:space="preserve">r. przepis art. 7a k.p.a. ma w założeniu zapobiegać sytuacji, w której organ, dokonując analizy tekstu </w:t>
      </w:r>
      <w:r w:rsidR="00BC3375" w:rsidRPr="00CC0390">
        <w:rPr>
          <w:color w:val="000000"/>
          <w:sz w:val="24"/>
          <w:szCs w:val="24"/>
        </w:rPr>
        <w:lastRenderedPageBreak/>
        <w:t>prawnego, uzyskuje niejednoznaczny rezultat i wybiera akurat tę wykładnię, która prowadzi do wydania rozstrzygnięcia niekorzys</w:t>
      </w:r>
      <w:r w:rsidR="000C6257" w:rsidRPr="00CC0390">
        <w:rPr>
          <w:color w:val="000000"/>
          <w:sz w:val="24"/>
          <w:szCs w:val="24"/>
        </w:rPr>
        <w:t>tnego z punktu widzenia strony</w:t>
      </w:r>
      <w:r w:rsidR="00BC3375" w:rsidRPr="00CC0390">
        <w:rPr>
          <w:color w:val="000000"/>
          <w:sz w:val="24"/>
          <w:szCs w:val="24"/>
        </w:rPr>
        <w:t>. Co istotne, regulacja ta znajdzie zastosowanie tylko wówczas, gdy prze</w:t>
      </w:r>
      <w:r w:rsidR="00220CAA">
        <w:rPr>
          <w:color w:val="000000"/>
          <w:sz w:val="24"/>
          <w:szCs w:val="24"/>
        </w:rPr>
        <w:t>dmiotem postępowania będzie ode</w:t>
      </w:r>
      <w:r w:rsidR="00BC3375" w:rsidRPr="00CC0390">
        <w:rPr>
          <w:color w:val="000000"/>
          <w:sz w:val="24"/>
          <w:szCs w:val="24"/>
        </w:rPr>
        <w:t>branie lub ograniczenie przysługujących stronie uprawnień bądź też nałożenie na stronę obowiązków.</w:t>
      </w:r>
      <w:r w:rsidR="00A94067" w:rsidRPr="00CC0390">
        <w:rPr>
          <w:color w:val="000000"/>
          <w:sz w:val="24"/>
          <w:szCs w:val="24"/>
        </w:rPr>
        <w:t xml:space="preserve"> </w:t>
      </w:r>
    </w:p>
    <w:p w14:paraId="001F1329" w14:textId="71E390F2" w:rsidR="00400B0C" w:rsidRPr="00CC0390" w:rsidRDefault="00DE1605" w:rsidP="00CC0390">
      <w:pPr>
        <w:pStyle w:val="Teksttreci0"/>
        <w:shd w:val="clear" w:color="auto" w:fill="auto"/>
        <w:tabs>
          <w:tab w:val="left" w:pos="709"/>
        </w:tabs>
        <w:spacing w:before="120" w:after="0" w:line="360" w:lineRule="auto"/>
        <w:ind w:firstLine="0"/>
        <w:rPr>
          <w:sz w:val="24"/>
          <w:szCs w:val="24"/>
        </w:rPr>
      </w:pPr>
      <w:r w:rsidRPr="00CC0390">
        <w:rPr>
          <w:color w:val="000000"/>
          <w:sz w:val="24"/>
          <w:szCs w:val="24"/>
        </w:rPr>
        <w:tab/>
      </w:r>
      <w:r w:rsidR="00C26D29" w:rsidRPr="00CC0390">
        <w:rPr>
          <w:color w:val="000000"/>
          <w:sz w:val="24"/>
          <w:szCs w:val="24"/>
        </w:rPr>
        <w:t xml:space="preserve">Jak wynika z powyższych rozważań, obowiązujące obecnie regulacje u.p.s. wymagają dalszych zmian uwzględniających również uzasadniony interes osób obowiązanych. </w:t>
      </w:r>
      <w:r w:rsidR="00961ACD" w:rsidRPr="00CC0390">
        <w:rPr>
          <w:sz w:val="24"/>
          <w:szCs w:val="24"/>
          <w:lang w:eastAsia="pl-PL"/>
        </w:rPr>
        <w:t xml:space="preserve">W odpowiedzi na </w:t>
      </w:r>
      <w:r w:rsidR="00C26D29" w:rsidRPr="00CC0390">
        <w:rPr>
          <w:sz w:val="24"/>
          <w:szCs w:val="24"/>
          <w:lang w:eastAsia="pl-PL"/>
        </w:rPr>
        <w:t>analogiczne postulaty prezentowane pod rządami ustawy w jej pierwotnym brzmieniu ustawodawca znowelizował art. 64 u.p.s. W</w:t>
      </w:r>
      <w:r w:rsidR="00961ACD" w:rsidRPr="00CC0390">
        <w:rPr>
          <w:sz w:val="24"/>
          <w:szCs w:val="24"/>
          <w:lang w:eastAsia="pl-PL"/>
        </w:rPr>
        <w:t xml:space="preserve"> dniu 4 października 2019 r. weszła w życie ustawa z dnia 19 lipca 2019 r.</w:t>
      </w:r>
      <w:r w:rsidR="00961ACD" w:rsidRPr="00CC0390">
        <w:rPr>
          <w:rStyle w:val="Pogrubienie"/>
          <w:sz w:val="24"/>
          <w:szCs w:val="24"/>
        </w:rPr>
        <w:t xml:space="preserve"> </w:t>
      </w:r>
      <w:r w:rsidR="002569D0" w:rsidRPr="00CC0390">
        <w:rPr>
          <w:rStyle w:val="Pogrubienie"/>
          <w:b w:val="0"/>
          <w:sz w:val="24"/>
          <w:szCs w:val="24"/>
        </w:rPr>
        <w:t>o zmianie ustawy</w:t>
      </w:r>
      <w:r w:rsidR="00CC0390">
        <w:rPr>
          <w:rStyle w:val="Pogrubienie"/>
          <w:b w:val="0"/>
          <w:sz w:val="24"/>
          <w:szCs w:val="24"/>
        </w:rPr>
        <w:t xml:space="preserve"> </w:t>
      </w:r>
      <w:r w:rsidR="00961ACD" w:rsidRPr="00CC0390">
        <w:rPr>
          <w:rStyle w:val="Pogrubienie"/>
          <w:b w:val="0"/>
          <w:sz w:val="24"/>
          <w:szCs w:val="24"/>
        </w:rPr>
        <w:t>o pomocy społecznej oraz ustawy o ochronie zdrowia psychicznego</w:t>
      </w:r>
      <w:r w:rsidR="00EF4EA8">
        <w:rPr>
          <w:rStyle w:val="Pogrubienie"/>
          <w:b w:val="0"/>
          <w:sz w:val="24"/>
          <w:szCs w:val="24"/>
        </w:rPr>
        <w:t xml:space="preserve"> </w:t>
      </w:r>
      <w:r w:rsidR="00C26D29" w:rsidRPr="00CC0390">
        <w:rPr>
          <w:sz w:val="24"/>
          <w:szCs w:val="24"/>
          <w:lang w:eastAsia="pl-PL"/>
        </w:rPr>
        <w:t>rozszerzająca katalog</w:t>
      </w:r>
      <w:r w:rsidR="00961ACD" w:rsidRPr="00CC0390">
        <w:rPr>
          <w:sz w:val="24"/>
          <w:szCs w:val="24"/>
          <w:lang w:eastAsia="pl-PL"/>
        </w:rPr>
        <w:t xml:space="preserve"> osób, które mogą ubiegać się o całkowite lub częściowe zwolnienie z odpłatności za pobyt mieszkańca</w:t>
      </w:r>
      <w:r w:rsidR="00D64EF2" w:rsidRPr="00CC0390">
        <w:rPr>
          <w:sz w:val="24"/>
          <w:szCs w:val="24"/>
          <w:lang w:eastAsia="pl-PL"/>
        </w:rPr>
        <w:t xml:space="preserve"> w DPS. Do istniejącego wówczas</w:t>
      </w:r>
      <w:r w:rsidR="00CC0390">
        <w:rPr>
          <w:sz w:val="24"/>
          <w:szCs w:val="24"/>
          <w:lang w:eastAsia="pl-PL"/>
        </w:rPr>
        <w:t xml:space="preserve"> </w:t>
      </w:r>
      <w:r w:rsidR="00961ACD" w:rsidRPr="00CC0390">
        <w:rPr>
          <w:sz w:val="24"/>
          <w:szCs w:val="24"/>
          <w:lang w:eastAsia="pl-PL"/>
        </w:rPr>
        <w:t>w art. 64 katalogu osób, które organ mógł zwolnić całkowicie lub częściowo z odpłatności</w:t>
      </w:r>
      <w:r w:rsidR="00220CAA">
        <w:rPr>
          <w:sz w:val="24"/>
          <w:szCs w:val="24"/>
          <w:lang w:eastAsia="pl-PL"/>
        </w:rPr>
        <w:t>,</w:t>
      </w:r>
      <w:r w:rsidR="00961ACD" w:rsidRPr="00CC0390">
        <w:rPr>
          <w:sz w:val="24"/>
          <w:szCs w:val="24"/>
          <w:lang w:eastAsia="pl-PL"/>
        </w:rPr>
        <w:t xml:space="preserve"> dodano – w pkt 5 i 6 – możliwość ubiegania się o takie zwolnienie, jeśli osoba obowiązana do wnoszenia opłaty lub jej rodzic przebywała w rodzinie zastępczej, rodzinnym domu dziecka lub placówce opiekuńczo-wychowawczej, na podstawie orzeczenia sądu o ograniczeniu władzy rodzicielskiej osobie kierowanej do domu pomocy społecznej lub mieszkańcowi domu oraz osoba obowiązana do wnoszenia opłaty przedstawi wyrok sądu oddalający powództwo o alimenty na rzecz osoby kierowanej do domu pomocy społecznej lub m</w:t>
      </w:r>
      <w:r w:rsidR="00D64EF2" w:rsidRPr="00CC0390">
        <w:rPr>
          <w:sz w:val="24"/>
          <w:szCs w:val="24"/>
          <w:lang w:eastAsia="pl-PL"/>
        </w:rPr>
        <w:t>ieszkańca domu. Zmieniono także</w:t>
      </w:r>
      <w:r w:rsidR="00CC0390">
        <w:rPr>
          <w:sz w:val="24"/>
          <w:szCs w:val="24"/>
          <w:lang w:eastAsia="pl-PL"/>
        </w:rPr>
        <w:t xml:space="preserve"> </w:t>
      </w:r>
      <w:r w:rsidR="00961ACD" w:rsidRPr="00CC0390">
        <w:rPr>
          <w:sz w:val="24"/>
          <w:szCs w:val="24"/>
          <w:lang w:eastAsia="pl-PL"/>
        </w:rPr>
        <w:t>art. 64a</w:t>
      </w:r>
      <w:r w:rsidR="00220CAA">
        <w:rPr>
          <w:sz w:val="24"/>
          <w:szCs w:val="24"/>
          <w:lang w:eastAsia="pl-PL"/>
        </w:rPr>
        <w:t>,</w:t>
      </w:r>
      <w:r w:rsidR="00961ACD" w:rsidRPr="00CC0390">
        <w:rPr>
          <w:sz w:val="24"/>
          <w:szCs w:val="24"/>
          <w:lang w:eastAsia="pl-PL"/>
        </w:rPr>
        <w:t xml:space="preserve"> wskazując dodatkowo, że o</w:t>
      </w:r>
      <w:r w:rsidR="00961ACD" w:rsidRPr="00CC0390">
        <w:rPr>
          <w:sz w:val="24"/>
          <w:szCs w:val="24"/>
        </w:rPr>
        <w:t>sobę obowiązaną do wnoszenia opłaty za pobyt mieszkańca domu w DPS zwalnia się całkowicie z tej opłaty, na jej wniosek, pod warunkiem że przedstawi prawomocne orzeczenie sądu o prawomocne orzeczenie sądu o skazaniu za umyślne przestępstwo popełnione z użyciem przemocy na szkodę osoby obowiązanej do wnoszenia opłaty, jej małoletniego rodzeństwa lub jej rodzica. Przepisem dotyczącym zwolnień objęto także zstępnych osoby zwolnionej z opłaty za pobyt mieszkańca domu w DPS.</w:t>
      </w:r>
      <w:r w:rsidR="007C0552" w:rsidRPr="00CC0390">
        <w:rPr>
          <w:sz w:val="24"/>
          <w:szCs w:val="24"/>
        </w:rPr>
        <w:t xml:space="preserve"> </w:t>
      </w:r>
    </w:p>
    <w:p w14:paraId="432EAFA3" w14:textId="6D2AB7AE" w:rsidR="00400B0C" w:rsidRPr="00CC0390" w:rsidRDefault="00400B0C" w:rsidP="00CC0390">
      <w:pPr>
        <w:pStyle w:val="Teksttreci0"/>
        <w:shd w:val="clear" w:color="auto" w:fill="auto"/>
        <w:tabs>
          <w:tab w:val="left" w:pos="709"/>
        </w:tabs>
        <w:spacing w:before="120" w:after="0" w:line="360" w:lineRule="auto"/>
        <w:ind w:firstLine="0"/>
        <w:rPr>
          <w:sz w:val="24"/>
          <w:szCs w:val="24"/>
        </w:rPr>
      </w:pPr>
      <w:r w:rsidRPr="00CC0390">
        <w:rPr>
          <w:sz w:val="24"/>
          <w:szCs w:val="24"/>
        </w:rPr>
        <w:tab/>
      </w:r>
      <w:r w:rsidR="007C0552" w:rsidRPr="00CC0390">
        <w:rPr>
          <w:sz w:val="24"/>
          <w:szCs w:val="24"/>
        </w:rPr>
        <w:t xml:space="preserve">Jak zaznaczył Naczelny Sąd Administracyjny w wyroku </w:t>
      </w:r>
      <w:r w:rsidR="00267394" w:rsidRPr="00CC0390">
        <w:rPr>
          <w:sz w:val="24"/>
          <w:szCs w:val="24"/>
        </w:rPr>
        <w:t xml:space="preserve">z dnia 27 listopada 2019 r., sygn. </w:t>
      </w:r>
      <w:r w:rsidR="007C0552" w:rsidRPr="00CC0390">
        <w:rPr>
          <w:sz w:val="24"/>
          <w:szCs w:val="24"/>
        </w:rPr>
        <w:t>I OSK 1861/19</w:t>
      </w:r>
      <w:r w:rsidR="00267394" w:rsidRPr="00CC0390">
        <w:rPr>
          <w:sz w:val="24"/>
          <w:szCs w:val="24"/>
        </w:rPr>
        <w:t>, z</w:t>
      </w:r>
      <w:r w:rsidR="007C0552" w:rsidRPr="00CC0390">
        <w:rPr>
          <w:sz w:val="24"/>
          <w:szCs w:val="24"/>
        </w:rPr>
        <w:t>miany wprowadzane od 4 października 2019 r. wskazują, że ustawodawca dostrzega konieczność uwzględnienia przy nakładaniu obowiązku ponoszenia opłat za pobyt w domu pomocy społecznej relacji pomiędzy jego pensjonariuszem a osobą zobowiązaną.</w:t>
      </w:r>
      <w:r w:rsidR="00267394" w:rsidRPr="00CC0390">
        <w:rPr>
          <w:sz w:val="24"/>
          <w:szCs w:val="24"/>
        </w:rPr>
        <w:t xml:space="preserve"> W wyroku przedmiotowym przywołano także wyrok </w:t>
      </w:r>
      <w:r w:rsidR="007C0552" w:rsidRPr="00CC0390">
        <w:rPr>
          <w:sz w:val="24"/>
          <w:szCs w:val="24"/>
        </w:rPr>
        <w:t xml:space="preserve">NSA z </w:t>
      </w:r>
      <w:r w:rsidR="00267394" w:rsidRPr="00CC0390">
        <w:rPr>
          <w:sz w:val="24"/>
          <w:szCs w:val="24"/>
        </w:rPr>
        <w:t xml:space="preserve">dnia </w:t>
      </w:r>
      <w:r w:rsidR="007C0552" w:rsidRPr="00CC0390">
        <w:rPr>
          <w:sz w:val="24"/>
          <w:szCs w:val="24"/>
        </w:rPr>
        <w:t>23 października 2018 r., I OSK 2776/17</w:t>
      </w:r>
      <w:r w:rsidR="00267394" w:rsidRPr="00CC0390">
        <w:rPr>
          <w:sz w:val="24"/>
          <w:szCs w:val="24"/>
        </w:rPr>
        <w:t xml:space="preserve">, w którym wskazano, że </w:t>
      </w:r>
      <w:r w:rsidR="007C0552" w:rsidRPr="00CC0390">
        <w:rPr>
          <w:sz w:val="24"/>
          <w:szCs w:val="24"/>
        </w:rPr>
        <w:t>NSA podziela stanowisko wyrażone przez sąd pierwszej instancji, iż powody, na które wskazują skarżący (postawa ojca wobec nich oraz brak wsparcia finansowego)</w:t>
      </w:r>
      <w:r w:rsidR="00F77E4D">
        <w:rPr>
          <w:sz w:val="24"/>
          <w:szCs w:val="24"/>
        </w:rPr>
        <w:t>,</w:t>
      </w:r>
      <w:r w:rsidR="007C0552" w:rsidRPr="00CC0390">
        <w:rPr>
          <w:sz w:val="24"/>
          <w:szCs w:val="24"/>
        </w:rPr>
        <w:t xml:space="preserve"> mogą być brane pod uwagę przy wydawaniu uznaniowej decyzji w prze</w:t>
      </w:r>
      <w:r w:rsidR="00267394" w:rsidRPr="00CC0390">
        <w:rPr>
          <w:sz w:val="24"/>
          <w:szCs w:val="24"/>
        </w:rPr>
        <w:t xml:space="preserve">dmiocie zwolnienia z opłaty. </w:t>
      </w:r>
    </w:p>
    <w:p w14:paraId="7114CC57" w14:textId="0390AFF8" w:rsidR="00117085" w:rsidRPr="00CC0390" w:rsidRDefault="00400B0C" w:rsidP="00CC0390">
      <w:pPr>
        <w:pStyle w:val="Teksttreci0"/>
        <w:shd w:val="clear" w:color="auto" w:fill="auto"/>
        <w:tabs>
          <w:tab w:val="left" w:pos="709"/>
        </w:tabs>
        <w:spacing w:before="120" w:after="0" w:line="360" w:lineRule="auto"/>
        <w:ind w:firstLine="0"/>
        <w:rPr>
          <w:color w:val="000000"/>
          <w:sz w:val="24"/>
          <w:szCs w:val="24"/>
        </w:rPr>
      </w:pPr>
      <w:r w:rsidRPr="00CC0390">
        <w:rPr>
          <w:sz w:val="24"/>
          <w:szCs w:val="24"/>
        </w:rPr>
        <w:lastRenderedPageBreak/>
        <w:tab/>
      </w:r>
      <w:r w:rsidR="0005641C" w:rsidRPr="00CC0390">
        <w:rPr>
          <w:sz w:val="24"/>
          <w:szCs w:val="24"/>
        </w:rPr>
        <w:t xml:space="preserve">Należy wyraźnie </w:t>
      </w:r>
      <w:r w:rsidR="0036031B" w:rsidRPr="00CC0390">
        <w:rPr>
          <w:sz w:val="24"/>
          <w:szCs w:val="24"/>
        </w:rPr>
        <w:t>skonstatować</w:t>
      </w:r>
      <w:r w:rsidR="0005641C" w:rsidRPr="00CC0390">
        <w:rPr>
          <w:sz w:val="24"/>
          <w:szCs w:val="24"/>
        </w:rPr>
        <w:t xml:space="preserve">, iż dotychczas wprowadzone w u.p.s. zmiany nie są </w:t>
      </w:r>
      <w:r w:rsidRPr="00CC0390">
        <w:rPr>
          <w:sz w:val="24"/>
          <w:szCs w:val="24"/>
        </w:rPr>
        <w:t xml:space="preserve">wystarczające dla </w:t>
      </w:r>
      <w:r w:rsidR="00F4181C" w:rsidRPr="00CC0390">
        <w:rPr>
          <w:sz w:val="24"/>
          <w:szCs w:val="24"/>
        </w:rPr>
        <w:t>ochrony uzasadnionego</w:t>
      </w:r>
      <w:r w:rsidRPr="00CC0390">
        <w:rPr>
          <w:sz w:val="24"/>
          <w:szCs w:val="24"/>
        </w:rPr>
        <w:t xml:space="preserve"> interes</w:t>
      </w:r>
      <w:r w:rsidR="00F4181C" w:rsidRPr="00CC0390">
        <w:rPr>
          <w:sz w:val="24"/>
          <w:szCs w:val="24"/>
        </w:rPr>
        <w:t>u</w:t>
      </w:r>
      <w:r w:rsidRPr="00CC0390">
        <w:rPr>
          <w:sz w:val="24"/>
          <w:szCs w:val="24"/>
        </w:rPr>
        <w:t xml:space="preserve"> </w:t>
      </w:r>
      <w:r w:rsidR="00F4181C" w:rsidRPr="00CC0390">
        <w:rPr>
          <w:sz w:val="24"/>
          <w:szCs w:val="24"/>
        </w:rPr>
        <w:t xml:space="preserve">osób obowiązanych do ponoszenia opłaty i </w:t>
      </w:r>
      <w:r w:rsidR="0036031B" w:rsidRPr="00CC0390">
        <w:rPr>
          <w:sz w:val="24"/>
          <w:szCs w:val="24"/>
        </w:rPr>
        <w:t>środków ich</w:t>
      </w:r>
      <w:r w:rsidR="00F4181C" w:rsidRPr="00CC0390">
        <w:rPr>
          <w:sz w:val="24"/>
          <w:szCs w:val="24"/>
        </w:rPr>
        <w:t xml:space="preserve"> </w:t>
      </w:r>
      <w:r w:rsidRPr="00CC0390">
        <w:rPr>
          <w:sz w:val="24"/>
          <w:szCs w:val="24"/>
        </w:rPr>
        <w:t xml:space="preserve">utrzymania przed żądaniem niezasługującym na </w:t>
      </w:r>
      <w:r w:rsidR="00F4181C" w:rsidRPr="00CC0390">
        <w:rPr>
          <w:sz w:val="24"/>
          <w:szCs w:val="24"/>
        </w:rPr>
        <w:t>uwzględnienie</w:t>
      </w:r>
      <w:r w:rsidRPr="00CC0390">
        <w:rPr>
          <w:sz w:val="24"/>
          <w:szCs w:val="24"/>
        </w:rPr>
        <w:t>.</w:t>
      </w:r>
      <w:r w:rsidR="0005641C" w:rsidRPr="00CC0390">
        <w:rPr>
          <w:sz w:val="24"/>
          <w:szCs w:val="24"/>
        </w:rPr>
        <w:t xml:space="preserve"> </w:t>
      </w:r>
      <w:r w:rsidR="00117085" w:rsidRPr="00CC0390">
        <w:rPr>
          <w:sz w:val="24"/>
          <w:szCs w:val="24"/>
        </w:rPr>
        <w:t xml:space="preserve">Art. 64 </w:t>
      </w:r>
      <w:r w:rsidR="0005641C" w:rsidRPr="00CC0390">
        <w:rPr>
          <w:sz w:val="24"/>
          <w:szCs w:val="24"/>
        </w:rPr>
        <w:t xml:space="preserve">u.p.s. </w:t>
      </w:r>
      <w:r w:rsidR="00117085" w:rsidRPr="00CC0390">
        <w:rPr>
          <w:sz w:val="24"/>
          <w:szCs w:val="24"/>
        </w:rPr>
        <w:t>przewiduje fakultatywne zwolnienie z opłaty</w:t>
      </w:r>
      <w:r w:rsidR="00010695" w:rsidRPr="00CC0390">
        <w:rPr>
          <w:sz w:val="24"/>
          <w:szCs w:val="24"/>
        </w:rPr>
        <w:t>, wskazując, że zwolnienie z opłaty może nastąpić</w:t>
      </w:r>
      <w:r w:rsidR="00117085" w:rsidRPr="00CC0390">
        <w:rPr>
          <w:sz w:val="24"/>
          <w:szCs w:val="24"/>
        </w:rPr>
        <w:t xml:space="preserve"> „</w:t>
      </w:r>
      <w:r w:rsidR="0036031B" w:rsidRPr="00CC0390">
        <w:rPr>
          <w:sz w:val="24"/>
          <w:szCs w:val="24"/>
        </w:rPr>
        <w:t>w szczególności jeżeli występują</w:t>
      </w:r>
      <w:r w:rsidR="00117085" w:rsidRPr="00CC0390">
        <w:rPr>
          <w:sz w:val="24"/>
          <w:szCs w:val="24"/>
        </w:rPr>
        <w:t xml:space="preserve"> uzasadnione okoliczności, zwłaszcza długotrwała choroba, bezrobocie, niepełnosprawność, śmierć członka </w:t>
      </w:r>
      <w:r w:rsidR="00117085" w:rsidRPr="00CC0390">
        <w:rPr>
          <w:color w:val="000000"/>
          <w:sz w:val="24"/>
          <w:szCs w:val="24"/>
        </w:rPr>
        <w:t>rodziny, straty materialne powstałe w wyniku klęski żywiołowej lub innych zdarzeń losowych”. Oznacza to, że formułuje „podwójnie otwarty” katalog podstaw zwolnienia:</w:t>
      </w:r>
    </w:p>
    <w:p w14:paraId="45F022D0" w14:textId="77777777" w:rsidR="00117085" w:rsidRPr="00CC0390" w:rsidRDefault="00117085" w:rsidP="00CC0390">
      <w:pPr>
        <w:pStyle w:val="Akapitzlist"/>
        <w:numPr>
          <w:ilvl w:val="0"/>
          <w:numId w:val="19"/>
        </w:numPr>
        <w:spacing w:before="120" w:after="0" w:line="360" w:lineRule="auto"/>
        <w:jc w:val="both"/>
        <w:rPr>
          <w:rFonts w:ascii="Times New Roman" w:hAnsi="Times New Roman"/>
          <w:color w:val="000000"/>
          <w:sz w:val="24"/>
          <w:szCs w:val="24"/>
        </w:rPr>
      </w:pPr>
      <w:r w:rsidRPr="00CC0390">
        <w:rPr>
          <w:rFonts w:ascii="Times New Roman" w:hAnsi="Times New Roman"/>
          <w:color w:val="000000"/>
          <w:sz w:val="24"/>
          <w:szCs w:val="24"/>
        </w:rPr>
        <w:t>wśród których wymienia wprost co do zasady tylko sytuacje skrajnego narażenia życia lub zdrowia zobowiązanego;</w:t>
      </w:r>
    </w:p>
    <w:p w14:paraId="28744D1F" w14:textId="77777777" w:rsidR="00117085" w:rsidRPr="00CC0390" w:rsidRDefault="00117085" w:rsidP="00CC0390">
      <w:pPr>
        <w:pStyle w:val="Akapitzlist"/>
        <w:numPr>
          <w:ilvl w:val="0"/>
          <w:numId w:val="19"/>
        </w:numPr>
        <w:spacing w:before="120" w:after="0" w:line="360" w:lineRule="auto"/>
        <w:jc w:val="both"/>
        <w:rPr>
          <w:rFonts w:ascii="Times New Roman" w:hAnsi="Times New Roman"/>
          <w:color w:val="000000"/>
          <w:sz w:val="24"/>
          <w:szCs w:val="24"/>
        </w:rPr>
      </w:pPr>
      <w:r w:rsidRPr="00CC0390">
        <w:rPr>
          <w:rFonts w:ascii="Times New Roman" w:hAnsi="Times New Roman"/>
          <w:color w:val="000000"/>
          <w:sz w:val="24"/>
          <w:szCs w:val="24"/>
        </w:rPr>
        <w:t>co pozwala na niczym nieograniczoną swobodę rozstrzygania o sytuacji finansowej i życiowej osoby zobowiązanej przez pracownika socjalnego.</w:t>
      </w:r>
    </w:p>
    <w:p w14:paraId="10BF63A6" w14:textId="77777777" w:rsidR="00117085" w:rsidRPr="00CC0390" w:rsidRDefault="00117085" w:rsidP="00CC0390">
      <w:pPr>
        <w:spacing w:before="120" w:after="0" w:line="360" w:lineRule="auto"/>
        <w:jc w:val="both"/>
        <w:rPr>
          <w:rFonts w:ascii="Times New Roman" w:hAnsi="Times New Roman" w:cs="Times New Roman"/>
          <w:color w:val="000000"/>
          <w:sz w:val="24"/>
          <w:szCs w:val="24"/>
        </w:rPr>
      </w:pPr>
      <w:r w:rsidRPr="00CC0390">
        <w:rPr>
          <w:rFonts w:ascii="Times New Roman" w:hAnsi="Times New Roman" w:cs="Times New Roman"/>
          <w:color w:val="000000"/>
          <w:sz w:val="24"/>
          <w:szCs w:val="24"/>
        </w:rPr>
        <w:t>Przyczyny (wskazane w szczególności i zwłaszcza) to:</w:t>
      </w:r>
    </w:p>
    <w:p w14:paraId="195E926D" w14:textId="77777777" w:rsidR="00010695" w:rsidRPr="00CC0390" w:rsidRDefault="00D44375" w:rsidP="00CC0390">
      <w:pPr>
        <w:pStyle w:val="Akapitzlist"/>
        <w:numPr>
          <w:ilvl w:val="0"/>
          <w:numId w:val="20"/>
        </w:numPr>
        <w:spacing w:before="120" w:after="0" w:line="360" w:lineRule="auto"/>
        <w:contextualSpacing/>
        <w:jc w:val="both"/>
        <w:rPr>
          <w:rFonts w:ascii="Times New Roman" w:hAnsi="Times New Roman"/>
          <w:color w:val="000000"/>
          <w:sz w:val="24"/>
          <w:szCs w:val="24"/>
        </w:rPr>
      </w:pPr>
      <w:r w:rsidRPr="00CC0390">
        <w:rPr>
          <w:rFonts w:ascii="Times New Roman" w:hAnsi="Times New Roman"/>
          <w:color w:val="000000"/>
          <w:sz w:val="24"/>
          <w:szCs w:val="24"/>
        </w:rPr>
        <w:t xml:space="preserve">ponoszenie </w:t>
      </w:r>
      <w:r w:rsidR="00117085" w:rsidRPr="00CC0390">
        <w:rPr>
          <w:rFonts w:ascii="Times New Roman" w:hAnsi="Times New Roman"/>
          <w:color w:val="000000"/>
          <w:sz w:val="24"/>
          <w:szCs w:val="24"/>
        </w:rPr>
        <w:t>już opłaty za innego pensjonariusza DPS;</w:t>
      </w:r>
    </w:p>
    <w:p w14:paraId="5C241F23" w14:textId="77777777" w:rsidR="00010695" w:rsidRPr="00CC0390" w:rsidRDefault="00117085" w:rsidP="00CC0390">
      <w:pPr>
        <w:pStyle w:val="Akapitzlist"/>
        <w:numPr>
          <w:ilvl w:val="0"/>
          <w:numId w:val="20"/>
        </w:numPr>
        <w:spacing w:before="120" w:after="0" w:line="360" w:lineRule="auto"/>
        <w:contextualSpacing/>
        <w:jc w:val="both"/>
        <w:rPr>
          <w:rFonts w:ascii="Times New Roman" w:hAnsi="Times New Roman"/>
          <w:color w:val="000000"/>
          <w:sz w:val="24"/>
          <w:szCs w:val="24"/>
        </w:rPr>
      </w:pPr>
      <w:r w:rsidRPr="00CC0390">
        <w:rPr>
          <w:rFonts w:ascii="Times New Roman" w:hAnsi="Times New Roman"/>
          <w:color w:val="000000"/>
          <w:sz w:val="24"/>
          <w:szCs w:val="24"/>
        </w:rPr>
        <w:t>ww. uzasadnione okoliczności;</w:t>
      </w:r>
    </w:p>
    <w:p w14:paraId="70CB5CC0" w14:textId="77777777" w:rsidR="00010695" w:rsidRPr="00CC0390" w:rsidRDefault="00117085" w:rsidP="00CC0390">
      <w:pPr>
        <w:pStyle w:val="Akapitzlist"/>
        <w:numPr>
          <w:ilvl w:val="0"/>
          <w:numId w:val="20"/>
        </w:numPr>
        <w:spacing w:before="120" w:after="0" w:line="360" w:lineRule="auto"/>
        <w:contextualSpacing/>
        <w:jc w:val="both"/>
        <w:rPr>
          <w:rFonts w:ascii="Times New Roman" w:hAnsi="Times New Roman"/>
          <w:color w:val="000000"/>
          <w:sz w:val="24"/>
          <w:szCs w:val="24"/>
        </w:rPr>
      </w:pPr>
      <w:r w:rsidRPr="00CC0390">
        <w:rPr>
          <w:rFonts w:ascii="Times New Roman" w:hAnsi="Times New Roman"/>
          <w:color w:val="000000"/>
          <w:sz w:val="24"/>
          <w:szCs w:val="24"/>
        </w:rPr>
        <w:t>utrzymywanie się z jedneg</w:t>
      </w:r>
      <w:r w:rsidR="00010695" w:rsidRPr="00CC0390">
        <w:rPr>
          <w:rFonts w:ascii="Times New Roman" w:hAnsi="Times New Roman"/>
          <w:color w:val="000000"/>
          <w:sz w:val="24"/>
          <w:szCs w:val="24"/>
        </w:rPr>
        <w:t>o świadczenia lub wynagrodzenia;</w:t>
      </w:r>
    </w:p>
    <w:p w14:paraId="44B22630" w14:textId="77777777" w:rsidR="00010695" w:rsidRPr="00CC0390" w:rsidRDefault="00117085" w:rsidP="00CC0390">
      <w:pPr>
        <w:pStyle w:val="Akapitzlist"/>
        <w:numPr>
          <w:ilvl w:val="0"/>
          <w:numId w:val="20"/>
        </w:numPr>
        <w:spacing w:before="120" w:after="0" w:line="360" w:lineRule="auto"/>
        <w:contextualSpacing/>
        <w:jc w:val="both"/>
        <w:rPr>
          <w:rFonts w:ascii="Times New Roman" w:hAnsi="Times New Roman"/>
          <w:color w:val="000000"/>
          <w:sz w:val="24"/>
          <w:szCs w:val="24"/>
        </w:rPr>
      </w:pPr>
      <w:r w:rsidRPr="00CC0390">
        <w:rPr>
          <w:rFonts w:ascii="Times New Roman" w:hAnsi="Times New Roman"/>
          <w:color w:val="000000"/>
          <w:sz w:val="24"/>
          <w:szCs w:val="24"/>
        </w:rPr>
        <w:t>ciąża zobowiązanego lub samotne wychowywanie dziecka;</w:t>
      </w:r>
    </w:p>
    <w:p w14:paraId="016FE3C5" w14:textId="77777777" w:rsidR="00010695" w:rsidRPr="00CC0390" w:rsidRDefault="00117085" w:rsidP="00CC0390">
      <w:pPr>
        <w:pStyle w:val="Akapitzlist"/>
        <w:numPr>
          <w:ilvl w:val="0"/>
          <w:numId w:val="20"/>
        </w:numPr>
        <w:spacing w:before="120" w:after="0" w:line="360" w:lineRule="auto"/>
        <w:contextualSpacing/>
        <w:jc w:val="both"/>
        <w:rPr>
          <w:rFonts w:ascii="Times New Roman" w:hAnsi="Times New Roman"/>
          <w:color w:val="000000"/>
          <w:sz w:val="24"/>
          <w:szCs w:val="24"/>
        </w:rPr>
      </w:pPr>
      <w:r w:rsidRPr="00CC0390">
        <w:rPr>
          <w:rFonts w:ascii="Times New Roman" w:hAnsi="Times New Roman"/>
          <w:color w:val="000000"/>
          <w:sz w:val="24"/>
          <w:szCs w:val="24"/>
        </w:rPr>
        <w:t>ograniczenie władzy rodzicielskiej pensjonariuszowi DPS;</w:t>
      </w:r>
    </w:p>
    <w:p w14:paraId="3C81B85C" w14:textId="77777777" w:rsidR="00117085" w:rsidRPr="00CC0390" w:rsidRDefault="00117085" w:rsidP="00CC0390">
      <w:pPr>
        <w:pStyle w:val="Akapitzlist"/>
        <w:numPr>
          <w:ilvl w:val="0"/>
          <w:numId w:val="20"/>
        </w:numPr>
        <w:spacing w:before="120" w:after="0" w:line="360" w:lineRule="auto"/>
        <w:contextualSpacing/>
        <w:jc w:val="both"/>
        <w:rPr>
          <w:rFonts w:ascii="Times New Roman" w:hAnsi="Times New Roman"/>
          <w:color w:val="000000"/>
          <w:sz w:val="24"/>
          <w:szCs w:val="24"/>
        </w:rPr>
      </w:pPr>
      <w:r w:rsidRPr="00CC0390">
        <w:rPr>
          <w:rFonts w:ascii="Times New Roman" w:hAnsi="Times New Roman"/>
          <w:color w:val="000000"/>
          <w:sz w:val="24"/>
          <w:szCs w:val="24"/>
        </w:rPr>
        <w:t>wyrok sądu oddalający powództwo o alimenty na rzecz pensjonariusza DPS.</w:t>
      </w:r>
    </w:p>
    <w:p w14:paraId="578A7950" w14:textId="017773C2" w:rsidR="00010695" w:rsidRPr="00CC0390" w:rsidRDefault="00117085" w:rsidP="00CC0390">
      <w:pPr>
        <w:spacing w:before="120" w:after="0" w:line="360" w:lineRule="auto"/>
        <w:ind w:firstLine="708"/>
        <w:jc w:val="both"/>
        <w:rPr>
          <w:rFonts w:ascii="Times New Roman" w:hAnsi="Times New Roman" w:cs="Times New Roman"/>
          <w:color w:val="000000"/>
          <w:sz w:val="24"/>
          <w:szCs w:val="24"/>
        </w:rPr>
      </w:pPr>
      <w:r w:rsidRPr="00CC0390">
        <w:rPr>
          <w:rFonts w:ascii="Times New Roman" w:hAnsi="Times New Roman" w:cs="Times New Roman"/>
          <w:color w:val="000000"/>
          <w:sz w:val="24"/>
          <w:szCs w:val="24"/>
        </w:rPr>
        <w:t xml:space="preserve">Art. 64a </w:t>
      </w:r>
      <w:r w:rsidR="00010695" w:rsidRPr="00CC0390">
        <w:rPr>
          <w:rFonts w:ascii="Times New Roman" w:hAnsi="Times New Roman" w:cs="Times New Roman"/>
          <w:color w:val="000000"/>
          <w:sz w:val="24"/>
          <w:szCs w:val="24"/>
        </w:rPr>
        <w:t>u.p.s.</w:t>
      </w:r>
      <w:r w:rsidRPr="00CC0390">
        <w:rPr>
          <w:rFonts w:ascii="Times New Roman" w:hAnsi="Times New Roman" w:cs="Times New Roman"/>
          <w:color w:val="000000"/>
          <w:sz w:val="24"/>
          <w:szCs w:val="24"/>
        </w:rPr>
        <w:t xml:space="preserve"> przewiduje zaś obligatoryjne zwolnienie z opłaty w przypadku pozbawienia władzy rodzicielskiej pensjonariusza DPS oraz skazania pensjonariusza DPS za umyślne przestępstwo popełnione z użyciem przemocy na szkodę osoby obowiązanej do opłaty.</w:t>
      </w:r>
      <w:r w:rsidR="00010695" w:rsidRPr="00CC0390">
        <w:rPr>
          <w:rFonts w:ascii="Times New Roman" w:hAnsi="Times New Roman" w:cs="Times New Roman"/>
          <w:color w:val="000000"/>
          <w:sz w:val="24"/>
          <w:szCs w:val="24"/>
        </w:rPr>
        <w:t xml:space="preserve"> </w:t>
      </w:r>
    </w:p>
    <w:p w14:paraId="765CD9D6" w14:textId="58C3FC27" w:rsidR="00117085" w:rsidRPr="00CC0390" w:rsidRDefault="00117085" w:rsidP="00CC0390">
      <w:pPr>
        <w:spacing w:before="120" w:after="0" w:line="360" w:lineRule="auto"/>
        <w:ind w:firstLine="708"/>
        <w:jc w:val="both"/>
        <w:rPr>
          <w:rFonts w:ascii="Times New Roman" w:hAnsi="Times New Roman" w:cs="Times New Roman"/>
          <w:color w:val="000000"/>
          <w:sz w:val="24"/>
          <w:szCs w:val="24"/>
        </w:rPr>
      </w:pPr>
      <w:r w:rsidRPr="00CC0390">
        <w:rPr>
          <w:rFonts w:ascii="Times New Roman" w:hAnsi="Times New Roman" w:cs="Times New Roman"/>
          <w:sz w:val="24"/>
          <w:szCs w:val="24"/>
        </w:rPr>
        <w:t>Podstawy zwolnienia nie stanowią wyraźnej przyczyny zwolnienia zobowiązanego z opłaty nawet wtedy, gdy pensjonariusz DPS (często tylko formalnie rodzic zobowiązanego) dopuszczał się wobec niego nadużyć (niestwierdzonych prawomocnym wyrokiem sądu jako przestępstwo z użyciem przemocy na szkodę zobowiązanego), zaniedbań lub w ogóle nie był w jego życiu obecny. Przewidziany wprost wśród ustawowych podstaw wyrok stwierdzający przestępstwo z użyciem przemocy i wyrok o pozbawieniu władzy rodzicielskiej abstrahuje od zawinionego działania „rodzica” pensjonariusza DPS na szkodę osoby zobowiązanej, np. sytuacji, gdy drugi z rodziców zobowiązanego w okresie jego małoletności, w związku z traumatycznym przebiegiem relacji z nim i z uwagi na dobro dziecka</w:t>
      </w:r>
      <w:r w:rsidR="00F77E4D">
        <w:rPr>
          <w:rFonts w:ascii="Times New Roman" w:hAnsi="Times New Roman" w:cs="Times New Roman"/>
          <w:sz w:val="24"/>
          <w:szCs w:val="24"/>
        </w:rPr>
        <w:t>,</w:t>
      </w:r>
      <w:r w:rsidRPr="00CC0390">
        <w:rPr>
          <w:rFonts w:ascii="Times New Roman" w:hAnsi="Times New Roman" w:cs="Times New Roman"/>
          <w:sz w:val="24"/>
          <w:szCs w:val="24"/>
        </w:rPr>
        <w:t xml:space="preserve"> nie podejmuje starań o uzyskanie prawomocnego orzeczenia sądu karnego o przestępstwie </w:t>
      </w:r>
      <w:r w:rsidRPr="00CC0390">
        <w:rPr>
          <w:rFonts w:ascii="Times New Roman" w:hAnsi="Times New Roman" w:cs="Times New Roman"/>
          <w:sz w:val="24"/>
          <w:szCs w:val="24"/>
        </w:rPr>
        <w:lastRenderedPageBreak/>
        <w:t xml:space="preserve">znęcania się lub orzeczenia o pozbawieniu władzy rodzicielskiej, zamiast tego salwując się z dzieckiem (dzisiaj zobowiązanych do ponoszenia opłaty) ucieczką z toksycznej, niszczącej relacji. W dalszej kolejności wyraźnie wskazane w art. 64a podstawy zwolnienia nie uwzględniają innych niż </w:t>
      </w:r>
      <w:r w:rsidRPr="00CC0390">
        <w:rPr>
          <w:rFonts w:ascii="Times New Roman" w:hAnsi="Times New Roman" w:cs="Times New Roman"/>
          <w:color w:val="000000"/>
          <w:sz w:val="24"/>
          <w:szCs w:val="24"/>
        </w:rPr>
        <w:t xml:space="preserve">przestępstwo popełnione z użyciem przemocy na szkodę osoby obowiązanej czynów karalnych na szkodę małoletniego, np. przestępstwa niealimentacji (art. 209 </w:t>
      </w:r>
      <w:r w:rsidR="00F77E4D">
        <w:rPr>
          <w:rFonts w:ascii="Times New Roman" w:hAnsi="Times New Roman" w:cs="Times New Roman"/>
          <w:color w:val="000000"/>
          <w:sz w:val="24"/>
          <w:szCs w:val="24"/>
        </w:rPr>
        <w:t>K</w:t>
      </w:r>
      <w:r w:rsidRPr="00CC0390">
        <w:rPr>
          <w:rFonts w:ascii="Times New Roman" w:hAnsi="Times New Roman" w:cs="Times New Roman"/>
          <w:color w:val="000000"/>
          <w:sz w:val="24"/>
          <w:szCs w:val="24"/>
        </w:rPr>
        <w:t xml:space="preserve">odeksu karnego). </w:t>
      </w:r>
    </w:p>
    <w:p w14:paraId="631DD689" w14:textId="77777777" w:rsidR="00946888" w:rsidRPr="00CC0390" w:rsidRDefault="00117085" w:rsidP="00CC0390">
      <w:pPr>
        <w:spacing w:before="120" w:after="0" w:line="360" w:lineRule="auto"/>
        <w:ind w:firstLine="708"/>
        <w:jc w:val="both"/>
        <w:rPr>
          <w:rFonts w:ascii="Times New Roman" w:hAnsi="Times New Roman" w:cs="Times New Roman"/>
          <w:sz w:val="24"/>
          <w:szCs w:val="24"/>
        </w:rPr>
      </w:pPr>
      <w:r w:rsidRPr="00CC0390">
        <w:rPr>
          <w:rFonts w:ascii="Times New Roman" w:hAnsi="Times New Roman" w:cs="Times New Roman"/>
          <w:color w:val="000000"/>
          <w:sz w:val="24"/>
          <w:szCs w:val="24"/>
        </w:rPr>
        <w:t>Ustawa abstrahuje ponadto od braku jakichkolwiek więzi społecznych mogących uzasadnić ponoszenie zobowiązań finansowych pensjonariusza DPS, np. w sytuacji, gdy po rozwodzie rodziców ów pensjonariusz DPS nie utrzymuje kontaktów ze swoim dzieckiem, które nas</w:t>
      </w:r>
      <w:r w:rsidR="007039AC" w:rsidRPr="00CC0390">
        <w:rPr>
          <w:rFonts w:ascii="Times New Roman" w:hAnsi="Times New Roman" w:cs="Times New Roman"/>
          <w:color w:val="000000"/>
          <w:sz w:val="24"/>
          <w:szCs w:val="24"/>
        </w:rPr>
        <w:t xml:space="preserve">tępnie staje się osobą </w:t>
      </w:r>
      <w:r w:rsidRPr="00CC0390">
        <w:rPr>
          <w:rFonts w:ascii="Times New Roman" w:hAnsi="Times New Roman" w:cs="Times New Roman"/>
          <w:color w:val="000000"/>
          <w:sz w:val="24"/>
          <w:szCs w:val="24"/>
        </w:rPr>
        <w:t xml:space="preserve">obowiązaną w świetle przepisów </w:t>
      </w:r>
      <w:r w:rsidR="00F90A2B" w:rsidRPr="00CC0390">
        <w:rPr>
          <w:rFonts w:ascii="Times New Roman" w:hAnsi="Times New Roman" w:cs="Times New Roman"/>
          <w:color w:val="000000"/>
          <w:sz w:val="24"/>
          <w:szCs w:val="24"/>
        </w:rPr>
        <w:t>u.p.s</w:t>
      </w:r>
      <w:r w:rsidRPr="00CC0390">
        <w:rPr>
          <w:rFonts w:ascii="Times New Roman" w:hAnsi="Times New Roman" w:cs="Times New Roman"/>
          <w:color w:val="000000"/>
          <w:sz w:val="24"/>
          <w:szCs w:val="24"/>
        </w:rPr>
        <w:t>.</w:t>
      </w:r>
      <w:r w:rsidR="00010695" w:rsidRPr="00CC0390">
        <w:rPr>
          <w:rFonts w:ascii="Times New Roman" w:hAnsi="Times New Roman" w:cs="Times New Roman"/>
          <w:color w:val="000000"/>
          <w:sz w:val="24"/>
          <w:szCs w:val="24"/>
        </w:rPr>
        <w:t xml:space="preserve"> </w:t>
      </w:r>
    </w:p>
    <w:p w14:paraId="0ABC1FE9" w14:textId="77777777" w:rsidR="00124556" w:rsidRPr="00CC0390" w:rsidRDefault="00124556" w:rsidP="00CC0390">
      <w:pPr>
        <w:spacing w:before="120" w:after="0" w:line="360" w:lineRule="auto"/>
        <w:ind w:firstLine="708"/>
        <w:jc w:val="both"/>
        <w:rPr>
          <w:rFonts w:ascii="Times New Roman" w:hAnsi="Times New Roman" w:cs="Times New Roman"/>
          <w:bCs/>
          <w:color w:val="000000"/>
          <w:sz w:val="24"/>
          <w:szCs w:val="24"/>
        </w:rPr>
      </w:pPr>
      <w:r w:rsidRPr="00CC0390">
        <w:rPr>
          <w:rFonts w:ascii="Times New Roman" w:hAnsi="Times New Roman" w:cs="Times New Roman"/>
          <w:bCs/>
          <w:color w:val="000000"/>
          <w:sz w:val="24"/>
          <w:szCs w:val="24"/>
        </w:rPr>
        <w:t xml:space="preserve">Dane sprawozdawcze z działalności poszczególnych Powiatowych Centrów Pomocy Rodzinie </w:t>
      </w:r>
      <w:r w:rsidR="00697E28" w:rsidRPr="00CC0390">
        <w:rPr>
          <w:rFonts w:ascii="Times New Roman" w:hAnsi="Times New Roman" w:cs="Times New Roman"/>
          <w:bCs/>
          <w:color w:val="000000"/>
          <w:sz w:val="24"/>
          <w:szCs w:val="24"/>
        </w:rPr>
        <w:t>obrazują skalę wydawanych</w:t>
      </w:r>
      <w:r w:rsidRPr="00CC0390">
        <w:rPr>
          <w:rFonts w:ascii="Times New Roman" w:hAnsi="Times New Roman" w:cs="Times New Roman"/>
          <w:bCs/>
          <w:color w:val="000000"/>
          <w:sz w:val="24"/>
          <w:szCs w:val="24"/>
        </w:rPr>
        <w:t xml:space="preserve"> decyzji w przedmiocie odpłatności za pobyt mieszkańca w DPS, </w:t>
      </w:r>
      <w:r w:rsidR="00697E28" w:rsidRPr="00CC0390">
        <w:rPr>
          <w:rFonts w:ascii="Times New Roman" w:hAnsi="Times New Roman" w:cs="Times New Roman"/>
          <w:bCs/>
          <w:color w:val="000000"/>
          <w:sz w:val="24"/>
          <w:szCs w:val="24"/>
        </w:rPr>
        <w:t>pokazując</w:t>
      </w:r>
      <w:r w:rsidRPr="00CC0390">
        <w:rPr>
          <w:rFonts w:ascii="Times New Roman" w:hAnsi="Times New Roman" w:cs="Times New Roman"/>
          <w:bCs/>
          <w:color w:val="000000"/>
          <w:sz w:val="24"/>
          <w:szCs w:val="24"/>
        </w:rPr>
        <w:t xml:space="preserve"> jednocześnie, na których podmiotach obowiązanych do opłacenia pobytu głównie ciąży przedmiotowy obowiązek.</w:t>
      </w:r>
    </w:p>
    <w:p w14:paraId="6E20F4D3" w14:textId="2450741C" w:rsidR="00700E6F" w:rsidRPr="00CC0390" w:rsidRDefault="00946888" w:rsidP="00CC0390">
      <w:pPr>
        <w:spacing w:before="120" w:after="0" w:line="360" w:lineRule="auto"/>
        <w:ind w:firstLine="708"/>
        <w:jc w:val="both"/>
        <w:rPr>
          <w:rFonts w:ascii="Times New Roman" w:hAnsi="Times New Roman" w:cs="Times New Roman"/>
          <w:sz w:val="24"/>
          <w:szCs w:val="24"/>
        </w:rPr>
      </w:pPr>
      <w:r w:rsidRPr="00CC0390">
        <w:rPr>
          <w:rFonts w:ascii="Times New Roman" w:hAnsi="Times New Roman" w:cs="Times New Roman"/>
          <w:bCs/>
          <w:color w:val="000000"/>
          <w:sz w:val="24"/>
          <w:szCs w:val="24"/>
        </w:rPr>
        <w:t>Jak wynika ze sprawozda</w:t>
      </w:r>
      <w:r w:rsidR="007113DE" w:rsidRPr="00CC0390">
        <w:rPr>
          <w:rFonts w:ascii="Times New Roman" w:hAnsi="Times New Roman" w:cs="Times New Roman"/>
          <w:bCs/>
          <w:color w:val="000000"/>
          <w:sz w:val="24"/>
          <w:szCs w:val="24"/>
        </w:rPr>
        <w:t>nia</w:t>
      </w:r>
      <w:r w:rsidRPr="00CC0390">
        <w:rPr>
          <w:rFonts w:ascii="Times New Roman" w:hAnsi="Times New Roman" w:cs="Times New Roman"/>
          <w:bCs/>
          <w:color w:val="000000"/>
          <w:sz w:val="24"/>
          <w:szCs w:val="24"/>
        </w:rPr>
        <w:t xml:space="preserve"> Warszawskiego Centrum Pomocy Rodzinie </w:t>
      </w:r>
      <w:r w:rsidR="002569D0" w:rsidRPr="00CC0390">
        <w:rPr>
          <w:rFonts w:ascii="Times New Roman" w:hAnsi="Times New Roman" w:cs="Times New Roman"/>
          <w:bCs/>
          <w:color w:val="000000"/>
          <w:sz w:val="24"/>
          <w:szCs w:val="24"/>
        </w:rPr>
        <w:t>za</w:t>
      </w:r>
      <w:r w:rsidR="00CC0390">
        <w:rPr>
          <w:rFonts w:ascii="Times New Roman" w:hAnsi="Times New Roman" w:cs="Times New Roman"/>
          <w:bCs/>
          <w:color w:val="000000"/>
          <w:sz w:val="24"/>
          <w:szCs w:val="24"/>
        </w:rPr>
        <w:t xml:space="preserve"> </w:t>
      </w:r>
      <w:r w:rsidR="007113DE" w:rsidRPr="00CC0390">
        <w:rPr>
          <w:rFonts w:ascii="Times New Roman" w:hAnsi="Times New Roman" w:cs="Times New Roman"/>
          <w:bCs/>
          <w:color w:val="000000"/>
          <w:sz w:val="24"/>
          <w:szCs w:val="24"/>
        </w:rPr>
        <w:t>2020 r.</w:t>
      </w:r>
      <w:r w:rsidR="007113DE" w:rsidRPr="00CC0390">
        <w:rPr>
          <w:rStyle w:val="Odwoanieprzypisudolnego"/>
          <w:rFonts w:ascii="Times New Roman" w:hAnsi="Times New Roman" w:cs="Times New Roman"/>
          <w:bCs/>
          <w:color w:val="000000"/>
          <w:sz w:val="24"/>
          <w:szCs w:val="24"/>
        </w:rPr>
        <w:footnoteReference w:id="7"/>
      </w:r>
      <w:r w:rsidR="00EB1A23" w:rsidRPr="00EB1A23">
        <w:rPr>
          <w:rFonts w:ascii="Times New Roman" w:hAnsi="Times New Roman" w:cs="Times New Roman"/>
          <w:bCs/>
          <w:color w:val="000000"/>
          <w:sz w:val="24"/>
          <w:szCs w:val="24"/>
          <w:vertAlign w:val="superscript"/>
        </w:rPr>
        <w:t>)</w:t>
      </w:r>
      <w:r w:rsidR="00F77E4D">
        <w:rPr>
          <w:rFonts w:ascii="Times New Roman" w:hAnsi="Times New Roman" w:cs="Times New Roman"/>
          <w:bCs/>
          <w:color w:val="000000"/>
          <w:sz w:val="24"/>
          <w:szCs w:val="24"/>
        </w:rPr>
        <w:t xml:space="preserve">, </w:t>
      </w:r>
      <w:r w:rsidRPr="00CC0390">
        <w:rPr>
          <w:rFonts w:ascii="Times New Roman" w:hAnsi="Times New Roman" w:cs="Times New Roman"/>
          <w:bCs/>
          <w:color w:val="000000"/>
          <w:sz w:val="24"/>
          <w:szCs w:val="24"/>
        </w:rPr>
        <w:t>n</w:t>
      </w:r>
      <w:r w:rsidRPr="00CC0390">
        <w:rPr>
          <w:rFonts w:ascii="Times New Roman" w:hAnsi="Times New Roman" w:cs="Times New Roman"/>
          <w:color w:val="000000"/>
          <w:sz w:val="24"/>
          <w:szCs w:val="24"/>
        </w:rPr>
        <w:t>ajwięcej decyzji w 2020 r. wydano w sprawach odpłatności za pobyt w domach pomocy s</w:t>
      </w:r>
      <w:r w:rsidR="007039AC" w:rsidRPr="00CC0390">
        <w:rPr>
          <w:rFonts w:ascii="Times New Roman" w:hAnsi="Times New Roman" w:cs="Times New Roman"/>
          <w:color w:val="000000"/>
          <w:sz w:val="24"/>
          <w:szCs w:val="24"/>
        </w:rPr>
        <w:t xml:space="preserve">połecznej. </w:t>
      </w:r>
      <w:r w:rsidR="00700E6F" w:rsidRPr="00CC0390">
        <w:rPr>
          <w:rFonts w:ascii="Times New Roman" w:hAnsi="Times New Roman" w:cs="Times New Roman"/>
          <w:color w:val="000000"/>
          <w:sz w:val="24"/>
          <w:szCs w:val="24"/>
        </w:rPr>
        <w:t>L</w:t>
      </w:r>
      <w:r w:rsidRPr="00CC0390">
        <w:rPr>
          <w:rFonts w:ascii="Times New Roman" w:hAnsi="Times New Roman" w:cs="Times New Roman"/>
          <w:color w:val="000000"/>
          <w:sz w:val="24"/>
          <w:szCs w:val="24"/>
        </w:rPr>
        <w:t xml:space="preserve">iczba </w:t>
      </w:r>
      <w:r w:rsidR="00700E6F" w:rsidRPr="00CC0390">
        <w:rPr>
          <w:rFonts w:ascii="Times New Roman" w:hAnsi="Times New Roman" w:cs="Times New Roman"/>
          <w:color w:val="000000"/>
          <w:sz w:val="24"/>
          <w:szCs w:val="24"/>
        </w:rPr>
        <w:t xml:space="preserve">tych </w:t>
      </w:r>
      <w:r w:rsidRPr="00CC0390">
        <w:rPr>
          <w:rFonts w:ascii="Times New Roman" w:hAnsi="Times New Roman" w:cs="Times New Roman"/>
          <w:color w:val="000000"/>
          <w:sz w:val="24"/>
          <w:szCs w:val="24"/>
        </w:rPr>
        <w:t>decyzji wzrosła i wyniosła 3529</w:t>
      </w:r>
      <w:r w:rsidR="007039AC" w:rsidRPr="00CC0390">
        <w:rPr>
          <w:rFonts w:ascii="Times New Roman" w:hAnsi="Times New Roman" w:cs="Times New Roman"/>
          <w:color w:val="000000"/>
          <w:sz w:val="24"/>
          <w:szCs w:val="24"/>
        </w:rPr>
        <w:t>, tj.</w:t>
      </w:r>
      <w:r w:rsidRPr="00CC0390">
        <w:rPr>
          <w:rFonts w:ascii="Times New Roman" w:hAnsi="Times New Roman" w:cs="Times New Roman"/>
          <w:color w:val="000000"/>
          <w:sz w:val="24"/>
          <w:szCs w:val="24"/>
        </w:rPr>
        <w:t xml:space="preserve"> o 467 więcej niż w 2019</w:t>
      </w:r>
      <w:r w:rsidR="007039AC" w:rsidRPr="00CC0390">
        <w:rPr>
          <w:rFonts w:ascii="Times New Roman" w:hAnsi="Times New Roman" w:cs="Times New Roman"/>
          <w:color w:val="000000"/>
          <w:sz w:val="24"/>
          <w:szCs w:val="24"/>
        </w:rPr>
        <w:t xml:space="preserve"> r</w:t>
      </w:r>
      <w:r w:rsidRPr="00CC0390">
        <w:rPr>
          <w:rFonts w:ascii="Times New Roman" w:hAnsi="Times New Roman" w:cs="Times New Roman"/>
          <w:color w:val="000000"/>
          <w:sz w:val="24"/>
          <w:szCs w:val="24"/>
        </w:rPr>
        <w:t>. Drugą pod względem liczebności wydanych decyzji kategorią były decyzje w sprawie skierowania i umieszczenia w domach pomocy społecznej, których było 822, czyli o 120 mniej niż w roku 2019.</w:t>
      </w:r>
      <w:r w:rsidRPr="00CC0390">
        <w:rPr>
          <w:rFonts w:ascii="Times New Roman" w:hAnsi="Times New Roman" w:cs="Times New Roman"/>
          <w:sz w:val="24"/>
          <w:szCs w:val="24"/>
        </w:rPr>
        <w:t xml:space="preserve"> </w:t>
      </w:r>
    </w:p>
    <w:p w14:paraId="015D31ED" w14:textId="71AD58FA" w:rsidR="00946888" w:rsidRPr="00CC0390" w:rsidRDefault="00946888" w:rsidP="00CC0390">
      <w:pPr>
        <w:spacing w:before="120" w:after="0" w:line="360" w:lineRule="auto"/>
        <w:ind w:firstLine="708"/>
        <w:jc w:val="both"/>
        <w:rPr>
          <w:rFonts w:ascii="Times New Roman" w:hAnsi="Times New Roman" w:cs="Times New Roman"/>
          <w:sz w:val="24"/>
          <w:szCs w:val="24"/>
        </w:rPr>
      </w:pPr>
      <w:r w:rsidRPr="00CC0390">
        <w:rPr>
          <w:rFonts w:ascii="Times New Roman" w:hAnsi="Times New Roman" w:cs="Times New Roman"/>
          <w:color w:val="000000"/>
          <w:sz w:val="24"/>
          <w:szCs w:val="24"/>
        </w:rPr>
        <w:t xml:space="preserve">Jednocześnie w roku 2020 złożono odwołania od 39 decyzji, co stanowi niespełna 0,7% wszystkich wydanych w 2020 r. decyzji. W roku 2019 zaskarżono 1,2% decyzji, a zatem odnotowano spadek odwołań. </w:t>
      </w:r>
      <w:r w:rsidR="00700E6F" w:rsidRPr="00CC0390">
        <w:rPr>
          <w:rFonts w:ascii="Times New Roman" w:hAnsi="Times New Roman" w:cs="Times New Roman"/>
          <w:color w:val="000000"/>
          <w:sz w:val="24"/>
          <w:szCs w:val="24"/>
        </w:rPr>
        <w:t xml:space="preserve">Samorządowe </w:t>
      </w:r>
      <w:r w:rsidRPr="00CC0390">
        <w:rPr>
          <w:rFonts w:ascii="Times New Roman" w:hAnsi="Times New Roman" w:cs="Times New Roman"/>
          <w:color w:val="000000"/>
          <w:sz w:val="24"/>
          <w:szCs w:val="24"/>
        </w:rPr>
        <w:t xml:space="preserve">Kolegium </w:t>
      </w:r>
      <w:r w:rsidR="00700E6F" w:rsidRPr="00CC0390">
        <w:rPr>
          <w:rFonts w:ascii="Times New Roman" w:hAnsi="Times New Roman" w:cs="Times New Roman"/>
          <w:color w:val="000000"/>
          <w:sz w:val="24"/>
          <w:szCs w:val="24"/>
        </w:rPr>
        <w:t xml:space="preserve">Odwoławcze </w:t>
      </w:r>
      <w:r w:rsidRPr="00CC0390">
        <w:rPr>
          <w:rFonts w:ascii="Times New Roman" w:hAnsi="Times New Roman" w:cs="Times New Roman"/>
          <w:color w:val="000000"/>
          <w:sz w:val="24"/>
          <w:szCs w:val="24"/>
        </w:rPr>
        <w:t xml:space="preserve">do końca 2020 r. rozpatrzyło 31 spraw, w tym utrzymało w mocy 17 decyzji, 4 sprawy rozstrzygnięto w inny sposób (m.in. poprzez umorzenie postępowania, stwierdzenie uchybienia terminu, wydanie innego rozstrzygnięcia), uchyliło 10 i przekazało sprawy do ponownego rozpatrzenia. Najczęstszym powodem uchyleń decyzji było odmienne od powoływanego w uzasadnieniach decyzji WCPR orzecznictwo lub interpretacja przepisów przez Samorządowe Kolegium Odwoławcze. </w:t>
      </w:r>
    </w:p>
    <w:p w14:paraId="6F50FA88" w14:textId="223B75D8" w:rsidR="00946888" w:rsidRPr="00CC0390" w:rsidRDefault="00946888" w:rsidP="00CC0390">
      <w:pPr>
        <w:autoSpaceDE w:val="0"/>
        <w:autoSpaceDN w:val="0"/>
        <w:adjustRightInd w:val="0"/>
        <w:spacing w:before="120" w:after="0" w:line="360" w:lineRule="auto"/>
        <w:ind w:firstLine="349"/>
        <w:jc w:val="both"/>
        <w:rPr>
          <w:rFonts w:ascii="Times New Roman" w:hAnsi="Times New Roman" w:cs="Times New Roman"/>
          <w:color w:val="000000"/>
          <w:sz w:val="24"/>
          <w:szCs w:val="24"/>
        </w:rPr>
      </w:pPr>
      <w:r w:rsidRPr="00CC0390">
        <w:rPr>
          <w:rFonts w:ascii="Times New Roman" w:hAnsi="Times New Roman" w:cs="Times New Roman"/>
          <w:color w:val="000000"/>
          <w:sz w:val="24"/>
          <w:szCs w:val="24"/>
        </w:rPr>
        <w:t xml:space="preserve">W roku 2020 </w:t>
      </w:r>
      <w:r w:rsidR="00E31849" w:rsidRPr="00CC0390">
        <w:rPr>
          <w:rFonts w:ascii="Times New Roman" w:hAnsi="Times New Roman" w:cs="Times New Roman"/>
          <w:color w:val="000000"/>
          <w:sz w:val="24"/>
          <w:szCs w:val="24"/>
        </w:rPr>
        <w:t>przeprowadzono</w:t>
      </w:r>
      <w:r w:rsidRPr="00CC0390">
        <w:rPr>
          <w:rFonts w:ascii="Times New Roman" w:hAnsi="Times New Roman" w:cs="Times New Roman"/>
          <w:color w:val="000000"/>
          <w:sz w:val="24"/>
          <w:szCs w:val="24"/>
        </w:rPr>
        <w:t xml:space="preserve"> łącznie 119 spraw, czyli o 46 więcej niż w roku 2019. Zostało wydanych: </w:t>
      </w:r>
    </w:p>
    <w:p w14:paraId="10A81E69" w14:textId="4A1F819C" w:rsidR="00946888" w:rsidRPr="00CC0390" w:rsidRDefault="00946888" w:rsidP="00CC0390">
      <w:pPr>
        <w:pStyle w:val="Akapitzlist"/>
        <w:numPr>
          <w:ilvl w:val="0"/>
          <w:numId w:val="29"/>
        </w:numPr>
        <w:autoSpaceDE w:val="0"/>
        <w:autoSpaceDN w:val="0"/>
        <w:adjustRightInd w:val="0"/>
        <w:spacing w:before="120" w:after="0" w:line="360" w:lineRule="auto"/>
        <w:ind w:left="709"/>
        <w:jc w:val="both"/>
        <w:rPr>
          <w:rFonts w:ascii="Times New Roman" w:hAnsi="Times New Roman"/>
          <w:color w:val="000000"/>
          <w:sz w:val="24"/>
          <w:szCs w:val="24"/>
        </w:rPr>
      </w:pPr>
      <w:r w:rsidRPr="00CC0390">
        <w:rPr>
          <w:rFonts w:ascii="Times New Roman" w:hAnsi="Times New Roman"/>
          <w:color w:val="000000"/>
          <w:sz w:val="24"/>
          <w:szCs w:val="24"/>
        </w:rPr>
        <w:lastRenderedPageBreak/>
        <w:t>62 decyzje o zwrocie (o 30 więcej niż w roku 2019) na łączną sumę 784 938,93</w:t>
      </w:r>
      <w:r w:rsidR="00F77E4D">
        <w:rPr>
          <w:rFonts w:ascii="Times New Roman" w:hAnsi="Times New Roman"/>
          <w:color w:val="000000"/>
          <w:sz w:val="24"/>
          <w:szCs w:val="24"/>
        </w:rPr>
        <w:t xml:space="preserve"> zł,</w:t>
      </w:r>
      <w:r w:rsidRPr="00CC0390">
        <w:rPr>
          <w:rFonts w:ascii="Times New Roman" w:hAnsi="Times New Roman"/>
          <w:color w:val="000000"/>
          <w:sz w:val="24"/>
          <w:szCs w:val="24"/>
        </w:rPr>
        <w:t xml:space="preserve"> tj. o 609 980,12 zł więcej niż w roku poprzednim, </w:t>
      </w:r>
    </w:p>
    <w:p w14:paraId="1CA3497C" w14:textId="0201598C" w:rsidR="00946888" w:rsidRPr="00CC0390" w:rsidRDefault="00946888" w:rsidP="00CC0390">
      <w:pPr>
        <w:pStyle w:val="Akapitzlist"/>
        <w:numPr>
          <w:ilvl w:val="0"/>
          <w:numId w:val="29"/>
        </w:numPr>
        <w:autoSpaceDE w:val="0"/>
        <w:autoSpaceDN w:val="0"/>
        <w:adjustRightInd w:val="0"/>
        <w:spacing w:before="120" w:after="0" w:line="360" w:lineRule="auto"/>
        <w:ind w:left="709"/>
        <w:jc w:val="both"/>
        <w:rPr>
          <w:rFonts w:ascii="Times New Roman" w:hAnsi="Times New Roman"/>
          <w:color w:val="000000"/>
          <w:sz w:val="24"/>
          <w:szCs w:val="24"/>
        </w:rPr>
      </w:pPr>
      <w:r w:rsidRPr="00CC0390">
        <w:rPr>
          <w:rFonts w:ascii="Times New Roman" w:hAnsi="Times New Roman"/>
          <w:color w:val="000000"/>
          <w:sz w:val="24"/>
          <w:szCs w:val="24"/>
        </w:rPr>
        <w:t>18 decyzji o odstąpieniu od żądania zwrotu (więcej o 7) na łączną sumę 136 394,50 zł</w:t>
      </w:r>
      <w:r w:rsidR="00F77E4D">
        <w:rPr>
          <w:rFonts w:ascii="Times New Roman" w:hAnsi="Times New Roman"/>
          <w:color w:val="000000"/>
          <w:sz w:val="24"/>
          <w:szCs w:val="24"/>
        </w:rPr>
        <w:t>,</w:t>
      </w:r>
      <w:r w:rsidRPr="00CC0390">
        <w:rPr>
          <w:rFonts w:ascii="Times New Roman" w:hAnsi="Times New Roman"/>
          <w:color w:val="000000"/>
          <w:sz w:val="24"/>
          <w:szCs w:val="24"/>
        </w:rPr>
        <w:t xml:space="preserve"> tj. o 71 300,63 zł więcej niż w roku 2019, </w:t>
      </w:r>
    </w:p>
    <w:p w14:paraId="3F46DB62" w14:textId="77777777" w:rsidR="00946888" w:rsidRPr="00CC0390" w:rsidRDefault="00946888" w:rsidP="00CC0390">
      <w:pPr>
        <w:pStyle w:val="Akapitzlist"/>
        <w:numPr>
          <w:ilvl w:val="0"/>
          <w:numId w:val="29"/>
        </w:numPr>
        <w:autoSpaceDE w:val="0"/>
        <w:autoSpaceDN w:val="0"/>
        <w:adjustRightInd w:val="0"/>
        <w:spacing w:after="0" w:line="360" w:lineRule="auto"/>
        <w:ind w:left="709"/>
        <w:jc w:val="both"/>
        <w:rPr>
          <w:rFonts w:ascii="Times New Roman" w:hAnsi="Times New Roman"/>
          <w:color w:val="000000"/>
          <w:sz w:val="24"/>
          <w:szCs w:val="24"/>
        </w:rPr>
      </w:pPr>
      <w:r w:rsidRPr="00CC0390">
        <w:rPr>
          <w:rFonts w:ascii="Times New Roman" w:hAnsi="Times New Roman"/>
          <w:color w:val="000000"/>
          <w:sz w:val="24"/>
          <w:szCs w:val="24"/>
        </w:rPr>
        <w:t xml:space="preserve">6 decyzji w sprawie rozłożenia należności na raty (o 2 więcej niż w 2019), </w:t>
      </w:r>
    </w:p>
    <w:p w14:paraId="1C5B276E" w14:textId="1D2A79BA" w:rsidR="00946888" w:rsidRPr="00CC0390" w:rsidRDefault="00946888" w:rsidP="00CC0390">
      <w:pPr>
        <w:pStyle w:val="Akapitzlist"/>
        <w:numPr>
          <w:ilvl w:val="0"/>
          <w:numId w:val="29"/>
        </w:numPr>
        <w:autoSpaceDE w:val="0"/>
        <w:autoSpaceDN w:val="0"/>
        <w:adjustRightInd w:val="0"/>
        <w:spacing w:after="0" w:line="360" w:lineRule="auto"/>
        <w:ind w:left="709"/>
        <w:jc w:val="both"/>
        <w:rPr>
          <w:rFonts w:ascii="Times New Roman" w:hAnsi="Times New Roman"/>
          <w:color w:val="000000"/>
          <w:sz w:val="24"/>
          <w:szCs w:val="24"/>
        </w:rPr>
      </w:pPr>
      <w:r w:rsidRPr="00CC0390">
        <w:rPr>
          <w:rFonts w:ascii="Times New Roman" w:hAnsi="Times New Roman"/>
          <w:color w:val="000000"/>
          <w:sz w:val="24"/>
          <w:szCs w:val="24"/>
        </w:rPr>
        <w:t>32 umorzenia postępowania w związku z wniesieniem opłaty przez dłużników</w:t>
      </w:r>
      <w:r w:rsidR="00F77E4D">
        <w:rPr>
          <w:rFonts w:ascii="Times New Roman" w:hAnsi="Times New Roman"/>
          <w:color w:val="000000"/>
          <w:sz w:val="24"/>
          <w:szCs w:val="24"/>
        </w:rPr>
        <w:t>,</w:t>
      </w:r>
      <w:r w:rsidR="00583BC8">
        <w:rPr>
          <w:rFonts w:ascii="Times New Roman" w:hAnsi="Times New Roman"/>
          <w:color w:val="000000"/>
          <w:sz w:val="24"/>
          <w:szCs w:val="24"/>
        </w:rPr>
        <w:t xml:space="preserve"> tj. o 12 </w:t>
      </w:r>
      <w:r w:rsidRPr="00CC0390">
        <w:rPr>
          <w:rFonts w:ascii="Times New Roman" w:hAnsi="Times New Roman"/>
          <w:color w:val="000000"/>
          <w:sz w:val="24"/>
          <w:szCs w:val="24"/>
        </w:rPr>
        <w:t>więcej</w:t>
      </w:r>
      <w:r w:rsidR="00F77E4D">
        <w:rPr>
          <w:rFonts w:ascii="Times New Roman" w:hAnsi="Times New Roman"/>
          <w:color w:val="000000"/>
          <w:sz w:val="24"/>
          <w:szCs w:val="24"/>
        </w:rPr>
        <w:t>,</w:t>
      </w:r>
      <w:r w:rsidRPr="00CC0390">
        <w:rPr>
          <w:rFonts w:ascii="Times New Roman" w:hAnsi="Times New Roman"/>
          <w:color w:val="000000"/>
          <w:sz w:val="24"/>
          <w:szCs w:val="24"/>
        </w:rPr>
        <w:t xml:space="preserve"> na łączną kwotę 121 189,74 zł</w:t>
      </w:r>
      <w:r w:rsidR="00F77E4D">
        <w:rPr>
          <w:rFonts w:ascii="Times New Roman" w:hAnsi="Times New Roman"/>
          <w:color w:val="000000"/>
          <w:sz w:val="24"/>
          <w:szCs w:val="24"/>
        </w:rPr>
        <w:t>,</w:t>
      </w:r>
      <w:r w:rsidRPr="00CC0390">
        <w:rPr>
          <w:rFonts w:ascii="Times New Roman" w:hAnsi="Times New Roman"/>
          <w:color w:val="000000"/>
          <w:sz w:val="24"/>
          <w:szCs w:val="24"/>
        </w:rPr>
        <w:t xml:space="preserve"> tj. o 96 430 65 zł więcej niż w 2019 r. </w:t>
      </w:r>
    </w:p>
    <w:p w14:paraId="70045EDB" w14:textId="36EA1C0A" w:rsidR="00946888" w:rsidRPr="00CC0390" w:rsidRDefault="009A0FA3" w:rsidP="00CC0390">
      <w:pPr>
        <w:autoSpaceDE w:val="0"/>
        <w:autoSpaceDN w:val="0"/>
        <w:adjustRightInd w:val="0"/>
        <w:spacing w:after="0" w:line="360" w:lineRule="auto"/>
        <w:ind w:firstLine="708"/>
        <w:jc w:val="both"/>
        <w:rPr>
          <w:rFonts w:ascii="Times New Roman" w:hAnsi="Times New Roman" w:cs="Times New Roman"/>
          <w:sz w:val="24"/>
          <w:szCs w:val="24"/>
        </w:rPr>
      </w:pPr>
      <w:r w:rsidRPr="00CC0390">
        <w:rPr>
          <w:rFonts w:ascii="Times New Roman" w:hAnsi="Times New Roman" w:cs="Times New Roman"/>
          <w:sz w:val="24"/>
          <w:szCs w:val="24"/>
        </w:rPr>
        <w:t>Dla przykładu z</w:t>
      </w:r>
      <w:r w:rsidR="00124556" w:rsidRPr="00CC0390">
        <w:rPr>
          <w:rFonts w:ascii="Times New Roman" w:hAnsi="Times New Roman" w:cs="Times New Roman"/>
          <w:sz w:val="24"/>
          <w:szCs w:val="24"/>
        </w:rPr>
        <w:t>e sprawozdania dyrektora Powiatowego Centrum Pomocy Rodzinie w Inowrocławiu z działalności Centrum w 2019 r</w:t>
      </w:r>
      <w:r w:rsidR="00267394" w:rsidRPr="00CC0390">
        <w:rPr>
          <w:rFonts w:ascii="Times New Roman" w:hAnsi="Times New Roman" w:cs="Times New Roman"/>
          <w:sz w:val="24"/>
          <w:szCs w:val="24"/>
        </w:rPr>
        <w:t>.</w:t>
      </w:r>
      <w:r w:rsidR="00E31849" w:rsidRPr="00CC0390">
        <w:rPr>
          <w:rStyle w:val="Odwoanieprzypisudolnego"/>
          <w:rFonts w:ascii="Times New Roman" w:hAnsi="Times New Roman" w:cs="Times New Roman"/>
          <w:sz w:val="24"/>
          <w:szCs w:val="24"/>
        </w:rPr>
        <w:footnoteReference w:id="8"/>
      </w:r>
      <w:r w:rsidR="00EB1A23" w:rsidRPr="00EB1A23">
        <w:rPr>
          <w:rFonts w:ascii="Times New Roman" w:hAnsi="Times New Roman" w:cs="Times New Roman"/>
          <w:sz w:val="24"/>
          <w:szCs w:val="24"/>
          <w:vertAlign w:val="superscript"/>
        </w:rPr>
        <w:t>)</w:t>
      </w:r>
      <w:r w:rsidR="00124556" w:rsidRPr="00CC0390">
        <w:rPr>
          <w:rFonts w:ascii="Times New Roman" w:hAnsi="Times New Roman" w:cs="Times New Roman"/>
          <w:sz w:val="24"/>
          <w:szCs w:val="24"/>
        </w:rPr>
        <w:t xml:space="preserve"> wynika, że </w:t>
      </w:r>
      <w:r w:rsidR="00946888" w:rsidRPr="00CC0390">
        <w:rPr>
          <w:rFonts w:ascii="Times New Roman" w:hAnsi="Times New Roman" w:cs="Times New Roman"/>
          <w:sz w:val="24"/>
          <w:szCs w:val="24"/>
        </w:rPr>
        <w:t>Centrum wydało 348 decyzji dotyczących mieszkańców domów pomocy</w:t>
      </w:r>
      <w:r w:rsidR="00124556" w:rsidRPr="00CC0390">
        <w:rPr>
          <w:rFonts w:ascii="Times New Roman" w:hAnsi="Times New Roman" w:cs="Times New Roman"/>
          <w:sz w:val="24"/>
          <w:szCs w:val="24"/>
        </w:rPr>
        <w:t xml:space="preserve"> </w:t>
      </w:r>
      <w:r w:rsidR="00946888" w:rsidRPr="00CC0390">
        <w:rPr>
          <w:rFonts w:ascii="Times New Roman" w:hAnsi="Times New Roman" w:cs="Times New Roman"/>
          <w:sz w:val="24"/>
          <w:szCs w:val="24"/>
        </w:rPr>
        <w:t>społecznej w tym:</w:t>
      </w:r>
    </w:p>
    <w:p w14:paraId="72B7E4BA" w14:textId="77777777" w:rsidR="00946888" w:rsidRPr="00CC0390" w:rsidRDefault="00946888" w:rsidP="00CC0390">
      <w:pPr>
        <w:pStyle w:val="Akapitzlist"/>
        <w:numPr>
          <w:ilvl w:val="0"/>
          <w:numId w:val="24"/>
        </w:numPr>
        <w:autoSpaceDE w:val="0"/>
        <w:autoSpaceDN w:val="0"/>
        <w:adjustRightInd w:val="0"/>
        <w:spacing w:after="0" w:line="360" w:lineRule="auto"/>
        <w:ind w:left="709"/>
        <w:jc w:val="both"/>
        <w:rPr>
          <w:rFonts w:ascii="Times New Roman" w:hAnsi="Times New Roman"/>
          <w:sz w:val="24"/>
          <w:szCs w:val="24"/>
        </w:rPr>
      </w:pPr>
      <w:r w:rsidRPr="00CC0390">
        <w:rPr>
          <w:rFonts w:ascii="Times New Roman" w:hAnsi="Times New Roman"/>
          <w:sz w:val="24"/>
          <w:szCs w:val="24"/>
        </w:rPr>
        <w:t>65 o umieszczeniu w domu pomocy społecznej;</w:t>
      </w:r>
    </w:p>
    <w:p w14:paraId="13CEA670" w14:textId="77777777" w:rsidR="00946888" w:rsidRPr="00CC0390" w:rsidRDefault="00946888" w:rsidP="00CC0390">
      <w:pPr>
        <w:pStyle w:val="Akapitzlist"/>
        <w:numPr>
          <w:ilvl w:val="0"/>
          <w:numId w:val="24"/>
        </w:numPr>
        <w:autoSpaceDE w:val="0"/>
        <w:autoSpaceDN w:val="0"/>
        <w:adjustRightInd w:val="0"/>
        <w:spacing w:after="0" w:line="360" w:lineRule="auto"/>
        <w:ind w:left="709"/>
        <w:jc w:val="both"/>
        <w:rPr>
          <w:rFonts w:ascii="Times New Roman" w:hAnsi="Times New Roman"/>
          <w:sz w:val="24"/>
          <w:szCs w:val="24"/>
        </w:rPr>
      </w:pPr>
      <w:r w:rsidRPr="00CC0390">
        <w:rPr>
          <w:rFonts w:ascii="Times New Roman" w:hAnsi="Times New Roman"/>
          <w:sz w:val="24"/>
          <w:szCs w:val="24"/>
        </w:rPr>
        <w:t>21 uchylających pobyt w domu pomocy społecznej;</w:t>
      </w:r>
    </w:p>
    <w:p w14:paraId="79D3DBB1" w14:textId="77777777" w:rsidR="00946888" w:rsidRPr="00CC0390" w:rsidRDefault="00946888" w:rsidP="00CC0390">
      <w:pPr>
        <w:pStyle w:val="Akapitzlist"/>
        <w:numPr>
          <w:ilvl w:val="0"/>
          <w:numId w:val="24"/>
        </w:numPr>
        <w:autoSpaceDE w:val="0"/>
        <w:autoSpaceDN w:val="0"/>
        <w:adjustRightInd w:val="0"/>
        <w:spacing w:after="0" w:line="360" w:lineRule="auto"/>
        <w:ind w:left="709"/>
        <w:jc w:val="both"/>
        <w:rPr>
          <w:rFonts w:ascii="Times New Roman" w:hAnsi="Times New Roman"/>
          <w:sz w:val="24"/>
          <w:szCs w:val="24"/>
        </w:rPr>
      </w:pPr>
      <w:r w:rsidRPr="00CC0390">
        <w:rPr>
          <w:rFonts w:ascii="Times New Roman" w:hAnsi="Times New Roman"/>
          <w:sz w:val="24"/>
          <w:szCs w:val="24"/>
        </w:rPr>
        <w:t>6 zmieniających pobyt w domu pomocy społecznej;</w:t>
      </w:r>
    </w:p>
    <w:p w14:paraId="4FA020AB" w14:textId="77777777" w:rsidR="00946888" w:rsidRPr="00CC0390" w:rsidRDefault="00946888" w:rsidP="00CC0390">
      <w:pPr>
        <w:pStyle w:val="Akapitzlist"/>
        <w:numPr>
          <w:ilvl w:val="0"/>
          <w:numId w:val="24"/>
        </w:numPr>
        <w:autoSpaceDE w:val="0"/>
        <w:autoSpaceDN w:val="0"/>
        <w:adjustRightInd w:val="0"/>
        <w:spacing w:after="0" w:line="360" w:lineRule="auto"/>
        <w:ind w:left="709"/>
        <w:jc w:val="both"/>
        <w:rPr>
          <w:rFonts w:ascii="Times New Roman" w:hAnsi="Times New Roman"/>
          <w:sz w:val="24"/>
          <w:szCs w:val="24"/>
        </w:rPr>
      </w:pPr>
      <w:r w:rsidRPr="00CC0390">
        <w:rPr>
          <w:rFonts w:ascii="Times New Roman" w:hAnsi="Times New Roman"/>
          <w:sz w:val="24"/>
          <w:szCs w:val="24"/>
        </w:rPr>
        <w:t>6 odmownych;</w:t>
      </w:r>
    </w:p>
    <w:p w14:paraId="4D121444" w14:textId="77777777" w:rsidR="00946888" w:rsidRPr="00CC0390" w:rsidRDefault="00946888" w:rsidP="00CC0390">
      <w:pPr>
        <w:pStyle w:val="Akapitzlist"/>
        <w:numPr>
          <w:ilvl w:val="0"/>
          <w:numId w:val="24"/>
        </w:numPr>
        <w:autoSpaceDE w:val="0"/>
        <w:autoSpaceDN w:val="0"/>
        <w:adjustRightInd w:val="0"/>
        <w:spacing w:after="0" w:line="360" w:lineRule="auto"/>
        <w:ind w:left="709"/>
        <w:jc w:val="both"/>
        <w:rPr>
          <w:rFonts w:ascii="Times New Roman" w:hAnsi="Times New Roman"/>
          <w:sz w:val="24"/>
          <w:szCs w:val="24"/>
        </w:rPr>
      </w:pPr>
      <w:r w:rsidRPr="00CC0390">
        <w:rPr>
          <w:rFonts w:ascii="Times New Roman" w:hAnsi="Times New Roman"/>
          <w:sz w:val="24"/>
          <w:szCs w:val="24"/>
        </w:rPr>
        <w:t>250 o ustaleniu odpłatności za pobyt w domu pomocy społecznej.</w:t>
      </w:r>
    </w:p>
    <w:p w14:paraId="49A04DDE" w14:textId="77777777" w:rsidR="00946888" w:rsidRPr="00CC0390" w:rsidRDefault="00946888" w:rsidP="00CC0390">
      <w:pPr>
        <w:autoSpaceDE w:val="0"/>
        <w:autoSpaceDN w:val="0"/>
        <w:adjustRightInd w:val="0"/>
        <w:spacing w:after="0" w:line="360" w:lineRule="auto"/>
        <w:ind w:firstLine="349"/>
        <w:jc w:val="both"/>
        <w:rPr>
          <w:rFonts w:ascii="Times New Roman" w:hAnsi="Times New Roman" w:cs="Times New Roman"/>
          <w:sz w:val="24"/>
          <w:szCs w:val="24"/>
        </w:rPr>
      </w:pPr>
      <w:r w:rsidRPr="00CC0390">
        <w:rPr>
          <w:rFonts w:ascii="Times New Roman" w:hAnsi="Times New Roman" w:cs="Times New Roman"/>
          <w:sz w:val="24"/>
          <w:szCs w:val="24"/>
        </w:rPr>
        <w:t>Ogółem budżety domów pomocy społe</w:t>
      </w:r>
      <w:r w:rsidR="007C0552" w:rsidRPr="00CC0390">
        <w:rPr>
          <w:rFonts w:ascii="Times New Roman" w:hAnsi="Times New Roman" w:cs="Times New Roman"/>
          <w:sz w:val="24"/>
          <w:szCs w:val="24"/>
        </w:rPr>
        <w:t>cznej wyniosły 19 788 151,04 zł, a ich f</w:t>
      </w:r>
      <w:r w:rsidRPr="00CC0390">
        <w:rPr>
          <w:rFonts w:ascii="Times New Roman" w:hAnsi="Times New Roman" w:cs="Times New Roman"/>
          <w:sz w:val="24"/>
          <w:szCs w:val="24"/>
        </w:rPr>
        <w:t>inansowanie odbywało się z:</w:t>
      </w:r>
    </w:p>
    <w:p w14:paraId="6EEA1DFE" w14:textId="5E249F15" w:rsidR="00946888" w:rsidRPr="00F77E4D" w:rsidRDefault="00946888" w:rsidP="00F77E4D">
      <w:pPr>
        <w:pStyle w:val="Akapitzlist"/>
        <w:numPr>
          <w:ilvl w:val="0"/>
          <w:numId w:val="27"/>
        </w:numPr>
        <w:autoSpaceDE w:val="0"/>
        <w:autoSpaceDN w:val="0"/>
        <w:adjustRightInd w:val="0"/>
        <w:spacing w:after="0" w:line="360" w:lineRule="auto"/>
        <w:jc w:val="both"/>
        <w:rPr>
          <w:rFonts w:ascii="Times New Roman" w:hAnsi="Times New Roman"/>
          <w:sz w:val="24"/>
          <w:szCs w:val="24"/>
        </w:rPr>
      </w:pPr>
      <w:r w:rsidRPr="00F77E4D">
        <w:rPr>
          <w:rFonts w:ascii="Times New Roman" w:hAnsi="Times New Roman"/>
          <w:sz w:val="24"/>
          <w:szCs w:val="24"/>
        </w:rPr>
        <w:t>dotacji celowej z budżetu państwa na realizację bieżących zadań własnych powiatu</w:t>
      </w:r>
      <w:r w:rsidR="00F77E4D" w:rsidRPr="00F77E4D">
        <w:rPr>
          <w:rFonts w:ascii="Times New Roman" w:hAnsi="Times New Roman"/>
          <w:sz w:val="24"/>
          <w:szCs w:val="24"/>
        </w:rPr>
        <w:t xml:space="preserve"> </w:t>
      </w:r>
      <w:r w:rsidRPr="00F77E4D">
        <w:rPr>
          <w:rFonts w:ascii="Times New Roman" w:hAnsi="Times New Roman"/>
          <w:sz w:val="24"/>
          <w:szCs w:val="24"/>
        </w:rPr>
        <w:t>w wysokości 8 290 185 zł;</w:t>
      </w:r>
    </w:p>
    <w:p w14:paraId="268D8A7E" w14:textId="77777777" w:rsidR="00946888" w:rsidRPr="00CC0390" w:rsidRDefault="00946888" w:rsidP="00CC0390">
      <w:pPr>
        <w:pStyle w:val="Akapitzlist"/>
        <w:numPr>
          <w:ilvl w:val="0"/>
          <w:numId w:val="27"/>
        </w:numPr>
        <w:autoSpaceDE w:val="0"/>
        <w:autoSpaceDN w:val="0"/>
        <w:adjustRightInd w:val="0"/>
        <w:spacing w:after="0" w:line="360" w:lineRule="auto"/>
        <w:jc w:val="both"/>
        <w:rPr>
          <w:rFonts w:ascii="Times New Roman" w:hAnsi="Times New Roman"/>
          <w:sz w:val="24"/>
          <w:szCs w:val="24"/>
        </w:rPr>
      </w:pPr>
      <w:r w:rsidRPr="00CC0390">
        <w:rPr>
          <w:rFonts w:ascii="Times New Roman" w:hAnsi="Times New Roman"/>
          <w:sz w:val="24"/>
          <w:szCs w:val="24"/>
        </w:rPr>
        <w:t>odpłatności mieszkańców w wysokości 4 572 020,92 zł;</w:t>
      </w:r>
    </w:p>
    <w:p w14:paraId="1F06C8EF" w14:textId="77777777" w:rsidR="00946888" w:rsidRPr="00CC0390" w:rsidRDefault="00946888" w:rsidP="00CC0390">
      <w:pPr>
        <w:pStyle w:val="Akapitzlist"/>
        <w:numPr>
          <w:ilvl w:val="0"/>
          <w:numId w:val="27"/>
        </w:numPr>
        <w:autoSpaceDE w:val="0"/>
        <w:autoSpaceDN w:val="0"/>
        <w:adjustRightInd w:val="0"/>
        <w:spacing w:after="0" w:line="360" w:lineRule="auto"/>
        <w:jc w:val="both"/>
        <w:rPr>
          <w:rFonts w:ascii="Times New Roman" w:hAnsi="Times New Roman"/>
          <w:sz w:val="24"/>
          <w:szCs w:val="24"/>
        </w:rPr>
      </w:pPr>
      <w:r w:rsidRPr="00CC0390">
        <w:rPr>
          <w:rFonts w:ascii="Times New Roman" w:hAnsi="Times New Roman"/>
          <w:sz w:val="24"/>
          <w:szCs w:val="24"/>
        </w:rPr>
        <w:t>odpłatności gmin w wysokości 6 331 306,11 zł;</w:t>
      </w:r>
    </w:p>
    <w:p w14:paraId="62574566" w14:textId="77777777" w:rsidR="00946888" w:rsidRPr="00CC0390" w:rsidRDefault="00946888" w:rsidP="00CC0390">
      <w:pPr>
        <w:pStyle w:val="Akapitzlist"/>
        <w:numPr>
          <w:ilvl w:val="0"/>
          <w:numId w:val="27"/>
        </w:numPr>
        <w:autoSpaceDE w:val="0"/>
        <w:autoSpaceDN w:val="0"/>
        <w:adjustRightInd w:val="0"/>
        <w:spacing w:after="0" w:line="360" w:lineRule="auto"/>
        <w:jc w:val="both"/>
        <w:rPr>
          <w:rFonts w:ascii="Times New Roman" w:hAnsi="Times New Roman"/>
          <w:sz w:val="24"/>
          <w:szCs w:val="24"/>
        </w:rPr>
      </w:pPr>
      <w:r w:rsidRPr="00CC0390">
        <w:rPr>
          <w:rFonts w:ascii="Times New Roman" w:hAnsi="Times New Roman"/>
          <w:sz w:val="24"/>
          <w:szCs w:val="24"/>
        </w:rPr>
        <w:t>dotacji z PFRON w wysokości 80 000 zł;</w:t>
      </w:r>
    </w:p>
    <w:p w14:paraId="490E4C52" w14:textId="77777777" w:rsidR="00267394" w:rsidRPr="00CC0390" w:rsidRDefault="00946888" w:rsidP="00CC0390">
      <w:pPr>
        <w:pStyle w:val="Akapitzlist"/>
        <w:numPr>
          <w:ilvl w:val="0"/>
          <w:numId w:val="27"/>
        </w:numPr>
        <w:spacing w:after="0" w:line="360" w:lineRule="auto"/>
        <w:jc w:val="both"/>
        <w:rPr>
          <w:rFonts w:ascii="Times New Roman" w:hAnsi="Times New Roman"/>
          <w:sz w:val="24"/>
          <w:szCs w:val="24"/>
        </w:rPr>
      </w:pPr>
      <w:r w:rsidRPr="00CC0390">
        <w:rPr>
          <w:rFonts w:ascii="Times New Roman" w:hAnsi="Times New Roman"/>
          <w:sz w:val="24"/>
          <w:szCs w:val="24"/>
        </w:rPr>
        <w:t>środków własnych powiatu w wysokości 514 639,01 zł.</w:t>
      </w:r>
    </w:p>
    <w:p w14:paraId="4492BFB4" w14:textId="3DF7CAA3" w:rsidR="00C90804" w:rsidRDefault="00C90804" w:rsidP="00CC0390">
      <w:pPr>
        <w:spacing w:before="240" w:line="360" w:lineRule="auto"/>
        <w:ind w:firstLine="708"/>
        <w:jc w:val="both"/>
        <w:rPr>
          <w:rFonts w:ascii="Times New Roman" w:hAnsi="Times New Roman" w:cs="Times New Roman"/>
          <w:sz w:val="24"/>
          <w:szCs w:val="24"/>
        </w:rPr>
      </w:pPr>
      <w:r w:rsidRPr="00CC0390">
        <w:rPr>
          <w:rFonts w:ascii="Times New Roman" w:hAnsi="Times New Roman" w:cs="Times New Roman"/>
          <w:sz w:val="24"/>
          <w:szCs w:val="24"/>
        </w:rPr>
        <w:t>Ministerstwo Rodziny i Polityki Społecznej w sprawozdaniu MRPiPS-05 za 2020 rok</w:t>
      </w:r>
      <w:r w:rsidR="00EF4EA8">
        <w:rPr>
          <w:rFonts w:ascii="Times New Roman" w:hAnsi="Times New Roman" w:cs="Times New Roman"/>
          <w:sz w:val="24"/>
          <w:szCs w:val="24"/>
        </w:rPr>
        <w:t xml:space="preserve"> </w:t>
      </w:r>
      <w:r w:rsidRPr="00CC0390">
        <w:rPr>
          <w:rFonts w:ascii="Times New Roman" w:hAnsi="Times New Roman" w:cs="Times New Roman"/>
          <w:sz w:val="24"/>
          <w:szCs w:val="24"/>
        </w:rPr>
        <w:t>(https://www.gov.pl/web/rodzina/statystyka-za-2020) wykazało dane na temat liczby mieszkańców DPS prowadzonych samodzielnie przez samorządy lub na ich zlecenie, przebywających w domach pomocy społecznej na podstawie decyzji w</w:t>
      </w:r>
      <w:r w:rsidR="00CC0390">
        <w:rPr>
          <w:rFonts w:ascii="Times New Roman" w:hAnsi="Times New Roman" w:cs="Times New Roman"/>
          <w:sz w:val="24"/>
          <w:szCs w:val="24"/>
        </w:rPr>
        <w:t xml:space="preserve">ydanej po 1 stycznia 2004 r. – </w:t>
      </w:r>
      <w:r w:rsidRPr="00CC0390">
        <w:rPr>
          <w:rFonts w:ascii="Times New Roman" w:hAnsi="Times New Roman" w:cs="Times New Roman"/>
          <w:sz w:val="24"/>
          <w:szCs w:val="24"/>
        </w:rPr>
        <w:t>wg form odpłatności:</w:t>
      </w:r>
    </w:p>
    <w:p w14:paraId="4A0C252F" w14:textId="078F9B67" w:rsidR="00F77E4D" w:rsidRDefault="00F77E4D">
      <w:pPr>
        <w:rPr>
          <w:rFonts w:ascii="Times New Roman" w:hAnsi="Times New Roman" w:cs="Times New Roman"/>
          <w:sz w:val="24"/>
          <w:szCs w:val="24"/>
        </w:rPr>
      </w:pPr>
      <w:r>
        <w:rPr>
          <w:rFonts w:ascii="Times New Roman" w:hAnsi="Times New Roman" w:cs="Times New Roman"/>
          <w:sz w:val="24"/>
          <w:szCs w:val="24"/>
        </w:rPr>
        <w:br w:type="page"/>
      </w:r>
    </w:p>
    <w:tbl>
      <w:tblPr>
        <w:tblW w:w="5353" w:type="pct"/>
        <w:jc w:val="center"/>
        <w:tblCellMar>
          <w:left w:w="70" w:type="dxa"/>
          <w:right w:w="70" w:type="dxa"/>
        </w:tblCellMar>
        <w:tblLook w:val="04A0" w:firstRow="1" w:lastRow="0" w:firstColumn="1" w:lastColumn="0" w:noHBand="0" w:noVBand="1"/>
      </w:tblPr>
      <w:tblGrid>
        <w:gridCol w:w="1082"/>
        <w:gridCol w:w="753"/>
        <w:gridCol w:w="1093"/>
        <w:gridCol w:w="935"/>
        <w:gridCol w:w="1095"/>
        <w:gridCol w:w="753"/>
        <w:gridCol w:w="1093"/>
        <w:gridCol w:w="935"/>
        <w:gridCol w:w="1093"/>
        <w:gridCol w:w="1030"/>
      </w:tblGrid>
      <w:tr w:rsidR="00C90804" w:rsidRPr="00CC0390" w14:paraId="53C011F2" w14:textId="77777777" w:rsidTr="00F77E4D">
        <w:trPr>
          <w:trHeight w:val="265"/>
          <w:jc w:val="center"/>
        </w:trPr>
        <w:tc>
          <w:tcPr>
            <w:tcW w:w="549" w:type="pct"/>
            <w:vMerge w:val="restart"/>
            <w:tcBorders>
              <w:top w:val="double" w:sz="6" w:space="0" w:color="000000"/>
              <w:left w:val="single" w:sz="8" w:space="0" w:color="000000"/>
              <w:bottom w:val="single" w:sz="4" w:space="0" w:color="000000"/>
              <w:right w:val="single" w:sz="8" w:space="0" w:color="000000"/>
            </w:tcBorders>
            <w:shd w:val="clear" w:color="auto" w:fill="auto"/>
            <w:noWrap/>
            <w:vAlign w:val="center"/>
            <w:hideMark/>
          </w:tcPr>
          <w:p w14:paraId="4CD13508" w14:textId="77777777" w:rsidR="00C90804" w:rsidRPr="00CC0390" w:rsidRDefault="00C90804" w:rsidP="00CC0390">
            <w:pPr>
              <w:spacing w:line="240" w:lineRule="auto"/>
              <w:jc w:val="center"/>
              <w:rPr>
                <w:rFonts w:ascii="Times New Roman" w:eastAsia="Times New Roman" w:hAnsi="Times New Roman" w:cs="Times New Roman"/>
                <w:b/>
                <w:bCs/>
                <w:sz w:val="20"/>
                <w:szCs w:val="20"/>
                <w:lang w:eastAsia="pl-PL"/>
              </w:rPr>
            </w:pPr>
            <w:r w:rsidRPr="00CC0390">
              <w:rPr>
                <w:rFonts w:ascii="Times New Roman" w:eastAsia="Times New Roman" w:hAnsi="Times New Roman" w:cs="Times New Roman"/>
                <w:b/>
                <w:bCs/>
                <w:sz w:val="20"/>
                <w:szCs w:val="20"/>
                <w:lang w:eastAsia="pl-PL"/>
              </w:rPr>
              <w:lastRenderedPageBreak/>
              <w:t>OGÓŁEM</w:t>
            </w:r>
          </w:p>
        </w:tc>
        <w:tc>
          <w:tcPr>
            <w:tcW w:w="4451" w:type="pct"/>
            <w:gridSpan w:val="9"/>
            <w:tcBorders>
              <w:top w:val="double" w:sz="6" w:space="0" w:color="000000"/>
              <w:left w:val="nil"/>
              <w:bottom w:val="single" w:sz="4" w:space="0" w:color="000000"/>
              <w:right w:val="double" w:sz="6" w:space="0" w:color="000000"/>
            </w:tcBorders>
            <w:shd w:val="clear" w:color="auto" w:fill="auto"/>
            <w:noWrap/>
            <w:vAlign w:val="bottom"/>
            <w:hideMark/>
          </w:tcPr>
          <w:p w14:paraId="10EC492E" w14:textId="77777777" w:rsidR="00C90804" w:rsidRPr="00CC0390" w:rsidRDefault="00C90804" w:rsidP="00CC0390">
            <w:pPr>
              <w:spacing w:line="240" w:lineRule="auto"/>
              <w:jc w:val="center"/>
              <w:rPr>
                <w:rFonts w:ascii="Times New Roman" w:eastAsia="Times New Roman" w:hAnsi="Times New Roman" w:cs="Times New Roman"/>
                <w:sz w:val="20"/>
                <w:szCs w:val="20"/>
                <w:lang w:eastAsia="pl-PL"/>
              </w:rPr>
            </w:pPr>
            <w:r w:rsidRPr="00CC0390">
              <w:rPr>
                <w:rFonts w:ascii="Times New Roman" w:eastAsia="Times New Roman" w:hAnsi="Times New Roman" w:cs="Times New Roman"/>
                <w:sz w:val="20"/>
                <w:szCs w:val="20"/>
                <w:lang w:eastAsia="pl-PL"/>
              </w:rPr>
              <w:t>w tym:</w:t>
            </w:r>
          </w:p>
        </w:tc>
      </w:tr>
      <w:tr w:rsidR="00C90804" w:rsidRPr="00CC0390" w14:paraId="27AC418A" w14:textId="77777777" w:rsidTr="00F77E4D">
        <w:trPr>
          <w:trHeight w:val="265"/>
          <w:jc w:val="center"/>
        </w:trPr>
        <w:tc>
          <w:tcPr>
            <w:tcW w:w="549" w:type="pct"/>
            <w:vMerge/>
            <w:tcBorders>
              <w:top w:val="double" w:sz="6" w:space="0" w:color="000000"/>
              <w:left w:val="single" w:sz="8" w:space="0" w:color="000000"/>
              <w:bottom w:val="single" w:sz="4" w:space="0" w:color="000000"/>
              <w:right w:val="single" w:sz="8" w:space="0" w:color="000000"/>
            </w:tcBorders>
            <w:vAlign w:val="center"/>
            <w:hideMark/>
          </w:tcPr>
          <w:p w14:paraId="0A7D5F83" w14:textId="77777777" w:rsidR="00C90804" w:rsidRPr="00CC0390" w:rsidRDefault="00C90804" w:rsidP="00CC0390">
            <w:pPr>
              <w:spacing w:line="240" w:lineRule="auto"/>
              <w:rPr>
                <w:rFonts w:ascii="Times New Roman" w:eastAsia="Times New Roman" w:hAnsi="Times New Roman" w:cs="Times New Roman"/>
                <w:b/>
                <w:bCs/>
                <w:sz w:val="20"/>
                <w:szCs w:val="20"/>
                <w:lang w:eastAsia="pl-PL"/>
              </w:rPr>
            </w:pPr>
          </w:p>
        </w:tc>
        <w:tc>
          <w:tcPr>
            <w:tcW w:w="1965" w:type="pct"/>
            <w:gridSpan w:val="4"/>
            <w:tcBorders>
              <w:top w:val="single" w:sz="4" w:space="0" w:color="000000"/>
              <w:left w:val="nil"/>
              <w:bottom w:val="single" w:sz="4" w:space="0" w:color="000000"/>
              <w:right w:val="single" w:sz="8" w:space="0" w:color="000000"/>
            </w:tcBorders>
            <w:shd w:val="clear" w:color="auto" w:fill="auto"/>
            <w:noWrap/>
            <w:vAlign w:val="bottom"/>
            <w:hideMark/>
          </w:tcPr>
          <w:p w14:paraId="06C5DBF7" w14:textId="77777777" w:rsidR="00C90804" w:rsidRPr="00CC0390" w:rsidRDefault="00C90804" w:rsidP="00CC0390">
            <w:pPr>
              <w:spacing w:line="240" w:lineRule="auto"/>
              <w:jc w:val="center"/>
              <w:rPr>
                <w:rFonts w:ascii="Times New Roman" w:eastAsia="Times New Roman" w:hAnsi="Times New Roman" w:cs="Times New Roman"/>
                <w:sz w:val="20"/>
                <w:szCs w:val="20"/>
                <w:lang w:eastAsia="pl-PL"/>
              </w:rPr>
            </w:pPr>
            <w:r w:rsidRPr="00CC0390">
              <w:rPr>
                <w:rFonts w:ascii="Times New Roman" w:eastAsia="Times New Roman" w:hAnsi="Times New Roman" w:cs="Times New Roman"/>
                <w:sz w:val="20"/>
                <w:szCs w:val="20"/>
                <w:lang w:eastAsia="pl-PL"/>
              </w:rPr>
              <w:t>wnoszący opłatę za pobyt bez dopłaty gminy</w:t>
            </w:r>
          </w:p>
        </w:tc>
        <w:tc>
          <w:tcPr>
            <w:tcW w:w="2486" w:type="pct"/>
            <w:gridSpan w:val="5"/>
            <w:tcBorders>
              <w:top w:val="single" w:sz="4" w:space="0" w:color="000000"/>
              <w:left w:val="nil"/>
              <w:bottom w:val="single" w:sz="4" w:space="0" w:color="000000"/>
              <w:right w:val="double" w:sz="6" w:space="0" w:color="000000"/>
            </w:tcBorders>
            <w:shd w:val="clear" w:color="auto" w:fill="auto"/>
            <w:noWrap/>
            <w:vAlign w:val="bottom"/>
            <w:hideMark/>
          </w:tcPr>
          <w:p w14:paraId="6F944F1F" w14:textId="77777777" w:rsidR="00C90804" w:rsidRPr="00CC0390" w:rsidRDefault="00C90804" w:rsidP="00CC0390">
            <w:pPr>
              <w:spacing w:line="240" w:lineRule="auto"/>
              <w:jc w:val="center"/>
              <w:rPr>
                <w:rFonts w:ascii="Times New Roman" w:eastAsia="Times New Roman" w:hAnsi="Times New Roman" w:cs="Times New Roman"/>
                <w:sz w:val="20"/>
                <w:szCs w:val="20"/>
                <w:lang w:eastAsia="pl-PL"/>
              </w:rPr>
            </w:pPr>
            <w:r w:rsidRPr="00CC0390">
              <w:rPr>
                <w:rFonts w:ascii="Times New Roman" w:eastAsia="Times New Roman" w:hAnsi="Times New Roman" w:cs="Times New Roman"/>
                <w:sz w:val="20"/>
                <w:szCs w:val="20"/>
                <w:lang w:eastAsia="pl-PL"/>
              </w:rPr>
              <w:t>wnoszący opłatę za pobyt z dopłatą gminy</w:t>
            </w:r>
          </w:p>
        </w:tc>
      </w:tr>
      <w:tr w:rsidR="00C90804" w:rsidRPr="00CC0390" w14:paraId="06F3EF83" w14:textId="77777777" w:rsidTr="00F77E4D">
        <w:trPr>
          <w:trHeight w:val="265"/>
          <w:jc w:val="center"/>
        </w:trPr>
        <w:tc>
          <w:tcPr>
            <w:tcW w:w="549" w:type="pct"/>
            <w:vMerge/>
            <w:tcBorders>
              <w:top w:val="double" w:sz="6" w:space="0" w:color="000000"/>
              <w:left w:val="single" w:sz="8" w:space="0" w:color="000000"/>
              <w:bottom w:val="single" w:sz="4" w:space="0" w:color="000000"/>
              <w:right w:val="single" w:sz="8" w:space="0" w:color="000000"/>
            </w:tcBorders>
            <w:vAlign w:val="center"/>
            <w:hideMark/>
          </w:tcPr>
          <w:p w14:paraId="165B068E" w14:textId="77777777" w:rsidR="00C90804" w:rsidRPr="00CC0390" w:rsidRDefault="00C90804" w:rsidP="00CC0390">
            <w:pPr>
              <w:spacing w:line="240" w:lineRule="auto"/>
              <w:rPr>
                <w:rFonts w:ascii="Times New Roman" w:eastAsia="Times New Roman" w:hAnsi="Times New Roman" w:cs="Times New Roman"/>
                <w:b/>
                <w:bCs/>
                <w:sz w:val="20"/>
                <w:szCs w:val="20"/>
                <w:lang w:eastAsia="pl-PL"/>
              </w:rPr>
            </w:pPr>
          </w:p>
        </w:tc>
        <w:tc>
          <w:tcPr>
            <w:tcW w:w="382" w:type="pct"/>
            <w:vMerge w:val="restart"/>
            <w:tcBorders>
              <w:top w:val="nil"/>
              <w:left w:val="single" w:sz="8" w:space="0" w:color="000000"/>
              <w:bottom w:val="single" w:sz="4" w:space="0" w:color="000000"/>
              <w:right w:val="single" w:sz="4" w:space="0" w:color="000000"/>
            </w:tcBorders>
            <w:shd w:val="clear" w:color="auto" w:fill="auto"/>
            <w:vAlign w:val="center"/>
            <w:hideMark/>
          </w:tcPr>
          <w:p w14:paraId="3D172AA3" w14:textId="77777777" w:rsidR="00C90804" w:rsidRPr="00CC0390" w:rsidRDefault="00C90804" w:rsidP="00CC0390">
            <w:pPr>
              <w:spacing w:line="240" w:lineRule="auto"/>
              <w:jc w:val="center"/>
              <w:rPr>
                <w:rFonts w:ascii="Times New Roman" w:eastAsia="Times New Roman" w:hAnsi="Times New Roman" w:cs="Times New Roman"/>
                <w:sz w:val="20"/>
                <w:szCs w:val="20"/>
                <w:lang w:eastAsia="pl-PL"/>
              </w:rPr>
            </w:pPr>
            <w:r w:rsidRPr="00CC0390">
              <w:rPr>
                <w:rFonts w:ascii="Times New Roman" w:eastAsia="Times New Roman" w:hAnsi="Times New Roman" w:cs="Times New Roman"/>
                <w:sz w:val="20"/>
                <w:szCs w:val="20"/>
                <w:lang w:eastAsia="pl-PL"/>
              </w:rPr>
              <w:t>ogółem</w:t>
            </w:r>
          </w:p>
        </w:tc>
        <w:tc>
          <w:tcPr>
            <w:tcW w:w="1583" w:type="pct"/>
            <w:gridSpan w:val="3"/>
            <w:tcBorders>
              <w:top w:val="single" w:sz="4" w:space="0" w:color="000000"/>
              <w:left w:val="nil"/>
              <w:bottom w:val="single" w:sz="4" w:space="0" w:color="000000"/>
              <w:right w:val="single" w:sz="8" w:space="0" w:color="000000"/>
            </w:tcBorders>
            <w:shd w:val="clear" w:color="auto" w:fill="auto"/>
            <w:noWrap/>
            <w:vAlign w:val="bottom"/>
            <w:hideMark/>
          </w:tcPr>
          <w:p w14:paraId="3CCB79C5" w14:textId="77777777" w:rsidR="00C90804" w:rsidRPr="00CC0390" w:rsidRDefault="00C90804" w:rsidP="00CC0390">
            <w:pPr>
              <w:spacing w:line="240" w:lineRule="auto"/>
              <w:jc w:val="center"/>
              <w:rPr>
                <w:rFonts w:ascii="Times New Roman" w:eastAsia="Times New Roman" w:hAnsi="Times New Roman" w:cs="Times New Roman"/>
                <w:sz w:val="20"/>
                <w:szCs w:val="20"/>
                <w:lang w:eastAsia="pl-PL"/>
              </w:rPr>
            </w:pPr>
            <w:r w:rsidRPr="00CC0390">
              <w:rPr>
                <w:rFonts w:ascii="Times New Roman" w:eastAsia="Times New Roman" w:hAnsi="Times New Roman" w:cs="Times New Roman"/>
                <w:sz w:val="20"/>
                <w:szCs w:val="20"/>
                <w:lang w:eastAsia="pl-PL"/>
              </w:rPr>
              <w:t>w tym opłata wnoszona przez</w:t>
            </w:r>
          </w:p>
        </w:tc>
        <w:tc>
          <w:tcPr>
            <w:tcW w:w="382" w:type="pct"/>
            <w:vMerge w:val="restart"/>
            <w:tcBorders>
              <w:top w:val="nil"/>
              <w:left w:val="single" w:sz="8" w:space="0" w:color="000000"/>
              <w:bottom w:val="single" w:sz="4" w:space="0" w:color="000000"/>
              <w:right w:val="single" w:sz="4" w:space="0" w:color="000000"/>
            </w:tcBorders>
            <w:shd w:val="clear" w:color="auto" w:fill="auto"/>
            <w:vAlign w:val="center"/>
            <w:hideMark/>
          </w:tcPr>
          <w:p w14:paraId="650B4A23" w14:textId="77777777" w:rsidR="00C90804" w:rsidRPr="00CC0390" w:rsidRDefault="00C90804" w:rsidP="00CC0390">
            <w:pPr>
              <w:spacing w:line="240" w:lineRule="auto"/>
              <w:jc w:val="center"/>
              <w:rPr>
                <w:rFonts w:ascii="Times New Roman" w:eastAsia="Times New Roman" w:hAnsi="Times New Roman" w:cs="Times New Roman"/>
                <w:sz w:val="20"/>
                <w:szCs w:val="20"/>
                <w:lang w:eastAsia="pl-PL"/>
              </w:rPr>
            </w:pPr>
            <w:r w:rsidRPr="00CC0390">
              <w:rPr>
                <w:rFonts w:ascii="Times New Roman" w:eastAsia="Times New Roman" w:hAnsi="Times New Roman" w:cs="Times New Roman"/>
                <w:sz w:val="20"/>
                <w:szCs w:val="20"/>
                <w:lang w:eastAsia="pl-PL"/>
              </w:rPr>
              <w:t>ogółem</w:t>
            </w:r>
          </w:p>
        </w:tc>
        <w:tc>
          <w:tcPr>
            <w:tcW w:w="2103" w:type="pct"/>
            <w:gridSpan w:val="4"/>
            <w:tcBorders>
              <w:top w:val="single" w:sz="4" w:space="0" w:color="000000"/>
              <w:left w:val="nil"/>
              <w:bottom w:val="single" w:sz="4" w:space="0" w:color="000000"/>
              <w:right w:val="double" w:sz="6" w:space="0" w:color="000000"/>
            </w:tcBorders>
            <w:shd w:val="clear" w:color="auto" w:fill="auto"/>
            <w:noWrap/>
            <w:vAlign w:val="bottom"/>
            <w:hideMark/>
          </w:tcPr>
          <w:p w14:paraId="7D281D2B" w14:textId="77777777" w:rsidR="00C90804" w:rsidRPr="00CC0390" w:rsidRDefault="00C90804" w:rsidP="00CC0390">
            <w:pPr>
              <w:spacing w:line="240" w:lineRule="auto"/>
              <w:jc w:val="center"/>
              <w:rPr>
                <w:rFonts w:ascii="Times New Roman" w:eastAsia="Times New Roman" w:hAnsi="Times New Roman" w:cs="Times New Roman"/>
                <w:sz w:val="20"/>
                <w:szCs w:val="20"/>
                <w:lang w:eastAsia="pl-PL"/>
              </w:rPr>
            </w:pPr>
            <w:r w:rsidRPr="00CC0390">
              <w:rPr>
                <w:rFonts w:ascii="Times New Roman" w:eastAsia="Times New Roman" w:hAnsi="Times New Roman" w:cs="Times New Roman"/>
                <w:sz w:val="20"/>
                <w:szCs w:val="20"/>
                <w:lang w:eastAsia="pl-PL"/>
              </w:rPr>
              <w:t>w tym opłata wnoszona przez</w:t>
            </w:r>
          </w:p>
        </w:tc>
      </w:tr>
      <w:tr w:rsidR="00C90804" w:rsidRPr="00CC0390" w14:paraId="12002625" w14:textId="77777777" w:rsidTr="00F77E4D">
        <w:trPr>
          <w:trHeight w:val="597"/>
          <w:jc w:val="center"/>
        </w:trPr>
        <w:tc>
          <w:tcPr>
            <w:tcW w:w="549" w:type="pct"/>
            <w:vMerge/>
            <w:tcBorders>
              <w:top w:val="double" w:sz="6" w:space="0" w:color="000000"/>
              <w:left w:val="single" w:sz="8" w:space="0" w:color="000000"/>
              <w:bottom w:val="single" w:sz="4" w:space="0" w:color="000000"/>
              <w:right w:val="single" w:sz="8" w:space="0" w:color="000000"/>
            </w:tcBorders>
            <w:vAlign w:val="center"/>
            <w:hideMark/>
          </w:tcPr>
          <w:p w14:paraId="573835DA" w14:textId="77777777" w:rsidR="00C90804" w:rsidRPr="00CC0390" w:rsidRDefault="00C90804" w:rsidP="00CC0390">
            <w:pPr>
              <w:spacing w:line="240" w:lineRule="auto"/>
              <w:rPr>
                <w:rFonts w:ascii="Times New Roman" w:eastAsia="Times New Roman" w:hAnsi="Times New Roman" w:cs="Times New Roman"/>
                <w:b/>
                <w:bCs/>
                <w:sz w:val="20"/>
                <w:szCs w:val="20"/>
                <w:lang w:eastAsia="pl-PL"/>
              </w:rPr>
            </w:pPr>
          </w:p>
        </w:tc>
        <w:tc>
          <w:tcPr>
            <w:tcW w:w="382" w:type="pct"/>
            <w:vMerge/>
            <w:tcBorders>
              <w:top w:val="nil"/>
              <w:left w:val="single" w:sz="8" w:space="0" w:color="000000"/>
              <w:bottom w:val="single" w:sz="4" w:space="0" w:color="000000"/>
              <w:right w:val="single" w:sz="4" w:space="0" w:color="000000"/>
            </w:tcBorders>
            <w:vAlign w:val="center"/>
            <w:hideMark/>
          </w:tcPr>
          <w:p w14:paraId="2276CE0E" w14:textId="77777777" w:rsidR="00C90804" w:rsidRPr="00CC0390" w:rsidRDefault="00C90804" w:rsidP="00CC0390">
            <w:pPr>
              <w:spacing w:line="240" w:lineRule="auto"/>
              <w:rPr>
                <w:rFonts w:ascii="Times New Roman" w:eastAsia="Times New Roman" w:hAnsi="Times New Roman" w:cs="Times New Roman"/>
                <w:sz w:val="20"/>
                <w:szCs w:val="20"/>
                <w:lang w:eastAsia="pl-PL"/>
              </w:rPr>
            </w:pPr>
          </w:p>
        </w:tc>
        <w:tc>
          <w:tcPr>
            <w:tcW w:w="554"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42CBAB1B" w14:textId="77777777" w:rsidR="00C90804" w:rsidRPr="00CC0390" w:rsidRDefault="00C90804" w:rsidP="00CC0390">
            <w:pPr>
              <w:spacing w:line="240" w:lineRule="auto"/>
              <w:jc w:val="center"/>
              <w:rPr>
                <w:rFonts w:ascii="Times New Roman" w:eastAsia="Times New Roman" w:hAnsi="Times New Roman" w:cs="Times New Roman"/>
                <w:sz w:val="20"/>
                <w:szCs w:val="20"/>
                <w:lang w:eastAsia="pl-PL"/>
              </w:rPr>
            </w:pPr>
            <w:r w:rsidRPr="00CC0390">
              <w:rPr>
                <w:rFonts w:ascii="Times New Roman" w:eastAsia="Times New Roman" w:hAnsi="Times New Roman" w:cs="Times New Roman"/>
                <w:sz w:val="20"/>
                <w:szCs w:val="20"/>
                <w:lang w:eastAsia="pl-PL"/>
              </w:rPr>
              <w:t>mieszkańca</w:t>
            </w:r>
          </w:p>
        </w:tc>
        <w:tc>
          <w:tcPr>
            <w:tcW w:w="474"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1A6FF13E" w14:textId="77777777" w:rsidR="00C90804" w:rsidRPr="00CC0390" w:rsidRDefault="00C90804" w:rsidP="00CC0390">
            <w:pPr>
              <w:spacing w:line="240" w:lineRule="auto"/>
              <w:jc w:val="center"/>
              <w:rPr>
                <w:rFonts w:ascii="Times New Roman" w:eastAsia="Times New Roman" w:hAnsi="Times New Roman" w:cs="Times New Roman"/>
                <w:sz w:val="20"/>
                <w:szCs w:val="20"/>
                <w:lang w:eastAsia="pl-PL"/>
              </w:rPr>
            </w:pPr>
            <w:r w:rsidRPr="00CC0390">
              <w:rPr>
                <w:rFonts w:ascii="Times New Roman" w:eastAsia="Times New Roman" w:hAnsi="Times New Roman" w:cs="Times New Roman"/>
                <w:sz w:val="20"/>
                <w:szCs w:val="20"/>
                <w:lang w:eastAsia="pl-PL"/>
              </w:rPr>
              <w:t>członków rodziny</w:t>
            </w:r>
          </w:p>
        </w:tc>
        <w:tc>
          <w:tcPr>
            <w:tcW w:w="554" w:type="pct"/>
            <w:vMerge w:val="restart"/>
            <w:tcBorders>
              <w:top w:val="nil"/>
              <w:left w:val="single" w:sz="4" w:space="0" w:color="000000"/>
              <w:bottom w:val="single" w:sz="4" w:space="0" w:color="000000"/>
              <w:right w:val="single" w:sz="8" w:space="0" w:color="000000"/>
            </w:tcBorders>
            <w:shd w:val="clear" w:color="auto" w:fill="auto"/>
            <w:vAlign w:val="center"/>
            <w:hideMark/>
          </w:tcPr>
          <w:p w14:paraId="5386A779" w14:textId="77777777" w:rsidR="00C90804" w:rsidRPr="00CC0390" w:rsidRDefault="00C90804" w:rsidP="00CC0390">
            <w:pPr>
              <w:spacing w:line="240" w:lineRule="auto"/>
              <w:jc w:val="center"/>
              <w:rPr>
                <w:rFonts w:ascii="Times New Roman" w:eastAsia="Times New Roman" w:hAnsi="Times New Roman" w:cs="Times New Roman"/>
                <w:sz w:val="20"/>
                <w:szCs w:val="20"/>
                <w:lang w:eastAsia="pl-PL"/>
              </w:rPr>
            </w:pPr>
            <w:r w:rsidRPr="00CC0390">
              <w:rPr>
                <w:rFonts w:ascii="Times New Roman" w:eastAsia="Times New Roman" w:hAnsi="Times New Roman" w:cs="Times New Roman"/>
                <w:sz w:val="20"/>
                <w:szCs w:val="20"/>
                <w:lang w:eastAsia="pl-PL"/>
              </w:rPr>
              <w:t xml:space="preserve">mieszkańca </w:t>
            </w:r>
            <w:r w:rsidRPr="00CC0390">
              <w:rPr>
                <w:rFonts w:ascii="Times New Roman" w:eastAsia="Times New Roman" w:hAnsi="Times New Roman" w:cs="Times New Roman"/>
                <w:sz w:val="20"/>
                <w:szCs w:val="20"/>
                <w:lang w:eastAsia="pl-PL"/>
              </w:rPr>
              <w:br/>
              <w:t>i członków rodziny</w:t>
            </w:r>
          </w:p>
        </w:tc>
        <w:tc>
          <w:tcPr>
            <w:tcW w:w="382" w:type="pct"/>
            <w:vMerge/>
            <w:tcBorders>
              <w:top w:val="nil"/>
              <w:left w:val="single" w:sz="8" w:space="0" w:color="000000"/>
              <w:bottom w:val="single" w:sz="4" w:space="0" w:color="000000"/>
              <w:right w:val="single" w:sz="4" w:space="0" w:color="000000"/>
            </w:tcBorders>
            <w:vAlign w:val="center"/>
            <w:hideMark/>
          </w:tcPr>
          <w:p w14:paraId="6FD39F87" w14:textId="77777777" w:rsidR="00C90804" w:rsidRPr="00CC0390" w:rsidRDefault="00C90804" w:rsidP="00CC0390">
            <w:pPr>
              <w:spacing w:line="240" w:lineRule="auto"/>
              <w:rPr>
                <w:rFonts w:ascii="Times New Roman" w:eastAsia="Times New Roman" w:hAnsi="Times New Roman" w:cs="Times New Roman"/>
                <w:sz w:val="20"/>
                <w:szCs w:val="20"/>
                <w:lang w:eastAsia="pl-PL"/>
              </w:rPr>
            </w:pPr>
          </w:p>
        </w:tc>
        <w:tc>
          <w:tcPr>
            <w:tcW w:w="554"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249BDE54" w14:textId="77777777" w:rsidR="00C90804" w:rsidRPr="00CC0390" w:rsidRDefault="00C90804" w:rsidP="00CC0390">
            <w:pPr>
              <w:spacing w:line="240" w:lineRule="auto"/>
              <w:jc w:val="center"/>
              <w:rPr>
                <w:rFonts w:ascii="Times New Roman" w:eastAsia="Times New Roman" w:hAnsi="Times New Roman" w:cs="Times New Roman"/>
                <w:sz w:val="20"/>
                <w:szCs w:val="20"/>
                <w:lang w:eastAsia="pl-PL"/>
              </w:rPr>
            </w:pPr>
            <w:r w:rsidRPr="00CC0390">
              <w:rPr>
                <w:rFonts w:ascii="Times New Roman" w:eastAsia="Times New Roman" w:hAnsi="Times New Roman" w:cs="Times New Roman"/>
                <w:sz w:val="20"/>
                <w:szCs w:val="20"/>
                <w:lang w:eastAsia="pl-PL"/>
              </w:rPr>
              <w:t>mieszkańca</w:t>
            </w:r>
          </w:p>
        </w:tc>
        <w:tc>
          <w:tcPr>
            <w:tcW w:w="474"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0AACFFBB" w14:textId="77777777" w:rsidR="00C90804" w:rsidRPr="00CC0390" w:rsidRDefault="00C90804" w:rsidP="00CC0390">
            <w:pPr>
              <w:spacing w:line="240" w:lineRule="auto"/>
              <w:jc w:val="center"/>
              <w:rPr>
                <w:rFonts w:ascii="Times New Roman" w:eastAsia="Times New Roman" w:hAnsi="Times New Roman" w:cs="Times New Roman"/>
                <w:sz w:val="20"/>
                <w:szCs w:val="20"/>
                <w:lang w:eastAsia="pl-PL"/>
              </w:rPr>
            </w:pPr>
            <w:r w:rsidRPr="00CC0390">
              <w:rPr>
                <w:rFonts w:ascii="Times New Roman" w:eastAsia="Times New Roman" w:hAnsi="Times New Roman" w:cs="Times New Roman"/>
                <w:sz w:val="20"/>
                <w:szCs w:val="20"/>
                <w:lang w:eastAsia="pl-PL"/>
              </w:rPr>
              <w:t>członków rodziny</w:t>
            </w:r>
          </w:p>
        </w:tc>
        <w:tc>
          <w:tcPr>
            <w:tcW w:w="554"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29DB59CA" w14:textId="77777777" w:rsidR="00C90804" w:rsidRPr="00CC0390" w:rsidRDefault="00C90804" w:rsidP="00CC0390">
            <w:pPr>
              <w:spacing w:line="240" w:lineRule="auto"/>
              <w:jc w:val="center"/>
              <w:rPr>
                <w:rFonts w:ascii="Times New Roman" w:eastAsia="Times New Roman" w:hAnsi="Times New Roman" w:cs="Times New Roman"/>
                <w:sz w:val="20"/>
                <w:szCs w:val="20"/>
                <w:lang w:eastAsia="pl-PL"/>
              </w:rPr>
            </w:pPr>
            <w:r w:rsidRPr="00CC0390">
              <w:rPr>
                <w:rFonts w:ascii="Times New Roman" w:eastAsia="Times New Roman" w:hAnsi="Times New Roman" w:cs="Times New Roman"/>
                <w:sz w:val="20"/>
                <w:szCs w:val="20"/>
                <w:lang w:eastAsia="pl-PL"/>
              </w:rPr>
              <w:t xml:space="preserve">mieszkańca </w:t>
            </w:r>
            <w:r w:rsidRPr="00CC0390">
              <w:rPr>
                <w:rFonts w:ascii="Times New Roman" w:eastAsia="Times New Roman" w:hAnsi="Times New Roman" w:cs="Times New Roman"/>
                <w:sz w:val="20"/>
                <w:szCs w:val="20"/>
                <w:lang w:eastAsia="pl-PL"/>
              </w:rPr>
              <w:br/>
              <w:t>i członków rodziny</w:t>
            </w:r>
          </w:p>
        </w:tc>
        <w:tc>
          <w:tcPr>
            <w:tcW w:w="520" w:type="pct"/>
            <w:vMerge w:val="restart"/>
            <w:tcBorders>
              <w:top w:val="nil"/>
              <w:left w:val="single" w:sz="4" w:space="0" w:color="000000"/>
              <w:bottom w:val="single" w:sz="4" w:space="0" w:color="000000"/>
              <w:right w:val="double" w:sz="6" w:space="0" w:color="000000"/>
            </w:tcBorders>
            <w:shd w:val="clear" w:color="auto" w:fill="auto"/>
            <w:vAlign w:val="center"/>
            <w:hideMark/>
          </w:tcPr>
          <w:p w14:paraId="5F105E57" w14:textId="77777777" w:rsidR="00C90804" w:rsidRPr="00CC0390" w:rsidRDefault="00C90804" w:rsidP="00CC0390">
            <w:pPr>
              <w:spacing w:line="240" w:lineRule="auto"/>
              <w:jc w:val="center"/>
              <w:rPr>
                <w:rFonts w:ascii="Times New Roman" w:eastAsia="Times New Roman" w:hAnsi="Times New Roman" w:cs="Times New Roman"/>
                <w:sz w:val="20"/>
                <w:szCs w:val="20"/>
                <w:lang w:eastAsia="pl-PL"/>
              </w:rPr>
            </w:pPr>
            <w:r w:rsidRPr="00CC0390">
              <w:rPr>
                <w:rFonts w:ascii="Times New Roman" w:eastAsia="Times New Roman" w:hAnsi="Times New Roman" w:cs="Times New Roman"/>
                <w:sz w:val="20"/>
                <w:szCs w:val="20"/>
                <w:lang w:eastAsia="pl-PL"/>
              </w:rPr>
              <w:t>pełna odpłatność gminy</w:t>
            </w:r>
          </w:p>
        </w:tc>
      </w:tr>
      <w:tr w:rsidR="00C90804" w:rsidRPr="00CC0390" w14:paraId="0658EF59" w14:textId="77777777" w:rsidTr="00F77E4D">
        <w:trPr>
          <w:trHeight w:val="597"/>
          <w:jc w:val="center"/>
        </w:trPr>
        <w:tc>
          <w:tcPr>
            <w:tcW w:w="549" w:type="pct"/>
            <w:vMerge/>
            <w:tcBorders>
              <w:top w:val="double" w:sz="6" w:space="0" w:color="000000"/>
              <w:left w:val="single" w:sz="8" w:space="0" w:color="000000"/>
              <w:bottom w:val="single" w:sz="4" w:space="0" w:color="000000"/>
              <w:right w:val="single" w:sz="8" w:space="0" w:color="000000"/>
            </w:tcBorders>
            <w:vAlign w:val="center"/>
            <w:hideMark/>
          </w:tcPr>
          <w:p w14:paraId="2AC41A8E" w14:textId="77777777" w:rsidR="00C90804" w:rsidRPr="00CC0390" w:rsidRDefault="00C90804" w:rsidP="00CC0390">
            <w:pPr>
              <w:spacing w:line="240" w:lineRule="auto"/>
              <w:rPr>
                <w:rFonts w:ascii="Times New Roman" w:eastAsia="Times New Roman" w:hAnsi="Times New Roman" w:cs="Times New Roman"/>
                <w:b/>
                <w:bCs/>
                <w:sz w:val="20"/>
                <w:szCs w:val="20"/>
                <w:lang w:eastAsia="pl-PL"/>
              </w:rPr>
            </w:pPr>
          </w:p>
        </w:tc>
        <w:tc>
          <w:tcPr>
            <w:tcW w:w="382" w:type="pct"/>
            <w:vMerge/>
            <w:tcBorders>
              <w:top w:val="nil"/>
              <w:left w:val="single" w:sz="8" w:space="0" w:color="000000"/>
              <w:bottom w:val="single" w:sz="4" w:space="0" w:color="000000"/>
              <w:right w:val="single" w:sz="4" w:space="0" w:color="000000"/>
            </w:tcBorders>
            <w:vAlign w:val="center"/>
            <w:hideMark/>
          </w:tcPr>
          <w:p w14:paraId="403B8D82" w14:textId="77777777" w:rsidR="00C90804" w:rsidRPr="00CC0390" w:rsidRDefault="00C90804" w:rsidP="00CC0390">
            <w:pPr>
              <w:spacing w:line="240" w:lineRule="auto"/>
              <w:rPr>
                <w:rFonts w:ascii="Times New Roman" w:eastAsia="Times New Roman" w:hAnsi="Times New Roman" w:cs="Times New Roman"/>
                <w:sz w:val="20"/>
                <w:szCs w:val="20"/>
                <w:lang w:eastAsia="pl-PL"/>
              </w:rPr>
            </w:pPr>
          </w:p>
        </w:tc>
        <w:tc>
          <w:tcPr>
            <w:tcW w:w="554" w:type="pct"/>
            <w:vMerge/>
            <w:tcBorders>
              <w:top w:val="nil"/>
              <w:left w:val="single" w:sz="4" w:space="0" w:color="000000"/>
              <w:bottom w:val="single" w:sz="4" w:space="0" w:color="000000"/>
              <w:right w:val="single" w:sz="4" w:space="0" w:color="000000"/>
            </w:tcBorders>
            <w:vAlign w:val="center"/>
            <w:hideMark/>
          </w:tcPr>
          <w:p w14:paraId="47B0787C" w14:textId="77777777" w:rsidR="00C90804" w:rsidRPr="00CC0390" w:rsidRDefault="00C90804" w:rsidP="00CC0390">
            <w:pPr>
              <w:spacing w:line="240" w:lineRule="auto"/>
              <w:rPr>
                <w:rFonts w:ascii="Times New Roman" w:eastAsia="Times New Roman" w:hAnsi="Times New Roman" w:cs="Times New Roman"/>
                <w:sz w:val="20"/>
                <w:szCs w:val="20"/>
                <w:lang w:eastAsia="pl-PL"/>
              </w:rPr>
            </w:pPr>
          </w:p>
        </w:tc>
        <w:tc>
          <w:tcPr>
            <w:tcW w:w="474" w:type="pct"/>
            <w:vMerge/>
            <w:tcBorders>
              <w:top w:val="nil"/>
              <w:left w:val="single" w:sz="4" w:space="0" w:color="000000"/>
              <w:bottom w:val="single" w:sz="4" w:space="0" w:color="000000"/>
              <w:right w:val="single" w:sz="4" w:space="0" w:color="000000"/>
            </w:tcBorders>
            <w:vAlign w:val="center"/>
            <w:hideMark/>
          </w:tcPr>
          <w:p w14:paraId="580B1918" w14:textId="77777777" w:rsidR="00C90804" w:rsidRPr="00CC0390" w:rsidRDefault="00C90804" w:rsidP="00CC0390">
            <w:pPr>
              <w:spacing w:line="240" w:lineRule="auto"/>
              <w:rPr>
                <w:rFonts w:ascii="Times New Roman" w:eastAsia="Times New Roman" w:hAnsi="Times New Roman" w:cs="Times New Roman"/>
                <w:sz w:val="20"/>
                <w:szCs w:val="20"/>
                <w:lang w:eastAsia="pl-PL"/>
              </w:rPr>
            </w:pPr>
          </w:p>
        </w:tc>
        <w:tc>
          <w:tcPr>
            <w:tcW w:w="554" w:type="pct"/>
            <w:vMerge/>
            <w:tcBorders>
              <w:top w:val="nil"/>
              <w:left w:val="single" w:sz="4" w:space="0" w:color="000000"/>
              <w:bottom w:val="single" w:sz="4" w:space="0" w:color="000000"/>
              <w:right w:val="single" w:sz="8" w:space="0" w:color="000000"/>
            </w:tcBorders>
            <w:vAlign w:val="center"/>
            <w:hideMark/>
          </w:tcPr>
          <w:p w14:paraId="3CCE84B6" w14:textId="77777777" w:rsidR="00C90804" w:rsidRPr="00CC0390" w:rsidRDefault="00C90804" w:rsidP="00CC0390">
            <w:pPr>
              <w:spacing w:line="240" w:lineRule="auto"/>
              <w:rPr>
                <w:rFonts w:ascii="Times New Roman" w:eastAsia="Times New Roman" w:hAnsi="Times New Roman" w:cs="Times New Roman"/>
                <w:sz w:val="20"/>
                <w:szCs w:val="20"/>
                <w:lang w:eastAsia="pl-PL"/>
              </w:rPr>
            </w:pPr>
          </w:p>
        </w:tc>
        <w:tc>
          <w:tcPr>
            <w:tcW w:w="382" w:type="pct"/>
            <w:vMerge/>
            <w:tcBorders>
              <w:top w:val="nil"/>
              <w:left w:val="single" w:sz="8" w:space="0" w:color="000000"/>
              <w:bottom w:val="single" w:sz="4" w:space="0" w:color="000000"/>
              <w:right w:val="single" w:sz="4" w:space="0" w:color="000000"/>
            </w:tcBorders>
            <w:vAlign w:val="center"/>
            <w:hideMark/>
          </w:tcPr>
          <w:p w14:paraId="59C60F89" w14:textId="77777777" w:rsidR="00C90804" w:rsidRPr="00CC0390" w:rsidRDefault="00C90804" w:rsidP="00CC0390">
            <w:pPr>
              <w:spacing w:line="240" w:lineRule="auto"/>
              <w:rPr>
                <w:rFonts w:ascii="Times New Roman" w:eastAsia="Times New Roman" w:hAnsi="Times New Roman" w:cs="Times New Roman"/>
                <w:sz w:val="20"/>
                <w:szCs w:val="20"/>
                <w:lang w:eastAsia="pl-PL"/>
              </w:rPr>
            </w:pPr>
          </w:p>
        </w:tc>
        <w:tc>
          <w:tcPr>
            <w:tcW w:w="554" w:type="pct"/>
            <w:vMerge/>
            <w:tcBorders>
              <w:top w:val="nil"/>
              <w:left w:val="single" w:sz="4" w:space="0" w:color="000000"/>
              <w:bottom w:val="single" w:sz="4" w:space="0" w:color="000000"/>
              <w:right w:val="single" w:sz="4" w:space="0" w:color="000000"/>
            </w:tcBorders>
            <w:vAlign w:val="center"/>
            <w:hideMark/>
          </w:tcPr>
          <w:p w14:paraId="1E4ED74F" w14:textId="77777777" w:rsidR="00C90804" w:rsidRPr="00CC0390" w:rsidRDefault="00C90804" w:rsidP="00CC0390">
            <w:pPr>
              <w:spacing w:line="240" w:lineRule="auto"/>
              <w:rPr>
                <w:rFonts w:ascii="Times New Roman" w:eastAsia="Times New Roman" w:hAnsi="Times New Roman" w:cs="Times New Roman"/>
                <w:sz w:val="20"/>
                <w:szCs w:val="20"/>
                <w:lang w:eastAsia="pl-PL"/>
              </w:rPr>
            </w:pPr>
          </w:p>
        </w:tc>
        <w:tc>
          <w:tcPr>
            <w:tcW w:w="474" w:type="pct"/>
            <w:vMerge/>
            <w:tcBorders>
              <w:top w:val="nil"/>
              <w:left w:val="single" w:sz="4" w:space="0" w:color="000000"/>
              <w:bottom w:val="single" w:sz="4" w:space="0" w:color="000000"/>
              <w:right w:val="single" w:sz="4" w:space="0" w:color="000000"/>
            </w:tcBorders>
            <w:vAlign w:val="center"/>
            <w:hideMark/>
          </w:tcPr>
          <w:p w14:paraId="51A6B1B0" w14:textId="77777777" w:rsidR="00C90804" w:rsidRPr="00CC0390" w:rsidRDefault="00C90804" w:rsidP="00CC0390">
            <w:pPr>
              <w:spacing w:line="240" w:lineRule="auto"/>
              <w:rPr>
                <w:rFonts w:ascii="Times New Roman" w:eastAsia="Times New Roman" w:hAnsi="Times New Roman" w:cs="Times New Roman"/>
                <w:sz w:val="20"/>
                <w:szCs w:val="20"/>
                <w:lang w:eastAsia="pl-PL"/>
              </w:rPr>
            </w:pPr>
          </w:p>
        </w:tc>
        <w:tc>
          <w:tcPr>
            <w:tcW w:w="554" w:type="pct"/>
            <w:vMerge/>
            <w:tcBorders>
              <w:top w:val="nil"/>
              <w:left w:val="single" w:sz="4" w:space="0" w:color="000000"/>
              <w:bottom w:val="single" w:sz="4" w:space="0" w:color="000000"/>
              <w:right w:val="single" w:sz="4" w:space="0" w:color="000000"/>
            </w:tcBorders>
            <w:vAlign w:val="center"/>
            <w:hideMark/>
          </w:tcPr>
          <w:p w14:paraId="02FB8B6D" w14:textId="77777777" w:rsidR="00C90804" w:rsidRPr="00CC0390" w:rsidRDefault="00C90804" w:rsidP="00CC0390">
            <w:pPr>
              <w:spacing w:line="240" w:lineRule="auto"/>
              <w:rPr>
                <w:rFonts w:ascii="Times New Roman" w:eastAsia="Times New Roman" w:hAnsi="Times New Roman" w:cs="Times New Roman"/>
                <w:sz w:val="20"/>
                <w:szCs w:val="20"/>
                <w:lang w:eastAsia="pl-PL"/>
              </w:rPr>
            </w:pPr>
          </w:p>
        </w:tc>
        <w:tc>
          <w:tcPr>
            <w:tcW w:w="520" w:type="pct"/>
            <w:vMerge/>
            <w:tcBorders>
              <w:top w:val="nil"/>
              <w:left w:val="single" w:sz="4" w:space="0" w:color="000000"/>
              <w:bottom w:val="single" w:sz="4" w:space="0" w:color="000000"/>
              <w:right w:val="double" w:sz="6" w:space="0" w:color="000000"/>
            </w:tcBorders>
            <w:vAlign w:val="center"/>
            <w:hideMark/>
          </w:tcPr>
          <w:p w14:paraId="072089F3" w14:textId="77777777" w:rsidR="00C90804" w:rsidRPr="00CC0390" w:rsidRDefault="00C90804" w:rsidP="00CC0390">
            <w:pPr>
              <w:spacing w:line="240" w:lineRule="auto"/>
              <w:rPr>
                <w:rFonts w:ascii="Times New Roman" w:eastAsia="Times New Roman" w:hAnsi="Times New Roman" w:cs="Times New Roman"/>
                <w:sz w:val="20"/>
                <w:szCs w:val="20"/>
                <w:lang w:eastAsia="pl-PL"/>
              </w:rPr>
            </w:pPr>
          </w:p>
        </w:tc>
      </w:tr>
      <w:tr w:rsidR="00C90804" w:rsidRPr="00CC0390" w14:paraId="774E2807" w14:textId="77777777" w:rsidTr="00F77E4D">
        <w:trPr>
          <w:trHeight w:val="343"/>
          <w:jc w:val="center"/>
        </w:trPr>
        <w:tc>
          <w:tcPr>
            <w:tcW w:w="549" w:type="pct"/>
            <w:tcBorders>
              <w:top w:val="single" w:sz="8" w:space="0" w:color="000000"/>
              <w:left w:val="single" w:sz="8" w:space="0" w:color="000000"/>
              <w:bottom w:val="double" w:sz="6" w:space="0" w:color="000000"/>
              <w:right w:val="single" w:sz="8" w:space="0" w:color="000000"/>
            </w:tcBorders>
            <w:shd w:val="clear" w:color="auto" w:fill="auto"/>
            <w:noWrap/>
            <w:vAlign w:val="bottom"/>
            <w:hideMark/>
          </w:tcPr>
          <w:p w14:paraId="1CE2D90E" w14:textId="77777777" w:rsidR="00C90804" w:rsidRPr="00CC0390" w:rsidRDefault="00C90804" w:rsidP="00CC0390">
            <w:pPr>
              <w:spacing w:line="240" w:lineRule="auto"/>
              <w:jc w:val="right"/>
              <w:rPr>
                <w:rFonts w:ascii="Times New Roman" w:eastAsia="Times New Roman" w:hAnsi="Times New Roman" w:cs="Times New Roman"/>
                <w:b/>
                <w:bCs/>
                <w:sz w:val="20"/>
                <w:szCs w:val="20"/>
                <w:lang w:eastAsia="pl-PL"/>
              </w:rPr>
            </w:pPr>
            <w:r w:rsidRPr="00CC0390">
              <w:rPr>
                <w:rFonts w:ascii="Times New Roman" w:eastAsia="Times New Roman" w:hAnsi="Times New Roman" w:cs="Times New Roman"/>
                <w:b/>
                <w:bCs/>
                <w:sz w:val="20"/>
                <w:szCs w:val="20"/>
                <w:lang w:eastAsia="pl-PL"/>
              </w:rPr>
              <w:t>53 148</w:t>
            </w:r>
          </w:p>
        </w:tc>
        <w:tc>
          <w:tcPr>
            <w:tcW w:w="382" w:type="pct"/>
            <w:tcBorders>
              <w:top w:val="nil"/>
              <w:left w:val="nil"/>
              <w:bottom w:val="double" w:sz="6" w:space="0" w:color="000000"/>
              <w:right w:val="single" w:sz="4" w:space="0" w:color="000000"/>
            </w:tcBorders>
            <w:shd w:val="clear" w:color="auto" w:fill="auto"/>
            <w:noWrap/>
            <w:vAlign w:val="bottom"/>
            <w:hideMark/>
          </w:tcPr>
          <w:p w14:paraId="45ADAD5A" w14:textId="77777777" w:rsidR="00C90804" w:rsidRPr="00CC0390" w:rsidRDefault="00C90804" w:rsidP="00CC0390">
            <w:pPr>
              <w:spacing w:line="240" w:lineRule="auto"/>
              <w:jc w:val="right"/>
              <w:rPr>
                <w:rFonts w:ascii="Times New Roman" w:eastAsia="Times New Roman" w:hAnsi="Times New Roman" w:cs="Times New Roman"/>
                <w:b/>
                <w:bCs/>
                <w:sz w:val="20"/>
                <w:szCs w:val="20"/>
                <w:lang w:eastAsia="pl-PL"/>
              </w:rPr>
            </w:pPr>
            <w:r w:rsidRPr="00CC0390">
              <w:rPr>
                <w:rFonts w:ascii="Times New Roman" w:eastAsia="Times New Roman" w:hAnsi="Times New Roman" w:cs="Times New Roman"/>
                <w:b/>
                <w:bCs/>
                <w:sz w:val="20"/>
                <w:szCs w:val="20"/>
                <w:lang w:eastAsia="pl-PL"/>
              </w:rPr>
              <w:t>1 316</w:t>
            </w:r>
          </w:p>
        </w:tc>
        <w:tc>
          <w:tcPr>
            <w:tcW w:w="554" w:type="pct"/>
            <w:tcBorders>
              <w:top w:val="nil"/>
              <w:left w:val="nil"/>
              <w:bottom w:val="double" w:sz="6" w:space="0" w:color="000000"/>
              <w:right w:val="single" w:sz="4" w:space="0" w:color="000000"/>
            </w:tcBorders>
            <w:shd w:val="clear" w:color="auto" w:fill="auto"/>
            <w:noWrap/>
            <w:vAlign w:val="bottom"/>
            <w:hideMark/>
          </w:tcPr>
          <w:p w14:paraId="32E042A4" w14:textId="77777777" w:rsidR="00C90804" w:rsidRPr="00CC0390" w:rsidRDefault="00C90804" w:rsidP="00CC0390">
            <w:pPr>
              <w:spacing w:line="240" w:lineRule="auto"/>
              <w:jc w:val="right"/>
              <w:rPr>
                <w:rFonts w:ascii="Times New Roman" w:eastAsia="Times New Roman" w:hAnsi="Times New Roman" w:cs="Times New Roman"/>
                <w:b/>
                <w:bCs/>
                <w:sz w:val="20"/>
                <w:szCs w:val="20"/>
                <w:lang w:eastAsia="pl-PL"/>
              </w:rPr>
            </w:pPr>
            <w:r w:rsidRPr="00CC0390">
              <w:rPr>
                <w:rFonts w:ascii="Times New Roman" w:eastAsia="Times New Roman" w:hAnsi="Times New Roman" w:cs="Times New Roman"/>
                <w:b/>
                <w:bCs/>
                <w:sz w:val="20"/>
                <w:szCs w:val="20"/>
                <w:lang w:eastAsia="pl-PL"/>
              </w:rPr>
              <w:t>471</w:t>
            </w:r>
          </w:p>
        </w:tc>
        <w:tc>
          <w:tcPr>
            <w:tcW w:w="474" w:type="pct"/>
            <w:tcBorders>
              <w:top w:val="nil"/>
              <w:left w:val="nil"/>
              <w:bottom w:val="double" w:sz="6" w:space="0" w:color="000000"/>
              <w:right w:val="single" w:sz="4" w:space="0" w:color="000000"/>
            </w:tcBorders>
            <w:shd w:val="clear" w:color="auto" w:fill="auto"/>
            <w:noWrap/>
            <w:vAlign w:val="bottom"/>
            <w:hideMark/>
          </w:tcPr>
          <w:p w14:paraId="60696B76" w14:textId="77777777" w:rsidR="00C90804" w:rsidRPr="00CC0390" w:rsidRDefault="00C90804" w:rsidP="00CC0390">
            <w:pPr>
              <w:spacing w:line="240" w:lineRule="auto"/>
              <w:jc w:val="right"/>
              <w:rPr>
                <w:rFonts w:ascii="Times New Roman" w:eastAsia="Times New Roman" w:hAnsi="Times New Roman" w:cs="Times New Roman"/>
                <w:b/>
                <w:bCs/>
                <w:sz w:val="20"/>
                <w:szCs w:val="20"/>
                <w:lang w:eastAsia="pl-PL"/>
              </w:rPr>
            </w:pPr>
            <w:r w:rsidRPr="00CC0390">
              <w:rPr>
                <w:rFonts w:ascii="Times New Roman" w:eastAsia="Times New Roman" w:hAnsi="Times New Roman" w:cs="Times New Roman"/>
                <w:b/>
                <w:bCs/>
                <w:sz w:val="20"/>
                <w:szCs w:val="20"/>
                <w:lang w:eastAsia="pl-PL"/>
              </w:rPr>
              <w:t>37</w:t>
            </w:r>
          </w:p>
        </w:tc>
        <w:tc>
          <w:tcPr>
            <w:tcW w:w="554" w:type="pct"/>
            <w:tcBorders>
              <w:top w:val="nil"/>
              <w:left w:val="nil"/>
              <w:bottom w:val="double" w:sz="6" w:space="0" w:color="000000"/>
              <w:right w:val="single" w:sz="8" w:space="0" w:color="000000"/>
            </w:tcBorders>
            <w:shd w:val="clear" w:color="auto" w:fill="auto"/>
            <w:noWrap/>
            <w:vAlign w:val="bottom"/>
            <w:hideMark/>
          </w:tcPr>
          <w:p w14:paraId="474C7E8F" w14:textId="77777777" w:rsidR="00C90804" w:rsidRPr="00CC0390" w:rsidRDefault="00C90804" w:rsidP="00CC0390">
            <w:pPr>
              <w:spacing w:line="240" w:lineRule="auto"/>
              <w:jc w:val="right"/>
              <w:rPr>
                <w:rFonts w:ascii="Times New Roman" w:eastAsia="Times New Roman" w:hAnsi="Times New Roman" w:cs="Times New Roman"/>
                <w:b/>
                <w:bCs/>
                <w:sz w:val="20"/>
                <w:szCs w:val="20"/>
                <w:lang w:eastAsia="pl-PL"/>
              </w:rPr>
            </w:pPr>
            <w:r w:rsidRPr="00CC0390">
              <w:rPr>
                <w:rFonts w:ascii="Times New Roman" w:eastAsia="Times New Roman" w:hAnsi="Times New Roman" w:cs="Times New Roman"/>
                <w:b/>
                <w:bCs/>
                <w:sz w:val="20"/>
                <w:szCs w:val="20"/>
                <w:lang w:eastAsia="pl-PL"/>
              </w:rPr>
              <w:t>808</w:t>
            </w:r>
          </w:p>
        </w:tc>
        <w:tc>
          <w:tcPr>
            <w:tcW w:w="382" w:type="pct"/>
            <w:tcBorders>
              <w:top w:val="nil"/>
              <w:left w:val="nil"/>
              <w:bottom w:val="double" w:sz="6" w:space="0" w:color="000000"/>
              <w:right w:val="single" w:sz="4" w:space="0" w:color="000000"/>
            </w:tcBorders>
            <w:shd w:val="clear" w:color="auto" w:fill="auto"/>
            <w:noWrap/>
            <w:vAlign w:val="bottom"/>
            <w:hideMark/>
          </w:tcPr>
          <w:p w14:paraId="5CA014FB" w14:textId="77777777" w:rsidR="00C90804" w:rsidRPr="00CC0390" w:rsidRDefault="00C90804" w:rsidP="00CC0390">
            <w:pPr>
              <w:spacing w:line="240" w:lineRule="auto"/>
              <w:jc w:val="right"/>
              <w:rPr>
                <w:rFonts w:ascii="Times New Roman" w:eastAsia="Times New Roman" w:hAnsi="Times New Roman" w:cs="Times New Roman"/>
                <w:b/>
                <w:bCs/>
                <w:sz w:val="20"/>
                <w:szCs w:val="20"/>
                <w:lang w:eastAsia="pl-PL"/>
              </w:rPr>
            </w:pPr>
            <w:r w:rsidRPr="00CC0390">
              <w:rPr>
                <w:rFonts w:ascii="Times New Roman" w:eastAsia="Times New Roman" w:hAnsi="Times New Roman" w:cs="Times New Roman"/>
                <w:b/>
                <w:bCs/>
                <w:sz w:val="20"/>
                <w:szCs w:val="20"/>
                <w:lang w:eastAsia="pl-PL"/>
              </w:rPr>
              <w:t>51 832</w:t>
            </w:r>
          </w:p>
        </w:tc>
        <w:tc>
          <w:tcPr>
            <w:tcW w:w="554" w:type="pct"/>
            <w:tcBorders>
              <w:top w:val="nil"/>
              <w:left w:val="nil"/>
              <w:bottom w:val="double" w:sz="6" w:space="0" w:color="000000"/>
              <w:right w:val="single" w:sz="4" w:space="0" w:color="000000"/>
            </w:tcBorders>
            <w:shd w:val="clear" w:color="auto" w:fill="auto"/>
            <w:noWrap/>
            <w:vAlign w:val="bottom"/>
            <w:hideMark/>
          </w:tcPr>
          <w:p w14:paraId="0451C3A5" w14:textId="77777777" w:rsidR="00C90804" w:rsidRPr="00CC0390" w:rsidRDefault="00C90804" w:rsidP="00CC0390">
            <w:pPr>
              <w:spacing w:line="240" w:lineRule="auto"/>
              <w:jc w:val="right"/>
              <w:rPr>
                <w:rFonts w:ascii="Times New Roman" w:eastAsia="Times New Roman" w:hAnsi="Times New Roman" w:cs="Times New Roman"/>
                <w:b/>
                <w:bCs/>
                <w:sz w:val="20"/>
                <w:szCs w:val="20"/>
                <w:lang w:eastAsia="pl-PL"/>
              </w:rPr>
            </w:pPr>
            <w:r w:rsidRPr="00CC0390">
              <w:rPr>
                <w:rFonts w:ascii="Times New Roman" w:eastAsia="Times New Roman" w:hAnsi="Times New Roman" w:cs="Times New Roman"/>
                <w:b/>
                <w:bCs/>
                <w:sz w:val="20"/>
                <w:szCs w:val="20"/>
                <w:lang w:eastAsia="pl-PL"/>
              </w:rPr>
              <w:t>47 700</w:t>
            </w:r>
          </w:p>
        </w:tc>
        <w:tc>
          <w:tcPr>
            <w:tcW w:w="474" w:type="pct"/>
            <w:tcBorders>
              <w:top w:val="nil"/>
              <w:left w:val="nil"/>
              <w:bottom w:val="double" w:sz="6" w:space="0" w:color="000000"/>
              <w:right w:val="single" w:sz="4" w:space="0" w:color="000000"/>
            </w:tcBorders>
            <w:shd w:val="clear" w:color="auto" w:fill="auto"/>
            <w:noWrap/>
            <w:vAlign w:val="bottom"/>
            <w:hideMark/>
          </w:tcPr>
          <w:p w14:paraId="4FCB37FA" w14:textId="77777777" w:rsidR="00C90804" w:rsidRPr="00CC0390" w:rsidRDefault="00C90804" w:rsidP="00CC0390">
            <w:pPr>
              <w:spacing w:line="240" w:lineRule="auto"/>
              <w:jc w:val="right"/>
              <w:rPr>
                <w:rFonts w:ascii="Times New Roman" w:eastAsia="Times New Roman" w:hAnsi="Times New Roman" w:cs="Times New Roman"/>
                <w:b/>
                <w:bCs/>
                <w:sz w:val="20"/>
                <w:szCs w:val="20"/>
                <w:lang w:eastAsia="pl-PL"/>
              </w:rPr>
            </w:pPr>
            <w:r w:rsidRPr="00CC0390">
              <w:rPr>
                <w:rFonts w:ascii="Times New Roman" w:eastAsia="Times New Roman" w:hAnsi="Times New Roman" w:cs="Times New Roman"/>
                <w:b/>
                <w:bCs/>
                <w:sz w:val="20"/>
                <w:szCs w:val="20"/>
                <w:lang w:eastAsia="pl-PL"/>
              </w:rPr>
              <w:t>70</w:t>
            </w:r>
          </w:p>
        </w:tc>
        <w:tc>
          <w:tcPr>
            <w:tcW w:w="554" w:type="pct"/>
            <w:tcBorders>
              <w:top w:val="nil"/>
              <w:left w:val="nil"/>
              <w:bottom w:val="double" w:sz="6" w:space="0" w:color="000000"/>
              <w:right w:val="single" w:sz="4" w:space="0" w:color="000000"/>
            </w:tcBorders>
            <w:shd w:val="clear" w:color="auto" w:fill="auto"/>
            <w:noWrap/>
            <w:vAlign w:val="bottom"/>
            <w:hideMark/>
          </w:tcPr>
          <w:p w14:paraId="422F6403" w14:textId="77777777" w:rsidR="00C90804" w:rsidRPr="00CC0390" w:rsidRDefault="00C90804" w:rsidP="00CC0390">
            <w:pPr>
              <w:spacing w:line="240" w:lineRule="auto"/>
              <w:jc w:val="right"/>
              <w:rPr>
                <w:rFonts w:ascii="Times New Roman" w:eastAsia="Times New Roman" w:hAnsi="Times New Roman" w:cs="Times New Roman"/>
                <w:b/>
                <w:bCs/>
                <w:sz w:val="20"/>
                <w:szCs w:val="20"/>
                <w:lang w:eastAsia="pl-PL"/>
              </w:rPr>
            </w:pPr>
            <w:r w:rsidRPr="00CC0390">
              <w:rPr>
                <w:rFonts w:ascii="Times New Roman" w:eastAsia="Times New Roman" w:hAnsi="Times New Roman" w:cs="Times New Roman"/>
                <w:b/>
                <w:bCs/>
                <w:sz w:val="20"/>
                <w:szCs w:val="20"/>
                <w:lang w:eastAsia="pl-PL"/>
              </w:rPr>
              <w:t>3 688</w:t>
            </w:r>
          </w:p>
        </w:tc>
        <w:tc>
          <w:tcPr>
            <w:tcW w:w="520" w:type="pct"/>
            <w:tcBorders>
              <w:top w:val="nil"/>
              <w:left w:val="nil"/>
              <w:bottom w:val="double" w:sz="6" w:space="0" w:color="000000"/>
              <w:right w:val="double" w:sz="6" w:space="0" w:color="000000"/>
            </w:tcBorders>
            <w:shd w:val="clear" w:color="auto" w:fill="auto"/>
            <w:noWrap/>
            <w:vAlign w:val="bottom"/>
            <w:hideMark/>
          </w:tcPr>
          <w:p w14:paraId="2F1C9A09" w14:textId="77777777" w:rsidR="00C90804" w:rsidRPr="00CC0390" w:rsidRDefault="00C90804" w:rsidP="00CC0390">
            <w:pPr>
              <w:spacing w:line="240" w:lineRule="auto"/>
              <w:jc w:val="right"/>
              <w:rPr>
                <w:rFonts w:ascii="Times New Roman" w:eastAsia="Times New Roman" w:hAnsi="Times New Roman" w:cs="Times New Roman"/>
                <w:b/>
                <w:bCs/>
                <w:sz w:val="20"/>
                <w:szCs w:val="20"/>
                <w:lang w:eastAsia="pl-PL"/>
              </w:rPr>
            </w:pPr>
            <w:r w:rsidRPr="00CC0390">
              <w:rPr>
                <w:rFonts w:ascii="Times New Roman" w:eastAsia="Times New Roman" w:hAnsi="Times New Roman" w:cs="Times New Roman"/>
                <w:b/>
                <w:bCs/>
                <w:sz w:val="20"/>
                <w:szCs w:val="20"/>
                <w:lang w:eastAsia="pl-PL"/>
              </w:rPr>
              <w:t>374</w:t>
            </w:r>
          </w:p>
        </w:tc>
      </w:tr>
    </w:tbl>
    <w:p w14:paraId="0C628FCE" w14:textId="77777777" w:rsidR="00C90804" w:rsidRPr="00CC0390" w:rsidRDefault="00C90804" w:rsidP="00CC0390">
      <w:pPr>
        <w:autoSpaceDE w:val="0"/>
        <w:autoSpaceDN w:val="0"/>
        <w:adjustRightInd w:val="0"/>
        <w:spacing w:after="0" w:line="360" w:lineRule="auto"/>
        <w:ind w:firstLine="708"/>
        <w:jc w:val="both"/>
        <w:rPr>
          <w:rFonts w:ascii="Times New Roman" w:hAnsi="Times New Roman" w:cs="Times New Roman"/>
          <w:sz w:val="24"/>
          <w:szCs w:val="24"/>
        </w:rPr>
      </w:pPr>
    </w:p>
    <w:p w14:paraId="3A5617D7" w14:textId="77777777" w:rsidR="00EE626A" w:rsidRPr="00CC0390" w:rsidRDefault="00EE626A" w:rsidP="00CC0390">
      <w:pPr>
        <w:spacing w:line="360" w:lineRule="auto"/>
        <w:rPr>
          <w:rFonts w:ascii="Times New Roman" w:hAnsi="Times New Roman" w:cs="Times New Roman"/>
          <w:b/>
          <w:sz w:val="24"/>
          <w:szCs w:val="24"/>
        </w:rPr>
      </w:pPr>
      <w:r w:rsidRPr="00CC0390">
        <w:rPr>
          <w:rFonts w:ascii="Times New Roman" w:hAnsi="Times New Roman" w:cs="Times New Roman"/>
          <w:b/>
          <w:sz w:val="24"/>
          <w:szCs w:val="24"/>
        </w:rPr>
        <w:t>Projektowane zmiany w ustawie o pomocy społecznej</w:t>
      </w:r>
    </w:p>
    <w:p w14:paraId="13DD617C" w14:textId="4600931E" w:rsidR="00EC61A5" w:rsidRPr="00CC0390" w:rsidRDefault="00F400AE" w:rsidP="00CC0390">
      <w:pPr>
        <w:pStyle w:val="ARTartustawynprozporzdzenia"/>
        <w:ind w:firstLine="426"/>
        <w:rPr>
          <w:rFonts w:ascii="Times New Roman" w:hAnsi="Times New Roman" w:cs="Times New Roman"/>
          <w:szCs w:val="24"/>
        </w:rPr>
      </w:pPr>
      <w:r w:rsidRPr="00CC0390">
        <w:rPr>
          <w:rFonts w:ascii="Times New Roman" w:hAnsi="Times New Roman" w:cs="Times New Roman"/>
          <w:szCs w:val="24"/>
        </w:rPr>
        <w:t>Z przyczyn omówionych szczegółowo w poprzedniej części uzasadnienia p</w:t>
      </w:r>
      <w:r w:rsidR="00BE713A" w:rsidRPr="00CC0390">
        <w:rPr>
          <w:rFonts w:ascii="Times New Roman" w:hAnsi="Times New Roman" w:cs="Times New Roman"/>
          <w:szCs w:val="24"/>
        </w:rPr>
        <w:t xml:space="preserve">rojekt przewiduje wprowadzenie </w:t>
      </w:r>
      <w:r w:rsidRPr="00CC0390">
        <w:rPr>
          <w:rFonts w:ascii="Times New Roman" w:hAnsi="Times New Roman" w:cs="Times New Roman"/>
          <w:szCs w:val="24"/>
        </w:rPr>
        <w:t xml:space="preserve">następujących </w:t>
      </w:r>
      <w:r w:rsidR="00BE713A" w:rsidRPr="00CC0390">
        <w:rPr>
          <w:rFonts w:ascii="Times New Roman" w:hAnsi="Times New Roman" w:cs="Times New Roman"/>
          <w:szCs w:val="24"/>
        </w:rPr>
        <w:t xml:space="preserve">zmian w art. 64 i </w:t>
      </w:r>
      <w:r w:rsidR="00F77E4D">
        <w:rPr>
          <w:rFonts w:ascii="Times New Roman" w:hAnsi="Times New Roman" w:cs="Times New Roman"/>
          <w:szCs w:val="24"/>
        </w:rPr>
        <w:t xml:space="preserve">art. </w:t>
      </w:r>
      <w:r w:rsidR="00BE713A" w:rsidRPr="00CC0390">
        <w:rPr>
          <w:rFonts w:ascii="Times New Roman" w:hAnsi="Times New Roman" w:cs="Times New Roman"/>
          <w:szCs w:val="24"/>
        </w:rPr>
        <w:t xml:space="preserve">64a ustawy z dnia 12 marca 2004 r. </w:t>
      </w:r>
      <w:r w:rsidRPr="00CC0390">
        <w:rPr>
          <w:rFonts w:ascii="Times New Roman" w:hAnsi="Times New Roman" w:cs="Times New Roman"/>
          <w:szCs w:val="24"/>
        </w:rPr>
        <w:t>o pomocy społecznej:</w:t>
      </w:r>
    </w:p>
    <w:p w14:paraId="2EF18560" w14:textId="00B5038C" w:rsidR="00D302A8" w:rsidRPr="00CC0390" w:rsidRDefault="00D302A8" w:rsidP="00CC0390">
      <w:pPr>
        <w:pStyle w:val="ARTartustawynprozporzdzenia"/>
        <w:numPr>
          <w:ilvl w:val="0"/>
          <w:numId w:val="35"/>
        </w:numPr>
        <w:spacing w:before="0"/>
        <w:ind w:left="0" w:firstLine="425"/>
        <w:rPr>
          <w:rFonts w:ascii="Times New Roman" w:hAnsi="Times New Roman" w:cs="Times New Roman"/>
          <w:szCs w:val="24"/>
        </w:rPr>
      </w:pPr>
      <w:r w:rsidRPr="00CC0390">
        <w:rPr>
          <w:rFonts w:ascii="Times New Roman" w:hAnsi="Times New Roman" w:cs="Times New Roman"/>
          <w:szCs w:val="24"/>
        </w:rPr>
        <w:t xml:space="preserve">Projekt uwzględnia w ramach przesłanek fakultatywnego wyłączenia obowiązku ponoszenia opłaty </w:t>
      </w:r>
      <w:r w:rsidRPr="00CC0390">
        <w:rPr>
          <w:rFonts w:ascii="Times New Roman" w:eastAsia="Times New Roman" w:hAnsi="Times New Roman" w:cs="Times New Roman"/>
          <w:szCs w:val="24"/>
        </w:rPr>
        <w:t>sytuacje</w:t>
      </w:r>
      <w:r w:rsidR="00B24A69" w:rsidRPr="00CC0390">
        <w:rPr>
          <w:rFonts w:ascii="Times New Roman" w:eastAsia="Times New Roman" w:hAnsi="Times New Roman" w:cs="Times New Roman"/>
          <w:szCs w:val="24"/>
        </w:rPr>
        <w:t xml:space="preserve"> </w:t>
      </w:r>
      <w:r w:rsidR="00EC61A5" w:rsidRPr="00CC0390">
        <w:rPr>
          <w:rFonts w:ascii="Times New Roman" w:eastAsia="Times New Roman" w:hAnsi="Times New Roman" w:cs="Times New Roman"/>
          <w:szCs w:val="24"/>
        </w:rPr>
        <w:t>rażącego narusze</w:t>
      </w:r>
      <w:r w:rsidRPr="00CC0390">
        <w:rPr>
          <w:rFonts w:ascii="Times New Roman" w:eastAsia="Times New Roman" w:hAnsi="Times New Roman" w:cs="Times New Roman"/>
          <w:szCs w:val="24"/>
        </w:rPr>
        <w:t xml:space="preserve">nia przez rodzica obowiązku alimentacyjnego względem dziecka lub innych obowiązków rodzinnych </w:t>
      </w:r>
      <w:r w:rsidRPr="00CC0390">
        <w:rPr>
          <w:rFonts w:ascii="Times New Roman" w:hAnsi="Times New Roman" w:cs="Times New Roman"/>
          <w:szCs w:val="24"/>
        </w:rPr>
        <w:t>(</w:t>
      </w:r>
      <w:r w:rsidRPr="00F77E4D">
        <w:rPr>
          <w:rFonts w:ascii="Times New Roman" w:hAnsi="Times New Roman" w:cs="Times New Roman"/>
          <w:i/>
          <w:szCs w:val="24"/>
        </w:rPr>
        <w:t>vide</w:t>
      </w:r>
      <w:r w:rsidRPr="00CC0390">
        <w:rPr>
          <w:rFonts w:ascii="Times New Roman" w:hAnsi="Times New Roman" w:cs="Times New Roman"/>
          <w:szCs w:val="24"/>
        </w:rPr>
        <w:t xml:space="preserve"> m. in.: stanowisko RPO). Projektowana nowelizacja uwzględnia, iż </w:t>
      </w:r>
      <w:r w:rsidRPr="00CC0390">
        <w:rPr>
          <w:rFonts w:ascii="Times New Roman" w:eastAsiaTheme="minorHAnsi" w:hAnsi="Times New Roman" w:cs="Times New Roman"/>
          <w:color w:val="000000"/>
          <w:szCs w:val="24"/>
        </w:rPr>
        <w:t>dorosłe dzieci rodziców, którzy względem nich w sposób rażący zaniedbywali obowiązki rodzicielskie, doprowadzając tym do ustania więzi rodzinnych, zasługują na ochronę państwa i powinni zosta</w:t>
      </w:r>
      <w:r w:rsidR="00ED49EE" w:rsidRPr="00CC0390">
        <w:rPr>
          <w:rFonts w:ascii="Times New Roman" w:eastAsiaTheme="minorHAnsi" w:hAnsi="Times New Roman" w:cs="Times New Roman"/>
          <w:color w:val="000000"/>
          <w:szCs w:val="24"/>
        </w:rPr>
        <w:t xml:space="preserve">ć objęci możliwością zwolnienia </w:t>
      </w:r>
      <w:r w:rsidRPr="00CC0390">
        <w:rPr>
          <w:rFonts w:ascii="Times New Roman" w:eastAsiaTheme="minorHAnsi" w:hAnsi="Times New Roman" w:cs="Times New Roman"/>
          <w:color w:val="000000"/>
          <w:szCs w:val="24"/>
        </w:rPr>
        <w:t>z opłaty bez względu na ich sytuację materialną.</w:t>
      </w:r>
      <w:r w:rsidRPr="00CC0390">
        <w:rPr>
          <w:rFonts w:ascii="Times New Roman" w:hAnsi="Times New Roman" w:cs="Times New Roman"/>
          <w:szCs w:val="24"/>
        </w:rPr>
        <w:t xml:space="preserve"> </w:t>
      </w:r>
      <w:r w:rsidRPr="00CC0390">
        <w:rPr>
          <w:rFonts w:ascii="Times New Roman" w:hAnsi="Times New Roman" w:cs="Times New Roman"/>
          <w:szCs w:val="24"/>
          <w:shd w:val="clear" w:color="auto" w:fill="FFFFFF"/>
        </w:rPr>
        <w:t xml:space="preserve">Proponuje się </w:t>
      </w:r>
      <w:r w:rsidR="00F77E4D">
        <w:rPr>
          <w:rFonts w:ascii="Times New Roman" w:hAnsi="Times New Roman" w:cs="Times New Roman"/>
          <w:szCs w:val="24"/>
          <w:shd w:val="clear" w:color="auto" w:fill="FFFFFF"/>
        </w:rPr>
        <w:t>w</w:t>
      </w:r>
      <w:r w:rsidR="00EC61A5" w:rsidRPr="00CC0390">
        <w:rPr>
          <w:rFonts w:ascii="Times New Roman" w:hAnsi="Times New Roman" w:cs="Times New Roman"/>
          <w:szCs w:val="24"/>
          <w:shd w:val="clear" w:color="auto" w:fill="FFFFFF"/>
        </w:rPr>
        <w:t xml:space="preserve"> związku z tym </w:t>
      </w:r>
      <w:r w:rsidRPr="00CC0390">
        <w:rPr>
          <w:rFonts w:ascii="Times New Roman" w:hAnsi="Times New Roman" w:cs="Times New Roman"/>
          <w:szCs w:val="24"/>
          <w:shd w:val="clear" w:color="auto" w:fill="FFFFFF"/>
        </w:rPr>
        <w:t xml:space="preserve">dodanie nowej przesłanki mogącej wyłączyć obowiązek ponoszenia opłaty za pobyt pensjonariusza w DPS, tj. sytuację, w której </w:t>
      </w:r>
      <w:r w:rsidRPr="00CC0390">
        <w:rPr>
          <w:rFonts w:ascii="Times New Roman" w:hAnsi="Times New Roman" w:cs="Times New Roman"/>
          <w:szCs w:val="24"/>
        </w:rPr>
        <w:t xml:space="preserve">osoba obowiązana do wnoszenia opłaty wykaże, w szczególności na podstawie dokumentów dołączonych do wniosku, rażące naruszenie przez osobę kierowaną do domu pomocy społecznej lub mieszkańca domu obowiązku alimentacyjnego lub innych obowiązków rodzinnych względem osoby obowiązanej do wnoszenia opłaty, np. obowiązku opieki, wychowania, utrzymania, dbałości o rozwój (projektowany art. 64 pkt 7). Przepis ten umożliwi zatem osobie obowiązanej do ponoszenia opłaty uwolnienie się od obowiązku pokrywania kosztów przebywania pensjonariusza w DPS z powodu zawinionego przez tego pensjonariusza </w:t>
      </w:r>
      <w:r w:rsidR="00EC61A5" w:rsidRPr="00CC0390">
        <w:rPr>
          <w:rFonts w:ascii="Times New Roman" w:hAnsi="Times New Roman" w:cs="Times New Roman"/>
          <w:szCs w:val="24"/>
        </w:rPr>
        <w:t>działania naruszającego więzi rodzinne mające</w:t>
      </w:r>
      <w:r w:rsidRPr="00CC0390">
        <w:rPr>
          <w:rFonts w:ascii="Times New Roman" w:hAnsi="Times New Roman" w:cs="Times New Roman"/>
          <w:szCs w:val="24"/>
        </w:rPr>
        <w:t xml:space="preserve"> ten obowiązek uzasadniać. </w:t>
      </w:r>
    </w:p>
    <w:p w14:paraId="0296779D" w14:textId="0E7A6E8D" w:rsidR="00FC3F05" w:rsidRPr="00CC0390" w:rsidRDefault="00FC3F05" w:rsidP="00CC0390">
      <w:pPr>
        <w:pStyle w:val="Akapitzlist"/>
        <w:spacing w:after="0" w:line="360" w:lineRule="auto"/>
        <w:ind w:left="0" w:right="-45" w:firstLine="426"/>
        <w:jc w:val="both"/>
        <w:rPr>
          <w:rFonts w:ascii="Times New Roman" w:hAnsi="Times New Roman"/>
          <w:sz w:val="24"/>
          <w:szCs w:val="24"/>
        </w:rPr>
      </w:pPr>
      <w:r w:rsidRPr="00CC0390">
        <w:rPr>
          <w:rFonts w:ascii="Times New Roman" w:hAnsi="Times New Roman"/>
          <w:sz w:val="24"/>
          <w:szCs w:val="24"/>
        </w:rPr>
        <w:t xml:space="preserve">Określenie „rażący” znaczy tyle co </w:t>
      </w:r>
      <w:r w:rsidR="002569D0" w:rsidRPr="00CC0390">
        <w:rPr>
          <w:rFonts w:ascii="Times New Roman" w:hAnsi="Times New Roman"/>
          <w:sz w:val="24"/>
          <w:szCs w:val="24"/>
        </w:rPr>
        <w:t>„wyraźny, rzucający się od razu</w:t>
      </w:r>
      <w:r w:rsidR="00CC0390">
        <w:rPr>
          <w:rFonts w:ascii="Times New Roman" w:hAnsi="Times New Roman"/>
          <w:sz w:val="24"/>
          <w:szCs w:val="24"/>
        </w:rPr>
        <w:t xml:space="preserve"> </w:t>
      </w:r>
      <w:r w:rsidRPr="00CC0390">
        <w:rPr>
          <w:rFonts w:ascii="Times New Roman" w:hAnsi="Times New Roman"/>
          <w:sz w:val="24"/>
          <w:szCs w:val="24"/>
        </w:rPr>
        <w:t xml:space="preserve">w oczy, bardzo duży” i jest powszechnie używane, stosowane oraz poddawane sądowej wykładni od kilkudziesięciu lat na gruncie prawa cywilnego (chociażby „rażące uchybienia” – art. 303 k.c., „rażąca strata” – art. 357(1), art. 632 § 2 k.c., „rażąca niewdzięczność” – art. 898 § 1 k.c.) oraz rodzinnego („rażąco naganne postępowanie” – art. 58 § 2 k.r.o., „rażące zaniedbanie obowiązków wobec dziecka” – art. 111 § 1 k.r.o.). Użycie tego </w:t>
      </w:r>
      <w:r w:rsidRPr="00CC0390">
        <w:rPr>
          <w:rFonts w:ascii="Times New Roman" w:hAnsi="Times New Roman"/>
          <w:sz w:val="24"/>
          <w:szCs w:val="24"/>
        </w:rPr>
        <w:lastRenderedPageBreak/>
        <w:t xml:space="preserve">wyrażenia na gruncie projektowanego art. 64 pkt 7 ustawy jest zatem uzasadnione, gdyż organ będzie dokonywał oceny kwestii wypełniania obowiązku alimentacyjnego lub innych obowiązków rodzinnych względem osoby obowiązanej do wnoszenia opłaty (a więc obowiązków o charakterze prawnorodzinnym, czyli cywilnym </w:t>
      </w:r>
      <w:r w:rsidRPr="00CC0390">
        <w:rPr>
          <w:rFonts w:ascii="Times New Roman" w:hAnsi="Times New Roman"/>
          <w:i/>
          <w:sz w:val="24"/>
          <w:szCs w:val="24"/>
        </w:rPr>
        <w:t>sensu largo</w:t>
      </w:r>
      <w:r w:rsidRPr="00CC0390">
        <w:rPr>
          <w:rFonts w:ascii="Times New Roman" w:hAnsi="Times New Roman"/>
          <w:sz w:val="24"/>
          <w:szCs w:val="24"/>
        </w:rPr>
        <w:t xml:space="preserve">). </w:t>
      </w:r>
    </w:p>
    <w:p w14:paraId="61777D4D" w14:textId="20A56322" w:rsidR="00C4235A" w:rsidRPr="00CC0390" w:rsidRDefault="00C4235A" w:rsidP="00CC0390">
      <w:pPr>
        <w:autoSpaceDE w:val="0"/>
        <w:autoSpaceDN w:val="0"/>
        <w:adjustRightInd w:val="0"/>
        <w:spacing w:before="120" w:after="0" w:line="360" w:lineRule="auto"/>
        <w:ind w:firstLine="567"/>
        <w:jc w:val="both"/>
        <w:rPr>
          <w:rFonts w:ascii="Times New Roman" w:hAnsi="Times New Roman" w:cs="Times New Roman"/>
          <w:sz w:val="24"/>
          <w:szCs w:val="24"/>
        </w:rPr>
      </w:pPr>
      <w:r w:rsidRPr="00CC0390">
        <w:rPr>
          <w:rFonts w:ascii="Times New Roman" w:hAnsi="Times New Roman" w:cs="Times New Roman"/>
          <w:sz w:val="24"/>
          <w:szCs w:val="24"/>
        </w:rPr>
        <w:t>Pojęcie „inne obowiązki rodzinne” obejmuje natomiast obowiązki szczegółowo zdefiniowane w przepisach Kodeksu rodzinnego i opiekuńczego dotyczących wykonywania władzy rodzicielsk</w:t>
      </w:r>
      <w:r w:rsidR="009964D1" w:rsidRPr="00CC0390">
        <w:rPr>
          <w:rFonts w:ascii="Times New Roman" w:hAnsi="Times New Roman" w:cs="Times New Roman"/>
          <w:sz w:val="24"/>
          <w:szCs w:val="24"/>
        </w:rPr>
        <w:t>iej i</w:t>
      </w:r>
      <w:r w:rsidR="00ED49EE" w:rsidRPr="00CC0390">
        <w:rPr>
          <w:rFonts w:ascii="Times New Roman" w:hAnsi="Times New Roman" w:cs="Times New Roman"/>
          <w:sz w:val="24"/>
          <w:szCs w:val="24"/>
        </w:rPr>
        <w:t xml:space="preserve"> relacji pomiędzy rodzicem </w:t>
      </w:r>
      <w:r w:rsidRPr="00CC0390">
        <w:rPr>
          <w:rFonts w:ascii="Times New Roman" w:hAnsi="Times New Roman" w:cs="Times New Roman"/>
          <w:sz w:val="24"/>
          <w:szCs w:val="24"/>
        </w:rPr>
        <w:t>a dzieckiem. Funkcjonuje również z powodzeniem w doktrynie prawnej. I tak wśród obowiązków rodzinnych wskazać należy:</w:t>
      </w:r>
    </w:p>
    <w:p w14:paraId="400EE6D1" w14:textId="77777777" w:rsidR="00C4235A" w:rsidRPr="00CC0390" w:rsidRDefault="00C4235A" w:rsidP="00CC0390">
      <w:pPr>
        <w:pStyle w:val="Akapitzlist"/>
        <w:numPr>
          <w:ilvl w:val="0"/>
          <w:numId w:val="38"/>
        </w:numPr>
        <w:autoSpaceDE w:val="0"/>
        <w:autoSpaceDN w:val="0"/>
        <w:adjustRightInd w:val="0"/>
        <w:spacing w:before="120" w:after="0" w:line="360" w:lineRule="auto"/>
        <w:ind w:left="1134" w:hanging="425"/>
        <w:contextualSpacing/>
        <w:jc w:val="both"/>
        <w:rPr>
          <w:rFonts w:ascii="Times New Roman" w:hAnsi="Times New Roman"/>
          <w:sz w:val="24"/>
          <w:szCs w:val="24"/>
        </w:rPr>
      </w:pPr>
      <w:r w:rsidRPr="00CC0390">
        <w:rPr>
          <w:rFonts w:ascii="Times New Roman" w:hAnsi="Times New Roman"/>
          <w:sz w:val="24"/>
          <w:szCs w:val="24"/>
        </w:rPr>
        <w:t xml:space="preserve">obowiązek wzajemnego szacunku i wspierania się rodziców i dzieci (art. 87 KRO), </w:t>
      </w:r>
    </w:p>
    <w:p w14:paraId="16B9A35D" w14:textId="75106CD2" w:rsidR="00C4235A" w:rsidRPr="00CC0390" w:rsidRDefault="00C4235A" w:rsidP="00CC0390">
      <w:pPr>
        <w:pStyle w:val="Akapitzlist"/>
        <w:numPr>
          <w:ilvl w:val="0"/>
          <w:numId w:val="38"/>
        </w:numPr>
        <w:autoSpaceDE w:val="0"/>
        <w:autoSpaceDN w:val="0"/>
        <w:adjustRightInd w:val="0"/>
        <w:spacing w:before="120" w:after="0" w:line="360" w:lineRule="auto"/>
        <w:ind w:left="1134" w:hanging="425"/>
        <w:contextualSpacing/>
        <w:jc w:val="both"/>
        <w:rPr>
          <w:rFonts w:ascii="Times New Roman" w:hAnsi="Times New Roman"/>
          <w:sz w:val="24"/>
          <w:szCs w:val="24"/>
        </w:rPr>
      </w:pPr>
      <w:r w:rsidRPr="00CC0390">
        <w:rPr>
          <w:rFonts w:ascii="Times New Roman" w:hAnsi="Times New Roman"/>
          <w:sz w:val="24"/>
          <w:szCs w:val="24"/>
        </w:rPr>
        <w:t>obowiązek wykonywania pieczy nad osobą i majątkiem dziecka</w:t>
      </w:r>
      <w:r w:rsidR="00CC0390">
        <w:rPr>
          <w:rFonts w:ascii="Times New Roman" w:hAnsi="Times New Roman"/>
          <w:sz w:val="24"/>
          <w:szCs w:val="24"/>
        </w:rPr>
        <w:t xml:space="preserve"> </w:t>
      </w:r>
      <w:r w:rsidRPr="00CC0390">
        <w:rPr>
          <w:rFonts w:ascii="Times New Roman" w:hAnsi="Times New Roman"/>
          <w:sz w:val="24"/>
          <w:szCs w:val="24"/>
        </w:rPr>
        <w:t xml:space="preserve">z poszanowaniem jego godności i praw (art. 95 </w:t>
      </w:r>
      <w:r w:rsidRPr="00CC0390">
        <w:rPr>
          <w:rFonts w:ascii="Times New Roman" w:hAnsi="Times New Roman"/>
          <w:bCs/>
          <w:sz w:val="24"/>
          <w:szCs w:val="24"/>
          <w:shd w:val="clear" w:color="auto" w:fill="FFFFFF"/>
        </w:rPr>
        <w:t>§ 1 KRO)</w:t>
      </w:r>
      <w:r w:rsidRPr="00CC0390">
        <w:rPr>
          <w:rFonts w:ascii="Times New Roman" w:hAnsi="Times New Roman"/>
          <w:sz w:val="24"/>
          <w:szCs w:val="24"/>
        </w:rPr>
        <w:t xml:space="preserve">, </w:t>
      </w:r>
    </w:p>
    <w:p w14:paraId="6ABCEC8B" w14:textId="1017BACC" w:rsidR="00C4235A" w:rsidRPr="00CC0390" w:rsidRDefault="00C4235A" w:rsidP="00CC0390">
      <w:pPr>
        <w:pStyle w:val="Akapitzlist"/>
        <w:numPr>
          <w:ilvl w:val="0"/>
          <w:numId w:val="38"/>
        </w:numPr>
        <w:autoSpaceDE w:val="0"/>
        <w:autoSpaceDN w:val="0"/>
        <w:adjustRightInd w:val="0"/>
        <w:spacing w:before="120" w:after="0" w:line="360" w:lineRule="auto"/>
        <w:ind w:left="1134" w:hanging="425"/>
        <w:contextualSpacing/>
        <w:jc w:val="both"/>
        <w:rPr>
          <w:rFonts w:ascii="Times New Roman" w:hAnsi="Times New Roman"/>
          <w:bCs/>
          <w:sz w:val="24"/>
          <w:szCs w:val="24"/>
          <w:shd w:val="clear" w:color="auto" w:fill="FFFFFF"/>
        </w:rPr>
      </w:pPr>
      <w:r w:rsidRPr="00CC0390">
        <w:rPr>
          <w:rFonts w:ascii="Times New Roman" w:hAnsi="Times New Roman"/>
          <w:sz w:val="24"/>
          <w:szCs w:val="24"/>
        </w:rPr>
        <w:t>obowiązek</w:t>
      </w:r>
      <w:r w:rsidR="00EF4EA8">
        <w:rPr>
          <w:rFonts w:ascii="Times New Roman" w:hAnsi="Times New Roman"/>
          <w:sz w:val="24"/>
          <w:szCs w:val="24"/>
        </w:rPr>
        <w:t xml:space="preserve"> </w:t>
      </w:r>
      <w:r w:rsidRPr="00CC0390">
        <w:rPr>
          <w:rFonts w:ascii="Times New Roman" w:hAnsi="Times New Roman"/>
          <w:sz w:val="24"/>
          <w:szCs w:val="24"/>
        </w:rPr>
        <w:t xml:space="preserve">troszczenia się o fizyczny i duchowy rozwój dziecka (art. 96 </w:t>
      </w:r>
      <w:r w:rsidRPr="00CC0390">
        <w:rPr>
          <w:rFonts w:ascii="Times New Roman" w:hAnsi="Times New Roman"/>
          <w:bCs/>
          <w:sz w:val="24"/>
          <w:szCs w:val="24"/>
          <w:shd w:val="clear" w:color="auto" w:fill="FFFFFF"/>
        </w:rPr>
        <w:t>§ 1 KRO),</w:t>
      </w:r>
    </w:p>
    <w:p w14:paraId="6CCB6E74" w14:textId="77777777" w:rsidR="00C4235A" w:rsidRPr="00CC0390" w:rsidRDefault="00C4235A" w:rsidP="00CC0390">
      <w:pPr>
        <w:pStyle w:val="Akapitzlist"/>
        <w:numPr>
          <w:ilvl w:val="0"/>
          <w:numId w:val="38"/>
        </w:numPr>
        <w:autoSpaceDE w:val="0"/>
        <w:autoSpaceDN w:val="0"/>
        <w:adjustRightInd w:val="0"/>
        <w:spacing w:before="120" w:after="0" w:line="360" w:lineRule="auto"/>
        <w:ind w:left="1134" w:hanging="425"/>
        <w:contextualSpacing/>
        <w:jc w:val="both"/>
        <w:rPr>
          <w:rFonts w:ascii="Times New Roman" w:hAnsi="Times New Roman"/>
          <w:sz w:val="24"/>
          <w:szCs w:val="24"/>
        </w:rPr>
      </w:pPr>
      <w:r w:rsidRPr="00CC0390">
        <w:rPr>
          <w:rFonts w:ascii="Times New Roman" w:hAnsi="Times New Roman"/>
          <w:sz w:val="24"/>
          <w:szCs w:val="24"/>
        </w:rPr>
        <w:t xml:space="preserve">obowiązek przygotowania dziecka do pracy dla dobra społeczeństwa odpowiednio do jego uzdolnień (art. 96 </w:t>
      </w:r>
      <w:r w:rsidRPr="00CC0390">
        <w:rPr>
          <w:rFonts w:ascii="Times New Roman" w:hAnsi="Times New Roman"/>
          <w:bCs/>
          <w:sz w:val="24"/>
          <w:szCs w:val="24"/>
          <w:shd w:val="clear" w:color="auto" w:fill="FFFFFF"/>
        </w:rPr>
        <w:t>§ 1 KRO)</w:t>
      </w:r>
      <w:r w:rsidRPr="00CC0390">
        <w:rPr>
          <w:rFonts w:ascii="Times New Roman" w:hAnsi="Times New Roman"/>
          <w:sz w:val="24"/>
          <w:szCs w:val="24"/>
        </w:rPr>
        <w:t>, </w:t>
      </w:r>
    </w:p>
    <w:p w14:paraId="53594FCD" w14:textId="77777777" w:rsidR="00C4235A" w:rsidRPr="00CC0390" w:rsidRDefault="00C4235A" w:rsidP="00CC0390">
      <w:pPr>
        <w:pStyle w:val="Akapitzlist"/>
        <w:numPr>
          <w:ilvl w:val="0"/>
          <w:numId w:val="38"/>
        </w:numPr>
        <w:autoSpaceDE w:val="0"/>
        <w:autoSpaceDN w:val="0"/>
        <w:adjustRightInd w:val="0"/>
        <w:spacing w:before="120" w:after="0" w:line="360" w:lineRule="auto"/>
        <w:ind w:left="1134" w:hanging="425"/>
        <w:contextualSpacing/>
        <w:jc w:val="both"/>
        <w:rPr>
          <w:rFonts w:ascii="Times New Roman" w:hAnsi="Times New Roman"/>
          <w:sz w:val="24"/>
          <w:szCs w:val="24"/>
        </w:rPr>
      </w:pPr>
      <w:r w:rsidRPr="00CC0390">
        <w:rPr>
          <w:rFonts w:ascii="Times New Roman" w:hAnsi="Times New Roman"/>
          <w:sz w:val="24"/>
          <w:szCs w:val="24"/>
        </w:rPr>
        <w:t>obowiązek rodziców i dzieci utrzymywania ze sobą kontaktów (art. 113 KRO),</w:t>
      </w:r>
    </w:p>
    <w:p w14:paraId="24574876" w14:textId="6625992B" w:rsidR="00C4235A" w:rsidRPr="00CC0390" w:rsidRDefault="00C4235A" w:rsidP="00CC0390">
      <w:pPr>
        <w:pStyle w:val="Akapitzlist"/>
        <w:numPr>
          <w:ilvl w:val="0"/>
          <w:numId w:val="38"/>
        </w:numPr>
        <w:autoSpaceDE w:val="0"/>
        <w:autoSpaceDN w:val="0"/>
        <w:adjustRightInd w:val="0"/>
        <w:spacing w:before="120" w:after="0" w:line="360" w:lineRule="auto"/>
        <w:ind w:left="1134" w:hanging="425"/>
        <w:contextualSpacing/>
        <w:jc w:val="both"/>
        <w:rPr>
          <w:rFonts w:ascii="Times New Roman" w:eastAsia="Times New Roman" w:hAnsi="Times New Roman"/>
          <w:sz w:val="24"/>
          <w:szCs w:val="24"/>
        </w:rPr>
      </w:pPr>
      <w:r w:rsidRPr="00CC0390">
        <w:rPr>
          <w:rFonts w:ascii="Times New Roman" w:hAnsi="Times New Roman"/>
          <w:sz w:val="24"/>
          <w:szCs w:val="24"/>
        </w:rPr>
        <w:t xml:space="preserve">obowiązek </w:t>
      </w:r>
      <w:r w:rsidRPr="00CC0390">
        <w:rPr>
          <w:rFonts w:ascii="Times New Roman" w:eastAsia="Times New Roman" w:hAnsi="Times New Roman"/>
          <w:sz w:val="24"/>
          <w:szCs w:val="24"/>
        </w:rPr>
        <w:t>dopełnienia czynności związanych ze zgłoszeniem dziecka do szkoły,</w:t>
      </w:r>
      <w:r w:rsidRPr="00CC0390">
        <w:rPr>
          <w:rFonts w:ascii="Times New Roman" w:hAnsi="Times New Roman"/>
          <w:sz w:val="24"/>
          <w:szCs w:val="24"/>
        </w:rPr>
        <w:t xml:space="preserve"> obowiązek zapewnienia regularnego uczęszczania dziecka na zajęcia szkolne czy obowiązek zapewnienia dziecku warunków umożliwiających przygotowywanie się do zajęć szkolnych (art. 40 ustawy </w:t>
      </w:r>
      <w:r w:rsidRPr="00CC0390">
        <w:rPr>
          <w:rFonts w:ascii="Times New Roman" w:eastAsia="Times New Roman" w:hAnsi="Times New Roman"/>
          <w:sz w:val="24"/>
          <w:szCs w:val="24"/>
        </w:rPr>
        <w:t xml:space="preserve">z dnia 14 grudnia 2016 r. – </w:t>
      </w:r>
      <w:r w:rsidRPr="00CC0390">
        <w:rPr>
          <w:rFonts w:ascii="Times New Roman" w:eastAsia="Times New Roman" w:hAnsi="Times New Roman"/>
          <w:bCs/>
          <w:sz w:val="24"/>
          <w:szCs w:val="24"/>
        </w:rPr>
        <w:t>Prawo oświatowe (Dz. U. z 2021 r. poz. 1082)</w:t>
      </w:r>
      <w:r w:rsidR="00F77E4D">
        <w:rPr>
          <w:rFonts w:ascii="Times New Roman" w:eastAsia="Times New Roman" w:hAnsi="Times New Roman"/>
          <w:bCs/>
          <w:sz w:val="24"/>
          <w:szCs w:val="24"/>
        </w:rPr>
        <w:t>).</w:t>
      </w:r>
    </w:p>
    <w:p w14:paraId="2AC36819" w14:textId="2ED689ED" w:rsidR="00C4235A" w:rsidRPr="00CC0390" w:rsidRDefault="00C4235A" w:rsidP="00CC0390">
      <w:pPr>
        <w:autoSpaceDE w:val="0"/>
        <w:autoSpaceDN w:val="0"/>
        <w:adjustRightInd w:val="0"/>
        <w:spacing w:before="120" w:after="0" w:line="360" w:lineRule="auto"/>
        <w:ind w:firstLine="708"/>
        <w:jc w:val="both"/>
        <w:rPr>
          <w:rFonts w:ascii="Times New Roman" w:eastAsia="Times New Roman" w:hAnsi="Times New Roman" w:cs="Times New Roman"/>
          <w:sz w:val="24"/>
          <w:szCs w:val="24"/>
        </w:rPr>
      </w:pPr>
      <w:r w:rsidRPr="00CC0390">
        <w:rPr>
          <w:rFonts w:ascii="Times New Roman" w:hAnsi="Times New Roman" w:cs="Times New Roman"/>
          <w:sz w:val="24"/>
          <w:szCs w:val="24"/>
        </w:rPr>
        <w:t>Zgodnie z doktryną pojęcie obowiązków rodzinnych może być interpretowane szeroko. Do kategorii tej można zaliczyć zarówno obowiązki wynikające</w:t>
      </w:r>
      <w:r w:rsidR="00CC0390">
        <w:rPr>
          <w:rFonts w:ascii="Times New Roman" w:hAnsi="Times New Roman" w:cs="Times New Roman"/>
          <w:sz w:val="24"/>
          <w:szCs w:val="24"/>
        </w:rPr>
        <w:t xml:space="preserve"> </w:t>
      </w:r>
      <w:r w:rsidRPr="00CC0390">
        <w:rPr>
          <w:rFonts w:ascii="Times New Roman" w:hAnsi="Times New Roman" w:cs="Times New Roman"/>
          <w:sz w:val="24"/>
          <w:szCs w:val="24"/>
        </w:rPr>
        <w:t>z przepisów prawa (np. obowiązek alimentacyjny, obowiązki wynikające</w:t>
      </w:r>
      <w:r w:rsidR="00CC0390">
        <w:rPr>
          <w:rFonts w:ascii="Times New Roman" w:hAnsi="Times New Roman" w:cs="Times New Roman"/>
          <w:sz w:val="24"/>
          <w:szCs w:val="24"/>
        </w:rPr>
        <w:t xml:space="preserve"> </w:t>
      </w:r>
      <w:r w:rsidRPr="00CC0390">
        <w:rPr>
          <w:rFonts w:ascii="Times New Roman" w:hAnsi="Times New Roman" w:cs="Times New Roman"/>
          <w:sz w:val="24"/>
          <w:szCs w:val="24"/>
        </w:rPr>
        <w:t xml:space="preserve">z KRO), jak i powinności czysto społeczne lub </w:t>
      </w:r>
      <w:r w:rsidR="009964D1" w:rsidRPr="00CC0390">
        <w:rPr>
          <w:rFonts w:ascii="Times New Roman" w:hAnsi="Times New Roman" w:cs="Times New Roman"/>
          <w:sz w:val="24"/>
          <w:szCs w:val="24"/>
        </w:rPr>
        <w:t>moralne (Jerzy Ciszewski (red.)</w:t>
      </w:r>
      <w:r w:rsidR="00CC0390">
        <w:rPr>
          <w:rFonts w:ascii="Times New Roman" w:hAnsi="Times New Roman" w:cs="Times New Roman"/>
          <w:sz w:val="24"/>
          <w:szCs w:val="24"/>
        </w:rPr>
        <w:t xml:space="preserve"> </w:t>
      </w:r>
      <w:r w:rsidRPr="00CC0390">
        <w:rPr>
          <w:rFonts w:ascii="Times New Roman" w:hAnsi="Times New Roman" w:cs="Times New Roman"/>
          <w:sz w:val="24"/>
          <w:szCs w:val="24"/>
        </w:rPr>
        <w:t>i Jakub Knabe, Komentarz do art.</w:t>
      </w:r>
      <w:r w:rsidR="009964D1" w:rsidRPr="00CC0390">
        <w:rPr>
          <w:rFonts w:ascii="Times New Roman" w:hAnsi="Times New Roman" w:cs="Times New Roman"/>
          <w:sz w:val="24"/>
          <w:szCs w:val="24"/>
        </w:rPr>
        <w:t xml:space="preserve"> </w:t>
      </w:r>
      <w:r w:rsidRPr="00CC0390">
        <w:rPr>
          <w:rFonts w:ascii="Times New Roman" w:hAnsi="Times New Roman" w:cs="Times New Roman"/>
          <w:sz w:val="24"/>
          <w:szCs w:val="24"/>
        </w:rPr>
        <w:t xml:space="preserve">1008 Kodeksu cywilnego). W pojęciu niedopełnienia obowiązków rodzinnych mieści zaś się takie zachowanie, które prowadzi do faktycznego zerwania kontaktów rodzinnych i ustania więzi uczuciowej, normalnej w stosunkach rodzinnych (wyrok SN z dnia 7 listopada 2002 r., II CKN 1397/00, LEX nr 75286; wyrok SA w Krakowie z dnia 27 lutego 2014 r., I ACa 1201/12, LEX nr 1623875; </w:t>
      </w:r>
      <w:r w:rsidRPr="00CC0390">
        <w:rPr>
          <w:rFonts w:ascii="Times New Roman" w:eastAsia="Times New Roman" w:hAnsi="Times New Roman" w:cs="Times New Roman"/>
          <w:sz w:val="24"/>
          <w:szCs w:val="24"/>
        </w:rPr>
        <w:t>Elżbieta Skowrońska-Bocian i Jacek Wierciński</w:t>
      </w:r>
      <w:r w:rsidRPr="00CC0390">
        <w:rPr>
          <w:rFonts w:ascii="Times New Roman" w:hAnsi="Times New Roman" w:cs="Times New Roman"/>
          <w:sz w:val="24"/>
          <w:szCs w:val="24"/>
        </w:rPr>
        <w:t>, Komentarz do art. 1008 Kodeksu cywilnego).</w:t>
      </w:r>
      <w:r w:rsidRPr="00CC0390">
        <w:rPr>
          <w:rFonts w:ascii="Times New Roman" w:eastAsia="Times New Roman" w:hAnsi="Times New Roman" w:cs="Times New Roman"/>
          <w:sz w:val="24"/>
          <w:szCs w:val="24"/>
          <w:u w:val="single"/>
        </w:rPr>
        <w:t xml:space="preserve"> </w:t>
      </w:r>
    </w:p>
    <w:p w14:paraId="257D3EAE" w14:textId="3FA65607" w:rsidR="00D302A8" w:rsidRPr="00CC0390" w:rsidRDefault="00D302A8" w:rsidP="00F77E4D">
      <w:pPr>
        <w:pStyle w:val="ARTartustawynprozporzdzenia"/>
        <w:keepNext/>
        <w:keepLines/>
        <w:numPr>
          <w:ilvl w:val="0"/>
          <w:numId w:val="35"/>
        </w:numPr>
        <w:spacing w:before="0"/>
        <w:ind w:left="782" w:hanging="357"/>
        <w:rPr>
          <w:rFonts w:ascii="Times New Roman" w:hAnsi="Times New Roman" w:cs="Times New Roman"/>
          <w:szCs w:val="24"/>
        </w:rPr>
      </w:pPr>
      <w:r w:rsidRPr="00CC0390">
        <w:rPr>
          <w:rFonts w:ascii="Times New Roman" w:hAnsi="Times New Roman" w:cs="Times New Roman"/>
          <w:szCs w:val="24"/>
        </w:rPr>
        <w:lastRenderedPageBreak/>
        <w:t>Jednocześnie w zakresie przesłanek obligatoryjnie wyłączających obowiązek odpłatności za pobyt członka rodziny w DPS proponuje się w art. 64a ustawy</w:t>
      </w:r>
      <w:r w:rsidR="00ED49EE" w:rsidRPr="00CC0390">
        <w:rPr>
          <w:rFonts w:ascii="Times New Roman" w:hAnsi="Times New Roman" w:cs="Times New Roman"/>
          <w:szCs w:val="24"/>
        </w:rPr>
        <w:t xml:space="preserve"> następujące zmiany:</w:t>
      </w:r>
    </w:p>
    <w:p w14:paraId="50DA6A82" w14:textId="7D50F8FB" w:rsidR="00360D56" w:rsidRPr="00CC0390" w:rsidRDefault="00D302A8" w:rsidP="00CC0390">
      <w:pPr>
        <w:pStyle w:val="ARTartustawynprozporzdzenia"/>
        <w:spacing w:before="0"/>
        <w:rPr>
          <w:rFonts w:ascii="Times New Roman" w:hAnsi="Times New Roman" w:cs="Times New Roman"/>
          <w:szCs w:val="24"/>
        </w:rPr>
      </w:pPr>
      <w:r w:rsidRPr="00CC0390">
        <w:rPr>
          <w:rFonts w:ascii="Times New Roman" w:hAnsi="Times New Roman" w:cs="Times New Roman"/>
          <w:szCs w:val="24"/>
        </w:rPr>
        <w:t xml:space="preserve">1) </w:t>
      </w:r>
      <w:r w:rsidR="00C77DDD" w:rsidRPr="00CC0390">
        <w:rPr>
          <w:rFonts w:ascii="Times New Roman" w:hAnsi="Times New Roman" w:cs="Times New Roman"/>
          <w:szCs w:val="24"/>
        </w:rPr>
        <w:t>Projekt zakłada rozszerzenie</w:t>
      </w:r>
      <w:r w:rsidRPr="00CC0390">
        <w:rPr>
          <w:rFonts w:ascii="Times New Roman" w:hAnsi="Times New Roman" w:cs="Times New Roman"/>
          <w:szCs w:val="24"/>
        </w:rPr>
        <w:t xml:space="preserve"> katalog</w:t>
      </w:r>
      <w:r w:rsidR="00C77DDD" w:rsidRPr="00CC0390">
        <w:rPr>
          <w:rFonts w:ascii="Times New Roman" w:hAnsi="Times New Roman" w:cs="Times New Roman"/>
          <w:szCs w:val="24"/>
        </w:rPr>
        <w:t>u</w:t>
      </w:r>
      <w:r w:rsidRPr="00CC0390">
        <w:rPr>
          <w:rFonts w:ascii="Times New Roman" w:hAnsi="Times New Roman" w:cs="Times New Roman"/>
          <w:szCs w:val="24"/>
        </w:rPr>
        <w:t xml:space="preserve"> podstaw zwolnienia z opłaty o wszystkie przestępstwa umyślne ści</w:t>
      </w:r>
      <w:r w:rsidR="00841172" w:rsidRPr="00CC0390">
        <w:rPr>
          <w:rFonts w:ascii="Times New Roman" w:hAnsi="Times New Roman" w:cs="Times New Roman"/>
          <w:szCs w:val="24"/>
        </w:rPr>
        <w:t>gane z oskarżenia publicznego. O</w:t>
      </w:r>
      <w:r w:rsidRPr="00CC0390">
        <w:rPr>
          <w:rFonts w:ascii="Times New Roman" w:hAnsi="Times New Roman" w:cs="Times New Roman"/>
          <w:szCs w:val="24"/>
        </w:rPr>
        <w:t xml:space="preserve">becnie są to tylko </w:t>
      </w:r>
      <w:r w:rsidR="00841172" w:rsidRPr="00CC0390">
        <w:rPr>
          <w:rFonts w:ascii="Times New Roman" w:hAnsi="Times New Roman" w:cs="Times New Roman"/>
          <w:szCs w:val="24"/>
        </w:rPr>
        <w:t>przestępstwa z użyciem przemocy, co nie znajduje uzasadnienia, zważywszy na cel regulacji, którym jest wyłączenie obowiązku partycypowania w koszt</w:t>
      </w:r>
      <w:r w:rsidR="00ED49EE" w:rsidRPr="00CC0390">
        <w:rPr>
          <w:rFonts w:ascii="Times New Roman" w:hAnsi="Times New Roman" w:cs="Times New Roman"/>
          <w:szCs w:val="24"/>
        </w:rPr>
        <w:t>ach</w:t>
      </w:r>
      <w:r w:rsidR="00841172" w:rsidRPr="00CC0390">
        <w:rPr>
          <w:rFonts w:ascii="Times New Roman" w:hAnsi="Times New Roman" w:cs="Times New Roman"/>
          <w:szCs w:val="24"/>
        </w:rPr>
        <w:t xml:space="preserve"> utrzymania pensjonariusza w DPS przez osobę pokrzywdzoną przestępstwem popełnionym przez tego pensjonariusza</w:t>
      </w:r>
      <w:r w:rsidR="000324DA" w:rsidRPr="00CC0390">
        <w:rPr>
          <w:rFonts w:ascii="Times New Roman" w:hAnsi="Times New Roman" w:cs="Times New Roman"/>
          <w:szCs w:val="24"/>
        </w:rPr>
        <w:t xml:space="preserve">. Trudno uznać, ażeby zawężenie szkodliwych zachowań wymierzonych przeciwko osobie obowiązanej do ponoszenia opłaty za pobyt pensjonariusza w DPS tylko do przestępstw z użyciem przemocy (a tym samym pominięcie np. przestępstwa </w:t>
      </w:r>
      <w:r w:rsidR="00C77DDD" w:rsidRPr="00CC0390">
        <w:rPr>
          <w:rFonts w:ascii="Times New Roman" w:hAnsi="Times New Roman" w:cs="Times New Roman"/>
          <w:szCs w:val="24"/>
        </w:rPr>
        <w:t>nie</w:t>
      </w:r>
      <w:r w:rsidR="000324DA" w:rsidRPr="00CC0390">
        <w:rPr>
          <w:rFonts w:ascii="Times New Roman" w:hAnsi="Times New Roman" w:cs="Times New Roman"/>
          <w:szCs w:val="24"/>
        </w:rPr>
        <w:t>alimentacji z art. 209 Kodeksu karnego) realizowało</w:t>
      </w:r>
      <w:r w:rsidR="00C77DDD" w:rsidRPr="00CC0390">
        <w:rPr>
          <w:rFonts w:ascii="Times New Roman" w:hAnsi="Times New Roman" w:cs="Times New Roman"/>
          <w:szCs w:val="24"/>
        </w:rPr>
        <w:t xml:space="preserve"> postulat sprawiedliwości społecznej</w:t>
      </w:r>
      <w:r w:rsidR="007F5694" w:rsidRPr="00CC0390">
        <w:rPr>
          <w:rFonts w:ascii="Times New Roman" w:hAnsi="Times New Roman" w:cs="Times New Roman"/>
          <w:szCs w:val="24"/>
        </w:rPr>
        <w:t>.</w:t>
      </w:r>
    </w:p>
    <w:p w14:paraId="6634DA23" w14:textId="0451C4BB" w:rsidR="00D302A8" w:rsidRPr="00CC0390" w:rsidRDefault="00D302A8" w:rsidP="00CC0390">
      <w:pPr>
        <w:pStyle w:val="ARTartustawynprozporzdzenia"/>
        <w:spacing w:before="0"/>
        <w:rPr>
          <w:rFonts w:ascii="Times New Roman" w:hAnsi="Times New Roman" w:cs="Times New Roman"/>
          <w:szCs w:val="24"/>
          <w:shd w:val="clear" w:color="auto" w:fill="FFFFFF"/>
        </w:rPr>
      </w:pPr>
      <w:r w:rsidRPr="00CC0390">
        <w:rPr>
          <w:rFonts w:ascii="Times New Roman" w:hAnsi="Times New Roman" w:cs="Times New Roman"/>
          <w:szCs w:val="24"/>
        </w:rPr>
        <w:t xml:space="preserve">2) </w:t>
      </w:r>
      <w:r w:rsidR="00C77DDD" w:rsidRPr="00CC0390">
        <w:rPr>
          <w:rFonts w:ascii="Times New Roman" w:hAnsi="Times New Roman" w:cs="Times New Roman"/>
          <w:szCs w:val="24"/>
        </w:rPr>
        <w:t xml:space="preserve">Proponuje się ponadto </w:t>
      </w:r>
      <w:r w:rsidRPr="00CC0390">
        <w:rPr>
          <w:rFonts w:ascii="Times New Roman" w:hAnsi="Times New Roman" w:cs="Times New Roman"/>
          <w:szCs w:val="24"/>
        </w:rPr>
        <w:t xml:space="preserve">wskazać, że </w:t>
      </w:r>
      <w:r w:rsidR="00C77DDD" w:rsidRPr="00CC0390">
        <w:rPr>
          <w:rFonts w:ascii="Times New Roman" w:hAnsi="Times New Roman" w:cs="Times New Roman"/>
          <w:szCs w:val="24"/>
        </w:rPr>
        <w:t xml:space="preserve">podstawą wyłączenia obowiązku odpłatności za pobyt członka rodziny w DPS mogą </w:t>
      </w:r>
      <w:r w:rsidRPr="00CC0390">
        <w:rPr>
          <w:rFonts w:ascii="Times New Roman" w:hAnsi="Times New Roman" w:cs="Times New Roman"/>
          <w:szCs w:val="24"/>
        </w:rPr>
        <w:t xml:space="preserve">być przestępstwa </w:t>
      </w:r>
      <w:r w:rsidRPr="00CC0390">
        <w:rPr>
          <w:rFonts w:ascii="Times New Roman" w:hAnsi="Times New Roman" w:cs="Times New Roman"/>
          <w:szCs w:val="24"/>
          <w:shd w:val="clear" w:color="auto" w:fill="FFFFFF"/>
        </w:rPr>
        <w:t>popełnione zarówno na szkodę osoby obowiązanej do wnoszenia opłaty, jej małoletniego ro</w:t>
      </w:r>
      <w:r w:rsidR="00C77DDD" w:rsidRPr="00CC0390">
        <w:rPr>
          <w:rFonts w:ascii="Times New Roman" w:hAnsi="Times New Roman" w:cs="Times New Roman"/>
          <w:szCs w:val="24"/>
          <w:shd w:val="clear" w:color="auto" w:fill="FFFFFF"/>
        </w:rPr>
        <w:t xml:space="preserve">dzeństwa lub jej rodzica (które </w:t>
      </w:r>
      <w:r w:rsidRPr="00CC0390">
        <w:rPr>
          <w:rFonts w:ascii="Times New Roman" w:hAnsi="Times New Roman" w:cs="Times New Roman"/>
          <w:szCs w:val="24"/>
          <w:shd w:val="clear" w:color="auto" w:fill="FFFFFF"/>
        </w:rPr>
        <w:t xml:space="preserve">obecnie przewiduje przepis), </w:t>
      </w:r>
      <w:r w:rsidR="00F43179" w:rsidRPr="00CC0390">
        <w:rPr>
          <w:rFonts w:ascii="Times New Roman" w:hAnsi="Times New Roman" w:cs="Times New Roman"/>
          <w:szCs w:val="24"/>
          <w:shd w:val="clear" w:color="auto" w:fill="FFFFFF"/>
        </w:rPr>
        <w:t>jak</w:t>
      </w:r>
      <w:r w:rsidRPr="00CC0390">
        <w:rPr>
          <w:rFonts w:ascii="Times New Roman" w:hAnsi="Times New Roman" w:cs="Times New Roman"/>
          <w:szCs w:val="24"/>
          <w:shd w:val="clear" w:color="auto" w:fill="FFFFFF"/>
        </w:rPr>
        <w:t xml:space="preserve"> również te, w których pokrzywdzonym jest dziecko tej osoby lub pełnoletnie, lecz </w:t>
      </w:r>
      <w:r w:rsidR="00EE63CA" w:rsidRPr="00CC0390">
        <w:rPr>
          <w:rFonts w:ascii="Times New Roman" w:hAnsi="Times New Roman" w:cs="Times New Roman"/>
          <w:bCs/>
          <w:szCs w:val="24"/>
        </w:rPr>
        <w:t>nieporadne ze względu na wiek, stan psychiczny lub fizyczny</w:t>
      </w:r>
      <w:r w:rsidR="00C77DDD" w:rsidRPr="00CC0390">
        <w:rPr>
          <w:rFonts w:ascii="Times New Roman" w:hAnsi="Times New Roman" w:cs="Times New Roman"/>
          <w:szCs w:val="24"/>
          <w:shd w:val="clear" w:color="auto" w:fill="FFFFFF"/>
        </w:rPr>
        <w:t xml:space="preserve"> rodzeństwo. Pominięcie w ww. katalogu osób bliskich osoby obowiązanej do ponoszenia opłaty jej dzieci oraz nieporadnego </w:t>
      </w:r>
      <w:r w:rsidR="00EE63CA" w:rsidRPr="00CC0390">
        <w:rPr>
          <w:rFonts w:ascii="Times New Roman" w:hAnsi="Times New Roman" w:cs="Times New Roman"/>
          <w:bCs/>
          <w:szCs w:val="24"/>
        </w:rPr>
        <w:t>ze względu na wiek, stan psychiczny lub fizyczny</w:t>
      </w:r>
      <w:r w:rsidR="00EE63CA" w:rsidRPr="00CC0390">
        <w:rPr>
          <w:rFonts w:ascii="Times New Roman" w:hAnsi="Times New Roman" w:cs="Times New Roman"/>
          <w:szCs w:val="24"/>
          <w:shd w:val="clear" w:color="auto" w:fill="FFFFFF"/>
        </w:rPr>
        <w:t xml:space="preserve"> </w:t>
      </w:r>
      <w:r w:rsidR="00C77DDD" w:rsidRPr="00CC0390">
        <w:rPr>
          <w:rFonts w:ascii="Times New Roman" w:hAnsi="Times New Roman" w:cs="Times New Roman"/>
          <w:szCs w:val="24"/>
          <w:shd w:val="clear" w:color="auto" w:fill="FFFFFF"/>
        </w:rPr>
        <w:t>rodzeństwa nie znajduje uzasadnienia w świetle celu obowiązującej regulacji, dlatego projekt wprowadza w tym zakresie konieczną zmianę legislacyjną.</w:t>
      </w:r>
      <w:r w:rsidR="00EF4EA8">
        <w:rPr>
          <w:rFonts w:ascii="Times New Roman" w:hAnsi="Times New Roman" w:cs="Times New Roman"/>
          <w:szCs w:val="24"/>
          <w:shd w:val="clear" w:color="auto" w:fill="FFFFFF"/>
        </w:rPr>
        <w:t xml:space="preserve"> </w:t>
      </w:r>
    </w:p>
    <w:p w14:paraId="14A1538C" w14:textId="6012D4A2" w:rsidR="00F400AE" w:rsidRPr="00CC0390" w:rsidRDefault="00D302A8" w:rsidP="00CC0390">
      <w:pPr>
        <w:pStyle w:val="ARTartustawynprozporzdzenia"/>
        <w:spacing w:before="0"/>
        <w:rPr>
          <w:rFonts w:ascii="Times New Roman" w:eastAsia="Times New Roman" w:hAnsi="Times New Roman" w:cs="Times New Roman"/>
          <w:b/>
          <w:bCs/>
          <w:szCs w:val="24"/>
        </w:rPr>
      </w:pPr>
      <w:r w:rsidRPr="00CC0390">
        <w:rPr>
          <w:rFonts w:ascii="Times New Roman" w:hAnsi="Times New Roman" w:cs="Times New Roman"/>
          <w:szCs w:val="24"/>
          <w:shd w:val="clear" w:color="auto" w:fill="FFFFFF"/>
        </w:rPr>
        <w:t xml:space="preserve">3) </w:t>
      </w:r>
      <w:r w:rsidR="00E47B38" w:rsidRPr="00CC0390">
        <w:rPr>
          <w:rFonts w:ascii="Times New Roman" w:hAnsi="Times New Roman" w:cs="Times New Roman"/>
          <w:szCs w:val="24"/>
          <w:shd w:val="clear" w:color="auto" w:fill="FFFFFF"/>
        </w:rPr>
        <w:t>P</w:t>
      </w:r>
      <w:r w:rsidR="00C77DDD" w:rsidRPr="00CC0390">
        <w:rPr>
          <w:rFonts w:ascii="Times New Roman" w:hAnsi="Times New Roman" w:cs="Times New Roman"/>
          <w:szCs w:val="24"/>
          <w:shd w:val="clear" w:color="auto" w:fill="FFFFFF"/>
        </w:rPr>
        <w:t xml:space="preserve">rojekt przewiduje także </w:t>
      </w:r>
      <w:r w:rsidRPr="00CC0390">
        <w:rPr>
          <w:rFonts w:ascii="Times New Roman" w:hAnsi="Times New Roman" w:cs="Times New Roman"/>
          <w:szCs w:val="24"/>
          <w:shd w:val="clear" w:color="auto" w:fill="FFFFFF"/>
        </w:rPr>
        <w:t>uwzględni</w:t>
      </w:r>
      <w:r w:rsidR="00EC61A5" w:rsidRPr="00CC0390">
        <w:rPr>
          <w:rFonts w:ascii="Times New Roman" w:hAnsi="Times New Roman" w:cs="Times New Roman"/>
          <w:szCs w:val="24"/>
          <w:shd w:val="clear" w:color="auto" w:fill="FFFFFF"/>
        </w:rPr>
        <w:t>enie kwestii zatarcia skazania. P</w:t>
      </w:r>
      <w:r w:rsidRPr="00CC0390">
        <w:rPr>
          <w:rFonts w:ascii="Times New Roman" w:hAnsi="Times New Roman" w:cs="Times New Roman"/>
          <w:szCs w:val="24"/>
          <w:shd w:val="clear" w:color="auto" w:fill="FFFFFF"/>
        </w:rPr>
        <w:t xml:space="preserve">rzepis w obecnym brzmieniu </w:t>
      </w:r>
      <w:r w:rsidR="00EC61A5" w:rsidRPr="00CC0390">
        <w:rPr>
          <w:rFonts w:ascii="Times New Roman" w:hAnsi="Times New Roman" w:cs="Times New Roman"/>
          <w:szCs w:val="24"/>
          <w:shd w:val="clear" w:color="auto" w:fill="FFFFFF"/>
        </w:rPr>
        <w:t>pomija instytucję zatarcia skazania</w:t>
      </w:r>
      <w:r w:rsidR="00121857" w:rsidRPr="00CC0390">
        <w:rPr>
          <w:rFonts w:ascii="Times New Roman" w:hAnsi="Times New Roman" w:cs="Times New Roman"/>
          <w:szCs w:val="24"/>
          <w:shd w:val="clear" w:color="auto" w:fill="FFFFFF"/>
        </w:rPr>
        <w:t xml:space="preserve"> (art. 106 </w:t>
      </w:r>
      <w:r w:rsidR="000324DA" w:rsidRPr="00CC0390">
        <w:rPr>
          <w:rFonts w:ascii="Times New Roman" w:eastAsia="Times New Roman" w:hAnsi="Times New Roman" w:cs="Times New Roman"/>
          <w:szCs w:val="24"/>
        </w:rPr>
        <w:t>k.k.</w:t>
      </w:r>
      <w:r w:rsidR="00121857" w:rsidRPr="00CC0390">
        <w:rPr>
          <w:rFonts w:ascii="Times New Roman" w:hAnsi="Times New Roman" w:cs="Times New Roman"/>
          <w:szCs w:val="24"/>
          <w:shd w:val="clear" w:color="auto" w:fill="FFFFFF"/>
        </w:rPr>
        <w:t>)</w:t>
      </w:r>
      <w:r w:rsidR="00EC61A5" w:rsidRPr="00CC0390">
        <w:rPr>
          <w:rFonts w:ascii="Times New Roman" w:hAnsi="Times New Roman" w:cs="Times New Roman"/>
          <w:szCs w:val="24"/>
          <w:shd w:val="clear" w:color="auto" w:fill="FFFFFF"/>
        </w:rPr>
        <w:t xml:space="preserve">, która </w:t>
      </w:r>
      <w:r w:rsidR="00EC61A5" w:rsidRPr="00CC0390">
        <w:rPr>
          <w:rFonts w:ascii="Times New Roman" w:eastAsia="Times New Roman" w:hAnsi="Times New Roman" w:cs="Times New Roman"/>
          <w:szCs w:val="24"/>
        </w:rPr>
        <w:t>wprowadza fikcję prawną polegającą na tym, że skazanie uważa się za niebyłe, czego skutkiem jest usunięcie wpisu o skazaniu z Krajowego Rejestru Karnego. Instytucja ta ma na celu eliminację trwałego charakteru negatywnych następstw skazania (a głównie efektu stygmatyzacji) i umożliwienie sprawcy powrotu do pełnoprawnego funkcjonowania w społeczeństwie. Skazanie zatarte nie może rodzić żadnych konsekwencji prawnych ani ograniczać praw osoby, której skazanie uległo zatarciu. Osoba taka może twierdzić, że nie była karana, a wszelkie informacje o jej karalności winny być usunięte z dokumentów, w których je zamieszczono. Zatarcie skazania może nastąpić z mocy prawa, na podstawie postanowienia sądu albo też na mocy aktu łaski Prezydenta RP (</w:t>
      </w:r>
      <w:hyperlink r:id="rId8" w:anchor="/document/16798613?unitId=art(139)&amp;cm=DOCUMENT" w:history="1">
        <w:r w:rsidR="00EC61A5" w:rsidRPr="00CC0390">
          <w:rPr>
            <w:rFonts w:ascii="Times New Roman" w:eastAsia="Times New Roman" w:hAnsi="Times New Roman" w:cs="Times New Roman"/>
            <w:szCs w:val="24"/>
          </w:rPr>
          <w:t>art. 139</w:t>
        </w:r>
      </w:hyperlink>
      <w:r w:rsidR="00EC61A5" w:rsidRPr="00CC0390">
        <w:rPr>
          <w:rFonts w:ascii="Times New Roman" w:eastAsia="Times New Roman" w:hAnsi="Times New Roman" w:cs="Times New Roman"/>
          <w:szCs w:val="24"/>
        </w:rPr>
        <w:t xml:space="preserve"> Konstytucji RP). </w:t>
      </w:r>
      <w:r w:rsidR="00EC61A5" w:rsidRPr="00CC0390">
        <w:rPr>
          <w:rFonts w:ascii="Times New Roman" w:eastAsia="Times New Roman" w:hAnsi="Times New Roman" w:cs="Times New Roman"/>
          <w:bCs/>
          <w:szCs w:val="24"/>
        </w:rPr>
        <w:t>Z mocy prawa</w:t>
      </w:r>
      <w:r w:rsidR="00EC61A5" w:rsidRPr="00CC0390">
        <w:rPr>
          <w:rFonts w:ascii="Times New Roman" w:eastAsia="Times New Roman" w:hAnsi="Times New Roman" w:cs="Times New Roman"/>
          <w:szCs w:val="24"/>
        </w:rPr>
        <w:t xml:space="preserve"> w grę wchodzi zatarcie w następujących przypadkach: </w:t>
      </w:r>
      <w:r w:rsidR="00EC61A5" w:rsidRPr="00CC0390">
        <w:rPr>
          <w:rFonts w:ascii="Times New Roman" w:eastAsia="Times New Roman" w:hAnsi="Times New Roman" w:cs="Times New Roman"/>
          <w:bCs/>
          <w:szCs w:val="24"/>
        </w:rPr>
        <w:t xml:space="preserve">1) </w:t>
      </w:r>
      <w:r w:rsidR="00EC61A5" w:rsidRPr="00CC0390">
        <w:rPr>
          <w:rFonts w:ascii="Times New Roman" w:eastAsia="Times New Roman" w:hAnsi="Times New Roman" w:cs="Times New Roman"/>
          <w:szCs w:val="24"/>
        </w:rPr>
        <w:t>przy zmianie ustawy – jeśli według nowej ustawy czyn objęty wyrokiem nie jest już zabroniony pod groźbą kary (</w:t>
      </w:r>
      <w:hyperlink r:id="rId9" w:anchor="/document/16798683?unitId=art(4)par(4)&amp;cm=DOCUMENT" w:history="1">
        <w:r w:rsidR="00EC61A5" w:rsidRPr="00CC0390">
          <w:rPr>
            <w:rFonts w:ascii="Times New Roman" w:eastAsia="Times New Roman" w:hAnsi="Times New Roman" w:cs="Times New Roman"/>
            <w:szCs w:val="24"/>
          </w:rPr>
          <w:t>art. 4 § 4</w:t>
        </w:r>
      </w:hyperlink>
      <w:r w:rsidR="00EC61A5" w:rsidRPr="00CC0390">
        <w:rPr>
          <w:rFonts w:ascii="Times New Roman" w:eastAsia="Times New Roman" w:hAnsi="Times New Roman" w:cs="Times New Roman"/>
          <w:szCs w:val="24"/>
        </w:rPr>
        <w:t xml:space="preserve"> k.k.); </w:t>
      </w:r>
      <w:r w:rsidR="00EC61A5" w:rsidRPr="00CC0390">
        <w:rPr>
          <w:rFonts w:ascii="Times New Roman" w:eastAsia="Times New Roman" w:hAnsi="Times New Roman" w:cs="Times New Roman"/>
          <w:bCs/>
          <w:szCs w:val="24"/>
        </w:rPr>
        <w:t xml:space="preserve">2) </w:t>
      </w:r>
      <w:r w:rsidR="00EC61A5" w:rsidRPr="00CC0390">
        <w:rPr>
          <w:rFonts w:ascii="Times New Roman" w:eastAsia="Times New Roman" w:hAnsi="Times New Roman" w:cs="Times New Roman"/>
          <w:szCs w:val="24"/>
        </w:rPr>
        <w:t>po upływie 6 miesięcy od zakończenia okresu próby przy warunkowym zawieszeniu wykonania kary (</w:t>
      </w:r>
      <w:hyperlink r:id="rId10" w:anchor="/document/16798683?unitId=art(76)par(1)&amp;cm=DOCUMENT" w:history="1">
        <w:r w:rsidR="00EC61A5" w:rsidRPr="00CC0390">
          <w:rPr>
            <w:rFonts w:ascii="Times New Roman" w:eastAsia="Times New Roman" w:hAnsi="Times New Roman" w:cs="Times New Roman"/>
            <w:szCs w:val="24"/>
          </w:rPr>
          <w:t xml:space="preserve">art. </w:t>
        </w:r>
        <w:r w:rsidR="00EC61A5" w:rsidRPr="00CC0390">
          <w:rPr>
            <w:rFonts w:ascii="Times New Roman" w:eastAsia="Times New Roman" w:hAnsi="Times New Roman" w:cs="Times New Roman"/>
            <w:szCs w:val="24"/>
          </w:rPr>
          <w:lastRenderedPageBreak/>
          <w:t>76 § 1</w:t>
        </w:r>
      </w:hyperlink>
      <w:r w:rsidR="00EC61A5" w:rsidRPr="00CC0390">
        <w:rPr>
          <w:rFonts w:ascii="Times New Roman" w:eastAsia="Times New Roman" w:hAnsi="Times New Roman" w:cs="Times New Roman"/>
          <w:szCs w:val="24"/>
        </w:rPr>
        <w:t xml:space="preserve"> k.k.); </w:t>
      </w:r>
      <w:r w:rsidR="00EC61A5" w:rsidRPr="00CC0390">
        <w:rPr>
          <w:rFonts w:ascii="Times New Roman" w:eastAsia="Times New Roman" w:hAnsi="Times New Roman" w:cs="Times New Roman"/>
          <w:bCs/>
          <w:szCs w:val="24"/>
        </w:rPr>
        <w:t xml:space="preserve">3) </w:t>
      </w:r>
      <w:r w:rsidR="00EC61A5" w:rsidRPr="00CC0390">
        <w:rPr>
          <w:rFonts w:ascii="Times New Roman" w:eastAsia="Times New Roman" w:hAnsi="Times New Roman" w:cs="Times New Roman"/>
          <w:szCs w:val="24"/>
        </w:rPr>
        <w:t>po upływie określonego przez ustawę okresu od wykonania, uznania za wykonaną lub darowania kary albo od przedawnienia jej wykonania (</w:t>
      </w:r>
      <w:hyperlink r:id="rId11" w:anchor="/document/16798683?unitId=art(107)par(1)&amp;cm=DOCUMENT" w:history="1">
        <w:r w:rsidR="00EC61A5" w:rsidRPr="00CC0390">
          <w:rPr>
            <w:rFonts w:ascii="Times New Roman" w:eastAsia="Times New Roman" w:hAnsi="Times New Roman" w:cs="Times New Roman"/>
            <w:szCs w:val="24"/>
          </w:rPr>
          <w:t>art. 107 § 1</w:t>
        </w:r>
      </w:hyperlink>
      <w:r w:rsidR="00EC61A5" w:rsidRPr="00CC0390">
        <w:rPr>
          <w:rFonts w:ascii="Times New Roman" w:eastAsia="Times New Roman" w:hAnsi="Times New Roman" w:cs="Times New Roman"/>
          <w:szCs w:val="24"/>
        </w:rPr>
        <w:t xml:space="preserve">, </w:t>
      </w:r>
      <w:hyperlink r:id="rId12" w:anchor="/document/16798683?unitId=art(107)par(3)&amp;cm=DOCUMENT" w:history="1">
        <w:r w:rsidR="00EC61A5" w:rsidRPr="00CC0390">
          <w:rPr>
            <w:rFonts w:ascii="Times New Roman" w:eastAsia="Times New Roman" w:hAnsi="Times New Roman" w:cs="Times New Roman"/>
            <w:szCs w:val="24"/>
          </w:rPr>
          <w:t>3</w:t>
        </w:r>
      </w:hyperlink>
      <w:r w:rsidR="00EC61A5" w:rsidRPr="00CC0390">
        <w:rPr>
          <w:rFonts w:ascii="Times New Roman" w:eastAsia="Times New Roman" w:hAnsi="Times New Roman" w:cs="Times New Roman"/>
          <w:szCs w:val="24"/>
        </w:rPr>
        <w:t xml:space="preserve">, </w:t>
      </w:r>
      <w:hyperlink r:id="rId13" w:anchor="/document/16798683?unitId=art(107)par(4)&amp;cm=DOCUMENT" w:history="1">
        <w:r w:rsidR="00EC61A5" w:rsidRPr="00CC0390">
          <w:rPr>
            <w:rFonts w:ascii="Times New Roman" w:eastAsia="Times New Roman" w:hAnsi="Times New Roman" w:cs="Times New Roman"/>
            <w:szCs w:val="24"/>
          </w:rPr>
          <w:t>4</w:t>
        </w:r>
      </w:hyperlink>
      <w:r w:rsidR="00EC61A5" w:rsidRPr="00CC0390">
        <w:rPr>
          <w:rFonts w:ascii="Times New Roman" w:eastAsia="Times New Roman" w:hAnsi="Times New Roman" w:cs="Times New Roman"/>
          <w:szCs w:val="24"/>
        </w:rPr>
        <w:t xml:space="preserve">, </w:t>
      </w:r>
      <w:hyperlink r:id="rId14" w:anchor="/document/16798683?unitId=art(107)par(4(a))&amp;cm=DOCUMENT" w:history="1">
        <w:r w:rsidR="00EC61A5" w:rsidRPr="00CC0390">
          <w:rPr>
            <w:rFonts w:ascii="Times New Roman" w:eastAsia="Times New Roman" w:hAnsi="Times New Roman" w:cs="Times New Roman"/>
            <w:szCs w:val="24"/>
          </w:rPr>
          <w:t>4a</w:t>
        </w:r>
      </w:hyperlink>
      <w:r w:rsidR="00EC61A5" w:rsidRPr="00CC0390">
        <w:rPr>
          <w:rFonts w:ascii="Times New Roman" w:eastAsia="Times New Roman" w:hAnsi="Times New Roman" w:cs="Times New Roman"/>
          <w:szCs w:val="24"/>
        </w:rPr>
        <w:t xml:space="preserve">, </w:t>
      </w:r>
      <w:hyperlink r:id="rId15" w:anchor="/document/16798683?unitId=art(107)par(5)&amp;cm=DOCUMENT" w:history="1">
        <w:r w:rsidR="00EC61A5" w:rsidRPr="00CC0390">
          <w:rPr>
            <w:rFonts w:ascii="Times New Roman" w:eastAsia="Times New Roman" w:hAnsi="Times New Roman" w:cs="Times New Roman"/>
            <w:szCs w:val="24"/>
          </w:rPr>
          <w:t>5</w:t>
        </w:r>
      </w:hyperlink>
      <w:r w:rsidR="00EC61A5" w:rsidRPr="00CC0390">
        <w:rPr>
          <w:rFonts w:ascii="Times New Roman" w:eastAsia="Times New Roman" w:hAnsi="Times New Roman" w:cs="Times New Roman"/>
          <w:szCs w:val="24"/>
        </w:rPr>
        <w:t xml:space="preserve">, </w:t>
      </w:r>
      <w:hyperlink r:id="rId16" w:anchor="/document/16798683?unitId=art(107)par(6)&amp;cm=DOCUMENT" w:history="1">
        <w:r w:rsidR="00EC61A5" w:rsidRPr="00CC0390">
          <w:rPr>
            <w:rFonts w:ascii="Times New Roman" w:eastAsia="Times New Roman" w:hAnsi="Times New Roman" w:cs="Times New Roman"/>
            <w:szCs w:val="24"/>
          </w:rPr>
          <w:t>6</w:t>
        </w:r>
      </w:hyperlink>
      <w:r w:rsidR="00EC61A5" w:rsidRPr="00CC0390">
        <w:rPr>
          <w:rFonts w:ascii="Times New Roman" w:eastAsia="Times New Roman" w:hAnsi="Times New Roman" w:cs="Times New Roman"/>
          <w:szCs w:val="24"/>
        </w:rPr>
        <w:t xml:space="preserve"> k.k.); </w:t>
      </w:r>
      <w:r w:rsidR="00EC61A5" w:rsidRPr="00CC0390">
        <w:rPr>
          <w:rFonts w:ascii="Times New Roman" w:eastAsia="Times New Roman" w:hAnsi="Times New Roman" w:cs="Times New Roman"/>
          <w:bCs/>
          <w:szCs w:val="24"/>
        </w:rPr>
        <w:t xml:space="preserve">4) </w:t>
      </w:r>
      <w:r w:rsidR="00EC61A5" w:rsidRPr="00CC0390">
        <w:rPr>
          <w:rFonts w:ascii="Times New Roman" w:eastAsia="Times New Roman" w:hAnsi="Times New Roman" w:cs="Times New Roman"/>
          <w:szCs w:val="24"/>
        </w:rPr>
        <w:t>w razie zwolnienia skazanego żołnierza od kary pozbawienia wolności (</w:t>
      </w:r>
      <w:hyperlink r:id="rId17" w:anchor="/document/16798683?unitId=art(336)par(5)&amp;cm=DOCUMENT" w:history="1">
        <w:r w:rsidR="00EC61A5" w:rsidRPr="00CC0390">
          <w:rPr>
            <w:rFonts w:ascii="Times New Roman" w:eastAsia="Times New Roman" w:hAnsi="Times New Roman" w:cs="Times New Roman"/>
            <w:szCs w:val="24"/>
          </w:rPr>
          <w:t>art. 336 § 5</w:t>
        </w:r>
      </w:hyperlink>
      <w:r w:rsidR="00EC61A5" w:rsidRPr="00CC0390">
        <w:rPr>
          <w:rFonts w:ascii="Times New Roman" w:eastAsia="Times New Roman" w:hAnsi="Times New Roman" w:cs="Times New Roman"/>
          <w:szCs w:val="24"/>
        </w:rPr>
        <w:t xml:space="preserve"> k.k.). Przepis </w:t>
      </w:r>
      <w:r w:rsidR="00C77DDD" w:rsidRPr="00CC0390">
        <w:rPr>
          <w:rFonts w:ascii="Times New Roman" w:eastAsia="Times New Roman" w:hAnsi="Times New Roman" w:cs="Times New Roman"/>
          <w:szCs w:val="24"/>
        </w:rPr>
        <w:t xml:space="preserve">ustawy </w:t>
      </w:r>
      <w:r w:rsidR="00EC61A5" w:rsidRPr="00CC0390">
        <w:rPr>
          <w:rFonts w:ascii="Times New Roman" w:eastAsia="Times New Roman" w:hAnsi="Times New Roman" w:cs="Times New Roman"/>
          <w:szCs w:val="24"/>
        </w:rPr>
        <w:t>nieuwzględniający w</w:t>
      </w:r>
      <w:r w:rsidR="00EF4EA8">
        <w:rPr>
          <w:rFonts w:ascii="Times New Roman" w:eastAsia="Times New Roman" w:hAnsi="Times New Roman" w:cs="Times New Roman"/>
          <w:szCs w:val="24"/>
        </w:rPr>
        <w:t xml:space="preserve"> </w:t>
      </w:r>
      <w:r w:rsidR="00EC61A5" w:rsidRPr="00CC0390">
        <w:rPr>
          <w:rFonts w:ascii="Times New Roman" w:eastAsia="Times New Roman" w:hAnsi="Times New Roman" w:cs="Times New Roman"/>
          <w:szCs w:val="24"/>
        </w:rPr>
        <w:t>obecnym brzmieniu ww. instytucji</w:t>
      </w:r>
      <w:r w:rsidR="00EC61A5" w:rsidRPr="00CC0390">
        <w:rPr>
          <w:rFonts w:ascii="Times New Roman" w:eastAsia="Times New Roman" w:hAnsi="Times New Roman" w:cs="Times New Roman"/>
          <w:b/>
          <w:bCs/>
          <w:szCs w:val="24"/>
        </w:rPr>
        <w:t xml:space="preserve"> </w:t>
      </w:r>
      <w:r w:rsidR="00EC61A5" w:rsidRPr="00CC0390">
        <w:rPr>
          <w:rFonts w:ascii="Times New Roman" w:hAnsi="Times New Roman" w:cs="Times New Roman"/>
          <w:szCs w:val="24"/>
          <w:shd w:val="clear" w:color="auto" w:fill="FFFFFF"/>
        </w:rPr>
        <w:t>obarczony jest w tym zakresie istotną wadą prawną.</w:t>
      </w:r>
    </w:p>
    <w:p w14:paraId="0C0EEBBE" w14:textId="2046FCEF" w:rsidR="00E47B38" w:rsidRPr="00CC0390" w:rsidRDefault="00E47B38" w:rsidP="00CC0390">
      <w:pPr>
        <w:spacing w:after="0" w:line="360" w:lineRule="auto"/>
        <w:ind w:right="-45" w:firstLine="708"/>
        <w:jc w:val="both"/>
        <w:rPr>
          <w:rFonts w:ascii="Times New Roman" w:hAnsi="Times New Roman" w:cs="Times New Roman"/>
          <w:sz w:val="24"/>
          <w:szCs w:val="24"/>
        </w:rPr>
      </w:pPr>
      <w:r w:rsidRPr="00CC0390">
        <w:rPr>
          <w:rFonts w:ascii="Times New Roman" w:hAnsi="Times New Roman" w:cs="Times New Roman"/>
          <w:sz w:val="24"/>
          <w:szCs w:val="24"/>
        </w:rPr>
        <w:t xml:space="preserve">Odnośnie do relacji pomiędzy przesłanką </w:t>
      </w:r>
      <w:r w:rsidR="002569D0" w:rsidRPr="00CC0390">
        <w:rPr>
          <w:rFonts w:ascii="Times New Roman" w:hAnsi="Times New Roman" w:cs="Times New Roman"/>
          <w:sz w:val="24"/>
          <w:szCs w:val="24"/>
        </w:rPr>
        <w:t>obligatoryjną (art. 64a ustawy)</w:t>
      </w:r>
      <w:r w:rsidR="00CC0390">
        <w:rPr>
          <w:rFonts w:ascii="Times New Roman" w:hAnsi="Times New Roman" w:cs="Times New Roman"/>
          <w:sz w:val="24"/>
          <w:szCs w:val="24"/>
        </w:rPr>
        <w:t xml:space="preserve"> </w:t>
      </w:r>
      <w:r w:rsidRPr="00CC0390">
        <w:rPr>
          <w:rFonts w:ascii="Times New Roman" w:hAnsi="Times New Roman" w:cs="Times New Roman"/>
          <w:sz w:val="24"/>
          <w:szCs w:val="24"/>
        </w:rPr>
        <w:t>i przesłanką fakultatywną (art. 64 pkt 7 ustawy) – w kontekście przestępstwa niealimentacji –</w:t>
      </w:r>
      <w:r w:rsidR="00EF4EA8">
        <w:rPr>
          <w:rFonts w:ascii="Times New Roman" w:hAnsi="Times New Roman" w:cs="Times New Roman"/>
          <w:sz w:val="24"/>
          <w:szCs w:val="24"/>
        </w:rPr>
        <w:t xml:space="preserve"> </w:t>
      </w:r>
      <w:r w:rsidRPr="00CC0390">
        <w:rPr>
          <w:rFonts w:ascii="Times New Roman" w:hAnsi="Times New Roman" w:cs="Times New Roman"/>
          <w:sz w:val="24"/>
          <w:szCs w:val="24"/>
        </w:rPr>
        <w:t xml:space="preserve">wskazania wymaga, że przesłanka obligatoryjna ma węższy zakres niż fakultatywna. Po pierwsze, ww. czyn z art. 209 k.k. jest przestępstwem umyślnym przeciwko rodzinie, a zatem przez ustawodawcę jest uznany za kryminalnie bezprawny i społecznie szkodliwy. Już samo popełnienie przestępstwa (czyli czynu kryminalnie bezprawnego) na szkodę zobowiązanego do pokrycia kosztów pobytu mieszkańca, podobnie jak inne czyny przeciwko rodzinie (np. znęcanie się, rozpijanie małoletniego) powinny skutkować zwolnieniem z płacenia za pobyt przestępcy w domu pomocy społecznej przez jego ofiarę. Po drugie, znamieniem tego przestępstwa jest określenie świadczenia co do wysokości orzeczeniem sądowym, ugodą zawartą przed sądem albo innym organem albo umową. W razie braku tego określenia, pomimo istniejącego obowiązku alimentacyjnego pomiędzy stronami, nie będzie możliwe wypełnienie znamion przestępstwa. Po trzecie, do uruchomienia ścigania karnego i w konsekwencji skazania sprawcy niezbędne jest złożenie wniosku przez pokrzywdzonego, organ pomocy społecznej lub organ podejmujący działania wobec dłużnika alimentacyjnego (chyba że pokrzywdzonemu przyznano odpowiednie świadczenia rodzinne albo świadczenia pieniężne wypłacane w przypadku bezskuteczności egzekucji alimentów). Jeżeli taki wniosek nie zostanie złożony, to pomimo wypełnienia znamion przestępstwa nie będzie możliwe ściganie sprawcy. Jak z powyższego wynika, istnieje cały szereg sytuacji, w których mieszkaniec domu pomocy społecznej może rażąco nie wywiązywać się z obowiązku alimentacyjnego względem zobowiązanego do pokrycia kosztów pobytu, a które nie wyczerpują znamion przestępstwa. </w:t>
      </w:r>
      <w:r w:rsidR="000F0DC9" w:rsidRPr="00CC0390">
        <w:rPr>
          <w:rFonts w:ascii="Times New Roman" w:hAnsi="Times New Roman" w:cs="Times New Roman"/>
          <w:sz w:val="24"/>
          <w:szCs w:val="24"/>
        </w:rPr>
        <w:t>W</w:t>
      </w:r>
      <w:r w:rsidR="002569D0" w:rsidRPr="00CC0390">
        <w:rPr>
          <w:rFonts w:ascii="Times New Roman" w:hAnsi="Times New Roman" w:cs="Times New Roman"/>
          <w:sz w:val="24"/>
          <w:szCs w:val="24"/>
        </w:rPr>
        <w:t>prowadzenie projektowanej</w:t>
      </w:r>
      <w:r w:rsidR="00CC0390">
        <w:rPr>
          <w:rFonts w:ascii="Times New Roman" w:hAnsi="Times New Roman" w:cs="Times New Roman"/>
          <w:sz w:val="24"/>
          <w:szCs w:val="24"/>
        </w:rPr>
        <w:t xml:space="preserve"> </w:t>
      </w:r>
      <w:r w:rsidRPr="00CC0390">
        <w:rPr>
          <w:rFonts w:ascii="Times New Roman" w:hAnsi="Times New Roman" w:cs="Times New Roman"/>
          <w:sz w:val="24"/>
          <w:szCs w:val="24"/>
        </w:rPr>
        <w:t xml:space="preserve">w art. 64 pkt 7 ustawy podstawy zwolnienia czyni zadość podstawowym wymogom słuszności i daje możliwość zwolnienia z opłat osób, co do których nie mogło zapaść lub nie zapadło rozstrzygnięcie karne. Ponadto z przepisu przewidującego zwolnienie fakultatywne można będzie korzystać również wtedy, gdy wszczęte postępowanie karne o alimenty z uwagi na przeszkodę procesową nie będzie mogło się dalej toczyć i zostanie zawieszone (np. z uwagi na długotrwałą chorobę </w:t>
      </w:r>
      <w:r w:rsidRPr="00CC0390">
        <w:rPr>
          <w:rFonts w:ascii="Times New Roman" w:hAnsi="Times New Roman" w:cs="Times New Roman"/>
          <w:sz w:val="24"/>
          <w:szCs w:val="24"/>
        </w:rPr>
        <w:lastRenderedPageBreak/>
        <w:t xml:space="preserve">oskarżonego). Przesłanka fakultatywna jest zatem niezbędna do wprowadzenia i nie powinna być nadużywana w praktyce, gdyż odnosi się tylko do naruszenia „rażącego” obowiązku alimentacyjnego, a więc oczywistego, poważnego, rzucającego się od razu w oczy. </w:t>
      </w:r>
      <w:r w:rsidR="002A5DE2" w:rsidRPr="00CC0390">
        <w:rPr>
          <w:rFonts w:ascii="Times New Roman" w:hAnsi="Times New Roman" w:cs="Times New Roman"/>
          <w:sz w:val="24"/>
          <w:szCs w:val="24"/>
        </w:rPr>
        <w:t>P</w:t>
      </w:r>
      <w:r w:rsidRPr="00CC0390">
        <w:rPr>
          <w:rFonts w:ascii="Times New Roman" w:hAnsi="Times New Roman" w:cs="Times New Roman"/>
          <w:sz w:val="24"/>
          <w:szCs w:val="24"/>
        </w:rPr>
        <w:t xml:space="preserve">rzesłanki </w:t>
      </w:r>
      <w:r w:rsidR="002A5DE2" w:rsidRPr="00CC0390">
        <w:rPr>
          <w:rFonts w:ascii="Times New Roman" w:hAnsi="Times New Roman" w:cs="Times New Roman"/>
          <w:sz w:val="24"/>
          <w:szCs w:val="24"/>
        </w:rPr>
        <w:t xml:space="preserve">te </w:t>
      </w:r>
      <w:r w:rsidRPr="00CC0390">
        <w:rPr>
          <w:rFonts w:ascii="Times New Roman" w:hAnsi="Times New Roman" w:cs="Times New Roman"/>
          <w:sz w:val="24"/>
          <w:szCs w:val="24"/>
        </w:rPr>
        <w:t xml:space="preserve">się </w:t>
      </w:r>
      <w:r w:rsidR="002A5DE2" w:rsidRPr="00CC0390">
        <w:rPr>
          <w:rFonts w:ascii="Times New Roman" w:hAnsi="Times New Roman" w:cs="Times New Roman"/>
          <w:sz w:val="24"/>
          <w:szCs w:val="24"/>
        </w:rPr>
        <w:t>zatem</w:t>
      </w:r>
      <w:r w:rsidRPr="00CC0390">
        <w:rPr>
          <w:rFonts w:ascii="Times New Roman" w:hAnsi="Times New Roman" w:cs="Times New Roman"/>
          <w:sz w:val="24"/>
          <w:szCs w:val="24"/>
        </w:rPr>
        <w:t xml:space="preserve"> uzupełniają. </w:t>
      </w:r>
    </w:p>
    <w:p w14:paraId="15D8AB90" w14:textId="4D116B05" w:rsidR="00114C85" w:rsidRPr="00CC0390" w:rsidRDefault="00EE626A" w:rsidP="00CC0390">
      <w:pPr>
        <w:pStyle w:val="ARTartustawynprozporzdzenia"/>
        <w:ind w:firstLine="426"/>
        <w:rPr>
          <w:rFonts w:ascii="Times New Roman" w:hAnsi="Times New Roman" w:cs="Times New Roman"/>
          <w:szCs w:val="24"/>
        </w:rPr>
      </w:pPr>
      <w:r w:rsidRPr="00CC0390">
        <w:rPr>
          <w:rFonts w:ascii="Times New Roman" w:hAnsi="Times New Roman" w:cs="Times New Roman"/>
          <w:szCs w:val="24"/>
          <w:shd w:val="clear" w:color="auto" w:fill="FFFFFF"/>
        </w:rPr>
        <w:t>Projekt przewiduje, że w</w:t>
      </w:r>
      <w:r w:rsidRPr="00CC0390">
        <w:rPr>
          <w:rFonts w:ascii="Times New Roman" w:eastAsia="Times New Roman" w:hAnsi="Times New Roman" w:cs="Times New Roman"/>
          <w:bCs/>
          <w:szCs w:val="24"/>
        </w:rPr>
        <w:t xml:space="preserve"> sprawach wszczętych i niezakończonych do dnia wejścia w życie ustawy stosuje się nowe przepisy.</w:t>
      </w:r>
      <w:r w:rsidR="002569D0" w:rsidRPr="00CC0390">
        <w:rPr>
          <w:rFonts w:ascii="Times New Roman" w:hAnsi="Times New Roman" w:cs="Times New Roman"/>
          <w:szCs w:val="24"/>
        </w:rPr>
        <w:t xml:space="preserve"> </w:t>
      </w:r>
      <w:r w:rsidR="00114C85" w:rsidRPr="00CC0390">
        <w:rPr>
          <w:rFonts w:ascii="Times New Roman" w:hAnsi="Times New Roman" w:cs="Times New Roman"/>
          <w:szCs w:val="24"/>
        </w:rPr>
        <w:t>Projekt nie zawiera regulacji przejściowych dotyczących konieczności ponownego przeprowadzenia rodzinnego wywiadu środowiskowego.</w:t>
      </w:r>
    </w:p>
    <w:p w14:paraId="20EEEBC2" w14:textId="34199CE0" w:rsidR="00114C85" w:rsidRPr="00CC0390" w:rsidRDefault="00114C85" w:rsidP="00CC0390">
      <w:pPr>
        <w:autoSpaceDE w:val="0"/>
        <w:autoSpaceDN w:val="0"/>
        <w:adjustRightInd w:val="0"/>
        <w:spacing w:before="120" w:after="0" w:line="360" w:lineRule="auto"/>
        <w:ind w:firstLine="426"/>
        <w:jc w:val="both"/>
        <w:rPr>
          <w:rFonts w:ascii="Times New Roman" w:eastAsia="Times New Roman" w:hAnsi="Times New Roman" w:cs="Times New Roman"/>
          <w:sz w:val="24"/>
          <w:szCs w:val="24"/>
          <w:lang w:eastAsia="pl-PL"/>
        </w:rPr>
      </w:pPr>
      <w:r w:rsidRPr="00CC0390">
        <w:rPr>
          <w:rFonts w:ascii="Times New Roman" w:eastAsia="Calibri" w:hAnsi="Times New Roman" w:cs="Times New Roman"/>
          <w:sz w:val="24"/>
          <w:szCs w:val="24"/>
          <w:lang w:eastAsia="pl-PL"/>
        </w:rPr>
        <w:t xml:space="preserve">W myśl art. 107 ust. 4 ww. ustawy w razie zmiany danych zawartych w wywiadzie sporządza się jego aktualizację. </w:t>
      </w:r>
      <w:r w:rsidRPr="00CC0390">
        <w:rPr>
          <w:rFonts w:ascii="Times New Roman" w:eastAsia="Times New Roman" w:hAnsi="Times New Roman" w:cs="Times New Roman"/>
          <w:sz w:val="24"/>
          <w:szCs w:val="24"/>
          <w:lang w:eastAsia="pl-PL"/>
        </w:rPr>
        <w:t>Jak wskazuje się w orzecznictwie, art. 107 ust. 1 i 4 ustawy pozwalają przyjąć, że wywiad środowiskowy jest szczególnie doniosłym</w:t>
      </w:r>
      <w:r w:rsidR="00CC0390">
        <w:rPr>
          <w:rFonts w:ascii="Times New Roman" w:eastAsia="Times New Roman" w:hAnsi="Times New Roman" w:cs="Times New Roman"/>
          <w:sz w:val="24"/>
          <w:szCs w:val="24"/>
          <w:lang w:eastAsia="pl-PL"/>
        </w:rPr>
        <w:t xml:space="preserve"> </w:t>
      </w:r>
      <w:r w:rsidRPr="00CC0390">
        <w:rPr>
          <w:rFonts w:ascii="Times New Roman" w:eastAsia="Times New Roman" w:hAnsi="Times New Roman" w:cs="Times New Roman"/>
          <w:sz w:val="24"/>
          <w:szCs w:val="24"/>
          <w:lang w:eastAsia="pl-PL"/>
        </w:rPr>
        <w:t xml:space="preserve">i obligatoryjnym rodzajem dowodu, pozwalającym na zebranie informacji o sytuacji strony, stanowiącym dla organu pomocy społecznej konieczne i podstawowe źródło informacji o sytuacji osobistej, rodzinnej i majątkowej osoby ubiegającej się o świadczenia, będąc podstawą ustaleń faktycznych dokonywanych w decyzji administracyjnej i poddawanych prawnej ocenie (m. in. wyrok Wojewódzkiego Sądu Administracyjnego w Poznaniu z dnia 1 sierpnia 2019 r. , sygn. II SA/Po 876/18, LEX nr 2712405). </w:t>
      </w:r>
    </w:p>
    <w:p w14:paraId="08D7342B" w14:textId="6C57EE0B" w:rsidR="00114C85" w:rsidRPr="00CC0390" w:rsidRDefault="00114C85" w:rsidP="00CC0390">
      <w:pPr>
        <w:autoSpaceDE w:val="0"/>
        <w:autoSpaceDN w:val="0"/>
        <w:adjustRightInd w:val="0"/>
        <w:spacing w:before="120" w:after="0" w:line="360" w:lineRule="auto"/>
        <w:ind w:firstLine="708"/>
        <w:jc w:val="both"/>
        <w:rPr>
          <w:rFonts w:ascii="Times New Roman" w:eastAsia="Times New Roman" w:hAnsi="Times New Roman" w:cs="Times New Roman"/>
          <w:sz w:val="24"/>
          <w:szCs w:val="24"/>
          <w:lang w:eastAsia="pl-PL"/>
        </w:rPr>
      </w:pPr>
      <w:r w:rsidRPr="00CC0390">
        <w:rPr>
          <w:rFonts w:ascii="Times New Roman" w:eastAsia="Calibri" w:hAnsi="Times New Roman" w:cs="Times New Roman"/>
          <w:sz w:val="24"/>
          <w:szCs w:val="24"/>
          <w:lang w:eastAsia="pl-PL"/>
        </w:rPr>
        <w:t xml:space="preserve">Ustawodawca nie wprowadza przy tym żadnego ograniczenia zakresu danych, których zmiana na gruncie art. 17 ust. 4 ustawy skutkować ma aktualizacją wywiadu środowiskowego, zakładając tym samym, że może być to jakakolwiek zmiana w zakresie informacji zebranych w toku wywiadu środowiskowego, obrazujących okoliczności sprawy. Jak wskazał Naczelny Sąd Administracyjny w wyroku z dnia 24 sierpnia 2016 r. (sygn. I OSK 150/16, LEX nr 2142140), </w:t>
      </w:r>
      <w:r w:rsidRPr="00CC0390">
        <w:rPr>
          <w:rFonts w:ascii="Times New Roman" w:eastAsia="Times New Roman" w:hAnsi="Times New Roman" w:cs="Times New Roman"/>
          <w:sz w:val="24"/>
          <w:szCs w:val="24"/>
          <w:lang w:eastAsia="pl-PL"/>
        </w:rPr>
        <w:t>rodzinny wywiad środowiskowy z art. 107 ust. 1 i dokonana w nim ocena stanowi</w:t>
      </w:r>
      <w:r w:rsidR="00B43D28">
        <w:rPr>
          <w:rFonts w:ascii="Times New Roman" w:eastAsia="Times New Roman" w:hAnsi="Times New Roman" w:cs="Times New Roman"/>
          <w:sz w:val="24"/>
          <w:szCs w:val="24"/>
          <w:lang w:eastAsia="pl-PL"/>
        </w:rPr>
        <w:t>ą</w:t>
      </w:r>
      <w:r w:rsidRPr="00CC0390">
        <w:rPr>
          <w:rFonts w:ascii="Times New Roman" w:eastAsia="Times New Roman" w:hAnsi="Times New Roman" w:cs="Times New Roman"/>
          <w:sz w:val="24"/>
          <w:szCs w:val="24"/>
          <w:lang w:eastAsia="pl-PL"/>
        </w:rPr>
        <w:t xml:space="preserve"> podstawę do rozstrzygnięcia o udzielanej pomocy społecznej. Z kolei art. 107 ust. 4 nakłada na organ obowiązek orzekania o przyznaniu pomocy społecznej po uzyskaniu aktualnych danych o jego sytuacji rodzinnej, dochodowej i majątkowej. Obliguje do tego organ </w:t>
      </w:r>
      <w:r w:rsidRPr="00CC0390">
        <w:rPr>
          <w:rFonts w:ascii="Times New Roman" w:eastAsia="Calibri" w:hAnsi="Times New Roman" w:cs="Times New Roman"/>
          <w:sz w:val="24"/>
          <w:szCs w:val="24"/>
          <w:shd w:val="clear" w:color="auto" w:fill="FFFFFF"/>
          <w:lang w:eastAsia="pl-PL"/>
        </w:rPr>
        <w:t>wyrażona w </w:t>
      </w:r>
      <w:hyperlink r:id="rId18" w:anchor="/document/16784712?unitId=art(7)&amp;cm=DOCUMENT" w:history="1">
        <w:r w:rsidRPr="00CC0390">
          <w:rPr>
            <w:rFonts w:ascii="Times New Roman" w:eastAsia="Calibri" w:hAnsi="Times New Roman" w:cs="Times New Roman"/>
            <w:sz w:val="24"/>
            <w:szCs w:val="24"/>
            <w:shd w:val="clear" w:color="auto" w:fill="FFFFFF"/>
            <w:lang w:eastAsia="pl-PL"/>
          </w:rPr>
          <w:t>art. 7</w:t>
        </w:r>
      </w:hyperlink>
      <w:r w:rsidR="00B43D28">
        <w:rPr>
          <w:rFonts w:ascii="Times New Roman" w:eastAsia="Calibri" w:hAnsi="Times New Roman" w:cs="Times New Roman"/>
          <w:sz w:val="24"/>
          <w:szCs w:val="24"/>
          <w:shd w:val="clear" w:color="auto" w:fill="FFFFFF"/>
          <w:lang w:eastAsia="pl-PL"/>
        </w:rPr>
        <w:t xml:space="preserve"> </w:t>
      </w:r>
      <w:r w:rsidRPr="00CC0390">
        <w:rPr>
          <w:rFonts w:ascii="Times New Roman" w:eastAsia="Calibri" w:hAnsi="Times New Roman" w:cs="Times New Roman"/>
          <w:sz w:val="24"/>
          <w:szCs w:val="24"/>
          <w:shd w:val="clear" w:color="auto" w:fill="FFFFFF"/>
          <w:lang w:eastAsia="pl-PL"/>
        </w:rPr>
        <w:t>k.p.a. zasada prawdy obiektywnej odnosząca się w równym stopniu do zakresu i wnikliwości postępowania wyjaśniającego, jak i do stosowania norm prawa materialnego, to jest do całokształtu przepisów prawnych służących załatwieniu sprawy.</w:t>
      </w:r>
    </w:p>
    <w:p w14:paraId="42F8FC0F" w14:textId="443A26BE" w:rsidR="00114C85" w:rsidRPr="00CC0390" w:rsidRDefault="00114C85" w:rsidP="00CC0390">
      <w:pPr>
        <w:autoSpaceDE w:val="0"/>
        <w:autoSpaceDN w:val="0"/>
        <w:adjustRightInd w:val="0"/>
        <w:spacing w:before="120" w:after="0" w:line="360" w:lineRule="auto"/>
        <w:ind w:firstLine="708"/>
        <w:jc w:val="both"/>
        <w:rPr>
          <w:rFonts w:ascii="Times New Roman" w:eastAsiaTheme="minorEastAsia" w:hAnsi="Times New Roman" w:cs="Times New Roman"/>
          <w:sz w:val="24"/>
          <w:szCs w:val="24"/>
          <w:lang w:eastAsia="pl-PL"/>
        </w:rPr>
      </w:pPr>
      <w:r w:rsidRPr="00CC0390">
        <w:rPr>
          <w:rFonts w:ascii="Times New Roman" w:eastAsia="Calibri" w:hAnsi="Times New Roman" w:cs="Times New Roman"/>
          <w:sz w:val="24"/>
          <w:szCs w:val="24"/>
          <w:lang w:eastAsia="pl-PL"/>
        </w:rPr>
        <w:t>Mając na uwadze powyższe</w:t>
      </w:r>
      <w:r w:rsidR="00B43D28">
        <w:rPr>
          <w:rFonts w:ascii="Times New Roman" w:eastAsia="Calibri" w:hAnsi="Times New Roman" w:cs="Times New Roman"/>
          <w:sz w:val="24"/>
          <w:szCs w:val="24"/>
          <w:lang w:eastAsia="pl-PL"/>
        </w:rPr>
        <w:t>,</w:t>
      </w:r>
      <w:r w:rsidRPr="00CC0390">
        <w:rPr>
          <w:rFonts w:ascii="Times New Roman" w:eastAsia="Calibri" w:hAnsi="Times New Roman" w:cs="Times New Roman"/>
          <w:sz w:val="24"/>
          <w:szCs w:val="24"/>
          <w:lang w:eastAsia="pl-PL"/>
        </w:rPr>
        <w:t xml:space="preserve"> należy skonstatować, że przepis art. 107 ust. 4 ustawy może mieć zastosowanie również do sytuacji, gdy osoba zobowiązana do ponoszenia opłaty za pobyt pensjonariusza w domu pomocy społecznej po przeprowadzeniu rodzinnego wywiadu środowisko</w:t>
      </w:r>
      <w:r w:rsidR="00CC0390">
        <w:rPr>
          <w:rFonts w:ascii="Times New Roman" w:eastAsia="Calibri" w:hAnsi="Times New Roman" w:cs="Times New Roman"/>
          <w:sz w:val="24"/>
          <w:szCs w:val="24"/>
          <w:lang w:eastAsia="pl-PL"/>
        </w:rPr>
        <w:t xml:space="preserve">wego złoży wniosek o zwolnienie </w:t>
      </w:r>
      <w:r w:rsidRPr="00CC0390">
        <w:rPr>
          <w:rFonts w:ascii="Times New Roman" w:eastAsia="Calibri" w:hAnsi="Times New Roman" w:cs="Times New Roman"/>
          <w:sz w:val="24"/>
          <w:szCs w:val="24"/>
          <w:lang w:eastAsia="pl-PL"/>
        </w:rPr>
        <w:t xml:space="preserve">z tej opłaty na podstawie projektowanego art. 64 pkt 7 ustawy. </w:t>
      </w:r>
    </w:p>
    <w:p w14:paraId="5D6F67B4" w14:textId="698DC2A2" w:rsidR="00114C85" w:rsidRPr="00CC0390" w:rsidRDefault="00114C85" w:rsidP="00CC0390">
      <w:pPr>
        <w:autoSpaceDE w:val="0"/>
        <w:autoSpaceDN w:val="0"/>
        <w:adjustRightInd w:val="0"/>
        <w:spacing w:before="120" w:after="0" w:line="360" w:lineRule="auto"/>
        <w:ind w:firstLine="708"/>
        <w:jc w:val="both"/>
        <w:rPr>
          <w:rFonts w:ascii="Times New Roman" w:eastAsia="Calibri" w:hAnsi="Times New Roman" w:cs="Times New Roman"/>
          <w:sz w:val="24"/>
          <w:szCs w:val="24"/>
          <w:shd w:val="clear" w:color="auto" w:fill="FFFFFF"/>
          <w:lang w:eastAsia="pl-PL"/>
        </w:rPr>
      </w:pPr>
      <w:r w:rsidRPr="00CC0390">
        <w:rPr>
          <w:rFonts w:ascii="Times New Roman" w:eastAsia="Calibri" w:hAnsi="Times New Roman" w:cs="Times New Roman"/>
          <w:sz w:val="24"/>
          <w:szCs w:val="24"/>
          <w:lang w:eastAsia="pl-PL"/>
        </w:rPr>
        <w:lastRenderedPageBreak/>
        <w:t>Na uwagę zasługuje przy tym, iż nie w każdej sprawie dotyczącej ustalenia obowiązku odpłatności za pobyt pensjonariusza w domu pomocy społecznej ponowne przeprowadzenie rodzinnego wywiadu środowiskowego będzie uzasadnione. Przykładowo okoliczności uzasadniające zwolnienie osoby obowiązanej od ponoszenia opłaty (w tym na podstawie nowej, projektowanej w przedłożeniu przesłanki) mogą zostać bowiem podniesione przez nią podczas przeprowadzania wywiadu środowiskowego, w toku którego zebrany zostanie wyczerpujący materiał dowodowy obrazujący szczegółowo jej sytuację osobistą, rodzinną, dochodową i majątkową. W takim przypadku złożenie przez osobę obowiązaną wniosku o zwolnienie z opłaty już po przeprowadzeniu wywiadu, a przed wydaniem decyzji przez organ, nie musi uzasadniać ponownego przeprowadzenia wywiadu środowiskowego. Jak wynika z jednolitego w tym zakresie orzecznictwa sądów administracyjnych (</w:t>
      </w:r>
      <w:r w:rsidRPr="00B43D28">
        <w:rPr>
          <w:rFonts w:ascii="Times New Roman" w:eastAsia="Calibri" w:hAnsi="Times New Roman" w:cs="Times New Roman"/>
          <w:i/>
          <w:sz w:val="24"/>
          <w:szCs w:val="24"/>
          <w:lang w:eastAsia="pl-PL"/>
        </w:rPr>
        <w:t>vide</w:t>
      </w:r>
      <w:r w:rsidRPr="00CC0390">
        <w:rPr>
          <w:rFonts w:ascii="Times New Roman" w:eastAsia="Calibri" w:hAnsi="Times New Roman" w:cs="Times New Roman"/>
          <w:sz w:val="24"/>
          <w:szCs w:val="24"/>
          <w:lang w:eastAsia="pl-PL"/>
        </w:rPr>
        <w:t xml:space="preserve"> m. in. wyrok Wojewódzkiego Sądu Administracyjnego </w:t>
      </w:r>
      <w:r w:rsidRPr="00CC0390">
        <w:rPr>
          <w:rFonts w:ascii="Times New Roman" w:eastAsia="Calibri" w:hAnsi="Times New Roman" w:cs="Times New Roman"/>
          <w:sz w:val="24"/>
          <w:szCs w:val="24"/>
          <w:shd w:val="clear" w:color="auto" w:fill="FFFFFF"/>
          <w:lang w:eastAsia="pl-PL"/>
        </w:rPr>
        <w:t>w Lublinie z dnia 29 listopada 2012 r. sygn. </w:t>
      </w:r>
      <w:hyperlink r:id="rId19" w:anchor="/document/521334699?cm=DOCUMENT" w:history="1">
        <w:r w:rsidRPr="00CC0390">
          <w:rPr>
            <w:rFonts w:ascii="Times New Roman" w:eastAsia="Calibri" w:hAnsi="Times New Roman" w:cs="Times New Roman"/>
            <w:sz w:val="24"/>
            <w:szCs w:val="24"/>
            <w:shd w:val="clear" w:color="auto" w:fill="FFFFFF"/>
            <w:lang w:eastAsia="pl-PL"/>
          </w:rPr>
          <w:t>II SA/Lu 521/12</w:t>
        </w:r>
      </w:hyperlink>
      <w:r w:rsidRPr="00CC0390">
        <w:rPr>
          <w:rFonts w:ascii="Times New Roman" w:eastAsia="Calibri" w:hAnsi="Times New Roman" w:cs="Times New Roman"/>
          <w:sz w:val="24"/>
          <w:szCs w:val="24"/>
          <w:shd w:val="clear" w:color="auto" w:fill="FFFFFF"/>
          <w:lang w:eastAsia="pl-PL"/>
        </w:rPr>
        <w:t xml:space="preserve"> oraz wyrok </w:t>
      </w:r>
      <w:r w:rsidRPr="00CC0390">
        <w:rPr>
          <w:rFonts w:ascii="Times New Roman" w:eastAsia="Times New Roman" w:hAnsi="Times New Roman" w:cs="Times New Roman"/>
          <w:sz w:val="24"/>
          <w:szCs w:val="24"/>
          <w:lang w:eastAsia="pl-PL"/>
        </w:rPr>
        <w:t>Wojewódzkiego Sądu Administracyjnego w Białymstoku</w:t>
      </w:r>
      <w:r w:rsidRPr="00CC0390">
        <w:rPr>
          <w:rFonts w:ascii="Times New Roman" w:eastAsia="Calibri" w:hAnsi="Times New Roman" w:cs="Times New Roman"/>
          <w:sz w:val="24"/>
          <w:szCs w:val="24"/>
          <w:shd w:val="clear" w:color="auto" w:fill="FFFFFF"/>
          <w:lang w:eastAsia="pl-PL"/>
        </w:rPr>
        <w:t xml:space="preserve"> </w:t>
      </w:r>
      <w:r w:rsidRPr="00CC0390">
        <w:rPr>
          <w:rFonts w:ascii="Times New Roman" w:eastAsia="Times New Roman" w:hAnsi="Times New Roman" w:cs="Times New Roman"/>
          <w:sz w:val="24"/>
          <w:szCs w:val="24"/>
          <w:lang w:eastAsia="pl-PL"/>
        </w:rPr>
        <w:t>z dnia 1 grudnia 2015 r.</w:t>
      </w:r>
      <w:r w:rsidR="00233A15" w:rsidRPr="00CC0390">
        <w:rPr>
          <w:rFonts w:ascii="Times New Roman" w:eastAsia="Times New Roman" w:hAnsi="Times New Roman" w:cs="Times New Roman"/>
          <w:sz w:val="24"/>
          <w:szCs w:val="24"/>
          <w:lang w:eastAsia="pl-PL"/>
        </w:rPr>
        <w:t>, sygn.</w:t>
      </w:r>
      <w:r w:rsidRPr="00CC0390">
        <w:rPr>
          <w:rFonts w:ascii="Times New Roman" w:eastAsia="Times New Roman" w:hAnsi="Times New Roman" w:cs="Times New Roman"/>
          <w:sz w:val="24"/>
          <w:szCs w:val="24"/>
          <w:lang w:eastAsia="pl-PL"/>
        </w:rPr>
        <w:t xml:space="preserve"> II SA/Bk 451/15)</w:t>
      </w:r>
      <w:r w:rsidR="00B43D28">
        <w:rPr>
          <w:rFonts w:ascii="Times New Roman" w:eastAsia="Times New Roman" w:hAnsi="Times New Roman" w:cs="Times New Roman"/>
          <w:sz w:val="24"/>
          <w:szCs w:val="24"/>
          <w:lang w:eastAsia="pl-PL"/>
        </w:rPr>
        <w:t>,</w:t>
      </w:r>
      <w:r w:rsidRPr="00CC0390">
        <w:rPr>
          <w:rFonts w:ascii="Times New Roman" w:eastAsia="Calibri" w:hAnsi="Times New Roman" w:cs="Times New Roman"/>
          <w:sz w:val="24"/>
          <w:szCs w:val="24"/>
          <w:shd w:val="clear" w:color="auto" w:fill="FFFFFF"/>
          <w:lang w:eastAsia="pl-PL"/>
        </w:rPr>
        <w:t xml:space="preserve"> jedynie w razie stwierdzenia przez organ, że dane zawarte w wywiadzie środowiskowym są niewystarczające w świetle złożonego wniosku o udzielenie pomocy, np. w związku ze zmianą danych zawartych w wywiadzie (art. 107 ust. 4 zd. 1 </w:t>
      </w:r>
      <w:r w:rsidRPr="00B43D28">
        <w:rPr>
          <w:rFonts w:ascii="Times New Roman" w:eastAsia="Calibri" w:hAnsi="Times New Roman" w:cs="Times New Roman"/>
          <w:i/>
          <w:sz w:val="24"/>
          <w:szCs w:val="24"/>
          <w:shd w:val="clear" w:color="auto" w:fill="FFFFFF"/>
          <w:lang w:eastAsia="pl-PL"/>
        </w:rPr>
        <w:t>in fine</w:t>
      </w:r>
      <w:r w:rsidRPr="00CC0390">
        <w:rPr>
          <w:rFonts w:ascii="Times New Roman" w:eastAsia="Calibri" w:hAnsi="Times New Roman" w:cs="Times New Roman"/>
          <w:sz w:val="24"/>
          <w:szCs w:val="24"/>
          <w:shd w:val="clear" w:color="auto" w:fill="FFFFFF"/>
          <w:lang w:eastAsia="pl-PL"/>
        </w:rPr>
        <w:t xml:space="preserve"> ustawy o pomocy społecznej), organ zobowiązany jest dokonać dalszych ustaleń polegających na dokonaniu kolejnej aktualizacji wywiadu.</w:t>
      </w:r>
    </w:p>
    <w:p w14:paraId="666238B4" w14:textId="77777777" w:rsidR="00EE626A" w:rsidRPr="00CC0390" w:rsidRDefault="00C4235A" w:rsidP="00CC0390">
      <w:pPr>
        <w:pStyle w:val="ARTartustawynprozporzdzenia"/>
        <w:ind w:firstLine="426"/>
        <w:rPr>
          <w:rFonts w:ascii="Times New Roman" w:eastAsia="Times New Roman" w:hAnsi="Times New Roman" w:cs="Times New Roman"/>
          <w:bCs/>
          <w:szCs w:val="24"/>
        </w:rPr>
      </w:pPr>
      <w:r w:rsidRPr="00CC0390">
        <w:rPr>
          <w:rFonts w:ascii="Times New Roman" w:hAnsi="Times New Roman" w:cs="Times New Roman"/>
          <w:szCs w:val="24"/>
        </w:rPr>
        <w:t>P</w:t>
      </w:r>
      <w:r w:rsidR="002569D0" w:rsidRPr="00CC0390">
        <w:rPr>
          <w:rFonts w:ascii="Times New Roman" w:hAnsi="Times New Roman" w:cs="Times New Roman"/>
          <w:szCs w:val="24"/>
        </w:rPr>
        <w:t>rzewiduje się, że projektowana ustawa wejdzie w życie po upływie 14 dni od dnia ogłoszenia. W opinii projektodawcy zaproponowany termin wejścia w życie ustawy jest wystarczający z punktu widzenia możliwości przygotowania się adresatów norm, których dotyczą projektowane przepisy. Projektowane vacatio legis jest zgodne z art. 4 ustawy</w:t>
      </w:r>
      <w:r w:rsidR="002569D0" w:rsidRPr="00CC0390">
        <w:rPr>
          <w:rFonts w:ascii="Times New Roman" w:eastAsia="Times New Roman" w:hAnsi="Times New Roman" w:cs="Times New Roman"/>
          <w:szCs w:val="24"/>
        </w:rPr>
        <w:t xml:space="preserve"> z dnia 20 lipca 2000 r. </w:t>
      </w:r>
      <w:r w:rsidR="002569D0" w:rsidRPr="00CC0390">
        <w:rPr>
          <w:rFonts w:ascii="Times New Roman" w:eastAsia="Times New Roman" w:hAnsi="Times New Roman" w:cs="Times New Roman"/>
          <w:bCs/>
          <w:szCs w:val="24"/>
        </w:rPr>
        <w:t>o ogłaszaniu aktów normatywnych i niektórych innych aktów prawnych (Dz. U. z 2019 r. poz. 1461).</w:t>
      </w:r>
    </w:p>
    <w:p w14:paraId="612642E8" w14:textId="77777777" w:rsidR="00EE626A" w:rsidRPr="00CC0390" w:rsidRDefault="00EE626A" w:rsidP="00CC0390">
      <w:pPr>
        <w:spacing w:before="120" w:after="0" w:line="360" w:lineRule="auto"/>
        <w:ind w:firstLine="426"/>
        <w:jc w:val="both"/>
        <w:rPr>
          <w:rFonts w:ascii="Times New Roman" w:hAnsi="Times New Roman" w:cs="Times New Roman"/>
          <w:sz w:val="24"/>
          <w:szCs w:val="24"/>
        </w:rPr>
      </w:pPr>
      <w:r w:rsidRPr="00CC0390">
        <w:rPr>
          <w:rFonts w:ascii="Times New Roman" w:eastAsia="Times New Roman" w:hAnsi="Times New Roman" w:cs="Times New Roman"/>
          <w:sz w:val="24"/>
          <w:szCs w:val="24"/>
          <w:lang w:eastAsia="pl-PL"/>
        </w:rPr>
        <w:t>Projekt ustawy nie jest sprzeczny z prawem Unii Europejskiej.</w:t>
      </w:r>
    </w:p>
    <w:p w14:paraId="13E19F3E" w14:textId="77777777" w:rsidR="00EE626A" w:rsidRPr="00CC0390" w:rsidRDefault="00EE626A" w:rsidP="00CC0390">
      <w:pPr>
        <w:spacing w:before="120" w:after="0" w:line="360" w:lineRule="auto"/>
        <w:ind w:firstLine="426"/>
        <w:jc w:val="both"/>
        <w:rPr>
          <w:rFonts w:ascii="Times New Roman" w:hAnsi="Times New Roman" w:cs="Times New Roman"/>
          <w:sz w:val="24"/>
          <w:szCs w:val="24"/>
        </w:rPr>
      </w:pPr>
      <w:r w:rsidRPr="00CC0390">
        <w:rPr>
          <w:rFonts w:ascii="Times New Roman" w:eastAsia="Times New Roman" w:hAnsi="Times New Roman" w:cs="Times New Roman"/>
          <w:sz w:val="24"/>
          <w:szCs w:val="24"/>
          <w:lang w:eastAsia="pl-PL"/>
        </w:rPr>
        <w:t>Projekt ustawy nie podlega obowiązkowi przedstawienia właściwym instytucjom Unii Europejskiej, w tym Europejskiemu Bankowi Centralnemu, w celu uzyskania opinii, dokonania powiadomienia, konsultacji albo uzgodnienia.</w:t>
      </w:r>
    </w:p>
    <w:p w14:paraId="51A6C2A6" w14:textId="214929EC" w:rsidR="00EE626A" w:rsidRPr="00CC0390" w:rsidRDefault="00EE626A" w:rsidP="00CC0390">
      <w:pPr>
        <w:spacing w:before="120" w:after="0" w:line="360" w:lineRule="auto"/>
        <w:ind w:firstLine="426"/>
        <w:jc w:val="both"/>
        <w:rPr>
          <w:rFonts w:ascii="Times New Roman" w:eastAsia="Times New Roman" w:hAnsi="Times New Roman" w:cs="Times New Roman"/>
          <w:sz w:val="24"/>
          <w:szCs w:val="24"/>
          <w:lang w:eastAsia="pl-PL"/>
        </w:rPr>
      </w:pPr>
      <w:r w:rsidRPr="00CC0390">
        <w:rPr>
          <w:rFonts w:ascii="Times New Roman" w:eastAsia="Times New Roman" w:hAnsi="Times New Roman" w:cs="Times New Roman"/>
          <w:sz w:val="24"/>
          <w:szCs w:val="24"/>
          <w:lang w:eastAsia="pl-PL"/>
        </w:rPr>
        <w:t>Projekt ustawy nie podlega procedurze notyfikacji aktów prawnych, określonej</w:t>
      </w:r>
      <w:r w:rsidR="00CC0390">
        <w:rPr>
          <w:rFonts w:ascii="Times New Roman" w:eastAsia="Times New Roman" w:hAnsi="Times New Roman" w:cs="Times New Roman"/>
          <w:sz w:val="24"/>
          <w:szCs w:val="24"/>
          <w:lang w:eastAsia="pl-PL"/>
        </w:rPr>
        <w:t xml:space="preserve"> </w:t>
      </w:r>
      <w:r w:rsidRPr="00CC0390">
        <w:rPr>
          <w:rFonts w:ascii="Times New Roman" w:eastAsia="Times New Roman" w:hAnsi="Times New Roman" w:cs="Times New Roman"/>
          <w:sz w:val="24"/>
          <w:szCs w:val="24"/>
          <w:lang w:eastAsia="pl-PL"/>
        </w:rPr>
        <w:t>w przepisach rozporządzenia Rady Ministrów z dnia 23 grudnia 2002 r. w sprawie funkcjonowania krajowego systemu notyfikacji norm i aktów prawnych (Dz. U.</w:t>
      </w:r>
      <w:r w:rsidR="00CC0390">
        <w:rPr>
          <w:rFonts w:ascii="Times New Roman" w:eastAsia="Times New Roman" w:hAnsi="Times New Roman" w:cs="Times New Roman"/>
          <w:sz w:val="24"/>
          <w:szCs w:val="24"/>
          <w:lang w:eastAsia="pl-PL"/>
        </w:rPr>
        <w:t xml:space="preserve"> </w:t>
      </w:r>
      <w:r w:rsidRPr="00CC0390">
        <w:rPr>
          <w:rFonts w:ascii="Times New Roman" w:eastAsia="Times New Roman" w:hAnsi="Times New Roman" w:cs="Times New Roman"/>
          <w:sz w:val="24"/>
          <w:szCs w:val="24"/>
          <w:lang w:eastAsia="pl-PL"/>
        </w:rPr>
        <w:t>poz. 2039 oraz z 2004 r. poz. 597).</w:t>
      </w:r>
    </w:p>
    <w:p w14:paraId="05862BD5" w14:textId="35AE230E" w:rsidR="00EE626A" w:rsidRPr="00CC0390" w:rsidRDefault="00EE626A" w:rsidP="00CC0390">
      <w:pPr>
        <w:spacing w:before="120" w:after="0" w:line="360" w:lineRule="auto"/>
        <w:ind w:firstLine="426"/>
        <w:jc w:val="both"/>
        <w:rPr>
          <w:rFonts w:ascii="Times New Roman" w:eastAsia="Times New Roman" w:hAnsi="Times New Roman" w:cs="Times New Roman"/>
          <w:bCs/>
          <w:sz w:val="24"/>
          <w:szCs w:val="24"/>
          <w:lang w:eastAsia="pl-PL"/>
        </w:rPr>
      </w:pPr>
      <w:r w:rsidRPr="00CC0390">
        <w:rPr>
          <w:rFonts w:ascii="Times New Roman" w:eastAsia="Times New Roman" w:hAnsi="Times New Roman" w:cs="Times New Roman"/>
          <w:bCs/>
          <w:sz w:val="24"/>
          <w:szCs w:val="24"/>
          <w:lang w:eastAsia="pl-PL"/>
        </w:rPr>
        <w:t xml:space="preserve">Zgodnie z art. 5 ustawy z dnia 7 lipca 2005 r. o działalności lobbingowej w procesie stanowienia prawa (Dz. U. z 2017 r. poz. 248) oraz § 52 uchwały nr 190 Rady Ministrów z dnia 29 października </w:t>
      </w:r>
      <w:r w:rsidRPr="00CC0390">
        <w:rPr>
          <w:rFonts w:ascii="Times New Roman" w:eastAsia="Times New Roman" w:hAnsi="Times New Roman" w:cs="Times New Roman"/>
          <w:bCs/>
          <w:sz w:val="24"/>
          <w:szCs w:val="24"/>
          <w:lang w:eastAsia="pl-PL"/>
        </w:rPr>
        <w:lastRenderedPageBreak/>
        <w:t>2013 r. – Regulamin pracy Rady Ministrów</w:t>
      </w:r>
      <w:r w:rsidR="00B43D28">
        <w:rPr>
          <w:rFonts w:ascii="Times New Roman" w:eastAsia="Times New Roman" w:hAnsi="Times New Roman" w:cs="Times New Roman"/>
          <w:bCs/>
          <w:sz w:val="24"/>
          <w:szCs w:val="24"/>
          <w:lang w:eastAsia="pl-PL"/>
        </w:rPr>
        <w:t xml:space="preserve"> (M.P</w:t>
      </w:r>
      <w:r w:rsidR="00560F31">
        <w:rPr>
          <w:rFonts w:ascii="Times New Roman" w:eastAsia="Times New Roman" w:hAnsi="Times New Roman" w:cs="Times New Roman"/>
          <w:bCs/>
          <w:sz w:val="24"/>
          <w:szCs w:val="24"/>
          <w:lang w:eastAsia="pl-PL"/>
        </w:rPr>
        <w:t xml:space="preserve">. </w:t>
      </w:r>
      <w:r w:rsidR="00B43D28">
        <w:rPr>
          <w:rFonts w:ascii="Times New Roman" w:eastAsia="Times New Roman" w:hAnsi="Times New Roman" w:cs="Times New Roman"/>
          <w:bCs/>
          <w:sz w:val="24"/>
          <w:szCs w:val="24"/>
          <w:lang w:eastAsia="pl-PL"/>
        </w:rPr>
        <w:t xml:space="preserve">z </w:t>
      </w:r>
      <w:r w:rsidR="0054058E">
        <w:rPr>
          <w:rFonts w:ascii="Times New Roman" w:eastAsia="Times New Roman" w:hAnsi="Times New Roman" w:cs="Times New Roman"/>
          <w:bCs/>
          <w:sz w:val="24"/>
          <w:szCs w:val="24"/>
          <w:lang w:eastAsia="pl-PL"/>
        </w:rPr>
        <w:t>2016 r. poz. 1006, z późn. zm.)</w:t>
      </w:r>
      <w:r w:rsidRPr="00CC0390">
        <w:rPr>
          <w:rFonts w:ascii="Times New Roman" w:eastAsia="Times New Roman" w:hAnsi="Times New Roman" w:cs="Times New Roman"/>
          <w:bCs/>
          <w:sz w:val="24"/>
          <w:szCs w:val="24"/>
          <w:lang w:eastAsia="pl-PL"/>
        </w:rPr>
        <w:t xml:space="preserve"> projekt zosta</w:t>
      </w:r>
      <w:r w:rsidR="00171FA0" w:rsidRPr="00CC0390">
        <w:rPr>
          <w:rFonts w:ascii="Times New Roman" w:eastAsia="Times New Roman" w:hAnsi="Times New Roman" w:cs="Times New Roman"/>
          <w:bCs/>
          <w:sz w:val="24"/>
          <w:szCs w:val="24"/>
          <w:lang w:eastAsia="pl-PL"/>
        </w:rPr>
        <w:t>ł</w:t>
      </w:r>
      <w:r w:rsidRPr="00CC0390">
        <w:rPr>
          <w:rFonts w:ascii="Times New Roman" w:eastAsia="Times New Roman" w:hAnsi="Times New Roman" w:cs="Times New Roman"/>
          <w:bCs/>
          <w:sz w:val="24"/>
          <w:szCs w:val="24"/>
          <w:lang w:eastAsia="pl-PL"/>
        </w:rPr>
        <w:t xml:space="preserve"> zamieszczony na stronie podmiotowej Rządowego Centrum Legislacji, w serwisie Rządowy Proces Legislacyjny</w:t>
      </w:r>
      <w:r w:rsidR="000C6257" w:rsidRPr="00CC0390">
        <w:rPr>
          <w:rFonts w:ascii="Times New Roman" w:eastAsia="Times New Roman" w:hAnsi="Times New Roman" w:cs="Times New Roman"/>
          <w:bCs/>
          <w:sz w:val="24"/>
          <w:szCs w:val="24"/>
          <w:lang w:eastAsia="pl-PL"/>
        </w:rPr>
        <w:t>.</w:t>
      </w:r>
      <w:r w:rsidR="00096F50" w:rsidRPr="00CC0390">
        <w:rPr>
          <w:rFonts w:ascii="Times New Roman" w:eastAsia="Times New Roman" w:hAnsi="Times New Roman" w:cs="Times New Roman"/>
          <w:bCs/>
          <w:sz w:val="24"/>
          <w:szCs w:val="24"/>
          <w:lang w:eastAsia="pl-PL"/>
        </w:rPr>
        <w:t xml:space="preserve"> Żaden podmiot nie zgłosił zainteresowania pracami nad projektem w trybie ustawy z dnia 7 lipca 2005 r. o działalności lobbingowej w procesie stanowienia prawa.</w:t>
      </w:r>
    </w:p>
    <w:sectPr w:rsidR="00EE626A" w:rsidRPr="00CC0390" w:rsidSect="00CC0390">
      <w:footerReference w:type="default" r:id="rId20"/>
      <w:pgSz w:w="11906" w:h="16838"/>
      <w:pgMar w:top="1276" w:right="1417"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89CD53" w14:textId="77777777" w:rsidR="00401BDB" w:rsidRDefault="00401BDB" w:rsidP="00AB002C">
      <w:pPr>
        <w:spacing w:after="0" w:line="240" w:lineRule="auto"/>
      </w:pPr>
      <w:r>
        <w:separator/>
      </w:r>
    </w:p>
  </w:endnote>
  <w:endnote w:type="continuationSeparator" w:id="0">
    <w:p w14:paraId="6A0BE6C0" w14:textId="77777777" w:rsidR="00401BDB" w:rsidRDefault="00401BDB" w:rsidP="00AB0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Minion Pro">
    <w:altName w:val="Times New Roman"/>
    <w:panose1 w:val="00000000000000000000"/>
    <w:charset w:val="EE"/>
    <w:family w:val="roman"/>
    <w:notTrueType/>
    <w:pitch w:val="default"/>
    <w:sig w:usb0="00000001" w:usb1="00000000" w:usb2="00000000" w:usb3="00000000" w:csb0="00000003" w:csb1="00000000"/>
  </w:font>
  <w:font w:name="Segoe UI">
    <w:panose1 w:val="020B0502040204020203"/>
    <w:charset w:val="EE"/>
    <w:family w:val="swiss"/>
    <w:pitch w:val="variable"/>
    <w:sig w:usb0="E10022FF" w:usb1="C000E47F" w:usb2="00000029" w:usb3="00000000" w:csb0="000001DF" w:csb1="00000000"/>
  </w:font>
  <w:font w:name="TimesNewRomanPS-ItalicMT">
    <w:altName w:val="MS Gothic"/>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50974345"/>
      <w:docPartObj>
        <w:docPartGallery w:val="Page Numbers (Bottom of Page)"/>
        <w:docPartUnique/>
      </w:docPartObj>
    </w:sdtPr>
    <w:sdtEndPr/>
    <w:sdtContent>
      <w:p w14:paraId="3464DD77" w14:textId="2F23F164" w:rsidR="00267394" w:rsidRPr="00CC0390" w:rsidRDefault="00267394" w:rsidP="00CC0390">
        <w:pPr>
          <w:pStyle w:val="Stopka0"/>
          <w:jc w:val="center"/>
          <w:rPr>
            <w:rFonts w:ascii="Times New Roman" w:hAnsi="Times New Roman" w:cs="Times New Roman"/>
            <w:sz w:val="24"/>
            <w:szCs w:val="24"/>
          </w:rPr>
        </w:pPr>
        <w:r w:rsidRPr="00CC0390">
          <w:rPr>
            <w:rFonts w:ascii="Times New Roman" w:hAnsi="Times New Roman" w:cs="Times New Roman"/>
            <w:sz w:val="24"/>
            <w:szCs w:val="24"/>
          </w:rPr>
          <w:fldChar w:fldCharType="begin"/>
        </w:r>
        <w:r w:rsidRPr="00CC0390">
          <w:rPr>
            <w:rFonts w:ascii="Times New Roman" w:hAnsi="Times New Roman" w:cs="Times New Roman"/>
            <w:sz w:val="24"/>
            <w:szCs w:val="24"/>
          </w:rPr>
          <w:instrText>PAGE   \* MERGEFORMAT</w:instrText>
        </w:r>
        <w:r w:rsidRPr="00CC0390">
          <w:rPr>
            <w:rFonts w:ascii="Times New Roman" w:hAnsi="Times New Roman" w:cs="Times New Roman"/>
            <w:sz w:val="24"/>
            <w:szCs w:val="24"/>
          </w:rPr>
          <w:fldChar w:fldCharType="separate"/>
        </w:r>
        <w:r w:rsidR="00CA23DA">
          <w:rPr>
            <w:rFonts w:ascii="Times New Roman" w:hAnsi="Times New Roman" w:cs="Times New Roman"/>
            <w:noProof/>
            <w:sz w:val="24"/>
            <w:szCs w:val="24"/>
          </w:rPr>
          <w:t>21</w:t>
        </w:r>
        <w:r w:rsidRPr="00CC0390">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E3EA78" w14:textId="77777777" w:rsidR="00401BDB" w:rsidRDefault="00401BDB" w:rsidP="00AB002C">
      <w:pPr>
        <w:spacing w:after="0" w:line="240" w:lineRule="auto"/>
      </w:pPr>
      <w:r>
        <w:separator/>
      </w:r>
    </w:p>
  </w:footnote>
  <w:footnote w:type="continuationSeparator" w:id="0">
    <w:p w14:paraId="31523912" w14:textId="77777777" w:rsidR="00401BDB" w:rsidRDefault="00401BDB" w:rsidP="00AB002C">
      <w:pPr>
        <w:spacing w:after="0" w:line="240" w:lineRule="auto"/>
      </w:pPr>
      <w:r>
        <w:continuationSeparator/>
      </w:r>
    </w:p>
  </w:footnote>
  <w:footnote w:id="1">
    <w:p w14:paraId="52083E1E" w14:textId="58839766" w:rsidR="00837447" w:rsidRPr="00A94067" w:rsidRDefault="00837447" w:rsidP="00000FD1">
      <w:pPr>
        <w:pStyle w:val="Tekstprzypisudolnego"/>
        <w:jc w:val="both"/>
        <w:rPr>
          <w:rFonts w:ascii="Times New Roman" w:hAnsi="Times New Roman" w:cs="Times New Roman"/>
        </w:rPr>
      </w:pPr>
      <w:r w:rsidRPr="00A94067">
        <w:rPr>
          <w:rStyle w:val="Odwoanieprzypisudolnego"/>
          <w:rFonts w:ascii="Times New Roman" w:hAnsi="Times New Roman" w:cs="Times New Roman"/>
        </w:rPr>
        <w:footnoteRef/>
      </w:r>
      <w:r w:rsidR="00EB1A23" w:rsidRPr="00EB1A23">
        <w:rPr>
          <w:rFonts w:ascii="Times New Roman" w:hAnsi="Times New Roman" w:cs="Times New Roman"/>
          <w:vertAlign w:val="superscript"/>
        </w:rPr>
        <w:t>)</w:t>
      </w:r>
      <w:r w:rsidRPr="00A94067">
        <w:rPr>
          <w:rFonts w:ascii="Times New Roman" w:hAnsi="Times New Roman" w:cs="Times New Roman"/>
        </w:rPr>
        <w:t xml:space="preserve"> </w:t>
      </w:r>
      <w:r w:rsidRPr="00CC0390">
        <w:rPr>
          <w:rFonts w:ascii="Times New Roman" w:hAnsi="Times New Roman" w:cs="Times New Roman"/>
        </w:rPr>
        <w:t>https://journals.umcs.pl/g/article/view/2595</w:t>
      </w:r>
      <w:r w:rsidRPr="00A94067">
        <w:rPr>
          <w:rFonts w:ascii="Times New Roman" w:hAnsi="Times New Roman" w:cs="Times New Roman"/>
        </w:rPr>
        <w:t xml:space="preserve"> </w:t>
      </w:r>
    </w:p>
  </w:footnote>
  <w:footnote w:id="2">
    <w:p w14:paraId="2143E87B" w14:textId="7DB6703D" w:rsidR="00826390" w:rsidRPr="00A94067" w:rsidRDefault="00826390" w:rsidP="00000FD1">
      <w:pPr>
        <w:autoSpaceDE w:val="0"/>
        <w:autoSpaceDN w:val="0"/>
        <w:adjustRightInd w:val="0"/>
        <w:spacing w:after="0" w:line="240" w:lineRule="auto"/>
        <w:jc w:val="both"/>
        <w:rPr>
          <w:rFonts w:ascii="Times New Roman" w:hAnsi="Times New Roman" w:cs="Times New Roman"/>
          <w:sz w:val="20"/>
          <w:szCs w:val="20"/>
        </w:rPr>
      </w:pPr>
      <w:r w:rsidRPr="00A94067">
        <w:rPr>
          <w:rStyle w:val="Odwoanieprzypisudolnego"/>
          <w:rFonts w:ascii="Times New Roman" w:hAnsi="Times New Roman" w:cs="Times New Roman"/>
          <w:sz w:val="20"/>
          <w:szCs w:val="20"/>
        </w:rPr>
        <w:footnoteRef/>
      </w:r>
      <w:r w:rsidR="00EB1A23" w:rsidRPr="00EB1A23">
        <w:rPr>
          <w:rFonts w:ascii="Times New Roman" w:hAnsi="Times New Roman" w:cs="Times New Roman"/>
          <w:vertAlign w:val="superscript"/>
        </w:rPr>
        <w:t>)</w:t>
      </w:r>
      <w:r w:rsidRPr="00A94067">
        <w:rPr>
          <w:rFonts w:ascii="Times New Roman" w:hAnsi="Times New Roman" w:cs="Times New Roman"/>
          <w:sz w:val="20"/>
          <w:szCs w:val="20"/>
        </w:rPr>
        <w:t xml:space="preserve"> M. Zdyb, </w:t>
      </w:r>
      <w:r w:rsidRPr="00A94067">
        <w:rPr>
          <w:rFonts w:ascii="Times New Roman" w:eastAsia="TimesNewRomanPS-ItalicMT" w:hAnsi="Times New Roman" w:cs="Times New Roman"/>
          <w:iCs/>
          <w:sz w:val="20"/>
          <w:szCs w:val="20"/>
        </w:rPr>
        <w:t xml:space="preserve">Interes jednostki a interes publiczny (społeczny). </w:t>
      </w:r>
      <w:r w:rsidRPr="00CC0390">
        <w:rPr>
          <w:rFonts w:ascii="Times New Roman" w:eastAsia="TimesNewRomanPS-ItalicMT" w:hAnsi="Times New Roman" w:cs="Times New Roman"/>
          <w:iCs/>
          <w:sz w:val="20"/>
          <w:szCs w:val="20"/>
          <w:lang w:val="de-DE"/>
        </w:rPr>
        <w:t>Konflikt interesów</w:t>
      </w:r>
      <w:r w:rsidRPr="00CC0390">
        <w:rPr>
          <w:rFonts w:ascii="Times New Roman" w:hAnsi="Times New Roman" w:cs="Times New Roman"/>
          <w:sz w:val="20"/>
          <w:szCs w:val="20"/>
          <w:lang w:val="de-DE"/>
        </w:rPr>
        <w:t xml:space="preserve">, „Annales UMCS. Sectio G” 1993, Vol. 40, s. 307. </w:t>
      </w:r>
      <w:r w:rsidRPr="00A94067">
        <w:rPr>
          <w:rFonts w:ascii="Times New Roman" w:hAnsi="Times New Roman" w:cs="Times New Roman"/>
          <w:sz w:val="20"/>
          <w:szCs w:val="20"/>
        </w:rPr>
        <w:t xml:space="preserve">Zob. też: </w:t>
      </w:r>
      <w:r w:rsidRPr="00A94067">
        <w:rPr>
          <w:rFonts w:ascii="Times New Roman" w:eastAsia="TimesNewRomanPS-ItalicMT" w:hAnsi="Times New Roman" w:cs="Times New Roman"/>
          <w:iCs/>
          <w:sz w:val="20"/>
          <w:szCs w:val="20"/>
        </w:rPr>
        <w:t>idem</w:t>
      </w:r>
      <w:r w:rsidRPr="00A94067">
        <w:rPr>
          <w:rFonts w:ascii="Times New Roman" w:hAnsi="Times New Roman" w:cs="Times New Roman"/>
          <w:sz w:val="20"/>
          <w:szCs w:val="20"/>
        </w:rPr>
        <w:t xml:space="preserve">, </w:t>
      </w:r>
      <w:r w:rsidRPr="00A94067">
        <w:rPr>
          <w:rFonts w:ascii="Times New Roman" w:eastAsia="TimesNewRomanPS-ItalicMT" w:hAnsi="Times New Roman" w:cs="Times New Roman"/>
          <w:iCs/>
          <w:sz w:val="20"/>
          <w:szCs w:val="20"/>
        </w:rPr>
        <w:t>Interes publiczny w orzecznictwie Trybunału Konstytucyjnego</w:t>
      </w:r>
      <w:r w:rsidRPr="00A94067">
        <w:rPr>
          <w:rFonts w:ascii="Times New Roman" w:hAnsi="Times New Roman" w:cs="Times New Roman"/>
          <w:sz w:val="20"/>
          <w:szCs w:val="20"/>
        </w:rPr>
        <w:t xml:space="preserve">, [w:] </w:t>
      </w:r>
      <w:r w:rsidRPr="00A94067">
        <w:rPr>
          <w:rFonts w:ascii="Times New Roman" w:eastAsia="TimesNewRomanPS-ItalicMT" w:hAnsi="Times New Roman" w:cs="Times New Roman"/>
          <w:iCs/>
          <w:sz w:val="20"/>
          <w:szCs w:val="20"/>
        </w:rPr>
        <w:t>Pojęcie interesu w naukach prawnych…</w:t>
      </w:r>
      <w:r w:rsidRPr="00A94067">
        <w:rPr>
          <w:rFonts w:ascii="Times New Roman" w:hAnsi="Times New Roman" w:cs="Times New Roman"/>
          <w:sz w:val="20"/>
          <w:szCs w:val="20"/>
        </w:rPr>
        <w:t xml:space="preserve">, s. 205 i n.; </w:t>
      </w:r>
      <w:r w:rsidRPr="00A94067">
        <w:rPr>
          <w:rFonts w:ascii="Times New Roman" w:eastAsia="TimesNewRomanPS-ItalicMT" w:hAnsi="Times New Roman" w:cs="Times New Roman"/>
          <w:iCs/>
          <w:sz w:val="20"/>
          <w:szCs w:val="20"/>
        </w:rPr>
        <w:t>idem</w:t>
      </w:r>
      <w:r w:rsidRPr="00A94067">
        <w:rPr>
          <w:rFonts w:ascii="Times New Roman" w:hAnsi="Times New Roman" w:cs="Times New Roman"/>
          <w:sz w:val="20"/>
          <w:szCs w:val="20"/>
        </w:rPr>
        <w:t xml:space="preserve">, </w:t>
      </w:r>
      <w:r w:rsidRPr="00A94067">
        <w:rPr>
          <w:rFonts w:ascii="Times New Roman" w:eastAsia="TimesNewRomanPS-ItalicMT" w:hAnsi="Times New Roman" w:cs="Times New Roman"/>
          <w:iCs/>
          <w:sz w:val="20"/>
          <w:szCs w:val="20"/>
        </w:rPr>
        <w:t>Prawny interes jednostki w sferze materialnego prawa administracyjnego</w:t>
      </w:r>
      <w:r w:rsidRPr="00A94067">
        <w:rPr>
          <w:rFonts w:ascii="Times New Roman" w:hAnsi="Times New Roman" w:cs="Times New Roman"/>
          <w:sz w:val="20"/>
          <w:szCs w:val="20"/>
        </w:rPr>
        <w:t>, Lublin 1991.</w:t>
      </w:r>
    </w:p>
  </w:footnote>
  <w:footnote w:id="3">
    <w:p w14:paraId="453A7985" w14:textId="7128080D" w:rsidR="00826390" w:rsidRPr="00A94067" w:rsidRDefault="00826390" w:rsidP="00000FD1">
      <w:pPr>
        <w:autoSpaceDE w:val="0"/>
        <w:autoSpaceDN w:val="0"/>
        <w:adjustRightInd w:val="0"/>
        <w:spacing w:after="0" w:line="240" w:lineRule="auto"/>
        <w:jc w:val="both"/>
        <w:rPr>
          <w:rFonts w:ascii="Times New Roman" w:hAnsi="Times New Roman" w:cs="Times New Roman"/>
          <w:sz w:val="20"/>
          <w:szCs w:val="20"/>
        </w:rPr>
      </w:pPr>
      <w:r w:rsidRPr="00A94067">
        <w:rPr>
          <w:rStyle w:val="Odwoanieprzypisudolnego"/>
          <w:rFonts w:ascii="Times New Roman" w:hAnsi="Times New Roman" w:cs="Times New Roman"/>
          <w:sz w:val="20"/>
          <w:szCs w:val="20"/>
        </w:rPr>
        <w:footnoteRef/>
      </w:r>
      <w:r w:rsidR="00EB1A23" w:rsidRPr="00EB1A23">
        <w:rPr>
          <w:rFonts w:ascii="Times New Roman" w:hAnsi="Times New Roman" w:cs="Times New Roman"/>
          <w:vertAlign w:val="superscript"/>
        </w:rPr>
        <w:t>)</w:t>
      </w:r>
      <w:r w:rsidRPr="00A94067">
        <w:rPr>
          <w:rFonts w:ascii="Times New Roman" w:hAnsi="Times New Roman" w:cs="Times New Roman"/>
          <w:sz w:val="20"/>
          <w:szCs w:val="20"/>
        </w:rPr>
        <w:t xml:space="preserve"> W.</w:t>
      </w:r>
      <w:r w:rsidR="00000FD1" w:rsidRPr="00A94067">
        <w:rPr>
          <w:rFonts w:ascii="Times New Roman" w:hAnsi="Times New Roman" w:cs="Times New Roman"/>
          <w:sz w:val="20"/>
          <w:szCs w:val="20"/>
        </w:rPr>
        <w:t xml:space="preserve"> </w:t>
      </w:r>
      <w:r w:rsidRPr="00A94067">
        <w:rPr>
          <w:rFonts w:ascii="Times New Roman" w:hAnsi="Times New Roman" w:cs="Times New Roman"/>
          <w:sz w:val="20"/>
          <w:szCs w:val="20"/>
        </w:rPr>
        <w:t xml:space="preserve">J. Wołpiuk, </w:t>
      </w:r>
      <w:r w:rsidRPr="00A94067">
        <w:rPr>
          <w:rFonts w:ascii="Times New Roman" w:eastAsia="TimesNewRomanPS-ItalicMT" w:hAnsi="Times New Roman" w:cs="Times New Roman"/>
          <w:iCs/>
          <w:sz w:val="20"/>
          <w:szCs w:val="20"/>
        </w:rPr>
        <w:t>Dobro wspólne a interes publiczny</w:t>
      </w:r>
      <w:r w:rsidRPr="00A94067">
        <w:rPr>
          <w:rFonts w:ascii="Times New Roman" w:hAnsi="Times New Roman" w:cs="Times New Roman"/>
          <w:sz w:val="20"/>
          <w:szCs w:val="20"/>
        </w:rPr>
        <w:t>, „Zeszyty Naukowe Wyższej Szkoły Informatyki,</w:t>
      </w:r>
      <w:r w:rsidR="00394A8B" w:rsidRPr="00A94067">
        <w:rPr>
          <w:rFonts w:ascii="Times New Roman" w:hAnsi="Times New Roman" w:cs="Times New Roman"/>
          <w:sz w:val="20"/>
          <w:szCs w:val="20"/>
        </w:rPr>
        <w:t xml:space="preserve"> </w:t>
      </w:r>
      <w:r w:rsidRPr="00A94067">
        <w:rPr>
          <w:rFonts w:ascii="Times New Roman" w:hAnsi="Times New Roman" w:cs="Times New Roman"/>
          <w:sz w:val="20"/>
          <w:szCs w:val="20"/>
        </w:rPr>
        <w:t>Zarządzania i Administracji w Warszawie” 2006, z. 1, s. 22.</w:t>
      </w:r>
    </w:p>
  </w:footnote>
  <w:footnote w:id="4">
    <w:p w14:paraId="6F54BE0D" w14:textId="05A1E1A1" w:rsidR="00AD6E2B" w:rsidRPr="00A94067" w:rsidRDefault="00AD6E2B" w:rsidP="00000FD1">
      <w:pPr>
        <w:autoSpaceDE w:val="0"/>
        <w:autoSpaceDN w:val="0"/>
        <w:adjustRightInd w:val="0"/>
        <w:spacing w:after="0" w:line="240" w:lineRule="auto"/>
        <w:jc w:val="both"/>
        <w:rPr>
          <w:rFonts w:ascii="Times New Roman" w:hAnsi="Times New Roman" w:cs="Times New Roman"/>
          <w:sz w:val="20"/>
          <w:szCs w:val="20"/>
        </w:rPr>
      </w:pPr>
      <w:r w:rsidRPr="00A94067">
        <w:rPr>
          <w:rStyle w:val="Odwoanieprzypisudolnego"/>
          <w:rFonts w:ascii="Times New Roman" w:hAnsi="Times New Roman" w:cs="Times New Roman"/>
          <w:sz w:val="20"/>
          <w:szCs w:val="20"/>
        </w:rPr>
        <w:footnoteRef/>
      </w:r>
      <w:r w:rsidR="00EB1A23" w:rsidRPr="00EB1A23">
        <w:rPr>
          <w:rFonts w:ascii="Times New Roman" w:hAnsi="Times New Roman" w:cs="Times New Roman"/>
          <w:vertAlign w:val="superscript"/>
        </w:rPr>
        <w:t>)</w:t>
      </w:r>
      <w:r w:rsidRPr="00A94067">
        <w:rPr>
          <w:rFonts w:ascii="Times New Roman" w:hAnsi="Times New Roman" w:cs="Times New Roman"/>
          <w:sz w:val="20"/>
          <w:szCs w:val="20"/>
        </w:rPr>
        <w:t xml:space="preserve"> Zob. M. Zdyb, </w:t>
      </w:r>
      <w:r w:rsidRPr="00A94067">
        <w:rPr>
          <w:rFonts w:ascii="Times New Roman" w:eastAsia="TimesNewRomanPS-ItalicMT" w:hAnsi="Times New Roman" w:cs="Times New Roman"/>
          <w:iCs/>
          <w:sz w:val="20"/>
          <w:szCs w:val="20"/>
        </w:rPr>
        <w:t>Prawny interes jednostki...</w:t>
      </w:r>
      <w:r w:rsidRPr="00A94067">
        <w:rPr>
          <w:rFonts w:ascii="Times New Roman" w:hAnsi="Times New Roman" w:cs="Times New Roman"/>
          <w:sz w:val="20"/>
          <w:szCs w:val="20"/>
        </w:rPr>
        <w:t xml:space="preserve">, s. 215; </w:t>
      </w:r>
      <w:r w:rsidRPr="00A94067">
        <w:rPr>
          <w:rFonts w:ascii="Times New Roman" w:eastAsia="TimesNewRomanPS-ItalicMT" w:hAnsi="Times New Roman" w:cs="Times New Roman"/>
          <w:iCs/>
          <w:sz w:val="20"/>
          <w:szCs w:val="20"/>
        </w:rPr>
        <w:t>idem</w:t>
      </w:r>
      <w:r w:rsidRPr="00A94067">
        <w:rPr>
          <w:rFonts w:ascii="Times New Roman" w:hAnsi="Times New Roman" w:cs="Times New Roman"/>
          <w:sz w:val="20"/>
          <w:szCs w:val="20"/>
        </w:rPr>
        <w:t xml:space="preserve">, </w:t>
      </w:r>
      <w:r w:rsidRPr="00A94067">
        <w:rPr>
          <w:rFonts w:ascii="Times New Roman" w:eastAsia="TimesNewRomanPS-ItalicMT" w:hAnsi="Times New Roman" w:cs="Times New Roman"/>
          <w:iCs/>
          <w:sz w:val="20"/>
          <w:szCs w:val="20"/>
        </w:rPr>
        <w:t>Miejsce jednos</w:t>
      </w:r>
      <w:r w:rsidR="00D64EF2">
        <w:rPr>
          <w:rFonts w:ascii="Times New Roman" w:eastAsia="TimesNewRomanPS-ItalicMT" w:hAnsi="Times New Roman" w:cs="Times New Roman"/>
          <w:iCs/>
          <w:sz w:val="20"/>
          <w:szCs w:val="20"/>
        </w:rPr>
        <w:t>tki w porządku państwa. Państwo</w:t>
      </w:r>
      <w:r w:rsidR="00CC0390">
        <w:rPr>
          <w:rFonts w:ascii="Times New Roman" w:eastAsia="TimesNewRomanPS-ItalicMT" w:hAnsi="Times New Roman" w:cs="Times New Roman"/>
          <w:iCs/>
          <w:sz w:val="20"/>
          <w:szCs w:val="20"/>
        </w:rPr>
        <w:t xml:space="preserve"> </w:t>
      </w:r>
      <w:r w:rsidRPr="00A94067">
        <w:rPr>
          <w:rFonts w:ascii="Times New Roman" w:eastAsia="TimesNewRomanPS-ItalicMT" w:hAnsi="Times New Roman" w:cs="Times New Roman"/>
          <w:iCs/>
          <w:sz w:val="20"/>
          <w:szCs w:val="20"/>
        </w:rPr>
        <w:t>a jednostka</w:t>
      </w:r>
      <w:r w:rsidRPr="00A94067">
        <w:rPr>
          <w:rFonts w:ascii="Times New Roman" w:hAnsi="Times New Roman" w:cs="Times New Roman"/>
          <w:sz w:val="20"/>
          <w:szCs w:val="20"/>
        </w:rPr>
        <w:t xml:space="preserve">, „Annales UMCS. Sectio G” 1992, Vol. 38; </w:t>
      </w:r>
      <w:r w:rsidRPr="00A94067">
        <w:rPr>
          <w:rFonts w:ascii="Times New Roman" w:eastAsia="TimesNewRomanPS-ItalicMT" w:hAnsi="Times New Roman" w:cs="Times New Roman"/>
          <w:iCs/>
          <w:sz w:val="20"/>
          <w:szCs w:val="20"/>
        </w:rPr>
        <w:t>idem</w:t>
      </w:r>
      <w:r w:rsidRPr="00A94067">
        <w:rPr>
          <w:rFonts w:ascii="Times New Roman" w:hAnsi="Times New Roman" w:cs="Times New Roman"/>
          <w:sz w:val="20"/>
          <w:szCs w:val="20"/>
        </w:rPr>
        <w:t xml:space="preserve">, </w:t>
      </w:r>
      <w:r w:rsidRPr="00A94067">
        <w:rPr>
          <w:rFonts w:ascii="Times New Roman" w:eastAsia="TimesNewRomanPS-ItalicMT" w:hAnsi="Times New Roman" w:cs="Times New Roman"/>
          <w:iCs/>
          <w:sz w:val="20"/>
          <w:szCs w:val="20"/>
        </w:rPr>
        <w:t xml:space="preserve">Interes jednostki </w:t>
      </w:r>
      <w:r w:rsidR="00000FD1" w:rsidRPr="00A94067">
        <w:rPr>
          <w:rFonts w:ascii="Times New Roman" w:eastAsia="TimesNewRomanPS-ItalicMT" w:hAnsi="Times New Roman" w:cs="Times New Roman"/>
          <w:iCs/>
          <w:sz w:val="20"/>
          <w:szCs w:val="20"/>
        </w:rPr>
        <w:t>a interes publiczny.</w:t>
      </w:r>
    </w:p>
  </w:footnote>
  <w:footnote w:id="5">
    <w:p w14:paraId="210BF7A7" w14:textId="2CC3C11B" w:rsidR="00BC3375" w:rsidRPr="00A94067" w:rsidRDefault="00BC3375">
      <w:pPr>
        <w:pStyle w:val="Tekstprzypisudolnego"/>
        <w:rPr>
          <w:rFonts w:ascii="Times New Roman" w:hAnsi="Times New Roman" w:cs="Times New Roman"/>
        </w:rPr>
      </w:pPr>
      <w:r w:rsidRPr="00A94067">
        <w:rPr>
          <w:rStyle w:val="Odwoanieprzypisudolnego"/>
          <w:rFonts w:ascii="Times New Roman" w:hAnsi="Times New Roman" w:cs="Times New Roman"/>
        </w:rPr>
        <w:footnoteRef/>
      </w:r>
      <w:r w:rsidR="00EB1A23" w:rsidRPr="00EB1A23">
        <w:rPr>
          <w:rFonts w:ascii="Times New Roman" w:hAnsi="Times New Roman" w:cs="Times New Roman"/>
          <w:vertAlign w:val="superscript"/>
        </w:rPr>
        <w:t>)</w:t>
      </w:r>
      <w:r w:rsidRPr="00A94067">
        <w:rPr>
          <w:rFonts w:ascii="Times New Roman" w:hAnsi="Times New Roman" w:cs="Times New Roman"/>
        </w:rPr>
        <w:t xml:space="preserve"> P. M. Przybysz. Komentarz do art.7(a) Kodeksu postępowania administracyjnego, 2017</w:t>
      </w:r>
      <w:r w:rsidR="00EB1A23">
        <w:rPr>
          <w:rFonts w:ascii="Times New Roman" w:hAnsi="Times New Roman" w:cs="Times New Roman"/>
        </w:rPr>
        <w:t>.</w:t>
      </w:r>
    </w:p>
  </w:footnote>
  <w:footnote w:id="6">
    <w:p w14:paraId="6328901E" w14:textId="0F456F5F" w:rsidR="00BC3375" w:rsidRPr="00A94067" w:rsidRDefault="00BC3375" w:rsidP="00BC3375">
      <w:pPr>
        <w:pStyle w:val="Default"/>
        <w:rPr>
          <w:rFonts w:ascii="Times New Roman" w:hAnsi="Times New Roman" w:cs="Times New Roman"/>
          <w:sz w:val="20"/>
          <w:szCs w:val="20"/>
        </w:rPr>
      </w:pPr>
      <w:r w:rsidRPr="00A94067">
        <w:rPr>
          <w:rStyle w:val="Odwoanieprzypisudolnego"/>
          <w:rFonts w:ascii="Times New Roman" w:hAnsi="Times New Roman" w:cs="Times New Roman"/>
          <w:sz w:val="20"/>
          <w:szCs w:val="20"/>
        </w:rPr>
        <w:footnoteRef/>
      </w:r>
      <w:r w:rsidR="00EB1A23" w:rsidRPr="00EB1A23">
        <w:rPr>
          <w:rFonts w:ascii="Times New Roman" w:hAnsi="Times New Roman" w:cs="Times New Roman"/>
          <w:vertAlign w:val="superscript"/>
        </w:rPr>
        <w:t>)</w:t>
      </w:r>
      <w:r w:rsidRPr="00A94067">
        <w:rPr>
          <w:rFonts w:ascii="Times New Roman" w:hAnsi="Times New Roman" w:cs="Times New Roman"/>
          <w:sz w:val="20"/>
          <w:szCs w:val="20"/>
        </w:rPr>
        <w:t xml:space="preserve"> Roczniki Administracji i Prawa nr XVIII(2), s. 185</w:t>
      </w:r>
      <w:r w:rsidR="00EB1A23">
        <w:rPr>
          <w:rFonts w:ascii="Times New Roman" w:hAnsi="Times New Roman" w:cs="Times New Roman"/>
          <w:sz w:val="20"/>
          <w:szCs w:val="20"/>
        </w:rPr>
        <w:t>–</w:t>
      </w:r>
      <w:r w:rsidRPr="00A94067">
        <w:rPr>
          <w:rFonts w:ascii="Times New Roman" w:hAnsi="Times New Roman" w:cs="Times New Roman"/>
          <w:sz w:val="20"/>
          <w:szCs w:val="20"/>
        </w:rPr>
        <w:t>198</w:t>
      </w:r>
      <w:r w:rsidR="00EB1A23">
        <w:rPr>
          <w:rFonts w:ascii="Times New Roman" w:hAnsi="Times New Roman" w:cs="Times New Roman"/>
          <w:sz w:val="20"/>
          <w:szCs w:val="20"/>
        </w:rPr>
        <w:t>.</w:t>
      </w:r>
    </w:p>
  </w:footnote>
  <w:footnote w:id="7">
    <w:p w14:paraId="262DAF8F" w14:textId="53C6FD05" w:rsidR="00267394" w:rsidRPr="00A94067" w:rsidRDefault="00267394" w:rsidP="00000FD1">
      <w:pPr>
        <w:pStyle w:val="Tekstprzypisudolnego"/>
        <w:jc w:val="both"/>
        <w:rPr>
          <w:rFonts w:ascii="Times New Roman" w:hAnsi="Times New Roman" w:cs="Times New Roman"/>
        </w:rPr>
      </w:pPr>
      <w:r w:rsidRPr="00A94067">
        <w:rPr>
          <w:rStyle w:val="Odwoanieprzypisudolnego"/>
          <w:rFonts w:ascii="Times New Roman" w:hAnsi="Times New Roman" w:cs="Times New Roman"/>
        </w:rPr>
        <w:footnoteRef/>
      </w:r>
      <w:r w:rsidR="00EB1A23" w:rsidRPr="00EB1A23">
        <w:rPr>
          <w:rFonts w:ascii="Times New Roman" w:hAnsi="Times New Roman" w:cs="Times New Roman"/>
          <w:vertAlign w:val="superscript"/>
        </w:rPr>
        <w:t>)</w:t>
      </w:r>
      <w:r w:rsidRPr="00A94067">
        <w:rPr>
          <w:rFonts w:ascii="Times New Roman" w:hAnsi="Times New Roman" w:cs="Times New Roman"/>
        </w:rPr>
        <w:t xml:space="preserve"> </w:t>
      </w:r>
      <w:r w:rsidRPr="00CC0390">
        <w:rPr>
          <w:rFonts w:ascii="Times New Roman" w:hAnsi="Times New Roman" w:cs="Times New Roman"/>
        </w:rPr>
        <w:t>http://bip.wcpr.pl/p,25,sprawozdania</w:t>
      </w:r>
      <w:r w:rsidRPr="00A94067">
        <w:rPr>
          <w:rFonts w:ascii="Times New Roman" w:hAnsi="Times New Roman" w:cs="Times New Roman"/>
        </w:rPr>
        <w:t xml:space="preserve"> </w:t>
      </w:r>
    </w:p>
  </w:footnote>
  <w:footnote w:id="8">
    <w:p w14:paraId="41B4C090" w14:textId="4CFE8DC1" w:rsidR="00267394" w:rsidRPr="00A94067" w:rsidRDefault="00267394" w:rsidP="00000FD1">
      <w:pPr>
        <w:pStyle w:val="Tekstprzypisudolnego"/>
        <w:jc w:val="both"/>
        <w:rPr>
          <w:rFonts w:ascii="Times New Roman" w:hAnsi="Times New Roman" w:cs="Times New Roman"/>
        </w:rPr>
      </w:pPr>
      <w:r w:rsidRPr="00A94067">
        <w:rPr>
          <w:rStyle w:val="Odwoanieprzypisudolnego"/>
          <w:rFonts w:ascii="Times New Roman" w:hAnsi="Times New Roman" w:cs="Times New Roman"/>
        </w:rPr>
        <w:footnoteRef/>
      </w:r>
      <w:r w:rsidR="00EB1A23" w:rsidRPr="00EB1A23">
        <w:rPr>
          <w:rFonts w:ascii="Times New Roman" w:hAnsi="Times New Roman" w:cs="Times New Roman"/>
          <w:vertAlign w:val="superscript"/>
        </w:rPr>
        <w:t>)</w:t>
      </w:r>
      <w:r w:rsidRPr="00A94067">
        <w:rPr>
          <w:rFonts w:ascii="Times New Roman" w:hAnsi="Times New Roman" w:cs="Times New Roman"/>
        </w:rPr>
        <w:t xml:space="preserve"> </w:t>
      </w:r>
      <w:r w:rsidRPr="00CC0390">
        <w:rPr>
          <w:rFonts w:ascii="Times New Roman" w:hAnsi="Times New Roman" w:cs="Times New Roman"/>
        </w:rPr>
        <w:t>http://www.pcpr-ino.pl/?sprawozdania,82</w:t>
      </w:r>
      <w:r w:rsidRPr="00A94067">
        <w:rPr>
          <w:rFonts w:ascii="Times New Roman" w:hAnsi="Times New Roman" w:cs="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74122"/>
    <w:multiLevelType w:val="hybridMultilevel"/>
    <w:tmpl w:val="E37E011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60CBF"/>
    <w:multiLevelType w:val="hybridMultilevel"/>
    <w:tmpl w:val="58D2D1C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591F88"/>
    <w:multiLevelType w:val="hybridMultilevel"/>
    <w:tmpl w:val="D618FA9C"/>
    <w:lvl w:ilvl="0" w:tplc="C1B019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1285B28"/>
    <w:multiLevelType w:val="hybridMultilevel"/>
    <w:tmpl w:val="BEDA26D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1D019D1"/>
    <w:multiLevelType w:val="hybridMultilevel"/>
    <w:tmpl w:val="E760E1F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686743"/>
    <w:multiLevelType w:val="multilevel"/>
    <w:tmpl w:val="94DC270E"/>
    <w:lvl w:ilvl="0">
      <w:start w:val="1"/>
      <w:numFmt w:val="lowerLetter"/>
      <w:lvlText w:val="%1."/>
      <w:lvlJc w:val="left"/>
      <w:rPr>
        <w:rFonts w:ascii="Garamond" w:eastAsia="Garamond" w:hAnsi="Garamond" w:cs="Garamond"/>
        <w:b/>
        <w:bCs/>
        <w:i w:val="0"/>
        <w:iCs w:val="0"/>
        <w:smallCaps w:val="0"/>
        <w:strike w:val="0"/>
        <w:color w:val="000000"/>
        <w:spacing w:val="0"/>
        <w:w w:val="100"/>
        <w:position w:val="0"/>
        <w:sz w:val="16"/>
        <w:szCs w:val="16"/>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0A750C9"/>
    <w:multiLevelType w:val="hybridMultilevel"/>
    <w:tmpl w:val="8DB62A5C"/>
    <w:lvl w:ilvl="0" w:tplc="DB169048">
      <w:start w:val="1"/>
      <w:numFmt w:val="lowerLetter"/>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 w15:restartNumberingAfterBreak="0">
    <w:nsid w:val="215751C2"/>
    <w:multiLevelType w:val="multilevel"/>
    <w:tmpl w:val="95F8E31A"/>
    <w:lvl w:ilvl="0">
      <w:start w:val="1"/>
      <w:numFmt w:val="decimal"/>
      <w:lvlText w:val="%1)"/>
      <w:lvlJc w:val="left"/>
      <w:rPr>
        <w:rFonts w:ascii="Times New Roman" w:eastAsia="Times New Roman" w:hAnsi="Times New Roman" w:cs="Times New Roman"/>
        <w:b w:val="0"/>
        <w:bCs w:val="0"/>
        <w:i w:val="0"/>
        <w:iCs w:val="0"/>
        <w:smallCaps w:val="0"/>
        <w:strike w:val="0"/>
        <w:color w:val="313131"/>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9111902"/>
    <w:multiLevelType w:val="hybridMultilevel"/>
    <w:tmpl w:val="CF58084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B2C007A"/>
    <w:multiLevelType w:val="hybridMultilevel"/>
    <w:tmpl w:val="E3EEB5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D513CCF"/>
    <w:multiLevelType w:val="multilevel"/>
    <w:tmpl w:val="14149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325EFD"/>
    <w:multiLevelType w:val="hybridMultilevel"/>
    <w:tmpl w:val="60C49918"/>
    <w:lvl w:ilvl="0" w:tplc="2FE25BE2">
      <w:start w:val="2"/>
      <w:numFmt w:val="decimal"/>
      <w:lvlText w:val="%1."/>
      <w:lvlJc w:val="left"/>
      <w:pPr>
        <w:ind w:left="1230" w:hanging="360"/>
      </w:pPr>
      <w:rPr>
        <w:rFonts w:hint="default"/>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12" w15:restartNumberingAfterBreak="0">
    <w:nsid w:val="31FF5151"/>
    <w:multiLevelType w:val="hybridMultilevel"/>
    <w:tmpl w:val="D0DADA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4A260E7"/>
    <w:multiLevelType w:val="hybridMultilevel"/>
    <w:tmpl w:val="F92830BA"/>
    <w:lvl w:ilvl="0" w:tplc="1514F498">
      <w:start w:val="1"/>
      <w:numFmt w:val="decimal"/>
      <w:lvlText w:val="%1)"/>
      <w:lvlJc w:val="left"/>
      <w:pPr>
        <w:ind w:left="733" w:hanging="360"/>
      </w:pPr>
      <w:rPr>
        <w:rFonts w:hint="default"/>
      </w:rPr>
    </w:lvl>
    <w:lvl w:ilvl="1" w:tplc="04150019" w:tentative="1">
      <w:start w:val="1"/>
      <w:numFmt w:val="lowerLetter"/>
      <w:lvlText w:val="%2."/>
      <w:lvlJc w:val="left"/>
      <w:pPr>
        <w:ind w:left="1453" w:hanging="360"/>
      </w:pPr>
    </w:lvl>
    <w:lvl w:ilvl="2" w:tplc="0415001B" w:tentative="1">
      <w:start w:val="1"/>
      <w:numFmt w:val="lowerRoman"/>
      <w:lvlText w:val="%3."/>
      <w:lvlJc w:val="right"/>
      <w:pPr>
        <w:ind w:left="2173" w:hanging="180"/>
      </w:pPr>
    </w:lvl>
    <w:lvl w:ilvl="3" w:tplc="0415000F" w:tentative="1">
      <w:start w:val="1"/>
      <w:numFmt w:val="decimal"/>
      <w:lvlText w:val="%4."/>
      <w:lvlJc w:val="left"/>
      <w:pPr>
        <w:ind w:left="2893" w:hanging="360"/>
      </w:pPr>
    </w:lvl>
    <w:lvl w:ilvl="4" w:tplc="04150019" w:tentative="1">
      <w:start w:val="1"/>
      <w:numFmt w:val="lowerLetter"/>
      <w:lvlText w:val="%5."/>
      <w:lvlJc w:val="left"/>
      <w:pPr>
        <w:ind w:left="3613" w:hanging="360"/>
      </w:pPr>
    </w:lvl>
    <w:lvl w:ilvl="5" w:tplc="0415001B" w:tentative="1">
      <w:start w:val="1"/>
      <w:numFmt w:val="lowerRoman"/>
      <w:lvlText w:val="%6."/>
      <w:lvlJc w:val="right"/>
      <w:pPr>
        <w:ind w:left="4333" w:hanging="180"/>
      </w:pPr>
    </w:lvl>
    <w:lvl w:ilvl="6" w:tplc="0415000F" w:tentative="1">
      <w:start w:val="1"/>
      <w:numFmt w:val="decimal"/>
      <w:lvlText w:val="%7."/>
      <w:lvlJc w:val="left"/>
      <w:pPr>
        <w:ind w:left="5053" w:hanging="360"/>
      </w:pPr>
    </w:lvl>
    <w:lvl w:ilvl="7" w:tplc="04150019" w:tentative="1">
      <w:start w:val="1"/>
      <w:numFmt w:val="lowerLetter"/>
      <w:lvlText w:val="%8."/>
      <w:lvlJc w:val="left"/>
      <w:pPr>
        <w:ind w:left="5773" w:hanging="360"/>
      </w:pPr>
    </w:lvl>
    <w:lvl w:ilvl="8" w:tplc="0415001B" w:tentative="1">
      <w:start w:val="1"/>
      <w:numFmt w:val="lowerRoman"/>
      <w:lvlText w:val="%9."/>
      <w:lvlJc w:val="right"/>
      <w:pPr>
        <w:ind w:left="6493" w:hanging="180"/>
      </w:pPr>
    </w:lvl>
  </w:abstractNum>
  <w:abstractNum w:abstractNumId="14" w15:restartNumberingAfterBreak="0">
    <w:nsid w:val="364F2C4E"/>
    <w:multiLevelType w:val="hybridMultilevel"/>
    <w:tmpl w:val="5AEA2B38"/>
    <w:lvl w:ilvl="0" w:tplc="B336A6B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36BC7DBE"/>
    <w:multiLevelType w:val="hybridMultilevel"/>
    <w:tmpl w:val="273206CA"/>
    <w:lvl w:ilvl="0" w:tplc="37B21BAE">
      <w:start w:val="1"/>
      <w:numFmt w:val="decimal"/>
      <w:lvlText w:val="%1)"/>
      <w:lvlJc w:val="left"/>
      <w:pPr>
        <w:ind w:left="1230" w:hanging="360"/>
      </w:pPr>
      <w:rPr>
        <w:rFonts w:hint="default"/>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16" w15:restartNumberingAfterBreak="0">
    <w:nsid w:val="36CF6F99"/>
    <w:multiLevelType w:val="multilevel"/>
    <w:tmpl w:val="13E81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AB03732"/>
    <w:multiLevelType w:val="multilevel"/>
    <w:tmpl w:val="750CAA92"/>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CB3544D"/>
    <w:multiLevelType w:val="hybridMultilevel"/>
    <w:tmpl w:val="B21AFCD0"/>
    <w:lvl w:ilvl="0" w:tplc="C1B01918">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9" w15:restartNumberingAfterBreak="0">
    <w:nsid w:val="414D7B4F"/>
    <w:multiLevelType w:val="hybridMultilevel"/>
    <w:tmpl w:val="CC38218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272592F"/>
    <w:multiLevelType w:val="hybridMultilevel"/>
    <w:tmpl w:val="4080CDE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77C1940"/>
    <w:multiLevelType w:val="hybridMultilevel"/>
    <w:tmpl w:val="12DABDA2"/>
    <w:lvl w:ilvl="0" w:tplc="C190311A">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2" w15:restartNumberingAfterBreak="0">
    <w:nsid w:val="47D15FEC"/>
    <w:multiLevelType w:val="hybridMultilevel"/>
    <w:tmpl w:val="1B304D7E"/>
    <w:lvl w:ilvl="0" w:tplc="EE16847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3" w15:restartNumberingAfterBreak="0">
    <w:nsid w:val="483270AE"/>
    <w:multiLevelType w:val="multilevel"/>
    <w:tmpl w:val="45925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A920EB0"/>
    <w:multiLevelType w:val="hybridMultilevel"/>
    <w:tmpl w:val="2DDE0C5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ACC31C4"/>
    <w:multiLevelType w:val="multilevel"/>
    <w:tmpl w:val="E3B40E5A"/>
    <w:lvl w:ilvl="0">
      <w:start w:val="1"/>
      <w:numFmt w:val="upperRoman"/>
      <w:lvlText w:val="%1."/>
      <w:lvlJc w:val="left"/>
      <w:rPr>
        <w:rFonts w:ascii="Arial" w:eastAsia="Arial" w:hAnsi="Arial" w:cs="Arial"/>
        <w:b/>
        <w:bCs/>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D045866"/>
    <w:multiLevelType w:val="hybridMultilevel"/>
    <w:tmpl w:val="B502B62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EC76FB1"/>
    <w:multiLevelType w:val="multilevel"/>
    <w:tmpl w:val="36886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D07049"/>
    <w:multiLevelType w:val="hybridMultilevel"/>
    <w:tmpl w:val="259AF33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3D31A68"/>
    <w:multiLevelType w:val="multilevel"/>
    <w:tmpl w:val="793A198C"/>
    <w:lvl w:ilvl="0">
      <w:start w:val="5"/>
      <w:numFmt w:val="decimal"/>
      <w:lvlText w:val="%1"/>
      <w:lvlJc w:val="left"/>
      <w:rPr>
        <w:rFonts w:ascii="Arial" w:eastAsia="Arial" w:hAnsi="Arial" w:cs="Arial"/>
        <w:b w:val="0"/>
        <w:bCs w:val="0"/>
        <w:i w:val="0"/>
        <w:iCs w:val="0"/>
        <w:smallCaps w:val="0"/>
        <w:strike w:val="0"/>
        <w:color w:val="000000"/>
        <w:spacing w:val="0"/>
        <w:w w:val="100"/>
        <w:position w:val="0"/>
        <w:sz w:val="13"/>
        <w:szCs w:val="13"/>
        <w:u w:val="none"/>
        <w:shd w:val="clear" w:color="auto" w:fill="auto"/>
        <w:vertAlign w:val="superscript"/>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6BE6528"/>
    <w:multiLevelType w:val="multilevel"/>
    <w:tmpl w:val="F8C645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F8761B0"/>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58422A7"/>
    <w:multiLevelType w:val="hybridMultilevel"/>
    <w:tmpl w:val="B02C1BD2"/>
    <w:lvl w:ilvl="0" w:tplc="C180E578">
      <w:start w:val="1"/>
      <w:numFmt w:val="lowerLetter"/>
      <w:lvlText w:val="%1)"/>
      <w:lvlJc w:val="left"/>
      <w:pPr>
        <w:ind w:left="1040" w:hanging="360"/>
      </w:pPr>
      <w:rPr>
        <w:rFonts w:hint="default"/>
      </w:rPr>
    </w:lvl>
    <w:lvl w:ilvl="1" w:tplc="04150019" w:tentative="1">
      <w:start w:val="1"/>
      <w:numFmt w:val="lowerLetter"/>
      <w:lvlText w:val="%2."/>
      <w:lvlJc w:val="left"/>
      <w:pPr>
        <w:ind w:left="1760" w:hanging="360"/>
      </w:pPr>
    </w:lvl>
    <w:lvl w:ilvl="2" w:tplc="0415001B" w:tentative="1">
      <w:start w:val="1"/>
      <w:numFmt w:val="lowerRoman"/>
      <w:lvlText w:val="%3."/>
      <w:lvlJc w:val="right"/>
      <w:pPr>
        <w:ind w:left="2480" w:hanging="180"/>
      </w:pPr>
    </w:lvl>
    <w:lvl w:ilvl="3" w:tplc="0415000F" w:tentative="1">
      <w:start w:val="1"/>
      <w:numFmt w:val="decimal"/>
      <w:lvlText w:val="%4."/>
      <w:lvlJc w:val="left"/>
      <w:pPr>
        <w:ind w:left="3200" w:hanging="360"/>
      </w:pPr>
    </w:lvl>
    <w:lvl w:ilvl="4" w:tplc="04150019" w:tentative="1">
      <w:start w:val="1"/>
      <w:numFmt w:val="lowerLetter"/>
      <w:lvlText w:val="%5."/>
      <w:lvlJc w:val="left"/>
      <w:pPr>
        <w:ind w:left="3920" w:hanging="360"/>
      </w:pPr>
    </w:lvl>
    <w:lvl w:ilvl="5" w:tplc="0415001B" w:tentative="1">
      <w:start w:val="1"/>
      <w:numFmt w:val="lowerRoman"/>
      <w:lvlText w:val="%6."/>
      <w:lvlJc w:val="right"/>
      <w:pPr>
        <w:ind w:left="4640" w:hanging="180"/>
      </w:pPr>
    </w:lvl>
    <w:lvl w:ilvl="6" w:tplc="0415000F" w:tentative="1">
      <w:start w:val="1"/>
      <w:numFmt w:val="decimal"/>
      <w:lvlText w:val="%7."/>
      <w:lvlJc w:val="left"/>
      <w:pPr>
        <w:ind w:left="5360" w:hanging="360"/>
      </w:pPr>
    </w:lvl>
    <w:lvl w:ilvl="7" w:tplc="04150019" w:tentative="1">
      <w:start w:val="1"/>
      <w:numFmt w:val="lowerLetter"/>
      <w:lvlText w:val="%8."/>
      <w:lvlJc w:val="left"/>
      <w:pPr>
        <w:ind w:left="6080" w:hanging="360"/>
      </w:pPr>
    </w:lvl>
    <w:lvl w:ilvl="8" w:tplc="0415001B" w:tentative="1">
      <w:start w:val="1"/>
      <w:numFmt w:val="lowerRoman"/>
      <w:lvlText w:val="%9."/>
      <w:lvlJc w:val="right"/>
      <w:pPr>
        <w:ind w:left="6800" w:hanging="180"/>
      </w:pPr>
    </w:lvl>
  </w:abstractNum>
  <w:abstractNum w:abstractNumId="33" w15:restartNumberingAfterBreak="0">
    <w:nsid w:val="77BC2FE4"/>
    <w:multiLevelType w:val="hybridMultilevel"/>
    <w:tmpl w:val="91BED18C"/>
    <w:lvl w:ilvl="0" w:tplc="04150017">
      <w:start w:val="1"/>
      <w:numFmt w:val="lowerLetter"/>
      <w:lvlText w:val="%1)"/>
      <w:lvlJc w:val="left"/>
      <w:pPr>
        <w:ind w:left="720" w:hanging="360"/>
      </w:pPr>
    </w:lvl>
    <w:lvl w:ilvl="1" w:tplc="86AE47A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840141F"/>
    <w:multiLevelType w:val="hybridMultilevel"/>
    <w:tmpl w:val="34D2D64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B623085"/>
    <w:multiLevelType w:val="multilevel"/>
    <w:tmpl w:val="1706A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D114C40"/>
    <w:multiLevelType w:val="hybridMultilevel"/>
    <w:tmpl w:val="0BEE29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DDA5B2E"/>
    <w:multiLevelType w:val="hybridMultilevel"/>
    <w:tmpl w:val="86ACF5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1"/>
  </w:num>
  <w:num w:numId="2">
    <w:abstractNumId w:val="36"/>
  </w:num>
  <w:num w:numId="3">
    <w:abstractNumId w:val="4"/>
  </w:num>
  <w:num w:numId="4">
    <w:abstractNumId w:val="9"/>
  </w:num>
  <w:num w:numId="5">
    <w:abstractNumId w:val="28"/>
  </w:num>
  <w:num w:numId="6">
    <w:abstractNumId w:val="33"/>
  </w:num>
  <w:num w:numId="7">
    <w:abstractNumId w:val="26"/>
  </w:num>
  <w:num w:numId="8">
    <w:abstractNumId w:val="30"/>
  </w:num>
  <w:num w:numId="9">
    <w:abstractNumId w:val="29"/>
  </w:num>
  <w:num w:numId="10">
    <w:abstractNumId w:val="25"/>
  </w:num>
  <w:num w:numId="11">
    <w:abstractNumId w:val="7"/>
  </w:num>
  <w:num w:numId="12">
    <w:abstractNumId w:val="23"/>
  </w:num>
  <w:num w:numId="13">
    <w:abstractNumId w:val="13"/>
  </w:num>
  <w:num w:numId="14">
    <w:abstractNumId w:val="17"/>
  </w:num>
  <w:num w:numId="15">
    <w:abstractNumId w:val="5"/>
  </w:num>
  <w:num w:numId="16">
    <w:abstractNumId w:val="27"/>
  </w:num>
  <w:num w:numId="17">
    <w:abstractNumId w:val="10"/>
  </w:num>
  <w:num w:numId="18">
    <w:abstractNumId w:val="35"/>
  </w:num>
  <w:num w:numId="19">
    <w:abstractNumId w:val="2"/>
  </w:num>
  <w:num w:numId="20">
    <w:abstractNumId w:val="14"/>
  </w:num>
  <w:num w:numId="21">
    <w:abstractNumId w:val="0"/>
  </w:num>
  <w:num w:numId="22">
    <w:abstractNumId w:val="8"/>
  </w:num>
  <w:num w:numId="23">
    <w:abstractNumId w:val="1"/>
  </w:num>
  <w:num w:numId="24">
    <w:abstractNumId w:val="3"/>
  </w:num>
  <w:num w:numId="25">
    <w:abstractNumId w:val="34"/>
  </w:num>
  <w:num w:numId="26">
    <w:abstractNumId w:val="19"/>
  </w:num>
  <w:num w:numId="27">
    <w:abstractNumId w:val="37"/>
  </w:num>
  <w:num w:numId="28">
    <w:abstractNumId w:val="20"/>
  </w:num>
  <w:num w:numId="29">
    <w:abstractNumId w:val="24"/>
  </w:num>
  <w:num w:numId="30">
    <w:abstractNumId w:val="12"/>
  </w:num>
  <w:num w:numId="31">
    <w:abstractNumId w:val="21"/>
  </w:num>
  <w:num w:numId="32">
    <w:abstractNumId w:val="15"/>
  </w:num>
  <w:num w:numId="33">
    <w:abstractNumId w:val="11"/>
  </w:num>
  <w:num w:numId="34">
    <w:abstractNumId w:val="32"/>
  </w:num>
  <w:num w:numId="35">
    <w:abstractNumId w:val="22"/>
  </w:num>
  <w:num w:numId="36">
    <w:abstractNumId w:val="16"/>
  </w:num>
  <w:num w:numId="37">
    <w:abstractNumId w:val="6"/>
  </w:num>
  <w:num w:numId="3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5F1"/>
    <w:rsid w:val="00000FD1"/>
    <w:rsid w:val="00001EEA"/>
    <w:rsid w:val="00010695"/>
    <w:rsid w:val="000159B8"/>
    <w:rsid w:val="000175E0"/>
    <w:rsid w:val="000324DA"/>
    <w:rsid w:val="00044390"/>
    <w:rsid w:val="000472E3"/>
    <w:rsid w:val="0005641C"/>
    <w:rsid w:val="00061F42"/>
    <w:rsid w:val="00081021"/>
    <w:rsid w:val="00096F50"/>
    <w:rsid w:val="000978FD"/>
    <w:rsid w:val="000A0A94"/>
    <w:rsid w:val="000B2BAF"/>
    <w:rsid w:val="000C5062"/>
    <w:rsid w:val="000C6257"/>
    <w:rsid w:val="000C708F"/>
    <w:rsid w:val="000D3772"/>
    <w:rsid w:val="000F0850"/>
    <w:rsid w:val="000F0DC9"/>
    <w:rsid w:val="000F0F58"/>
    <w:rsid w:val="000F5A64"/>
    <w:rsid w:val="000F66D3"/>
    <w:rsid w:val="00102F47"/>
    <w:rsid w:val="00113EEC"/>
    <w:rsid w:val="00114C85"/>
    <w:rsid w:val="00117085"/>
    <w:rsid w:val="00121857"/>
    <w:rsid w:val="00124556"/>
    <w:rsid w:val="00127196"/>
    <w:rsid w:val="001347C3"/>
    <w:rsid w:val="001354C8"/>
    <w:rsid w:val="0014177E"/>
    <w:rsid w:val="00152C6C"/>
    <w:rsid w:val="0016448E"/>
    <w:rsid w:val="00165E29"/>
    <w:rsid w:val="00171FA0"/>
    <w:rsid w:val="00190338"/>
    <w:rsid w:val="001A621D"/>
    <w:rsid w:val="001B05F1"/>
    <w:rsid w:val="001C76F8"/>
    <w:rsid w:val="001C77FB"/>
    <w:rsid w:val="001D3635"/>
    <w:rsid w:val="002079B4"/>
    <w:rsid w:val="00211FA3"/>
    <w:rsid w:val="002164AD"/>
    <w:rsid w:val="00220CAA"/>
    <w:rsid w:val="00223C18"/>
    <w:rsid w:val="00230F21"/>
    <w:rsid w:val="0023236A"/>
    <w:rsid w:val="00233A15"/>
    <w:rsid w:val="002569D0"/>
    <w:rsid w:val="00267394"/>
    <w:rsid w:val="00271321"/>
    <w:rsid w:val="00282BC0"/>
    <w:rsid w:val="002A1D80"/>
    <w:rsid w:val="002A2A61"/>
    <w:rsid w:val="002A2F46"/>
    <w:rsid w:val="002A4A3D"/>
    <w:rsid w:val="002A5DE2"/>
    <w:rsid w:val="002B3E88"/>
    <w:rsid w:val="002B6D47"/>
    <w:rsid w:val="002E0064"/>
    <w:rsid w:val="002E2688"/>
    <w:rsid w:val="002F19AF"/>
    <w:rsid w:val="002F20A7"/>
    <w:rsid w:val="00305165"/>
    <w:rsid w:val="00311BDA"/>
    <w:rsid w:val="003209EA"/>
    <w:rsid w:val="00330DDE"/>
    <w:rsid w:val="003517E3"/>
    <w:rsid w:val="0036031B"/>
    <w:rsid w:val="00360D56"/>
    <w:rsid w:val="003679F3"/>
    <w:rsid w:val="00367E17"/>
    <w:rsid w:val="00370DC6"/>
    <w:rsid w:val="00375075"/>
    <w:rsid w:val="00377A0D"/>
    <w:rsid w:val="00381D3D"/>
    <w:rsid w:val="00393C5B"/>
    <w:rsid w:val="00394A8B"/>
    <w:rsid w:val="00396BD2"/>
    <w:rsid w:val="003A6ED5"/>
    <w:rsid w:val="003B581A"/>
    <w:rsid w:val="003B5952"/>
    <w:rsid w:val="003C4EC7"/>
    <w:rsid w:val="003E0756"/>
    <w:rsid w:val="003F008F"/>
    <w:rsid w:val="00400B0C"/>
    <w:rsid w:val="00401BDB"/>
    <w:rsid w:val="00407ECF"/>
    <w:rsid w:val="004261BE"/>
    <w:rsid w:val="00450B72"/>
    <w:rsid w:val="00466A79"/>
    <w:rsid w:val="004C045F"/>
    <w:rsid w:val="004F3A30"/>
    <w:rsid w:val="0051064A"/>
    <w:rsid w:val="00520A36"/>
    <w:rsid w:val="0052607E"/>
    <w:rsid w:val="0053060B"/>
    <w:rsid w:val="0054058E"/>
    <w:rsid w:val="00557A97"/>
    <w:rsid w:val="00560F31"/>
    <w:rsid w:val="00566052"/>
    <w:rsid w:val="00570DA9"/>
    <w:rsid w:val="0057210D"/>
    <w:rsid w:val="0057760C"/>
    <w:rsid w:val="00580709"/>
    <w:rsid w:val="00583BC8"/>
    <w:rsid w:val="005902F1"/>
    <w:rsid w:val="0059162E"/>
    <w:rsid w:val="00597748"/>
    <w:rsid w:val="005A1F52"/>
    <w:rsid w:val="005B6845"/>
    <w:rsid w:val="005C7551"/>
    <w:rsid w:val="005E255F"/>
    <w:rsid w:val="005E3471"/>
    <w:rsid w:val="005E5724"/>
    <w:rsid w:val="005E5C1D"/>
    <w:rsid w:val="006058E1"/>
    <w:rsid w:val="00610CBA"/>
    <w:rsid w:val="006354B7"/>
    <w:rsid w:val="00662588"/>
    <w:rsid w:val="00686738"/>
    <w:rsid w:val="00697E28"/>
    <w:rsid w:val="006A0E2E"/>
    <w:rsid w:val="006A5329"/>
    <w:rsid w:val="006B3E8F"/>
    <w:rsid w:val="006B554B"/>
    <w:rsid w:val="006B5658"/>
    <w:rsid w:val="006C141B"/>
    <w:rsid w:val="006C186C"/>
    <w:rsid w:val="006C1A65"/>
    <w:rsid w:val="006C5823"/>
    <w:rsid w:val="006D0FD4"/>
    <w:rsid w:val="006E22EB"/>
    <w:rsid w:val="00700E6F"/>
    <w:rsid w:val="007039AC"/>
    <w:rsid w:val="007113DE"/>
    <w:rsid w:val="00721D54"/>
    <w:rsid w:val="0072591C"/>
    <w:rsid w:val="00737A0F"/>
    <w:rsid w:val="00740BFE"/>
    <w:rsid w:val="00742470"/>
    <w:rsid w:val="00755E96"/>
    <w:rsid w:val="007567D5"/>
    <w:rsid w:val="00786652"/>
    <w:rsid w:val="00794D54"/>
    <w:rsid w:val="007A453A"/>
    <w:rsid w:val="007B6DA4"/>
    <w:rsid w:val="007C0552"/>
    <w:rsid w:val="007E1109"/>
    <w:rsid w:val="007E463D"/>
    <w:rsid w:val="007F5694"/>
    <w:rsid w:val="00801B90"/>
    <w:rsid w:val="00826390"/>
    <w:rsid w:val="0083113E"/>
    <w:rsid w:val="00837447"/>
    <w:rsid w:val="008407C0"/>
    <w:rsid w:val="00841172"/>
    <w:rsid w:val="00865AFE"/>
    <w:rsid w:val="00874BD0"/>
    <w:rsid w:val="008A50D6"/>
    <w:rsid w:val="008F14A0"/>
    <w:rsid w:val="008F1EB1"/>
    <w:rsid w:val="008F638C"/>
    <w:rsid w:val="008F7309"/>
    <w:rsid w:val="00900DFB"/>
    <w:rsid w:val="00903D6F"/>
    <w:rsid w:val="0090687B"/>
    <w:rsid w:val="009154E7"/>
    <w:rsid w:val="00944B46"/>
    <w:rsid w:val="00946888"/>
    <w:rsid w:val="009610C6"/>
    <w:rsid w:val="00961ACD"/>
    <w:rsid w:val="00974921"/>
    <w:rsid w:val="00982919"/>
    <w:rsid w:val="00995800"/>
    <w:rsid w:val="009964D1"/>
    <w:rsid w:val="009A0FA3"/>
    <w:rsid w:val="009A3FBF"/>
    <w:rsid w:val="009A5D8A"/>
    <w:rsid w:val="009B2511"/>
    <w:rsid w:val="009C1521"/>
    <w:rsid w:val="009C17A5"/>
    <w:rsid w:val="009C3F22"/>
    <w:rsid w:val="009C5B98"/>
    <w:rsid w:val="009D4BEE"/>
    <w:rsid w:val="009D5023"/>
    <w:rsid w:val="009E6979"/>
    <w:rsid w:val="009F2F3C"/>
    <w:rsid w:val="00A043D4"/>
    <w:rsid w:val="00A06D70"/>
    <w:rsid w:val="00A11626"/>
    <w:rsid w:val="00A33577"/>
    <w:rsid w:val="00A37773"/>
    <w:rsid w:val="00A506FF"/>
    <w:rsid w:val="00A5336F"/>
    <w:rsid w:val="00A56A7D"/>
    <w:rsid w:val="00A844FD"/>
    <w:rsid w:val="00A94067"/>
    <w:rsid w:val="00AA13B6"/>
    <w:rsid w:val="00AB002C"/>
    <w:rsid w:val="00AB4CFA"/>
    <w:rsid w:val="00AD6E2B"/>
    <w:rsid w:val="00B0546B"/>
    <w:rsid w:val="00B12FF1"/>
    <w:rsid w:val="00B16DA5"/>
    <w:rsid w:val="00B2305F"/>
    <w:rsid w:val="00B24A69"/>
    <w:rsid w:val="00B37E17"/>
    <w:rsid w:val="00B43D28"/>
    <w:rsid w:val="00B45C7E"/>
    <w:rsid w:val="00B51536"/>
    <w:rsid w:val="00B64C74"/>
    <w:rsid w:val="00BA00D1"/>
    <w:rsid w:val="00BA4898"/>
    <w:rsid w:val="00BC3375"/>
    <w:rsid w:val="00BC4E4B"/>
    <w:rsid w:val="00BD220D"/>
    <w:rsid w:val="00BE56CE"/>
    <w:rsid w:val="00BE713A"/>
    <w:rsid w:val="00BE79A3"/>
    <w:rsid w:val="00C169A5"/>
    <w:rsid w:val="00C26D29"/>
    <w:rsid w:val="00C4235A"/>
    <w:rsid w:val="00C56004"/>
    <w:rsid w:val="00C701B5"/>
    <w:rsid w:val="00C747A3"/>
    <w:rsid w:val="00C77DDD"/>
    <w:rsid w:val="00C87159"/>
    <w:rsid w:val="00C90804"/>
    <w:rsid w:val="00CA23DA"/>
    <w:rsid w:val="00CC0390"/>
    <w:rsid w:val="00CC39FF"/>
    <w:rsid w:val="00CD1D89"/>
    <w:rsid w:val="00CD2B06"/>
    <w:rsid w:val="00CE0AA2"/>
    <w:rsid w:val="00CF7FF0"/>
    <w:rsid w:val="00D05A1F"/>
    <w:rsid w:val="00D302A8"/>
    <w:rsid w:val="00D349AF"/>
    <w:rsid w:val="00D44375"/>
    <w:rsid w:val="00D45FF1"/>
    <w:rsid w:val="00D50AC2"/>
    <w:rsid w:val="00D51329"/>
    <w:rsid w:val="00D557E3"/>
    <w:rsid w:val="00D57BD1"/>
    <w:rsid w:val="00D61279"/>
    <w:rsid w:val="00D64EF2"/>
    <w:rsid w:val="00D70D34"/>
    <w:rsid w:val="00D71F29"/>
    <w:rsid w:val="00D738A7"/>
    <w:rsid w:val="00D742E7"/>
    <w:rsid w:val="00DA3EC4"/>
    <w:rsid w:val="00DC08C8"/>
    <w:rsid w:val="00DE1605"/>
    <w:rsid w:val="00E0689F"/>
    <w:rsid w:val="00E10E23"/>
    <w:rsid w:val="00E1284F"/>
    <w:rsid w:val="00E20EF0"/>
    <w:rsid w:val="00E2125F"/>
    <w:rsid w:val="00E21938"/>
    <w:rsid w:val="00E31849"/>
    <w:rsid w:val="00E47B38"/>
    <w:rsid w:val="00E574E4"/>
    <w:rsid w:val="00E61E6F"/>
    <w:rsid w:val="00E64AFD"/>
    <w:rsid w:val="00E6511F"/>
    <w:rsid w:val="00E7337D"/>
    <w:rsid w:val="00E73FE0"/>
    <w:rsid w:val="00E83080"/>
    <w:rsid w:val="00E96860"/>
    <w:rsid w:val="00EA5549"/>
    <w:rsid w:val="00EA68DC"/>
    <w:rsid w:val="00EB1A23"/>
    <w:rsid w:val="00EC1D5B"/>
    <w:rsid w:val="00EC61A5"/>
    <w:rsid w:val="00ED49EE"/>
    <w:rsid w:val="00EE626A"/>
    <w:rsid w:val="00EE63CA"/>
    <w:rsid w:val="00EF4EA8"/>
    <w:rsid w:val="00EF7B7C"/>
    <w:rsid w:val="00F02BCA"/>
    <w:rsid w:val="00F12DBC"/>
    <w:rsid w:val="00F25758"/>
    <w:rsid w:val="00F400AE"/>
    <w:rsid w:val="00F404C7"/>
    <w:rsid w:val="00F4181C"/>
    <w:rsid w:val="00F43179"/>
    <w:rsid w:val="00F500FA"/>
    <w:rsid w:val="00F639D4"/>
    <w:rsid w:val="00F76E29"/>
    <w:rsid w:val="00F77E4D"/>
    <w:rsid w:val="00F90A2B"/>
    <w:rsid w:val="00F90DEA"/>
    <w:rsid w:val="00F93974"/>
    <w:rsid w:val="00FA500C"/>
    <w:rsid w:val="00FB55AB"/>
    <w:rsid w:val="00FB7005"/>
    <w:rsid w:val="00FC3F05"/>
    <w:rsid w:val="00FC4D46"/>
    <w:rsid w:val="00FF4BD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6B1A9"/>
  <w15:docId w15:val="{52138AB6-DB94-4DC8-B682-F74AA39D2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66258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link w:val="Nagwek2Znak"/>
    <w:uiPriority w:val="9"/>
    <w:qFormat/>
    <w:rsid w:val="00E21938"/>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paragraph" w:styleId="Nagwek4">
    <w:name w:val="heading 4"/>
    <w:basedOn w:val="Normalny"/>
    <w:next w:val="Normalny"/>
    <w:link w:val="Nagwek4Znak"/>
    <w:uiPriority w:val="9"/>
    <w:semiHidden/>
    <w:unhideWhenUsed/>
    <w:qFormat/>
    <w:rsid w:val="00EC61A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B05F1"/>
    <w:pPr>
      <w:spacing w:line="256" w:lineRule="auto"/>
      <w:ind w:left="708"/>
    </w:pPr>
    <w:rPr>
      <w:rFonts w:ascii="Calibri" w:eastAsia="Calibri" w:hAnsi="Calibri" w:cs="Times New Roman"/>
    </w:rPr>
  </w:style>
  <w:style w:type="paragraph" w:styleId="NormalnyWeb">
    <w:name w:val="Normal (Web)"/>
    <w:basedOn w:val="Normalny"/>
    <w:uiPriority w:val="99"/>
    <w:unhideWhenUsed/>
    <w:qFormat/>
    <w:rsid w:val="001B05F1"/>
    <w:pPr>
      <w:spacing w:line="256" w:lineRule="auto"/>
    </w:pPr>
    <w:rPr>
      <w:rFonts w:ascii="Times New Roman" w:eastAsia="Calibri" w:hAnsi="Times New Roman" w:cs="Times New Roman"/>
      <w:sz w:val="24"/>
      <w:szCs w:val="24"/>
    </w:rPr>
  </w:style>
  <w:style w:type="paragraph" w:customStyle="1" w:styleId="Default">
    <w:name w:val="Default"/>
    <w:rsid w:val="002B3E88"/>
    <w:pPr>
      <w:autoSpaceDE w:val="0"/>
      <w:autoSpaceDN w:val="0"/>
      <w:adjustRightInd w:val="0"/>
      <w:spacing w:after="0" w:line="240" w:lineRule="auto"/>
    </w:pPr>
    <w:rPr>
      <w:rFonts w:ascii="Arial" w:hAnsi="Arial" w:cs="Arial"/>
      <w:color w:val="000000"/>
      <w:sz w:val="24"/>
      <w:szCs w:val="24"/>
    </w:rPr>
  </w:style>
  <w:style w:type="character" w:styleId="Hipercze">
    <w:name w:val="Hyperlink"/>
    <w:basedOn w:val="Domylnaczcionkaakapitu"/>
    <w:uiPriority w:val="99"/>
    <w:unhideWhenUsed/>
    <w:rsid w:val="0090687B"/>
    <w:rPr>
      <w:color w:val="0000FF"/>
      <w:u w:val="single"/>
    </w:rPr>
  </w:style>
  <w:style w:type="character" w:customStyle="1" w:styleId="Teksttreci">
    <w:name w:val="Tekst treści_"/>
    <w:basedOn w:val="Domylnaczcionkaakapitu"/>
    <w:link w:val="Teksttreci0"/>
    <w:rsid w:val="00E1284F"/>
    <w:rPr>
      <w:rFonts w:ascii="Times New Roman" w:eastAsia="Times New Roman" w:hAnsi="Times New Roman" w:cs="Times New Roman"/>
      <w:shd w:val="clear" w:color="auto" w:fill="FFFFFF"/>
    </w:rPr>
  </w:style>
  <w:style w:type="paragraph" w:customStyle="1" w:styleId="Teksttreci0">
    <w:name w:val="Tekst treści"/>
    <w:basedOn w:val="Normalny"/>
    <w:link w:val="Teksttreci"/>
    <w:rsid w:val="00E1284F"/>
    <w:pPr>
      <w:widowControl w:val="0"/>
      <w:shd w:val="clear" w:color="auto" w:fill="FFFFFF"/>
      <w:spacing w:after="300" w:line="276" w:lineRule="auto"/>
      <w:ind w:firstLine="400"/>
      <w:jc w:val="both"/>
    </w:pPr>
    <w:rPr>
      <w:rFonts w:ascii="Times New Roman" w:eastAsia="Times New Roman" w:hAnsi="Times New Roman" w:cs="Times New Roman"/>
    </w:rPr>
  </w:style>
  <w:style w:type="character" w:customStyle="1" w:styleId="Stopka">
    <w:name w:val="Stopka_"/>
    <w:basedOn w:val="Domylnaczcionkaakapitu"/>
    <w:link w:val="Stopka1"/>
    <w:rsid w:val="00AB002C"/>
    <w:rPr>
      <w:rFonts w:ascii="Arial" w:eastAsia="Arial" w:hAnsi="Arial" w:cs="Arial"/>
      <w:sz w:val="20"/>
      <w:szCs w:val="20"/>
      <w:shd w:val="clear" w:color="auto" w:fill="FFFFFF"/>
    </w:rPr>
  </w:style>
  <w:style w:type="paragraph" w:customStyle="1" w:styleId="Stopka1">
    <w:name w:val="Stopka1"/>
    <w:basedOn w:val="Normalny"/>
    <w:link w:val="Stopka"/>
    <w:rsid w:val="00AB002C"/>
    <w:pPr>
      <w:widowControl w:val="0"/>
      <w:shd w:val="clear" w:color="auto" w:fill="FFFFFF"/>
      <w:spacing w:after="0" w:line="240" w:lineRule="auto"/>
      <w:jc w:val="both"/>
    </w:pPr>
    <w:rPr>
      <w:rFonts w:ascii="Arial" w:eastAsia="Arial" w:hAnsi="Arial" w:cs="Arial"/>
      <w:sz w:val="20"/>
      <w:szCs w:val="20"/>
    </w:rPr>
  </w:style>
  <w:style w:type="character" w:customStyle="1" w:styleId="Nagwek10">
    <w:name w:val="Nagłówek #1_"/>
    <w:basedOn w:val="Domylnaczcionkaakapitu"/>
    <w:link w:val="Nagwek11"/>
    <w:rsid w:val="00E73FE0"/>
    <w:rPr>
      <w:rFonts w:ascii="Arial" w:eastAsia="Arial" w:hAnsi="Arial" w:cs="Arial"/>
      <w:b/>
      <w:bCs/>
      <w:shd w:val="clear" w:color="auto" w:fill="FFFFFF"/>
    </w:rPr>
  </w:style>
  <w:style w:type="paragraph" w:customStyle="1" w:styleId="Nagwek11">
    <w:name w:val="Nagłówek #1"/>
    <w:basedOn w:val="Normalny"/>
    <w:link w:val="Nagwek10"/>
    <w:rsid w:val="00E73FE0"/>
    <w:pPr>
      <w:widowControl w:val="0"/>
      <w:shd w:val="clear" w:color="auto" w:fill="FFFFFF"/>
      <w:spacing w:after="400" w:line="360" w:lineRule="auto"/>
      <w:ind w:left="370"/>
      <w:outlineLvl w:val="0"/>
    </w:pPr>
    <w:rPr>
      <w:rFonts w:ascii="Arial" w:eastAsia="Arial" w:hAnsi="Arial" w:cs="Arial"/>
      <w:b/>
      <w:bCs/>
    </w:rPr>
  </w:style>
  <w:style w:type="paragraph" w:styleId="Nagwek">
    <w:name w:val="header"/>
    <w:basedOn w:val="Normalny"/>
    <w:link w:val="NagwekZnak"/>
    <w:uiPriority w:val="99"/>
    <w:unhideWhenUsed/>
    <w:rsid w:val="008407C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407C0"/>
  </w:style>
  <w:style w:type="paragraph" w:styleId="Stopka0">
    <w:name w:val="footer"/>
    <w:basedOn w:val="Normalny"/>
    <w:link w:val="StopkaZnak"/>
    <w:uiPriority w:val="99"/>
    <w:unhideWhenUsed/>
    <w:rsid w:val="008407C0"/>
    <w:pPr>
      <w:tabs>
        <w:tab w:val="center" w:pos="4536"/>
        <w:tab w:val="right" w:pos="9072"/>
      </w:tabs>
      <w:spacing w:after="0" w:line="240" w:lineRule="auto"/>
    </w:pPr>
  </w:style>
  <w:style w:type="character" w:customStyle="1" w:styleId="StopkaZnak">
    <w:name w:val="Stopka Znak"/>
    <w:basedOn w:val="Domylnaczcionkaakapitu"/>
    <w:link w:val="Stopka0"/>
    <w:uiPriority w:val="99"/>
    <w:rsid w:val="008407C0"/>
  </w:style>
  <w:style w:type="character" w:customStyle="1" w:styleId="Nagweklubstopka2">
    <w:name w:val="Nagłówek lub stopka (2)_"/>
    <w:basedOn w:val="Domylnaczcionkaakapitu"/>
    <w:link w:val="Nagweklubstopka20"/>
    <w:rsid w:val="00A506FF"/>
    <w:rPr>
      <w:rFonts w:ascii="Times New Roman" w:eastAsia="Times New Roman" w:hAnsi="Times New Roman" w:cs="Times New Roman"/>
      <w:sz w:val="20"/>
      <w:szCs w:val="20"/>
      <w:shd w:val="clear" w:color="auto" w:fill="FFFFFF"/>
    </w:rPr>
  </w:style>
  <w:style w:type="character" w:customStyle="1" w:styleId="Nagwek20">
    <w:name w:val="Nagłówek #2_"/>
    <w:basedOn w:val="Domylnaczcionkaakapitu"/>
    <w:link w:val="Nagwek21"/>
    <w:rsid w:val="00A506FF"/>
    <w:rPr>
      <w:rFonts w:ascii="Arial" w:eastAsia="Arial" w:hAnsi="Arial" w:cs="Arial"/>
      <w:w w:val="80"/>
      <w:sz w:val="30"/>
      <w:szCs w:val="30"/>
      <w:shd w:val="clear" w:color="auto" w:fill="FFFFFF"/>
    </w:rPr>
  </w:style>
  <w:style w:type="character" w:customStyle="1" w:styleId="Teksttreci2">
    <w:name w:val="Tekst treści (2)_"/>
    <w:basedOn w:val="Domylnaczcionkaakapitu"/>
    <w:link w:val="Teksttreci20"/>
    <w:rsid w:val="00A506FF"/>
    <w:rPr>
      <w:rFonts w:ascii="Arial" w:eastAsia="Arial" w:hAnsi="Arial" w:cs="Arial"/>
      <w:sz w:val="16"/>
      <w:szCs w:val="16"/>
      <w:shd w:val="clear" w:color="auto" w:fill="FFFFFF"/>
    </w:rPr>
  </w:style>
  <w:style w:type="character" w:customStyle="1" w:styleId="Podpisobrazu">
    <w:name w:val="Podpis obrazu_"/>
    <w:basedOn w:val="Domylnaczcionkaakapitu"/>
    <w:link w:val="Podpisobrazu0"/>
    <w:rsid w:val="00A506FF"/>
    <w:rPr>
      <w:rFonts w:ascii="Arial" w:eastAsia="Arial" w:hAnsi="Arial" w:cs="Arial"/>
      <w:sz w:val="16"/>
      <w:szCs w:val="16"/>
      <w:shd w:val="clear" w:color="auto" w:fill="FFFFFF"/>
    </w:rPr>
  </w:style>
  <w:style w:type="paragraph" w:customStyle="1" w:styleId="Nagweklubstopka20">
    <w:name w:val="Nagłówek lub stopka (2)"/>
    <w:basedOn w:val="Normalny"/>
    <w:link w:val="Nagweklubstopka2"/>
    <w:rsid w:val="00A506FF"/>
    <w:pPr>
      <w:widowControl w:val="0"/>
      <w:shd w:val="clear" w:color="auto" w:fill="FFFFFF"/>
      <w:spacing w:after="0" w:line="240" w:lineRule="auto"/>
    </w:pPr>
    <w:rPr>
      <w:rFonts w:ascii="Times New Roman" w:eastAsia="Times New Roman" w:hAnsi="Times New Roman" w:cs="Times New Roman"/>
      <w:sz w:val="20"/>
      <w:szCs w:val="20"/>
    </w:rPr>
  </w:style>
  <w:style w:type="paragraph" w:customStyle="1" w:styleId="Nagwek21">
    <w:name w:val="Nagłówek #2"/>
    <w:basedOn w:val="Normalny"/>
    <w:link w:val="Nagwek20"/>
    <w:rsid w:val="00A506FF"/>
    <w:pPr>
      <w:widowControl w:val="0"/>
      <w:shd w:val="clear" w:color="auto" w:fill="FFFFFF"/>
      <w:spacing w:after="490" w:line="240" w:lineRule="auto"/>
      <w:jc w:val="center"/>
      <w:outlineLvl w:val="1"/>
    </w:pPr>
    <w:rPr>
      <w:rFonts w:ascii="Arial" w:eastAsia="Arial" w:hAnsi="Arial" w:cs="Arial"/>
      <w:w w:val="80"/>
      <w:sz w:val="30"/>
      <w:szCs w:val="30"/>
    </w:rPr>
  </w:style>
  <w:style w:type="paragraph" w:customStyle="1" w:styleId="Teksttreci20">
    <w:name w:val="Tekst treści (2)"/>
    <w:basedOn w:val="Normalny"/>
    <w:link w:val="Teksttreci2"/>
    <w:rsid w:val="00A506FF"/>
    <w:pPr>
      <w:widowControl w:val="0"/>
      <w:shd w:val="clear" w:color="auto" w:fill="FFFFFF"/>
      <w:spacing w:after="0" w:line="240" w:lineRule="auto"/>
      <w:ind w:right="3680"/>
    </w:pPr>
    <w:rPr>
      <w:rFonts w:ascii="Arial" w:eastAsia="Arial" w:hAnsi="Arial" w:cs="Arial"/>
      <w:sz w:val="16"/>
      <w:szCs w:val="16"/>
    </w:rPr>
  </w:style>
  <w:style w:type="paragraph" w:customStyle="1" w:styleId="Podpisobrazu0">
    <w:name w:val="Podpis obrazu"/>
    <w:basedOn w:val="Normalny"/>
    <w:link w:val="Podpisobrazu"/>
    <w:rsid w:val="00A506FF"/>
    <w:pPr>
      <w:widowControl w:val="0"/>
      <w:shd w:val="clear" w:color="auto" w:fill="FFFFFF"/>
      <w:spacing w:after="0" w:line="206" w:lineRule="auto"/>
    </w:pPr>
    <w:rPr>
      <w:rFonts w:ascii="Arial" w:eastAsia="Arial" w:hAnsi="Arial" w:cs="Arial"/>
      <w:sz w:val="16"/>
      <w:szCs w:val="16"/>
    </w:rPr>
  </w:style>
  <w:style w:type="character" w:styleId="Pogrubienie">
    <w:name w:val="Strong"/>
    <w:basedOn w:val="Domylnaczcionkaakapitu"/>
    <w:uiPriority w:val="22"/>
    <w:qFormat/>
    <w:rsid w:val="00E0689F"/>
    <w:rPr>
      <w:b/>
      <w:bCs/>
    </w:rPr>
  </w:style>
  <w:style w:type="paragraph" w:customStyle="1" w:styleId="TitleStyle">
    <w:name w:val="TitleStyle"/>
    <w:rsid w:val="00117085"/>
    <w:pPr>
      <w:spacing w:after="200" w:line="240" w:lineRule="auto"/>
    </w:pPr>
    <w:rPr>
      <w:rFonts w:ascii="Times New Roman" w:eastAsia="Times New Roman" w:hAnsi="Times New Roman" w:cs="Times New Roman"/>
      <w:b/>
      <w:color w:val="000000" w:themeColor="text1"/>
      <w:sz w:val="24"/>
      <w:lang w:eastAsia="pl-PL"/>
    </w:rPr>
  </w:style>
  <w:style w:type="character" w:customStyle="1" w:styleId="info-list-value-uzasadnienie">
    <w:name w:val="info-list-value-uzasadnienie"/>
    <w:basedOn w:val="Domylnaczcionkaakapitu"/>
    <w:rsid w:val="007B6DA4"/>
  </w:style>
  <w:style w:type="character" w:customStyle="1" w:styleId="luchili">
    <w:name w:val="luc_hili"/>
    <w:basedOn w:val="Domylnaczcionkaakapitu"/>
    <w:rsid w:val="005E5724"/>
  </w:style>
  <w:style w:type="character" w:styleId="UyteHipercze">
    <w:name w:val="FollowedHyperlink"/>
    <w:basedOn w:val="Domylnaczcionkaakapitu"/>
    <w:uiPriority w:val="99"/>
    <w:semiHidden/>
    <w:unhideWhenUsed/>
    <w:rsid w:val="000978FD"/>
    <w:rPr>
      <w:color w:val="954F72" w:themeColor="followedHyperlink"/>
      <w:u w:val="single"/>
    </w:rPr>
  </w:style>
  <w:style w:type="character" w:customStyle="1" w:styleId="Nagwek2Znak">
    <w:name w:val="Nagłówek 2 Znak"/>
    <w:basedOn w:val="Domylnaczcionkaakapitu"/>
    <w:link w:val="Nagwek2"/>
    <w:uiPriority w:val="9"/>
    <w:rsid w:val="00E21938"/>
    <w:rPr>
      <w:rFonts w:ascii="Times New Roman" w:eastAsia="Times New Roman" w:hAnsi="Times New Roman" w:cs="Times New Roman"/>
      <w:b/>
      <w:bCs/>
      <w:sz w:val="36"/>
      <w:szCs w:val="36"/>
      <w:lang w:eastAsia="pl-PL"/>
    </w:rPr>
  </w:style>
  <w:style w:type="paragraph" w:customStyle="1" w:styleId="przyklad">
    <w:name w:val="przyklad"/>
    <w:basedOn w:val="Normalny"/>
    <w:rsid w:val="00E21938"/>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wydatnienie">
    <w:name w:val="Emphasis"/>
    <w:basedOn w:val="Domylnaczcionkaakapitu"/>
    <w:uiPriority w:val="20"/>
    <w:qFormat/>
    <w:rsid w:val="00E21938"/>
    <w:rPr>
      <w:i/>
      <w:iCs/>
    </w:rPr>
  </w:style>
  <w:style w:type="paragraph" w:customStyle="1" w:styleId="Pa0">
    <w:name w:val="Pa0"/>
    <w:basedOn w:val="Default"/>
    <w:next w:val="Default"/>
    <w:uiPriority w:val="99"/>
    <w:rsid w:val="00982919"/>
    <w:pPr>
      <w:spacing w:line="214" w:lineRule="atLeast"/>
    </w:pPr>
    <w:rPr>
      <w:rFonts w:ascii="Times New Roman" w:hAnsi="Times New Roman" w:cs="Times New Roman"/>
      <w:color w:val="auto"/>
    </w:rPr>
  </w:style>
  <w:style w:type="character" w:customStyle="1" w:styleId="A7">
    <w:name w:val="A7"/>
    <w:uiPriority w:val="99"/>
    <w:rsid w:val="00982919"/>
    <w:rPr>
      <w:color w:val="000000"/>
      <w:sz w:val="12"/>
      <w:szCs w:val="12"/>
    </w:rPr>
  </w:style>
  <w:style w:type="paragraph" w:customStyle="1" w:styleId="Pa1">
    <w:name w:val="Pa1"/>
    <w:basedOn w:val="Default"/>
    <w:next w:val="Default"/>
    <w:uiPriority w:val="99"/>
    <w:rsid w:val="00982919"/>
    <w:pPr>
      <w:spacing w:line="214" w:lineRule="atLeast"/>
    </w:pPr>
    <w:rPr>
      <w:rFonts w:ascii="Times New Roman" w:hAnsi="Times New Roman" w:cs="Times New Roman"/>
      <w:color w:val="auto"/>
    </w:rPr>
  </w:style>
  <w:style w:type="character" w:customStyle="1" w:styleId="A0">
    <w:name w:val="A0"/>
    <w:uiPriority w:val="99"/>
    <w:rsid w:val="00982919"/>
    <w:rPr>
      <w:b/>
      <w:bCs/>
      <w:color w:val="000000"/>
      <w:sz w:val="38"/>
      <w:szCs w:val="38"/>
    </w:rPr>
  </w:style>
  <w:style w:type="character" w:customStyle="1" w:styleId="wcag-hide">
    <w:name w:val="wcag-hide"/>
    <w:basedOn w:val="Domylnaczcionkaakapitu"/>
    <w:rsid w:val="00737A0F"/>
  </w:style>
  <w:style w:type="character" w:customStyle="1" w:styleId="zielonybold">
    <w:name w:val="zielonybold"/>
    <w:basedOn w:val="Domylnaczcionkaakapitu"/>
    <w:rsid w:val="00737A0F"/>
  </w:style>
  <w:style w:type="character" w:customStyle="1" w:styleId="txt-old">
    <w:name w:val="txt-old"/>
    <w:basedOn w:val="Domylnaczcionkaakapitu"/>
    <w:rsid w:val="00961ACD"/>
  </w:style>
  <w:style w:type="character" w:customStyle="1" w:styleId="txt-new">
    <w:name w:val="txt-new"/>
    <w:basedOn w:val="Domylnaczcionkaakapitu"/>
    <w:rsid w:val="00961ACD"/>
  </w:style>
  <w:style w:type="paragraph" w:styleId="Tekstprzypisukocowego">
    <w:name w:val="endnote text"/>
    <w:basedOn w:val="Normalny"/>
    <w:link w:val="TekstprzypisukocowegoZnak"/>
    <w:uiPriority w:val="99"/>
    <w:semiHidden/>
    <w:unhideWhenUsed/>
    <w:rsid w:val="0001069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10695"/>
    <w:rPr>
      <w:sz w:val="20"/>
      <w:szCs w:val="20"/>
    </w:rPr>
  </w:style>
  <w:style w:type="character" w:styleId="Odwoanieprzypisukocowego">
    <w:name w:val="endnote reference"/>
    <w:basedOn w:val="Domylnaczcionkaakapitu"/>
    <w:uiPriority w:val="99"/>
    <w:semiHidden/>
    <w:unhideWhenUsed/>
    <w:rsid w:val="00010695"/>
    <w:rPr>
      <w:vertAlign w:val="superscript"/>
    </w:rPr>
  </w:style>
  <w:style w:type="paragraph" w:styleId="Tekstprzypisudolnego">
    <w:name w:val="footnote text"/>
    <w:basedOn w:val="Normalny"/>
    <w:link w:val="TekstprzypisudolnegoZnak"/>
    <w:uiPriority w:val="99"/>
    <w:semiHidden/>
    <w:unhideWhenUsed/>
    <w:rsid w:val="00E31849"/>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E31849"/>
    <w:rPr>
      <w:sz w:val="20"/>
      <w:szCs w:val="20"/>
    </w:rPr>
  </w:style>
  <w:style w:type="character" w:styleId="Odwoanieprzypisudolnego">
    <w:name w:val="footnote reference"/>
    <w:basedOn w:val="Domylnaczcionkaakapitu"/>
    <w:uiPriority w:val="99"/>
    <w:semiHidden/>
    <w:unhideWhenUsed/>
    <w:rsid w:val="00E31849"/>
    <w:rPr>
      <w:vertAlign w:val="superscript"/>
    </w:rPr>
  </w:style>
  <w:style w:type="character" w:customStyle="1" w:styleId="Nagwek1Znak">
    <w:name w:val="Nagłówek 1 Znak"/>
    <w:basedOn w:val="Domylnaczcionkaakapitu"/>
    <w:link w:val="Nagwek1"/>
    <w:uiPriority w:val="9"/>
    <w:rsid w:val="00662588"/>
    <w:rPr>
      <w:rFonts w:asciiTheme="majorHAnsi" w:eastAsiaTheme="majorEastAsia" w:hAnsiTheme="majorHAnsi" w:cstheme="majorBidi"/>
      <w:color w:val="2E74B5" w:themeColor="accent1" w:themeShade="BF"/>
      <w:sz w:val="32"/>
      <w:szCs w:val="32"/>
    </w:rPr>
  </w:style>
  <w:style w:type="paragraph" w:customStyle="1" w:styleId="ARTartustawynprozporzdzenia">
    <w:name w:val="ART(§) – art. ustawy (§ np. rozporządzenia)"/>
    <w:uiPriority w:val="11"/>
    <w:qFormat/>
    <w:rsid w:val="00D5132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A2">
    <w:name w:val="A2"/>
    <w:uiPriority w:val="99"/>
    <w:rsid w:val="00BC3375"/>
    <w:rPr>
      <w:rFonts w:cs="Minion Pro"/>
      <w:b/>
      <w:bCs/>
      <w:color w:val="000000"/>
      <w:sz w:val="12"/>
      <w:szCs w:val="12"/>
    </w:rPr>
  </w:style>
  <w:style w:type="paragraph" w:customStyle="1" w:styleId="Pa2">
    <w:name w:val="Pa2"/>
    <w:basedOn w:val="Default"/>
    <w:next w:val="Default"/>
    <w:uiPriority w:val="99"/>
    <w:rsid w:val="00BC3375"/>
    <w:pPr>
      <w:spacing w:line="301" w:lineRule="atLeast"/>
    </w:pPr>
    <w:rPr>
      <w:rFonts w:ascii="Minion Pro" w:hAnsi="Minion Pro" w:cstheme="minorBidi"/>
      <w:color w:val="auto"/>
    </w:rPr>
  </w:style>
  <w:style w:type="paragraph" w:styleId="Tekstdymka">
    <w:name w:val="Balloon Text"/>
    <w:basedOn w:val="Normalny"/>
    <w:link w:val="TekstdymkaZnak"/>
    <w:uiPriority w:val="99"/>
    <w:semiHidden/>
    <w:unhideWhenUsed/>
    <w:rsid w:val="002B6D4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B6D47"/>
    <w:rPr>
      <w:rFonts w:ascii="Segoe UI" w:hAnsi="Segoe UI" w:cs="Segoe UI"/>
      <w:sz w:val="18"/>
      <w:szCs w:val="18"/>
    </w:rPr>
  </w:style>
  <w:style w:type="character" w:styleId="Odwoaniedokomentarza">
    <w:name w:val="annotation reference"/>
    <w:basedOn w:val="Domylnaczcionkaakapitu"/>
    <w:uiPriority w:val="99"/>
    <w:semiHidden/>
    <w:unhideWhenUsed/>
    <w:rsid w:val="00BC4E4B"/>
    <w:rPr>
      <w:sz w:val="16"/>
      <w:szCs w:val="16"/>
    </w:rPr>
  </w:style>
  <w:style w:type="paragraph" w:styleId="Tekstkomentarza">
    <w:name w:val="annotation text"/>
    <w:basedOn w:val="Normalny"/>
    <w:link w:val="TekstkomentarzaZnak"/>
    <w:uiPriority w:val="99"/>
    <w:semiHidden/>
    <w:unhideWhenUsed/>
    <w:rsid w:val="00BC4E4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C4E4B"/>
    <w:rPr>
      <w:sz w:val="20"/>
      <w:szCs w:val="20"/>
    </w:rPr>
  </w:style>
  <w:style w:type="paragraph" w:styleId="Tematkomentarza">
    <w:name w:val="annotation subject"/>
    <w:basedOn w:val="Tekstkomentarza"/>
    <w:next w:val="Tekstkomentarza"/>
    <w:link w:val="TematkomentarzaZnak"/>
    <w:uiPriority w:val="99"/>
    <w:semiHidden/>
    <w:unhideWhenUsed/>
    <w:rsid w:val="00BC4E4B"/>
    <w:rPr>
      <w:b/>
      <w:bCs/>
    </w:rPr>
  </w:style>
  <w:style w:type="character" w:customStyle="1" w:styleId="TematkomentarzaZnak">
    <w:name w:val="Temat komentarza Znak"/>
    <w:basedOn w:val="TekstkomentarzaZnak"/>
    <w:link w:val="Tematkomentarza"/>
    <w:uiPriority w:val="99"/>
    <w:semiHidden/>
    <w:rsid w:val="00BC4E4B"/>
    <w:rPr>
      <w:b/>
      <w:bCs/>
      <w:sz w:val="20"/>
      <w:szCs w:val="20"/>
    </w:rPr>
  </w:style>
  <w:style w:type="character" w:customStyle="1" w:styleId="Nagwek4Znak">
    <w:name w:val="Nagłówek 4 Znak"/>
    <w:basedOn w:val="Domylnaczcionkaakapitu"/>
    <w:link w:val="Nagwek4"/>
    <w:uiPriority w:val="9"/>
    <w:semiHidden/>
    <w:rsid w:val="00EC61A5"/>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16336">
      <w:bodyDiv w:val="1"/>
      <w:marLeft w:val="0"/>
      <w:marRight w:val="0"/>
      <w:marTop w:val="0"/>
      <w:marBottom w:val="0"/>
      <w:divBdr>
        <w:top w:val="none" w:sz="0" w:space="0" w:color="auto"/>
        <w:left w:val="none" w:sz="0" w:space="0" w:color="auto"/>
        <w:bottom w:val="none" w:sz="0" w:space="0" w:color="auto"/>
        <w:right w:val="none" w:sz="0" w:space="0" w:color="auto"/>
      </w:divBdr>
    </w:div>
    <w:div w:id="109594503">
      <w:bodyDiv w:val="1"/>
      <w:marLeft w:val="0"/>
      <w:marRight w:val="0"/>
      <w:marTop w:val="0"/>
      <w:marBottom w:val="0"/>
      <w:divBdr>
        <w:top w:val="none" w:sz="0" w:space="0" w:color="auto"/>
        <w:left w:val="none" w:sz="0" w:space="0" w:color="auto"/>
        <w:bottom w:val="none" w:sz="0" w:space="0" w:color="auto"/>
        <w:right w:val="none" w:sz="0" w:space="0" w:color="auto"/>
      </w:divBdr>
      <w:divsChild>
        <w:div w:id="173417548">
          <w:marLeft w:val="0"/>
          <w:marRight w:val="0"/>
          <w:marTop w:val="0"/>
          <w:marBottom w:val="0"/>
          <w:divBdr>
            <w:top w:val="none" w:sz="0" w:space="0" w:color="auto"/>
            <w:left w:val="none" w:sz="0" w:space="0" w:color="auto"/>
            <w:bottom w:val="none" w:sz="0" w:space="0" w:color="auto"/>
            <w:right w:val="none" w:sz="0" w:space="0" w:color="auto"/>
          </w:divBdr>
        </w:div>
        <w:div w:id="1748528636">
          <w:marLeft w:val="0"/>
          <w:marRight w:val="0"/>
          <w:marTop w:val="0"/>
          <w:marBottom w:val="0"/>
          <w:divBdr>
            <w:top w:val="none" w:sz="0" w:space="0" w:color="auto"/>
            <w:left w:val="none" w:sz="0" w:space="0" w:color="auto"/>
            <w:bottom w:val="none" w:sz="0" w:space="0" w:color="auto"/>
            <w:right w:val="none" w:sz="0" w:space="0" w:color="auto"/>
          </w:divBdr>
          <w:divsChild>
            <w:div w:id="391081636">
              <w:marLeft w:val="0"/>
              <w:marRight w:val="0"/>
              <w:marTop w:val="0"/>
              <w:marBottom w:val="0"/>
              <w:divBdr>
                <w:top w:val="none" w:sz="0" w:space="0" w:color="auto"/>
                <w:left w:val="none" w:sz="0" w:space="0" w:color="auto"/>
                <w:bottom w:val="none" w:sz="0" w:space="0" w:color="auto"/>
                <w:right w:val="none" w:sz="0" w:space="0" w:color="auto"/>
              </w:divBdr>
            </w:div>
            <w:div w:id="552541168">
              <w:marLeft w:val="0"/>
              <w:marRight w:val="0"/>
              <w:marTop w:val="0"/>
              <w:marBottom w:val="0"/>
              <w:divBdr>
                <w:top w:val="none" w:sz="0" w:space="0" w:color="auto"/>
                <w:left w:val="none" w:sz="0" w:space="0" w:color="auto"/>
                <w:bottom w:val="none" w:sz="0" w:space="0" w:color="auto"/>
                <w:right w:val="none" w:sz="0" w:space="0" w:color="auto"/>
              </w:divBdr>
            </w:div>
          </w:divsChild>
        </w:div>
        <w:div w:id="437524845">
          <w:marLeft w:val="0"/>
          <w:marRight w:val="0"/>
          <w:marTop w:val="0"/>
          <w:marBottom w:val="0"/>
          <w:divBdr>
            <w:top w:val="none" w:sz="0" w:space="0" w:color="auto"/>
            <w:left w:val="none" w:sz="0" w:space="0" w:color="auto"/>
            <w:bottom w:val="none" w:sz="0" w:space="0" w:color="auto"/>
            <w:right w:val="none" w:sz="0" w:space="0" w:color="auto"/>
          </w:divBdr>
          <w:divsChild>
            <w:div w:id="210174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677127">
      <w:bodyDiv w:val="1"/>
      <w:marLeft w:val="0"/>
      <w:marRight w:val="0"/>
      <w:marTop w:val="0"/>
      <w:marBottom w:val="0"/>
      <w:divBdr>
        <w:top w:val="none" w:sz="0" w:space="0" w:color="auto"/>
        <w:left w:val="none" w:sz="0" w:space="0" w:color="auto"/>
        <w:bottom w:val="none" w:sz="0" w:space="0" w:color="auto"/>
        <w:right w:val="none" w:sz="0" w:space="0" w:color="auto"/>
      </w:divBdr>
    </w:div>
    <w:div w:id="284847457">
      <w:bodyDiv w:val="1"/>
      <w:marLeft w:val="0"/>
      <w:marRight w:val="0"/>
      <w:marTop w:val="0"/>
      <w:marBottom w:val="0"/>
      <w:divBdr>
        <w:top w:val="none" w:sz="0" w:space="0" w:color="auto"/>
        <w:left w:val="none" w:sz="0" w:space="0" w:color="auto"/>
        <w:bottom w:val="none" w:sz="0" w:space="0" w:color="auto"/>
        <w:right w:val="none" w:sz="0" w:space="0" w:color="auto"/>
      </w:divBdr>
    </w:div>
    <w:div w:id="286935184">
      <w:bodyDiv w:val="1"/>
      <w:marLeft w:val="0"/>
      <w:marRight w:val="0"/>
      <w:marTop w:val="0"/>
      <w:marBottom w:val="0"/>
      <w:divBdr>
        <w:top w:val="none" w:sz="0" w:space="0" w:color="auto"/>
        <w:left w:val="none" w:sz="0" w:space="0" w:color="auto"/>
        <w:bottom w:val="none" w:sz="0" w:space="0" w:color="auto"/>
        <w:right w:val="none" w:sz="0" w:space="0" w:color="auto"/>
      </w:divBdr>
    </w:div>
    <w:div w:id="581910040">
      <w:bodyDiv w:val="1"/>
      <w:marLeft w:val="0"/>
      <w:marRight w:val="0"/>
      <w:marTop w:val="0"/>
      <w:marBottom w:val="0"/>
      <w:divBdr>
        <w:top w:val="none" w:sz="0" w:space="0" w:color="auto"/>
        <w:left w:val="none" w:sz="0" w:space="0" w:color="auto"/>
        <w:bottom w:val="none" w:sz="0" w:space="0" w:color="auto"/>
        <w:right w:val="none" w:sz="0" w:space="0" w:color="auto"/>
      </w:divBdr>
      <w:divsChild>
        <w:div w:id="1102989874">
          <w:marLeft w:val="0"/>
          <w:marRight w:val="0"/>
          <w:marTop w:val="0"/>
          <w:marBottom w:val="0"/>
          <w:divBdr>
            <w:top w:val="none" w:sz="0" w:space="0" w:color="auto"/>
            <w:left w:val="none" w:sz="0" w:space="0" w:color="auto"/>
            <w:bottom w:val="none" w:sz="0" w:space="0" w:color="auto"/>
            <w:right w:val="none" w:sz="0" w:space="0" w:color="auto"/>
          </w:divBdr>
          <w:divsChild>
            <w:div w:id="1262955872">
              <w:marLeft w:val="120"/>
              <w:marRight w:val="0"/>
              <w:marTop w:val="0"/>
              <w:marBottom w:val="0"/>
              <w:divBdr>
                <w:top w:val="none" w:sz="0" w:space="0" w:color="auto"/>
                <w:left w:val="none" w:sz="0" w:space="0" w:color="auto"/>
                <w:bottom w:val="none" w:sz="0" w:space="0" w:color="auto"/>
                <w:right w:val="none" w:sz="0" w:space="0" w:color="auto"/>
              </w:divBdr>
            </w:div>
          </w:divsChild>
        </w:div>
        <w:div w:id="1289627682">
          <w:marLeft w:val="0"/>
          <w:marRight w:val="0"/>
          <w:marTop w:val="0"/>
          <w:marBottom w:val="0"/>
          <w:divBdr>
            <w:top w:val="none" w:sz="0" w:space="0" w:color="auto"/>
            <w:left w:val="none" w:sz="0" w:space="0" w:color="auto"/>
            <w:bottom w:val="none" w:sz="0" w:space="0" w:color="auto"/>
            <w:right w:val="none" w:sz="0" w:space="0" w:color="auto"/>
          </w:divBdr>
          <w:divsChild>
            <w:div w:id="3573703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593167177">
      <w:bodyDiv w:val="1"/>
      <w:marLeft w:val="0"/>
      <w:marRight w:val="0"/>
      <w:marTop w:val="0"/>
      <w:marBottom w:val="0"/>
      <w:divBdr>
        <w:top w:val="none" w:sz="0" w:space="0" w:color="auto"/>
        <w:left w:val="none" w:sz="0" w:space="0" w:color="auto"/>
        <w:bottom w:val="none" w:sz="0" w:space="0" w:color="auto"/>
        <w:right w:val="none" w:sz="0" w:space="0" w:color="auto"/>
      </w:divBdr>
    </w:div>
    <w:div w:id="595672827">
      <w:bodyDiv w:val="1"/>
      <w:marLeft w:val="0"/>
      <w:marRight w:val="0"/>
      <w:marTop w:val="0"/>
      <w:marBottom w:val="0"/>
      <w:divBdr>
        <w:top w:val="none" w:sz="0" w:space="0" w:color="auto"/>
        <w:left w:val="none" w:sz="0" w:space="0" w:color="auto"/>
        <w:bottom w:val="none" w:sz="0" w:space="0" w:color="auto"/>
        <w:right w:val="none" w:sz="0" w:space="0" w:color="auto"/>
      </w:divBdr>
      <w:divsChild>
        <w:div w:id="1889796701">
          <w:marLeft w:val="0"/>
          <w:marRight w:val="0"/>
          <w:marTop w:val="0"/>
          <w:marBottom w:val="0"/>
          <w:divBdr>
            <w:top w:val="none" w:sz="0" w:space="0" w:color="auto"/>
            <w:left w:val="none" w:sz="0" w:space="0" w:color="auto"/>
            <w:bottom w:val="none" w:sz="0" w:space="0" w:color="auto"/>
            <w:right w:val="none" w:sz="0" w:space="0" w:color="auto"/>
          </w:divBdr>
          <w:divsChild>
            <w:div w:id="1784807804">
              <w:marLeft w:val="0"/>
              <w:marRight w:val="0"/>
              <w:marTop w:val="0"/>
              <w:marBottom w:val="0"/>
              <w:divBdr>
                <w:top w:val="none" w:sz="0" w:space="0" w:color="auto"/>
                <w:left w:val="none" w:sz="0" w:space="0" w:color="auto"/>
                <w:bottom w:val="none" w:sz="0" w:space="0" w:color="auto"/>
                <w:right w:val="none" w:sz="0" w:space="0" w:color="auto"/>
              </w:divBdr>
              <w:divsChild>
                <w:div w:id="80177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790245">
      <w:bodyDiv w:val="1"/>
      <w:marLeft w:val="0"/>
      <w:marRight w:val="0"/>
      <w:marTop w:val="0"/>
      <w:marBottom w:val="0"/>
      <w:divBdr>
        <w:top w:val="none" w:sz="0" w:space="0" w:color="auto"/>
        <w:left w:val="none" w:sz="0" w:space="0" w:color="auto"/>
        <w:bottom w:val="none" w:sz="0" w:space="0" w:color="auto"/>
        <w:right w:val="none" w:sz="0" w:space="0" w:color="auto"/>
      </w:divBdr>
      <w:divsChild>
        <w:div w:id="1443763610">
          <w:marLeft w:val="0"/>
          <w:marRight w:val="0"/>
          <w:marTop w:val="0"/>
          <w:marBottom w:val="0"/>
          <w:divBdr>
            <w:top w:val="none" w:sz="0" w:space="0" w:color="auto"/>
            <w:left w:val="none" w:sz="0" w:space="0" w:color="auto"/>
            <w:bottom w:val="none" w:sz="0" w:space="0" w:color="auto"/>
            <w:right w:val="none" w:sz="0" w:space="0" w:color="auto"/>
          </w:divBdr>
        </w:div>
        <w:div w:id="1272009198">
          <w:marLeft w:val="0"/>
          <w:marRight w:val="0"/>
          <w:marTop w:val="0"/>
          <w:marBottom w:val="0"/>
          <w:divBdr>
            <w:top w:val="none" w:sz="0" w:space="0" w:color="auto"/>
            <w:left w:val="none" w:sz="0" w:space="0" w:color="auto"/>
            <w:bottom w:val="none" w:sz="0" w:space="0" w:color="auto"/>
            <w:right w:val="none" w:sz="0" w:space="0" w:color="auto"/>
          </w:divBdr>
        </w:div>
        <w:div w:id="747917978">
          <w:marLeft w:val="0"/>
          <w:marRight w:val="0"/>
          <w:marTop w:val="0"/>
          <w:marBottom w:val="0"/>
          <w:divBdr>
            <w:top w:val="none" w:sz="0" w:space="0" w:color="auto"/>
            <w:left w:val="none" w:sz="0" w:space="0" w:color="auto"/>
            <w:bottom w:val="none" w:sz="0" w:space="0" w:color="auto"/>
            <w:right w:val="none" w:sz="0" w:space="0" w:color="auto"/>
          </w:divBdr>
        </w:div>
        <w:div w:id="1807622149">
          <w:marLeft w:val="0"/>
          <w:marRight w:val="0"/>
          <w:marTop w:val="0"/>
          <w:marBottom w:val="0"/>
          <w:divBdr>
            <w:top w:val="none" w:sz="0" w:space="0" w:color="auto"/>
            <w:left w:val="none" w:sz="0" w:space="0" w:color="auto"/>
            <w:bottom w:val="none" w:sz="0" w:space="0" w:color="auto"/>
            <w:right w:val="none" w:sz="0" w:space="0" w:color="auto"/>
          </w:divBdr>
        </w:div>
        <w:div w:id="1751073235">
          <w:marLeft w:val="0"/>
          <w:marRight w:val="0"/>
          <w:marTop w:val="0"/>
          <w:marBottom w:val="0"/>
          <w:divBdr>
            <w:top w:val="none" w:sz="0" w:space="0" w:color="auto"/>
            <w:left w:val="none" w:sz="0" w:space="0" w:color="auto"/>
            <w:bottom w:val="none" w:sz="0" w:space="0" w:color="auto"/>
            <w:right w:val="none" w:sz="0" w:space="0" w:color="auto"/>
          </w:divBdr>
        </w:div>
      </w:divsChild>
    </w:div>
    <w:div w:id="661390956">
      <w:bodyDiv w:val="1"/>
      <w:marLeft w:val="0"/>
      <w:marRight w:val="0"/>
      <w:marTop w:val="0"/>
      <w:marBottom w:val="0"/>
      <w:divBdr>
        <w:top w:val="none" w:sz="0" w:space="0" w:color="auto"/>
        <w:left w:val="none" w:sz="0" w:space="0" w:color="auto"/>
        <w:bottom w:val="none" w:sz="0" w:space="0" w:color="auto"/>
        <w:right w:val="none" w:sz="0" w:space="0" w:color="auto"/>
      </w:divBdr>
      <w:divsChild>
        <w:div w:id="106513933">
          <w:marLeft w:val="0"/>
          <w:marRight w:val="0"/>
          <w:marTop w:val="0"/>
          <w:marBottom w:val="0"/>
          <w:divBdr>
            <w:top w:val="none" w:sz="0" w:space="0" w:color="auto"/>
            <w:left w:val="none" w:sz="0" w:space="0" w:color="auto"/>
            <w:bottom w:val="none" w:sz="0" w:space="0" w:color="auto"/>
            <w:right w:val="none" w:sz="0" w:space="0" w:color="auto"/>
          </w:divBdr>
        </w:div>
        <w:div w:id="1814985846">
          <w:marLeft w:val="0"/>
          <w:marRight w:val="0"/>
          <w:marTop w:val="0"/>
          <w:marBottom w:val="0"/>
          <w:divBdr>
            <w:top w:val="none" w:sz="0" w:space="0" w:color="auto"/>
            <w:left w:val="none" w:sz="0" w:space="0" w:color="auto"/>
            <w:bottom w:val="none" w:sz="0" w:space="0" w:color="auto"/>
            <w:right w:val="none" w:sz="0" w:space="0" w:color="auto"/>
          </w:divBdr>
        </w:div>
        <w:div w:id="1763404815">
          <w:marLeft w:val="0"/>
          <w:marRight w:val="0"/>
          <w:marTop w:val="0"/>
          <w:marBottom w:val="0"/>
          <w:divBdr>
            <w:top w:val="none" w:sz="0" w:space="0" w:color="auto"/>
            <w:left w:val="none" w:sz="0" w:space="0" w:color="auto"/>
            <w:bottom w:val="none" w:sz="0" w:space="0" w:color="auto"/>
            <w:right w:val="none" w:sz="0" w:space="0" w:color="auto"/>
          </w:divBdr>
        </w:div>
        <w:div w:id="586959047">
          <w:marLeft w:val="0"/>
          <w:marRight w:val="0"/>
          <w:marTop w:val="0"/>
          <w:marBottom w:val="0"/>
          <w:divBdr>
            <w:top w:val="none" w:sz="0" w:space="0" w:color="auto"/>
            <w:left w:val="none" w:sz="0" w:space="0" w:color="auto"/>
            <w:bottom w:val="none" w:sz="0" w:space="0" w:color="auto"/>
            <w:right w:val="none" w:sz="0" w:space="0" w:color="auto"/>
          </w:divBdr>
        </w:div>
        <w:div w:id="344484291">
          <w:marLeft w:val="0"/>
          <w:marRight w:val="0"/>
          <w:marTop w:val="0"/>
          <w:marBottom w:val="0"/>
          <w:divBdr>
            <w:top w:val="none" w:sz="0" w:space="0" w:color="auto"/>
            <w:left w:val="none" w:sz="0" w:space="0" w:color="auto"/>
            <w:bottom w:val="none" w:sz="0" w:space="0" w:color="auto"/>
            <w:right w:val="none" w:sz="0" w:space="0" w:color="auto"/>
          </w:divBdr>
        </w:div>
      </w:divsChild>
    </w:div>
    <w:div w:id="712996129">
      <w:bodyDiv w:val="1"/>
      <w:marLeft w:val="0"/>
      <w:marRight w:val="0"/>
      <w:marTop w:val="0"/>
      <w:marBottom w:val="0"/>
      <w:divBdr>
        <w:top w:val="none" w:sz="0" w:space="0" w:color="auto"/>
        <w:left w:val="none" w:sz="0" w:space="0" w:color="auto"/>
        <w:bottom w:val="none" w:sz="0" w:space="0" w:color="auto"/>
        <w:right w:val="none" w:sz="0" w:space="0" w:color="auto"/>
      </w:divBdr>
      <w:divsChild>
        <w:div w:id="100607707">
          <w:marLeft w:val="0"/>
          <w:marRight w:val="0"/>
          <w:marTop w:val="0"/>
          <w:marBottom w:val="0"/>
          <w:divBdr>
            <w:top w:val="none" w:sz="0" w:space="0" w:color="auto"/>
            <w:left w:val="none" w:sz="0" w:space="0" w:color="auto"/>
            <w:bottom w:val="none" w:sz="0" w:space="0" w:color="auto"/>
            <w:right w:val="none" w:sz="0" w:space="0" w:color="auto"/>
          </w:divBdr>
          <w:divsChild>
            <w:div w:id="81972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064608">
      <w:bodyDiv w:val="1"/>
      <w:marLeft w:val="0"/>
      <w:marRight w:val="0"/>
      <w:marTop w:val="0"/>
      <w:marBottom w:val="0"/>
      <w:divBdr>
        <w:top w:val="none" w:sz="0" w:space="0" w:color="auto"/>
        <w:left w:val="none" w:sz="0" w:space="0" w:color="auto"/>
        <w:bottom w:val="none" w:sz="0" w:space="0" w:color="auto"/>
        <w:right w:val="none" w:sz="0" w:space="0" w:color="auto"/>
      </w:divBdr>
    </w:div>
    <w:div w:id="812991095">
      <w:bodyDiv w:val="1"/>
      <w:marLeft w:val="0"/>
      <w:marRight w:val="0"/>
      <w:marTop w:val="0"/>
      <w:marBottom w:val="0"/>
      <w:divBdr>
        <w:top w:val="none" w:sz="0" w:space="0" w:color="auto"/>
        <w:left w:val="none" w:sz="0" w:space="0" w:color="auto"/>
        <w:bottom w:val="none" w:sz="0" w:space="0" w:color="auto"/>
        <w:right w:val="none" w:sz="0" w:space="0" w:color="auto"/>
      </w:divBdr>
      <w:divsChild>
        <w:div w:id="232202310">
          <w:marLeft w:val="0"/>
          <w:marRight w:val="0"/>
          <w:marTop w:val="0"/>
          <w:marBottom w:val="0"/>
          <w:divBdr>
            <w:top w:val="none" w:sz="0" w:space="0" w:color="auto"/>
            <w:left w:val="none" w:sz="0" w:space="0" w:color="auto"/>
            <w:bottom w:val="none" w:sz="0" w:space="0" w:color="auto"/>
            <w:right w:val="none" w:sz="0" w:space="0" w:color="auto"/>
          </w:divBdr>
        </w:div>
      </w:divsChild>
    </w:div>
    <w:div w:id="874079310">
      <w:bodyDiv w:val="1"/>
      <w:marLeft w:val="0"/>
      <w:marRight w:val="0"/>
      <w:marTop w:val="0"/>
      <w:marBottom w:val="0"/>
      <w:divBdr>
        <w:top w:val="none" w:sz="0" w:space="0" w:color="auto"/>
        <w:left w:val="none" w:sz="0" w:space="0" w:color="auto"/>
        <w:bottom w:val="none" w:sz="0" w:space="0" w:color="auto"/>
        <w:right w:val="none" w:sz="0" w:space="0" w:color="auto"/>
      </w:divBdr>
      <w:divsChild>
        <w:div w:id="266473025">
          <w:marLeft w:val="0"/>
          <w:marRight w:val="0"/>
          <w:marTop w:val="240"/>
          <w:marBottom w:val="0"/>
          <w:divBdr>
            <w:top w:val="none" w:sz="0" w:space="0" w:color="auto"/>
            <w:left w:val="none" w:sz="0" w:space="0" w:color="auto"/>
            <w:bottom w:val="none" w:sz="0" w:space="0" w:color="auto"/>
            <w:right w:val="none" w:sz="0" w:space="0" w:color="auto"/>
          </w:divBdr>
        </w:div>
        <w:div w:id="1433621001">
          <w:marLeft w:val="0"/>
          <w:marRight w:val="0"/>
          <w:marTop w:val="240"/>
          <w:marBottom w:val="0"/>
          <w:divBdr>
            <w:top w:val="none" w:sz="0" w:space="0" w:color="auto"/>
            <w:left w:val="none" w:sz="0" w:space="0" w:color="auto"/>
            <w:bottom w:val="none" w:sz="0" w:space="0" w:color="auto"/>
            <w:right w:val="none" w:sz="0" w:space="0" w:color="auto"/>
          </w:divBdr>
        </w:div>
      </w:divsChild>
    </w:div>
    <w:div w:id="912742171">
      <w:bodyDiv w:val="1"/>
      <w:marLeft w:val="0"/>
      <w:marRight w:val="0"/>
      <w:marTop w:val="0"/>
      <w:marBottom w:val="0"/>
      <w:divBdr>
        <w:top w:val="none" w:sz="0" w:space="0" w:color="auto"/>
        <w:left w:val="none" w:sz="0" w:space="0" w:color="auto"/>
        <w:bottom w:val="none" w:sz="0" w:space="0" w:color="auto"/>
        <w:right w:val="none" w:sz="0" w:space="0" w:color="auto"/>
      </w:divBdr>
      <w:divsChild>
        <w:div w:id="202250984">
          <w:marLeft w:val="360"/>
          <w:marRight w:val="0"/>
          <w:marTop w:val="72"/>
          <w:marBottom w:val="72"/>
          <w:divBdr>
            <w:top w:val="none" w:sz="0" w:space="0" w:color="auto"/>
            <w:left w:val="none" w:sz="0" w:space="0" w:color="auto"/>
            <w:bottom w:val="none" w:sz="0" w:space="0" w:color="auto"/>
            <w:right w:val="none" w:sz="0" w:space="0" w:color="auto"/>
          </w:divBdr>
        </w:div>
        <w:div w:id="1400905328">
          <w:marLeft w:val="360"/>
          <w:marRight w:val="0"/>
          <w:marTop w:val="0"/>
          <w:marBottom w:val="72"/>
          <w:divBdr>
            <w:top w:val="none" w:sz="0" w:space="0" w:color="auto"/>
            <w:left w:val="none" w:sz="0" w:space="0" w:color="auto"/>
            <w:bottom w:val="none" w:sz="0" w:space="0" w:color="auto"/>
            <w:right w:val="none" w:sz="0" w:space="0" w:color="auto"/>
          </w:divBdr>
        </w:div>
      </w:divsChild>
    </w:div>
    <w:div w:id="938684388">
      <w:bodyDiv w:val="1"/>
      <w:marLeft w:val="0"/>
      <w:marRight w:val="0"/>
      <w:marTop w:val="0"/>
      <w:marBottom w:val="0"/>
      <w:divBdr>
        <w:top w:val="none" w:sz="0" w:space="0" w:color="auto"/>
        <w:left w:val="none" w:sz="0" w:space="0" w:color="auto"/>
        <w:bottom w:val="none" w:sz="0" w:space="0" w:color="auto"/>
        <w:right w:val="none" w:sz="0" w:space="0" w:color="auto"/>
      </w:divBdr>
    </w:div>
    <w:div w:id="954292200">
      <w:bodyDiv w:val="1"/>
      <w:marLeft w:val="0"/>
      <w:marRight w:val="0"/>
      <w:marTop w:val="0"/>
      <w:marBottom w:val="0"/>
      <w:divBdr>
        <w:top w:val="none" w:sz="0" w:space="0" w:color="auto"/>
        <w:left w:val="none" w:sz="0" w:space="0" w:color="auto"/>
        <w:bottom w:val="none" w:sz="0" w:space="0" w:color="auto"/>
        <w:right w:val="none" w:sz="0" w:space="0" w:color="auto"/>
      </w:divBdr>
      <w:divsChild>
        <w:div w:id="494882682">
          <w:marLeft w:val="0"/>
          <w:marRight w:val="0"/>
          <w:marTop w:val="0"/>
          <w:marBottom w:val="0"/>
          <w:divBdr>
            <w:top w:val="none" w:sz="0" w:space="0" w:color="auto"/>
            <w:left w:val="none" w:sz="0" w:space="0" w:color="auto"/>
            <w:bottom w:val="none" w:sz="0" w:space="0" w:color="auto"/>
            <w:right w:val="none" w:sz="0" w:space="0" w:color="auto"/>
          </w:divBdr>
          <w:divsChild>
            <w:div w:id="820926287">
              <w:marLeft w:val="0"/>
              <w:marRight w:val="0"/>
              <w:marTop w:val="0"/>
              <w:marBottom w:val="0"/>
              <w:divBdr>
                <w:top w:val="none" w:sz="0" w:space="0" w:color="auto"/>
                <w:left w:val="none" w:sz="0" w:space="0" w:color="auto"/>
                <w:bottom w:val="none" w:sz="0" w:space="0" w:color="auto"/>
                <w:right w:val="none" w:sz="0" w:space="0" w:color="auto"/>
              </w:divBdr>
            </w:div>
            <w:div w:id="103964182">
              <w:marLeft w:val="0"/>
              <w:marRight w:val="0"/>
              <w:marTop w:val="0"/>
              <w:marBottom w:val="0"/>
              <w:divBdr>
                <w:top w:val="none" w:sz="0" w:space="0" w:color="auto"/>
                <w:left w:val="none" w:sz="0" w:space="0" w:color="auto"/>
                <w:bottom w:val="none" w:sz="0" w:space="0" w:color="auto"/>
                <w:right w:val="none" w:sz="0" w:space="0" w:color="auto"/>
              </w:divBdr>
            </w:div>
          </w:divsChild>
        </w:div>
        <w:div w:id="1108237090">
          <w:marLeft w:val="0"/>
          <w:marRight w:val="0"/>
          <w:marTop w:val="0"/>
          <w:marBottom w:val="0"/>
          <w:divBdr>
            <w:top w:val="none" w:sz="0" w:space="0" w:color="auto"/>
            <w:left w:val="none" w:sz="0" w:space="0" w:color="auto"/>
            <w:bottom w:val="none" w:sz="0" w:space="0" w:color="auto"/>
            <w:right w:val="none" w:sz="0" w:space="0" w:color="auto"/>
          </w:divBdr>
        </w:div>
      </w:divsChild>
    </w:div>
    <w:div w:id="992371023">
      <w:bodyDiv w:val="1"/>
      <w:marLeft w:val="0"/>
      <w:marRight w:val="0"/>
      <w:marTop w:val="0"/>
      <w:marBottom w:val="0"/>
      <w:divBdr>
        <w:top w:val="none" w:sz="0" w:space="0" w:color="auto"/>
        <w:left w:val="none" w:sz="0" w:space="0" w:color="auto"/>
        <w:bottom w:val="none" w:sz="0" w:space="0" w:color="auto"/>
        <w:right w:val="none" w:sz="0" w:space="0" w:color="auto"/>
      </w:divBdr>
      <w:divsChild>
        <w:div w:id="1368094034">
          <w:marLeft w:val="0"/>
          <w:marRight w:val="0"/>
          <w:marTop w:val="0"/>
          <w:marBottom w:val="0"/>
          <w:divBdr>
            <w:top w:val="none" w:sz="0" w:space="0" w:color="auto"/>
            <w:left w:val="none" w:sz="0" w:space="0" w:color="auto"/>
            <w:bottom w:val="none" w:sz="0" w:space="0" w:color="auto"/>
            <w:right w:val="none" w:sz="0" w:space="0" w:color="auto"/>
          </w:divBdr>
        </w:div>
        <w:div w:id="1929537696">
          <w:marLeft w:val="0"/>
          <w:marRight w:val="0"/>
          <w:marTop w:val="0"/>
          <w:marBottom w:val="0"/>
          <w:divBdr>
            <w:top w:val="none" w:sz="0" w:space="0" w:color="auto"/>
            <w:left w:val="none" w:sz="0" w:space="0" w:color="auto"/>
            <w:bottom w:val="none" w:sz="0" w:space="0" w:color="auto"/>
            <w:right w:val="none" w:sz="0" w:space="0" w:color="auto"/>
          </w:divBdr>
        </w:div>
        <w:div w:id="1598630778">
          <w:marLeft w:val="0"/>
          <w:marRight w:val="0"/>
          <w:marTop w:val="0"/>
          <w:marBottom w:val="0"/>
          <w:divBdr>
            <w:top w:val="none" w:sz="0" w:space="0" w:color="auto"/>
            <w:left w:val="none" w:sz="0" w:space="0" w:color="auto"/>
            <w:bottom w:val="none" w:sz="0" w:space="0" w:color="auto"/>
            <w:right w:val="none" w:sz="0" w:space="0" w:color="auto"/>
          </w:divBdr>
        </w:div>
        <w:div w:id="216667990">
          <w:marLeft w:val="0"/>
          <w:marRight w:val="0"/>
          <w:marTop w:val="0"/>
          <w:marBottom w:val="0"/>
          <w:divBdr>
            <w:top w:val="none" w:sz="0" w:space="0" w:color="auto"/>
            <w:left w:val="none" w:sz="0" w:space="0" w:color="auto"/>
            <w:bottom w:val="none" w:sz="0" w:space="0" w:color="auto"/>
            <w:right w:val="none" w:sz="0" w:space="0" w:color="auto"/>
          </w:divBdr>
        </w:div>
      </w:divsChild>
    </w:div>
    <w:div w:id="1083180688">
      <w:bodyDiv w:val="1"/>
      <w:marLeft w:val="0"/>
      <w:marRight w:val="0"/>
      <w:marTop w:val="0"/>
      <w:marBottom w:val="0"/>
      <w:divBdr>
        <w:top w:val="none" w:sz="0" w:space="0" w:color="auto"/>
        <w:left w:val="none" w:sz="0" w:space="0" w:color="auto"/>
        <w:bottom w:val="none" w:sz="0" w:space="0" w:color="auto"/>
        <w:right w:val="none" w:sz="0" w:space="0" w:color="auto"/>
      </w:divBdr>
    </w:div>
    <w:div w:id="1088887742">
      <w:bodyDiv w:val="1"/>
      <w:marLeft w:val="0"/>
      <w:marRight w:val="0"/>
      <w:marTop w:val="0"/>
      <w:marBottom w:val="0"/>
      <w:divBdr>
        <w:top w:val="none" w:sz="0" w:space="0" w:color="auto"/>
        <w:left w:val="none" w:sz="0" w:space="0" w:color="auto"/>
        <w:bottom w:val="none" w:sz="0" w:space="0" w:color="auto"/>
        <w:right w:val="none" w:sz="0" w:space="0" w:color="auto"/>
      </w:divBdr>
      <w:divsChild>
        <w:div w:id="938413472">
          <w:marLeft w:val="0"/>
          <w:marRight w:val="0"/>
          <w:marTop w:val="0"/>
          <w:marBottom w:val="0"/>
          <w:divBdr>
            <w:top w:val="none" w:sz="0" w:space="0" w:color="auto"/>
            <w:left w:val="none" w:sz="0" w:space="0" w:color="auto"/>
            <w:bottom w:val="none" w:sz="0" w:space="0" w:color="auto"/>
            <w:right w:val="none" w:sz="0" w:space="0" w:color="auto"/>
          </w:divBdr>
        </w:div>
        <w:div w:id="908423769">
          <w:marLeft w:val="0"/>
          <w:marRight w:val="0"/>
          <w:marTop w:val="0"/>
          <w:marBottom w:val="0"/>
          <w:divBdr>
            <w:top w:val="none" w:sz="0" w:space="0" w:color="auto"/>
            <w:left w:val="none" w:sz="0" w:space="0" w:color="auto"/>
            <w:bottom w:val="none" w:sz="0" w:space="0" w:color="auto"/>
            <w:right w:val="none" w:sz="0" w:space="0" w:color="auto"/>
          </w:divBdr>
        </w:div>
        <w:div w:id="1773090907">
          <w:marLeft w:val="0"/>
          <w:marRight w:val="0"/>
          <w:marTop w:val="0"/>
          <w:marBottom w:val="0"/>
          <w:divBdr>
            <w:top w:val="none" w:sz="0" w:space="0" w:color="auto"/>
            <w:left w:val="none" w:sz="0" w:space="0" w:color="auto"/>
            <w:bottom w:val="none" w:sz="0" w:space="0" w:color="auto"/>
            <w:right w:val="none" w:sz="0" w:space="0" w:color="auto"/>
          </w:divBdr>
        </w:div>
        <w:div w:id="481653399">
          <w:marLeft w:val="0"/>
          <w:marRight w:val="0"/>
          <w:marTop w:val="0"/>
          <w:marBottom w:val="0"/>
          <w:divBdr>
            <w:top w:val="none" w:sz="0" w:space="0" w:color="auto"/>
            <w:left w:val="none" w:sz="0" w:space="0" w:color="auto"/>
            <w:bottom w:val="none" w:sz="0" w:space="0" w:color="auto"/>
            <w:right w:val="none" w:sz="0" w:space="0" w:color="auto"/>
          </w:divBdr>
        </w:div>
        <w:div w:id="797770521">
          <w:marLeft w:val="0"/>
          <w:marRight w:val="0"/>
          <w:marTop w:val="0"/>
          <w:marBottom w:val="0"/>
          <w:divBdr>
            <w:top w:val="none" w:sz="0" w:space="0" w:color="auto"/>
            <w:left w:val="none" w:sz="0" w:space="0" w:color="auto"/>
            <w:bottom w:val="none" w:sz="0" w:space="0" w:color="auto"/>
            <w:right w:val="none" w:sz="0" w:space="0" w:color="auto"/>
          </w:divBdr>
        </w:div>
        <w:div w:id="701563005">
          <w:marLeft w:val="0"/>
          <w:marRight w:val="0"/>
          <w:marTop w:val="0"/>
          <w:marBottom w:val="0"/>
          <w:divBdr>
            <w:top w:val="none" w:sz="0" w:space="0" w:color="auto"/>
            <w:left w:val="none" w:sz="0" w:space="0" w:color="auto"/>
            <w:bottom w:val="none" w:sz="0" w:space="0" w:color="auto"/>
            <w:right w:val="none" w:sz="0" w:space="0" w:color="auto"/>
          </w:divBdr>
        </w:div>
      </w:divsChild>
    </w:div>
    <w:div w:id="1102996264">
      <w:bodyDiv w:val="1"/>
      <w:marLeft w:val="0"/>
      <w:marRight w:val="0"/>
      <w:marTop w:val="0"/>
      <w:marBottom w:val="0"/>
      <w:divBdr>
        <w:top w:val="none" w:sz="0" w:space="0" w:color="auto"/>
        <w:left w:val="none" w:sz="0" w:space="0" w:color="auto"/>
        <w:bottom w:val="none" w:sz="0" w:space="0" w:color="auto"/>
        <w:right w:val="none" w:sz="0" w:space="0" w:color="auto"/>
      </w:divBdr>
      <w:divsChild>
        <w:div w:id="606424900">
          <w:marLeft w:val="0"/>
          <w:marRight w:val="0"/>
          <w:marTop w:val="0"/>
          <w:marBottom w:val="0"/>
          <w:divBdr>
            <w:top w:val="none" w:sz="0" w:space="0" w:color="auto"/>
            <w:left w:val="none" w:sz="0" w:space="0" w:color="auto"/>
            <w:bottom w:val="none" w:sz="0" w:space="0" w:color="auto"/>
            <w:right w:val="none" w:sz="0" w:space="0" w:color="auto"/>
          </w:divBdr>
        </w:div>
        <w:div w:id="325330341">
          <w:marLeft w:val="0"/>
          <w:marRight w:val="0"/>
          <w:marTop w:val="0"/>
          <w:marBottom w:val="0"/>
          <w:divBdr>
            <w:top w:val="none" w:sz="0" w:space="0" w:color="auto"/>
            <w:left w:val="none" w:sz="0" w:space="0" w:color="auto"/>
            <w:bottom w:val="none" w:sz="0" w:space="0" w:color="auto"/>
            <w:right w:val="none" w:sz="0" w:space="0" w:color="auto"/>
          </w:divBdr>
          <w:divsChild>
            <w:div w:id="160632596">
              <w:marLeft w:val="0"/>
              <w:marRight w:val="0"/>
              <w:marTop w:val="0"/>
              <w:marBottom w:val="0"/>
              <w:divBdr>
                <w:top w:val="none" w:sz="0" w:space="0" w:color="auto"/>
                <w:left w:val="none" w:sz="0" w:space="0" w:color="auto"/>
                <w:bottom w:val="none" w:sz="0" w:space="0" w:color="auto"/>
                <w:right w:val="none" w:sz="0" w:space="0" w:color="auto"/>
              </w:divBdr>
            </w:div>
            <w:div w:id="1854832386">
              <w:marLeft w:val="0"/>
              <w:marRight w:val="0"/>
              <w:marTop w:val="0"/>
              <w:marBottom w:val="0"/>
              <w:divBdr>
                <w:top w:val="none" w:sz="0" w:space="0" w:color="auto"/>
                <w:left w:val="none" w:sz="0" w:space="0" w:color="auto"/>
                <w:bottom w:val="none" w:sz="0" w:space="0" w:color="auto"/>
                <w:right w:val="none" w:sz="0" w:space="0" w:color="auto"/>
              </w:divBdr>
            </w:div>
          </w:divsChild>
        </w:div>
        <w:div w:id="484273895">
          <w:marLeft w:val="0"/>
          <w:marRight w:val="0"/>
          <w:marTop w:val="0"/>
          <w:marBottom w:val="0"/>
          <w:divBdr>
            <w:top w:val="none" w:sz="0" w:space="0" w:color="auto"/>
            <w:left w:val="none" w:sz="0" w:space="0" w:color="auto"/>
            <w:bottom w:val="none" w:sz="0" w:space="0" w:color="auto"/>
            <w:right w:val="none" w:sz="0" w:space="0" w:color="auto"/>
          </w:divBdr>
          <w:divsChild>
            <w:div w:id="103071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703248">
      <w:bodyDiv w:val="1"/>
      <w:marLeft w:val="0"/>
      <w:marRight w:val="0"/>
      <w:marTop w:val="0"/>
      <w:marBottom w:val="0"/>
      <w:divBdr>
        <w:top w:val="none" w:sz="0" w:space="0" w:color="auto"/>
        <w:left w:val="none" w:sz="0" w:space="0" w:color="auto"/>
        <w:bottom w:val="none" w:sz="0" w:space="0" w:color="auto"/>
        <w:right w:val="none" w:sz="0" w:space="0" w:color="auto"/>
      </w:divBdr>
    </w:div>
    <w:div w:id="1188985271">
      <w:bodyDiv w:val="1"/>
      <w:marLeft w:val="0"/>
      <w:marRight w:val="0"/>
      <w:marTop w:val="0"/>
      <w:marBottom w:val="0"/>
      <w:divBdr>
        <w:top w:val="none" w:sz="0" w:space="0" w:color="auto"/>
        <w:left w:val="none" w:sz="0" w:space="0" w:color="auto"/>
        <w:bottom w:val="none" w:sz="0" w:space="0" w:color="auto"/>
        <w:right w:val="none" w:sz="0" w:space="0" w:color="auto"/>
      </w:divBdr>
    </w:div>
    <w:div w:id="1255480837">
      <w:bodyDiv w:val="1"/>
      <w:marLeft w:val="0"/>
      <w:marRight w:val="0"/>
      <w:marTop w:val="0"/>
      <w:marBottom w:val="0"/>
      <w:divBdr>
        <w:top w:val="none" w:sz="0" w:space="0" w:color="auto"/>
        <w:left w:val="none" w:sz="0" w:space="0" w:color="auto"/>
        <w:bottom w:val="none" w:sz="0" w:space="0" w:color="auto"/>
        <w:right w:val="none" w:sz="0" w:space="0" w:color="auto"/>
      </w:divBdr>
      <w:divsChild>
        <w:div w:id="1991474306">
          <w:marLeft w:val="0"/>
          <w:marRight w:val="0"/>
          <w:marTop w:val="0"/>
          <w:marBottom w:val="0"/>
          <w:divBdr>
            <w:top w:val="none" w:sz="0" w:space="0" w:color="auto"/>
            <w:left w:val="none" w:sz="0" w:space="0" w:color="auto"/>
            <w:bottom w:val="none" w:sz="0" w:space="0" w:color="auto"/>
            <w:right w:val="none" w:sz="0" w:space="0" w:color="auto"/>
          </w:divBdr>
        </w:div>
        <w:div w:id="908417719">
          <w:marLeft w:val="0"/>
          <w:marRight w:val="0"/>
          <w:marTop w:val="0"/>
          <w:marBottom w:val="0"/>
          <w:divBdr>
            <w:top w:val="none" w:sz="0" w:space="0" w:color="auto"/>
            <w:left w:val="none" w:sz="0" w:space="0" w:color="auto"/>
            <w:bottom w:val="none" w:sz="0" w:space="0" w:color="auto"/>
            <w:right w:val="none" w:sz="0" w:space="0" w:color="auto"/>
          </w:divBdr>
        </w:div>
      </w:divsChild>
    </w:div>
    <w:div w:id="1265576826">
      <w:bodyDiv w:val="1"/>
      <w:marLeft w:val="0"/>
      <w:marRight w:val="0"/>
      <w:marTop w:val="0"/>
      <w:marBottom w:val="0"/>
      <w:divBdr>
        <w:top w:val="none" w:sz="0" w:space="0" w:color="auto"/>
        <w:left w:val="none" w:sz="0" w:space="0" w:color="auto"/>
        <w:bottom w:val="none" w:sz="0" w:space="0" w:color="auto"/>
        <w:right w:val="none" w:sz="0" w:space="0" w:color="auto"/>
      </w:divBdr>
    </w:div>
    <w:div w:id="1268153210">
      <w:bodyDiv w:val="1"/>
      <w:marLeft w:val="0"/>
      <w:marRight w:val="0"/>
      <w:marTop w:val="0"/>
      <w:marBottom w:val="0"/>
      <w:divBdr>
        <w:top w:val="none" w:sz="0" w:space="0" w:color="auto"/>
        <w:left w:val="none" w:sz="0" w:space="0" w:color="auto"/>
        <w:bottom w:val="none" w:sz="0" w:space="0" w:color="auto"/>
        <w:right w:val="none" w:sz="0" w:space="0" w:color="auto"/>
      </w:divBdr>
    </w:div>
    <w:div w:id="1378627793">
      <w:bodyDiv w:val="1"/>
      <w:marLeft w:val="0"/>
      <w:marRight w:val="0"/>
      <w:marTop w:val="0"/>
      <w:marBottom w:val="0"/>
      <w:divBdr>
        <w:top w:val="none" w:sz="0" w:space="0" w:color="auto"/>
        <w:left w:val="none" w:sz="0" w:space="0" w:color="auto"/>
        <w:bottom w:val="none" w:sz="0" w:space="0" w:color="auto"/>
        <w:right w:val="none" w:sz="0" w:space="0" w:color="auto"/>
      </w:divBdr>
    </w:div>
    <w:div w:id="1486510206">
      <w:bodyDiv w:val="1"/>
      <w:marLeft w:val="0"/>
      <w:marRight w:val="0"/>
      <w:marTop w:val="0"/>
      <w:marBottom w:val="0"/>
      <w:divBdr>
        <w:top w:val="none" w:sz="0" w:space="0" w:color="auto"/>
        <w:left w:val="none" w:sz="0" w:space="0" w:color="auto"/>
        <w:bottom w:val="none" w:sz="0" w:space="0" w:color="auto"/>
        <w:right w:val="none" w:sz="0" w:space="0" w:color="auto"/>
      </w:divBdr>
    </w:div>
    <w:div w:id="1581258126">
      <w:bodyDiv w:val="1"/>
      <w:marLeft w:val="0"/>
      <w:marRight w:val="0"/>
      <w:marTop w:val="0"/>
      <w:marBottom w:val="0"/>
      <w:divBdr>
        <w:top w:val="none" w:sz="0" w:space="0" w:color="auto"/>
        <w:left w:val="none" w:sz="0" w:space="0" w:color="auto"/>
        <w:bottom w:val="none" w:sz="0" w:space="0" w:color="auto"/>
        <w:right w:val="none" w:sz="0" w:space="0" w:color="auto"/>
      </w:divBdr>
      <w:divsChild>
        <w:div w:id="670107240">
          <w:marLeft w:val="0"/>
          <w:marRight w:val="0"/>
          <w:marTop w:val="0"/>
          <w:marBottom w:val="0"/>
          <w:divBdr>
            <w:top w:val="none" w:sz="0" w:space="0" w:color="auto"/>
            <w:left w:val="none" w:sz="0" w:space="0" w:color="auto"/>
            <w:bottom w:val="none" w:sz="0" w:space="0" w:color="auto"/>
            <w:right w:val="none" w:sz="0" w:space="0" w:color="auto"/>
          </w:divBdr>
          <w:divsChild>
            <w:div w:id="1085417805">
              <w:marLeft w:val="0"/>
              <w:marRight w:val="0"/>
              <w:marTop w:val="0"/>
              <w:marBottom w:val="0"/>
              <w:divBdr>
                <w:top w:val="none" w:sz="0" w:space="0" w:color="auto"/>
                <w:left w:val="none" w:sz="0" w:space="0" w:color="auto"/>
                <w:bottom w:val="none" w:sz="0" w:space="0" w:color="auto"/>
                <w:right w:val="none" w:sz="0" w:space="0" w:color="auto"/>
              </w:divBdr>
            </w:div>
            <w:div w:id="339162827">
              <w:marLeft w:val="0"/>
              <w:marRight w:val="0"/>
              <w:marTop w:val="0"/>
              <w:marBottom w:val="0"/>
              <w:divBdr>
                <w:top w:val="none" w:sz="0" w:space="0" w:color="auto"/>
                <w:left w:val="none" w:sz="0" w:space="0" w:color="auto"/>
                <w:bottom w:val="none" w:sz="0" w:space="0" w:color="auto"/>
                <w:right w:val="none" w:sz="0" w:space="0" w:color="auto"/>
              </w:divBdr>
            </w:div>
          </w:divsChild>
        </w:div>
        <w:div w:id="546450040">
          <w:marLeft w:val="0"/>
          <w:marRight w:val="0"/>
          <w:marTop w:val="0"/>
          <w:marBottom w:val="0"/>
          <w:divBdr>
            <w:top w:val="none" w:sz="0" w:space="0" w:color="auto"/>
            <w:left w:val="none" w:sz="0" w:space="0" w:color="auto"/>
            <w:bottom w:val="none" w:sz="0" w:space="0" w:color="auto"/>
            <w:right w:val="none" w:sz="0" w:space="0" w:color="auto"/>
          </w:divBdr>
          <w:divsChild>
            <w:div w:id="102520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16625">
      <w:bodyDiv w:val="1"/>
      <w:marLeft w:val="0"/>
      <w:marRight w:val="0"/>
      <w:marTop w:val="0"/>
      <w:marBottom w:val="0"/>
      <w:divBdr>
        <w:top w:val="none" w:sz="0" w:space="0" w:color="auto"/>
        <w:left w:val="none" w:sz="0" w:space="0" w:color="auto"/>
        <w:bottom w:val="none" w:sz="0" w:space="0" w:color="auto"/>
        <w:right w:val="none" w:sz="0" w:space="0" w:color="auto"/>
      </w:divBdr>
    </w:div>
    <w:div w:id="1818105076">
      <w:bodyDiv w:val="1"/>
      <w:marLeft w:val="0"/>
      <w:marRight w:val="0"/>
      <w:marTop w:val="0"/>
      <w:marBottom w:val="0"/>
      <w:divBdr>
        <w:top w:val="none" w:sz="0" w:space="0" w:color="auto"/>
        <w:left w:val="none" w:sz="0" w:space="0" w:color="auto"/>
        <w:bottom w:val="none" w:sz="0" w:space="0" w:color="auto"/>
        <w:right w:val="none" w:sz="0" w:space="0" w:color="auto"/>
      </w:divBdr>
    </w:div>
    <w:div w:id="1829134548">
      <w:bodyDiv w:val="1"/>
      <w:marLeft w:val="0"/>
      <w:marRight w:val="0"/>
      <w:marTop w:val="0"/>
      <w:marBottom w:val="0"/>
      <w:divBdr>
        <w:top w:val="none" w:sz="0" w:space="0" w:color="auto"/>
        <w:left w:val="none" w:sz="0" w:space="0" w:color="auto"/>
        <w:bottom w:val="none" w:sz="0" w:space="0" w:color="auto"/>
        <w:right w:val="none" w:sz="0" w:space="0" w:color="auto"/>
      </w:divBdr>
      <w:divsChild>
        <w:div w:id="135924700">
          <w:marLeft w:val="0"/>
          <w:marRight w:val="0"/>
          <w:marTop w:val="240"/>
          <w:marBottom w:val="0"/>
          <w:divBdr>
            <w:top w:val="none" w:sz="0" w:space="0" w:color="auto"/>
            <w:left w:val="none" w:sz="0" w:space="0" w:color="auto"/>
            <w:bottom w:val="none" w:sz="0" w:space="0" w:color="auto"/>
            <w:right w:val="none" w:sz="0" w:space="0" w:color="auto"/>
          </w:divBdr>
        </w:div>
        <w:div w:id="2033146118">
          <w:marLeft w:val="240"/>
          <w:marRight w:val="0"/>
          <w:marTop w:val="0"/>
          <w:marBottom w:val="0"/>
          <w:divBdr>
            <w:top w:val="none" w:sz="0" w:space="0" w:color="auto"/>
            <w:left w:val="none" w:sz="0" w:space="0" w:color="auto"/>
            <w:bottom w:val="none" w:sz="0" w:space="0" w:color="auto"/>
            <w:right w:val="none" w:sz="0" w:space="0" w:color="auto"/>
          </w:divBdr>
          <w:divsChild>
            <w:div w:id="2095856001">
              <w:marLeft w:val="0"/>
              <w:marRight w:val="0"/>
              <w:marTop w:val="240"/>
              <w:marBottom w:val="240"/>
              <w:divBdr>
                <w:top w:val="none" w:sz="0" w:space="0" w:color="auto"/>
                <w:left w:val="none" w:sz="0" w:space="0" w:color="auto"/>
                <w:bottom w:val="none" w:sz="0" w:space="0" w:color="auto"/>
                <w:right w:val="none" w:sz="0" w:space="0" w:color="auto"/>
              </w:divBdr>
            </w:div>
            <w:div w:id="300617756">
              <w:marLeft w:val="0"/>
              <w:marRight w:val="0"/>
              <w:marTop w:val="240"/>
              <w:marBottom w:val="240"/>
              <w:divBdr>
                <w:top w:val="none" w:sz="0" w:space="0" w:color="auto"/>
                <w:left w:val="none" w:sz="0" w:space="0" w:color="auto"/>
                <w:bottom w:val="none" w:sz="0" w:space="0" w:color="auto"/>
                <w:right w:val="none" w:sz="0" w:space="0" w:color="auto"/>
              </w:divBdr>
            </w:div>
            <w:div w:id="411315736">
              <w:marLeft w:val="0"/>
              <w:marRight w:val="0"/>
              <w:marTop w:val="240"/>
              <w:marBottom w:val="240"/>
              <w:divBdr>
                <w:top w:val="none" w:sz="0" w:space="0" w:color="auto"/>
                <w:left w:val="none" w:sz="0" w:space="0" w:color="auto"/>
                <w:bottom w:val="none" w:sz="0" w:space="0" w:color="auto"/>
                <w:right w:val="none" w:sz="0" w:space="0" w:color="auto"/>
              </w:divBdr>
            </w:div>
            <w:div w:id="166404033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832284358">
      <w:bodyDiv w:val="1"/>
      <w:marLeft w:val="0"/>
      <w:marRight w:val="0"/>
      <w:marTop w:val="0"/>
      <w:marBottom w:val="0"/>
      <w:divBdr>
        <w:top w:val="none" w:sz="0" w:space="0" w:color="auto"/>
        <w:left w:val="none" w:sz="0" w:space="0" w:color="auto"/>
        <w:bottom w:val="none" w:sz="0" w:space="0" w:color="auto"/>
        <w:right w:val="none" w:sz="0" w:space="0" w:color="auto"/>
      </w:divBdr>
      <w:divsChild>
        <w:div w:id="483087074">
          <w:marLeft w:val="0"/>
          <w:marRight w:val="0"/>
          <w:marTop w:val="0"/>
          <w:marBottom w:val="0"/>
          <w:divBdr>
            <w:top w:val="none" w:sz="0" w:space="0" w:color="auto"/>
            <w:left w:val="none" w:sz="0" w:space="0" w:color="auto"/>
            <w:bottom w:val="none" w:sz="0" w:space="0" w:color="auto"/>
            <w:right w:val="none" w:sz="0" w:space="0" w:color="auto"/>
          </w:divBdr>
        </w:div>
      </w:divsChild>
    </w:div>
    <w:div w:id="2097708567">
      <w:bodyDiv w:val="1"/>
      <w:marLeft w:val="0"/>
      <w:marRight w:val="0"/>
      <w:marTop w:val="0"/>
      <w:marBottom w:val="0"/>
      <w:divBdr>
        <w:top w:val="none" w:sz="0" w:space="0" w:color="auto"/>
        <w:left w:val="none" w:sz="0" w:space="0" w:color="auto"/>
        <w:bottom w:val="none" w:sz="0" w:space="0" w:color="auto"/>
        <w:right w:val="none" w:sz="0" w:space="0" w:color="auto"/>
      </w:divBdr>
      <w:divsChild>
        <w:div w:id="2093433183">
          <w:marLeft w:val="0"/>
          <w:marRight w:val="0"/>
          <w:marTop w:val="0"/>
          <w:marBottom w:val="0"/>
          <w:divBdr>
            <w:top w:val="none" w:sz="0" w:space="0" w:color="auto"/>
            <w:left w:val="none" w:sz="0" w:space="0" w:color="auto"/>
            <w:bottom w:val="none" w:sz="0" w:space="0" w:color="auto"/>
            <w:right w:val="none" w:sz="0" w:space="0" w:color="auto"/>
          </w:divBdr>
          <w:divsChild>
            <w:div w:id="214034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13" Type="http://schemas.openxmlformats.org/officeDocument/2006/relationships/hyperlink" Target="https://sip.lex.pl/" TargetMode="External"/><Relationship Id="rId18" Type="http://schemas.openxmlformats.org/officeDocument/2006/relationships/hyperlink" Target="https://sip.lex.p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sip.lex.pl/" TargetMode="External"/><Relationship Id="rId17" Type="http://schemas.openxmlformats.org/officeDocument/2006/relationships/hyperlink" Target="https://sip.lex.pl/" TargetMode="External"/><Relationship Id="rId2" Type="http://schemas.openxmlformats.org/officeDocument/2006/relationships/numbering" Target="numbering.xml"/><Relationship Id="rId16" Type="http://schemas.openxmlformats.org/officeDocument/2006/relationships/hyperlink" Target="https://sip.lex.p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x.pl/" TargetMode="External"/><Relationship Id="rId5" Type="http://schemas.openxmlformats.org/officeDocument/2006/relationships/webSettings" Target="webSettings.xml"/><Relationship Id="rId15" Type="http://schemas.openxmlformats.org/officeDocument/2006/relationships/hyperlink" Target="https://sip.lex.pl/" TargetMode="External"/><Relationship Id="rId10" Type="http://schemas.openxmlformats.org/officeDocument/2006/relationships/hyperlink" Target="https://sip.lex.pl/" TargetMode="External"/><Relationship Id="rId19" Type="http://schemas.openxmlformats.org/officeDocument/2006/relationships/hyperlink" Target="https://sip.lex.pl/" TargetMode="External"/><Relationship Id="rId4" Type="http://schemas.openxmlformats.org/officeDocument/2006/relationships/settings" Target="settings.xml"/><Relationship Id="rId9" Type="http://schemas.openxmlformats.org/officeDocument/2006/relationships/hyperlink" Target="https://sip.lex.pl/" TargetMode="External"/><Relationship Id="rId14" Type="http://schemas.openxmlformats.org/officeDocument/2006/relationships/hyperlink" Target="https://sip.lex.pl/"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DC606-0EBA-4D18-8DD5-291F860C5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10089</Words>
  <Characters>60537</Characters>
  <Application>Microsoft Office Word</Application>
  <DocSecurity>4</DocSecurity>
  <Lines>504</Lines>
  <Paragraphs>140</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70486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Wichrowska Kinga</dc:creator>
  <cp:lastModifiedBy>Binkowska Joanna</cp:lastModifiedBy>
  <cp:revision>2</cp:revision>
  <cp:lastPrinted>2021-05-07T08:54:00Z</cp:lastPrinted>
  <dcterms:created xsi:type="dcterms:W3CDTF">2021-10-14T13:32:00Z</dcterms:created>
  <dcterms:modified xsi:type="dcterms:W3CDTF">2021-10-14T13:32:00Z</dcterms:modified>
</cp:coreProperties>
</file>