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456B6F" w14:textId="77777777" w:rsidR="000A2597" w:rsidRPr="00FF7B4A" w:rsidRDefault="000A2597" w:rsidP="00FF7B4A">
      <w:pPr>
        <w:spacing w:after="240" w:line="360" w:lineRule="auto"/>
        <w:jc w:val="center"/>
        <w:rPr>
          <w:rFonts w:ascii="Times New Roman" w:hAnsi="Times New Roman" w:cs="Times New Roman"/>
          <w:sz w:val="24"/>
          <w:szCs w:val="24"/>
        </w:rPr>
      </w:pPr>
      <w:bookmarkStart w:id="0" w:name="_GoBack"/>
      <w:bookmarkEnd w:id="0"/>
      <w:r w:rsidRPr="00FF7B4A">
        <w:rPr>
          <w:rFonts w:ascii="Times New Roman" w:hAnsi="Times New Roman" w:cs="Times New Roman"/>
          <w:sz w:val="24"/>
          <w:szCs w:val="24"/>
        </w:rPr>
        <w:t>UZASADNIENIE</w:t>
      </w:r>
    </w:p>
    <w:p w14:paraId="6D375D69" w14:textId="77777777" w:rsidR="000A2597" w:rsidRPr="00FF7B4A" w:rsidRDefault="000A2597" w:rsidP="00FF7B4A">
      <w:pPr>
        <w:spacing w:line="360" w:lineRule="auto"/>
        <w:rPr>
          <w:rFonts w:ascii="Times New Roman" w:hAnsi="Times New Roman" w:cs="Times New Roman"/>
          <w:sz w:val="24"/>
          <w:szCs w:val="24"/>
        </w:rPr>
      </w:pPr>
      <w:r w:rsidRPr="00FF7B4A">
        <w:rPr>
          <w:rFonts w:ascii="Times New Roman" w:hAnsi="Times New Roman" w:cs="Times New Roman"/>
          <w:sz w:val="24"/>
          <w:szCs w:val="24"/>
        </w:rPr>
        <w:t xml:space="preserve">Projekt ustawy przewiduje wprowadzenie zmian w ustawie z dnia 6 grudnia 2008 r. o podatku akcyzowym (Dz. U. z 2020 r. poz. 722, z późn. zm.), zwanej dalej „ustawą”. </w:t>
      </w:r>
    </w:p>
    <w:p w14:paraId="0007680E" w14:textId="10EB10B4" w:rsidR="000A2597" w:rsidRPr="00FF7B4A" w:rsidRDefault="000A2597" w:rsidP="00FF7B4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Projekt</w:t>
      </w:r>
      <w:r w:rsidR="00FF7B4A" w:rsidRPr="00FF7B4A">
        <w:rPr>
          <w:rFonts w:ascii="Times New Roman" w:hAnsi="Times New Roman" w:cs="Times New Roman"/>
          <w:sz w:val="24"/>
          <w:szCs w:val="24"/>
        </w:rPr>
        <w:t xml:space="preserve"> zakłada od 1 stycznia 2022 r. </w:t>
      </w:r>
      <w:r w:rsidRPr="00FF7B4A">
        <w:rPr>
          <w:rFonts w:ascii="Times New Roman" w:hAnsi="Times New Roman" w:cs="Times New Roman"/>
          <w:sz w:val="24"/>
          <w:szCs w:val="24"/>
        </w:rPr>
        <w:t>indeksację stawek akcyzy na</w:t>
      </w:r>
      <w:r w:rsidR="008465A9">
        <w:rPr>
          <w:rFonts w:ascii="Times New Roman" w:hAnsi="Times New Roman" w:cs="Times New Roman"/>
          <w:sz w:val="24"/>
          <w:szCs w:val="24"/>
        </w:rPr>
        <w:t xml:space="preserve"> </w:t>
      </w:r>
      <w:r w:rsidRPr="00FF7B4A">
        <w:rPr>
          <w:rFonts w:ascii="Times New Roman" w:hAnsi="Times New Roman" w:cs="Times New Roman"/>
          <w:sz w:val="24"/>
          <w:szCs w:val="24"/>
        </w:rPr>
        <w:t>wyroby akcyzowe będące używkami oraz na lata 2023</w:t>
      </w:r>
      <w:r w:rsidR="00FF7B4A" w:rsidRPr="00FF7B4A">
        <w:rPr>
          <w:rFonts w:ascii="Times New Roman" w:hAnsi="Times New Roman" w:cs="Times New Roman"/>
          <w:sz w:val="24"/>
          <w:szCs w:val="24"/>
        </w:rPr>
        <w:t>–</w:t>
      </w:r>
      <w:r w:rsidRPr="00FF7B4A">
        <w:rPr>
          <w:rFonts w:ascii="Times New Roman" w:hAnsi="Times New Roman" w:cs="Times New Roman"/>
          <w:sz w:val="24"/>
          <w:szCs w:val="24"/>
        </w:rPr>
        <w:t>2027 mapę drogową w zakresie stawek akcyzy na napoje alkoholowe, wyroby tytoniowe i wyroby nowatorskie.</w:t>
      </w:r>
    </w:p>
    <w:p w14:paraId="372F8B92" w14:textId="77777777" w:rsidR="000A2597" w:rsidRPr="00FF7B4A" w:rsidRDefault="000A2597" w:rsidP="00FF7B4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Celem proponowanych rozwiązań jest realizowanie zadań RM w zakresie polityki prozdrowotnej poprzez ograniczanie dostępności cenowej napojów alkoholowych i wyrobów tytoniowych i ich substytutów oraz zniwelowanie skutków inflacji</w:t>
      </w:r>
      <w:r w:rsidR="00FF7B4A" w:rsidRPr="00FF7B4A">
        <w:rPr>
          <w:rFonts w:ascii="Times New Roman" w:hAnsi="Times New Roman" w:cs="Times New Roman"/>
          <w:sz w:val="24"/>
          <w:szCs w:val="24"/>
        </w:rPr>
        <w:t>,</w:t>
      </w:r>
      <w:r w:rsidRPr="00FF7B4A">
        <w:rPr>
          <w:rFonts w:ascii="Times New Roman" w:hAnsi="Times New Roman" w:cs="Times New Roman"/>
          <w:sz w:val="24"/>
          <w:szCs w:val="24"/>
        </w:rPr>
        <w:t xml:space="preserve"> jaka w najbliższych latach prowadziłaby stopniowo do relatywnego spadku cen używek w stosunku do cen innych wyrobów konsumpcyjnych.</w:t>
      </w:r>
    </w:p>
    <w:p w14:paraId="360A3981" w14:textId="44E4BD39" w:rsidR="000A2597" w:rsidRPr="00FF7B4A" w:rsidRDefault="000A2597" w:rsidP="00FF7B4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Polityka akcyzowa państwa jest ważną częścią polityki fiskalnej</w:t>
      </w:r>
      <w:r w:rsidR="00B11530">
        <w:rPr>
          <w:rFonts w:ascii="Times New Roman" w:hAnsi="Times New Roman" w:cs="Times New Roman"/>
          <w:sz w:val="24"/>
          <w:szCs w:val="24"/>
        </w:rPr>
        <w:t>,</w:t>
      </w:r>
      <w:r w:rsidRPr="00FF7B4A">
        <w:rPr>
          <w:rFonts w:ascii="Times New Roman" w:hAnsi="Times New Roman" w:cs="Times New Roman"/>
          <w:sz w:val="24"/>
          <w:szCs w:val="24"/>
        </w:rPr>
        <w:t xml:space="preserve"> ale jednocześnie stanowi doskonałe narzędzie regulujące poziom konsumpcji </w:t>
      </w:r>
      <w:r w:rsidR="008614A2" w:rsidRPr="00FF7B4A">
        <w:rPr>
          <w:rFonts w:ascii="Times New Roman" w:hAnsi="Times New Roman" w:cs="Times New Roman"/>
          <w:sz w:val="24"/>
          <w:szCs w:val="24"/>
        </w:rPr>
        <w:t>używek mających negatywny wpływ na zdrowie społeczeństwa. Pośrednio ma ona przełożenie na możliwość kontrolowania szkód zdrowotnych ponoszonych przez społeczeństwo oraz wielkości nakładów na działalność profilaktyczną i ich leczenie.</w:t>
      </w:r>
    </w:p>
    <w:p w14:paraId="414CECB2" w14:textId="77777777" w:rsidR="00EC124A" w:rsidRPr="00FF7B4A" w:rsidRDefault="00EC124A" w:rsidP="00FF7B4A">
      <w:pPr>
        <w:spacing w:line="360" w:lineRule="auto"/>
        <w:jc w:val="both"/>
        <w:rPr>
          <w:rFonts w:ascii="Times New Roman" w:hAnsi="Times New Roman" w:cs="Times New Roman"/>
          <w:b/>
          <w:sz w:val="24"/>
          <w:szCs w:val="24"/>
        </w:rPr>
      </w:pPr>
      <w:r w:rsidRPr="00FF7B4A">
        <w:rPr>
          <w:rFonts w:ascii="Times New Roman" w:hAnsi="Times New Roman" w:cs="Times New Roman"/>
          <w:b/>
          <w:sz w:val="24"/>
          <w:szCs w:val="24"/>
        </w:rPr>
        <w:t>Spożycie alkoholu w litrach na 1 mieszkańca</w:t>
      </w:r>
    </w:p>
    <w:p w14:paraId="3F21328B" w14:textId="77777777" w:rsidR="00EC124A" w:rsidRPr="00FF7B4A" w:rsidRDefault="00EC124A" w:rsidP="00FF7B4A">
      <w:pPr>
        <w:spacing w:line="360" w:lineRule="auto"/>
        <w:rPr>
          <w:rFonts w:ascii="Times New Roman" w:hAnsi="Times New Roman" w:cs="Times New Roman"/>
          <w:sz w:val="24"/>
          <w:szCs w:val="24"/>
        </w:rPr>
      </w:pPr>
      <w:r w:rsidRPr="00FF7B4A">
        <w:rPr>
          <w:rFonts w:ascii="Times New Roman" w:hAnsi="Times New Roman" w:cs="Times New Roman"/>
          <w:noProof/>
          <w:sz w:val="24"/>
          <w:szCs w:val="24"/>
          <w:lang w:eastAsia="pl-PL"/>
        </w:rPr>
        <w:drawing>
          <wp:inline distT="0" distB="0" distL="0" distR="0" wp14:anchorId="5536D90B" wp14:editId="34315F1A">
            <wp:extent cx="5511165" cy="322516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11165" cy="3225165"/>
                    </a:xfrm>
                    <a:prstGeom prst="rect">
                      <a:avLst/>
                    </a:prstGeom>
                    <a:noFill/>
                  </pic:spPr>
                </pic:pic>
              </a:graphicData>
            </a:graphic>
          </wp:inline>
        </w:drawing>
      </w:r>
    </w:p>
    <w:p w14:paraId="779CDC14" w14:textId="77777777" w:rsidR="00EC124A" w:rsidRPr="00FF7B4A" w:rsidRDefault="00EC124A" w:rsidP="00FF7B4A">
      <w:pPr>
        <w:spacing w:line="360" w:lineRule="auto"/>
        <w:rPr>
          <w:rFonts w:ascii="Times New Roman" w:hAnsi="Times New Roman" w:cs="Times New Roman"/>
          <w:sz w:val="24"/>
          <w:szCs w:val="24"/>
        </w:rPr>
      </w:pPr>
      <w:r w:rsidRPr="00FF7B4A">
        <w:rPr>
          <w:rFonts w:ascii="Times New Roman" w:hAnsi="Times New Roman" w:cs="Times New Roman"/>
          <w:sz w:val="24"/>
          <w:szCs w:val="24"/>
        </w:rPr>
        <w:t>Źródło: dane PARPA</w:t>
      </w:r>
      <w:r w:rsidR="00FF7B4A" w:rsidRPr="00FF7B4A">
        <w:rPr>
          <w:rFonts w:ascii="Times New Roman" w:hAnsi="Times New Roman" w:cs="Times New Roman"/>
          <w:sz w:val="24"/>
          <w:szCs w:val="24"/>
        </w:rPr>
        <w:t>.</w:t>
      </w:r>
    </w:p>
    <w:p w14:paraId="57B3E672" w14:textId="77777777" w:rsidR="00EC124A" w:rsidRPr="00FF7B4A" w:rsidRDefault="00EC124A" w:rsidP="00FF7B4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lastRenderedPageBreak/>
        <w:t>Wraz ze wzrostem średniego wynagrodzenia, za miesięczną wypłatę można kupić coraz większą ilość używek</w:t>
      </w:r>
      <w:r w:rsidR="00FF7B4A" w:rsidRPr="00FF7B4A">
        <w:rPr>
          <w:rFonts w:ascii="Times New Roman" w:hAnsi="Times New Roman" w:cs="Times New Roman"/>
          <w:sz w:val="24"/>
          <w:szCs w:val="24"/>
        </w:rPr>
        <w:t>,</w:t>
      </w:r>
      <w:r w:rsidRPr="00FF7B4A">
        <w:rPr>
          <w:rFonts w:ascii="Times New Roman" w:hAnsi="Times New Roman" w:cs="Times New Roman"/>
          <w:sz w:val="24"/>
          <w:szCs w:val="24"/>
        </w:rPr>
        <w:t xml:space="preserve"> co obrazują poniższe wykresy.</w:t>
      </w:r>
    </w:p>
    <w:p w14:paraId="2B9C94EF" w14:textId="77777777" w:rsidR="00EC124A" w:rsidRPr="00FF7B4A" w:rsidRDefault="00EC124A" w:rsidP="00FF7B4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Jak na przestrzeni lat 2002</w:t>
      </w:r>
      <w:r w:rsidR="00FF7B4A" w:rsidRPr="00FF7B4A">
        <w:rPr>
          <w:rFonts w:ascii="Times New Roman" w:hAnsi="Times New Roman" w:cs="Times New Roman"/>
          <w:sz w:val="24"/>
          <w:szCs w:val="24"/>
        </w:rPr>
        <w:t>–</w:t>
      </w:r>
      <w:r w:rsidRPr="00FF7B4A">
        <w:rPr>
          <w:rFonts w:ascii="Times New Roman" w:hAnsi="Times New Roman" w:cs="Times New Roman"/>
          <w:sz w:val="24"/>
          <w:szCs w:val="24"/>
        </w:rPr>
        <w:t>2020 zmieniała siła nabywcza na przykładzie napojów alkoholowych i papier</w:t>
      </w:r>
      <w:r w:rsidR="00DA306F" w:rsidRPr="00FF7B4A">
        <w:rPr>
          <w:rFonts w:ascii="Times New Roman" w:hAnsi="Times New Roman" w:cs="Times New Roman"/>
          <w:sz w:val="24"/>
          <w:szCs w:val="24"/>
        </w:rPr>
        <w:t>osów.</w:t>
      </w:r>
    </w:p>
    <w:p w14:paraId="310A4F6B" w14:textId="77777777" w:rsidR="00DA306F" w:rsidRPr="00FF7B4A" w:rsidRDefault="00DA306F" w:rsidP="00FF7B4A">
      <w:pPr>
        <w:spacing w:line="360" w:lineRule="auto"/>
        <w:jc w:val="both"/>
        <w:rPr>
          <w:rFonts w:ascii="Times New Roman" w:hAnsi="Times New Roman" w:cs="Times New Roman"/>
          <w:b/>
          <w:sz w:val="24"/>
          <w:szCs w:val="24"/>
        </w:rPr>
      </w:pPr>
      <w:r w:rsidRPr="00FF7B4A">
        <w:rPr>
          <w:rFonts w:ascii="Times New Roman" w:hAnsi="Times New Roman" w:cs="Times New Roman"/>
          <w:b/>
          <w:sz w:val="24"/>
          <w:szCs w:val="24"/>
        </w:rPr>
        <w:t>Wódka a średnie wynagrodzenie</w:t>
      </w:r>
    </w:p>
    <w:p w14:paraId="7395975B" w14:textId="77777777" w:rsidR="00EC124A" w:rsidRPr="00FF7B4A" w:rsidRDefault="00EC124A" w:rsidP="00FF7B4A">
      <w:pPr>
        <w:spacing w:line="360" w:lineRule="auto"/>
        <w:rPr>
          <w:rFonts w:ascii="Times New Roman" w:hAnsi="Times New Roman" w:cs="Times New Roman"/>
          <w:sz w:val="24"/>
          <w:szCs w:val="24"/>
        </w:rPr>
      </w:pPr>
      <w:r w:rsidRPr="00FF7B4A">
        <w:rPr>
          <w:rFonts w:ascii="Times New Roman" w:hAnsi="Times New Roman" w:cs="Times New Roman"/>
          <w:noProof/>
          <w:sz w:val="24"/>
          <w:szCs w:val="24"/>
          <w:lang w:eastAsia="pl-PL"/>
        </w:rPr>
        <w:drawing>
          <wp:inline distT="0" distB="0" distL="0" distR="0" wp14:anchorId="651A35B2" wp14:editId="398AD1EB">
            <wp:extent cx="5610225" cy="3076575"/>
            <wp:effectExtent l="0" t="0" r="9525" b="9525"/>
            <wp:docPr id="3" name="Wykres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CDC75F2" w14:textId="77777777" w:rsidR="00EC124A" w:rsidRPr="00FF7B4A" w:rsidRDefault="00EC124A" w:rsidP="00FF7B4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Źródło :PARPA, GUS</w:t>
      </w:r>
      <w:r w:rsidR="00317548" w:rsidRPr="00FF7B4A">
        <w:rPr>
          <w:rFonts w:ascii="Times New Roman" w:hAnsi="Times New Roman" w:cs="Times New Roman"/>
          <w:sz w:val="24"/>
          <w:szCs w:val="24"/>
        </w:rPr>
        <w:t>; wódka czysta 40% – za 0,5</w:t>
      </w:r>
      <w:r w:rsidR="00FF7B4A" w:rsidRPr="00FF7B4A">
        <w:rPr>
          <w:rFonts w:ascii="Times New Roman" w:hAnsi="Times New Roman" w:cs="Times New Roman"/>
          <w:sz w:val="24"/>
          <w:szCs w:val="24"/>
        </w:rPr>
        <w:t xml:space="preserve"> </w:t>
      </w:r>
      <w:r w:rsidR="00317548" w:rsidRPr="00FF7B4A">
        <w:rPr>
          <w:rFonts w:ascii="Times New Roman" w:hAnsi="Times New Roman" w:cs="Times New Roman"/>
          <w:sz w:val="24"/>
          <w:szCs w:val="24"/>
        </w:rPr>
        <w:t>l</w:t>
      </w:r>
      <w:r w:rsidR="00FF7B4A" w:rsidRPr="00FF7B4A">
        <w:rPr>
          <w:rFonts w:ascii="Times New Roman" w:hAnsi="Times New Roman" w:cs="Times New Roman"/>
          <w:sz w:val="24"/>
          <w:szCs w:val="24"/>
        </w:rPr>
        <w:t>.</w:t>
      </w:r>
    </w:p>
    <w:p w14:paraId="40A5905E" w14:textId="77777777" w:rsidR="00317548" w:rsidRPr="00FF7B4A" w:rsidRDefault="00317548" w:rsidP="00FF7B4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Wraz ze wzrostem średniego wynagrodzenia, za miesięczną wypłatę można kupić coraz większą ilość wódki (w 2015 średnie wynagrodzenie wystarczało na ok. 83 litry wódki, a w 2020 już na ponad 107 litrów).</w:t>
      </w:r>
    </w:p>
    <w:p w14:paraId="2AA03C9E" w14:textId="77777777" w:rsidR="00DA306F" w:rsidRPr="00FF7B4A" w:rsidRDefault="00DA306F" w:rsidP="00FF7B4A">
      <w:pPr>
        <w:keepNext/>
        <w:keepLines/>
        <w:spacing w:line="360" w:lineRule="auto"/>
        <w:jc w:val="both"/>
        <w:rPr>
          <w:rFonts w:ascii="Times New Roman" w:hAnsi="Times New Roman" w:cs="Times New Roman"/>
          <w:b/>
          <w:sz w:val="24"/>
          <w:szCs w:val="24"/>
        </w:rPr>
      </w:pPr>
      <w:r w:rsidRPr="00FF7B4A">
        <w:rPr>
          <w:rFonts w:ascii="Times New Roman" w:hAnsi="Times New Roman" w:cs="Times New Roman"/>
          <w:b/>
          <w:sz w:val="24"/>
          <w:szCs w:val="24"/>
        </w:rPr>
        <w:lastRenderedPageBreak/>
        <w:t>Piwo a średnie wynagrodzenie</w:t>
      </w:r>
    </w:p>
    <w:p w14:paraId="60424466" w14:textId="322CB493" w:rsidR="00EC124A" w:rsidRPr="00FF7B4A" w:rsidRDefault="00DA306F" w:rsidP="00FF7B4A">
      <w:pPr>
        <w:keepNext/>
        <w:keepLines/>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Wraz ze wzrostem średniego wynagrodzenia, za miesięczną wypłatę można kupić coraz większą ilość butelek piwa (w 2002 średnie wynagrodzenie wystarczało na ok. 836 butelek, a w 2020 już na 1787 butelek)</w:t>
      </w:r>
    </w:p>
    <w:p w14:paraId="6946F670" w14:textId="77777777" w:rsidR="00DA306F" w:rsidRPr="00FF7B4A" w:rsidRDefault="00DA306F" w:rsidP="00FF7B4A">
      <w:pPr>
        <w:spacing w:line="240" w:lineRule="auto"/>
        <w:rPr>
          <w:rFonts w:ascii="Times New Roman" w:hAnsi="Times New Roman" w:cs="Times New Roman"/>
          <w:sz w:val="24"/>
          <w:szCs w:val="24"/>
        </w:rPr>
      </w:pPr>
      <w:r w:rsidRPr="00FF7B4A">
        <w:rPr>
          <w:rFonts w:ascii="Times New Roman" w:hAnsi="Times New Roman" w:cs="Times New Roman"/>
          <w:noProof/>
          <w:sz w:val="24"/>
          <w:szCs w:val="24"/>
          <w:lang w:eastAsia="pl-PL"/>
        </w:rPr>
        <w:drawing>
          <wp:inline distT="0" distB="0" distL="0" distR="0" wp14:anchorId="1DA3FF90" wp14:editId="378FECF6">
            <wp:extent cx="5772150" cy="3114675"/>
            <wp:effectExtent l="0" t="0" r="0" b="952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5485" cy="3138059"/>
                    </a:xfrm>
                    <a:prstGeom prst="rect">
                      <a:avLst/>
                    </a:prstGeom>
                    <a:noFill/>
                  </pic:spPr>
                </pic:pic>
              </a:graphicData>
            </a:graphic>
          </wp:inline>
        </w:drawing>
      </w:r>
    </w:p>
    <w:p w14:paraId="62690A6A" w14:textId="77777777" w:rsidR="00DA306F" w:rsidRPr="00FF7B4A" w:rsidRDefault="00DA306F" w:rsidP="00FF7B4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Źródło: GUS</w:t>
      </w:r>
      <w:r w:rsidR="00317548" w:rsidRPr="00FF7B4A">
        <w:rPr>
          <w:rFonts w:ascii="Times New Roman" w:hAnsi="Times New Roman" w:cs="Times New Roman"/>
          <w:sz w:val="24"/>
          <w:szCs w:val="24"/>
        </w:rPr>
        <w:t>; piwo jasne pełne, butelkowane – za 0,5</w:t>
      </w:r>
      <w:r w:rsidR="00FF7B4A" w:rsidRPr="00FF7B4A">
        <w:rPr>
          <w:rFonts w:ascii="Times New Roman" w:hAnsi="Times New Roman" w:cs="Times New Roman"/>
          <w:sz w:val="24"/>
          <w:szCs w:val="24"/>
        </w:rPr>
        <w:t xml:space="preserve"> </w:t>
      </w:r>
      <w:r w:rsidR="00317548" w:rsidRPr="00FF7B4A">
        <w:rPr>
          <w:rFonts w:ascii="Times New Roman" w:hAnsi="Times New Roman" w:cs="Times New Roman"/>
          <w:sz w:val="24"/>
          <w:szCs w:val="24"/>
        </w:rPr>
        <w:t>l</w:t>
      </w:r>
      <w:r w:rsidR="00FF7B4A" w:rsidRPr="00FF7B4A">
        <w:rPr>
          <w:rFonts w:ascii="Times New Roman" w:hAnsi="Times New Roman" w:cs="Times New Roman"/>
          <w:sz w:val="24"/>
          <w:szCs w:val="24"/>
        </w:rPr>
        <w:t>.</w:t>
      </w:r>
    </w:p>
    <w:p w14:paraId="72C17BA4" w14:textId="77777777" w:rsidR="00DA306F" w:rsidRPr="00FF7B4A" w:rsidRDefault="00DA306F" w:rsidP="00FF7B4A">
      <w:pPr>
        <w:spacing w:line="360" w:lineRule="auto"/>
        <w:jc w:val="both"/>
        <w:rPr>
          <w:rFonts w:ascii="Times New Roman" w:hAnsi="Times New Roman" w:cs="Times New Roman"/>
          <w:b/>
          <w:sz w:val="24"/>
          <w:szCs w:val="24"/>
        </w:rPr>
      </w:pPr>
      <w:r w:rsidRPr="00FF7B4A">
        <w:rPr>
          <w:rFonts w:ascii="Times New Roman" w:hAnsi="Times New Roman" w:cs="Times New Roman"/>
          <w:b/>
          <w:sz w:val="24"/>
          <w:szCs w:val="24"/>
        </w:rPr>
        <w:t>Wino a średnie wynagrodzenie</w:t>
      </w:r>
    </w:p>
    <w:p w14:paraId="03B13B71" w14:textId="77777777" w:rsidR="00DA306F" w:rsidRPr="00FF7B4A" w:rsidRDefault="00DA306F" w:rsidP="00FF7B4A">
      <w:pPr>
        <w:spacing w:line="240" w:lineRule="auto"/>
        <w:rPr>
          <w:rFonts w:ascii="Times New Roman" w:hAnsi="Times New Roman" w:cs="Times New Roman"/>
          <w:sz w:val="24"/>
          <w:szCs w:val="24"/>
        </w:rPr>
      </w:pPr>
      <w:r w:rsidRPr="00FF7B4A">
        <w:rPr>
          <w:rFonts w:ascii="Times New Roman" w:hAnsi="Times New Roman" w:cs="Times New Roman"/>
          <w:noProof/>
          <w:sz w:val="24"/>
          <w:szCs w:val="24"/>
          <w:lang w:eastAsia="pl-PL"/>
        </w:rPr>
        <w:drawing>
          <wp:inline distT="0" distB="0" distL="0" distR="0" wp14:anchorId="2782754E" wp14:editId="52DB064E">
            <wp:extent cx="5196840" cy="3041220"/>
            <wp:effectExtent l="0" t="0" r="3810" b="698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3860" cy="3045328"/>
                    </a:xfrm>
                    <a:prstGeom prst="rect">
                      <a:avLst/>
                    </a:prstGeom>
                    <a:noFill/>
                  </pic:spPr>
                </pic:pic>
              </a:graphicData>
            </a:graphic>
          </wp:inline>
        </w:drawing>
      </w:r>
    </w:p>
    <w:p w14:paraId="41421114" w14:textId="752F49BC" w:rsidR="00DA306F" w:rsidRPr="00FF7B4A" w:rsidRDefault="00DA306F" w:rsidP="00FF7B4A">
      <w:pPr>
        <w:spacing w:line="360" w:lineRule="auto"/>
        <w:rPr>
          <w:rFonts w:ascii="Times New Roman" w:hAnsi="Times New Roman" w:cs="Times New Roman"/>
          <w:sz w:val="24"/>
          <w:szCs w:val="24"/>
        </w:rPr>
      </w:pPr>
      <w:r w:rsidRPr="00FF7B4A">
        <w:rPr>
          <w:rFonts w:ascii="Times New Roman" w:hAnsi="Times New Roman" w:cs="Times New Roman"/>
          <w:sz w:val="24"/>
          <w:szCs w:val="24"/>
        </w:rPr>
        <w:t>Źródło: Dane GUS za lata 2017</w:t>
      </w:r>
      <w:r w:rsidR="00FF7B4A" w:rsidRPr="00FF7B4A">
        <w:rPr>
          <w:rFonts w:ascii="Times New Roman" w:hAnsi="Times New Roman" w:cs="Times New Roman"/>
          <w:sz w:val="24"/>
          <w:szCs w:val="24"/>
        </w:rPr>
        <w:t>–</w:t>
      </w:r>
      <w:r w:rsidRPr="00FF7B4A">
        <w:rPr>
          <w:rFonts w:ascii="Times New Roman" w:hAnsi="Times New Roman" w:cs="Times New Roman"/>
          <w:sz w:val="24"/>
          <w:szCs w:val="24"/>
        </w:rPr>
        <w:t>20</w:t>
      </w:r>
      <w:r w:rsidR="00FF7B4A" w:rsidRPr="00FF7B4A">
        <w:rPr>
          <w:rFonts w:ascii="Times New Roman" w:hAnsi="Times New Roman" w:cs="Times New Roman"/>
          <w:sz w:val="24"/>
          <w:szCs w:val="24"/>
        </w:rPr>
        <w:t>20</w:t>
      </w:r>
      <w:r w:rsidRPr="00FF7B4A">
        <w:rPr>
          <w:rFonts w:ascii="Times New Roman" w:hAnsi="Times New Roman" w:cs="Times New Roman"/>
          <w:sz w:val="24"/>
          <w:szCs w:val="24"/>
        </w:rPr>
        <w:t xml:space="preserve"> (w 2016 zmieniła s</w:t>
      </w:r>
      <w:r w:rsidR="00317548" w:rsidRPr="00FF7B4A">
        <w:rPr>
          <w:rFonts w:ascii="Times New Roman" w:hAnsi="Times New Roman" w:cs="Times New Roman"/>
          <w:sz w:val="24"/>
          <w:szCs w:val="24"/>
        </w:rPr>
        <w:t>ię metodologia</w:t>
      </w:r>
      <w:r w:rsidR="00FF7B4A" w:rsidRPr="00FF7B4A">
        <w:rPr>
          <w:rFonts w:ascii="Times New Roman" w:hAnsi="Times New Roman" w:cs="Times New Roman"/>
          <w:sz w:val="24"/>
          <w:szCs w:val="24"/>
        </w:rPr>
        <w:t>,</w:t>
      </w:r>
      <w:r w:rsidR="00317548" w:rsidRPr="00FF7B4A">
        <w:rPr>
          <w:rFonts w:ascii="Times New Roman" w:hAnsi="Times New Roman" w:cs="Times New Roman"/>
          <w:sz w:val="24"/>
          <w:szCs w:val="24"/>
        </w:rPr>
        <w:t xml:space="preserve"> przez co nie można</w:t>
      </w:r>
      <w:r w:rsidRPr="00FF7B4A">
        <w:rPr>
          <w:rFonts w:ascii="Times New Roman" w:hAnsi="Times New Roman" w:cs="Times New Roman"/>
          <w:sz w:val="24"/>
          <w:szCs w:val="24"/>
        </w:rPr>
        <w:t xml:space="preserve"> porównać danych</w:t>
      </w:r>
      <w:r w:rsidR="00317548" w:rsidRPr="00FF7B4A">
        <w:rPr>
          <w:rFonts w:ascii="Times New Roman" w:hAnsi="Times New Roman" w:cs="Times New Roman"/>
          <w:sz w:val="24"/>
          <w:szCs w:val="24"/>
        </w:rPr>
        <w:t xml:space="preserve"> z wcześniejszymi latami); wino białe gronowe, wytrawne – za 0,75</w:t>
      </w:r>
      <w:r w:rsidR="00FF7B4A" w:rsidRPr="00FF7B4A">
        <w:rPr>
          <w:rFonts w:ascii="Times New Roman" w:hAnsi="Times New Roman" w:cs="Times New Roman"/>
          <w:sz w:val="24"/>
          <w:szCs w:val="24"/>
        </w:rPr>
        <w:t xml:space="preserve"> </w:t>
      </w:r>
      <w:r w:rsidR="00317548" w:rsidRPr="00FF7B4A">
        <w:rPr>
          <w:rFonts w:ascii="Times New Roman" w:hAnsi="Times New Roman" w:cs="Times New Roman"/>
          <w:sz w:val="24"/>
          <w:szCs w:val="24"/>
        </w:rPr>
        <w:t>l.</w:t>
      </w:r>
    </w:p>
    <w:p w14:paraId="1E95FA7E" w14:textId="77777777" w:rsidR="00317548" w:rsidRPr="00FF7B4A" w:rsidRDefault="00317548" w:rsidP="00FF7B4A">
      <w:pPr>
        <w:spacing w:line="360" w:lineRule="auto"/>
        <w:rPr>
          <w:rFonts w:ascii="Times New Roman" w:hAnsi="Times New Roman" w:cs="Times New Roman"/>
          <w:b/>
          <w:sz w:val="24"/>
          <w:szCs w:val="24"/>
        </w:rPr>
      </w:pPr>
      <w:r w:rsidRPr="00FF7B4A">
        <w:rPr>
          <w:rFonts w:ascii="Times New Roman" w:hAnsi="Times New Roman" w:cs="Times New Roman"/>
          <w:b/>
          <w:sz w:val="24"/>
          <w:szCs w:val="24"/>
        </w:rPr>
        <w:t>Papierosy a średnie wynagrodzenie</w:t>
      </w:r>
    </w:p>
    <w:p w14:paraId="7AB77F86" w14:textId="77777777" w:rsidR="00317548" w:rsidRPr="00FF7B4A" w:rsidRDefault="00317548" w:rsidP="00FF7B4A">
      <w:pPr>
        <w:spacing w:line="240" w:lineRule="auto"/>
        <w:rPr>
          <w:rFonts w:ascii="Times New Roman" w:hAnsi="Times New Roman" w:cs="Times New Roman"/>
          <w:sz w:val="24"/>
          <w:szCs w:val="24"/>
        </w:rPr>
      </w:pPr>
      <w:r w:rsidRPr="00FF7B4A">
        <w:rPr>
          <w:rFonts w:ascii="Times New Roman" w:hAnsi="Times New Roman" w:cs="Times New Roman"/>
          <w:noProof/>
          <w:sz w:val="24"/>
          <w:szCs w:val="24"/>
          <w:lang w:eastAsia="pl-PL"/>
        </w:rPr>
        <w:drawing>
          <wp:inline distT="0" distB="0" distL="0" distR="0" wp14:anchorId="378DB76D" wp14:editId="52C2A950">
            <wp:extent cx="5354912" cy="313372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8173" cy="3135634"/>
                    </a:xfrm>
                    <a:prstGeom prst="rect">
                      <a:avLst/>
                    </a:prstGeom>
                    <a:noFill/>
                  </pic:spPr>
                </pic:pic>
              </a:graphicData>
            </a:graphic>
          </wp:inline>
        </w:drawing>
      </w:r>
    </w:p>
    <w:p w14:paraId="6CA42A05" w14:textId="77777777" w:rsidR="00317548" w:rsidRPr="00FF7B4A" w:rsidRDefault="00317548" w:rsidP="00FF7B4A">
      <w:pPr>
        <w:spacing w:line="360" w:lineRule="auto"/>
        <w:rPr>
          <w:rFonts w:ascii="Times New Roman" w:hAnsi="Times New Roman" w:cs="Times New Roman"/>
          <w:sz w:val="24"/>
          <w:szCs w:val="24"/>
        </w:rPr>
      </w:pPr>
      <w:r w:rsidRPr="00FF7B4A">
        <w:rPr>
          <w:rFonts w:ascii="Times New Roman" w:hAnsi="Times New Roman" w:cs="Times New Roman"/>
          <w:sz w:val="24"/>
          <w:szCs w:val="24"/>
        </w:rPr>
        <w:t>Źródło: dane GUS; papierosy – za 20 szt.</w:t>
      </w:r>
    </w:p>
    <w:p w14:paraId="70ECE2D9" w14:textId="77777777" w:rsidR="00317548" w:rsidRPr="00FF7B4A" w:rsidRDefault="00317548" w:rsidP="00FF7B4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Wraz ze wzrostem średniego wynagrodzenia, za miesięczną wypłatę można kupić coraz większą ilość papierosów (w 2016 średnie wynagrodzenie wystarczało na 320 paczek, a w 2020 już na 377 paczek). Dane od 2013 ze względu na inną metodologię GUS-u przed tym rokiem</w:t>
      </w:r>
      <w:r w:rsidR="00FF7B4A">
        <w:rPr>
          <w:rFonts w:ascii="Times New Roman" w:hAnsi="Times New Roman" w:cs="Times New Roman"/>
          <w:sz w:val="24"/>
          <w:szCs w:val="24"/>
        </w:rPr>
        <w:t>.</w:t>
      </w:r>
    </w:p>
    <w:p w14:paraId="4AC7815D" w14:textId="77777777" w:rsidR="00317548" w:rsidRPr="00FF7B4A" w:rsidRDefault="00317548" w:rsidP="00FF7B4A">
      <w:pPr>
        <w:spacing w:line="360" w:lineRule="auto"/>
        <w:rPr>
          <w:rFonts w:ascii="Times New Roman" w:hAnsi="Times New Roman" w:cs="Times New Roman"/>
          <w:b/>
          <w:sz w:val="24"/>
          <w:szCs w:val="24"/>
        </w:rPr>
      </w:pPr>
      <w:r w:rsidRPr="00FF7B4A">
        <w:rPr>
          <w:rFonts w:ascii="Times New Roman" w:hAnsi="Times New Roman" w:cs="Times New Roman"/>
          <w:b/>
          <w:sz w:val="24"/>
          <w:szCs w:val="24"/>
        </w:rPr>
        <w:t>Podatek akcyzowy i spożycie papierosów w Polsce (2000-2019)</w:t>
      </w:r>
    </w:p>
    <w:p w14:paraId="62BAA13A" w14:textId="77777777" w:rsidR="00317548" w:rsidRPr="00FF7B4A" w:rsidRDefault="00317548" w:rsidP="00FF7B4A">
      <w:pPr>
        <w:spacing w:line="240" w:lineRule="auto"/>
        <w:rPr>
          <w:rFonts w:ascii="Times New Roman" w:hAnsi="Times New Roman" w:cs="Times New Roman"/>
          <w:sz w:val="24"/>
          <w:szCs w:val="24"/>
        </w:rPr>
      </w:pPr>
      <w:r w:rsidRPr="00FF7B4A">
        <w:rPr>
          <w:rFonts w:ascii="Times New Roman" w:hAnsi="Times New Roman" w:cs="Times New Roman"/>
          <w:noProof/>
          <w:sz w:val="24"/>
          <w:szCs w:val="24"/>
          <w:lang w:eastAsia="pl-PL"/>
        </w:rPr>
        <w:drawing>
          <wp:inline distT="0" distB="0" distL="0" distR="0" wp14:anchorId="10E63E4D" wp14:editId="6BF0DA73">
            <wp:extent cx="5593080" cy="3128249"/>
            <wp:effectExtent l="0" t="0" r="762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99117" cy="3131625"/>
                    </a:xfrm>
                    <a:prstGeom prst="rect">
                      <a:avLst/>
                    </a:prstGeom>
                    <a:noFill/>
                  </pic:spPr>
                </pic:pic>
              </a:graphicData>
            </a:graphic>
          </wp:inline>
        </w:drawing>
      </w:r>
    </w:p>
    <w:p w14:paraId="2CC8231C" w14:textId="77777777" w:rsidR="00317548" w:rsidRPr="00FF7B4A" w:rsidRDefault="00317548" w:rsidP="00FF7B4A">
      <w:pPr>
        <w:spacing w:line="360" w:lineRule="auto"/>
        <w:rPr>
          <w:rFonts w:ascii="Times New Roman" w:hAnsi="Times New Roman" w:cs="Times New Roman"/>
          <w:sz w:val="24"/>
          <w:szCs w:val="24"/>
        </w:rPr>
      </w:pPr>
      <w:r w:rsidRPr="00FF7B4A">
        <w:rPr>
          <w:rFonts w:ascii="Times New Roman" w:hAnsi="Times New Roman" w:cs="Times New Roman"/>
          <w:sz w:val="24"/>
          <w:szCs w:val="24"/>
        </w:rPr>
        <w:t>Źródło: GUS</w:t>
      </w:r>
      <w:r w:rsidR="00FF7B4A">
        <w:rPr>
          <w:rFonts w:ascii="Times New Roman" w:hAnsi="Times New Roman" w:cs="Times New Roman"/>
          <w:sz w:val="24"/>
          <w:szCs w:val="24"/>
        </w:rPr>
        <w:t>.</w:t>
      </w:r>
    </w:p>
    <w:p w14:paraId="14F7B860" w14:textId="77777777" w:rsidR="00317548" w:rsidRPr="00FF7B4A" w:rsidRDefault="00317548"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Gdy wysokość podatku w cenie paczki papierosów rosła najszybciej w latach 2004</w:t>
      </w:r>
      <w:r w:rsidR="008F1CDA">
        <w:t>–</w:t>
      </w:r>
      <w:r w:rsidRPr="00FF7B4A">
        <w:rPr>
          <w:rFonts w:ascii="Times New Roman" w:hAnsi="Times New Roman" w:cs="Times New Roman"/>
          <w:sz w:val="24"/>
          <w:szCs w:val="24"/>
        </w:rPr>
        <w:t>2014, był to również okres najszybszego spadku w sprzedaży papierosów. Gdy wzrost podatku wyhamował po 2014 roku, zmniejszyło się też tempo spadku spożycia papierosów.</w:t>
      </w:r>
    </w:p>
    <w:p w14:paraId="7E68EE1F" w14:textId="77777777"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Proponowana zmiana spowoduje:</w:t>
      </w:r>
    </w:p>
    <w:p w14:paraId="1A8424C2" w14:textId="7BF99993" w:rsidR="00195181" w:rsidRPr="00AC0DDB" w:rsidRDefault="008F1CDA" w:rsidP="00AC0DDB">
      <w:pPr>
        <w:pStyle w:val="Akapitzlist"/>
        <w:numPr>
          <w:ilvl w:val="0"/>
          <w:numId w:val="8"/>
        </w:numPr>
        <w:spacing w:after="0" w:line="360" w:lineRule="auto"/>
        <w:ind w:left="425"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o</w:t>
      </w:r>
      <w:r w:rsidR="00195181" w:rsidRPr="00AC0DDB">
        <w:rPr>
          <w:rFonts w:ascii="Times New Roman" w:eastAsia="Calibri" w:hAnsi="Times New Roman" w:cs="Times New Roman"/>
          <w:sz w:val="24"/>
          <w:szCs w:val="24"/>
        </w:rPr>
        <w:t>d 1 stycznia 2022 r.:</w:t>
      </w:r>
    </w:p>
    <w:p w14:paraId="5A82E5F1" w14:textId="3088C092" w:rsidR="00195181" w:rsidRPr="00FF7B4A" w:rsidRDefault="00195181" w:rsidP="00AC0DDB">
      <w:pPr>
        <w:numPr>
          <w:ilvl w:val="0"/>
          <w:numId w:val="10"/>
        </w:numPr>
        <w:spacing w:after="200" w:line="360" w:lineRule="auto"/>
        <w:contextualSpacing/>
        <w:jc w:val="both"/>
        <w:rPr>
          <w:rFonts w:ascii="Times New Roman" w:eastAsia="Calibri" w:hAnsi="Times New Roman" w:cs="Times New Roman"/>
          <w:sz w:val="24"/>
          <w:szCs w:val="24"/>
        </w:rPr>
      </w:pPr>
      <w:r w:rsidRPr="00FF7B4A">
        <w:rPr>
          <w:rFonts w:ascii="Times New Roman" w:eastAsia="Calibri" w:hAnsi="Times New Roman" w:cs="Times New Roman"/>
          <w:sz w:val="24"/>
          <w:szCs w:val="24"/>
        </w:rPr>
        <w:t>podwyższenie stawek akcyzy na alkohol etylowy, piwo, wino, napoje fermentowane</w:t>
      </w:r>
      <w:r w:rsidR="008465A9">
        <w:rPr>
          <w:rFonts w:ascii="Times New Roman" w:eastAsia="Calibri" w:hAnsi="Times New Roman" w:cs="Times New Roman"/>
          <w:sz w:val="24"/>
          <w:szCs w:val="24"/>
        </w:rPr>
        <w:t xml:space="preserve"> </w:t>
      </w:r>
      <w:r w:rsidRPr="00FF7B4A">
        <w:rPr>
          <w:rFonts w:ascii="Times New Roman" w:eastAsia="Calibri" w:hAnsi="Times New Roman" w:cs="Times New Roman"/>
          <w:sz w:val="24"/>
          <w:szCs w:val="24"/>
        </w:rPr>
        <w:t>i wyroby pośrednie o 10% (pod</w:t>
      </w:r>
      <w:r w:rsidR="00565733" w:rsidRPr="00FF7B4A">
        <w:rPr>
          <w:rFonts w:ascii="Times New Roman" w:eastAsia="Calibri" w:hAnsi="Times New Roman" w:cs="Times New Roman"/>
          <w:sz w:val="24"/>
          <w:szCs w:val="24"/>
        </w:rPr>
        <w:t>w</w:t>
      </w:r>
      <w:r w:rsidRPr="00FF7B4A">
        <w:rPr>
          <w:rFonts w:ascii="Times New Roman" w:eastAsia="Calibri" w:hAnsi="Times New Roman" w:cs="Times New Roman"/>
          <w:sz w:val="24"/>
          <w:szCs w:val="24"/>
        </w:rPr>
        <w:t xml:space="preserve">yżka nie obejmie cydru i </w:t>
      </w:r>
      <w:proofErr w:type="spellStart"/>
      <w:r w:rsidRPr="00FF7B4A">
        <w:rPr>
          <w:rFonts w:ascii="Times New Roman" w:eastAsia="Calibri" w:hAnsi="Times New Roman" w:cs="Times New Roman"/>
          <w:sz w:val="24"/>
          <w:szCs w:val="24"/>
        </w:rPr>
        <w:t>perry</w:t>
      </w:r>
      <w:proofErr w:type="spellEnd"/>
      <w:r w:rsidRPr="00FF7B4A">
        <w:rPr>
          <w:rFonts w:ascii="Times New Roman" w:eastAsia="Calibri" w:hAnsi="Times New Roman" w:cs="Times New Roman"/>
          <w:sz w:val="24"/>
          <w:szCs w:val="24"/>
        </w:rPr>
        <w:t xml:space="preserve"> o zaw. alkoholu do 5% obj.)</w:t>
      </w:r>
      <w:r w:rsidR="008F1CDA">
        <w:rPr>
          <w:rFonts w:ascii="Times New Roman" w:eastAsia="Calibri" w:hAnsi="Times New Roman" w:cs="Times New Roman"/>
          <w:sz w:val="24"/>
          <w:szCs w:val="24"/>
        </w:rPr>
        <w:t>,</w:t>
      </w:r>
    </w:p>
    <w:p w14:paraId="6ABC229E" w14:textId="77777777" w:rsidR="00195181" w:rsidRPr="00FF7B4A" w:rsidRDefault="00195181" w:rsidP="00AC0DDB">
      <w:pPr>
        <w:numPr>
          <w:ilvl w:val="0"/>
          <w:numId w:val="10"/>
        </w:numPr>
        <w:spacing w:after="200" w:line="360" w:lineRule="auto"/>
        <w:contextualSpacing/>
        <w:jc w:val="both"/>
        <w:rPr>
          <w:rFonts w:ascii="Times New Roman" w:eastAsia="Calibri" w:hAnsi="Times New Roman" w:cs="Times New Roman"/>
          <w:sz w:val="24"/>
          <w:szCs w:val="24"/>
        </w:rPr>
      </w:pPr>
      <w:r w:rsidRPr="00FF7B4A">
        <w:rPr>
          <w:rFonts w:ascii="Times New Roman" w:eastAsia="Calibri" w:hAnsi="Times New Roman" w:cs="Times New Roman"/>
          <w:sz w:val="24"/>
          <w:szCs w:val="24"/>
        </w:rPr>
        <w:t>podwyższenie minimalnej stawki akcyzy na papierosy z obecnych 100% do 105% całkowitej kwoty akcyzy, naliczonej od ceny równej średniej ważonej detalicznej cenie sprzedaży papierosów</w:t>
      </w:r>
      <w:r w:rsidR="008F1CDA">
        <w:rPr>
          <w:rFonts w:ascii="Times New Roman" w:eastAsia="Calibri" w:hAnsi="Times New Roman" w:cs="Times New Roman"/>
          <w:sz w:val="24"/>
          <w:szCs w:val="24"/>
        </w:rPr>
        <w:t>,</w:t>
      </w:r>
    </w:p>
    <w:p w14:paraId="4E88FFF5" w14:textId="77777777" w:rsidR="00195181" w:rsidRPr="00FF7B4A" w:rsidRDefault="00195181" w:rsidP="00AC0DDB">
      <w:pPr>
        <w:numPr>
          <w:ilvl w:val="0"/>
          <w:numId w:val="10"/>
        </w:numPr>
        <w:spacing w:after="200" w:line="360" w:lineRule="auto"/>
        <w:contextualSpacing/>
        <w:jc w:val="both"/>
        <w:rPr>
          <w:rFonts w:ascii="Times New Roman" w:eastAsia="Calibri" w:hAnsi="Times New Roman" w:cs="Times New Roman"/>
          <w:sz w:val="24"/>
          <w:szCs w:val="24"/>
        </w:rPr>
      </w:pPr>
      <w:r w:rsidRPr="00FF7B4A">
        <w:rPr>
          <w:rFonts w:ascii="Times New Roman" w:eastAsia="Calibri" w:hAnsi="Times New Roman" w:cs="Times New Roman"/>
          <w:sz w:val="24"/>
          <w:szCs w:val="24"/>
        </w:rPr>
        <w:t>wprowadzenie minimalnej stawki akcyzy na tytoń do palenia wysokości 100% całkowitej kwoty akcyzy, naliczonej od ceny równej średniej ważonej detalicznej cenie sprzedaży tytoniu do palenia</w:t>
      </w:r>
      <w:r w:rsidR="008F1CDA">
        <w:rPr>
          <w:rFonts w:ascii="Times New Roman" w:eastAsia="Calibri" w:hAnsi="Times New Roman" w:cs="Times New Roman"/>
          <w:sz w:val="24"/>
          <w:szCs w:val="24"/>
        </w:rPr>
        <w:t>,</w:t>
      </w:r>
    </w:p>
    <w:p w14:paraId="78D03DCE" w14:textId="77777777" w:rsidR="00195181" w:rsidRPr="00FF7B4A" w:rsidRDefault="00195181" w:rsidP="00AC0DDB">
      <w:pPr>
        <w:numPr>
          <w:ilvl w:val="0"/>
          <w:numId w:val="10"/>
        </w:numPr>
        <w:spacing w:after="200" w:line="360" w:lineRule="auto"/>
        <w:contextualSpacing/>
        <w:jc w:val="both"/>
        <w:rPr>
          <w:rFonts w:ascii="Times New Roman" w:eastAsia="Calibri" w:hAnsi="Times New Roman" w:cs="Times New Roman"/>
          <w:sz w:val="24"/>
          <w:szCs w:val="24"/>
        </w:rPr>
      </w:pPr>
      <w:r w:rsidRPr="00FF7B4A">
        <w:rPr>
          <w:rFonts w:ascii="Times New Roman" w:eastAsia="Calibri" w:hAnsi="Times New Roman" w:cs="Times New Roman"/>
          <w:sz w:val="24"/>
          <w:szCs w:val="24"/>
        </w:rPr>
        <w:t>podwyższenie stawki akcyzy na wyroby nowatorskie poprzez podniesienie stawki kwotowej o 100%</w:t>
      </w:r>
      <w:r w:rsidR="008F1CDA">
        <w:rPr>
          <w:rFonts w:ascii="Times New Roman" w:eastAsia="Calibri" w:hAnsi="Times New Roman" w:cs="Times New Roman"/>
          <w:sz w:val="24"/>
          <w:szCs w:val="24"/>
        </w:rPr>
        <w:t>;</w:t>
      </w:r>
    </w:p>
    <w:p w14:paraId="67E005F0" w14:textId="31859FC1" w:rsidR="00195181" w:rsidRPr="00FF7B4A" w:rsidRDefault="008F1CDA" w:rsidP="00AC0DDB">
      <w:pPr>
        <w:pStyle w:val="Akapitzlist"/>
        <w:numPr>
          <w:ilvl w:val="0"/>
          <w:numId w:val="8"/>
        </w:numPr>
        <w:spacing w:after="0" w:line="360" w:lineRule="auto"/>
        <w:ind w:left="425" w:hanging="357"/>
        <w:jc w:val="both"/>
        <w:rPr>
          <w:rFonts w:ascii="Times New Roman" w:eastAsia="Calibri" w:hAnsi="Times New Roman" w:cs="Times New Roman"/>
          <w:sz w:val="24"/>
          <w:szCs w:val="24"/>
        </w:rPr>
      </w:pPr>
      <w:r>
        <w:rPr>
          <w:rFonts w:ascii="Times New Roman" w:eastAsia="Calibri" w:hAnsi="Times New Roman" w:cs="Times New Roman"/>
          <w:sz w:val="24"/>
          <w:szCs w:val="24"/>
        </w:rPr>
        <w:t>n</w:t>
      </w:r>
      <w:r w:rsidR="00195181" w:rsidRPr="00FF7B4A">
        <w:rPr>
          <w:rFonts w:ascii="Times New Roman" w:eastAsia="Calibri" w:hAnsi="Times New Roman" w:cs="Times New Roman"/>
          <w:sz w:val="24"/>
          <w:szCs w:val="24"/>
        </w:rPr>
        <w:t>a lata 2023</w:t>
      </w:r>
      <w:r>
        <w:t>–</w:t>
      </w:r>
      <w:r w:rsidR="00195181" w:rsidRPr="00FF7B4A">
        <w:rPr>
          <w:rFonts w:ascii="Times New Roman" w:eastAsia="Calibri" w:hAnsi="Times New Roman" w:cs="Times New Roman"/>
          <w:sz w:val="24"/>
          <w:szCs w:val="24"/>
        </w:rPr>
        <w:t>2027 z</w:t>
      </w:r>
      <w:r w:rsidR="007D1CD5" w:rsidRPr="00FF7B4A">
        <w:rPr>
          <w:rFonts w:ascii="Times New Roman" w:eastAsia="Calibri" w:hAnsi="Times New Roman" w:cs="Times New Roman"/>
          <w:sz w:val="24"/>
          <w:szCs w:val="24"/>
        </w:rPr>
        <w:t>aproponowano wprowadzenie</w:t>
      </w:r>
      <w:r w:rsidR="00195181" w:rsidRPr="00FF7B4A">
        <w:rPr>
          <w:rFonts w:ascii="Times New Roman" w:eastAsia="Calibri" w:hAnsi="Times New Roman" w:cs="Times New Roman"/>
          <w:sz w:val="24"/>
          <w:szCs w:val="24"/>
        </w:rPr>
        <w:t xml:space="preserve"> „mapy drogowej”, czyli harmonogramu podwyżek podatku akcyzowego na:</w:t>
      </w:r>
    </w:p>
    <w:p w14:paraId="1850BD01" w14:textId="77777777" w:rsidR="00195181" w:rsidRPr="00FF7B4A" w:rsidRDefault="00195181" w:rsidP="00AC0DDB">
      <w:pPr>
        <w:numPr>
          <w:ilvl w:val="0"/>
          <w:numId w:val="11"/>
        </w:numPr>
        <w:spacing w:after="200" w:line="360" w:lineRule="auto"/>
        <w:contextualSpacing/>
        <w:jc w:val="both"/>
        <w:rPr>
          <w:rFonts w:ascii="Times New Roman" w:eastAsia="Calibri" w:hAnsi="Times New Roman" w:cs="Times New Roman"/>
          <w:sz w:val="24"/>
          <w:szCs w:val="24"/>
        </w:rPr>
      </w:pPr>
      <w:r w:rsidRPr="00FF7B4A">
        <w:rPr>
          <w:rFonts w:ascii="Times New Roman" w:eastAsia="Calibri" w:hAnsi="Times New Roman" w:cs="Times New Roman"/>
          <w:sz w:val="24"/>
          <w:szCs w:val="24"/>
        </w:rPr>
        <w:t>alkohol etylowy, piwo, wino, napoje fermentowane i wyroby pośrednie co roku o 5%</w:t>
      </w:r>
      <w:r w:rsidR="008F1CDA">
        <w:rPr>
          <w:rFonts w:ascii="Times New Roman" w:eastAsia="Calibri" w:hAnsi="Times New Roman" w:cs="Times New Roman"/>
          <w:sz w:val="24"/>
          <w:szCs w:val="24"/>
        </w:rPr>
        <w:t>,</w:t>
      </w:r>
      <w:r w:rsidRPr="00FF7B4A">
        <w:rPr>
          <w:rFonts w:ascii="Times New Roman" w:eastAsia="Calibri" w:hAnsi="Times New Roman" w:cs="Times New Roman"/>
          <w:sz w:val="24"/>
          <w:szCs w:val="24"/>
        </w:rPr>
        <w:t xml:space="preserve"> </w:t>
      </w:r>
    </w:p>
    <w:p w14:paraId="6C6F89A8" w14:textId="77777777" w:rsidR="00195181" w:rsidRPr="00FF7B4A" w:rsidRDefault="007A1568" w:rsidP="00AC0DDB">
      <w:pPr>
        <w:pStyle w:val="Akapitzlist"/>
        <w:numPr>
          <w:ilvl w:val="0"/>
          <w:numId w:val="11"/>
        </w:numPr>
        <w:spacing w:line="360" w:lineRule="auto"/>
        <w:jc w:val="both"/>
        <w:rPr>
          <w:rFonts w:ascii="Times New Roman" w:hAnsi="Times New Roman" w:cs="Times New Roman"/>
          <w:sz w:val="24"/>
          <w:szCs w:val="24"/>
        </w:rPr>
      </w:pPr>
      <w:r w:rsidRPr="00FF7B4A">
        <w:rPr>
          <w:rFonts w:ascii="Times New Roman" w:eastAsia="Calibri" w:hAnsi="Times New Roman" w:cs="Times New Roman"/>
          <w:sz w:val="24"/>
          <w:szCs w:val="24"/>
        </w:rPr>
        <w:t xml:space="preserve">papierosy, </w:t>
      </w:r>
      <w:r w:rsidR="00195181" w:rsidRPr="00FF7B4A">
        <w:rPr>
          <w:rFonts w:ascii="Times New Roman" w:eastAsia="Calibri" w:hAnsi="Times New Roman" w:cs="Times New Roman"/>
          <w:sz w:val="24"/>
          <w:szCs w:val="24"/>
        </w:rPr>
        <w:t>tytoń do palenia</w:t>
      </w:r>
      <w:r w:rsidRPr="00FF7B4A">
        <w:rPr>
          <w:rFonts w:ascii="Times New Roman" w:eastAsia="Calibri" w:hAnsi="Times New Roman" w:cs="Times New Roman"/>
          <w:sz w:val="24"/>
          <w:szCs w:val="24"/>
        </w:rPr>
        <w:t xml:space="preserve"> cygara i cygaretki</w:t>
      </w:r>
      <w:r w:rsidR="00195181" w:rsidRPr="00FF7B4A">
        <w:rPr>
          <w:rFonts w:ascii="Times New Roman" w:eastAsia="Calibri" w:hAnsi="Times New Roman" w:cs="Times New Roman"/>
          <w:sz w:val="24"/>
          <w:szCs w:val="24"/>
        </w:rPr>
        <w:t xml:space="preserve"> i wyroby nowatorskie </w:t>
      </w:r>
      <w:r w:rsidRPr="00FF7B4A">
        <w:rPr>
          <w:rFonts w:ascii="Times New Roman" w:eastAsia="Calibri" w:hAnsi="Times New Roman" w:cs="Times New Roman"/>
          <w:sz w:val="24"/>
          <w:szCs w:val="24"/>
        </w:rPr>
        <w:t xml:space="preserve">oraz susz tytoniowy </w:t>
      </w:r>
      <w:r w:rsidR="00195181" w:rsidRPr="00FF7B4A">
        <w:rPr>
          <w:rFonts w:ascii="Times New Roman" w:eastAsia="Calibri" w:hAnsi="Times New Roman" w:cs="Times New Roman"/>
          <w:sz w:val="24"/>
          <w:szCs w:val="24"/>
        </w:rPr>
        <w:t>poprzez podniesienie stawki kwotowej co roku o 10%.</w:t>
      </w:r>
    </w:p>
    <w:p w14:paraId="0E00D803" w14:textId="77777777"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 xml:space="preserve">Z zakresu projektowanej indeksacji akcyzy na używki wyłączono cydr i </w:t>
      </w:r>
      <w:proofErr w:type="spellStart"/>
      <w:r w:rsidRPr="00FF7B4A">
        <w:rPr>
          <w:rFonts w:ascii="Times New Roman" w:hAnsi="Times New Roman" w:cs="Times New Roman"/>
          <w:sz w:val="24"/>
          <w:szCs w:val="24"/>
        </w:rPr>
        <w:t>perry</w:t>
      </w:r>
      <w:proofErr w:type="spellEnd"/>
      <w:r w:rsidRPr="00FF7B4A">
        <w:rPr>
          <w:rFonts w:ascii="Times New Roman" w:hAnsi="Times New Roman" w:cs="Times New Roman"/>
          <w:sz w:val="24"/>
          <w:szCs w:val="24"/>
        </w:rPr>
        <w:t xml:space="preserve"> o mocy nieprzekraczającej 5% (wyroby te pozostaną opodatkowane preferencyjną stawką podatku akcyzowego w wysokości 97 zł od 1 hektolitra gotowego wyrobu) w celu rozwoju tego rynku i pośredniego wspierania produkcji sadowniczej, stanowiącej jeden z filarów polskiego rolnictwa. Wyłączenie obejmuje także akcyzę na płyny do papierosów elektronicznych.</w:t>
      </w:r>
    </w:p>
    <w:p w14:paraId="516BA6CF" w14:textId="77777777"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Szczegółowy zakres proponowanych zmian obejmuje:</w:t>
      </w:r>
    </w:p>
    <w:p w14:paraId="29EB2420" w14:textId="77777777"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Napoje alkoholowe</w:t>
      </w:r>
      <w:r w:rsidR="007D1CD5" w:rsidRPr="00FF7B4A">
        <w:rPr>
          <w:rFonts w:ascii="Times New Roman" w:hAnsi="Times New Roman" w:cs="Times New Roman"/>
          <w:sz w:val="24"/>
          <w:szCs w:val="24"/>
        </w:rPr>
        <w:t>, w tym:</w:t>
      </w:r>
    </w:p>
    <w:p w14:paraId="3CD599B2" w14:textId="762A7944" w:rsidR="00EA169F" w:rsidRPr="00AC0DDB" w:rsidRDefault="00EA169F" w:rsidP="00AC0DDB">
      <w:pPr>
        <w:pStyle w:val="Akapitzlist"/>
        <w:numPr>
          <w:ilvl w:val="0"/>
          <w:numId w:val="13"/>
        </w:numPr>
        <w:spacing w:line="360" w:lineRule="auto"/>
        <w:ind w:left="284"/>
        <w:jc w:val="both"/>
        <w:rPr>
          <w:rFonts w:ascii="Times New Roman" w:hAnsi="Times New Roman" w:cs="Times New Roman"/>
          <w:sz w:val="24"/>
          <w:szCs w:val="24"/>
        </w:rPr>
      </w:pPr>
      <w:r w:rsidRPr="00AC0DDB">
        <w:rPr>
          <w:rFonts w:ascii="Times New Roman" w:hAnsi="Times New Roman" w:cs="Times New Roman"/>
          <w:sz w:val="24"/>
          <w:szCs w:val="24"/>
        </w:rPr>
        <w:t>alkohol etylowy</w:t>
      </w:r>
      <w:r w:rsidR="008F1CDA">
        <w:rPr>
          <w:rFonts w:ascii="Times New Roman" w:hAnsi="Times New Roman" w:cs="Times New Roman"/>
          <w:sz w:val="24"/>
          <w:szCs w:val="24"/>
        </w:rPr>
        <w:t>:</w:t>
      </w:r>
      <w:r w:rsidRPr="00AC0DDB">
        <w:rPr>
          <w:rFonts w:ascii="Times New Roman" w:hAnsi="Times New Roman" w:cs="Times New Roman"/>
          <w:sz w:val="24"/>
          <w:szCs w:val="24"/>
        </w:rPr>
        <w:t xml:space="preserve"> </w:t>
      </w:r>
    </w:p>
    <w:p w14:paraId="697612BC" w14:textId="77777777" w:rsidR="00EA169F" w:rsidRPr="00AC0DDB" w:rsidRDefault="00EA169F" w:rsidP="00AC0DDB">
      <w:pPr>
        <w:pStyle w:val="Akapitzlist"/>
        <w:numPr>
          <w:ilvl w:val="0"/>
          <w:numId w:val="14"/>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2022 r. podwyżka z 6275,00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 do kwoty 6903,00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w:t>
      </w:r>
      <w:r w:rsidR="008F1CDA">
        <w:rPr>
          <w:rFonts w:ascii="Times New Roman" w:hAnsi="Times New Roman" w:cs="Times New Roman"/>
          <w:sz w:val="24"/>
          <w:szCs w:val="24"/>
        </w:rPr>
        <w:t>,</w:t>
      </w:r>
    </w:p>
    <w:p w14:paraId="71B9A4AA" w14:textId="77777777" w:rsidR="00EA169F" w:rsidRPr="00AC0DDB" w:rsidRDefault="00EA169F" w:rsidP="00AC0DDB">
      <w:pPr>
        <w:pStyle w:val="Akapitzlist"/>
        <w:numPr>
          <w:ilvl w:val="0"/>
          <w:numId w:val="14"/>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2023 r. podwyżka z 6903,00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 do kwoty 7248,00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w:t>
      </w:r>
      <w:r w:rsidR="008F1CDA">
        <w:rPr>
          <w:rFonts w:ascii="Times New Roman" w:hAnsi="Times New Roman" w:cs="Times New Roman"/>
          <w:sz w:val="24"/>
          <w:szCs w:val="24"/>
        </w:rPr>
        <w:t>,</w:t>
      </w:r>
    </w:p>
    <w:p w14:paraId="79EEFCF3" w14:textId="77777777" w:rsidR="00EA169F" w:rsidRPr="00AC0DDB" w:rsidRDefault="00EA169F" w:rsidP="00AC0DDB">
      <w:pPr>
        <w:pStyle w:val="Akapitzlist"/>
        <w:numPr>
          <w:ilvl w:val="0"/>
          <w:numId w:val="14"/>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2024 r. podwyżka z 7248,00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 do kwoty 7610,00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w:t>
      </w:r>
      <w:r w:rsidR="008F1CDA">
        <w:rPr>
          <w:rFonts w:ascii="Times New Roman" w:hAnsi="Times New Roman" w:cs="Times New Roman"/>
          <w:sz w:val="24"/>
          <w:szCs w:val="24"/>
        </w:rPr>
        <w:t>,</w:t>
      </w:r>
    </w:p>
    <w:p w14:paraId="606AE565" w14:textId="77777777" w:rsidR="00EA169F" w:rsidRPr="00AC0DDB" w:rsidRDefault="00EA169F" w:rsidP="00AC0DDB">
      <w:pPr>
        <w:pStyle w:val="Akapitzlist"/>
        <w:numPr>
          <w:ilvl w:val="0"/>
          <w:numId w:val="14"/>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2025 r. podwyżka z 7610,00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 do kwoty 7991,00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w:t>
      </w:r>
      <w:r w:rsidR="008F1CDA">
        <w:rPr>
          <w:rFonts w:ascii="Times New Roman" w:hAnsi="Times New Roman" w:cs="Times New Roman"/>
          <w:sz w:val="24"/>
          <w:szCs w:val="24"/>
        </w:rPr>
        <w:t>,</w:t>
      </w:r>
    </w:p>
    <w:p w14:paraId="7FEF3BEA" w14:textId="77777777" w:rsidR="00EA169F" w:rsidRPr="00AC0DDB" w:rsidRDefault="00EA169F" w:rsidP="00AC0DDB">
      <w:pPr>
        <w:pStyle w:val="Akapitzlist"/>
        <w:numPr>
          <w:ilvl w:val="0"/>
          <w:numId w:val="14"/>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2026 r. podwyżka z 7991,00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 do kwoty 8391,00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w:t>
      </w:r>
      <w:r w:rsidR="008F1CDA">
        <w:rPr>
          <w:rFonts w:ascii="Times New Roman" w:hAnsi="Times New Roman" w:cs="Times New Roman"/>
          <w:sz w:val="24"/>
          <w:szCs w:val="24"/>
        </w:rPr>
        <w:t>,</w:t>
      </w:r>
    </w:p>
    <w:p w14:paraId="17DA7340" w14:textId="77777777" w:rsidR="00EA169F" w:rsidRPr="00AC0DDB" w:rsidRDefault="00EA169F" w:rsidP="00AC0DDB">
      <w:pPr>
        <w:pStyle w:val="Akapitzlist"/>
        <w:numPr>
          <w:ilvl w:val="0"/>
          <w:numId w:val="14"/>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2027 r. podwyżka z 8391,00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 do kwoty 8811,00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100% vol.</w:t>
      </w:r>
      <w:r w:rsidR="008F1CDA">
        <w:rPr>
          <w:rFonts w:ascii="Times New Roman" w:hAnsi="Times New Roman" w:cs="Times New Roman"/>
          <w:sz w:val="24"/>
          <w:szCs w:val="24"/>
        </w:rPr>
        <w:t>;</w:t>
      </w:r>
    </w:p>
    <w:p w14:paraId="32841FD0" w14:textId="567B2049" w:rsidR="00EA169F" w:rsidRPr="00FF7B4A" w:rsidRDefault="00EA169F" w:rsidP="00AC0DDB">
      <w:pPr>
        <w:pStyle w:val="Akapitzlist"/>
        <w:numPr>
          <w:ilvl w:val="0"/>
          <w:numId w:val="13"/>
        </w:numPr>
        <w:spacing w:line="360" w:lineRule="auto"/>
        <w:ind w:left="284"/>
        <w:jc w:val="both"/>
        <w:rPr>
          <w:rFonts w:ascii="Times New Roman" w:hAnsi="Times New Roman" w:cs="Times New Roman"/>
          <w:sz w:val="24"/>
          <w:szCs w:val="24"/>
        </w:rPr>
      </w:pPr>
      <w:r w:rsidRPr="00FF7B4A">
        <w:rPr>
          <w:rFonts w:ascii="Times New Roman" w:hAnsi="Times New Roman" w:cs="Times New Roman"/>
          <w:sz w:val="24"/>
          <w:szCs w:val="24"/>
        </w:rPr>
        <w:t>piwo</w:t>
      </w:r>
      <w:r w:rsidR="008F1CDA">
        <w:rPr>
          <w:rFonts w:ascii="Times New Roman" w:hAnsi="Times New Roman" w:cs="Times New Roman"/>
          <w:sz w:val="24"/>
          <w:szCs w:val="24"/>
        </w:rPr>
        <w:t>:</w:t>
      </w:r>
    </w:p>
    <w:p w14:paraId="11C545EF" w14:textId="77777777" w:rsidR="00EA169F" w:rsidRPr="00AC0DDB" w:rsidRDefault="00EA169F" w:rsidP="00AC0DDB">
      <w:pPr>
        <w:pStyle w:val="Akapitzlist"/>
        <w:numPr>
          <w:ilvl w:val="0"/>
          <w:numId w:val="15"/>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2022 r. podwyżka z 8,57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 xml:space="preserve">Plato do kwoty 9,43 zł/ </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Plato,</w:t>
      </w:r>
    </w:p>
    <w:p w14:paraId="58188D5B" w14:textId="77777777" w:rsidR="00EA169F" w:rsidRPr="00AC0DDB" w:rsidRDefault="00EA169F" w:rsidP="00AC0DDB">
      <w:pPr>
        <w:pStyle w:val="Akapitzlist"/>
        <w:numPr>
          <w:ilvl w:val="0"/>
          <w:numId w:val="15"/>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2023 r. podwyżka z 9,43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 xml:space="preserve">Plato do kwoty 9,90 zł/ </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Plato,</w:t>
      </w:r>
    </w:p>
    <w:p w14:paraId="40F3CA5A" w14:textId="77777777" w:rsidR="00EA169F" w:rsidRPr="00AC0DDB" w:rsidRDefault="00EA169F" w:rsidP="00AC0DDB">
      <w:pPr>
        <w:pStyle w:val="Akapitzlist"/>
        <w:numPr>
          <w:ilvl w:val="0"/>
          <w:numId w:val="15"/>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2024 r. podwyżka z 9,90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 xml:space="preserve">Plato do kwoty 10,40 zł/ </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proofErr w:type="spellStart"/>
      <w:r w:rsidR="007D1CD5" w:rsidRPr="00AC0DDB">
        <w:rPr>
          <w:rFonts w:ascii="Times New Roman" w:hAnsi="Times New Roman" w:cs="Times New Roman"/>
          <w:sz w:val="24"/>
          <w:szCs w:val="24"/>
        </w:rPr>
        <w:t>st.</w:t>
      </w:r>
      <w:r w:rsidRPr="00AC0DDB">
        <w:rPr>
          <w:rFonts w:ascii="Times New Roman" w:hAnsi="Times New Roman" w:cs="Times New Roman"/>
          <w:sz w:val="24"/>
          <w:szCs w:val="24"/>
        </w:rPr>
        <w:t>Plato</w:t>
      </w:r>
      <w:proofErr w:type="spellEnd"/>
      <w:r w:rsidRPr="00AC0DDB">
        <w:rPr>
          <w:rFonts w:ascii="Times New Roman" w:hAnsi="Times New Roman" w:cs="Times New Roman"/>
          <w:sz w:val="24"/>
          <w:szCs w:val="24"/>
        </w:rPr>
        <w:t>,</w:t>
      </w:r>
    </w:p>
    <w:p w14:paraId="63A6C6EB" w14:textId="77777777" w:rsidR="00EA169F" w:rsidRPr="00AC0DDB" w:rsidRDefault="00EA169F" w:rsidP="00AC0DDB">
      <w:pPr>
        <w:pStyle w:val="Akapitzlist"/>
        <w:numPr>
          <w:ilvl w:val="0"/>
          <w:numId w:val="15"/>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2025 r. podwyżka z 10,40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 xml:space="preserve">Plato do kwoty 10,92 zł/ </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Plato,</w:t>
      </w:r>
    </w:p>
    <w:p w14:paraId="102A189D" w14:textId="173BB54D" w:rsidR="00EA169F" w:rsidRPr="00AC0DDB" w:rsidRDefault="00EA169F" w:rsidP="00AC0DDB">
      <w:pPr>
        <w:pStyle w:val="Akapitzlist"/>
        <w:numPr>
          <w:ilvl w:val="0"/>
          <w:numId w:val="15"/>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2026 r. podwyżka z 10,92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 xml:space="preserve">Plato do kwoty 11,47 zł/ </w:t>
      </w:r>
      <w:proofErr w:type="spellStart"/>
      <w:r w:rsidRPr="00AC0DDB">
        <w:rPr>
          <w:rFonts w:ascii="Times New Roman" w:hAnsi="Times New Roman" w:cs="Times New Roman"/>
          <w:sz w:val="24"/>
          <w:szCs w:val="24"/>
        </w:rPr>
        <w:t>hl</w:t>
      </w:r>
      <w:proofErr w:type="spellEnd"/>
      <w:r w:rsidR="008465A9">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Plato,</w:t>
      </w:r>
    </w:p>
    <w:p w14:paraId="39FF0073" w14:textId="4C9270A7" w:rsidR="00EA169F" w:rsidRPr="00AC0DDB" w:rsidRDefault="00EA169F" w:rsidP="00AC0DDB">
      <w:pPr>
        <w:pStyle w:val="Akapitzlist"/>
        <w:numPr>
          <w:ilvl w:val="0"/>
          <w:numId w:val="15"/>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2027 r. podwyżka z 11,47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 xml:space="preserve">Plato do kwoty 12,04 zł/ </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w:t>
      </w:r>
      <w:r w:rsidR="007D1CD5" w:rsidRPr="00AC0DDB">
        <w:rPr>
          <w:rFonts w:ascii="Times New Roman" w:hAnsi="Times New Roman" w:cs="Times New Roman"/>
          <w:sz w:val="24"/>
          <w:szCs w:val="24"/>
        </w:rPr>
        <w:t xml:space="preserve">st. </w:t>
      </w:r>
      <w:r w:rsidRPr="00AC0DDB">
        <w:rPr>
          <w:rFonts w:ascii="Times New Roman" w:hAnsi="Times New Roman" w:cs="Times New Roman"/>
          <w:sz w:val="24"/>
          <w:szCs w:val="24"/>
        </w:rPr>
        <w:t>Plato</w:t>
      </w:r>
      <w:r w:rsidR="008F1CDA">
        <w:rPr>
          <w:rFonts w:ascii="Times New Roman" w:hAnsi="Times New Roman" w:cs="Times New Roman"/>
          <w:sz w:val="24"/>
          <w:szCs w:val="24"/>
        </w:rPr>
        <w:t>;</w:t>
      </w:r>
    </w:p>
    <w:p w14:paraId="06C10536" w14:textId="28F8923B" w:rsidR="00EA169F" w:rsidRPr="00FF7B4A" w:rsidRDefault="00EA169F" w:rsidP="00AC0DDB">
      <w:pPr>
        <w:pStyle w:val="Akapitzlist"/>
        <w:numPr>
          <w:ilvl w:val="0"/>
          <w:numId w:val="13"/>
        </w:numPr>
        <w:spacing w:line="360" w:lineRule="auto"/>
        <w:ind w:left="284"/>
        <w:jc w:val="both"/>
        <w:rPr>
          <w:rFonts w:ascii="Times New Roman" w:hAnsi="Times New Roman" w:cs="Times New Roman"/>
          <w:sz w:val="24"/>
          <w:szCs w:val="24"/>
        </w:rPr>
      </w:pPr>
      <w:r w:rsidRPr="00FF7B4A">
        <w:rPr>
          <w:rFonts w:ascii="Times New Roman" w:hAnsi="Times New Roman" w:cs="Times New Roman"/>
          <w:sz w:val="24"/>
          <w:szCs w:val="24"/>
        </w:rPr>
        <w:t>wyroby winiarskie</w:t>
      </w:r>
      <w:r w:rsidR="007D1CD5" w:rsidRPr="00FF7B4A">
        <w:rPr>
          <w:rFonts w:ascii="Times New Roman" w:hAnsi="Times New Roman" w:cs="Times New Roman"/>
          <w:sz w:val="24"/>
          <w:szCs w:val="24"/>
        </w:rPr>
        <w:t>, w tym:</w:t>
      </w:r>
    </w:p>
    <w:p w14:paraId="35F19C65" w14:textId="630EB9EC" w:rsidR="00EA169F" w:rsidRPr="00FF7B4A" w:rsidRDefault="00EA169F" w:rsidP="00AC0DDB">
      <w:pPr>
        <w:pStyle w:val="Akapitzlist"/>
        <w:numPr>
          <w:ilvl w:val="0"/>
          <w:numId w:val="16"/>
        </w:num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wino i napoje fermentowane</w:t>
      </w:r>
      <w:r w:rsidR="008F1CDA">
        <w:rPr>
          <w:rFonts w:ascii="Times New Roman" w:hAnsi="Times New Roman" w:cs="Times New Roman"/>
          <w:sz w:val="24"/>
          <w:szCs w:val="24"/>
        </w:rPr>
        <w:t>:</w:t>
      </w:r>
    </w:p>
    <w:p w14:paraId="110995E0" w14:textId="77777777" w:rsidR="00EA169F" w:rsidRPr="00AC0DDB"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AC0DDB">
        <w:rPr>
          <w:rFonts w:ascii="Times New Roman" w:hAnsi="Times New Roman" w:cs="Times New Roman"/>
          <w:sz w:val="24"/>
          <w:szCs w:val="24"/>
        </w:rPr>
        <w:t>2022 r. podwyżka z 174,00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do kwoty 191,00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w:t>
      </w:r>
    </w:p>
    <w:p w14:paraId="37C77B48" w14:textId="77777777" w:rsidR="00EA169F" w:rsidRPr="00AC0DDB"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AC0DDB">
        <w:rPr>
          <w:rFonts w:ascii="Times New Roman" w:hAnsi="Times New Roman" w:cs="Times New Roman"/>
          <w:sz w:val="24"/>
          <w:szCs w:val="24"/>
        </w:rPr>
        <w:t>2023 r. podwyżka z 191,00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do kwoty 201,00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w:t>
      </w:r>
    </w:p>
    <w:p w14:paraId="7AD148E0" w14:textId="77777777" w:rsidR="00EA169F" w:rsidRPr="00AC0DDB"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AC0DDB">
        <w:rPr>
          <w:rFonts w:ascii="Times New Roman" w:hAnsi="Times New Roman" w:cs="Times New Roman"/>
          <w:sz w:val="24"/>
          <w:szCs w:val="24"/>
        </w:rPr>
        <w:t>2024 r. podwyżka z 201,00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do kwoty 211,00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w:t>
      </w:r>
    </w:p>
    <w:p w14:paraId="49E5C3C4" w14:textId="77777777" w:rsidR="00EA169F" w:rsidRPr="00AC0DDB"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AC0DDB">
        <w:rPr>
          <w:rFonts w:ascii="Times New Roman" w:hAnsi="Times New Roman" w:cs="Times New Roman"/>
          <w:sz w:val="24"/>
          <w:szCs w:val="24"/>
        </w:rPr>
        <w:t>2025 r. podwyżka z 211,00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do kwoty 222,00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w:t>
      </w:r>
    </w:p>
    <w:p w14:paraId="0E9422ED" w14:textId="77777777" w:rsidR="00EA169F" w:rsidRPr="00AC0DDB"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AC0DDB">
        <w:rPr>
          <w:rFonts w:ascii="Times New Roman" w:hAnsi="Times New Roman" w:cs="Times New Roman"/>
          <w:sz w:val="24"/>
          <w:szCs w:val="24"/>
        </w:rPr>
        <w:t>2026 r. podwyżka z 222,00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do kwoty 233,00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w:t>
      </w:r>
    </w:p>
    <w:p w14:paraId="640CA713" w14:textId="46FF806E" w:rsidR="00EA169F" w:rsidRPr="00AC0DDB"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AC0DDB">
        <w:rPr>
          <w:rFonts w:ascii="Times New Roman" w:hAnsi="Times New Roman" w:cs="Times New Roman"/>
          <w:sz w:val="24"/>
          <w:szCs w:val="24"/>
        </w:rPr>
        <w:t>2027 r. podwyżka z 233,00 zł/</w:t>
      </w:r>
      <w:proofErr w:type="spellStart"/>
      <w:r w:rsidRPr="00AC0DDB">
        <w:rPr>
          <w:rFonts w:ascii="Times New Roman" w:hAnsi="Times New Roman" w:cs="Times New Roman"/>
          <w:sz w:val="24"/>
          <w:szCs w:val="24"/>
        </w:rPr>
        <w:t>hl</w:t>
      </w:r>
      <w:proofErr w:type="spellEnd"/>
      <w:r w:rsidRPr="00AC0DDB">
        <w:rPr>
          <w:rFonts w:ascii="Times New Roman" w:hAnsi="Times New Roman" w:cs="Times New Roman"/>
          <w:sz w:val="24"/>
          <w:szCs w:val="24"/>
        </w:rPr>
        <w:t xml:space="preserve"> do kwoty 245,00 zł/</w:t>
      </w:r>
      <w:proofErr w:type="spellStart"/>
      <w:r w:rsidRPr="00AC0DDB">
        <w:rPr>
          <w:rFonts w:ascii="Times New Roman" w:hAnsi="Times New Roman" w:cs="Times New Roman"/>
          <w:sz w:val="24"/>
          <w:szCs w:val="24"/>
        </w:rPr>
        <w:t>hl</w:t>
      </w:r>
      <w:proofErr w:type="spellEnd"/>
      <w:r w:rsidR="008F1CDA">
        <w:rPr>
          <w:rFonts w:ascii="Times New Roman" w:hAnsi="Times New Roman" w:cs="Times New Roman"/>
          <w:sz w:val="24"/>
          <w:szCs w:val="24"/>
        </w:rPr>
        <w:t>,</w:t>
      </w:r>
    </w:p>
    <w:p w14:paraId="547280F5" w14:textId="52EED2CD" w:rsidR="00EA169F" w:rsidRPr="00FF7B4A" w:rsidRDefault="00EA169F" w:rsidP="00AC0DDB">
      <w:pPr>
        <w:pStyle w:val="Akapitzlist"/>
        <w:numPr>
          <w:ilvl w:val="0"/>
          <w:numId w:val="16"/>
        </w:num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wyroby pośrednie</w:t>
      </w:r>
      <w:r w:rsidR="008F1CDA">
        <w:rPr>
          <w:rFonts w:ascii="Times New Roman" w:hAnsi="Times New Roman" w:cs="Times New Roman"/>
          <w:sz w:val="24"/>
          <w:szCs w:val="24"/>
        </w:rPr>
        <w:t>:</w:t>
      </w:r>
    </w:p>
    <w:p w14:paraId="47CA16E9" w14:textId="77777777" w:rsidR="00EA169F" w:rsidRPr="00FF7B4A"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FF7B4A">
        <w:rPr>
          <w:rFonts w:ascii="Times New Roman" w:hAnsi="Times New Roman" w:cs="Times New Roman"/>
          <w:sz w:val="24"/>
          <w:szCs w:val="24"/>
        </w:rPr>
        <w:t>2022 r. podwyżka z 350,00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 xml:space="preserve"> do kwoty 385,00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w:t>
      </w:r>
    </w:p>
    <w:p w14:paraId="2EDDD5AB" w14:textId="77777777" w:rsidR="00EA169F" w:rsidRPr="00FF7B4A"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FF7B4A">
        <w:rPr>
          <w:rFonts w:ascii="Times New Roman" w:hAnsi="Times New Roman" w:cs="Times New Roman"/>
          <w:sz w:val="24"/>
          <w:szCs w:val="24"/>
        </w:rPr>
        <w:t>2023 r. podwyżka z 385,00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 xml:space="preserve"> do kwoty 404,00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w:t>
      </w:r>
    </w:p>
    <w:p w14:paraId="0F5ABF9D" w14:textId="77777777" w:rsidR="00EA169F" w:rsidRPr="00FF7B4A"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FF7B4A">
        <w:rPr>
          <w:rFonts w:ascii="Times New Roman" w:hAnsi="Times New Roman" w:cs="Times New Roman"/>
          <w:sz w:val="24"/>
          <w:szCs w:val="24"/>
        </w:rPr>
        <w:t>2024 r. podwyżka z 404,00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 xml:space="preserve"> do kwoty 424,00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w:t>
      </w:r>
    </w:p>
    <w:p w14:paraId="2775B03F" w14:textId="77777777" w:rsidR="00EA169F" w:rsidRPr="00FF7B4A"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FF7B4A">
        <w:rPr>
          <w:rFonts w:ascii="Times New Roman" w:hAnsi="Times New Roman" w:cs="Times New Roman"/>
          <w:sz w:val="24"/>
          <w:szCs w:val="24"/>
        </w:rPr>
        <w:t>2025 r. podwyżka z 424,00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 xml:space="preserve"> do kwoty 445,00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w:t>
      </w:r>
    </w:p>
    <w:p w14:paraId="68F71BEE" w14:textId="77777777" w:rsidR="00EA169F" w:rsidRPr="00FF7B4A"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FF7B4A">
        <w:rPr>
          <w:rFonts w:ascii="Times New Roman" w:hAnsi="Times New Roman" w:cs="Times New Roman"/>
          <w:sz w:val="24"/>
          <w:szCs w:val="24"/>
        </w:rPr>
        <w:t>2026 r. podwyżka z 445,00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 xml:space="preserve"> do kwoty 467,00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w:t>
      </w:r>
    </w:p>
    <w:p w14:paraId="6AF75865" w14:textId="77777777" w:rsidR="00EA169F" w:rsidRPr="00FF7B4A" w:rsidRDefault="00EA169F" w:rsidP="00AC0DDB">
      <w:pPr>
        <w:pStyle w:val="Akapitzlist"/>
        <w:numPr>
          <w:ilvl w:val="0"/>
          <w:numId w:val="17"/>
        </w:numPr>
        <w:spacing w:line="360" w:lineRule="auto"/>
        <w:ind w:left="993"/>
        <w:jc w:val="both"/>
        <w:rPr>
          <w:rFonts w:ascii="Times New Roman" w:hAnsi="Times New Roman" w:cs="Times New Roman"/>
          <w:sz w:val="24"/>
          <w:szCs w:val="24"/>
        </w:rPr>
      </w:pPr>
      <w:r w:rsidRPr="00FF7B4A">
        <w:rPr>
          <w:rFonts w:ascii="Times New Roman" w:hAnsi="Times New Roman" w:cs="Times New Roman"/>
          <w:sz w:val="24"/>
          <w:szCs w:val="24"/>
        </w:rPr>
        <w:t>2027 r. podwyżka z 467,00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 xml:space="preserve"> do kwoty 490,00 zł/</w:t>
      </w:r>
      <w:proofErr w:type="spellStart"/>
      <w:r w:rsidRPr="00FF7B4A">
        <w:rPr>
          <w:rFonts w:ascii="Times New Roman" w:hAnsi="Times New Roman" w:cs="Times New Roman"/>
          <w:sz w:val="24"/>
          <w:szCs w:val="24"/>
        </w:rPr>
        <w:t>hl</w:t>
      </w:r>
      <w:proofErr w:type="spellEnd"/>
      <w:r w:rsidRPr="00FF7B4A">
        <w:rPr>
          <w:rFonts w:ascii="Times New Roman" w:hAnsi="Times New Roman" w:cs="Times New Roman"/>
          <w:sz w:val="24"/>
          <w:szCs w:val="24"/>
        </w:rPr>
        <w:t>.</w:t>
      </w:r>
    </w:p>
    <w:p w14:paraId="2E06F9DA" w14:textId="77777777" w:rsidR="00EA169F" w:rsidRPr="00FF7B4A" w:rsidRDefault="00EA169F" w:rsidP="000F4131">
      <w:pPr>
        <w:keepNext/>
        <w:keepLines/>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Wzrost stawek podatku akcyzowego będzie oznaczać wzr</w:t>
      </w:r>
      <w:r w:rsidR="007D1CD5" w:rsidRPr="00FF7B4A">
        <w:rPr>
          <w:rFonts w:ascii="Times New Roman" w:hAnsi="Times New Roman" w:cs="Times New Roman"/>
          <w:sz w:val="24"/>
          <w:szCs w:val="24"/>
        </w:rPr>
        <w:t>ost cen napojów alkoholowych. W </w:t>
      </w:r>
      <w:r w:rsidRPr="00FF7B4A">
        <w:rPr>
          <w:rFonts w:ascii="Times New Roman" w:hAnsi="Times New Roman" w:cs="Times New Roman"/>
          <w:sz w:val="24"/>
          <w:szCs w:val="24"/>
        </w:rPr>
        <w:t>przypadku przeniesienia przez podmioty obciążeń fiskalnych w zakresie podatku akcyzowego na konsumentów prawdopodobny jest następujący wzrost cen ww. wyrobów, a mianowicie:</w:t>
      </w:r>
    </w:p>
    <w:tbl>
      <w:tblPr>
        <w:tblW w:w="9067" w:type="dxa"/>
        <w:tblLayout w:type="fixed"/>
        <w:tblCellMar>
          <w:left w:w="70" w:type="dxa"/>
          <w:right w:w="70" w:type="dxa"/>
        </w:tblCellMar>
        <w:tblLook w:val="04A0" w:firstRow="1" w:lastRow="0" w:firstColumn="1" w:lastColumn="0" w:noHBand="0" w:noVBand="1"/>
      </w:tblPr>
      <w:tblGrid>
        <w:gridCol w:w="1730"/>
        <w:gridCol w:w="1985"/>
        <w:gridCol w:w="1701"/>
        <w:gridCol w:w="1701"/>
        <w:gridCol w:w="1950"/>
      </w:tblGrid>
      <w:tr w:rsidR="007D1CD5" w:rsidRPr="00FF7B4A" w14:paraId="5E29546F" w14:textId="77777777" w:rsidTr="00B562F2">
        <w:trPr>
          <w:trHeight w:val="811"/>
        </w:trPr>
        <w:tc>
          <w:tcPr>
            <w:tcW w:w="1730" w:type="dxa"/>
            <w:vMerge w:val="restart"/>
            <w:tcBorders>
              <w:top w:val="single" w:sz="4" w:space="0" w:color="auto"/>
              <w:left w:val="single" w:sz="4" w:space="0" w:color="auto"/>
              <w:right w:val="single" w:sz="4" w:space="0" w:color="auto"/>
            </w:tcBorders>
            <w:shd w:val="clear" w:color="auto" w:fill="FFFFFF"/>
            <w:noWrap/>
            <w:vAlign w:val="center"/>
            <w:hideMark/>
          </w:tcPr>
          <w:p w14:paraId="5CABEE0B" w14:textId="77777777" w:rsidR="007D1CD5" w:rsidRPr="00FF7B4A" w:rsidRDefault="007D1CD5" w:rsidP="008F1CDA">
            <w:pPr>
              <w:spacing w:after="0" w:line="240" w:lineRule="auto"/>
              <w:jc w:val="center"/>
              <w:rPr>
                <w:rFonts w:ascii="Times New Roman" w:eastAsia="Calibri" w:hAnsi="Times New Roman" w:cs="Times New Roman"/>
                <w:b/>
                <w:bCs/>
                <w:color w:val="000000"/>
                <w:sz w:val="24"/>
                <w:szCs w:val="24"/>
              </w:rPr>
            </w:pPr>
            <w:r w:rsidRPr="00FF7B4A">
              <w:rPr>
                <w:rFonts w:ascii="Times New Roman" w:eastAsia="Calibri" w:hAnsi="Times New Roman" w:cs="Times New Roman"/>
                <w:b/>
                <w:bCs/>
                <w:color w:val="000000"/>
                <w:sz w:val="24"/>
                <w:szCs w:val="24"/>
              </w:rPr>
              <w:t>Rok</w:t>
            </w:r>
          </w:p>
        </w:tc>
        <w:tc>
          <w:tcPr>
            <w:tcW w:w="7337"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14:paraId="4AD811A2" w14:textId="77777777" w:rsidR="007D1CD5" w:rsidRPr="00FF7B4A" w:rsidRDefault="007D1CD5" w:rsidP="008F1CDA">
            <w:pPr>
              <w:spacing w:after="0" w:line="240" w:lineRule="auto"/>
              <w:jc w:val="center"/>
              <w:rPr>
                <w:rFonts w:ascii="Times New Roman" w:eastAsia="Calibri" w:hAnsi="Times New Roman" w:cs="Times New Roman"/>
                <w:b/>
                <w:bCs/>
                <w:sz w:val="24"/>
                <w:szCs w:val="24"/>
              </w:rPr>
            </w:pPr>
            <w:r w:rsidRPr="00FF7B4A">
              <w:rPr>
                <w:rFonts w:ascii="Times New Roman" w:eastAsia="Calibri" w:hAnsi="Times New Roman" w:cs="Times New Roman"/>
                <w:b/>
                <w:bCs/>
                <w:sz w:val="24"/>
                <w:szCs w:val="24"/>
              </w:rPr>
              <w:t>Prognozowana cena butelki w zł z VAT po podwyżkach stawek akcyzy</w:t>
            </w:r>
          </w:p>
        </w:tc>
      </w:tr>
      <w:tr w:rsidR="007D1CD5" w:rsidRPr="00FF7B4A" w14:paraId="0CD19666" w14:textId="77777777" w:rsidTr="00B562F2">
        <w:trPr>
          <w:trHeight w:val="1200"/>
        </w:trPr>
        <w:tc>
          <w:tcPr>
            <w:tcW w:w="1730" w:type="dxa"/>
            <w:vMerge/>
            <w:tcBorders>
              <w:left w:val="single" w:sz="4" w:space="0" w:color="auto"/>
              <w:bottom w:val="single" w:sz="4" w:space="0" w:color="auto"/>
              <w:right w:val="single" w:sz="4" w:space="0" w:color="auto"/>
            </w:tcBorders>
            <w:shd w:val="clear" w:color="auto" w:fill="FFFFFF"/>
            <w:noWrap/>
            <w:vAlign w:val="center"/>
          </w:tcPr>
          <w:p w14:paraId="72990555" w14:textId="77777777" w:rsidR="007D1CD5" w:rsidRPr="00FF7B4A" w:rsidRDefault="007D1CD5" w:rsidP="008F1CDA">
            <w:pPr>
              <w:spacing w:after="0" w:line="240" w:lineRule="auto"/>
              <w:jc w:val="center"/>
              <w:rPr>
                <w:rFonts w:ascii="Times New Roman" w:eastAsia="Calibri" w:hAnsi="Times New Roman" w:cs="Times New Roman"/>
                <w:b/>
                <w:bCs/>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36E7401" w14:textId="77777777" w:rsidR="007D1CD5" w:rsidRPr="00FF7B4A" w:rsidRDefault="007D1CD5" w:rsidP="008F1CDA">
            <w:pPr>
              <w:spacing w:after="0" w:line="240" w:lineRule="auto"/>
              <w:jc w:val="center"/>
              <w:rPr>
                <w:rFonts w:ascii="Times New Roman" w:eastAsia="Calibri" w:hAnsi="Times New Roman" w:cs="Times New Roman"/>
                <w:b/>
                <w:bCs/>
                <w:color w:val="FF0000"/>
                <w:sz w:val="24"/>
                <w:szCs w:val="24"/>
              </w:rPr>
            </w:pPr>
            <w:r w:rsidRPr="00FF7B4A">
              <w:rPr>
                <w:rFonts w:ascii="Times New Roman" w:eastAsia="Calibri" w:hAnsi="Times New Roman" w:cs="Times New Roman"/>
                <w:b/>
                <w:bCs/>
                <w:sz w:val="24"/>
                <w:szCs w:val="24"/>
              </w:rPr>
              <w:t>cena 0,5 l butelki wódki 40% vol.</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6F653A61" w14:textId="77777777" w:rsidR="007D1CD5" w:rsidRPr="00FF7B4A" w:rsidRDefault="007D1CD5" w:rsidP="008F1CDA">
            <w:pPr>
              <w:spacing w:after="0" w:line="240" w:lineRule="auto"/>
              <w:jc w:val="center"/>
              <w:rPr>
                <w:rFonts w:ascii="Times New Roman" w:eastAsia="Calibri" w:hAnsi="Times New Roman" w:cs="Times New Roman"/>
                <w:b/>
                <w:bCs/>
                <w:sz w:val="24"/>
                <w:szCs w:val="24"/>
              </w:rPr>
            </w:pPr>
            <w:r w:rsidRPr="00FF7B4A">
              <w:rPr>
                <w:rFonts w:ascii="Times New Roman" w:eastAsia="Calibri" w:hAnsi="Times New Roman" w:cs="Times New Roman"/>
                <w:b/>
                <w:bCs/>
                <w:sz w:val="24"/>
                <w:szCs w:val="24"/>
              </w:rPr>
              <w:t>cena 0,75 l butelki wina wytrawnego</w:t>
            </w:r>
          </w:p>
        </w:tc>
        <w:tc>
          <w:tcPr>
            <w:tcW w:w="1701" w:type="dxa"/>
            <w:tcBorders>
              <w:top w:val="single" w:sz="4" w:space="0" w:color="auto"/>
              <w:left w:val="nil"/>
              <w:bottom w:val="single" w:sz="4" w:space="0" w:color="auto"/>
              <w:right w:val="nil"/>
            </w:tcBorders>
            <w:shd w:val="clear" w:color="auto" w:fill="FFFFFF"/>
            <w:vAlign w:val="center"/>
          </w:tcPr>
          <w:p w14:paraId="197D8A5C" w14:textId="77777777" w:rsidR="007D1CD5" w:rsidRPr="00FF7B4A" w:rsidRDefault="007D1CD5" w:rsidP="008F1CDA">
            <w:pPr>
              <w:spacing w:after="0" w:line="240" w:lineRule="auto"/>
              <w:jc w:val="center"/>
              <w:rPr>
                <w:rFonts w:ascii="Times New Roman" w:eastAsia="Calibri" w:hAnsi="Times New Roman" w:cs="Times New Roman"/>
                <w:b/>
                <w:bCs/>
                <w:sz w:val="24"/>
                <w:szCs w:val="24"/>
              </w:rPr>
            </w:pPr>
            <w:r w:rsidRPr="00FF7B4A">
              <w:rPr>
                <w:rFonts w:ascii="Times New Roman" w:eastAsia="Calibri" w:hAnsi="Times New Roman" w:cs="Times New Roman"/>
                <w:b/>
                <w:bCs/>
                <w:sz w:val="24"/>
                <w:szCs w:val="24"/>
              </w:rPr>
              <w:t xml:space="preserve">cena 0,5 l piwa 12 °Plato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tcPr>
          <w:p w14:paraId="0031AD4A" w14:textId="77777777" w:rsidR="007D1CD5" w:rsidRPr="00FF7B4A" w:rsidRDefault="007D1CD5" w:rsidP="008F1CDA">
            <w:pPr>
              <w:spacing w:after="0" w:line="240" w:lineRule="auto"/>
              <w:jc w:val="center"/>
              <w:rPr>
                <w:rFonts w:ascii="Times New Roman" w:eastAsia="Calibri" w:hAnsi="Times New Roman" w:cs="Times New Roman"/>
                <w:b/>
                <w:bCs/>
                <w:sz w:val="24"/>
                <w:szCs w:val="24"/>
              </w:rPr>
            </w:pPr>
            <w:r w:rsidRPr="00FF7B4A">
              <w:rPr>
                <w:rFonts w:ascii="Times New Roman" w:eastAsia="Calibri" w:hAnsi="Times New Roman" w:cs="Times New Roman"/>
                <w:b/>
                <w:bCs/>
                <w:sz w:val="24"/>
                <w:szCs w:val="24"/>
              </w:rPr>
              <w:t xml:space="preserve">cena 0,5 l butelki wyrobu pośredniego </w:t>
            </w:r>
          </w:p>
        </w:tc>
      </w:tr>
      <w:tr w:rsidR="007D1CD5" w:rsidRPr="00FF7B4A" w14:paraId="4A1D312A" w14:textId="77777777" w:rsidTr="00B562F2">
        <w:trPr>
          <w:trHeight w:val="300"/>
        </w:trPr>
        <w:tc>
          <w:tcPr>
            <w:tcW w:w="1730"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5F838878" w14:textId="77777777" w:rsidR="007D1CD5" w:rsidRPr="00FF7B4A" w:rsidRDefault="007D1CD5" w:rsidP="008F1CDA">
            <w:pPr>
              <w:spacing w:after="0" w:line="240" w:lineRule="auto"/>
              <w:rPr>
                <w:rFonts w:ascii="Times New Roman" w:eastAsia="Calibri" w:hAnsi="Times New Roman" w:cs="Times New Roman"/>
                <w:color w:val="000000"/>
                <w:sz w:val="24"/>
                <w:szCs w:val="24"/>
              </w:rPr>
            </w:pPr>
            <w:r w:rsidRPr="00FF7B4A">
              <w:rPr>
                <w:rFonts w:ascii="Times New Roman" w:eastAsia="Calibri" w:hAnsi="Times New Roman" w:cs="Times New Roman"/>
                <w:b/>
                <w:color w:val="000000"/>
                <w:sz w:val="24"/>
                <w:szCs w:val="24"/>
              </w:rPr>
              <w:t xml:space="preserve">OBECNIE                    </w:t>
            </w:r>
            <w:r w:rsidRPr="00FF7B4A">
              <w:rPr>
                <w:rFonts w:ascii="Times New Roman" w:eastAsia="Calibri" w:hAnsi="Times New Roman" w:cs="Times New Roman"/>
                <w:color w:val="000000"/>
                <w:sz w:val="24"/>
                <w:szCs w:val="24"/>
              </w:rPr>
              <w:t>2021</w:t>
            </w:r>
          </w:p>
        </w:tc>
        <w:tc>
          <w:tcPr>
            <w:tcW w:w="1985" w:type="dxa"/>
            <w:tcBorders>
              <w:top w:val="nil"/>
              <w:left w:val="nil"/>
              <w:bottom w:val="single" w:sz="4" w:space="0" w:color="auto"/>
              <w:right w:val="single" w:sz="4" w:space="0" w:color="auto"/>
            </w:tcBorders>
            <w:shd w:val="clear" w:color="000000" w:fill="FFFFFF"/>
            <w:vAlign w:val="center"/>
            <w:hideMark/>
          </w:tcPr>
          <w:p w14:paraId="54173B66" w14:textId="77777777" w:rsidR="007D1CD5" w:rsidRPr="00FF7B4A" w:rsidRDefault="007D1CD5" w:rsidP="008F1CDA">
            <w:pPr>
              <w:spacing w:after="0" w:line="240" w:lineRule="auto"/>
              <w:jc w:val="center"/>
              <w:rPr>
                <w:rFonts w:ascii="Times New Roman" w:eastAsia="Calibri" w:hAnsi="Times New Roman" w:cs="Times New Roman"/>
                <w:bCs/>
                <w:color w:val="000000"/>
                <w:sz w:val="24"/>
                <w:szCs w:val="24"/>
              </w:rPr>
            </w:pPr>
          </w:p>
          <w:p w14:paraId="1A4EA47B" w14:textId="77777777" w:rsidR="007D1CD5" w:rsidRPr="00FF7B4A" w:rsidRDefault="007D1CD5" w:rsidP="008F1CDA">
            <w:pPr>
              <w:spacing w:after="0" w:line="240" w:lineRule="auto"/>
              <w:jc w:val="center"/>
              <w:rPr>
                <w:rFonts w:ascii="Times New Roman" w:eastAsia="Calibri" w:hAnsi="Times New Roman" w:cs="Times New Roman"/>
                <w:bCs/>
                <w:color w:val="000000"/>
                <w:sz w:val="24"/>
                <w:szCs w:val="24"/>
              </w:rPr>
            </w:pPr>
            <w:r w:rsidRPr="00FF7B4A">
              <w:rPr>
                <w:rFonts w:ascii="Times New Roman" w:eastAsia="Calibri" w:hAnsi="Times New Roman" w:cs="Times New Roman"/>
                <w:bCs/>
                <w:color w:val="000000"/>
                <w:sz w:val="24"/>
                <w:szCs w:val="24"/>
              </w:rPr>
              <w:t>22,0</w:t>
            </w:r>
          </w:p>
        </w:tc>
        <w:tc>
          <w:tcPr>
            <w:tcW w:w="1701" w:type="dxa"/>
            <w:tcBorders>
              <w:top w:val="nil"/>
              <w:left w:val="nil"/>
              <w:bottom w:val="single" w:sz="4" w:space="0" w:color="auto"/>
              <w:right w:val="single" w:sz="4" w:space="0" w:color="auto"/>
            </w:tcBorders>
            <w:shd w:val="clear" w:color="auto" w:fill="auto"/>
            <w:noWrap/>
            <w:vAlign w:val="bottom"/>
            <w:hideMark/>
          </w:tcPr>
          <w:p w14:paraId="5608AFCA"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20,00</w:t>
            </w:r>
          </w:p>
        </w:tc>
        <w:tc>
          <w:tcPr>
            <w:tcW w:w="1701" w:type="dxa"/>
            <w:tcBorders>
              <w:top w:val="nil"/>
              <w:left w:val="nil"/>
              <w:bottom w:val="single" w:sz="4" w:space="0" w:color="auto"/>
              <w:right w:val="single" w:sz="4" w:space="0" w:color="auto"/>
            </w:tcBorders>
            <w:shd w:val="clear" w:color="auto" w:fill="auto"/>
            <w:noWrap/>
            <w:vAlign w:val="bottom"/>
            <w:hideMark/>
          </w:tcPr>
          <w:p w14:paraId="264CBF90"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2,80</w:t>
            </w:r>
          </w:p>
        </w:tc>
        <w:tc>
          <w:tcPr>
            <w:tcW w:w="1950" w:type="dxa"/>
            <w:tcBorders>
              <w:top w:val="nil"/>
              <w:left w:val="nil"/>
              <w:bottom w:val="single" w:sz="4" w:space="0" w:color="auto"/>
              <w:right w:val="single" w:sz="4" w:space="0" w:color="auto"/>
            </w:tcBorders>
            <w:shd w:val="clear" w:color="auto" w:fill="auto"/>
            <w:noWrap/>
            <w:vAlign w:val="bottom"/>
            <w:hideMark/>
          </w:tcPr>
          <w:p w14:paraId="695DAF5B"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30,00</w:t>
            </w:r>
          </w:p>
        </w:tc>
      </w:tr>
      <w:tr w:rsidR="007D1CD5" w:rsidRPr="00FF7B4A" w14:paraId="080FBA4A" w14:textId="77777777" w:rsidTr="00B562F2">
        <w:trPr>
          <w:trHeight w:val="300"/>
        </w:trPr>
        <w:tc>
          <w:tcPr>
            <w:tcW w:w="1730"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CF402CE"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2022</w:t>
            </w:r>
          </w:p>
        </w:tc>
        <w:tc>
          <w:tcPr>
            <w:tcW w:w="1985" w:type="dxa"/>
            <w:tcBorders>
              <w:top w:val="nil"/>
              <w:left w:val="nil"/>
              <w:bottom w:val="single" w:sz="4" w:space="0" w:color="auto"/>
              <w:right w:val="single" w:sz="4" w:space="0" w:color="auto"/>
            </w:tcBorders>
            <w:shd w:val="clear" w:color="000000" w:fill="FFFFFF"/>
            <w:vAlign w:val="center"/>
            <w:hideMark/>
          </w:tcPr>
          <w:p w14:paraId="181C7DEB" w14:textId="77777777" w:rsidR="007D1CD5" w:rsidRPr="00FF7B4A" w:rsidRDefault="007D1CD5" w:rsidP="008F1CDA">
            <w:pPr>
              <w:spacing w:after="0" w:line="240" w:lineRule="auto"/>
              <w:jc w:val="center"/>
              <w:rPr>
                <w:rFonts w:ascii="Times New Roman" w:eastAsia="Calibri" w:hAnsi="Times New Roman" w:cs="Times New Roman"/>
                <w:bCs/>
                <w:sz w:val="24"/>
                <w:szCs w:val="24"/>
              </w:rPr>
            </w:pPr>
            <w:r w:rsidRPr="00FF7B4A">
              <w:rPr>
                <w:rFonts w:ascii="Times New Roman" w:eastAsia="Calibri" w:hAnsi="Times New Roman" w:cs="Times New Roman"/>
                <w:bCs/>
                <w:sz w:val="24"/>
                <w:szCs w:val="24"/>
              </w:rPr>
              <w:t>23,5</w:t>
            </w:r>
          </w:p>
        </w:tc>
        <w:tc>
          <w:tcPr>
            <w:tcW w:w="1701" w:type="dxa"/>
            <w:tcBorders>
              <w:top w:val="nil"/>
              <w:left w:val="nil"/>
              <w:bottom w:val="single" w:sz="4" w:space="0" w:color="auto"/>
              <w:right w:val="single" w:sz="4" w:space="0" w:color="auto"/>
            </w:tcBorders>
            <w:shd w:val="clear" w:color="auto" w:fill="auto"/>
            <w:noWrap/>
            <w:vAlign w:val="bottom"/>
            <w:hideMark/>
          </w:tcPr>
          <w:p w14:paraId="18175520"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20,16</w:t>
            </w:r>
          </w:p>
        </w:tc>
        <w:tc>
          <w:tcPr>
            <w:tcW w:w="1701" w:type="dxa"/>
            <w:tcBorders>
              <w:top w:val="nil"/>
              <w:left w:val="nil"/>
              <w:bottom w:val="single" w:sz="4" w:space="0" w:color="auto"/>
              <w:right w:val="single" w:sz="4" w:space="0" w:color="auto"/>
            </w:tcBorders>
            <w:shd w:val="clear" w:color="auto" w:fill="auto"/>
            <w:noWrap/>
            <w:vAlign w:val="bottom"/>
            <w:hideMark/>
          </w:tcPr>
          <w:p w14:paraId="52295B4E"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2,86</w:t>
            </w:r>
          </w:p>
        </w:tc>
        <w:tc>
          <w:tcPr>
            <w:tcW w:w="1950" w:type="dxa"/>
            <w:tcBorders>
              <w:top w:val="nil"/>
              <w:left w:val="nil"/>
              <w:bottom w:val="single" w:sz="4" w:space="0" w:color="auto"/>
              <w:right w:val="single" w:sz="4" w:space="0" w:color="auto"/>
            </w:tcBorders>
            <w:shd w:val="clear" w:color="auto" w:fill="auto"/>
            <w:noWrap/>
            <w:vAlign w:val="bottom"/>
            <w:hideMark/>
          </w:tcPr>
          <w:p w14:paraId="17A09F66"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30,22</w:t>
            </w:r>
          </w:p>
        </w:tc>
      </w:tr>
      <w:tr w:rsidR="007D1CD5" w:rsidRPr="00FF7B4A" w14:paraId="7AF6B1B6" w14:textId="77777777" w:rsidTr="00B562F2">
        <w:trPr>
          <w:trHeight w:val="300"/>
        </w:trPr>
        <w:tc>
          <w:tcPr>
            <w:tcW w:w="173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E6A5F21"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2023</w:t>
            </w:r>
          </w:p>
        </w:tc>
        <w:tc>
          <w:tcPr>
            <w:tcW w:w="1985" w:type="dxa"/>
            <w:tcBorders>
              <w:top w:val="nil"/>
              <w:left w:val="nil"/>
              <w:bottom w:val="single" w:sz="4" w:space="0" w:color="auto"/>
              <w:right w:val="single" w:sz="4" w:space="0" w:color="auto"/>
            </w:tcBorders>
            <w:shd w:val="clear" w:color="000000" w:fill="FFFFFF"/>
            <w:vAlign w:val="center"/>
            <w:hideMark/>
          </w:tcPr>
          <w:p w14:paraId="31D0624F" w14:textId="77777777" w:rsidR="007D1CD5" w:rsidRPr="00FF7B4A" w:rsidRDefault="007D1CD5" w:rsidP="008F1CDA">
            <w:pPr>
              <w:spacing w:after="0" w:line="240" w:lineRule="auto"/>
              <w:jc w:val="center"/>
              <w:rPr>
                <w:rFonts w:ascii="Times New Roman" w:eastAsia="Calibri" w:hAnsi="Times New Roman" w:cs="Times New Roman"/>
                <w:bCs/>
                <w:sz w:val="24"/>
                <w:szCs w:val="24"/>
              </w:rPr>
            </w:pPr>
            <w:r w:rsidRPr="00FF7B4A">
              <w:rPr>
                <w:rFonts w:ascii="Times New Roman" w:eastAsia="Calibri" w:hAnsi="Times New Roman" w:cs="Times New Roman"/>
                <w:bCs/>
                <w:sz w:val="24"/>
                <w:szCs w:val="24"/>
              </w:rPr>
              <w:t>24,4</w:t>
            </w:r>
          </w:p>
        </w:tc>
        <w:tc>
          <w:tcPr>
            <w:tcW w:w="1701" w:type="dxa"/>
            <w:tcBorders>
              <w:top w:val="nil"/>
              <w:left w:val="nil"/>
              <w:bottom w:val="single" w:sz="4" w:space="0" w:color="auto"/>
              <w:right w:val="single" w:sz="4" w:space="0" w:color="auto"/>
            </w:tcBorders>
            <w:shd w:val="clear" w:color="auto" w:fill="auto"/>
            <w:noWrap/>
            <w:vAlign w:val="bottom"/>
            <w:hideMark/>
          </w:tcPr>
          <w:p w14:paraId="22584B11"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20,25</w:t>
            </w:r>
          </w:p>
        </w:tc>
        <w:tc>
          <w:tcPr>
            <w:tcW w:w="1701" w:type="dxa"/>
            <w:tcBorders>
              <w:top w:val="nil"/>
              <w:left w:val="nil"/>
              <w:bottom w:val="single" w:sz="4" w:space="0" w:color="auto"/>
              <w:right w:val="single" w:sz="4" w:space="0" w:color="auto"/>
            </w:tcBorders>
            <w:shd w:val="clear" w:color="auto" w:fill="auto"/>
            <w:noWrap/>
            <w:vAlign w:val="bottom"/>
            <w:hideMark/>
          </w:tcPr>
          <w:p w14:paraId="304480E7"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2,90</w:t>
            </w:r>
          </w:p>
        </w:tc>
        <w:tc>
          <w:tcPr>
            <w:tcW w:w="1950" w:type="dxa"/>
            <w:tcBorders>
              <w:top w:val="nil"/>
              <w:left w:val="nil"/>
              <w:bottom w:val="single" w:sz="4" w:space="0" w:color="auto"/>
              <w:right w:val="single" w:sz="4" w:space="0" w:color="auto"/>
            </w:tcBorders>
            <w:shd w:val="clear" w:color="auto" w:fill="auto"/>
            <w:noWrap/>
            <w:vAlign w:val="bottom"/>
            <w:hideMark/>
          </w:tcPr>
          <w:p w14:paraId="4F11DA76"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30,33</w:t>
            </w:r>
          </w:p>
        </w:tc>
      </w:tr>
      <w:tr w:rsidR="007D1CD5" w:rsidRPr="00FF7B4A" w14:paraId="3D2EF020" w14:textId="77777777" w:rsidTr="00B562F2">
        <w:trPr>
          <w:trHeight w:val="300"/>
        </w:trPr>
        <w:tc>
          <w:tcPr>
            <w:tcW w:w="173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50C92F1"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2024</w:t>
            </w:r>
          </w:p>
        </w:tc>
        <w:tc>
          <w:tcPr>
            <w:tcW w:w="1985" w:type="dxa"/>
            <w:tcBorders>
              <w:top w:val="nil"/>
              <w:left w:val="nil"/>
              <w:bottom w:val="single" w:sz="4" w:space="0" w:color="auto"/>
              <w:right w:val="single" w:sz="4" w:space="0" w:color="auto"/>
            </w:tcBorders>
            <w:shd w:val="clear" w:color="000000" w:fill="FFFFFF"/>
            <w:vAlign w:val="center"/>
            <w:hideMark/>
          </w:tcPr>
          <w:p w14:paraId="2E6E2342" w14:textId="77777777" w:rsidR="007D1CD5" w:rsidRPr="00FF7B4A" w:rsidRDefault="007D1CD5" w:rsidP="008F1CDA">
            <w:pPr>
              <w:spacing w:after="0" w:line="240" w:lineRule="auto"/>
              <w:jc w:val="center"/>
              <w:rPr>
                <w:rFonts w:ascii="Times New Roman" w:eastAsia="Calibri" w:hAnsi="Times New Roman" w:cs="Times New Roman"/>
                <w:bCs/>
                <w:sz w:val="24"/>
                <w:szCs w:val="24"/>
              </w:rPr>
            </w:pPr>
            <w:r w:rsidRPr="00FF7B4A">
              <w:rPr>
                <w:rFonts w:ascii="Times New Roman" w:eastAsia="Calibri" w:hAnsi="Times New Roman" w:cs="Times New Roman"/>
                <w:bCs/>
                <w:sz w:val="24"/>
                <w:szCs w:val="24"/>
              </w:rPr>
              <w:t>25,3</w:t>
            </w:r>
          </w:p>
        </w:tc>
        <w:tc>
          <w:tcPr>
            <w:tcW w:w="1701" w:type="dxa"/>
            <w:tcBorders>
              <w:top w:val="nil"/>
              <w:left w:val="nil"/>
              <w:bottom w:val="single" w:sz="4" w:space="0" w:color="auto"/>
              <w:right w:val="single" w:sz="4" w:space="0" w:color="auto"/>
            </w:tcBorders>
            <w:shd w:val="clear" w:color="auto" w:fill="auto"/>
            <w:noWrap/>
            <w:vAlign w:val="bottom"/>
            <w:hideMark/>
          </w:tcPr>
          <w:p w14:paraId="524B708B"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20,34</w:t>
            </w:r>
          </w:p>
        </w:tc>
        <w:tc>
          <w:tcPr>
            <w:tcW w:w="1701" w:type="dxa"/>
            <w:tcBorders>
              <w:top w:val="nil"/>
              <w:left w:val="nil"/>
              <w:bottom w:val="single" w:sz="4" w:space="0" w:color="auto"/>
              <w:right w:val="single" w:sz="4" w:space="0" w:color="auto"/>
            </w:tcBorders>
            <w:shd w:val="clear" w:color="auto" w:fill="auto"/>
            <w:noWrap/>
            <w:vAlign w:val="bottom"/>
            <w:hideMark/>
          </w:tcPr>
          <w:p w14:paraId="33296EF8"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2,94</w:t>
            </w:r>
          </w:p>
        </w:tc>
        <w:tc>
          <w:tcPr>
            <w:tcW w:w="1950" w:type="dxa"/>
            <w:tcBorders>
              <w:top w:val="nil"/>
              <w:left w:val="nil"/>
              <w:bottom w:val="single" w:sz="4" w:space="0" w:color="auto"/>
              <w:right w:val="single" w:sz="4" w:space="0" w:color="auto"/>
            </w:tcBorders>
            <w:shd w:val="clear" w:color="auto" w:fill="auto"/>
            <w:noWrap/>
            <w:vAlign w:val="bottom"/>
            <w:hideMark/>
          </w:tcPr>
          <w:p w14:paraId="5792FE34"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30,46</w:t>
            </w:r>
          </w:p>
        </w:tc>
      </w:tr>
      <w:tr w:rsidR="007D1CD5" w:rsidRPr="00FF7B4A" w14:paraId="591CEFA1" w14:textId="77777777" w:rsidTr="00B562F2">
        <w:trPr>
          <w:trHeight w:val="300"/>
        </w:trPr>
        <w:tc>
          <w:tcPr>
            <w:tcW w:w="173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CBED04B"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2025</w:t>
            </w:r>
          </w:p>
        </w:tc>
        <w:tc>
          <w:tcPr>
            <w:tcW w:w="1985" w:type="dxa"/>
            <w:tcBorders>
              <w:top w:val="nil"/>
              <w:left w:val="nil"/>
              <w:bottom w:val="single" w:sz="4" w:space="0" w:color="auto"/>
              <w:right w:val="single" w:sz="4" w:space="0" w:color="auto"/>
            </w:tcBorders>
            <w:shd w:val="clear" w:color="000000" w:fill="FFFFFF"/>
            <w:vAlign w:val="center"/>
            <w:hideMark/>
          </w:tcPr>
          <w:p w14:paraId="4F49B0D3" w14:textId="77777777" w:rsidR="007D1CD5" w:rsidRPr="00FF7B4A" w:rsidRDefault="007D1CD5" w:rsidP="008F1CDA">
            <w:pPr>
              <w:spacing w:after="0" w:line="240" w:lineRule="auto"/>
              <w:jc w:val="center"/>
              <w:rPr>
                <w:rFonts w:ascii="Times New Roman" w:eastAsia="Calibri" w:hAnsi="Times New Roman" w:cs="Times New Roman"/>
                <w:bCs/>
                <w:sz w:val="24"/>
                <w:szCs w:val="24"/>
              </w:rPr>
            </w:pPr>
            <w:r w:rsidRPr="00FF7B4A">
              <w:rPr>
                <w:rFonts w:ascii="Times New Roman" w:eastAsia="Calibri" w:hAnsi="Times New Roman" w:cs="Times New Roman"/>
                <w:bCs/>
                <w:sz w:val="24"/>
                <w:szCs w:val="24"/>
              </w:rPr>
              <w:t>26,2</w:t>
            </w:r>
          </w:p>
        </w:tc>
        <w:tc>
          <w:tcPr>
            <w:tcW w:w="1701" w:type="dxa"/>
            <w:tcBorders>
              <w:top w:val="nil"/>
              <w:left w:val="nil"/>
              <w:bottom w:val="single" w:sz="4" w:space="0" w:color="auto"/>
              <w:right w:val="single" w:sz="4" w:space="0" w:color="auto"/>
            </w:tcBorders>
            <w:shd w:val="clear" w:color="auto" w:fill="auto"/>
            <w:noWrap/>
            <w:vAlign w:val="bottom"/>
            <w:hideMark/>
          </w:tcPr>
          <w:p w14:paraId="591177DA"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20,44</w:t>
            </w:r>
          </w:p>
        </w:tc>
        <w:tc>
          <w:tcPr>
            <w:tcW w:w="1701" w:type="dxa"/>
            <w:tcBorders>
              <w:top w:val="nil"/>
              <w:left w:val="nil"/>
              <w:bottom w:val="single" w:sz="4" w:space="0" w:color="auto"/>
              <w:right w:val="single" w:sz="4" w:space="0" w:color="auto"/>
            </w:tcBorders>
            <w:shd w:val="clear" w:color="auto" w:fill="auto"/>
            <w:noWrap/>
            <w:vAlign w:val="bottom"/>
            <w:hideMark/>
          </w:tcPr>
          <w:p w14:paraId="0E2FC0F0"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2,97</w:t>
            </w:r>
          </w:p>
        </w:tc>
        <w:tc>
          <w:tcPr>
            <w:tcW w:w="1950" w:type="dxa"/>
            <w:tcBorders>
              <w:top w:val="nil"/>
              <w:left w:val="nil"/>
              <w:bottom w:val="single" w:sz="4" w:space="0" w:color="auto"/>
              <w:right w:val="single" w:sz="4" w:space="0" w:color="auto"/>
            </w:tcBorders>
            <w:shd w:val="clear" w:color="auto" w:fill="auto"/>
            <w:noWrap/>
            <w:vAlign w:val="bottom"/>
            <w:hideMark/>
          </w:tcPr>
          <w:p w14:paraId="59096963"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30,58</w:t>
            </w:r>
          </w:p>
        </w:tc>
      </w:tr>
      <w:tr w:rsidR="007D1CD5" w:rsidRPr="00FF7B4A" w14:paraId="2295E7A9" w14:textId="77777777" w:rsidTr="00B562F2">
        <w:trPr>
          <w:trHeight w:val="300"/>
        </w:trPr>
        <w:tc>
          <w:tcPr>
            <w:tcW w:w="173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621C636"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2026</w:t>
            </w:r>
          </w:p>
        </w:tc>
        <w:tc>
          <w:tcPr>
            <w:tcW w:w="1985" w:type="dxa"/>
            <w:tcBorders>
              <w:top w:val="nil"/>
              <w:left w:val="nil"/>
              <w:bottom w:val="single" w:sz="4" w:space="0" w:color="auto"/>
              <w:right w:val="single" w:sz="4" w:space="0" w:color="auto"/>
            </w:tcBorders>
            <w:shd w:val="clear" w:color="000000" w:fill="FFFFFF"/>
            <w:vAlign w:val="center"/>
            <w:hideMark/>
          </w:tcPr>
          <w:p w14:paraId="18BDCD7A" w14:textId="77777777" w:rsidR="007D1CD5" w:rsidRPr="00FF7B4A" w:rsidRDefault="007D1CD5" w:rsidP="008F1CDA">
            <w:pPr>
              <w:spacing w:after="0" w:line="240" w:lineRule="auto"/>
              <w:jc w:val="center"/>
              <w:rPr>
                <w:rFonts w:ascii="Times New Roman" w:eastAsia="Calibri" w:hAnsi="Times New Roman" w:cs="Times New Roman"/>
                <w:bCs/>
                <w:sz w:val="24"/>
                <w:szCs w:val="24"/>
              </w:rPr>
            </w:pPr>
            <w:r w:rsidRPr="00FF7B4A">
              <w:rPr>
                <w:rFonts w:ascii="Times New Roman" w:eastAsia="Calibri" w:hAnsi="Times New Roman" w:cs="Times New Roman"/>
                <w:bCs/>
                <w:sz w:val="24"/>
                <w:szCs w:val="24"/>
              </w:rPr>
              <w:t>27,2</w:t>
            </w:r>
          </w:p>
        </w:tc>
        <w:tc>
          <w:tcPr>
            <w:tcW w:w="1701" w:type="dxa"/>
            <w:tcBorders>
              <w:top w:val="nil"/>
              <w:left w:val="nil"/>
              <w:bottom w:val="single" w:sz="4" w:space="0" w:color="auto"/>
              <w:right w:val="single" w:sz="4" w:space="0" w:color="auto"/>
            </w:tcBorders>
            <w:shd w:val="clear" w:color="auto" w:fill="auto"/>
            <w:noWrap/>
            <w:vAlign w:val="bottom"/>
            <w:hideMark/>
          </w:tcPr>
          <w:p w14:paraId="44807C37"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20,54</w:t>
            </w:r>
          </w:p>
        </w:tc>
        <w:tc>
          <w:tcPr>
            <w:tcW w:w="1701" w:type="dxa"/>
            <w:tcBorders>
              <w:top w:val="nil"/>
              <w:left w:val="nil"/>
              <w:bottom w:val="single" w:sz="4" w:space="0" w:color="auto"/>
              <w:right w:val="single" w:sz="4" w:space="0" w:color="auto"/>
            </w:tcBorders>
            <w:shd w:val="clear" w:color="auto" w:fill="auto"/>
            <w:noWrap/>
            <w:vAlign w:val="bottom"/>
            <w:hideMark/>
          </w:tcPr>
          <w:p w14:paraId="102A1AFB"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3,01</w:t>
            </w:r>
          </w:p>
        </w:tc>
        <w:tc>
          <w:tcPr>
            <w:tcW w:w="1950" w:type="dxa"/>
            <w:tcBorders>
              <w:top w:val="nil"/>
              <w:left w:val="nil"/>
              <w:bottom w:val="single" w:sz="4" w:space="0" w:color="auto"/>
              <w:right w:val="single" w:sz="4" w:space="0" w:color="auto"/>
            </w:tcBorders>
            <w:shd w:val="clear" w:color="auto" w:fill="auto"/>
            <w:noWrap/>
            <w:vAlign w:val="bottom"/>
            <w:hideMark/>
          </w:tcPr>
          <w:p w14:paraId="3A59D039"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30,72</w:t>
            </w:r>
          </w:p>
        </w:tc>
      </w:tr>
      <w:tr w:rsidR="007D1CD5" w:rsidRPr="00FF7B4A" w14:paraId="5140DF8E" w14:textId="77777777" w:rsidTr="00B562F2">
        <w:trPr>
          <w:trHeight w:val="300"/>
        </w:trPr>
        <w:tc>
          <w:tcPr>
            <w:tcW w:w="173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BE506C6"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2027</w:t>
            </w:r>
          </w:p>
        </w:tc>
        <w:tc>
          <w:tcPr>
            <w:tcW w:w="1985" w:type="dxa"/>
            <w:tcBorders>
              <w:top w:val="nil"/>
              <w:left w:val="nil"/>
              <w:bottom w:val="single" w:sz="4" w:space="0" w:color="auto"/>
              <w:right w:val="single" w:sz="4" w:space="0" w:color="auto"/>
            </w:tcBorders>
            <w:shd w:val="clear" w:color="000000" w:fill="FFFFFF"/>
            <w:vAlign w:val="center"/>
            <w:hideMark/>
          </w:tcPr>
          <w:p w14:paraId="4C41C59A" w14:textId="77777777" w:rsidR="007D1CD5" w:rsidRPr="00FF7B4A" w:rsidRDefault="007D1CD5" w:rsidP="008F1CDA">
            <w:pPr>
              <w:spacing w:after="0" w:line="240" w:lineRule="auto"/>
              <w:jc w:val="center"/>
              <w:rPr>
                <w:rFonts w:ascii="Times New Roman" w:eastAsia="Calibri" w:hAnsi="Times New Roman" w:cs="Times New Roman"/>
                <w:bCs/>
                <w:sz w:val="24"/>
                <w:szCs w:val="24"/>
              </w:rPr>
            </w:pPr>
            <w:r w:rsidRPr="00FF7B4A">
              <w:rPr>
                <w:rFonts w:ascii="Times New Roman" w:eastAsia="Calibri" w:hAnsi="Times New Roman" w:cs="Times New Roman"/>
                <w:bCs/>
                <w:sz w:val="24"/>
                <w:szCs w:val="24"/>
              </w:rPr>
              <w:t>28,2</w:t>
            </w:r>
          </w:p>
        </w:tc>
        <w:tc>
          <w:tcPr>
            <w:tcW w:w="1701" w:type="dxa"/>
            <w:tcBorders>
              <w:top w:val="nil"/>
              <w:left w:val="nil"/>
              <w:bottom w:val="single" w:sz="4" w:space="0" w:color="auto"/>
              <w:right w:val="single" w:sz="4" w:space="0" w:color="auto"/>
            </w:tcBorders>
            <w:shd w:val="clear" w:color="auto" w:fill="auto"/>
            <w:noWrap/>
            <w:vAlign w:val="bottom"/>
            <w:hideMark/>
          </w:tcPr>
          <w:p w14:paraId="12467F89"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20,65</w:t>
            </w:r>
          </w:p>
        </w:tc>
        <w:tc>
          <w:tcPr>
            <w:tcW w:w="1701" w:type="dxa"/>
            <w:tcBorders>
              <w:top w:val="nil"/>
              <w:left w:val="nil"/>
              <w:bottom w:val="single" w:sz="4" w:space="0" w:color="auto"/>
              <w:right w:val="single" w:sz="4" w:space="0" w:color="auto"/>
            </w:tcBorders>
            <w:shd w:val="clear" w:color="auto" w:fill="auto"/>
            <w:noWrap/>
            <w:vAlign w:val="bottom"/>
            <w:hideMark/>
          </w:tcPr>
          <w:p w14:paraId="35977566"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3,06</w:t>
            </w:r>
          </w:p>
        </w:tc>
        <w:tc>
          <w:tcPr>
            <w:tcW w:w="1950" w:type="dxa"/>
            <w:tcBorders>
              <w:top w:val="nil"/>
              <w:left w:val="nil"/>
              <w:bottom w:val="single" w:sz="4" w:space="0" w:color="auto"/>
              <w:right w:val="single" w:sz="4" w:space="0" w:color="auto"/>
            </w:tcBorders>
            <w:shd w:val="clear" w:color="auto" w:fill="auto"/>
            <w:noWrap/>
            <w:vAlign w:val="bottom"/>
            <w:hideMark/>
          </w:tcPr>
          <w:p w14:paraId="0E7FA09A" w14:textId="77777777" w:rsidR="007D1CD5" w:rsidRPr="00FF7B4A" w:rsidRDefault="007D1CD5" w:rsidP="008F1CDA">
            <w:pPr>
              <w:spacing w:after="0" w:line="240" w:lineRule="auto"/>
              <w:jc w:val="center"/>
              <w:rPr>
                <w:rFonts w:ascii="Times New Roman" w:eastAsia="Calibri" w:hAnsi="Times New Roman" w:cs="Times New Roman"/>
                <w:color w:val="000000"/>
                <w:sz w:val="24"/>
                <w:szCs w:val="24"/>
              </w:rPr>
            </w:pPr>
            <w:r w:rsidRPr="00FF7B4A">
              <w:rPr>
                <w:rFonts w:ascii="Times New Roman" w:eastAsia="Calibri" w:hAnsi="Times New Roman" w:cs="Times New Roman"/>
                <w:color w:val="000000"/>
                <w:sz w:val="24"/>
                <w:szCs w:val="24"/>
              </w:rPr>
              <w:t>30,86</w:t>
            </w:r>
          </w:p>
        </w:tc>
      </w:tr>
    </w:tbl>
    <w:p w14:paraId="40CD197C" w14:textId="77777777" w:rsidR="007D1CD5" w:rsidRPr="00FF7B4A" w:rsidRDefault="007D1CD5" w:rsidP="00FF7B4A">
      <w:pPr>
        <w:spacing w:line="360" w:lineRule="auto"/>
        <w:rPr>
          <w:rFonts w:ascii="Times New Roman" w:hAnsi="Times New Roman" w:cs="Times New Roman"/>
          <w:sz w:val="24"/>
          <w:szCs w:val="24"/>
        </w:rPr>
      </w:pPr>
    </w:p>
    <w:p w14:paraId="17578E27" w14:textId="77777777"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 xml:space="preserve">Wyroby tytoniowe </w:t>
      </w:r>
    </w:p>
    <w:p w14:paraId="14F53B6C" w14:textId="77777777"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 xml:space="preserve">Indeksacja stawek wyrobów tytoniowych zakłada zmiany w oparciu o poziom szacowanej średniej ważonej ceny detalicznej na papierosy i tytoń do palenia obowiązującej w roku 2021, przy założeniu pełnego przeniesienia zmienianej stawki na ceny wyrobów. W przypadku kwotowo-procentowych stawek akcyzy zaproponowano podniesienie tylko składnika kwotowego, tak aby dodatkowe obciążenie oddziaływało przede wszystkim na </w:t>
      </w:r>
      <w:r w:rsidR="007D1CD5" w:rsidRPr="00FF7B4A">
        <w:rPr>
          <w:rFonts w:ascii="Times New Roman" w:hAnsi="Times New Roman" w:cs="Times New Roman"/>
          <w:sz w:val="24"/>
          <w:szCs w:val="24"/>
        </w:rPr>
        <w:t>tańsze</w:t>
      </w:r>
      <w:r w:rsidRPr="00FF7B4A">
        <w:rPr>
          <w:rFonts w:ascii="Times New Roman" w:hAnsi="Times New Roman" w:cs="Times New Roman"/>
          <w:sz w:val="24"/>
          <w:szCs w:val="24"/>
        </w:rPr>
        <w:t xml:space="preserve"> segmenty rynku.</w:t>
      </w:r>
    </w:p>
    <w:p w14:paraId="1EF55C21" w14:textId="77777777"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Proponowane stawki podatku akcyzowego na wyroby tytoniowe wyniosą:</w:t>
      </w:r>
    </w:p>
    <w:p w14:paraId="45DC12D0" w14:textId="77777777" w:rsidR="00EA169F" w:rsidRPr="008F1CDA" w:rsidRDefault="00EA169F" w:rsidP="008F1CDA">
      <w:pPr>
        <w:pStyle w:val="Akapitzlist"/>
        <w:numPr>
          <w:ilvl w:val="0"/>
          <w:numId w:val="7"/>
        </w:numPr>
        <w:spacing w:line="360" w:lineRule="auto"/>
        <w:ind w:left="284"/>
        <w:jc w:val="both"/>
        <w:rPr>
          <w:rFonts w:ascii="Times New Roman" w:hAnsi="Times New Roman" w:cs="Times New Roman"/>
          <w:sz w:val="24"/>
          <w:szCs w:val="24"/>
        </w:rPr>
      </w:pPr>
      <w:r w:rsidRPr="008F1CDA">
        <w:rPr>
          <w:rFonts w:ascii="Times New Roman" w:hAnsi="Times New Roman" w:cs="Times New Roman"/>
          <w:sz w:val="24"/>
          <w:szCs w:val="24"/>
        </w:rPr>
        <w:t>na papierosy:</w:t>
      </w:r>
    </w:p>
    <w:p w14:paraId="26CA9194" w14:textId="5C8EF54C" w:rsidR="00EA169F" w:rsidRPr="00AC0DDB" w:rsidRDefault="00EA169F" w:rsidP="00AC0DDB">
      <w:pPr>
        <w:pStyle w:val="Akapitzlist"/>
        <w:numPr>
          <w:ilvl w:val="0"/>
          <w:numId w:val="6"/>
        </w:numPr>
        <w:spacing w:line="360" w:lineRule="auto"/>
        <w:ind w:left="709" w:hanging="349"/>
        <w:rPr>
          <w:rFonts w:ascii="Times New Roman" w:hAnsi="Times New Roman" w:cs="Times New Roman"/>
          <w:sz w:val="24"/>
          <w:szCs w:val="24"/>
        </w:rPr>
      </w:pPr>
      <w:r w:rsidRPr="00AC0DDB">
        <w:rPr>
          <w:rFonts w:ascii="Times New Roman" w:hAnsi="Times New Roman" w:cs="Times New Roman"/>
          <w:sz w:val="24"/>
          <w:szCs w:val="24"/>
        </w:rPr>
        <w:t>2023 r. z</w:t>
      </w:r>
      <w:r w:rsidR="008465A9">
        <w:rPr>
          <w:rFonts w:ascii="Times New Roman" w:hAnsi="Times New Roman" w:cs="Times New Roman"/>
          <w:sz w:val="24"/>
          <w:szCs w:val="24"/>
        </w:rPr>
        <w:t xml:space="preserve"> </w:t>
      </w:r>
      <w:r w:rsidRPr="00AC0DDB">
        <w:rPr>
          <w:rFonts w:ascii="Times New Roman" w:hAnsi="Times New Roman" w:cs="Times New Roman"/>
          <w:sz w:val="24"/>
          <w:szCs w:val="24"/>
        </w:rPr>
        <w:t>228,10 zł za każde 1000 sztuk i 32,05% maksymalnej ceny detalicznej, na 250,91 zł za każde 1000 sztuk i 32,05% maksymalnej ceny detalicznej,</w:t>
      </w:r>
    </w:p>
    <w:p w14:paraId="443F9057" w14:textId="73654A6F" w:rsidR="00EA169F" w:rsidRPr="00AC0DDB" w:rsidRDefault="00EA169F" w:rsidP="00AC0DDB">
      <w:pPr>
        <w:pStyle w:val="Akapitzlist"/>
        <w:numPr>
          <w:ilvl w:val="0"/>
          <w:numId w:val="6"/>
        </w:numPr>
        <w:spacing w:line="360" w:lineRule="auto"/>
        <w:ind w:left="709" w:hanging="349"/>
        <w:rPr>
          <w:rFonts w:ascii="Times New Roman" w:hAnsi="Times New Roman" w:cs="Times New Roman"/>
          <w:sz w:val="24"/>
          <w:szCs w:val="24"/>
        </w:rPr>
      </w:pPr>
      <w:r w:rsidRPr="00AC0DDB">
        <w:rPr>
          <w:rFonts w:ascii="Times New Roman" w:hAnsi="Times New Roman" w:cs="Times New Roman"/>
          <w:sz w:val="24"/>
          <w:szCs w:val="24"/>
        </w:rPr>
        <w:t>2024 r. z</w:t>
      </w:r>
      <w:r w:rsidR="008465A9">
        <w:rPr>
          <w:rFonts w:ascii="Times New Roman" w:hAnsi="Times New Roman" w:cs="Times New Roman"/>
          <w:sz w:val="24"/>
          <w:szCs w:val="24"/>
        </w:rPr>
        <w:t xml:space="preserve"> </w:t>
      </w:r>
      <w:r w:rsidRPr="00AC0DDB">
        <w:rPr>
          <w:rFonts w:ascii="Times New Roman" w:hAnsi="Times New Roman" w:cs="Times New Roman"/>
          <w:sz w:val="24"/>
          <w:szCs w:val="24"/>
        </w:rPr>
        <w:t>250,91 zł za każde 1000 sztuk i 32,05% maksymalnej ceny detalicznej, na 276,00 zł za każde 1000 sztuk i 32,05% maksymalnej ceny detalicznej,</w:t>
      </w:r>
    </w:p>
    <w:p w14:paraId="55912E93" w14:textId="0FE57EC3" w:rsidR="00EA169F" w:rsidRPr="00AC0DDB" w:rsidRDefault="00EA169F" w:rsidP="00AC0DDB">
      <w:pPr>
        <w:pStyle w:val="Akapitzlist"/>
        <w:numPr>
          <w:ilvl w:val="0"/>
          <w:numId w:val="6"/>
        </w:numPr>
        <w:spacing w:line="360" w:lineRule="auto"/>
        <w:ind w:left="709" w:hanging="349"/>
        <w:rPr>
          <w:rFonts w:ascii="Times New Roman" w:hAnsi="Times New Roman" w:cs="Times New Roman"/>
          <w:sz w:val="24"/>
          <w:szCs w:val="24"/>
        </w:rPr>
      </w:pPr>
      <w:r w:rsidRPr="00AC0DDB">
        <w:rPr>
          <w:rFonts w:ascii="Times New Roman" w:hAnsi="Times New Roman" w:cs="Times New Roman"/>
          <w:sz w:val="24"/>
          <w:szCs w:val="24"/>
        </w:rPr>
        <w:t>2025 r. z</w:t>
      </w:r>
      <w:r w:rsidR="008465A9">
        <w:rPr>
          <w:rFonts w:ascii="Times New Roman" w:hAnsi="Times New Roman" w:cs="Times New Roman"/>
          <w:sz w:val="24"/>
          <w:szCs w:val="24"/>
        </w:rPr>
        <w:t xml:space="preserve"> </w:t>
      </w:r>
      <w:r w:rsidRPr="00AC0DDB">
        <w:rPr>
          <w:rFonts w:ascii="Times New Roman" w:hAnsi="Times New Roman" w:cs="Times New Roman"/>
          <w:sz w:val="24"/>
          <w:szCs w:val="24"/>
        </w:rPr>
        <w:t>276,00 zł za każde 1000 sztuk i 32,05% maksymalnej ceny detalicznej, na 303,60 zł za każde 1000 sztuk i 32,05% maksymalnej ceny detalicznej,</w:t>
      </w:r>
    </w:p>
    <w:p w14:paraId="3DB4967E" w14:textId="723CAAD2" w:rsidR="00EA169F" w:rsidRPr="00AC0DDB" w:rsidRDefault="00EA169F" w:rsidP="00AC0DDB">
      <w:pPr>
        <w:pStyle w:val="Akapitzlist"/>
        <w:numPr>
          <w:ilvl w:val="0"/>
          <w:numId w:val="6"/>
        </w:numPr>
        <w:spacing w:line="360" w:lineRule="auto"/>
        <w:ind w:left="709" w:hanging="349"/>
        <w:rPr>
          <w:rFonts w:ascii="Times New Roman" w:hAnsi="Times New Roman" w:cs="Times New Roman"/>
          <w:sz w:val="24"/>
          <w:szCs w:val="24"/>
        </w:rPr>
      </w:pPr>
      <w:r w:rsidRPr="00AC0DDB">
        <w:rPr>
          <w:rFonts w:ascii="Times New Roman" w:hAnsi="Times New Roman" w:cs="Times New Roman"/>
          <w:sz w:val="24"/>
          <w:szCs w:val="24"/>
        </w:rPr>
        <w:t>2026 r. z</w:t>
      </w:r>
      <w:r w:rsidR="008465A9">
        <w:rPr>
          <w:rFonts w:ascii="Times New Roman" w:hAnsi="Times New Roman" w:cs="Times New Roman"/>
          <w:sz w:val="24"/>
          <w:szCs w:val="24"/>
        </w:rPr>
        <w:t xml:space="preserve"> </w:t>
      </w:r>
      <w:r w:rsidRPr="00AC0DDB">
        <w:rPr>
          <w:rFonts w:ascii="Times New Roman" w:hAnsi="Times New Roman" w:cs="Times New Roman"/>
          <w:sz w:val="24"/>
          <w:szCs w:val="24"/>
        </w:rPr>
        <w:t>303,60 zł za każde 1000 sztuk i 32,05% maksymalnej ceny detalicznej, na 333,96 zł za każde 1000 sztuk i 32,05% maksymalnej ceny detalicznej,</w:t>
      </w:r>
    </w:p>
    <w:p w14:paraId="53FE387D" w14:textId="630FFE8E" w:rsidR="00EA169F" w:rsidRPr="00AC0DDB" w:rsidRDefault="00EA169F" w:rsidP="00AC0DDB">
      <w:pPr>
        <w:pStyle w:val="Akapitzlist"/>
        <w:numPr>
          <w:ilvl w:val="0"/>
          <w:numId w:val="6"/>
        </w:numPr>
        <w:spacing w:line="360" w:lineRule="auto"/>
        <w:ind w:left="709" w:hanging="349"/>
        <w:rPr>
          <w:rFonts w:ascii="Times New Roman" w:hAnsi="Times New Roman" w:cs="Times New Roman"/>
          <w:sz w:val="24"/>
          <w:szCs w:val="24"/>
        </w:rPr>
      </w:pPr>
      <w:r w:rsidRPr="00AC0DDB">
        <w:rPr>
          <w:rFonts w:ascii="Times New Roman" w:hAnsi="Times New Roman" w:cs="Times New Roman"/>
          <w:sz w:val="24"/>
          <w:szCs w:val="24"/>
        </w:rPr>
        <w:t>2027 r. z</w:t>
      </w:r>
      <w:r w:rsidR="008465A9">
        <w:rPr>
          <w:rFonts w:ascii="Times New Roman" w:hAnsi="Times New Roman" w:cs="Times New Roman"/>
          <w:sz w:val="24"/>
          <w:szCs w:val="24"/>
        </w:rPr>
        <w:t xml:space="preserve"> </w:t>
      </w:r>
      <w:r w:rsidRPr="00AC0DDB">
        <w:rPr>
          <w:rFonts w:ascii="Times New Roman" w:hAnsi="Times New Roman" w:cs="Times New Roman"/>
          <w:sz w:val="24"/>
          <w:szCs w:val="24"/>
        </w:rPr>
        <w:t>333,96 zł za każde 1000 sztuk i 32,05% maksymalnej ceny detalicznej, na 367,36 zł za każde 1000 sztuk i 32,05% maksymalnej ceny detalicznej</w:t>
      </w:r>
      <w:r w:rsidR="008F1CDA" w:rsidRPr="00AC0DDB">
        <w:rPr>
          <w:rFonts w:ascii="Times New Roman" w:hAnsi="Times New Roman" w:cs="Times New Roman"/>
          <w:sz w:val="24"/>
          <w:szCs w:val="24"/>
        </w:rPr>
        <w:t>;</w:t>
      </w:r>
    </w:p>
    <w:p w14:paraId="5AC9EFA5" w14:textId="77777777" w:rsidR="00EA169F" w:rsidRPr="00FF7B4A" w:rsidRDefault="00EA169F" w:rsidP="008F1CDA">
      <w:pPr>
        <w:pStyle w:val="Akapitzlist"/>
        <w:numPr>
          <w:ilvl w:val="0"/>
          <w:numId w:val="7"/>
        </w:numPr>
        <w:spacing w:line="360" w:lineRule="auto"/>
        <w:ind w:left="284"/>
        <w:jc w:val="both"/>
        <w:rPr>
          <w:rFonts w:ascii="Times New Roman" w:hAnsi="Times New Roman" w:cs="Times New Roman"/>
          <w:sz w:val="24"/>
          <w:szCs w:val="24"/>
        </w:rPr>
      </w:pPr>
      <w:r w:rsidRPr="00FF7B4A">
        <w:rPr>
          <w:rFonts w:ascii="Times New Roman" w:hAnsi="Times New Roman" w:cs="Times New Roman"/>
          <w:sz w:val="24"/>
          <w:szCs w:val="24"/>
        </w:rPr>
        <w:t>na tytoń do palenia:</w:t>
      </w:r>
    </w:p>
    <w:p w14:paraId="0FFB7DC9" w14:textId="77777777" w:rsidR="00EA169F" w:rsidRPr="00AC0DDB" w:rsidRDefault="00EA169F" w:rsidP="00AC0DDB">
      <w:pPr>
        <w:pStyle w:val="Akapitzlist"/>
        <w:numPr>
          <w:ilvl w:val="0"/>
          <w:numId w:val="3"/>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2023 r. z 155,79 zł/kg i 32,05% maksymalnej ceny detalicznej, na 171,37 zł/kg i 32,05% maksymalnej ceny detalicznej,</w:t>
      </w:r>
    </w:p>
    <w:p w14:paraId="3E1550A0" w14:textId="77777777" w:rsidR="00EA169F" w:rsidRPr="00AC0DDB" w:rsidRDefault="00EA169F" w:rsidP="00AC0DDB">
      <w:pPr>
        <w:pStyle w:val="Akapitzlist"/>
        <w:numPr>
          <w:ilvl w:val="0"/>
          <w:numId w:val="3"/>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2024 r. z 171,37 zł/kg i 32,05% maksymalnej ceny detalicznej, na 188,51 zł/kg i 32,05% maksymalnej ceny detalicznej,</w:t>
      </w:r>
    </w:p>
    <w:p w14:paraId="52C2E456" w14:textId="77777777" w:rsidR="00EA169F" w:rsidRPr="00AC0DDB" w:rsidRDefault="00EA169F" w:rsidP="00AC0DDB">
      <w:pPr>
        <w:pStyle w:val="Akapitzlist"/>
        <w:numPr>
          <w:ilvl w:val="0"/>
          <w:numId w:val="3"/>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2025 r. z 188,51 zł/kg i 32,05% maksymalnej ceny detalicznej, na 207,36 zł/kg i 32,05% maksymalnej ceny detalicznej,</w:t>
      </w:r>
    </w:p>
    <w:p w14:paraId="19BEABC2" w14:textId="77777777" w:rsidR="00EA169F" w:rsidRPr="00AC0DDB" w:rsidRDefault="00EA169F" w:rsidP="00AC0DDB">
      <w:pPr>
        <w:pStyle w:val="Akapitzlist"/>
        <w:numPr>
          <w:ilvl w:val="0"/>
          <w:numId w:val="3"/>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2026 r. z 207,36 zł/kg i 32,05% maksymalnej ceny detalicznej, na 228,10 zł/kg i 32,05% maksymalnej ceny detalicznej,</w:t>
      </w:r>
    </w:p>
    <w:p w14:paraId="42CFF643" w14:textId="77A56AA5" w:rsidR="00EA169F" w:rsidRPr="00AC0DDB" w:rsidRDefault="00EA169F" w:rsidP="00AC0DDB">
      <w:pPr>
        <w:pStyle w:val="Akapitzlist"/>
        <w:numPr>
          <w:ilvl w:val="0"/>
          <w:numId w:val="3"/>
        </w:numPr>
        <w:spacing w:line="360" w:lineRule="auto"/>
        <w:jc w:val="both"/>
        <w:rPr>
          <w:rFonts w:ascii="Times New Roman" w:hAnsi="Times New Roman" w:cs="Times New Roman"/>
          <w:sz w:val="24"/>
          <w:szCs w:val="24"/>
        </w:rPr>
      </w:pPr>
      <w:r w:rsidRPr="00AC0DDB">
        <w:rPr>
          <w:rFonts w:ascii="Times New Roman" w:hAnsi="Times New Roman" w:cs="Times New Roman"/>
          <w:sz w:val="24"/>
          <w:szCs w:val="24"/>
        </w:rPr>
        <w:t>2027 r. z 228,10 zł/kg i 32,05% maksymalnej ceny detalicznej, na 250,91 zł/kg i 32,05% maksymalnej ceny detalicznej</w:t>
      </w:r>
      <w:r w:rsidR="008F1CDA" w:rsidRPr="00AC0DDB">
        <w:rPr>
          <w:rFonts w:ascii="Times New Roman" w:hAnsi="Times New Roman" w:cs="Times New Roman"/>
          <w:sz w:val="24"/>
          <w:szCs w:val="24"/>
        </w:rPr>
        <w:t>;</w:t>
      </w:r>
    </w:p>
    <w:p w14:paraId="3F273870" w14:textId="4EA42817" w:rsidR="00EA169F" w:rsidRPr="00FF7B4A" w:rsidRDefault="007A1568" w:rsidP="008F1CDA">
      <w:pPr>
        <w:pStyle w:val="Akapitzlist"/>
        <w:numPr>
          <w:ilvl w:val="0"/>
          <w:numId w:val="7"/>
        </w:numPr>
        <w:spacing w:line="360" w:lineRule="auto"/>
        <w:ind w:left="284"/>
        <w:jc w:val="both"/>
        <w:rPr>
          <w:rFonts w:ascii="Times New Roman" w:hAnsi="Times New Roman" w:cs="Times New Roman"/>
          <w:sz w:val="24"/>
          <w:szCs w:val="24"/>
        </w:rPr>
      </w:pPr>
      <w:r w:rsidRPr="00FF7B4A">
        <w:rPr>
          <w:rFonts w:ascii="Times New Roman" w:hAnsi="Times New Roman" w:cs="Times New Roman"/>
          <w:sz w:val="24"/>
          <w:szCs w:val="24"/>
        </w:rPr>
        <w:t>na cygara i cygaretki</w:t>
      </w:r>
      <w:r w:rsidR="00B11530">
        <w:rPr>
          <w:rFonts w:ascii="Times New Roman" w:hAnsi="Times New Roman" w:cs="Times New Roman"/>
          <w:sz w:val="24"/>
          <w:szCs w:val="24"/>
        </w:rPr>
        <w:t>:</w:t>
      </w:r>
    </w:p>
    <w:p w14:paraId="5EAD0132" w14:textId="1FF92CB6" w:rsidR="007A1568" w:rsidRPr="00AC0DDB" w:rsidRDefault="007A1568" w:rsidP="00AC0DDB">
      <w:pPr>
        <w:pStyle w:val="Akapitzlist"/>
        <w:numPr>
          <w:ilvl w:val="0"/>
          <w:numId w:val="5"/>
        </w:numPr>
        <w:spacing w:line="360" w:lineRule="auto"/>
        <w:ind w:left="709" w:hanging="349"/>
        <w:jc w:val="both"/>
        <w:rPr>
          <w:rFonts w:ascii="Times New Roman" w:hAnsi="Times New Roman" w:cs="Times New Roman"/>
          <w:sz w:val="24"/>
          <w:szCs w:val="24"/>
        </w:rPr>
      </w:pPr>
      <w:r w:rsidRPr="00AC0DDB">
        <w:rPr>
          <w:rFonts w:ascii="Times New Roman" w:hAnsi="Times New Roman" w:cs="Times New Roman"/>
          <w:sz w:val="24"/>
          <w:szCs w:val="24"/>
        </w:rPr>
        <w:t>2023 r. – 476,00 zł za każdy kilogram,</w:t>
      </w:r>
    </w:p>
    <w:p w14:paraId="2E13B335" w14:textId="353503D5" w:rsidR="007A1568" w:rsidRPr="00AC0DDB" w:rsidRDefault="007A1568" w:rsidP="00AC0DDB">
      <w:pPr>
        <w:pStyle w:val="Akapitzlist"/>
        <w:numPr>
          <w:ilvl w:val="0"/>
          <w:numId w:val="5"/>
        </w:numPr>
        <w:spacing w:line="360" w:lineRule="auto"/>
        <w:ind w:left="709" w:hanging="349"/>
        <w:jc w:val="both"/>
        <w:rPr>
          <w:rFonts w:ascii="Times New Roman" w:hAnsi="Times New Roman" w:cs="Times New Roman"/>
          <w:sz w:val="24"/>
          <w:szCs w:val="24"/>
        </w:rPr>
      </w:pPr>
      <w:r w:rsidRPr="00AC0DDB">
        <w:rPr>
          <w:rFonts w:ascii="Times New Roman" w:hAnsi="Times New Roman" w:cs="Times New Roman"/>
          <w:sz w:val="24"/>
          <w:szCs w:val="24"/>
        </w:rPr>
        <w:t>2024 r. – 524,00 zł za każdy kilogram,</w:t>
      </w:r>
    </w:p>
    <w:p w14:paraId="44CEBC24" w14:textId="4DE0C151" w:rsidR="007A1568" w:rsidRPr="00AC0DDB" w:rsidRDefault="007A1568" w:rsidP="00AC0DDB">
      <w:pPr>
        <w:pStyle w:val="Akapitzlist"/>
        <w:numPr>
          <w:ilvl w:val="0"/>
          <w:numId w:val="5"/>
        </w:numPr>
        <w:spacing w:line="360" w:lineRule="auto"/>
        <w:ind w:left="709" w:hanging="349"/>
        <w:jc w:val="both"/>
        <w:rPr>
          <w:rFonts w:ascii="Times New Roman" w:hAnsi="Times New Roman" w:cs="Times New Roman"/>
          <w:sz w:val="24"/>
          <w:szCs w:val="24"/>
        </w:rPr>
      </w:pPr>
      <w:r w:rsidRPr="00AC0DDB">
        <w:rPr>
          <w:rFonts w:ascii="Times New Roman" w:hAnsi="Times New Roman" w:cs="Times New Roman"/>
          <w:sz w:val="24"/>
          <w:szCs w:val="24"/>
        </w:rPr>
        <w:t>2025 r. – 576,00 zł za każdy kilogram</w:t>
      </w:r>
      <w:r w:rsidR="008F1CDA" w:rsidRPr="00AC0DDB">
        <w:rPr>
          <w:rFonts w:ascii="Times New Roman" w:hAnsi="Times New Roman" w:cs="Times New Roman"/>
          <w:sz w:val="24"/>
          <w:szCs w:val="24"/>
        </w:rPr>
        <w:t>,</w:t>
      </w:r>
    </w:p>
    <w:p w14:paraId="4A147A48" w14:textId="42653072" w:rsidR="007A1568" w:rsidRPr="00AC0DDB" w:rsidRDefault="007A1568" w:rsidP="00AC0DDB">
      <w:pPr>
        <w:pStyle w:val="Akapitzlist"/>
        <w:numPr>
          <w:ilvl w:val="0"/>
          <w:numId w:val="5"/>
        </w:numPr>
        <w:spacing w:line="360" w:lineRule="auto"/>
        <w:ind w:left="709" w:hanging="349"/>
        <w:jc w:val="both"/>
        <w:rPr>
          <w:rFonts w:ascii="Times New Roman" w:hAnsi="Times New Roman" w:cs="Times New Roman"/>
          <w:sz w:val="24"/>
          <w:szCs w:val="24"/>
        </w:rPr>
      </w:pPr>
      <w:r w:rsidRPr="00AC0DDB">
        <w:rPr>
          <w:rFonts w:ascii="Times New Roman" w:hAnsi="Times New Roman" w:cs="Times New Roman"/>
          <w:sz w:val="24"/>
          <w:szCs w:val="24"/>
        </w:rPr>
        <w:t>2026 r. – 634,00 zł za każdy kilogram</w:t>
      </w:r>
      <w:r w:rsidR="008F1CDA" w:rsidRPr="00AC0DDB">
        <w:rPr>
          <w:rFonts w:ascii="Times New Roman" w:hAnsi="Times New Roman" w:cs="Times New Roman"/>
          <w:sz w:val="24"/>
          <w:szCs w:val="24"/>
        </w:rPr>
        <w:t>,</w:t>
      </w:r>
    </w:p>
    <w:p w14:paraId="0EA407C2" w14:textId="3F004E18" w:rsidR="007A1568" w:rsidRPr="00AC0DDB" w:rsidRDefault="007A1568" w:rsidP="00AC0DDB">
      <w:pPr>
        <w:pStyle w:val="Akapitzlist"/>
        <w:numPr>
          <w:ilvl w:val="0"/>
          <w:numId w:val="5"/>
        </w:numPr>
        <w:spacing w:line="360" w:lineRule="auto"/>
        <w:ind w:left="709" w:hanging="349"/>
        <w:jc w:val="both"/>
        <w:rPr>
          <w:rFonts w:ascii="Times New Roman" w:hAnsi="Times New Roman" w:cs="Times New Roman"/>
          <w:sz w:val="24"/>
          <w:szCs w:val="24"/>
        </w:rPr>
      </w:pPr>
      <w:r w:rsidRPr="00AC0DDB">
        <w:rPr>
          <w:rFonts w:ascii="Times New Roman" w:hAnsi="Times New Roman" w:cs="Times New Roman"/>
          <w:sz w:val="24"/>
          <w:szCs w:val="24"/>
        </w:rPr>
        <w:t>2027 r. 697,00 zł za każdy kilogram.</w:t>
      </w:r>
    </w:p>
    <w:p w14:paraId="45CA4AA9" w14:textId="4BD93AA8"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 xml:space="preserve">Oprócz ww. zmian stawek w 2022 r. nastąpi podniesienie minimalnej stawki akcyzy na papierosy do 105% całkowitej kwoty akcyzy, naliczonej od ceny równej średniej ważonej detalicznej cenie sprzedaży papierosów oraz </w:t>
      </w:r>
      <w:r w:rsidR="007A1568" w:rsidRPr="00FF7B4A">
        <w:rPr>
          <w:rFonts w:ascii="Times New Roman" w:hAnsi="Times New Roman" w:cs="Times New Roman"/>
          <w:sz w:val="24"/>
          <w:szCs w:val="24"/>
        </w:rPr>
        <w:t xml:space="preserve">obniżanie tego minimum co roku o 1 punkt procentowy do poziomu 100% w roku 2027. Ponadto zakłada się </w:t>
      </w:r>
      <w:r w:rsidRPr="00FF7B4A">
        <w:rPr>
          <w:rFonts w:ascii="Times New Roman" w:hAnsi="Times New Roman" w:cs="Times New Roman"/>
          <w:sz w:val="24"/>
          <w:szCs w:val="24"/>
        </w:rPr>
        <w:t>wprowadzenie od 2022 r. minimalnej stawki akcyzy na tytoń do palenia</w:t>
      </w:r>
      <w:r w:rsidR="008465A9">
        <w:rPr>
          <w:rFonts w:ascii="Times New Roman" w:hAnsi="Times New Roman" w:cs="Times New Roman"/>
          <w:sz w:val="24"/>
          <w:szCs w:val="24"/>
        </w:rPr>
        <w:t xml:space="preserve"> </w:t>
      </w:r>
      <w:r w:rsidRPr="00FF7B4A">
        <w:rPr>
          <w:rFonts w:ascii="Times New Roman" w:hAnsi="Times New Roman" w:cs="Times New Roman"/>
          <w:sz w:val="24"/>
          <w:szCs w:val="24"/>
        </w:rPr>
        <w:t>w wysokości 100% całkowitej kwoty akcyzy, naliczonej od ceny równej średniej ważonej detalicznej cenie sprzedaży tytoniu do palenia.</w:t>
      </w:r>
    </w:p>
    <w:p w14:paraId="7C9EFD2C" w14:textId="77777777" w:rsidR="00EA169F" w:rsidRPr="00FF7B4A" w:rsidRDefault="007A1568"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Susz tytoniowy</w:t>
      </w:r>
    </w:p>
    <w:p w14:paraId="7A6381A2" w14:textId="09C0CFE8" w:rsidR="007A1568" w:rsidRPr="00FF7B4A" w:rsidRDefault="007A1568"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Zaproponowano wzrost stawek akcyzy na susz tytoniowy analogicz</w:t>
      </w:r>
      <w:r w:rsidR="00846DF4" w:rsidRPr="00FF7B4A">
        <w:rPr>
          <w:rFonts w:ascii="Times New Roman" w:hAnsi="Times New Roman" w:cs="Times New Roman"/>
          <w:sz w:val="24"/>
          <w:szCs w:val="24"/>
        </w:rPr>
        <w:t>nych jak dla tytoniu do palenia</w:t>
      </w:r>
      <w:r w:rsidR="000F4131">
        <w:rPr>
          <w:rFonts w:ascii="Times New Roman" w:hAnsi="Times New Roman" w:cs="Times New Roman"/>
          <w:sz w:val="24"/>
          <w:szCs w:val="24"/>
        </w:rPr>
        <w:t>,</w:t>
      </w:r>
      <w:r w:rsidR="00846DF4" w:rsidRPr="00FF7B4A">
        <w:rPr>
          <w:rFonts w:ascii="Times New Roman" w:hAnsi="Times New Roman" w:cs="Times New Roman"/>
          <w:sz w:val="24"/>
          <w:szCs w:val="24"/>
        </w:rPr>
        <w:t xml:space="preserve"> tj. w latach 2023</w:t>
      </w:r>
      <w:r w:rsidR="000F4131">
        <w:t>–</w:t>
      </w:r>
      <w:r w:rsidR="00846DF4" w:rsidRPr="00FF7B4A">
        <w:rPr>
          <w:rFonts w:ascii="Times New Roman" w:hAnsi="Times New Roman" w:cs="Times New Roman"/>
          <w:sz w:val="24"/>
          <w:szCs w:val="24"/>
        </w:rPr>
        <w:t>2027</w:t>
      </w:r>
      <w:r w:rsidR="000F4131">
        <w:rPr>
          <w:rFonts w:ascii="Times New Roman" w:hAnsi="Times New Roman" w:cs="Times New Roman"/>
          <w:sz w:val="24"/>
          <w:szCs w:val="24"/>
        </w:rPr>
        <w:t>,</w:t>
      </w:r>
      <w:r w:rsidR="00846DF4" w:rsidRPr="00FF7B4A">
        <w:rPr>
          <w:rFonts w:ascii="Times New Roman" w:hAnsi="Times New Roman" w:cs="Times New Roman"/>
          <w:sz w:val="24"/>
          <w:szCs w:val="24"/>
        </w:rPr>
        <w:t xml:space="preserve"> o 10% w skali roku</w:t>
      </w:r>
      <w:r w:rsidR="000F4131">
        <w:rPr>
          <w:rFonts w:ascii="Times New Roman" w:hAnsi="Times New Roman" w:cs="Times New Roman"/>
          <w:sz w:val="24"/>
          <w:szCs w:val="24"/>
        </w:rPr>
        <w:t>:</w:t>
      </w:r>
    </w:p>
    <w:p w14:paraId="56711F68" w14:textId="76E9216F" w:rsidR="008270B5" w:rsidRPr="00AC0DDB" w:rsidRDefault="008270B5" w:rsidP="00AC0DDB">
      <w:pPr>
        <w:pStyle w:val="Akapitzlist"/>
        <w:numPr>
          <w:ilvl w:val="1"/>
          <w:numId w:val="19"/>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2022 r. – 252,25 zł za każdy kilogram</w:t>
      </w:r>
      <w:r w:rsidR="000F4131">
        <w:rPr>
          <w:rFonts w:ascii="Times New Roman" w:hAnsi="Times New Roman" w:cs="Times New Roman"/>
          <w:sz w:val="24"/>
          <w:szCs w:val="24"/>
        </w:rPr>
        <w:t>;</w:t>
      </w:r>
    </w:p>
    <w:p w14:paraId="4CCEC6DA" w14:textId="725C06C1" w:rsidR="008270B5" w:rsidRPr="00AC0DDB" w:rsidRDefault="008270B5" w:rsidP="00AC0DDB">
      <w:pPr>
        <w:pStyle w:val="Akapitzlist"/>
        <w:numPr>
          <w:ilvl w:val="1"/>
          <w:numId w:val="19"/>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2023 r. – 277,48 zł za każdy kilogram</w:t>
      </w:r>
      <w:r w:rsidR="000F4131">
        <w:rPr>
          <w:rFonts w:ascii="Times New Roman" w:hAnsi="Times New Roman" w:cs="Times New Roman"/>
          <w:sz w:val="24"/>
          <w:szCs w:val="24"/>
        </w:rPr>
        <w:t>;</w:t>
      </w:r>
    </w:p>
    <w:p w14:paraId="33AF6C84" w14:textId="63643147" w:rsidR="008270B5" w:rsidRPr="00AC0DDB" w:rsidRDefault="008270B5" w:rsidP="00AC0DDB">
      <w:pPr>
        <w:pStyle w:val="Akapitzlist"/>
        <w:numPr>
          <w:ilvl w:val="1"/>
          <w:numId w:val="19"/>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2024 r. – 305,23 zł za każdy kilogram</w:t>
      </w:r>
      <w:r w:rsidR="000F4131">
        <w:rPr>
          <w:rFonts w:ascii="Times New Roman" w:hAnsi="Times New Roman" w:cs="Times New Roman"/>
          <w:sz w:val="24"/>
          <w:szCs w:val="24"/>
        </w:rPr>
        <w:t>;</w:t>
      </w:r>
    </w:p>
    <w:p w14:paraId="6BE2DD31" w14:textId="01970912" w:rsidR="008270B5" w:rsidRPr="00AC0DDB" w:rsidRDefault="008270B5" w:rsidP="00AC0DDB">
      <w:pPr>
        <w:pStyle w:val="Akapitzlist"/>
        <w:numPr>
          <w:ilvl w:val="1"/>
          <w:numId w:val="19"/>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2025 r. – 335,75 zł za każdy kilogram</w:t>
      </w:r>
      <w:r w:rsidR="000F4131">
        <w:rPr>
          <w:rFonts w:ascii="Times New Roman" w:hAnsi="Times New Roman" w:cs="Times New Roman"/>
          <w:sz w:val="24"/>
          <w:szCs w:val="24"/>
        </w:rPr>
        <w:t>;</w:t>
      </w:r>
    </w:p>
    <w:p w14:paraId="794C8773" w14:textId="2E108C24" w:rsidR="008270B5" w:rsidRPr="00AC0DDB" w:rsidRDefault="008270B5" w:rsidP="00AC0DDB">
      <w:pPr>
        <w:pStyle w:val="Akapitzlist"/>
        <w:numPr>
          <w:ilvl w:val="1"/>
          <w:numId w:val="19"/>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2026 r. – 369,33 zł za każdy kilogram</w:t>
      </w:r>
      <w:r w:rsidR="000F4131">
        <w:rPr>
          <w:rFonts w:ascii="Times New Roman" w:hAnsi="Times New Roman" w:cs="Times New Roman"/>
          <w:sz w:val="24"/>
          <w:szCs w:val="24"/>
        </w:rPr>
        <w:t>;</w:t>
      </w:r>
    </w:p>
    <w:p w14:paraId="07F5414A" w14:textId="4BDD0945" w:rsidR="008270B5" w:rsidRPr="00AC0DDB" w:rsidRDefault="008270B5" w:rsidP="00AC0DDB">
      <w:pPr>
        <w:pStyle w:val="Akapitzlist"/>
        <w:numPr>
          <w:ilvl w:val="1"/>
          <w:numId w:val="19"/>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2027 r. – 406,26 zł za każdy kilogram.</w:t>
      </w:r>
    </w:p>
    <w:p w14:paraId="66D666C2" w14:textId="51CDF998" w:rsidR="008270B5" w:rsidRPr="00FF7B4A" w:rsidRDefault="000F4131" w:rsidP="008F1CDA">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008270B5" w:rsidRPr="00FF7B4A">
        <w:rPr>
          <w:rFonts w:ascii="Times New Roman" w:hAnsi="Times New Roman" w:cs="Times New Roman"/>
          <w:sz w:val="24"/>
          <w:szCs w:val="24"/>
        </w:rPr>
        <w:t>a susz tytoniowy nieoznaczony znakami akcyzy stawki akcyzy wynosić będą:</w:t>
      </w:r>
    </w:p>
    <w:p w14:paraId="4A310721" w14:textId="5DDCC52C" w:rsidR="008270B5" w:rsidRPr="00AC0DDB" w:rsidRDefault="008270B5" w:rsidP="00AC0DDB">
      <w:pPr>
        <w:pStyle w:val="Akapitzlist"/>
        <w:numPr>
          <w:ilvl w:val="1"/>
          <w:numId w:val="22"/>
        </w:numPr>
        <w:spacing w:line="360" w:lineRule="auto"/>
        <w:ind w:left="567"/>
        <w:jc w:val="both"/>
        <w:rPr>
          <w:rFonts w:ascii="Times New Roman" w:hAnsi="Times New Roman" w:cs="Times New Roman"/>
          <w:sz w:val="24"/>
          <w:szCs w:val="24"/>
        </w:rPr>
      </w:pPr>
      <w:r w:rsidRPr="00AC0DDB">
        <w:rPr>
          <w:rFonts w:ascii="Times New Roman" w:hAnsi="Times New Roman" w:cs="Times New Roman"/>
          <w:sz w:val="24"/>
          <w:szCs w:val="24"/>
        </w:rPr>
        <w:t>2022 r. – 504,50 zł za każdy kilogram</w:t>
      </w:r>
      <w:r w:rsidR="000F4131">
        <w:rPr>
          <w:rFonts w:ascii="Times New Roman" w:hAnsi="Times New Roman" w:cs="Times New Roman"/>
          <w:sz w:val="24"/>
          <w:szCs w:val="24"/>
        </w:rPr>
        <w:t>;</w:t>
      </w:r>
    </w:p>
    <w:p w14:paraId="55EB50FB" w14:textId="7EBEAAD7" w:rsidR="008270B5" w:rsidRPr="00AC0DDB" w:rsidRDefault="008270B5" w:rsidP="00AC0DDB">
      <w:pPr>
        <w:pStyle w:val="Akapitzlist"/>
        <w:numPr>
          <w:ilvl w:val="1"/>
          <w:numId w:val="22"/>
        </w:numPr>
        <w:spacing w:line="360" w:lineRule="auto"/>
        <w:ind w:left="567"/>
        <w:jc w:val="both"/>
        <w:rPr>
          <w:rFonts w:ascii="Times New Roman" w:hAnsi="Times New Roman" w:cs="Times New Roman"/>
          <w:sz w:val="24"/>
          <w:szCs w:val="24"/>
        </w:rPr>
      </w:pPr>
      <w:r w:rsidRPr="00AC0DDB">
        <w:rPr>
          <w:rFonts w:ascii="Times New Roman" w:hAnsi="Times New Roman" w:cs="Times New Roman"/>
          <w:sz w:val="24"/>
          <w:szCs w:val="24"/>
        </w:rPr>
        <w:t>2023 r. – 554,96 zł za każdy kilogram</w:t>
      </w:r>
      <w:r w:rsidR="000F4131">
        <w:rPr>
          <w:rFonts w:ascii="Times New Roman" w:hAnsi="Times New Roman" w:cs="Times New Roman"/>
          <w:sz w:val="24"/>
          <w:szCs w:val="24"/>
        </w:rPr>
        <w:t>;</w:t>
      </w:r>
    </w:p>
    <w:p w14:paraId="3F8E9EC6" w14:textId="4AB8A0BA" w:rsidR="008270B5" w:rsidRPr="00AC0DDB" w:rsidRDefault="008270B5" w:rsidP="00AC0DDB">
      <w:pPr>
        <w:pStyle w:val="Akapitzlist"/>
        <w:numPr>
          <w:ilvl w:val="1"/>
          <w:numId w:val="22"/>
        </w:numPr>
        <w:spacing w:line="360" w:lineRule="auto"/>
        <w:ind w:left="567"/>
        <w:jc w:val="both"/>
        <w:rPr>
          <w:rFonts w:ascii="Times New Roman" w:hAnsi="Times New Roman" w:cs="Times New Roman"/>
          <w:sz w:val="24"/>
          <w:szCs w:val="24"/>
        </w:rPr>
      </w:pPr>
      <w:r w:rsidRPr="00AC0DDB">
        <w:rPr>
          <w:rFonts w:ascii="Times New Roman" w:hAnsi="Times New Roman" w:cs="Times New Roman"/>
          <w:sz w:val="24"/>
          <w:szCs w:val="24"/>
        </w:rPr>
        <w:t>2024 r. – 610,46 zł za każdy kilogram</w:t>
      </w:r>
      <w:r w:rsidR="000F4131">
        <w:rPr>
          <w:rFonts w:ascii="Times New Roman" w:hAnsi="Times New Roman" w:cs="Times New Roman"/>
          <w:sz w:val="24"/>
          <w:szCs w:val="24"/>
        </w:rPr>
        <w:t>;</w:t>
      </w:r>
    </w:p>
    <w:p w14:paraId="5D6DF9DB" w14:textId="5D4564E2" w:rsidR="008270B5" w:rsidRPr="00AC0DDB" w:rsidRDefault="008270B5" w:rsidP="00AC0DDB">
      <w:pPr>
        <w:pStyle w:val="Akapitzlist"/>
        <w:numPr>
          <w:ilvl w:val="1"/>
          <w:numId w:val="22"/>
        </w:numPr>
        <w:spacing w:line="360" w:lineRule="auto"/>
        <w:ind w:left="567"/>
        <w:jc w:val="both"/>
        <w:rPr>
          <w:rFonts w:ascii="Times New Roman" w:hAnsi="Times New Roman" w:cs="Times New Roman"/>
          <w:sz w:val="24"/>
          <w:szCs w:val="24"/>
        </w:rPr>
      </w:pPr>
      <w:r w:rsidRPr="00AC0DDB">
        <w:rPr>
          <w:rFonts w:ascii="Times New Roman" w:hAnsi="Times New Roman" w:cs="Times New Roman"/>
          <w:sz w:val="24"/>
          <w:szCs w:val="24"/>
        </w:rPr>
        <w:t>2025 r. – 671,50 zł za każdy kilogram</w:t>
      </w:r>
      <w:r w:rsidR="000F4131">
        <w:rPr>
          <w:rFonts w:ascii="Times New Roman" w:hAnsi="Times New Roman" w:cs="Times New Roman"/>
          <w:sz w:val="24"/>
          <w:szCs w:val="24"/>
        </w:rPr>
        <w:t>;</w:t>
      </w:r>
    </w:p>
    <w:p w14:paraId="5F171DEC" w14:textId="00B37F69" w:rsidR="008270B5" w:rsidRPr="00AC0DDB" w:rsidRDefault="008270B5" w:rsidP="00AC0DDB">
      <w:pPr>
        <w:pStyle w:val="Akapitzlist"/>
        <w:numPr>
          <w:ilvl w:val="1"/>
          <w:numId w:val="22"/>
        </w:numPr>
        <w:spacing w:line="360" w:lineRule="auto"/>
        <w:ind w:left="567"/>
        <w:jc w:val="both"/>
        <w:rPr>
          <w:rFonts w:ascii="Times New Roman" w:hAnsi="Times New Roman" w:cs="Times New Roman"/>
          <w:sz w:val="24"/>
          <w:szCs w:val="24"/>
        </w:rPr>
      </w:pPr>
      <w:r w:rsidRPr="00AC0DDB">
        <w:rPr>
          <w:rFonts w:ascii="Times New Roman" w:hAnsi="Times New Roman" w:cs="Times New Roman"/>
          <w:sz w:val="24"/>
          <w:szCs w:val="24"/>
        </w:rPr>
        <w:t>2026 r. – 738,66 zł za każdy kilogram</w:t>
      </w:r>
      <w:r w:rsidR="000F4131">
        <w:rPr>
          <w:rFonts w:ascii="Times New Roman" w:hAnsi="Times New Roman" w:cs="Times New Roman"/>
          <w:sz w:val="24"/>
          <w:szCs w:val="24"/>
        </w:rPr>
        <w:t>;</w:t>
      </w:r>
    </w:p>
    <w:p w14:paraId="14E3DEFF" w14:textId="012B9685" w:rsidR="008270B5" w:rsidRPr="00AC0DDB" w:rsidRDefault="008270B5" w:rsidP="00AC0DDB">
      <w:pPr>
        <w:pStyle w:val="Akapitzlist"/>
        <w:numPr>
          <w:ilvl w:val="1"/>
          <w:numId w:val="22"/>
        </w:numPr>
        <w:spacing w:line="360" w:lineRule="auto"/>
        <w:ind w:left="567"/>
        <w:jc w:val="both"/>
        <w:rPr>
          <w:rFonts w:ascii="Times New Roman" w:hAnsi="Times New Roman" w:cs="Times New Roman"/>
          <w:sz w:val="24"/>
          <w:szCs w:val="24"/>
        </w:rPr>
      </w:pPr>
      <w:r w:rsidRPr="00AC0DDB">
        <w:rPr>
          <w:rFonts w:ascii="Times New Roman" w:hAnsi="Times New Roman" w:cs="Times New Roman"/>
          <w:sz w:val="24"/>
          <w:szCs w:val="24"/>
        </w:rPr>
        <w:t>2027 r. – 812,52 zł za każdy kilogram.</w:t>
      </w:r>
    </w:p>
    <w:p w14:paraId="04EEA492" w14:textId="77777777"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Wyroby nowatorskie</w:t>
      </w:r>
    </w:p>
    <w:p w14:paraId="522C36E6" w14:textId="77777777"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Proponowana zmiana stawki podatku akcyzowego na wyroby nowatorskie:</w:t>
      </w:r>
    </w:p>
    <w:p w14:paraId="054308CC" w14:textId="003A28B7" w:rsidR="00EA169F" w:rsidRPr="00AC0DDB" w:rsidRDefault="00EA169F" w:rsidP="00AC0DDB">
      <w:pPr>
        <w:pStyle w:val="Akapitzlist"/>
        <w:numPr>
          <w:ilvl w:val="0"/>
          <w:numId w:val="23"/>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2022 r. z 155,79 zł/kg i 32,05% średniej ważonej detalicznej ceny sprzedaży tytoniu do palenia na 311,58 zł /kg i 32,05% średniej ważonej detalicznej ceny sprzedaży tytoniu do palenia</w:t>
      </w:r>
      <w:r w:rsidR="000F4131">
        <w:rPr>
          <w:rFonts w:ascii="Times New Roman" w:hAnsi="Times New Roman" w:cs="Times New Roman"/>
          <w:sz w:val="24"/>
          <w:szCs w:val="24"/>
        </w:rPr>
        <w:t>;</w:t>
      </w:r>
    </w:p>
    <w:p w14:paraId="77B53B85" w14:textId="52389C87" w:rsidR="00EA169F" w:rsidRPr="00AC0DDB" w:rsidRDefault="00EA169F" w:rsidP="00AC0DDB">
      <w:pPr>
        <w:pStyle w:val="Akapitzlist"/>
        <w:numPr>
          <w:ilvl w:val="0"/>
          <w:numId w:val="23"/>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2023 r. z 311,58 zł/kg i 32,05% średniej ważonej detalicznej ceny sprzedaży tytoniu do palenia na 342,74 zł /kg i 32,05% średniej ważonej detalicznej ceny sprzedaży tytoniu do palenia</w:t>
      </w:r>
      <w:r w:rsidR="000F4131">
        <w:rPr>
          <w:rFonts w:ascii="Times New Roman" w:hAnsi="Times New Roman" w:cs="Times New Roman"/>
          <w:sz w:val="24"/>
          <w:szCs w:val="24"/>
        </w:rPr>
        <w:t>;</w:t>
      </w:r>
    </w:p>
    <w:p w14:paraId="7EB94D1B" w14:textId="60D9C067" w:rsidR="00EA169F" w:rsidRPr="00AC0DDB" w:rsidRDefault="00EA169F" w:rsidP="00AC0DDB">
      <w:pPr>
        <w:pStyle w:val="Akapitzlist"/>
        <w:numPr>
          <w:ilvl w:val="0"/>
          <w:numId w:val="23"/>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2024 r. z 342,74 zł/kg i 32,05% średniej ważonej detalicznej ceny sprzedaży tytoniu do palenia na 377,01 zł /kg i 32,05% średniej ważonej detalicznej ceny sprzedaży tytoniu do palenia</w:t>
      </w:r>
      <w:r w:rsidR="000F4131">
        <w:rPr>
          <w:rFonts w:ascii="Times New Roman" w:hAnsi="Times New Roman" w:cs="Times New Roman"/>
          <w:sz w:val="24"/>
          <w:szCs w:val="24"/>
        </w:rPr>
        <w:t>;</w:t>
      </w:r>
    </w:p>
    <w:p w14:paraId="25D00550" w14:textId="1CB713F9" w:rsidR="00EA169F" w:rsidRPr="00AC0DDB" w:rsidRDefault="00EA169F" w:rsidP="00AC0DDB">
      <w:pPr>
        <w:pStyle w:val="Akapitzlist"/>
        <w:numPr>
          <w:ilvl w:val="0"/>
          <w:numId w:val="23"/>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2025 r. z 377,01 zł/kg i 32,05% średniej ważonej detalicznej ceny sprzedaży tytoniu do palenia na 414,71 zł /kg i 32,05% średniej ważonej detalicznej ceny sprzedaży tytoniu do palenia</w:t>
      </w:r>
      <w:r w:rsidR="000F4131">
        <w:rPr>
          <w:rFonts w:ascii="Times New Roman" w:hAnsi="Times New Roman" w:cs="Times New Roman"/>
          <w:sz w:val="24"/>
          <w:szCs w:val="24"/>
        </w:rPr>
        <w:t>;</w:t>
      </w:r>
    </w:p>
    <w:p w14:paraId="38689552" w14:textId="36860828" w:rsidR="00EA169F" w:rsidRPr="00AC0DDB" w:rsidRDefault="00EA169F" w:rsidP="00AC0DDB">
      <w:pPr>
        <w:pStyle w:val="Akapitzlist"/>
        <w:numPr>
          <w:ilvl w:val="0"/>
          <w:numId w:val="23"/>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2026 r. z 414,71 zł/kg i 32,05% średniej ważonej detalicznej ceny sprzedaży tytoniu do palenia na 456,18 zł /kg i 32,05% średniej ważonej detalicznej ceny sprzedaży tytoniu do palenia</w:t>
      </w:r>
      <w:r w:rsidR="000F4131">
        <w:rPr>
          <w:rFonts w:ascii="Times New Roman" w:hAnsi="Times New Roman" w:cs="Times New Roman"/>
          <w:sz w:val="24"/>
          <w:szCs w:val="24"/>
        </w:rPr>
        <w:t>;</w:t>
      </w:r>
    </w:p>
    <w:p w14:paraId="1F353AAA" w14:textId="77777777" w:rsidR="00EA169F" w:rsidRPr="00AC0DDB" w:rsidRDefault="00EA169F" w:rsidP="00AC0DDB">
      <w:pPr>
        <w:pStyle w:val="Akapitzlist"/>
        <w:numPr>
          <w:ilvl w:val="0"/>
          <w:numId w:val="23"/>
        </w:numPr>
        <w:spacing w:line="360" w:lineRule="auto"/>
        <w:ind w:left="426"/>
        <w:jc w:val="both"/>
        <w:rPr>
          <w:rFonts w:ascii="Times New Roman" w:hAnsi="Times New Roman" w:cs="Times New Roman"/>
          <w:sz w:val="24"/>
          <w:szCs w:val="24"/>
        </w:rPr>
      </w:pPr>
      <w:r w:rsidRPr="00AC0DDB">
        <w:rPr>
          <w:rFonts w:ascii="Times New Roman" w:hAnsi="Times New Roman" w:cs="Times New Roman"/>
          <w:sz w:val="24"/>
          <w:szCs w:val="24"/>
        </w:rPr>
        <w:t>2027 r. z 456,18 zł/kg i 32,05% średniej ważonej detalicznej ceny sprzedaży tytoniu do palenia na 501,80 zł /kg i 32,05% średniej ważonej detalicznej ceny sprzedaży tytoniu do palenia.</w:t>
      </w:r>
    </w:p>
    <w:p w14:paraId="5818575C" w14:textId="77777777" w:rsidR="00EA169F" w:rsidRPr="00FF7B4A" w:rsidRDefault="00EA169F" w:rsidP="008F1CDA">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Wzrost stawek podatku akcyzowego będzie oznaczać wzrost cen papierosów, tytoniu do palenia i wyrobów nowatorskich. W przypadku przeniesienia przez podmioty obciążeń fiskalnych w zakresie podatku akcyzowego na konsumentów prawdopodobny jest następujący wzrost cen ww. wyrobów, a mianowicie:</w:t>
      </w:r>
    </w:p>
    <w:tbl>
      <w:tblPr>
        <w:tblW w:w="9067" w:type="dxa"/>
        <w:tblLayout w:type="fixed"/>
        <w:tblCellMar>
          <w:left w:w="70" w:type="dxa"/>
          <w:right w:w="70" w:type="dxa"/>
        </w:tblCellMar>
        <w:tblLook w:val="04A0" w:firstRow="1" w:lastRow="0" w:firstColumn="1" w:lastColumn="0" w:noHBand="0" w:noVBand="1"/>
      </w:tblPr>
      <w:tblGrid>
        <w:gridCol w:w="1305"/>
        <w:gridCol w:w="2693"/>
        <w:gridCol w:w="2410"/>
        <w:gridCol w:w="2659"/>
      </w:tblGrid>
      <w:tr w:rsidR="007D1CD5" w:rsidRPr="00FF7B4A" w14:paraId="39C102FA" w14:textId="77777777" w:rsidTr="00B562F2">
        <w:trPr>
          <w:trHeight w:val="660"/>
        </w:trPr>
        <w:tc>
          <w:tcPr>
            <w:tcW w:w="1305" w:type="dxa"/>
            <w:tcBorders>
              <w:top w:val="single" w:sz="4" w:space="0" w:color="auto"/>
              <w:left w:val="single" w:sz="4" w:space="0" w:color="auto"/>
              <w:bottom w:val="single" w:sz="4" w:space="0" w:color="auto"/>
              <w:right w:val="single" w:sz="4" w:space="0" w:color="auto"/>
            </w:tcBorders>
            <w:shd w:val="clear" w:color="auto" w:fill="FFFFFF"/>
          </w:tcPr>
          <w:p w14:paraId="38DC48D4" w14:textId="77777777" w:rsidR="007D1CD5" w:rsidRPr="00FF7B4A" w:rsidRDefault="007D1CD5" w:rsidP="008F1CDA">
            <w:pPr>
              <w:spacing w:line="240" w:lineRule="auto"/>
              <w:rPr>
                <w:rFonts w:ascii="Times New Roman" w:hAnsi="Times New Roman" w:cs="Times New Roman"/>
                <w:b/>
                <w:bCs/>
                <w:sz w:val="24"/>
                <w:szCs w:val="24"/>
              </w:rPr>
            </w:pPr>
            <w:r w:rsidRPr="00FF7B4A">
              <w:rPr>
                <w:rFonts w:ascii="Times New Roman" w:hAnsi="Times New Roman" w:cs="Times New Roman"/>
                <w:b/>
                <w:bCs/>
                <w:sz w:val="24"/>
                <w:szCs w:val="24"/>
              </w:rPr>
              <w:t>Rok</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E2AFC6" w14:textId="77777777" w:rsidR="007D1CD5" w:rsidRPr="00FF7B4A" w:rsidRDefault="007D1CD5" w:rsidP="008F1CDA">
            <w:pPr>
              <w:spacing w:line="240" w:lineRule="auto"/>
              <w:rPr>
                <w:rFonts w:ascii="Times New Roman" w:hAnsi="Times New Roman" w:cs="Times New Roman"/>
                <w:b/>
                <w:bCs/>
                <w:sz w:val="24"/>
                <w:szCs w:val="24"/>
              </w:rPr>
            </w:pPr>
            <w:r w:rsidRPr="00FF7B4A">
              <w:rPr>
                <w:rFonts w:ascii="Times New Roman" w:hAnsi="Times New Roman" w:cs="Times New Roman"/>
                <w:b/>
                <w:bCs/>
                <w:sz w:val="24"/>
                <w:szCs w:val="24"/>
              </w:rPr>
              <w:t>PAPIEROSY</w:t>
            </w:r>
          </w:p>
          <w:p w14:paraId="147E3911" w14:textId="77777777" w:rsidR="007D1CD5" w:rsidRPr="00FF7B4A" w:rsidRDefault="007D1CD5" w:rsidP="008F1CDA">
            <w:pPr>
              <w:spacing w:line="240" w:lineRule="auto"/>
              <w:rPr>
                <w:rFonts w:ascii="Times New Roman" w:hAnsi="Times New Roman" w:cs="Times New Roman"/>
                <w:b/>
                <w:bCs/>
                <w:sz w:val="24"/>
                <w:szCs w:val="24"/>
              </w:rPr>
            </w:pPr>
            <w:r w:rsidRPr="00FF7B4A">
              <w:rPr>
                <w:rFonts w:ascii="Times New Roman" w:hAnsi="Times New Roman" w:cs="Times New Roman"/>
                <w:b/>
                <w:bCs/>
                <w:sz w:val="24"/>
                <w:szCs w:val="24"/>
              </w:rPr>
              <w:t xml:space="preserve">(za paczkę 20 </w:t>
            </w:r>
            <w:proofErr w:type="spellStart"/>
            <w:r w:rsidRPr="00FF7B4A">
              <w:rPr>
                <w:rFonts w:ascii="Times New Roman" w:hAnsi="Times New Roman" w:cs="Times New Roman"/>
                <w:b/>
                <w:bCs/>
                <w:sz w:val="24"/>
                <w:szCs w:val="24"/>
              </w:rPr>
              <w:t>szt</w:t>
            </w:r>
            <w:proofErr w:type="spellEnd"/>
            <w:r w:rsidRPr="00FF7B4A">
              <w:rPr>
                <w:rFonts w:ascii="Times New Roman" w:hAnsi="Times New Roman" w:cs="Times New Roman"/>
                <w:b/>
                <w:bCs/>
                <w:sz w:val="24"/>
                <w:szCs w:val="24"/>
              </w:rPr>
              <w:t>)</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5FF7A6" w14:textId="77777777" w:rsidR="007D1CD5" w:rsidRPr="00FF7B4A" w:rsidRDefault="007D1CD5" w:rsidP="008F1CDA">
            <w:pPr>
              <w:spacing w:line="240" w:lineRule="auto"/>
              <w:rPr>
                <w:rFonts w:ascii="Times New Roman" w:hAnsi="Times New Roman" w:cs="Times New Roman"/>
                <w:b/>
                <w:bCs/>
                <w:sz w:val="24"/>
                <w:szCs w:val="24"/>
              </w:rPr>
            </w:pPr>
            <w:r w:rsidRPr="00FF7B4A">
              <w:rPr>
                <w:rFonts w:ascii="Times New Roman" w:hAnsi="Times New Roman" w:cs="Times New Roman"/>
                <w:b/>
                <w:bCs/>
                <w:sz w:val="24"/>
                <w:szCs w:val="24"/>
              </w:rPr>
              <w:t>TYTOŃ DO PALENIA</w:t>
            </w:r>
          </w:p>
          <w:p w14:paraId="01AC772C" w14:textId="77777777" w:rsidR="007D1CD5" w:rsidRPr="00FF7B4A" w:rsidRDefault="007D1CD5" w:rsidP="008F1CDA">
            <w:pPr>
              <w:spacing w:line="240" w:lineRule="auto"/>
              <w:rPr>
                <w:rFonts w:ascii="Times New Roman" w:hAnsi="Times New Roman" w:cs="Times New Roman"/>
                <w:b/>
                <w:bCs/>
                <w:sz w:val="24"/>
                <w:szCs w:val="24"/>
              </w:rPr>
            </w:pPr>
            <w:r w:rsidRPr="00FF7B4A">
              <w:rPr>
                <w:rFonts w:ascii="Times New Roman" w:hAnsi="Times New Roman" w:cs="Times New Roman"/>
                <w:b/>
                <w:bCs/>
                <w:sz w:val="24"/>
                <w:szCs w:val="24"/>
              </w:rPr>
              <w:t>(za 100 gram)</w:t>
            </w:r>
          </w:p>
        </w:tc>
        <w:tc>
          <w:tcPr>
            <w:tcW w:w="26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647A9F" w14:textId="77777777" w:rsidR="007D1CD5" w:rsidRPr="00FF7B4A" w:rsidRDefault="007D1CD5" w:rsidP="008F1CDA">
            <w:pPr>
              <w:spacing w:line="240" w:lineRule="auto"/>
              <w:rPr>
                <w:rFonts w:ascii="Times New Roman" w:hAnsi="Times New Roman" w:cs="Times New Roman"/>
                <w:b/>
                <w:bCs/>
                <w:sz w:val="24"/>
                <w:szCs w:val="24"/>
              </w:rPr>
            </w:pPr>
            <w:r w:rsidRPr="00FF7B4A">
              <w:rPr>
                <w:rFonts w:ascii="Times New Roman" w:hAnsi="Times New Roman" w:cs="Times New Roman"/>
                <w:b/>
                <w:bCs/>
                <w:sz w:val="24"/>
                <w:szCs w:val="24"/>
              </w:rPr>
              <w:t>WYROBY NOWATORSKIE*</w:t>
            </w:r>
          </w:p>
        </w:tc>
      </w:tr>
      <w:tr w:rsidR="007D1CD5" w:rsidRPr="00FF7B4A" w14:paraId="1245B7B9" w14:textId="77777777" w:rsidTr="00B562F2">
        <w:trPr>
          <w:trHeight w:val="340"/>
        </w:trPr>
        <w:tc>
          <w:tcPr>
            <w:tcW w:w="1305" w:type="dxa"/>
            <w:tcBorders>
              <w:top w:val="single" w:sz="4" w:space="0" w:color="auto"/>
              <w:left w:val="single" w:sz="4" w:space="0" w:color="auto"/>
              <w:bottom w:val="single" w:sz="4" w:space="0" w:color="auto"/>
              <w:right w:val="single" w:sz="4" w:space="0" w:color="000000"/>
            </w:tcBorders>
            <w:shd w:val="clear" w:color="000000" w:fill="FFFFFF"/>
            <w:vAlign w:val="bottom"/>
          </w:tcPr>
          <w:p w14:paraId="3C9BF9CD"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2022</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46CB042A"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0,30</w:t>
            </w:r>
          </w:p>
        </w:tc>
        <w:tc>
          <w:tcPr>
            <w:tcW w:w="2410" w:type="dxa"/>
            <w:tcBorders>
              <w:top w:val="single" w:sz="4" w:space="0" w:color="auto"/>
              <w:left w:val="single" w:sz="4" w:space="0" w:color="auto"/>
              <w:bottom w:val="single" w:sz="4" w:space="0" w:color="auto"/>
              <w:right w:val="single" w:sz="4" w:space="0" w:color="auto"/>
            </w:tcBorders>
            <w:shd w:val="clear" w:color="auto" w:fill="A6A6A6"/>
            <w:hideMark/>
          </w:tcPr>
          <w:p w14:paraId="756B9F2A" w14:textId="77777777" w:rsidR="007D1CD5" w:rsidRPr="00FF7B4A" w:rsidRDefault="007D1CD5" w:rsidP="008F1CDA">
            <w:pPr>
              <w:spacing w:line="240" w:lineRule="auto"/>
              <w:rPr>
                <w:rFonts w:ascii="Times New Roman" w:hAnsi="Times New Roman" w:cs="Times New Roman"/>
                <w:sz w:val="24"/>
                <w:szCs w:val="24"/>
              </w:rPr>
            </w:pPr>
          </w:p>
        </w:tc>
        <w:tc>
          <w:tcPr>
            <w:tcW w:w="2659" w:type="dxa"/>
            <w:tcBorders>
              <w:top w:val="single" w:sz="4" w:space="0" w:color="auto"/>
              <w:left w:val="single" w:sz="4" w:space="0" w:color="auto"/>
              <w:bottom w:val="single" w:sz="4" w:space="0" w:color="auto"/>
              <w:right w:val="single" w:sz="4" w:space="0" w:color="auto"/>
            </w:tcBorders>
            <w:shd w:val="clear" w:color="000000" w:fill="FFFFFF"/>
            <w:hideMark/>
          </w:tcPr>
          <w:p w14:paraId="3CC5FB47"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brak szacunków</w:t>
            </w:r>
          </w:p>
        </w:tc>
      </w:tr>
      <w:tr w:rsidR="007D1CD5" w:rsidRPr="00FF7B4A" w14:paraId="45DE6D22" w14:textId="77777777" w:rsidTr="00B562F2">
        <w:trPr>
          <w:trHeight w:val="340"/>
        </w:trPr>
        <w:tc>
          <w:tcPr>
            <w:tcW w:w="1305" w:type="dxa"/>
            <w:tcBorders>
              <w:top w:val="single" w:sz="4" w:space="0" w:color="auto"/>
              <w:left w:val="single" w:sz="4" w:space="0" w:color="auto"/>
              <w:bottom w:val="single" w:sz="4" w:space="0" w:color="auto"/>
              <w:right w:val="single" w:sz="4" w:space="0" w:color="000000"/>
            </w:tcBorders>
            <w:shd w:val="clear" w:color="auto" w:fill="auto"/>
            <w:vAlign w:val="bottom"/>
          </w:tcPr>
          <w:p w14:paraId="17A60163"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2023</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568FE9E3"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0,42</w:t>
            </w:r>
          </w:p>
        </w:tc>
        <w:tc>
          <w:tcPr>
            <w:tcW w:w="2410" w:type="dxa"/>
            <w:tcBorders>
              <w:top w:val="single" w:sz="4" w:space="0" w:color="auto"/>
              <w:left w:val="single" w:sz="4" w:space="0" w:color="auto"/>
              <w:bottom w:val="single" w:sz="4" w:space="0" w:color="auto"/>
              <w:right w:val="single" w:sz="4" w:space="0" w:color="auto"/>
            </w:tcBorders>
            <w:shd w:val="clear" w:color="000000" w:fill="FFFFFF"/>
            <w:hideMark/>
          </w:tcPr>
          <w:p w14:paraId="6A0C88C5"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4,15</w:t>
            </w:r>
          </w:p>
        </w:tc>
        <w:tc>
          <w:tcPr>
            <w:tcW w:w="2659" w:type="dxa"/>
            <w:tcBorders>
              <w:top w:val="single" w:sz="4" w:space="0" w:color="auto"/>
              <w:left w:val="single" w:sz="4" w:space="0" w:color="auto"/>
              <w:bottom w:val="single" w:sz="4" w:space="0" w:color="auto"/>
              <w:right w:val="single" w:sz="4" w:space="0" w:color="auto"/>
            </w:tcBorders>
            <w:shd w:val="clear" w:color="000000" w:fill="FFFFFF"/>
            <w:hideMark/>
          </w:tcPr>
          <w:p w14:paraId="7DE7EF90"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brak szacunków</w:t>
            </w:r>
          </w:p>
        </w:tc>
      </w:tr>
      <w:tr w:rsidR="007D1CD5" w:rsidRPr="00FF7B4A" w14:paraId="04EF281E" w14:textId="77777777" w:rsidTr="00B562F2">
        <w:trPr>
          <w:trHeight w:val="340"/>
        </w:trPr>
        <w:tc>
          <w:tcPr>
            <w:tcW w:w="1305" w:type="dxa"/>
            <w:tcBorders>
              <w:top w:val="single" w:sz="4" w:space="0" w:color="auto"/>
              <w:left w:val="single" w:sz="4" w:space="0" w:color="auto"/>
              <w:bottom w:val="single" w:sz="4" w:space="0" w:color="auto"/>
              <w:right w:val="single" w:sz="4" w:space="0" w:color="000000"/>
            </w:tcBorders>
            <w:shd w:val="clear" w:color="auto" w:fill="auto"/>
            <w:vAlign w:val="bottom"/>
          </w:tcPr>
          <w:p w14:paraId="010D9B14"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2024</w:t>
            </w:r>
          </w:p>
        </w:tc>
        <w:tc>
          <w:tcPr>
            <w:tcW w:w="2693" w:type="dxa"/>
            <w:tcBorders>
              <w:top w:val="single" w:sz="4" w:space="0" w:color="auto"/>
              <w:left w:val="single" w:sz="4" w:space="0" w:color="auto"/>
              <w:bottom w:val="single" w:sz="8" w:space="0" w:color="auto"/>
              <w:right w:val="single" w:sz="8" w:space="0" w:color="auto"/>
            </w:tcBorders>
            <w:shd w:val="clear" w:color="000000" w:fill="FFFFFF"/>
            <w:hideMark/>
          </w:tcPr>
          <w:p w14:paraId="02030D0F"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0,99</w:t>
            </w:r>
          </w:p>
        </w:tc>
        <w:tc>
          <w:tcPr>
            <w:tcW w:w="2410" w:type="dxa"/>
            <w:tcBorders>
              <w:top w:val="single" w:sz="4" w:space="0" w:color="auto"/>
              <w:left w:val="nil"/>
              <w:bottom w:val="single" w:sz="8" w:space="0" w:color="auto"/>
              <w:right w:val="single" w:sz="8" w:space="0" w:color="auto"/>
            </w:tcBorders>
            <w:shd w:val="clear" w:color="000000" w:fill="FFFFFF"/>
            <w:hideMark/>
          </w:tcPr>
          <w:p w14:paraId="4A18B42B"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4,36</w:t>
            </w:r>
          </w:p>
        </w:tc>
        <w:tc>
          <w:tcPr>
            <w:tcW w:w="2659" w:type="dxa"/>
            <w:tcBorders>
              <w:top w:val="single" w:sz="4" w:space="0" w:color="auto"/>
              <w:left w:val="nil"/>
              <w:bottom w:val="single" w:sz="8" w:space="0" w:color="auto"/>
              <w:right w:val="single" w:sz="8" w:space="0" w:color="auto"/>
            </w:tcBorders>
            <w:shd w:val="clear" w:color="000000" w:fill="FFFFFF"/>
            <w:hideMark/>
          </w:tcPr>
          <w:p w14:paraId="30C4B20B"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brak szacunków</w:t>
            </w:r>
          </w:p>
        </w:tc>
      </w:tr>
      <w:tr w:rsidR="007D1CD5" w:rsidRPr="00FF7B4A" w14:paraId="55C2D546" w14:textId="77777777" w:rsidTr="00B562F2">
        <w:trPr>
          <w:trHeight w:val="340"/>
        </w:trPr>
        <w:tc>
          <w:tcPr>
            <w:tcW w:w="1305" w:type="dxa"/>
            <w:tcBorders>
              <w:top w:val="single" w:sz="4" w:space="0" w:color="auto"/>
              <w:left w:val="single" w:sz="4" w:space="0" w:color="auto"/>
              <w:bottom w:val="single" w:sz="4" w:space="0" w:color="auto"/>
              <w:right w:val="single" w:sz="4" w:space="0" w:color="000000"/>
            </w:tcBorders>
            <w:shd w:val="clear" w:color="auto" w:fill="auto"/>
            <w:vAlign w:val="bottom"/>
          </w:tcPr>
          <w:p w14:paraId="65E2AB63"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2025</w:t>
            </w:r>
          </w:p>
        </w:tc>
        <w:tc>
          <w:tcPr>
            <w:tcW w:w="2693" w:type="dxa"/>
            <w:tcBorders>
              <w:top w:val="single" w:sz="8" w:space="0" w:color="auto"/>
              <w:left w:val="single" w:sz="4" w:space="0" w:color="auto"/>
              <w:bottom w:val="single" w:sz="8" w:space="0" w:color="auto"/>
              <w:right w:val="single" w:sz="8" w:space="0" w:color="auto"/>
            </w:tcBorders>
            <w:shd w:val="clear" w:color="000000" w:fill="FFFFFF"/>
            <w:hideMark/>
          </w:tcPr>
          <w:p w14:paraId="43D5E069"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1,06</w:t>
            </w:r>
          </w:p>
        </w:tc>
        <w:tc>
          <w:tcPr>
            <w:tcW w:w="2410" w:type="dxa"/>
            <w:tcBorders>
              <w:top w:val="nil"/>
              <w:left w:val="nil"/>
              <w:bottom w:val="single" w:sz="8" w:space="0" w:color="auto"/>
              <w:right w:val="single" w:sz="8" w:space="0" w:color="auto"/>
            </w:tcBorders>
            <w:shd w:val="clear" w:color="000000" w:fill="FFFFFF"/>
            <w:hideMark/>
          </w:tcPr>
          <w:p w14:paraId="7F0F081D"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4,58</w:t>
            </w:r>
          </w:p>
        </w:tc>
        <w:tc>
          <w:tcPr>
            <w:tcW w:w="2659" w:type="dxa"/>
            <w:tcBorders>
              <w:top w:val="nil"/>
              <w:left w:val="nil"/>
              <w:bottom w:val="single" w:sz="8" w:space="0" w:color="auto"/>
              <w:right w:val="single" w:sz="8" w:space="0" w:color="auto"/>
            </w:tcBorders>
            <w:shd w:val="clear" w:color="000000" w:fill="FFFFFF"/>
            <w:hideMark/>
          </w:tcPr>
          <w:p w14:paraId="7EB736EB"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brak szacunków</w:t>
            </w:r>
          </w:p>
        </w:tc>
      </w:tr>
      <w:tr w:rsidR="007D1CD5" w:rsidRPr="00FF7B4A" w14:paraId="398584D5" w14:textId="77777777" w:rsidTr="00B562F2">
        <w:trPr>
          <w:trHeight w:val="340"/>
        </w:trPr>
        <w:tc>
          <w:tcPr>
            <w:tcW w:w="1305" w:type="dxa"/>
            <w:tcBorders>
              <w:top w:val="single" w:sz="4" w:space="0" w:color="auto"/>
              <w:left w:val="single" w:sz="4" w:space="0" w:color="auto"/>
              <w:bottom w:val="single" w:sz="4" w:space="0" w:color="auto"/>
              <w:right w:val="single" w:sz="4" w:space="0" w:color="000000"/>
            </w:tcBorders>
            <w:shd w:val="clear" w:color="auto" w:fill="auto"/>
            <w:vAlign w:val="bottom"/>
          </w:tcPr>
          <w:p w14:paraId="2E7CBAAB"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2026</w:t>
            </w:r>
          </w:p>
        </w:tc>
        <w:tc>
          <w:tcPr>
            <w:tcW w:w="2693" w:type="dxa"/>
            <w:tcBorders>
              <w:top w:val="single" w:sz="8" w:space="0" w:color="auto"/>
              <w:left w:val="single" w:sz="4" w:space="0" w:color="auto"/>
              <w:bottom w:val="single" w:sz="8" w:space="0" w:color="auto"/>
              <w:right w:val="single" w:sz="8" w:space="0" w:color="auto"/>
            </w:tcBorders>
            <w:shd w:val="clear" w:color="000000" w:fill="FFFFFF"/>
            <w:hideMark/>
          </w:tcPr>
          <w:p w14:paraId="0211FC9B"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1,15</w:t>
            </w:r>
          </w:p>
        </w:tc>
        <w:tc>
          <w:tcPr>
            <w:tcW w:w="2410" w:type="dxa"/>
            <w:tcBorders>
              <w:top w:val="nil"/>
              <w:left w:val="nil"/>
              <w:bottom w:val="single" w:sz="8" w:space="0" w:color="auto"/>
              <w:right w:val="single" w:sz="8" w:space="0" w:color="auto"/>
            </w:tcBorders>
            <w:shd w:val="clear" w:color="000000" w:fill="FFFFFF"/>
            <w:hideMark/>
          </w:tcPr>
          <w:p w14:paraId="0714688E"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4,81</w:t>
            </w:r>
          </w:p>
        </w:tc>
        <w:tc>
          <w:tcPr>
            <w:tcW w:w="2659" w:type="dxa"/>
            <w:tcBorders>
              <w:top w:val="nil"/>
              <w:left w:val="nil"/>
              <w:bottom w:val="single" w:sz="8" w:space="0" w:color="auto"/>
              <w:right w:val="single" w:sz="8" w:space="0" w:color="auto"/>
            </w:tcBorders>
            <w:shd w:val="clear" w:color="000000" w:fill="FFFFFF"/>
            <w:hideMark/>
          </w:tcPr>
          <w:p w14:paraId="34FBC371"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brak szacunków</w:t>
            </w:r>
          </w:p>
        </w:tc>
      </w:tr>
      <w:tr w:rsidR="007D1CD5" w:rsidRPr="00FF7B4A" w14:paraId="2E613C51" w14:textId="77777777" w:rsidTr="00B562F2">
        <w:trPr>
          <w:trHeight w:val="340"/>
        </w:trPr>
        <w:tc>
          <w:tcPr>
            <w:tcW w:w="1305" w:type="dxa"/>
            <w:tcBorders>
              <w:top w:val="single" w:sz="4" w:space="0" w:color="auto"/>
              <w:left w:val="single" w:sz="4" w:space="0" w:color="auto"/>
              <w:bottom w:val="single" w:sz="4" w:space="0" w:color="auto"/>
              <w:right w:val="single" w:sz="4" w:space="0" w:color="000000"/>
            </w:tcBorders>
            <w:shd w:val="clear" w:color="auto" w:fill="auto"/>
            <w:vAlign w:val="bottom"/>
          </w:tcPr>
          <w:p w14:paraId="5245B236"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2027</w:t>
            </w:r>
          </w:p>
        </w:tc>
        <w:tc>
          <w:tcPr>
            <w:tcW w:w="2693" w:type="dxa"/>
            <w:tcBorders>
              <w:top w:val="single" w:sz="8" w:space="0" w:color="auto"/>
              <w:left w:val="single" w:sz="4" w:space="0" w:color="auto"/>
              <w:bottom w:val="single" w:sz="8" w:space="0" w:color="auto"/>
              <w:right w:val="single" w:sz="8" w:space="0" w:color="auto"/>
            </w:tcBorders>
            <w:shd w:val="clear" w:color="000000" w:fill="FFFFFF"/>
            <w:hideMark/>
          </w:tcPr>
          <w:p w14:paraId="56D2A712"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1,24</w:t>
            </w:r>
          </w:p>
        </w:tc>
        <w:tc>
          <w:tcPr>
            <w:tcW w:w="2410" w:type="dxa"/>
            <w:tcBorders>
              <w:top w:val="nil"/>
              <w:left w:val="nil"/>
              <w:bottom w:val="single" w:sz="8" w:space="0" w:color="auto"/>
              <w:right w:val="single" w:sz="8" w:space="0" w:color="auto"/>
            </w:tcBorders>
            <w:shd w:val="clear" w:color="000000" w:fill="FFFFFF"/>
            <w:hideMark/>
          </w:tcPr>
          <w:p w14:paraId="6A603521"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5,05</w:t>
            </w:r>
          </w:p>
        </w:tc>
        <w:tc>
          <w:tcPr>
            <w:tcW w:w="2659" w:type="dxa"/>
            <w:tcBorders>
              <w:top w:val="nil"/>
              <w:left w:val="nil"/>
              <w:bottom w:val="single" w:sz="8" w:space="0" w:color="auto"/>
              <w:right w:val="single" w:sz="8" w:space="0" w:color="auto"/>
            </w:tcBorders>
            <w:shd w:val="clear" w:color="000000" w:fill="FFFFFF"/>
            <w:hideMark/>
          </w:tcPr>
          <w:p w14:paraId="07E319CB" w14:textId="77777777" w:rsidR="007D1CD5" w:rsidRPr="00FF7B4A" w:rsidRDefault="007D1CD5" w:rsidP="008F1CDA">
            <w:pPr>
              <w:spacing w:line="240" w:lineRule="auto"/>
              <w:rPr>
                <w:rFonts w:ascii="Times New Roman" w:hAnsi="Times New Roman" w:cs="Times New Roman"/>
                <w:sz w:val="24"/>
                <w:szCs w:val="24"/>
              </w:rPr>
            </w:pPr>
            <w:r w:rsidRPr="00FF7B4A">
              <w:rPr>
                <w:rFonts w:ascii="Times New Roman" w:hAnsi="Times New Roman" w:cs="Times New Roman"/>
                <w:sz w:val="24"/>
                <w:szCs w:val="24"/>
              </w:rPr>
              <w:t>brak szacunków</w:t>
            </w:r>
          </w:p>
        </w:tc>
      </w:tr>
    </w:tbl>
    <w:p w14:paraId="6353B269" w14:textId="77777777" w:rsidR="007D1CD5" w:rsidRPr="00FF7B4A" w:rsidRDefault="007D1CD5" w:rsidP="000F4131">
      <w:pPr>
        <w:spacing w:line="360" w:lineRule="auto"/>
        <w:jc w:val="both"/>
        <w:rPr>
          <w:rFonts w:ascii="Times New Roman" w:hAnsi="Times New Roman" w:cs="Times New Roman"/>
          <w:bCs/>
          <w:sz w:val="24"/>
          <w:szCs w:val="24"/>
        </w:rPr>
      </w:pPr>
      <w:r w:rsidRPr="00FF7B4A">
        <w:rPr>
          <w:rFonts w:ascii="Times New Roman" w:hAnsi="Times New Roman" w:cs="Times New Roman"/>
          <w:bCs/>
          <w:sz w:val="24"/>
          <w:szCs w:val="24"/>
        </w:rPr>
        <w:t>* Wpływ na cenę trudny do oszacowania, jednak z uwagi na aktualną cenę oraz niski udział akcyzy w cenie paczki wkładów do podgrzewaczy nie przewiduje się drastycznych zmian.</w:t>
      </w:r>
    </w:p>
    <w:p w14:paraId="1CF04ED2" w14:textId="77777777" w:rsidR="00EA169F" w:rsidRPr="00FF7B4A" w:rsidRDefault="00EA169F" w:rsidP="000F4131">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 xml:space="preserve">Podwyższenie minimalnej stawki akcyzy na papierosy spowoduje ograniczenie podaży najtańszych papierosów palonych m.in. przez nieletnich (w 2020 r. papierosy sprzedawane poniżej średniej ważonej detalicznej ceny papierosów (WAP) stanowiły ok. 49% rynku). </w:t>
      </w:r>
    </w:p>
    <w:p w14:paraId="4A0C9E9D" w14:textId="77777777" w:rsidR="00EA169F" w:rsidRPr="00FF7B4A" w:rsidRDefault="00EA169F" w:rsidP="000F4131">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Z kolei wprowadzenie minimalnej stawki akcyzy dla tytoniu do palenia służy ograniczeniu sztucznego zaniżania cen tytoniu do palenia w celu zmniejszenia opodatkowania wyrobów nowatorskich. WAP dla tytoniu do palenia ma wpływ na wysokość akcyzy od wyrobów nowatorskich. Wyroby nowatorskie są traktowane m.in. przez młodzież jako substytut tradycyjnych wyrobów tytoniowych. Dlatego wzrost stawki akcyzy o 100% w 2022 r. i w latach 2023</w:t>
      </w:r>
      <w:r w:rsidR="000F4131">
        <w:t>–</w:t>
      </w:r>
      <w:r w:rsidRPr="00FF7B4A">
        <w:rPr>
          <w:rFonts w:ascii="Times New Roman" w:hAnsi="Times New Roman" w:cs="Times New Roman"/>
          <w:sz w:val="24"/>
          <w:szCs w:val="24"/>
        </w:rPr>
        <w:t>2027 co roku o kolejne 10% na wyroby nowatorskie z jednoczesnym wprowadzeniem minimalnej stawki akcyzy na tytoń do palenia powinien doprowadzić do ograniczenia palenia wśród nieletnich. Wprowadzenie minimalnej stawki akcyzy na tytoń do palenia spowoduje również większą przewidywalność wpływów budżetowych.</w:t>
      </w:r>
    </w:p>
    <w:p w14:paraId="612DBC15" w14:textId="77777777" w:rsidR="00EA169F" w:rsidRPr="00FF7B4A" w:rsidRDefault="00843A1B" w:rsidP="000F4131">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P</w:t>
      </w:r>
      <w:r w:rsidR="00EA169F" w:rsidRPr="00FF7B4A">
        <w:rPr>
          <w:rFonts w:ascii="Times New Roman" w:hAnsi="Times New Roman" w:cs="Times New Roman"/>
          <w:sz w:val="24"/>
          <w:szCs w:val="24"/>
        </w:rPr>
        <w:t>odwyższenie stawek akcyzy na napoje alkoholowe ma przede wszystkim na celu ograniczenie spożycia używek przez konsumentów. Dostępność alkoholu w Polsce jest zbyt duża, a biorąc pod uwagę czynnik inflacyjny</w:t>
      </w:r>
      <w:r w:rsidR="000F4131">
        <w:rPr>
          <w:rFonts w:ascii="Times New Roman" w:hAnsi="Times New Roman" w:cs="Times New Roman"/>
          <w:sz w:val="24"/>
          <w:szCs w:val="24"/>
        </w:rPr>
        <w:t>,</w:t>
      </w:r>
      <w:r w:rsidR="00EA169F" w:rsidRPr="00FF7B4A">
        <w:rPr>
          <w:rFonts w:ascii="Times New Roman" w:hAnsi="Times New Roman" w:cs="Times New Roman"/>
          <w:sz w:val="24"/>
          <w:szCs w:val="24"/>
        </w:rPr>
        <w:t xml:space="preserve"> bez podwyższenia stawek akcyzy przystępność cenowa napojów alkoholowych cały czas by rosła.</w:t>
      </w:r>
    </w:p>
    <w:p w14:paraId="329563AC" w14:textId="66B2CA96" w:rsidR="00EA169F" w:rsidRPr="00FF7B4A" w:rsidRDefault="00EA169F" w:rsidP="000F4131">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Taki sam cel przyświeca podwyżce stawek akcyzy na tytoń do palenia i papierosy</w:t>
      </w:r>
      <w:r w:rsidR="000F4131">
        <w:rPr>
          <w:rFonts w:ascii="Times New Roman" w:hAnsi="Times New Roman" w:cs="Times New Roman"/>
          <w:sz w:val="24"/>
          <w:szCs w:val="24"/>
        </w:rPr>
        <w:t>,</w:t>
      </w:r>
      <w:r w:rsidRPr="00FF7B4A">
        <w:rPr>
          <w:rFonts w:ascii="Times New Roman" w:hAnsi="Times New Roman" w:cs="Times New Roman"/>
          <w:sz w:val="24"/>
          <w:szCs w:val="24"/>
        </w:rPr>
        <w:t xml:space="preserve"> </w:t>
      </w:r>
      <w:r w:rsidR="00843A1B" w:rsidRPr="00FF7B4A">
        <w:rPr>
          <w:rFonts w:ascii="Times New Roman" w:hAnsi="Times New Roman" w:cs="Times New Roman"/>
          <w:sz w:val="24"/>
          <w:szCs w:val="24"/>
        </w:rPr>
        <w:t>począwszy od 2023 r.</w:t>
      </w:r>
      <w:r w:rsidR="000F4131">
        <w:rPr>
          <w:rFonts w:ascii="Times New Roman" w:hAnsi="Times New Roman" w:cs="Times New Roman"/>
          <w:sz w:val="24"/>
          <w:szCs w:val="24"/>
        </w:rPr>
        <w:t>,</w:t>
      </w:r>
      <w:r w:rsidR="00843A1B" w:rsidRPr="00FF7B4A">
        <w:rPr>
          <w:rFonts w:ascii="Times New Roman" w:hAnsi="Times New Roman" w:cs="Times New Roman"/>
          <w:sz w:val="24"/>
          <w:szCs w:val="24"/>
        </w:rPr>
        <w:t xml:space="preserve"> </w:t>
      </w:r>
      <w:r w:rsidRPr="00FF7B4A">
        <w:rPr>
          <w:rFonts w:ascii="Times New Roman" w:hAnsi="Times New Roman" w:cs="Times New Roman"/>
          <w:sz w:val="24"/>
          <w:szCs w:val="24"/>
        </w:rPr>
        <w:t>czyli ma przede wszystki</w:t>
      </w:r>
      <w:r w:rsidR="00E67195">
        <w:rPr>
          <w:rFonts w:ascii="Times New Roman" w:hAnsi="Times New Roman" w:cs="Times New Roman"/>
          <w:sz w:val="24"/>
          <w:szCs w:val="24"/>
        </w:rPr>
        <w:t>m</w:t>
      </w:r>
      <w:r w:rsidRPr="00FF7B4A">
        <w:rPr>
          <w:rFonts w:ascii="Times New Roman" w:hAnsi="Times New Roman" w:cs="Times New Roman"/>
          <w:sz w:val="24"/>
          <w:szCs w:val="24"/>
        </w:rPr>
        <w:t xml:space="preserve"> ograniczyć spożycie ww. wyrobów przez konsumentów</w:t>
      </w:r>
      <w:r w:rsidR="007C58F5" w:rsidRPr="00FF7B4A">
        <w:rPr>
          <w:rFonts w:ascii="Times New Roman" w:hAnsi="Times New Roman" w:cs="Times New Roman"/>
          <w:sz w:val="24"/>
          <w:szCs w:val="24"/>
        </w:rPr>
        <w:t>,</w:t>
      </w:r>
      <w:r w:rsidRPr="00FF7B4A">
        <w:rPr>
          <w:rFonts w:ascii="Times New Roman" w:hAnsi="Times New Roman" w:cs="Times New Roman"/>
          <w:sz w:val="24"/>
          <w:szCs w:val="24"/>
        </w:rPr>
        <w:t xml:space="preserve"> w tym szczególnie przez osoby ni</w:t>
      </w:r>
      <w:r w:rsidR="007C58F5" w:rsidRPr="00FF7B4A">
        <w:rPr>
          <w:rFonts w:ascii="Times New Roman" w:hAnsi="Times New Roman" w:cs="Times New Roman"/>
          <w:sz w:val="24"/>
          <w:szCs w:val="24"/>
        </w:rPr>
        <w:t>eletnie.</w:t>
      </w:r>
    </w:p>
    <w:p w14:paraId="281D827F" w14:textId="49ED5A22" w:rsidR="00EA169F" w:rsidRPr="00FF7B4A" w:rsidRDefault="00EA169F" w:rsidP="000F4131">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 xml:space="preserve">Podwyżki </w:t>
      </w:r>
      <w:r w:rsidR="00B11530">
        <w:rPr>
          <w:rFonts w:ascii="Times New Roman" w:hAnsi="Times New Roman" w:cs="Times New Roman"/>
          <w:sz w:val="24"/>
          <w:szCs w:val="24"/>
        </w:rPr>
        <w:t xml:space="preserve">stawek akcyzy na </w:t>
      </w:r>
      <w:r w:rsidRPr="00FF7B4A">
        <w:rPr>
          <w:rFonts w:ascii="Times New Roman" w:hAnsi="Times New Roman" w:cs="Times New Roman"/>
          <w:sz w:val="24"/>
          <w:szCs w:val="24"/>
        </w:rPr>
        <w:t>ww. wyrob</w:t>
      </w:r>
      <w:r w:rsidR="00B11530">
        <w:rPr>
          <w:rFonts w:ascii="Times New Roman" w:hAnsi="Times New Roman" w:cs="Times New Roman"/>
          <w:sz w:val="24"/>
          <w:szCs w:val="24"/>
        </w:rPr>
        <w:t>y</w:t>
      </w:r>
      <w:r w:rsidRPr="00FF7B4A">
        <w:rPr>
          <w:rFonts w:ascii="Times New Roman" w:hAnsi="Times New Roman" w:cs="Times New Roman"/>
          <w:sz w:val="24"/>
          <w:szCs w:val="24"/>
        </w:rPr>
        <w:t xml:space="preserve"> mają również zniwelować skutki inflacji</w:t>
      </w:r>
      <w:r w:rsidR="00E67195">
        <w:rPr>
          <w:rFonts w:ascii="Times New Roman" w:hAnsi="Times New Roman" w:cs="Times New Roman"/>
          <w:sz w:val="24"/>
          <w:szCs w:val="24"/>
        </w:rPr>
        <w:t>,</w:t>
      </w:r>
      <w:r w:rsidRPr="00FF7B4A">
        <w:rPr>
          <w:rFonts w:ascii="Times New Roman" w:hAnsi="Times New Roman" w:cs="Times New Roman"/>
          <w:sz w:val="24"/>
          <w:szCs w:val="24"/>
        </w:rPr>
        <w:t xml:space="preserve"> jaka w najbliższych latach prowadziłaby stopniowo do relatywnego spadku cen używek w stosunku do cen innych wyrobów.</w:t>
      </w:r>
    </w:p>
    <w:p w14:paraId="0F2400C8" w14:textId="77777777" w:rsidR="007C58F5" w:rsidRPr="00FF7B4A" w:rsidRDefault="007C58F5" w:rsidP="000F4131">
      <w:pPr>
        <w:spacing w:line="360" w:lineRule="auto"/>
        <w:jc w:val="both"/>
        <w:rPr>
          <w:rFonts w:ascii="Times New Roman" w:hAnsi="Times New Roman" w:cs="Times New Roman"/>
          <w:b/>
          <w:sz w:val="24"/>
          <w:szCs w:val="24"/>
        </w:rPr>
      </w:pPr>
      <w:r w:rsidRPr="00FF7B4A">
        <w:rPr>
          <w:rFonts w:ascii="Times New Roman" w:hAnsi="Times New Roman" w:cs="Times New Roman"/>
          <w:b/>
          <w:sz w:val="24"/>
          <w:szCs w:val="24"/>
        </w:rPr>
        <w:t>Zmiany szczegółowe</w:t>
      </w:r>
    </w:p>
    <w:p w14:paraId="733EA66F" w14:textId="77777777" w:rsidR="007C58F5" w:rsidRPr="00FF7B4A" w:rsidRDefault="00973C87" w:rsidP="000F4131">
      <w:pPr>
        <w:spacing w:line="360" w:lineRule="auto"/>
        <w:jc w:val="both"/>
        <w:rPr>
          <w:rFonts w:ascii="Times New Roman" w:hAnsi="Times New Roman" w:cs="Times New Roman"/>
          <w:b/>
          <w:sz w:val="24"/>
          <w:szCs w:val="24"/>
        </w:rPr>
      </w:pPr>
      <w:r w:rsidRPr="00FF7B4A">
        <w:rPr>
          <w:rFonts w:ascii="Times New Roman" w:hAnsi="Times New Roman" w:cs="Times New Roman"/>
          <w:b/>
          <w:sz w:val="24"/>
          <w:szCs w:val="24"/>
        </w:rPr>
        <w:t>w a</w:t>
      </w:r>
      <w:r w:rsidR="007C58F5" w:rsidRPr="00FF7B4A">
        <w:rPr>
          <w:rFonts w:ascii="Times New Roman" w:hAnsi="Times New Roman" w:cs="Times New Roman"/>
          <w:b/>
          <w:sz w:val="24"/>
          <w:szCs w:val="24"/>
        </w:rPr>
        <w:t>rt. 1</w:t>
      </w:r>
      <w:r w:rsidRPr="00FF7B4A">
        <w:rPr>
          <w:rFonts w:ascii="Times New Roman" w:hAnsi="Times New Roman" w:cs="Times New Roman"/>
          <w:b/>
          <w:sz w:val="24"/>
          <w:szCs w:val="24"/>
        </w:rPr>
        <w:t>:</w:t>
      </w:r>
    </w:p>
    <w:p w14:paraId="4583EFDA" w14:textId="4A3022AF" w:rsidR="007C58F5" w:rsidRPr="00FF7B4A" w:rsidRDefault="00973C87" w:rsidP="000F4131">
      <w:pPr>
        <w:spacing w:line="360" w:lineRule="auto"/>
        <w:jc w:val="both"/>
        <w:rPr>
          <w:rFonts w:ascii="Times New Roman" w:hAnsi="Times New Roman" w:cs="Times New Roman"/>
          <w:sz w:val="24"/>
          <w:szCs w:val="24"/>
        </w:rPr>
      </w:pPr>
      <w:r w:rsidRPr="00FF7B4A">
        <w:rPr>
          <w:rFonts w:ascii="Times New Roman" w:hAnsi="Times New Roman" w:cs="Times New Roman"/>
          <w:b/>
          <w:sz w:val="24"/>
          <w:szCs w:val="24"/>
        </w:rPr>
        <w:t>p</w:t>
      </w:r>
      <w:r w:rsidR="007C58F5" w:rsidRPr="00FF7B4A">
        <w:rPr>
          <w:rFonts w:ascii="Times New Roman" w:hAnsi="Times New Roman" w:cs="Times New Roman"/>
          <w:b/>
          <w:sz w:val="24"/>
          <w:szCs w:val="24"/>
        </w:rPr>
        <w:t>kt 1</w:t>
      </w:r>
      <w:r w:rsidR="000F4131">
        <w:t>–</w:t>
      </w:r>
      <w:r w:rsidR="007C58F5" w:rsidRPr="00FF7B4A">
        <w:rPr>
          <w:rFonts w:ascii="Times New Roman" w:hAnsi="Times New Roman" w:cs="Times New Roman"/>
          <w:b/>
          <w:sz w:val="24"/>
          <w:szCs w:val="24"/>
        </w:rPr>
        <w:t xml:space="preserve">5 </w:t>
      </w:r>
      <w:r w:rsidR="007C58F5" w:rsidRPr="00FF7B4A">
        <w:rPr>
          <w:rFonts w:ascii="Times New Roman" w:hAnsi="Times New Roman" w:cs="Times New Roman"/>
          <w:sz w:val="24"/>
          <w:szCs w:val="24"/>
        </w:rPr>
        <w:t>dotyczą zmian w art. 93 ust. 4, art. 9</w:t>
      </w:r>
      <w:r w:rsidR="00B11530">
        <w:rPr>
          <w:rFonts w:ascii="Times New Roman" w:hAnsi="Times New Roman" w:cs="Times New Roman"/>
          <w:sz w:val="24"/>
          <w:szCs w:val="24"/>
        </w:rPr>
        <w:t>4</w:t>
      </w:r>
      <w:r w:rsidR="007C58F5" w:rsidRPr="00FF7B4A">
        <w:rPr>
          <w:rFonts w:ascii="Times New Roman" w:hAnsi="Times New Roman" w:cs="Times New Roman"/>
          <w:sz w:val="24"/>
          <w:szCs w:val="24"/>
        </w:rPr>
        <w:t xml:space="preserve"> ust. 4, art. 96 ust. 4, art. 97 ust. 4 ustawy w zakresie wysokości stawek podatku akcyzowego na napoje alkoholowe</w:t>
      </w:r>
      <w:r w:rsidR="000F4131">
        <w:rPr>
          <w:rFonts w:ascii="Times New Roman" w:hAnsi="Times New Roman" w:cs="Times New Roman"/>
          <w:sz w:val="24"/>
          <w:szCs w:val="24"/>
        </w:rPr>
        <w:t>,</w:t>
      </w:r>
      <w:r w:rsidRPr="00FF7B4A">
        <w:rPr>
          <w:rFonts w:ascii="Times New Roman" w:hAnsi="Times New Roman" w:cs="Times New Roman"/>
          <w:sz w:val="24"/>
          <w:szCs w:val="24"/>
        </w:rPr>
        <w:t xml:space="preserve"> tj. alkohol etylowy, piwo, napoje fermentowane i wyroby pośrednie</w:t>
      </w:r>
      <w:r w:rsidR="000F4131">
        <w:rPr>
          <w:rFonts w:ascii="Times New Roman" w:hAnsi="Times New Roman" w:cs="Times New Roman"/>
          <w:sz w:val="24"/>
          <w:szCs w:val="24"/>
        </w:rPr>
        <w:t>,</w:t>
      </w:r>
      <w:r w:rsidRPr="00FF7B4A">
        <w:rPr>
          <w:rFonts w:ascii="Times New Roman" w:hAnsi="Times New Roman" w:cs="Times New Roman"/>
          <w:sz w:val="24"/>
          <w:szCs w:val="24"/>
        </w:rPr>
        <w:t xml:space="preserve"> </w:t>
      </w:r>
      <w:r w:rsidR="007C58F5" w:rsidRPr="00FF7B4A">
        <w:rPr>
          <w:rFonts w:ascii="Times New Roman" w:hAnsi="Times New Roman" w:cs="Times New Roman"/>
          <w:sz w:val="24"/>
          <w:szCs w:val="24"/>
        </w:rPr>
        <w:t>jakie będą</w:t>
      </w:r>
      <w:r w:rsidR="0041556F">
        <w:rPr>
          <w:rFonts w:ascii="Times New Roman" w:hAnsi="Times New Roman" w:cs="Times New Roman"/>
          <w:sz w:val="24"/>
          <w:szCs w:val="24"/>
        </w:rPr>
        <w:t xml:space="preserve"> obowiązywać od 1 stycznia 2027 </w:t>
      </w:r>
      <w:r w:rsidR="007C58F5" w:rsidRPr="00FF7B4A">
        <w:rPr>
          <w:rFonts w:ascii="Times New Roman" w:hAnsi="Times New Roman" w:cs="Times New Roman"/>
          <w:sz w:val="24"/>
          <w:szCs w:val="24"/>
        </w:rPr>
        <w:t>r.</w:t>
      </w:r>
    </w:p>
    <w:p w14:paraId="71955E07" w14:textId="77777777" w:rsidR="00973C87" w:rsidRPr="00FF7B4A" w:rsidRDefault="00973C87" w:rsidP="000F4131">
      <w:pPr>
        <w:spacing w:line="360" w:lineRule="auto"/>
        <w:jc w:val="both"/>
        <w:rPr>
          <w:rFonts w:ascii="Times New Roman" w:hAnsi="Times New Roman" w:cs="Times New Roman"/>
          <w:b/>
          <w:sz w:val="24"/>
          <w:szCs w:val="24"/>
        </w:rPr>
      </w:pPr>
      <w:r w:rsidRPr="00FF7B4A">
        <w:rPr>
          <w:rFonts w:ascii="Times New Roman" w:hAnsi="Times New Roman" w:cs="Times New Roman"/>
          <w:b/>
          <w:sz w:val="24"/>
          <w:szCs w:val="24"/>
        </w:rPr>
        <w:t xml:space="preserve">pkt 6 </w:t>
      </w:r>
      <w:r w:rsidRPr="00FF7B4A">
        <w:rPr>
          <w:rFonts w:ascii="Times New Roman" w:hAnsi="Times New Roman" w:cs="Times New Roman"/>
          <w:sz w:val="24"/>
          <w:szCs w:val="24"/>
        </w:rPr>
        <w:t>dotyczą zmian art. 99 ust. 2 i 3 ustawy w zakresie stawek akcyzy na papierosy i tytoń do palenia, w tym papierosy i tytoń do palenia nieobjęte obowiązkiem oznaczania znakami akcyzy i nieoznaczone maksymalną ceną detaliczną</w:t>
      </w:r>
      <w:r w:rsidR="0041556F">
        <w:rPr>
          <w:rFonts w:ascii="Times New Roman" w:hAnsi="Times New Roman" w:cs="Times New Roman"/>
          <w:sz w:val="24"/>
          <w:szCs w:val="24"/>
        </w:rPr>
        <w:t>,</w:t>
      </w:r>
      <w:r w:rsidRPr="00FF7B4A">
        <w:rPr>
          <w:rFonts w:ascii="Times New Roman" w:hAnsi="Times New Roman" w:cs="Times New Roman"/>
          <w:sz w:val="24"/>
          <w:szCs w:val="24"/>
        </w:rPr>
        <w:t xml:space="preserve"> jakie będą obowiązywać od 1 stycznia 2027 r. </w:t>
      </w:r>
      <w:r w:rsidR="00110C3F" w:rsidRPr="00FF7B4A">
        <w:rPr>
          <w:rFonts w:ascii="Times New Roman" w:hAnsi="Times New Roman" w:cs="Times New Roman"/>
          <w:sz w:val="24"/>
          <w:szCs w:val="24"/>
        </w:rPr>
        <w:t>Z</w:t>
      </w:r>
      <w:r w:rsidRPr="00FF7B4A">
        <w:rPr>
          <w:rFonts w:ascii="Times New Roman" w:hAnsi="Times New Roman" w:cs="Times New Roman"/>
          <w:sz w:val="24"/>
          <w:szCs w:val="24"/>
        </w:rPr>
        <w:t xml:space="preserve">miana w art. 99 ust. 4 wprowadza minimalną stawkę akcyzy na tytoń do palenia w wysokości 100% </w:t>
      </w:r>
      <w:r w:rsidR="00110C3F" w:rsidRPr="00FF7B4A">
        <w:rPr>
          <w:rFonts w:ascii="Times New Roman" w:hAnsi="Times New Roman" w:cs="Times New Roman"/>
          <w:sz w:val="24"/>
          <w:szCs w:val="24"/>
        </w:rPr>
        <w:t>całkowitej kwoty akcyzy, naliczonej od ceny równej średniej ważonej detalicznej cenie sprzedaży tytoniu do palenia. Konsekwencją tej zmiany jest nadanie nowego brzmienia art. 99 ust. 5d dotyczącego ustalenia minimalnej stawki akcyzy na papierosy i tytoń do palenia. W tym przypadku stosuje się średnią ważoną detaliczną cenę sprzedaży odpowiednio papierosów i tytoniu do palenia obliczaną na podstawie danych za pierwszych 10 miesięcy roku poprzedzającego rok kalendarzowy, na który średnia ważona detaliczna cena sprzedaży odpowiednio papierosów i tytoniu do palenia jest obliczana.</w:t>
      </w:r>
    </w:p>
    <w:p w14:paraId="0A451899" w14:textId="77777777" w:rsidR="00846DF4" w:rsidRPr="00FF7B4A" w:rsidRDefault="00354BD9" w:rsidP="000F4131">
      <w:pPr>
        <w:spacing w:line="360" w:lineRule="auto"/>
        <w:jc w:val="both"/>
        <w:rPr>
          <w:rFonts w:ascii="Times New Roman" w:hAnsi="Times New Roman" w:cs="Times New Roman"/>
          <w:sz w:val="24"/>
          <w:szCs w:val="24"/>
        </w:rPr>
      </w:pPr>
      <w:r w:rsidRPr="00FF7B4A">
        <w:rPr>
          <w:rFonts w:ascii="Times New Roman" w:hAnsi="Times New Roman" w:cs="Times New Roman"/>
          <w:b/>
          <w:sz w:val="24"/>
          <w:szCs w:val="24"/>
        </w:rPr>
        <w:t>pkt 7</w:t>
      </w:r>
      <w:r w:rsidRPr="00FF7B4A">
        <w:rPr>
          <w:rFonts w:ascii="Times New Roman" w:hAnsi="Times New Roman" w:cs="Times New Roman"/>
          <w:sz w:val="24"/>
          <w:szCs w:val="24"/>
        </w:rPr>
        <w:t xml:space="preserve"> </w:t>
      </w:r>
      <w:r w:rsidR="00846DF4" w:rsidRPr="00FF7B4A">
        <w:rPr>
          <w:rFonts w:ascii="Times New Roman" w:hAnsi="Times New Roman" w:cs="Times New Roman"/>
          <w:sz w:val="24"/>
          <w:szCs w:val="24"/>
        </w:rPr>
        <w:t>zmiana dotyczy zmiany stawki akcyzy na susz tytoniowy w 2027 r.</w:t>
      </w:r>
    </w:p>
    <w:p w14:paraId="17CD6859" w14:textId="77777777" w:rsidR="00973C87" w:rsidRPr="00FF7B4A" w:rsidRDefault="00846DF4" w:rsidP="000F4131">
      <w:pPr>
        <w:spacing w:line="360" w:lineRule="auto"/>
        <w:jc w:val="both"/>
        <w:rPr>
          <w:rFonts w:ascii="Times New Roman" w:hAnsi="Times New Roman" w:cs="Times New Roman"/>
          <w:sz w:val="24"/>
          <w:szCs w:val="24"/>
        </w:rPr>
      </w:pPr>
      <w:r w:rsidRPr="00FF7B4A">
        <w:rPr>
          <w:rFonts w:ascii="Times New Roman" w:hAnsi="Times New Roman" w:cs="Times New Roman"/>
          <w:b/>
          <w:sz w:val="24"/>
          <w:szCs w:val="24"/>
        </w:rPr>
        <w:t>pkt 8</w:t>
      </w:r>
      <w:r w:rsidRPr="00FF7B4A">
        <w:rPr>
          <w:rFonts w:ascii="Times New Roman" w:hAnsi="Times New Roman" w:cs="Times New Roman"/>
          <w:sz w:val="24"/>
          <w:szCs w:val="24"/>
        </w:rPr>
        <w:t xml:space="preserve"> zmiany </w:t>
      </w:r>
      <w:r w:rsidR="003B1099" w:rsidRPr="00FF7B4A">
        <w:rPr>
          <w:rFonts w:ascii="Times New Roman" w:hAnsi="Times New Roman" w:cs="Times New Roman"/>
          <w:sz w:val="24"/>
          <w:szCs w:val="24"/>
        </w:rPr>
        <w:t>dotyczą zmian w art. 99c ust. 4 i 5 w zakresie wysokości stawek akcyzy na wyroby nowatorskie (podstawowej i sankcyjnej)</w:t>
      </w:r>
      <w:r w:rsidR="0041556F">
        <w:rPr>
          <w:rFonts w:ascii="Times New Roman" w:hAnsi="Times New Roman" w:cs="Times New Roman"/>
          <w:sz w:val="24"/>
          <w:szCs w:val="24"/>
        </w:rPr>
        <w:t>,</w:t>
      </w:r>
      <w:r w:rsidR="003B1099" w:rsidRPr="00FF7B4A">
        <w:rPr>
          <w:rFonts w:ascii="Times New Roman" w:hAnsi="Times New Roman" w:cs="Times New Roman"/>
          <w:sz w:val="24"/>
          <w:szCs w:val="24"/>
        </w:rPr>
        <w:t xml:space="preserve"> jakie będą</w:t>
      </w:r>
      <w:r w:rsidR="0041556F">
        <w:rPr>
          <w:rFonts w:ascii="Times New Roman" w:hAnsi="Times New Roman" w:cs="Times New Roman"/>
          <w:sz w:val="24"/>
          <w:szCs w:val="24"/>
        </w:rPr>
        <w:t xml:space="preserve"> obowiązywać od 1 stycznia 2027 </w:t>
      </w:r>
      <w:r w:rsidR="003B1099" w:rsidRPr="00FF7B4A">
        <w:rPr>
          <w:rFonts w:ascii="Times New Roman" w:hAnsi="Times New Roman" w:cs="Times New Roman"/>
          <w:sz w:val="24"/>
          <w:szCs w:val="24"/>
        </w:rPr>
        <w:t xml:space="preserve">r. </w:t>
      </w:r>
    </w:p>
    <w:p w14:paraId="3E28CBBD" w14:textId="77777777" w:rsidR="00354BD9" w:rsidRPr="00FF7B4A" w:rsidRDefault="00354BD9" w:rsidP="000F4131">
      <w:pPr>
        <w:spacing w:line="360" w:lineRule="auto"/>
        <w:jc w:val="both"/>
        <w:rPr>
          <w:rFonts w:ascii="Times New Roman" w:hAnsi="Times New Roman" w:cs="Times New Roman"/>
          <w:sz w:val="24"/>
          <w:szCs w:val="24"/>
        </w:rPr>
      </w:pPr>
      <w:r w:rsidRPr="00FF7B4A">
        <w:rPr>
          <w:rFonts w:ascii="Times New Roman" w:hAnsi="Times New Roman" w:cs="Times New Roman"/>
          <w:b/>
          <w:sz w:val="24"/>
          <w:szCs w:val="24"/>
        </w:rPr>
        <w:t xml:space="preserve">pkt </w:t>
      </w:r>
      <w:r w:rsidR="00846DF4" w:rsidRPr="00FF7B4A">
        <w:rPr>
          <w:rFonts w:ascii="Times New Roman" w:hAnsi="Times New Roman" w:cs="Times New Roman"/>
          <w:b/>
          <w:sz w:val="24"/>
          <w:szCs w:val="24"/>
        </w:rPr>
        <w:t>9</w:t>
      </w:r>
      <w:r w:rsidRPr="00FF7B4A">
        <w:rPr>
          <w:rFonts w:ascii="Times New Roman" w:hAnsi="Times New Roman" w:cs="Times New Roman"/>
          <w:sz w:val="24"/>
          <w:szCs w:val="24"/>
        </w:rPr>
        <w:t xml:space="preserve"> </w:t>
      </w:r>
      <w:r w:rsidR="009B5166" w:rsidRPr="00FF7B4A">
        <w:rPr>
          <w:rFonts w:ascii="Times New Roman" w:hAnsi="Times New Roman" w:cs="Times New Roman"/>
          <w:sz w:val="24"/>
          <w:szCs w:val="24"/>
        </w:rPr>
        <w:t>dotyczą zmian w art. 99d będących skutkiem wprowadzania w art.</w:t>
      </w:r>
      <w:r w:rsidR="00846DF4" w:rsidRPr="00FF7B4A">
        <w:rPr>
          <w:rFonts w:ascii="Times New Roman" w:hAnsi="Times New Roman" w:cs="Times New Roman"/>
          <w:sz w:val="24"/>
          <w:szCs w:val="24"/>
        </w:rPr>
        <w:t xml:space="preserve"> </w:t>
      </w:r>
      <w:r w:rsidR="009B5166" w:rsidRPr="00FF7B4A">
        <w:rPr>
          <w:rFonts w:ascii="Times New Roman" w:hAnsi="Times New Roman" w:cs="Times New Roman"/>
          <w:sz w:val="24"/>
          <w:szCs w:val="24"/>
        </w:rPr>
        <w:t>99 ust. 4 minimalnej stawki akcyzy na tytoń do palenia. Zmiana obejmuje upoważnienie ustawowe dla ministra właściwego do spraw finansów publicznych do ogłaszania, w drodze obwieszczenia, w Dzienniku Urzędowym Rzeczypospolitej Polskiej „Monitor Polski”, średnich ważonych detalicznych cen sprzedaży papierosów i tytoniu do palenia.</w:t>
      </w:r>
    </w:p>
    <w:p w14:paraId="3E1CEE59" w14:textId="160A8E10" w:rsidR="00846DF4" w:rsidRPr="00FF7B4A" w:rsidRDefault="00846DF4" w:rsidP="000F4131">
      <w:pPr>
        <w:spacing w:line="360" w:lineRule="auto"/>
        <w:jc w:val="both"/>
        <w:rPr>
          <w:rFonts w:ascii="Times New Roman" w:hAnsi="Times New Roman" w:cs="Times New Roman"/>
          <w:sz w:val="24"/>
          <w:szCs w:val="24"/>
        </w:rPr>
      </w:pPr>
      <w:r w:rsidRPr="00FF7B4A">
        <w:rPr>
          <w:rFonts w:ascii="Times New Roman" w:hAnsi="Times New Roman" w:cs="Times New Roman"/>
          <w:b/>
          <w:sz w:val="24"/>
          <w:szCs w:val="24"/>
        </w:rPr>
        <w:t>pkt 10</w:t>
      </w:r>
      <w:r w:rsidR="00B11530">
        <w:rPr>
          <w:rFonts w:ascii="Times New Roman" w:hAnsi="Times New Roman" w:cs="Times New Roman"/>
          <w:b/>
          <w:sz w:val="24"/>
          <w:szCs w:val="24"/>
        </w:rPr>
        <w:t xml:space="preserve"> i </w:t>
      </w:r>
      <w:r w:rsidRPr="00FF7B4A">
        <w:rPr>
          <w:rFonts w:ascii="Times New Roman" w:hAnsi="Times New Roman" w:cs="Times New Roman"/>
          <w:b/>
          <w:sz w:val="24"/>
          <w:szCs w:val="24"/>
        </w:rPr>
        <w:t xml:space="preserve">11 </w:t>
      </w:r>
      <w:r w:rsidRPr="00FF7B4A">
        <w:rPr>
          <w:rFonts w:ascii="Times New Roman" w:hAnsi="Times New Roman" w:cs="Times New Roman"/>
          <w:sz w:val="24"/>
          <w:szCs w:val="24"/>
        </w:rPr>
        <w:t xml:space="preserve">zakłada </w:t>
      </w:r>
      <w:r w:rsidR="008270B5" w:rsidRPr="00FF7B4A">
        <w:rPr>
          <w:rFonts w:ascii="Times New Roman" w:hAnsi="Times New Roman" w:cs="Times New Roman"/>
          <w:sz w:val="24"/>
          <w:szCs w:val="24"/>
        </w:rPr>
        <w:t xml:space="preserve">się </w:t>
      </w:r>
      <w:r w:rsidRPr="00FF7B4A">
        <w:rPr>
          <w:rFonts w:ascii="Times New Roman" w:hAnsi="Times New Roman" w:cs="Times New Roman"/>
          <w:sz w:val="24"/>
          <w:szCs w:val="24"/>
        </w:rPr>
        <w:t>wprowadzeni</w:t>
      </w:r>
      <w:r w:rsidR="008270B5" w:rsidRPr="00FF7B4A">
        <w:rPr>
          <w:rFonts w:ascii="Times New Roman" w:hAnsi="Times New Roman" w:cs="Times New Roman"/>
          <w:sz w:val="24"/>
          <w:szCs w:val="24"/>
        </w:rPr>
        <w:t>e</w:t>
      </w:r>
      <w:r w:rsidRPr="00FF7B4A">
        <w:rPr>
          <w:rFonts w:ascii="Times New Roman" w:hAnsi="Times New Roman" w:cs="Times New Roman"/>
          <w:sz w:val="24"/>
          <w:szCs w:val="24"/>
        </w:rPr>
        <w:t xml:space="preserve"> ważności znaków akcyzy na wyroby nowatorskie. Zmiana podyktowana jest, podobnie jak to ma miejsce w przypadku wyrobów tytoniowych, przeciwdziałaniem gromadzeni</w:t>
      </w:r>
      <w:r w:rsidR="00B11530">
        <w:rPr>
          <w:rFonts w:ascii="Times New Roman" w:hAnsi="Times New Roman" w:cs="Times New Roman"/>
          <w:sz w:val="24"/>
          <w:szCs w:val="24"/>
        </w:rPr>
        <w:t>u</w:t>
      </w:r>
      <w:r w:rsidRPr="00FF7B4A">
        <w:rPr>
          <w:rFonts w:ascii="Times New Roman" w:hAnsi="Times New Roman" w:cs="Times New Roman"/>
          <w:sz w:val="24"/>
          <w:szCs w:val="24"/>
        </w:rPr>
        <w:t xml:space="preserve"> nadmiernych zapasów po wprowadzeniu podwyżki podatku akcyzowego na te wyroby</w:t>
      </w:r>
      <w:r w:rsidR="008270B5" w:rsidRPr="00FF7B4A">
        <w:rPr>
          <w:rFonts w:ascii="Times New Roman" w:hAnsi="Times New Roman" w:cs="Times New Roman"/>
          <w:sz w:val="24"/>
          <w:szCs w:val="24"/>
        </w:rPr>
        <w:t>.</w:t>
      </w:r>
    </w:p>
    <w:p w14:paraId="76F09A41" w14:textId="77777777" w:rsidR="009B5166" w:rsidRPr="00FF7B4A" w:rsidRDefault="009B5166" w:rsidP="000F4131">
      <w:pPr>
        <w:spacing w:line="360" w:lineRule="auto"/>
        <w:jc w:val="both"/>
        <w:rPr>
          <w:rFonts w:ascii="Times New Roman" w:hAnsi="Times New Roman" w:cs="Times New Roman"/>
          <w:b/>
          <w:sz w:val="24"/>
          <w:szCs w:val="24"/>
        </w:rPr>
      </w:pPr>
      <w:r w:rsidRPr="00FF7B4A">
        <w:rPr>
          <w:rFonts w:ascii="Times New Roman" w:hAnsi="Times New Roman" w:cs="Times New Roman"/>
          <w:b/>
          <w:sz w:val="24"/>
          <w:szCs w:val="24"/>
        </w:rPr>
        <w:t>Przepisy przejściowe</w:t>
      </w:r>
    </w:p>
    <w:p w14:paraId="075AAC39" w14:textId="483CF3D7" w:rsidR="00354BD9" w:rsidRPr="00FF7B4A" w:rsidRDefault="00B11530" w:rsidP="000F4131">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W art. 1 </w:t>
      </w:r>
      <w:r w:rsidR="008270B5" w:rsidRPr="00FF7B4A">
        <w:rPr>
          <w:rFonts w:ascii="Times New Roman" w:hAnsi="Times New Roman" w:cs="Times New Roman"/>
          <w:b/>
          <w:sz w:val="24"/>
          <w:szCs w:val="24"/>
        </w:rPr>
        <w:t xml:space="preserve">pkt 12 poprzez </w:t>
      </w:r>
      <w:r w:rsidR="008270B5" w:rsidRPr="00FF7B4A">
        <w:rPr>
          <w:rFonts w:ascii="Times New Roman" w:hAnsi="Times New Roman" w:cs="Times New Roman"/>
          <w:sz w:val="24"/>
          <w:szCs w:val="24"/>
        </w:rPr>
        <w:t>dodanie nowego</w:t>
      </w:r>
      <w:r w:rsidR="009B5166" w:rsidRPr="00FF7B4A">
        <w:rPr>
          <w:rFonts w:ascii="Times New Roman" w:hAnsi="Times New Roman" w:cs="Times New Roman"/>
          <w:sz w:val="24"/>
          <w:szCs w:val="24"/>
        </w:rPr>
        <w:t xml:space="preserve"> art. </w:t>
      </w:r>
      <w:r w:rsidR="008270B5" w:rsidRPr="00FF7B4A">
        <w:rPr>
          <w:rFonts w:ascii="Times New Roman" w:hAnsi="Times New Roman" w:cs="Times New Roman"/>
          <w:sz w:val="24"/>
          <w:szCs w:val="24"/>
        </w:rPr>
        <w:t>165a</w:t>
      </w:r>
      <w:r w:rsidR="009B5166" w:rsidRPr="00FF7B4A">
        <w:rPr>
          <w:rFonts w:ascii="Times New Roman" w:hAnsi="Times New Roman" w:cs="Times New Roman"/>
          <w:b/>
          <w:sz w:val="24"/>
          <w:szCs w:val="24"/>
        </w:rPr>
        <w:t xml:space="preserve"> </w:t>
      </w:r>
      <w:r w:rsidR="009B5166" w:rsidRPr="00FF7B4A">
        <w:rPr>
          <w:rFonts w:ascii="Times New Roman" w:hAnsi="Times New Roman" w:cs="Times New Roman"/>
          <w:sz w:val="24"/>
          <w:szCs w:val="24"/>
        </w:rPr>
        <w:t xml:space="preserve">wprowadzono zmiany stawek na </w:t>
      </w:r>
      <w:r w:rsidR="009D0F04" w:rsidRPr="00FF7B4A">
        <w:rPr>
          <w:rFonts w:ascii="Times New Roman" w:hAnsi="Times New Roman" w:cs="Times New Roman"/>
          <w:sz w:val="24"/>
          <w:szCs w:val="24"/>
        </w:rPr>
        <w:t xml:space="preserve">napoje alkoholowe, </w:t>
      </w:r>
      <w:r w:rsidR="009B5166" w:rsidRPr="00FF7B4A">
        <w:rPr>
          <w:rFonts w:ascii="Times New Roman" w:hAnsi="Times New Roman" w:cs="Times New Roman"/>
          <w:sz w:val="24"/>
          <w:szCs w:val="24"/>
        </w:rPr>
        <w:t>papierosy, tytoń do palenia</w:t>
      </w:r>
      <w:r>
        <w:rPr>
          <w:rFonts w:ascii="Times New Roman" w:hAnsi="Times New Roman" w:cs="Times New Roman"/>
          <w:sz w:val="24"/>
          <w:szCs w:val="24"/>
        </w:rPr>
        <w:t>,</w:t>
      </w:r>
      <w:r w:rsidR="009B5166" w:rsidRPr="00FF7B4A">
        <w:rPr>
          <w:rFonts w:ascii="Times New Roman" w:hAnsi="Times New Roman" w:cs="Times New Roman"/>
          <w:sz w:val="24"/>
          <w:szCs w:val="24"/>
        </w:rPr>
        <w:t xml:space="preserve"> </w:t>
      </w:r>
      <w:r w:rsidR="008270B5" w:rsidRPr="00FF7B4A">
        <w:rPr>
          <w:rFonts w:ascii="Times New Roman" w:hAnsi="Times New Roman" w:cs="Times New Roman"/>
          <w:sz w:val="24"/>
          <w:szCs w:val="24"/>
        </w:rPr>
        <w:t>cygara i cygaretki,</w:t>
      </w:r>
      <w:r w:rsidR="009B5166" w:rsidRPr="00FF7B4A">
        <w:rPr>
          <w:rFonts w:ascii="Times New Roman" w:hAnsi="Times New Roman" w:cs="Times New Roman"/>
          <w:sz w:val="24"/>
          <w:szCs w:val="24"/>
        </w:rPr>
        <w:t xml:space="preserve"> wyroby nowatorskie </w:t>
      </w:r>
      <w:r w:rsidR="008270B5" w:rsidRPr="00FF7B4A">
        <w:rPr>
          <w:rFonts w:ascii="Times New Roman" w:hAnsi="Times New Roman" w:cs="Times New Roman"/>
          <w:sz w:val="24"/>
          <w:szCs w:val="24"/>
        </w:rPr>
        <w:t>oraz susz tytoniowy</w:t>
      </w:r>
      <w:r w:rsidR="0041556F">
        <w:rPr>
          <w:rFonts w:ascii="Times New Roman" w:hAnsi="Times New Roman" w:cs="Times New Roman"/>
          <w:sz w:val="24"/>
          <w:szCs w:val="24"/>
        </w:rPr>
        <w:t>,</w:t>
      </w:r>
      <w:r w:rsidR="008270B5" w:rsidRPr="00FF7B4A">
        <w:rPr>
          <w:rFonts w:ascii="Times New Roman" w:hAnsi="Times New Roman" w:cs="Times New Roman"/>
          <w:sz w:val="24"/>
          <w:szCs w:val="24"/>
        </w:rPr>
        <w:t xml:space="preserve"> </w:t>
      </w:r>
      <w:r w:rsidR="009B5166" w:rsidRPr="00FF7B4A">
        <w:rPr>
          <w:rFonts w:ascii="Times New Roman" w:hAnsi="Times New Roman" w:cs="Times New Roman"/>
          <w:sz w:val="24"/>
          <w:szCs w:val="24"/>
        </w:rPr>
        <w:t>jakie będą obowiązywały w latach 2022</w:t>
      </w:r>
      <w:r w:rsidR="0041556F">
        <w:t>–</w:t>
      </w:r>
      <w:r w:rsidR="009B5166" w:rsidRPr="00FF7B4A">
        <w:rPr>
          <w:rFonts w:ascii="Times New Roman" w:hAnsi="Times New Roman" w:cs="Times New Roman"/>
          <w:sz w:val="24"/>
          <w:szCs w:val="24"/>
        </w:rPr>
        <w:t xml:space="preserve">2026. Szczegółowe </w:t>
      </w:r>
      <w:r w:rsidR="009D0F04" w:rsidRPr="00FF7B4A">
        <w:rPr>
          <w:rFonts w:ascii="Times New Roman" w:hAnsi="Times New Roman" w:cs="Times New Roman"/>
          <w:sz w:val="24"/>
          <w:szCs w:val="24"/>
        </w:rPr>
        <w:t>wysokości tych stawek zostały omówione powyżej.</w:t>
      </w:r>
    </w:p>
    <w:p w14:paraId="3C8DBCE1" w14:textId="7412CFF4" w:rsidR="009D0F04" w:rsidRPr="00FF7B4A" w:rsidRDefault="00B11530" w:rsidP="000F413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W </w:t>
      </w:r>
      <w:r w:rsidR="009D0F04" w:rsidRPr="00FF7B4A">
        <w:rPr>
          <w:rFonts w:ascii="Times New Roman" w:hAnsi="Times New Roman" w:cs="Times New Roman"/>
          <w:b/>
          <w:sz w:val="24"/>
          <w:szCs w:val="24"/>
        </w:rPr>
        <w:t xml:space="preserve">art. </w:t>
      </w:r>
      <w:r w:rsidR="008270B5" w:rsidRPr="00FF7B4A">
        <w:rPr>
          <w:rFonts w:ascii="Times New Roman" w:hAnsi="Times New Roman" w:cs="Times New Roman"/>
          <w:b/>
          <w:sz w:val="24"/>
          <w:szCs w:val="24"/>
        </w:rPr>
        <w:t>2</w:t>
      </w:r>
      <w:r w:rsidR="009D0F04" w:rsidRPr="00FF7B4A">
        <w:rPr>
          <w:rFonts w:ascii="Times New Roman" w:hAnsi="Times New Roman" w:cs="Times New Roman"/>
          <w:sz w:val="24"/>
          <w:szCs w:val="24"/>
        </w:rPr>
        <w:t xml:space="preserve"> uregulowano kwestię ustalenia minimalnej stawki podatku akcyzowego na tytoń do palenia na rok 2022 r. Ze względu na fakt, że minister właściwy do spraw finansów publicznych ogłasza średnią ważoną detaliczną cenę sprzedaży papierosów oraz średnią ważoną detaliczną cenę sprzedaży tytoniu do palenia przed końcem roku, a więc przed wejściem w życie projektowanych przepisów</w:t>
      </w:r>
      <w:r w:rsidR="0041556F">
        <w:rPr>
          <w:rFonts w:ascii="Times New Roman" w:hAnsi="Times New Roman" w:cs="Times New Roman"/>
          <w:sz w:val="24"/>
          <w:szCs w:val="24"/>
        </w:rPr>
        <w:t>,</w:t>
      </w:r>
      <w:r w:rsidR="00E86981" w:rsidRPr="00FF7B4A">
        <w:rPr>
          <w:rFonts w:ascii="Times New Roman" w:hAnsi="Times New Roman" w:cs="Times New Roman"/>
          <w:sz w:val="24"/>
          <w:szCs w:val="24"/>
        </w:rPr>
        <w:t xml:space="preserve"> na potrzeby ustalenia minimalnej stawki podatku akcyzowego na tytoń do palenia na rok 2022 r. będzie obowiązywała średnia ważona detaliczna cena sprzedaży tytoniu do palenia ogłoszona w 2021 r.</w:t>
      </w:r>
    </w:p>
    <w:p w14:paraId="2493EA18" w14:textId="3FA13ABA" w:rsidR="00EA169F" w:rsidRPr="00FF7B4A" w:rsidRDefault="00B11530" w:rsidP="000F4131">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W </w:t>
      </w:r>
      <w:r w:rsidR="008270B5" w:rsidRPr="00FF7B4A">
        <w:rPr>
          <w:rFonts w:ascii="Times New Roman" w:hAnsi="Times New Roman" w:cs="Times New Roman"/>
          <w:b/>
          <w:sz w:val="24"/>
          <w:szCs w:val="24"/>
        </w:rPr>
        <w:t>art. 3</w:t>
      </w:r>
      <w:r w:rsidR="008270B5" w:rsidRPr="00FF7B4A">
        <w:rPr>
          <w:rFonts w:ascii="Times New Roman" w:hAnsi="Times New Roman" w:cs="Times New Roman"/>
          <w:sz w:val="24"/>
          <w:szCs w:val="24"/>
        </w:rPr>
        <w:t xml:space="preserve"> </w:t>
      </w:r>
      <w:r w:rsidR="0041556F">
        <w:rPr>
          <w:rFonts w:ascii="Times New Roman" w:hAnsi="Times New Roman" w:cs="Times New Roman"/>
          <w:sz w:val="24"/>
          <w:szCs w:val="24"/>
        </w:rPr>
        <w:t>p</w:t>
      </w:r>
      <w:r w:rsidR="00EA169F" w:rsidRPr="00FF7B4A">
        <w:rPr>
          <w:rFonts w:ascii="Times New Roman" w:hAnsi="Times New Roman" w:cs="Times New Roman"/>
          <w:sz w:val="24"/>
          <w:szCs w:val="24"/>
        </w:rPr>
        <w:t>lanowany termin wejścia w życie określono na dzień 1 stycznia 2022 r.</w:t>
      </w:r>
    </w:p>
    <w:p w14:paraId="598852D7" w14:textId="77777777" w:rsidR="00EA169F" w:rsidRPr="00FF7B4A" w:rsidRDefault="00EA169F" w:rsidP="000F4131">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 xml:space="preserve">Projekt ustawy nie jest sprzeczny z prawem Unii Europejskiej. </w:t>
      </w:r>
    </w:p>
    <w:p w14:paraId="5DDEDDD1" w14:textId="77777777" w:rsidR="00EA169F" w:rsidRPr="00FF7B4A" w:rsidRDefault="00EA169F" w:rsidP="000F4131">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Projekt ustawy nie podlega przedstawieniu właściwym organom i instytucjom Unii Europejskiej, w tym Europejskiemu Bankowi Centralnemu</w:t>
      </w:r>
      <w:r w:rsidR="0041556F">
        <w:rPr>
          <w:rFonts w:ascii="Times New Roman" w:hAnsi="Times New Roman" w:cs="Times New Roman"/>
          <w:sz w:val="24"/>
          <w:szCs w:val="24"/>
        </w:rPr>
        <w:t>,</w:t>
      </w:r>
      <w:r w:rsidRPr="00FF7B4A">
        <w:rPr>
          <w:rFonts w:ascii="Times New Roman" w:hAnsi="Times New Roman" w:cs="Times New Roman"/>
          <w:sz w:val="24"/>
          <w:szCs w:val="24"/>
        </w:rPr>
        <w:t xml:space="preserve"> w celu uzyskania opinii, dokonania powiadomienia, konsultacji albo uzgodnienia.</w:t>
      </w:r>
    </w:p>
    <w:p w14:paraId="49F0815A" w14:textId="77777777" w:rsidR="00EA169F" w:rsidRPr="00FF7B4A" w:rsidRDefault="00EA169F" w:rsidP="000F4131">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Projekt ustawy nie zawiera przepisów technicznych w rozumieniu przepisów rozporządzenia Rady Ministrów z dnia 23 grudnia 2002 r. w sprawie sposobu funkcjonowania krajowego systemu notyfikacji norm i aktów prawnych (Dz. U. poz. 2039, z późn. zm.), w związku z czym nie podlega notyfikacji.</w:t>
      </w:r>
    </w:p>
    <w:p w14:paraId="2A9F3F26" w14:textId="10C0C053" w:rsidR="004A68CC" w:rsidRPr="00FF7B4A" w:rsidRDefault="00EA169F" w:rsidP="000F4131">
      <w:pPr>
        <w:spacing w:line="360" w:lineRule="auto"/>
        <w:jc w:val="both"/>
        <w:rPr>
          <w:rFonts w:ascii="Times New Roman" w:hAnsi="Times New Roman" w:cs="Times New Roman"/>
          <w:sz w:val="24"/>
          <w:szCs w:val="24"/>
        </w:rPr>
      </w:pPr>
      <w:r w:rsidRPr="00FF7B4A">
        <w:rPr>
          <w:rFonts w:ascii="Times New Roman" w:hAnsi="Times New Roman" w:cs="Times New Roman"/>
          <w:sz w:val="24"/>
          <w:szCs w:val="24"/>
        </w:rPr>
        <w:t xml:space="preserve">Zgodnie z art. 5 ustawy z dnia 7 lipca 2005 r. o działalności lobbingowej w procesie stanowienia prawa (Dz. U. z 2017 r. poz. 248) oraz § 52 uchwały nr 190 Rady Ministrów z dnia 29 października 2013 r. </w:t>
      </w:r>
      <w:r w:rsidR="0041556F">
        <w:t xml:space="preserve">– </w:t>
      </w:r>
      <w:r w:rsidRPr="00FF7B4A">
        <w:rPr>
          <w:rFonts w:ascii="Times New Roman" w:hAnsi="Times New Roman" w:cs="Times New Roman"/>
          <w:sz w:val="24"/>
          <w:szCs w:val="24"/>
        </w:rPr>
        <w:t>Regulamin pracy Rady Ministrów (M.P. z 2016 r. poz. 1006, z późn. zm.) projekt ustawy z chwilą przekazania go do uzgodnień z członkami Rady Ministrów oraz konsultacji publicznych zosta</w:t>
      </w:r>
      <w:r w:rsidR="00E67195">
        <w:rPr>
          <w:rFonts w:ascii="Times New Roman" w:hAnsi="Times New Roman" w:cs="Times New Roman"/>
          <w:sz w:val="24"/>
          <w:szCs w:val="24"/>
        </w:rPr>
        <w:t>ł</w:t>
      </w:r>
      <w:r w:rsidRPr="00FF7B4A">
        <w:rPr>
          <w:rFonts w:ascii="Times New Roman" w:hAnsi="Times New Roman" w:cs="Times New Roman"/>
          <w:sz w:val="24"/>
          <w:szCs w:val="24"/>
        </w:rPr>
        <w:t xml:space="preserve"> udostępniony w Biuletynie Informacji Publicznej na stronie podmiotowej Rządowego Centrum Legislacji, w serwisie Rządowy Proces Legislacyjny.</w:t>
      </w:r>
    </w:p>
    <w:sectPr w:rsidR="004A68CC" w:rsidRPr="00FF7B4A" w:rsidSect="008F1CDA">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4FBA8" w14:textId="77777777" w:rsidR="00AD342D" w:rsidRDefault="00AD342D" w:rsidP="008F1CDA">
      <w:pPr>
        <w:spacing w:after="0" w:line="240" w:lineRule="auto"/>
      </w:pPr>
      <w:r>
        <w:separator/>
      </w:r>
    </w:p>
  </w:endnote>
  <w:endnote w:type="continuationSeparator" w:id="0">
    <w:p w14:paraId="5387C32C" w14:textId="77777777" w:rsidR="00AD342D" w:rsidRDefault="00AD342D" w:rsidP="008F1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80327712"/>
      <w:docPartObj>
        <w:docPartGallery w:val="Page Numbers (Bottom of Page)"/>
        <w:docPartUnique/>
      </w:docPartObj>
    </w:sdtPr>
    <w:sdtEndPr/>
    <w:sdtContent>
      <w:p w14:paraId="6F373726" w14:textId="02612D6A" w:rsidR="008F1CDA" w:rsidRPr="008F1CDA" w:rsidRDefault="008F1CDA" w:rsidP="008F1CDA">
        <w:pPr>
          <w:pStyle w:val="Stopka"/>
          <w:jc w:val="center"/>
          <w:rPr>
            <w:rFonts w:ascii="Times New Roman" w:hAnsi="Times New Roman" w:cs="Times New Roman"/>
            <w:sz w:val="24"/>
            <w:szCs w:val="24"/>
          </w:rPr>
        </w:pPr>
        <w:r w:rsidRPr="008F1CDA">
          <w:rPr>
            <w:rFonts w:ascii="Times New Roman" w:hAnsi="Times New Roman" w:cs="Times New Roman"/>
            <w:sz w:val="24"/>
            <w:szCs w:val="24"/>
          </w:rPr>
          <w:fldChar w:fldCharType="begin"/>
        </w:r>
        <w:r w:rsidRPr="008F1CDA">
          <w:rPr>
            <w:rFonts w:ascii="Times New Roman" w:hAnsi="Times New Roman" w:cs="Times New Roman"/>
            <w:sz w:val="24"/>
            <w:szCs w:val="24"/>
          </w:rPr>
          <w:instrText>PAGE   \* MERGEFORMAT</w:instrText>
        </w:r>
        <w:r w:rsidRPr="008F1CDA">
          <w:rPr>
            <w:rFonts w:ascii="Times New Roman" w:hAnsi="Times New Roman" w:cs="Times New Roman"/>
            <w:sz w:val="24"/>
            <w:szCs w:val="24"/>
          </w:rPr>
          <w:fldChar w:fldCharType="separate"/>
        </w:r>
        <w:r w:rsidR="007906A4">
          <w:rPr>
            <w:rFonts w:ascii="Times New Roman" w:hAnsi="Times New Roman" w:cs="Times New Roman"/>
            <w:noProof/>
            <w:sz w:val="24"/>
            <w:szCs w:val="24"/>
          </w:rPr>
          <w:t>12</w:t>
        </w:r>
        <w:r w:rsidRPr="008F1CD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F26BC" w14:textId="77777777" w:rsidR="00AD342D" w:rsidRDefault="00AD342D" w:rsidP="008F1CDA">
      <w:pPr>
        <w:spacing w:after="0" w:line="240" w:lineRule="auto"/>
      </w:pPr>
      <w:r>
        <w:separator/>
      </w:r>
    </w:p>
  </w:footnote>
  <w:footnote w:type="continuationSeparator" w:id="0">
    <w:p w14:paraId="1F73AACD" w14:textId="77777777" w:rsidR="00AD342D" w:rsidRDefault="00AD342D" w:rsidP="008F1C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AF0"/>
    <w:multiLevelType w:val="hybridMultilevel"/>
    <w:tmpl w:val="1E12ECD2"/>
    <w:lvl w:ilvl="0" w:tplc="5950A31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25210C"/>
    <w:multiLevelType w:val="hybridMultilevel"/>
    <w:tmpl w:val="A4723D54"/>
    <w:lvl w:ilvl="0" w:tplc="3E6C14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DA3340"/>
    <w:multiLevelType w:val="hybridMultilevel"/>
    <w:tmpl w:val="CF76A00C"/>
    <w:lvl w:ilvl="0" w:tplc="3E6C14B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DB545B"/>
    <w:multiLevelType w:val="hybridMultilevel"/>
    <w:tmpl w:val="28D831C8"/>
    <w:lvl w:ilvl="0" w:tplc="DC286F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837749"/>
    <w:multiLevelType w:val="hybridMultilevel"/>
    <w:tmpl w:val="E9723D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CE7727A"/>
    <w:multiLevelType w:val="hybridMultilevel"/>
    <w:tmpl w:val="E8A6D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9F12C36"/>
    <w:multiLevelType w:val="hybridMultilevel"/>
    <w:tmpl w:val="33DA780C"/>
    <w:lvl w:ilvl="0" w:tplc="5950A31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A041C89"/>
    <w:multiLevelType w:val="hybridMultilevel"/>
    <w:tmpl w:val="B02C29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2E367D9"/>
    <w:multiLevelType w:val="hybridMultilevel"/>
    <w:tmpl w:val="A4723D54"/>
    <w:lvl w:ilvl="0" w:tplc="3E6C14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8AC435F"/>
    <w:multiLevelType w:val="hybridMultilevel"/>
    <w:tmpl w:val="CEBA2C8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0D24618"/>
    <w:multiLevelType w:val="hybridMultilevel"/>
    <w:tmpl w:val="B370858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2F8453E"/>
    <w:multiLevelType w:val="hybridMultilevel"/>
    <w:tmpl w:val="B02C29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42F52E8"/>
    <w:multiLevelType w:val="hybridMultilevel"/>
    <w:tmpl w:val="9D485948"/>
    <w:lvl w:ilvl="0" w:tplc="3E6C14B0">
      <w:start w:val="1"/>
      <w:numFmt w:val="decimal"/>
      <w:lvlText w:val="%1)"/>
      <w:lvlJc w:val="left"/>
      <w:pPr>
        <w:ind w:left="720" w:hanging="360"/>
      </w:pPr>
      <w:rPr>
        <w:rFonts w:hint="default"/>
      </w:rPr>
    </w:lvl>
    <w:lvl w:ilvl="1" w:tplc="3E6C14B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67E6193"/>
    <w:multiLevelType w:val="hybridMultilevel"/>
    <w:tmpl w:val="06DC820C"/>
    <w:lvl w:ilvl="0" w:tplc="3E6C14B0">
      <w:start w:val="1"/>
      <w:numFmt w:val="decimal"/>
      <w:lvlText w:val="%1)"/>
      <w:lvlJc w:val="left"/>
      <w:pPr>
        <w:ind w:left="720" w:hanging="360"/>
      </w:pPr>
      <w:rPr>
        <w:rFonts w:hint="default"/>
      </w:rPr>
    </w:lvl>
    <w:lvl w:ilvl="1" w:tplc="3E6C14B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7720B33"/>
    <w:multiLevelType w:val="hybridMultilevel"/>
    <w:tmpl w:val="B386B586"/>
    <w:lvl w:ilvl="0" w:tplc="3E6C14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F306CC9"/>
    <w:multiLevelType w:val="hybridMultilevel"/>
    <w:tmpl w:val="5C0A5BB6"/>
    <w:lvl w:ilvl="0" w:tplc="786669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308067E"/>
    <w:multiLevelType w:val="hybridMultilevel"/>
    <w:tmpl w:val="BFFCB810"/>
    <w:lvl w:ilvl="0" w:tplc="306024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CAA0769"/>
    <w:multiLevelType w:val="hybridMultilevel"/>
    <w:tmpl w:val="E6E691E8"/>
    <w:lvl w:ilvl="0" w:tplc="3E6C14B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DEF2A25"/>
    <w:multiLevelType w:val="hybridMultilevel"/>
    <w:tmpl w:val="2BE6A0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E841CAA"/>
    <w:multiLevelType w:val="hybridMultilevel"/>
    <w:tmpl w:val="82127528"/>
    <w:lvl w:ilvl="0" w:tplc="3E6C14B0">
      <w:start w:val="1"/>
      <w:numFmt w:val="decimal"/>
      <w:lvlText w:val="%1)"/>
      <w:lvlJc w:val="left"/>
      <w:pPr>
        <w:ind w:left="720" w:hanging="360"/>
      </w:pPr>
      <w:rPr>
        <w:rFonts w:hint="default"/>
      </w:rPr>
    </w:lvl>
    <w:lvl w:ilvl="1" w:tplc="E7901762">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2D116D8"/>
    <w:multiLevelType w:val="hybridMultilevel"/>
    <w:tmpl w:val="2DFA5F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4EC5B0B"/>
    <w:multiLevelType w:val="hybridMultilevel"/>
    <w:tmpl w:val="0932262E"/>
    <w:lvl w:ilvl="0" w:tplc="3E6C14B0">
      <w:start w:val="1"/>
      <w:numFmt w:val="decimal"/>
      <w:lvlText w:val="%1)"/>
      <w:lvlJc w:val="left"/>
      <w:pPr>
        <w:ind w:left="720" w:hanging="360"/>
      </w:pPr>
      <w:rPr>
        <w:rFonts w:hint="default"/>
      </w:rPr>
    </w:lvl>
    <w:lvl w:ilvl="1" w:tplc="3E6C14B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B30429A"/>
    <w:multiLevelType w:val="hybridMultilevel"/>
    <w:tmpl w:val="5B00AC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22"/>
  </w:num>
  <w:num w:numId="3">
    <w:abstractNumId w:val="18"/>
  </w:num>
  <w:num w:numId="4">
    <w:abstractNumId w:val="20"/>
  </w:num>
  <w:num w:numId="5">
    <w:abstractNumId w:val="6"/>
  </w:num>
  <w:num w:numId="6">
    <w:abstractNumId w:val="0"/>
  </w:num>
  <w:num w:numId="7">
    <w:abstractNumId w:val="19"/>
  </w:num>
  <w:num w:numId="8">
    <w:abstractNumId w:val="1"/>
  </w:num>
  <w:num w:numId="9">
    <w:abstractNumId w:val="16"/>
  </w:num>
  <w:num w:numId="10">
    <w:abstractNumId w:val="10"/>
  </w:num>
  <w:num w:numId="11">
    <w:abstractNumId w:val="9"/>
  </w:num>
  <w:num w:numId="12">
    <w:abstractNumId w:val="3"/>
  </w:num>
  <w:num w:numId="13">
    <w:abstractNumId w:val="8"/>
  </w:num>
  <w:num w:numId="14">
    <w:abstractNumId w:val="5"/>
  </w:num>
  <w:num w:numId="15">
    <w:abstractNumId w:val="7"/>
  </w:num>
  <w:num w:numId="16">
    <w:abstractNumId w:val="11"/>
  </w:num>
  <w:num w:numId="17">
    <w:abstractNumId w:val="15"/>
  </w:num>
  <w:num w:numId="18">
    <w:abstractNumId w:val="2"/>
  </w:num>
  <w:num w:numId="19">
    <w:abstractNumId w:val="12"/>
  </w:num>
  <w:num w:numId="20">
    <w:abstractNumId w:val="17"/>
  </w:num>
  <w:num w:numId="21">
    <w:abstractNumId w:val="21"/>
  </w:num>
  <w:num w:numId="22">
    <w:abstractNumId w:val="1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69F"/>
    <w:rsid w:val="000A2597"/>
    <w:rsid w:val="000F4131"/>
    <w:rsid w:val="00110C3F"/>
    <w:rsid w:val="00195181"/>
    <w:rsid w:val="0021671B"/>
    <w:rsid w:val="0028351E"/>
    <w:rsid w:val="002C4737"/>
    <w:rsid w:val="00317548"/>
    <w:rsid w:val="00354BD9"/>
    <w:rsid w:val="003B1099"/>
    <w:rsid w:val="0041556F"/>
    <w:rsid w:val="004C0D32"/>
    <w:rsid w:val="004C7B3B"/>
    <w:rsid w:val="00565733"/>
    <w:rsid w:val="005B63A6"/>
    <w:rsid w:val="006A7808"/>
    <w:rsid w:val="007100C4"/>
    <w:rsid w:val="007906A4"/>
    <w:rsid w:val="007A1568"/>
    <w:rsid w:val="007C58F5"/>
    <w:rsid w:val="007D1CD5"/>
    <w:rsid w:val="008270B5"/>
    <w:rsid w:val="00843A1B"/>
    <w:rsid w:val="008465A9"/>
    <w:rsid w:val="00846DF4"/>
    <w:rsid w:val="008614A2"/>
    <w:rsid w:val="008F1CDA"/>
    <w:rsid w:val="00973C87"/>
    <w:rsid w:val="009B5166"/>
    <w:rsid w:val="009D0F04"/>
    <w:rsid w:val="00A1045E"/>
    <w:rsid w:val="00AC0DDB"/>
    <w:rsid w:val="00AD342D"/>
    <w:rsid w:val="00B11530"/>
    <w:rsid w:val="00B4380C"/>
    <w:rsid w:val="00B7614C"/>
    <w:rsid w:val="00BB53EB"/>
    <w:rsid w:val="00DA306F"/>
    <w:rsid w:val="00E67195"/>
    <w:rsid w:val="00E86981"/>
    <w:rsid w:val="00EA169F"/>
    <w:rsid w:val="00EC124A"/>
    <w:rsid w:val="00FF7B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39E5E"/>
  <w15:docId w15:val="{E83BA958-EE21-4405-8C12-4D0121255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95181"/>
    <w:pPr>
      <w:ind w:left="720"/>
      <w:contextualSpacing/>
    </w:pPr>
  </w:style>
  <w:style w:type="paragraph" w:styleId="Tekstdymka">
    <w:name w:val="Balloon Text"/>
    <w:basedOn w:val="Normalny"/>
    <w:link w:val="TekstdymkaZnak"/>
    <w:uiPriority w:val="99"/>
    <w:semiHidden/>
    <w:unhideWhenUsed/>
    <w:rsid w:val="00283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8351E"/>
    <w:rPr>
      <w:rFonts w:ascii="Tahoma" w:hAnsi="Tahoma" w:cs="Tahoma"/>
      <w:sz w:val="16"/>
      <w:szCs w:val="16"/>
    </w:rPr>
  </w:style>
  <w:style w:type="paragraph" w:styleId="Nagwek">
    <w:name w:val="header"/>
    <w:basedOn w:val="Normalny"/>
    <w:link w:val="NagwekZnak"/>
    <w:uiPriority w:val="99"/>
    <w:unhideWhenUsed/>
    <w:rsid w:val="008F1CD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1CDA"/>
  </w:style>
  <w:style w:type="paragraph" w:styleId="Stopka">
    <w:name w:val="footer"/>
    <w:basedOn w:val="Normalny"/>
    <w:link w:val="StopkaZnak"/>
    <w:uiPriority w:val="99"/>
    <w:unhideWhenUsed/>
    <w:rsid w:val="008F1CD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1CDA"/>
  </w:style>
  <w:style w:type="character" w:styleId="Odwoaniedokomentarza">
    <w:name w:val="annotation reference"/>
    <w:basedOn w:val="Domylnaczcionkaakapitu"/>
    <w:uiPriority w:val="99"/>
    <w:semiHidden/>
    <w:unhideWhenUsed/>
    <w:rsid w:val="0041556F"/>
    <w:rPr>
      <w:sz w:val="16"/>
      <w:szCs w:val="16"/>
    </w:rPr>
  </w:style>
  <w:style w:type="paragraph" w:styleId="Tekstkomentarza">
    <w:name w:val="annotation text"/>
    <w:basedOn w:val="Normalny"/>
    <w:link w:val="TekstkomentarzaZnak"/>
    <w:uiPriority w:val="99"/>
    <w:semiHidden/>
    <w:unhideWhenUsed/>
    <w:rsid w:val="0041556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1556F"/>
    <w:rPr>
      <w:sz w:val="20"/>
      <w:szCs w:val="20"/>
    </w:rPr>
  </w:style>
  <w:style w:type="paragraph" w:styleId="Tematkomentarza">
    <w:name w:val="annotation subject"/>
    <w:basedOn w:val="Tekstkomentarza"/>
    <w:next w:val="Tekstkomentarza"/>
    <w:link w:val="TematkomentarzaZnak"/>
    <w:uiPriority w:val="99"/>
    <w:semiHidden/>
    <w:unhideWhenUsed/>
    <w:rsid w:val="0041556F"/>
    <w:rPr>
      <w:b/>
      <w:bCs/>
    </w:rPr>
  </w:style>
  <w:style w:type="character" w:customStyle="1" w:styleId="TematkomentarzaZnak">
    <w:name w:val="Temat komentarza Znak"/>
    <w:basedOn w:val="TekstkomentarzaZnak"/>
    <w:link w:val="Tematkomentarza"/>
    <w:uiPriority w:val="99"/>
    <w:semiHidden/>
    <w:rsid w:val="004155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Arkusz_programu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pl-PL"/>
              <a:t>Siła nabywcza</a:t>
            </a:r>
            <a:r>
              <a:rPr lang="pl-PL" baseline="0"/>
              <a:t> a wódka</a:t>
            </a:r>
            <a:endParaRPr lang="pl-PL"/>
          </a:p>
        </c:rich>
      </c:tx>
      <c:layout/>
      <c:overlay val="0"/>
      <c:spPr>
        <a:noFill/>
        <a:ln>
          <a:noFill/>
        </a:ln>
        <a:effectLst/>
      </c:spPr>
    </c:title>
    <c:autoTitleDeleted val="0"/>
    <c:plotArea>
      <c:layout/>
      <c:barChart>
        <c:barDir val="col"/>
        <c:grouping val="clustered"/>
        <c:varyColors val="0"/>
        <c:ser>
          <c:idx val="0"/>
          <c:order val="0"/>
          <c:tx>
            <c:strRef>
              <c:f>Arkusz1!$B$1</c:f>
              <c:strCache>
                <c:ptCount val="1"/>
                <c:pt idx="0">
                  <c:v>Średnie wynagrodzenie</c:v>
                </c:pt>
              </c:strCache>
            </c:strRef>
          </c:tx>
          <c:spPr>
            <a:solidFill>
              <a:schemeClr val="accent1"/>
            </a:solidFill>
            <a:ln>
              <a:noFill/>
            </a:ln>
            <a:effectLst/>
          </c:spPr>
          <c:invertIfNegative val="0"/>
          <c:cat>
            <c:numRef>
              <c:f>Arkusz1!$A$2:$A$20</c:f>
              <c:numCache>
                <c:formatCode>General</c:formatCode>
                <c:ptCount val="19"/>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numCache>
            </c:numRef>
          </c:cat>
          <c:val>
            <c:numRef>
              <c:f>Arkusz1!$B$2:$B$20</c:f>
              <c:numCache>
                <c:formatCode>#,##0.00</c:formatCode>
                <c:ptCount val="19"/>
                <c:pt idx="0">
                  <c:v>2239.56</c:v>
                </c:pt>
                <c:pt idx="1">
                  <c:v>2314.66</c:v>
                </c:pt>
                <c:pt idx="2">
                  <c:v>2409.69</c:v>
                </c:pt>
                <c:pt idx="3">
                  <c:v>2506.9299999999998</c:v>
                </c:pt>
                <c:pt idx="4">
                  <c:v>2636.81</c:v>
                </c:pt>
                <c:pt idx="5">
                  <c:v>2866.04</c:v>
                </c:pt>
                <c:pt idx="6">
                  <c:v>3158.48</c:v>
                </c:pt>
                <c:pt idx="7">
                  <c:v>3315.38</c:v>
                </c:pt>
                <c:pt idx="8">
                  <c:v>3435</c:v>
                </c:pt>
                <c:pt idx="9">
                  <c:v>3625.21</c:v>
                </c:pt>
                <c:pt idx="10">
                  <c:v>3744.38</c:v>
                </c:pt>
                <c:pt idx="11">
                  <c:v>3877.43</c:v>
                </c:pt>
                <c:pt idx="12" formatCode="General">
                  <c:v>4003.99</c:v>
                </c:pt>
                <c:pt idx="13" formatCode="General">
                  <c:v>4150.8599999999997</c:v>
                </c:pt>
                <c:pt idx="14" formatCode="General">
                  <c:v>4290.5200000000004</c:v>
                </c:pt>
                <c:pt idx="15" formatCode="General">
                  <c:v>4527.8900000000003</c:v>
                </c:pt>
                <c:pt idx="16" formatCode="General">
                  <c:v>4834.76</c:v>
                </c:pt>
                <c:pt idx="17" formatCode="General">
                  <c:v>5181.63</c:v>
                </c:pt>
                <c:pt idx="18" formatCode="General">
                  <c:v>5523.32</c:v>
                </c:pt>
              </c:numCache>
            </c:numRef>
          </c:val>
          <c:extLst>
            <c:ext xmlns:c16="http://schemas.microsoft.com/office/drawing/2014/chart" uri="{C3380CC4-5D6E-409C-BE32-E72D297353CC}">
              <c16:uniqueId val="{00000000-E3C0-486E-B73B-5F73F5352C84}"/>
            </c:ext>
          </c:extLst>
        </c:ser>
        <c:dLbls>
          <c:showLegendKey val="0"/>
          <c:showVal val="0"/>
          <c:showCatName val="0"/>
          <c:showSerName val="0"/>
          <c:showPercent val="0"/>
          <c:showBubbleSize val="0"/>
        </c:dLbls>
        <c:gapWidth val="150"/>
        <c:axId val="417346304"/>
        <c:axId val="417347840"/>
      </c:barChart>
      <c:barChart>
        <c:barDir val="col"/>
        <c:grouping val="clustered"/>
        <c:varyColors val="0"/>
        <c:ser>
          <c:idx val="1"/>
          <c:order val="1"/>
          <c:tx>
            <c:strRef>
              <c:f>Arkusz1!$C$1</c:f>
              <c:strCache>
                <c:ptCount val="1"/>
                <c:pt idx="0">
                  <c:v>Cena wódki</c:v>
                </c:pt>
              </c:strCache>
            </c:strRef>
          </c:tx>
          <c:spPr>
            <a:solidFill>
              <a:schemeClr val="accent2"/>
            </a:solidFill>
            <a:ln>
              <a:noFill/>
            </a:ln>
            <a:effectLst/>
          </c:spPr>
          <c:invertIfNegative val="0"/>
          <c:cat>
            <c:numRef>
              <c:f>Arkusz1!$A$2:$A$20</c:f>
              <c:numCache>
                <c:formatCode>General</c:formatCode>
                <c:ptCount val="19"/>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numCache>
            </c:numRef>
          </c:cat>
          <c:val>
            <c:numRef>
              <c:f>Arkusz1!$C$2:$C$20</c:f>
              <c:numCache>
                <c:formatCode>General</c:formatCode>
                <c:ptCount val="19"/>
                <c:pt idx="0">
                  <c:v>23.68</c:v>
                </c:pt>
                <c:pt idx="1">
                  <c:v>20.65</c:v>
                </c:pt>
                <c:pt idx="2">
                  <c:v>20.8</c:v>
                </c:pt>
                <c:pt idx="3">
                  <c:v>19.62</c:v>
                </c:pt>
                <c:pt idx="4">
                  <c:v>18.41</c:v>
                </c:pt>
                <c:pt idx="5">
                  <c:v>18.09</c:v>
                </c:pt>
                <c:pt idx="6">
                  <c:v>18.61</c:v>
                </c:pt>
                <c:pt idx="7">
                  <c:v>19.5</c:v>
                </c:pt>
                <c:pt idx="8">
                  <c:v>19.59</c:v>
                </c:pt>
                <c:pt idx="9">
                  <c:v>19.899999999999999</c:v>
                </c:pt>
                <c:pt idx="10">
                  <c:v>20.27</c:v>
                </c:pt>
                <c:pt idx="11">
                  <c:v>20.37</c:v>
                </c:pt>
                <c:pt idx="12">
                  <c:v>21.67</c:v>
                </c:pt>
                <c:pt idx="13">
                  <c:v>25.06</c:v>
                </c:pt>
                <c:pt idx="14">
                  <c:v>24.55</c:v>
                </c:pt>
                <c:pt idx="15">
                  <c:v>24.37</c:v>
                </c:pt>
                <c:pt idx="16">
                  <c:v>24.39</c:v>
                </c:pt>
                <c:pt idx="17">
                  <c:v>24.33</c:v>
                </c:pt>
                <c:pt idx="18">
                  <c:v>25.66</c:v>
                </c:pt>
              </c:numCache>
            </c:numRef>
          </c:val>
          <c:extLst>
            <c:ext xmlns:c16="http://schemas.microsoft.com/office/drawing/2014/chart" uri="{C3380CC4-5D6E-409C-BE32-E72D297353CC}">
              <c16:uniqueId val="{00000001-E3C0-486E-B73B-5F73F5352C84}"/>
            </c:ext>
          </c:extLst>
        </c:ser>
        <c:dLbls>
          <c:showLegendKey val="0"/>
          <c:showVal val="0"/>
          <c:showCatName val="0"/>
          <c:showSerName val="0"/>
          <c:showPercent val="0"/>
          <c:showBubbleSize val="0"/>
        </c:dLbls>
        <c:gapWidth val="150"/>
        <c:axId val="417357824"/>
        <c:axId val="417359360"/>
      </c:barChart>
      <c:lineChart>
        <c:grouping val="standard"/>
        <c:varyColors val="0"/>
        <c:ser>
          <c:idx val="2"/>
          <c:order val="2"/>
          <c:tx>
            <c:strRef>
              <c:f>Arkusz1!$D$1</c:f>
              <c:strCache>
                <c:ptCount val="1"/>
                <c:pt idx="0">
                  <c:v>Litrów wódki/ średnie wynagrodzenie</c:v>
                </c:pt>
              </c:strCache>
            </c:strRef>
          </c:tx>
          <c:spPr>
            <a:ln w="28549" cap="rnd">
              <a:solidFill>
                <a:schemeClr val="accent3"/>
              </a:solidFill>
              <a:round/>
            </a:ln>
            <a:effectLst/>
          </c:spPr>
          <c:marker>
            <c:symbol val="none"/>
          </c:marker>
          <c:cat>
            <c:numRef>
              <c:f>Arkusz1!$A$2:$A$20</c:f>
              <c:numCache>
                <c:formatCode>General</c:formatCode>
                <c:ptCount val="19"/>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numCache>
            </c:numRef>
          </c:cat>
          <c:val>
            <c:numRef>
              <c:f>Arkusz1!$D$2:$D$20</c:f>
              <c:numCache>
                <c:formatCode>General</c:formatCode>
                <c:ptCount val="19"/>
                <c:pt idx="0">
                  <c:v>47.288006756756758</c:v>
                </c:pt>
                <c:pt idx="1">
                  <c:v>56.045036319612592</c:v>
                </c:pt>
                <c:pt idx="2">
                  <c:v>57.925240384615385</c:v>
                </c:pt>
                <c:pt idx="3">
                  <c:v>63.887104994903154</c:v>
                </c:pt>
                <c:pt idx="4">
                  <c:v>71.613525258011947</c:v>
                </c:pt>
                <c:pt idx="5">
                  <c:v>79.216141514648982</c:v>
                </c:pt>
                <c:pt idx="6">
                  <c:v>84.85975282106395</c:v>
                </c:pt>
                <c:pt idx="7">
                  <c:v>85.009743589743593</c:v>
                </c:pt>
                <c:pt idx="8">
                  <c:v>87.67228177641654</c:v>
                </c:pt>
                <c:pt idx="9">
                  <c:v>91.085678391959803</c:v>
                </c:pt>
                <c:pt idx="10">
                  <c:v>92.36260483473113</c:v>
                </c:pt>
                <c:pt idx="11">
                  <c:v>95.175012272950411</c:v>
                </c:pt>
                <c:pt idx="12">
                  <c:v>92.385556068297177</c:v>
                </c:pt>
                <c:pt idx="13">
                  <c:v>82.818435754189949</c:v>
                </c:pt>
                <c:pt idx="14">
                  <c:v>87.383299389002048</c:v>
                </c:pt>
                <c:pt idx="15">
                  <c:v>92.898851046368492</c:v>
                </c:pt>
                <c:pt idx="16">
                  <c:v>99.113571135711354</c:v>
                </c:pt>
                <c:pt idx="17">
                  <c:v>106.48643649815044</c:v>
                </c:pt>
                <c:pt idx="18">
                  <c:v>107.62509742790334</c:v>
                </c:pt>
              </c:numCache>
            </c:numRef>
          </c:val>
          <c:smooth val="0"/>
          <c:extLst>
            <c:ext xmlns:c16="http://schemas.microsoft.com/office/drawing/2014/chart" uri="{C3380CC4-5D6E-409C-BE32-E72D297353CC}">
              <c16:uniqueId val="{00000002-E3C0-486E-B73B-5F73F5352C84}"/>
            </c:ext>
          </c:extLst>
        </c:ser>
        <c:dLbls>
          <c:showLegendKey val="0"/>
          <c:showVal val="0"/>
          <c:showCatName val="0"/>
          <c:showSerName val="0"/>
          <c:showPercent val="0"/>
          <c:showBubbleSize val="0"/>
        </c:dLbls>
        <c:marker val="1"/>
        <c:smooth val="0"/>
        <c:axId val="417357824"/>
        <c:axId val="417359360"/>
      </c:lineChart>
      <c:catAx>
        <c:axId val="417346304"/>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417347840"/>
        <c:crosses val="autoZero"/>
        <c:auto val="1"/>
        <c:lblAlgn val="ctr"/>
        <c:lblOffset val="100"/>
        <c:noMultiLvlLbl val="0"/>
      </c:catAx>
      <c:valAx>
        <c:axId val="417347840"/>
        <c:scaling>
          <c:orientation val="minMax"/>
        </c:scaling>
        <c:delete val="0"/>
        <c:axPos val="l"/>
        <c:majorGridlines>
          <c:spPr>
            <a:ln w="9516"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417346304"/>
        <c:crosses val="autoZero"/>
        <c:crossBetween val="between"/>
      </c:valAx>
      <c:catAx>
        <c:axId val="417357824"/>
        <c:scaling>
          <c:orientation val="minMax"/>
        </c:scaling>
        <c:delete val="1"/>
        <c:axPos val="b"/>
        <c:numFmt formatCode="General" sourceLinked="1"/>
        <c:majorTickMark val="out"/>
        <c:minorTickMark val="none"/>
        <c:tickLblPos val="nextTo"/>
        <c:crossAx val="417359360"/>
        <c:crosses val="autoZero"/>
        <c:auto val="1"/>
        <c:lblAlgn val="ctr"/>
        <c:lblOffset val="100"/>
        <c:noMultiLvlLbl val="0"/>
      </c:catAx>
      <c:valAx>
        <c:axId val="417359360"/>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417357824"/>
        <c:crosses val="max"/>
        <c:crossBetween val="between"/>
      </c:valAx>
      <c:spPr>
        <a:noFill/>
        <a:ln w="25377">
          <a:noFill/>
        </a:ln>
      </c:spPr>
    </c:plotArea>
    <c:legend>
      <c:legendPos val="b"/>
      <c:layout/>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12</Pages>
  <Words>2564</Words>
  <Characters>15387</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Komorowski Cezary</dc:creator>
  <cp:lastModifiedBy>Binkowska Joanna</cp:lastModifiedBy>
  <cp:revision>2</cp:revision>
  <dcterms:created xsi:type="dcterms:W3CDTF">2021-10-21T13:25:00Z</dcterms:created>
  <dcterms:modified xsi:type="dcterms:W3CDTF">2021-10-21T13:25:00Z</dcterms:modified>
</cp:coreProperties>
</file>