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CEDBF" w14:textId="77777777" w:rsidR="0060028A" w:rsidRPr="00451CFB" w:rsidRDefault="0060028A" w:rsidP="00654A18">
      <w:pPr>
        <w:widowControl w:val="0"/>
        <w:suppressAutoHyphens/>
        <w:spacing w:before="60" w:after="60" w:line="360" w:lineRule="auto"/>
        <w:jc w:val="center"/>
        <w:rPr>
          <w:rFonts w:eastAsia="Times New Roman" w:cs="Times New Roman"/>
          <w:b/>
          <w:bCs/>
          <w:szCs w:val="24"/>
        </w:rPr>
      </w:pPr>
      <w:r w:rsidRPr="00654A18">
        <w:rPr>
          <w:rFonts w:eastAsia="Times New Roman" w:cs="Times New Roman"/>
          <w:bCs/>
          <w:szCs w:val="24"/>
        </w:rPr>
        <w:t>UZASADNIENIE</w:t>
      </w:r>
    </w:p>
    <w:p w14:paraId="0209B033" w14:textId="77777777" w:rsidR="0060028A" w:rsidRPr="00654A18" w:rsidRDefault="0060028A" w:rsidP="00654A18">
      <w:pPr>
        <w:suppressAutoHyphens/>
        <w:autoSpaceDE w:val="0"/>
        <w:autoSpaceDN w:val="0"/>
        <w:adjustRightInd w:val="0"/>
        <w:spacing w:before="60" w:after="60" w:line="360" w:lineRule="auto"/>
        <w:ind w:left="426" w:hanging="426"/>
        <w:jc w:val="both"/>
        <w:rPr>
          <w:rFonts w:eastAsia="Times New Roman" w:cs="Times New Roman"/>
          <w:b/>
          <w:bCs/>
          <w:szCs w:val="24"/>
        </w:rPr>
      </w:pPr>
      <w:r w:rsidRPr="00654A18">
        <w:rPr>
          <w:rFonts w:eastAsia="Times New Roman" w:cs="Times New Roman"/>
          <w:b/>
          <w:bCs/>
          <w:szCs w:val="24"/>
        </w:rPr>
        <w:t>1.</w:t>
      </w:r>
      <w:r w:rsidR="00451CFB">
        <w:rPr>
          <w:rFonts w:eastAsia="Times New Roman" w:cs="Times New Roman"/>
          <w:b/>
          <w:bCs/>
          <w:szCs w:val="24"/>
        </w:rPr>
        <w:tab/>
      </w:r>
      <w:r w:rsidRPr="00654A18">
        <w:rPr>
          <w:rFonts w:eastAsia="Times New Roman" w:cs="Times New Roman"/>
          <w:b/>
          <w:bCs/>
          <w:szCs w:val="24"/>
        </w:rPr>
        <w:t xml:space="preserve">Zmiana ustawy o scalaniu i wymianie gruntów </w:t>
      </w:r>
    </w:p>
    <w:p w14:paraId="48B95903" w14:textId="77777777"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Nowelizacja ustawy z dnia 26 marca 1982 r. o scalan</w:t>
      </w:r>
      <w:r w:rsidR="00BB3CC2">
        <w:rPr>
          <w:rFonts w:eastAsia="Times New Roman" w:cs="Times New Roman"/>
          <w:bCs/>
          <w:szCs w:val="24"/>
        </w:rPr>
        <w:t>iu i wymianie gruntów (Dz. U. z </w:t>
      </w:r>
      <w:r w:rsidRPr="00654A18">
        <w:rPr>
          <w:rFonts w:eastAsia="Times New Roman" w:cs="Times New Roman"/>
          <w:bCs/>
          <w:szCs w:val="24"/>
        </w:rPr>
        <w:t>2018 r.</w:t>
      </w:r>
      <w:r w:rsidR="00451CFB">
        <w:rPr>
          <w:rFonts w:eastAsia="Times New Roman" w:cs="Times New Roman"/>
          <w:bCs/>
          <w:szCs w:val="24"/>
        </w:rPr>
        <w:t xml:space="preserve"> </w:t>
      </w:r>
      <w:r w:rsidRPr="00654A18">
        <w:rPr>
          <w:rFonts w:eastAsia="Times New Roman" w:cs="Times New Roman"/>
          <w:bCs/>
          <w:szCs w:val="24"/>
        </w:rPr>
        <w:t xml:space="preserve">poz. 908, z </w:t>
      </w:r>
      <w:proofErr w:type="spellStart"/>
      <w:r w:rsidRPr="00654A18">
        <w:rPr>
          <w:rFonts w:eastAsia="Times New Roman" w:cs="Times New Roman"/>
          <w:bCs/>
          <w:szCs w:val="24"/>
        </w:rPr>
        <w:t>późn</w:t>
      </w:r>
      <w:proofErr w:type="spellEnd"/>
      <w:r w:rsidRPr="00654A18">
        <w:rPr>
          <w:rFonts w:eastAsia="Times New Roman" w:cs="Times New Roman"/>
          <w:bCs/>
          <w:szCs w:val="24"/>
        </w:rPr>
        <w:t>. zm.), zwanej dalej „</w:t>
      </w:r>
      <w:r w:rsidRPr="001B64F6">
        <w:rPr>
          <w:rFonts w:eastAsia="Times New Roman" w:cs="Times New Roman"/>
          <w:bCs/>
          <w:szCs w:val="24"/>
        </w:rPr>
        <w:t>ustawą</w:t>
      </w:r>
      <w:r w:rsidRPr="00654A18">
        <w:rPr>
          <w:rFonts w:eastAsia="Times New Roman" w:cs="Times New Roman"/>
          <w:bCs/>
          <w:szCs w:val="24"/>
        </w:rPr>
        <w:t>”, obejmuje przepisy przyczyniające się do usprawnienia prowadzenia postępowań scaleniowych, w tym głównie do ich przyśpieszenia, jednocześnie nie wpływając na postępowania realizowane w ramach poddziałania „</w:t>
      </w:r>
      <w:r w:rsidRPr="001B64F6">
        <w:rPr>
          <w:rFonts w:eastAsia="Times New Roman" w:cs="Times New Roman"/>
          <w:bCs/>
          <w:szCs w:val="24"/>
        </w:rPr>
        <w:t>Wsparcie na inwestycje związane</w:t>
      </w:r>
      <w:r w:rsidR="003160FB" w:rsidRPr="001B64F6">
        <w:rPr>
          <w:rFonts w:eastAsia="Times New Roman" w:cs="Times New Roman"/>
          <w:bCs/>
          <w:szCs w:val="24"/>
        </w:rPr>
        <w:t xml:space="preserve"> </w:t>
      </w:r>
      <w:r w:rsidR="00BB3CC2" w:rsidRPr="001B64F6">
        <w:rPr>
          <w:rFonts w:eastAsia="Times New Roman" w:cs="Times New Roman"/>
          <w:bCs/>
          <w:szCs w:val="24"/>
        </w:rPr>
        <w:t>z rozwojem, modernizacją i </w:t>
      </w:r>
      <w:r w:rsidRPr="001B64F6">
        <w:rPr>
          <w:rFonts w:eastAsia="Times New Roman" w:cs="Times New Roman"/>
          <w:bCs/>
          <w:szCs w:val="24"/>
        </w:rPr>
        <w:t>dostosowywaniem rolnictwa i leśnictwa</w:t>
      </w:r>
      <w:r w:rsidRPr="00654A18">
        <w:rPr>
          <w:rFonts w:eastAsia="Times New Roman" w:cs="Times New Roman"/>
          <w:bCs/>
          <w:szCs w:val="24"/>
        </w:rPr>
        <w:t>” objętego Programem Rozwoju Obszarów Wiejskich na lata 2014</w:t>
      </w:r>
      <w:r w:rsidR="00451CFB">
        <w:rPr>
          <w:rFonts w:eastAsia="Times New Roman" w:cs="Times New Roman"/>
          <w:bCs/>
          <w:szCs w:val="24"/>
        </w:rPr>
        <w:t>–</w:t>
      </w:r>
      <w:r w:rsidRPr="00654A18">
        <w:rPr>
          <w:rFonts w:eastAsia="Times New Roman" w:cs="Times New Roman"/>
          <w:bCs/>
          <w:szCs w:val="24"/>
        </w:rPr>
        <w:t>2020 w zakresie celu scalenia gruntów.</w:t>
      </w:r>
    </w:p>
    <w:p w14:paraId="0998A2AF" w14:textId="36CFD560" w:rsidR="0060028A" w:rsidRPr="00654A18" w:rsidRDefault="0060028A" w:rsidP="00654A18">
      <w:pPr>
        <w:suppressAutoHyphens/>
        <w:autoSpaceDE w:val="0"/>
        <w:autoSpaceDN w:val="0"/>
        <w:adjustRightInd w:val="0"/>
        <w:spacing w:before="60" w:after="60" w:line="360" w:lineRule="auto"/>
        <w:jc w:val="both"/>
        <w:rPr>
          <w:rFonts w:eastAsia="Times New Roman" w:cs="Times New Roman"/>
          <w:szCs w:val="24"/>
        </w:rPr>
      </w:pPr>
      <w:r w:rsidRPr="00654A18">
        <w:rPr>
          <w:rFonts w:eastAsia="Times New Roman" w:cs="Times New Roman"/>
          <w:szCs w:val="24"/>
        </w:rPr>
        <w:t>Zgodnie z proponowanym brzmieniem art. 1 ust. 2 pkt 3a ustawy, za gospodarstwo rolne należy uznać takie gospodarstwo rolne w rozumieniu art. 55</w:t>
      </w:r>
      <w:r w:rsidRPr="00654A18">
        <w:rPr>
          <w:rFonts w:eastAsia="Times New Roman" w:cs="Times New Roman"/>
          <w:szCs w:val="24"/>
          <w:vertAlign w:val="superscript"/>
        </w:rPr>
        <w:t>3</w:t>
      </w:r>
      <w:r w:rsidRPr="00654A18">
        <w:rPr>
          <w:rFonts w:eastAsia="Times New Roman" w:cs="Times New Roman"/>
          <w:szCs w:val="24"/>
        </w:rPr>
        <w:t xml:space="preserve"> ustawy z dnia 17 kwietnia 1964 r. – Kodeks cywilny (Dz. U. z 2020 r. poz. 1740</w:t>
      </w:r>
      <w:r w:rsidR="003128E5">
        <w:rPr>
          <w:rFonts w:eastAsia="Times New Roman" w:cs="Times New Roman"/>
          <w:szCs w:val="24"/>
        </w:rPr>
        <w:t xml:space="preserve">, z </w:t>
      </w:r>
      <w:proofErr w:type="spellStart"/>
      <w:r w:rsidR="003128E5">
        <w:rPr>
          <w:rFonts w:eastAsia="Times New Roman" w:cs="Times New Roman"/>
          <w:szCs w:val="24"/>
        </w:rPr>
        <w:t>późn</w:t>
      </w:r>
      <w:proofErr w:type="spellEnd"/>
      <w:r w:rsidR="003128E5">
        <w:rPr>
          <w:rFonts w:eastAsia="Times New Roman" w:cs="Times New Roman"/>
          <w:szCs w:val="24"/>
        </w:rPr>
        <w:t>. zm.</w:t>
      </w:r>
      <w:r w:rsidRPr="00654A18">
        <w:rPr>
          <w:rFonts w:eastAsia="Times New Roman" w:cs="Times New Roman"/>
          <w:szCs w:val="24"/>
        </w:rPr>
        <w:t>), w którym powierzchnia gruntów rolnych lub leśnych jest nie mniejsza niż 1 ha. Wprowadzenie definicji gospodarstwa rolnego zawierającej szczególną normę obszarową ma na celu likwidację wątpliwości, które pojawiają się w związku z int</w:t>
      </w:r>
      <w:r w:rsidR="00FD1231">
        <w:rPr>
          <w:rFonts w:eastAsia="Times New Roman" w:cs="Times New Roman"/>
          <w:szCs w:val="24"/>
        </w:rPr>
        <w:t>erpretacją przepisu art. 3 ust. </w:t>
      </w:r>
      <w:r w:rsidRPr="00654A18">
        <w:rPr>
          <w:rFonts w:eastAsia="Times New Roman" w:cs="Times New Roman"/>
          <w:szCs w:val="24"/>
        </w:rPr>
        <w:t>2 ustawy, tj. w zakresie sposobu zaliczania gospodarstw rolnych do weryfikacji</w:t>
      </w:r>
      <w:r w:rsidR="001B64F6">
        <w:rPr>
          <w:rFonts w:eastAsia="Times New Roman" w:cs="Times New Roman"/>
          <w:szCs w:val="24"/>
        </w:rPr>
        <w:t xml:space="preserve"> wniosków o wykonanie scalenia.</w:t>
      </w:r>
    </w:p>
    <w:p w14:paraId="3FA5CED8" w14:textId="77777777"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 xml:space="preserve">Nadanie nowego brzmienia art. 7 ust. 3 ustawy polega na </w:t>
      </w:r>
      <w:r w:rsidRPr="00654A18">
        <w:rPr>
          <w:rFonts w:eastAsia="Calibri" w:cs="Times New Roman"/>
          <w:szCs w:val="24"/>
          <w:lang w:eastAsia="en-US"/>
        </w:rPr>
        <w:t xml:space="preserve">rezygnacji z odczytywania postanowienia </w:t>
      </w:r>
      <w:r w:rsidRPr="00654A18">
        <w:rPr>
          <w:rFonts w:eastAsia="Times New Roman" w:cs="Times New Roman"/>
          <w:bCs/>
          <w:szCs w:val="24"/>
        </w:rPr>
        <w:t xml:space="preserve">o wszczęciu postępowania scaleniowego na zebraniu uczestników scalenia. Taka zmiana przyczyni się do usprawnienia postępowań scaleniowych. Proponowane rozwiązanie jest szczególnie oczekiwane </w:t>
      </w:r>
      <w:r w:rsidRPr="00654A18">
        <w:rPr>
          <w:rFonts w:eastAsia="Calibri" w:cs="Times New Roman"/>
          <w:bCs/>
          <w:szCs w:val="24"/>
          <w:lang w:eastAsia="en-US"/>
        </w:rPr>
        <w:t>w okresie stanu zagrożenia epidemicznego albo stanu epidemii ze względu na możliwość ograniczenia bezpośrednich kontaktów międzyludzkich</w:t>
      </w:r>
      <w:r w:rsidRPr="00654A18">
        <w:rPr>
          <w:rFonts w:eastAsia="Times New Roman" w:cs="Times New Roman"/>
          <w:bCs/>
          <w:szCs w:val="24"/>
        </w:rPr>
        <w:t>. Zmiana ta wprowadza natomiast obowiązek zamieszczania postanowienia o wszczęciu postępowania scaleniowego oraz postanowienia organu wyższego stopnia w Biuletynie Informacji Publicznej na stronach podmiotowych urzędu obsługującego organ, który wydał postanowienie. Ponadto zmiana art. 7 ust. 3 i 4 ma na celu doprecyzowanie przepisów ustawy dotyczących doręczania postanowienia organu wyższego stopnia w przedmiocie wszczęcia postępowania scaleniowego, w sposób analogiczny do doręczania postanowienia starosty o wszczęciu postępowania scaleniowego.</w:t>
      </w:r>
    </w:p>
    <w:p w14:paraId="56FD01F2"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Dodanie art. 7a polega na doprecyzowaniu czynności związanych z określaniem przebiegu granic obszaru scalenia lub wymiany gruntów (tzw. granic zewnętrznych) </w:t>
      </w:r>
      <w:r w:rsidRPr="00654A18">
        <w:rPr>
          <w:rFonts w:eastAsia="Calibri" w:cs="Times New Roman"/>
          <w:szCs w:val="24"/>
          <w:lang w:eastAsia="en-US"/>
        </w:rPr>
        <w:lastRenderedPageBreak/>
        <w:t>wykonywanych po wszczęciu postępowania scaleniowego lub wymiennego przez odesłanie do przepisów</w:t>
      </w:r>
      <w:r w:rsidRPr="00654A18">
        <w:rPr>
          <w:rFonts w:ascii="Calibri" w:eastAsia="Calibri" w:hAnsi="Calibri" w:cs="Times New Roman"/>
          <w:szCs w:val="24"/>
          <w:lang w:eastAsia="en-US"/>
        </w:rPr>
        <w:t xml:space="preserve"> </w:t>
      </w:r>
      <w:r w:rsidRPr="00654A18">
        <w:rPr>
          <w:rFonts w:eastAsia="Calibri" w:cs="Times New Roman"/>
          <w:szCs w:val="24"/>
          <w:lang w:eastAsia="en-US"/>
        </w:rPr>
        <w:t>prawa geodezyjnego i kartograficznego w zakresie określania przebiegu granic, tj. w szczególności wznowienia znaków granicznych, wyznaczenia punktów granicznych ujawnionych uprzednio w ewidencji gruntów i budynków lub ustalenia przebiegu granic działek ewidencyjnych. W ust. 2 został określony sposób zawiadamiania właścicieli gruntów przyległych do gran</w:t>
      </w:r>
      <w:r w:rsidR="00BB3CC2">
        <w:rPr>
          <w:rFonts w:eastAsia="Calibri" w:cs="Times New Roman"/>
          <w:szCs w:val="24"/>
          <w:lang w:eastAsia="en-US"/>
        </w:rPr>
        <w:t>ic obszaru scalenia o miejscu i </w:t>
      </w:r>
      <w:r w:rsidRPr="00654A18">
        <w:rPr>
          <w:rFonts w:eastAsia="Calibri" w:cs="Times New Roman"/>
          <w:szCs w:val="24"/>
          <w:lang w:eastAsia="en-US"/>
        </w:rPr>
        <w:t>terminie wykonywania czynności, o</w:t>
      </w:r>
      <w:r w:rsidR="00451CFB">
        <w:rPr>
          <w:rFonts w:eastAsia="Calibri" w:cs="Times New Roman"/>
          <w:szCs w:val="24"/>
          <w:lang w:eastAsia="en-US"/>
        </w:rPr>
        <w:t xml:space="preserve"> </w:t>
      </w:r>
      <w:r w:rsidRPr="00654A18">
        <w:rPr>
          <w:rFonts w:eastAsia="Calibri" w:cs="Times New Roman"/>
          <w:szCs w:val="24"/>
          <w:lang w:eastAsia="en-US"/>
        </w:rPr>
        <w:t>których mo</w:t>
      </w:r>
      <w:r w:rsidR="00BB3CC2">
        <w:rPr>
          <w:rFonts w:eastAsia="Calibri" w:cs="Times New Roman"/>
          <w:szCs w:val="24"/>
          <w:lang w:eastAsia="en-US"/>
        </w:rPr>
        <w:t>wa w ust. 1, analogicznie jak w </w:t>
      </w:r>
      <w:r w:rsidRPr="00654A18">
        <w:rPr>
          <w:rFonts w:eastAsia="Calibri" w:cs="Times New Roman"/>
          <w:szCs w:val="24"/>
          <w:lang w:eastAsia="en-US"/>
        </w:rPr>
        <w:t>postępowaniu scaleniowym, tj. w formie obwieszczenia.</w:t>
      </w:r>
    </w:p>
    <w:p w14:paraId="434073B6" w14:textId="37FA3403"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 xml:space="preserve">Dodanie w art. 8 </w:t>
      </w:r>
      <w:r w:rsidR="003128E5" w:rsidRPr="00654A18">
        <w:rPr>
          <w:rFonts w:eastAsia="Times New Roman" w:cs="Times New Roman"/>
          <w:bCs/>
          <w:szCs w:val="24"/>
        </w:rPr>
        <w:t xml:space="preserve">ustawy </w:t>
      </w:r>
      <w:r w:rsidRPr="00654A18">
        <w:rPr>
          <w:rFonts w:eastAsia="Times New Roman" w:cs="Times New Roman"/>
          <w:bCs/>
          <w:szCs w:val="24"/>
        </w:rPr>
        <w:t>ust. 1a i 1b ma na celu wskazanie możliwości zgłaszania przez uczestników scalenia lub uczestników wymiany, przed okazaniem projektu scalenia lub wymiany gruntów, propozycji co do sposobu wydzielenia gruntów w zamian za grunty dotychczas posiadane, a</w:t>
      </w:r>
      <w:r w:rsidR="00451CFB">
        <w:rPr>
          <w:rFonts w:eastAsia="Times New Roman" w:cs="Times New Roman"/>
          <w:bCs/>
          <w:szCs w:val="24"/>
        </w:rPr>
        <w:t xml:space="preserve"> </w:t>
      </w:r>
      <w:r w:rsidRPr="00654A18">
        <w:rPr>
          <w:rFonts w:eastAsia="Times New Roman" w:cs="Times New Roman"/>
          <w:bCs/>
          <w:szCs w:val="24"/>
        </w:rPr>
        <w:t>w</w:t>
      </w:r>
      <w:r w:rsidR="00451CFB">
        <w:rPr>
          <w:rFonts w:eastAsia="Times New Roman" w:cs="Times New Roman"/>
          <w:bCs/>
          <w:szCs w:val="24"/>
        </w:rPr>
        <w:t xml:space="preserve"> </w:t>
      </w:r>
      <w:r w:rsidRPr="00654A18">
        <w:rPr>
          <w:rFonts w:eastAsia="Times New Roman" w:cs="Times New Roman"/>
          <w:bCs/>
          <w:szCs w:val="24"/>
        </w:rPr>
        <w:t>szczególności w zakresie ich lokalizacji, co wpłynie na zabezpieczenie praw uczestników scalenia</w:t>
      </w:r>
      <w:r w:rsidRPr="00654A18">
        <w:rPr>
          <w:rFonts w:ascii="Calibri" w:eastAsia="Calibri" w:hAnsi="Calibri" w:cs="Times New Roman"/>
          <w:szCs w:val="24"/>
          <w:lang w:eastAsia="en-US"/>
        </w:rPr>
        <w:t xml:space="preserve"> </w:t>
      </w:r>
      <w:r w:rsidRPr="00654A18">
        <w:rPr>
          <w:rFonts w:eastAsia="Times New Roman" w:cs="Times New Roman"/>
          <w:bCs/>
          <w:szCs w:val="24"/>
        </w:rPr>
        <w:t>lub wymiany. Dotychczas czynności tego typu regulowała instrukcja nr 1 Ministra Rolnictwa i Gospo</w:t>
      </w:r>
      <w:r w:rsidR="00BB3CC2">
        <w:rPr>
          <w:rFonts w:eastAsia="Times New Roman" w:cs="Times New Roman"/>
          <w:bCs/>
          <w:szCs w:val="24"/>
        </w:rPr>
        <w:t>darki Żywnościowej o scalaniu i </w:t>
      </w:r>
      <w:r w:rsidRPr="00654A18">
        <w:rPr>
          <w:rFonts w:eastAsia="Times New Roman" w:cs="Times New Roman"/>
          <w:bCs/>
          <w:szCs w:val="24"/>
        </w:rPr>
        <w:t>wymianie gruntów z dnia 24 marca 1983 r.</w:t>
      </w:r>
    </w:p>
    <w:p w14:paraId="1AA3DBF2" w14:textId="132C1D4B"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Zmiana polegająca na włączeniu przedstawiciela gminy oraz sołtysa lub członka rady sołeckiej wsi do komisji doradczej, o której mowa w art. 10 ustawy</w:t>
      </w:r>
      <w:r w:rsidR="00D306CB">
        <w:rPr>
          <w:rFonts w:eastAsia="Times New Roman" w:cs="Times New Roman"/>
          <w:bCs/>
          <w:szCs w:val="24"/>
        </w:rPr>
        <w:t>,</w:t>
      </w:r>
      <w:r w:rsidRPr="00654A18">
        <w:rPr>
          <w:rFonts w:eastAsia="Times New Roman" w:cs="Times New Roman"/>
          <w:bCs/>
          <w:szCs w:val="24"/>
        </w:rPr>
        <w:t xml:space="preserve"> ma na celu wzmocnienie działania komisji. Zgodnie z ustawą z dnia 27 marca 2003 r.</w:t>
      </w:r>
      <w:r w:rsidRPr="00654A18">
        <w:rPr>
          <w:rFonts w:eastAsia="Times New Roman" w:cs="Times New Roman"/>
          <w:bCs/>
          <w:i/>
          <w:szCs w:val="24"/>
        </w:rPr>
        <w:t xml:space="preserve"> </w:t>
      </w:r>
      <w:r w:rsidRPr="00654A18">
        <w:rPr>
          <w:rFonts w:eastAsia="Times New Roman" w:cs="Times New Roman"/>
          <w:bCs/>
          <w:szCs w:val="24"/>
        </w:rPr>
        <w:t>o planowaniu i zagospodarowaniu przestrzennym</w:t>
      </w:r>
      <w:r w:rsidRPr="00654A18">
        <w:rPr>
          <w:rFonts w:eastAsia="Times New Roman" w:cs="Times New Roman"/>
          <w:bCs/>
          <w:i/>
          <w:szCs w:val="24"/>
        </w:rPr>
        <w:t xml:space="preserve"> </w:t>
      </w:r>
      <w:r w:rsidRPr="00654A18">
        <w:rPr>
          <w:rFonts w:eastAsia="Times New Roman" w:cs="Times New Roman"/>
          <w:bCs/>
          <w:szCs w:val="24"/>
        </w:rPr>
        <w:t>(Dz. U. z 202</w:t>
      </w:r>
      <w:r w:rsidR="003128E5">
        <w:rPr>
          <w:rFonts w:eastAsia="Times New Roman" w:cs="Times New Roman"/>
          <w:bCs/>
          <w:szCs w:val="24"/>
        </w:rPr>
        <w:t>1</w:t>
      </w:r>
      <w:r w:rsidRPr="00654A18">
        <w:rPr>
          <w:rFonts w:eastAsia="Times New Roman" w:cs="Times New Roman"/>
          <w:bCs/>
          <w:szCs w:val="24"/>
        </w:rPr>
        <w:t xml:space="preserve"> r. poz. </w:t>
      </w:r>
      <w:r w:rsidR="003128E5">
        <w:rPr>
          <w:rFonts w:eastAsia="Times New Roman" w:cs="Times New Roman"/>
          <w:bCs/>
          <w:szCs w:val="24"/>
        </w:rPr>
        <w:t>741</w:t>
      </w:r>
      <w:r w:rsidRPr="00654A18">
        <w:rPr>
          <w:rFonts w:eastAsia="Times New Roman" w:cs="Times New Roman"/>
          <w:bCs/>
          <w:szCs w:val="24"/>
        </w:rPr>
        <w:t xml:space="preserve">, z </w:t>
      </w:r>
      <w:proofErr w:type="spellStart"/>
      <w:r w:rsidRPr="00654A18">
        <w:rPr>
          <w:rFonts w:eastAsia="Times New Roman" w:cs="Times New Roman"/>
          <w:bCs/>
          <w:szCs w:val="24"/>
        </w:rPr>
        <w:t>późn</w:t>
      </w:r>
      <w:proofErr w:type="spellEnd"/>
      <w:r w:rsidRPr="00654A18">
        <w:rPr>
          <w:rFonts w:eastAsia="Times New Roman" w:cs="Times New Roman"/>
          <w:bCs/>
          <w:szCs w:val="24"/>
        </w:rPr>
        <w:t xml:space="preserve">. zm.) realizacja polityki przestrzennej odbywa się na poziomie gminy, więc tym bardziej zasadny wydaje się udział przedstawiciela gminy w tej komisji, jak również sołtysa lub członka rady sołeckiej jako przedstawiciela każdej wsi objętej scaleniem gruntów. </w:t>
      </w:r>
    </w:p>
    <w:p w14:paraId="1B3989B0"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Zmiana brzmienia art. 27 ust. 1 pkt 4 ustawy polega jedynie na doprecyzowaniu obszaru scalenia lub wymiany gruntów, który określa decyzja o zatwierdzeniu projektu scalenia lub wymiany gruntów, przez wskazanie granic tego obszaru określonych na podstawie art. 7a ustawy oraz powierzchni tego obszaru. Ma to na celu jednoznaczne uregulowanie kwestii granic zewnętrznych obszaru scalenia lub wymiany gruntów, które na podstawie decyzji w sprawie zatwierdzenia projektu scalenia lub wymiany gruntów otrzymują atrybut granic prawnych. </w:t>
      </w:r>
    </w:p>
    <w:p w14:paraId="0963F650" w14:textId="75B4953C"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Proponowana zmiana w art. 28 ust. 1 i 2 ustawy reguluje kwestie doręczeń decyzji wydawanych na podstawie przepisów ustawy o scalaniu i wymianie gruntów, przy jednoczesnej rezygnacji z odczytywania decyzji o zatwierdzeniu projektu scalenia gruntów na zebraniu uczestników scalenia. Przepisy tej ustawy wprost regulują sposoby </w:t>
      </w:r>
      <w:r w:rsidRPr="00654A18">
        <w:rPr>
          <w:rFonts w:eastAsia="Calibri" w:cs="Times New Roman"/>
          <w:szCs w:val="24"/>
          <w:lang w:eastAsia="en-US"/>
        </w:rPr>
        <w:lastRenderedPageBreak/>
        <w:t>doręczenia decyzji zatwierdzającej projekt scalenia gruntów, jednak nie określają, w jaki sposób ma być doręczana decyzja o odmowie wszczęcia postępowania scaleniowego, decyzja o umorzeniu postępowania scaleniowego i de</w:t>
      </w:r>
      <w:r w:rsidR="00BB3CC2">
        <w:rPr>
          <w:rFonts w:eastAsia="Calibri" w:cs="Times New Roman"/>
          <w:szCs w:val="24"/>
          <w:lang w:eastAsia="en-US"/>
        </w:rPr>
        <w:t>cyzja organu wyższego stopnia w </w:t>
      </w:r>
      <w:r w:rsidR="00D306CB">
        <w:rPr>
          <w:rFonts w:eastAsia="Calibri" w:cs="Times New Roman"/>
          <w:szCs w:val="24"/>
          <w:lang w:eastAsia="en-US"/>
        </w:rPr>
        <w:t xml:space="preserve">tych </w:t>
      </w:r>
      <w:r w:rsidRPr="00654A18">
        <w:rPr>
          <w:rFonts w:eastAsia="Calibri" w:cs="Times New Roman"/>
          <w:szCs w:val="24"/>
          <w:lang w:eastAsia="en-US"/>
        </w:rPr>
        <w:t xml:space="preserve">sprawach. Decyzje te również dotyczą postępowania zbiorowego i analogicznie jak decyzja o zatwierdzeniu projektu scalenia gruntów powinny być podane do wiadomości przez wywieszenie na okres 14 dni na tablicy ogłoszeń urzędu gminy, na której terenie są położone grunty objęte scaleniem, oraz na tablicy ogłoszeń we wsi, której grunty tworzą obszar scalenia, i zamieszczone w Biuletynie Informacji Publicznej na stronie podmiotowej starostwa powiatowego, a w przypadku decyzji organu wyższego stopnia – także w Biuletynie Informacji Publicznej na stronie podmiotowej urzędu obsługującego ten organ. </w:t>
      </w:r>
    </w:p>
    <w:p w14:paraId="5AED1894" w14:textId="6D88398A"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Proponowana zmiana w art. 29 ust. 1a ustawy wskazuje starostę jako organ właściwy do występowania z wnioskiem do sądu właściwego do </w:t>
      </w:r>
      <w:r w:rsidR="00FD1231">
        <w:rPr>
          <w:rFonts w:eastAsia="Calibri" w:cs="Times New Roman"/>
          <w:szCs w:val="24"/>
          <w:lang w:eastAsia="en-US"/>
        </w:rPr>
        <w:t>prowadzenia ksiąg wieczystych o </w:t>
      </w:r>
      <w:r w:rsidRPr="00654A18">
        <w:rPr>
          <w:rFonts w:eastAsia="Calibri" w:cs="Times New Roman"/>
          <w:szCs w:val="24"/>
          <w:lang w:eastAsia="en-US"/>
        </w:rPr>
        <w:t>dokonanie wpisów w księgach wieczystych w zakresie zmian wynikających z decyzji o zatwierdzeniu projektu scalenia lub wymiany gruntów</w:t>
      </w:r>
      <w:r w:rsidRPr="00654A18">
        <w:rPr>
          <w:rFonts w:ascii="Calibri" w:eastAsia="Calibri" w:hAnsi="Calibri" w:cs="Times New Roman"/>
          <w:szCs w:val="24"/>
          <w:lang w:eastAsia="en-US"/>
        </w:rPr>
        <w:t xml:space="preserve"> </w:t>
      </w:r>
      <w:r w:rsidR="00FD1231">
        <w:rPr>
          <w:rFonts w:eastAsia="Calibri" w:cs="Times New Roman"/>
          <w:szCs w:val="24"/>
          <w:lang w:eastAsia="en-US"/>
        </w:rPr>
        <w:t>oraz wykreślenia wzmianki, o </w:t>
      </w:r>
      <w:r w:rsidRPr="00654A18">
        <w:rPr>
          <w:rFonts w:eastAsia="Calibri" w:cs="Times New Roman"/>
          <w:szCs w:val="24"/>
          <w:lang w:eastAsia="en-US"/>
        </w:rPr>
        <w:t>której mowa w art. 21 ust. 1 ustawy. W przypadku gdy nieruchomość nie ma urządzonej księgi wieczystej</w:t>
      </w:r>
      <w:r w:rsidR="00A65758">
        <w:rPr>
          <w:rFonts w:eastAsia="Calibri" w:cs="Times New Roman"/>
          <w:szCs w:val="24"/>
          <w:lang w:eastAsia="en-US"/>
        </w:rPr>
        <w:t>,</w:t>
      </w:r>
      <w:r w:rsidRPr="00654A18">
        <w:rPr>
          <w:rFonts w:eastAsia="Calibri" w:cs="Times New Roman"/>
          <w:szCs w:val="24"/>
          <w:lang w:eastAsia="en-US"/>
        </w:rPr>
        <w:t xml:space="preserve"> wniosek składa się do istniejącego zbioru dokumentów. W tej sytuacji będzie miał zastosowanie art. 124 ust. 2 ustawy z dnia 6 lipca 1982 r. o księgach wieczystych i hipotece (Dz. U. z 2019 r. poz. 2204,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zm.), zgodnie z którym złożenie dokumentów do zbioru może nastąpić tylko wtedy, gdy dokument ma być złożony do zbioru już istniejącego. Jeżeli do zbioru ma być złożony dokument dotyczący prawa własności albo brak jest zbioru, zgłoszenie wniosku o złożenie dokumentu do zbioru traktuje się jak zgłoszenie wniosku o założenie księgi wieczystej. W ust. 1b został określony katalog dokumentów załączanych do wniosku starosty, tj. odpis ostatecznej decyzji o zatwierdzeniu projektu scalenia lub wym</w:t>
      </w:r>
      <w:r w:rsidR="00FD1231">
        <w:rPr>
          <w:rFonts w:eastAsia="Calibri" w:cs="Times New Roman"/>
          <w:szCs w:val="24"/>
          <w:lang w:eastAsia="en-US"/>
        </w:rPr>
        <w:t>iany gruntów, wypisy i wyrysy z </w:t>
      </w:r>
      <w:r w:rsidRPr="00654A18">
        <w:rPr>
          <w:rFonts w:eastAsia="Calibri" w:cs="Times New Roman"/>
          <w:szCs w:val="24"/>
          <w:lang w:eastAsia="en-US"/>
        </w:rPr>
        <w:t>operatu ewidencyjnego, a gdy jest to niezbędne – inne dokumenty stanowiące podstawę do ujawnienia tych zmian, np. wykaz synchronizacyjny</w:t>
      </w:r>
      <w:r w:rsidRPr="00654A18">
        <w:rPr>
          <w:rFonts w:ascii="Calibri" w:eastAsia="Calibri" w:hAnsi="Calibri" w:cs="Times New Roman"/>
          <w:szCs w:val="24"/>
          <w:lang w:eastAsia="en-US"/>
        </w:rPr>
        <w:t xml:space="preserve"> </w:t>
      </w:r>
      <w:r w:rsidRPr="00654A18">
        <w:rPr>
          <w:rFonts w:eastAsia="Calibri" w:cs="Times New Roman"/>
          <w:szCs w:val="24"/>
          <w:lang w:eastAsia="en-US"/>
        </w:rPr>
        <w:t>wymagany przez niektóre sądy. Na wniosek starosty właściwy sąd będzie zobowiązany do dokonania wpisów w księgach wieczystych, za które nie pobiera się opłat (ust. 1c). W wyniku przeprowadzenia scalenia lub wymiany gruntów dotychczasowe wpisy w księgach wieczystych, w szczególności dotyczące oznaczenia nieruchomości, ulegają zmianom</w:t>
      </w:r>
      <w:r w:rsidR="00FD1231">
        <w:rPr>
          <w:rFonts w:eastAsia="Calibri" w:cs="Times New Roman"/>
          <w:szCs w:val="24"/>
          <w:lang w:eastAsia="en-US"/>
        </w:rPr>
        <w:t>. Liczba uczestników scalenia w </w:t>
      </w:r>
      <w:r w:rsidRPr="00654A18">
        <w:rPr>
          <w:rFonts w:eastAsia="Calibri" w:cs="Times New Roman"/>
          <w:szCs w:val="24"/>
          <w:lang w:eastAsia="en-US"/>
        </w:rPr>
        <w:t xml:space="preserve">jednym postępowaniu wynosi średnio kilka tysięcy osób. Powoduje to, że „oczekiwanie” przez sądy wieczysto-księgowe na indywidualne wnioski wszystkich </w:t>
      </w:r>
      <w:r w:rsidRPr="00654A18">
        <w:rPr>
          <w:rFonts w:eastAsia="Calibri" w:cs="Times New Roman"/>
          <w:szCs w:val="24"/>
          <w:lang w:eastAsia="en-US"/>
        </w:rPr>
        <w:lastRenderedPageBreak/>
        <w:t>właścicieli o</w:t>
      </w:r>
      <w:r w:rsidR="00FD1231">
        <w:rPr>
          <w:rFonts w:eastAsia="Calibri" w:cs="Times New Roman"/>
          <w:szCs w:val="24"/>
          <w:lang w:eastAsia="en-US"/>
        </w:rPr>
        <w:t> </w:t>
      </w:r>
      <w:r w:rsidRPr="00654A18">
        <w:rPr>
          <w:rFonts w:eastAsia="Calibri" w:cs="Times New Roman"/>
          <w:szCs w:val="24"/>
          <w:lang w:eastAsia="en-US"/>
        </w:rPr>
        <w:t>zmiany wpisów w tym zakresie byłoby procedurą nie do zaakceptowania. Podobne rozwiązania, stanowiące przepis szczególny d</w:t>
      </w:r>
      <w:r w:rsidR="00FD1231">
        <w:rPr>
          <w:rFonts w:eastAsia="Calibri" w:cs="Times New Roman"/>
          <w:szCs w:val="24"/>
          <w:lang w:eastAsia="en-US"/>
        </w:rPr>
        <w:t>otyczący możliwości dokonania z </w:t>
      </w:r>
      <w:r w:rsidRPr="00654A18">
        <w:rPr>
          <w:rFonts w:eastAsia="Calibri" w:cs="Times New Roman"/>
          <w:szCs w:val="24"/>
          <w:lang w:eastAsia="en-US"/>
        </w:rPr>
        <w:t>urzędu wpisu w księdze wieczystej, są już zawarte w art. 3 us</w:t>
      </w:r>
      <w:r w:rsidR="00FD1231">
        <w:rPr>
          <w:rFonts w:eastAsia="Calibri" w:cs="Times New Roman"/>
          <w:szCs w:val="24"/>
          <w:lang w:eastAsia="en-US"/>
        </w:rPr>
        <w:t>tawy z dnia 17 lutego 1960 </w:t>
      </w:r>
      <w:r w:rsidR="003E74AE">
        <w:rPr>
          <w:rFonts w:eastAsia="Calibri" w:cs="Times New Roman"/>
          <w:szCs w:val="24"/>
          <w:lang w:eastAsia="en-US"/>
        </w:rPr>
        <w:t>r. o </w:t>
      </w:r>
      <w:r w:rsidRPr="00654A18">
        <w:rPr>
          <w:rFonts w:eastAsia="Calibri" w:cs="Times New Roman"/>
          <w:szCs w:val="24"/>
          <w:lang w:eastAsia="en-US"/>
        </w:rPr>
        <w:t>utracie mocy prawnej niektórych ksiąg wieczystych</w:t>
      </w:r>
      <w:r w:rsidRPr="00654A18">
        <w:rPr>
          <w:rFonts w:ascii="Calibri" w:eastAsia="Calibri" w:hAnsi="Calibri" w:cs="Times New Roman"/>
          <w:szCs w:val="24"/>
          <w:lang w:eastAsia="en-US"/>
        </w:rPr>
        <w:t xml:space="preserve"> </w:t>
      </w:r>
      <w:r w:rsidRPr="00654A18">
        <w:rPr>
          <w:rFonts w:eastAsia="Calibri" w:cs="Times New Roman"/>
          <w:szCs w:val="24"/>
          <w:lang w:eastAsia="en-US"/>
        </w:rPr>
        <w:t xml:space="preserve">(Dz. U. poz. 67,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zm.), który stanowi, że dla nieruchomości, których księgi wieczyste utraciły moc prawną</w:t>
      </w:r>
      <w:r w:rsidR="002F6CC9">
        <w:rPr>
          <w:rFonts w:eastAsia="Calibri" w:cs="Times New Roman"/>
          <w:szCs w:val="24"/>
          <w:lang w:eastAsia="en-US"/>
        </w:rPr>
        <w:t>,</w:t>
      </w:r>
      <w:r w:rsidRPr="00654A18">
        <w:rPr>
          <w:rFonts w:eastAsia="Calibri" w:cs="Times New Roman"/>
          <w:szCs w:val="24"/>
          <w:lang w:eastAsia="en-US"/>
        </w:rPr>
        <w:t xml:space="preserve"> oraz dla nieruchomości, które były objęte postępowaniem scaleniowym lub wymianą gruntów, a nie miały urządzonych ksiąg wieczystych lub których księgi wieczyste zaginęły albo uległy zniszczeniu, zakłada się księgi wieczyste z urzędu, po zawiadomieniu właściwego organu. Zasadnym jest ujednolicenie stosowania trybu ujawniania w księgach wieczystych wszystkich zmian wynikających z ostatecznej decyzji o zatwierdzeniu projektu scalenia lub w</w:t>
      </w:r>
      <w:r w:rsidR="00FD1231">
        <w:rPr>
          <w:rFonts w:eastAsia="Calibri" w:cs="Times New Roman"/>
          <w:szCs w:val="24"/>
          <w:lang w:eastAsia="en-US"/>
        </w:rPr>
        <w:t>ymiany gruntów – dokonywanych z </w:t>
      </w:r>
      <w:r w:rsidRPr="00654A18">
        <w:rPr>
          <w:rFonts w:eastAsia="Calibri" w:cs="Times New Roman"/>
          <w:szCs w:val="24"/>
          <w:lang w:eastAsia="en-US"/>
        </w:rPr>
        <w:t>urzędu na skutek wniosku starosty.</w:t>
      </w:r>
    </w:p>
    <w:p w14:paraId="54D4C479"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Zmiana brzmienia art. 31 ustawy polega na doprecyzowaniu trybu zawiadamiania uczestników scalenia o miejscu i terminie zebrań oraz czynnościach wykonywanych w prowadzonym postępowaniu scaleniowym, w szczególności wskazanie czynności związanych z ustawowym zabezpieczeniem praw uczestników scalenia do: składania propozycji w zakresie wydzielenia gruntów w zamian za grunty dotychczas posiadane,</w:t>
      </w:r>
      <w:r w:rsidRPr="00654A18">
        <w:rPr>
          <w:rFonts w:ascii="Calibri" w:eastAsia="Calibri" w:hAnsi="Calibri" w:cs="Times New Roman"/>
          <w:szCs w:val="24"/>
          <w:lang w:eastAsia="en-US"/>
        </w:rPr>
        <w:t xml:space="preserve"> </w:t>
      </w:r>
      <w:r w:rsidRPr="00654A18">
        <w:rPr>
          <w:rFonts w:eastAsia="Calibri" w:cs="Times New Roman"/>
          <w:szCs w:val="24"/>
          <w:lang w:eastAsia="en-US"/>
        </w:rPr>
        <w:t xml:space="preserve">w szczególności w zakresie ich lokalizacji, obecności przy okazaniu stabilizacji punktów granicznych projektu scalenia gruntów – w przypadku jej wykonania. Dotychczas czynności tego typu regulowała instrukcja nr 1 Ministra Rolnictwa i Gospodarki Żywnościowej o scalaniu i wymianie gruntów z dnia 24 marca 1983 r. </w:t>
      </w:r>
    </w:p>
    <w:p w14:paraId="01824694" w14:textId="1B5A6DD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Dodanie art. 31a </w:t>
      </w:r>
      <w:r w:rsidR="00D42126">
        <w:rPr>
          <w:rFonts w:eastAsia="Calibri" w:cs="Times New Roman"/>
          <w:szCs w:val="24"/>
          <w:lang w:eastAsia="en-US"/>
        </w:rPr>
        <w:t xml:space="preserve">do </w:t>
      </w:r>
      <w:r w:rsidRPr="00654A18">
        <w:rPr>
          <w:rFonts w:eastAsia="Calibri" w:cs="Times New Roman"/>
          <w:szCs w:val="24"/>
          <w:lang w:eastAsia="en-US"/>
        </w:rPr>
        <w:t>ustawy ma na celu umożliwienie wykorzystania środków komunikacji elektronicznej przy realizacji zadań związanych z przeprowadzaniem postępowań scaleniowych. Proponowane rozwiązanie jest szczególnie oczekiwane w okresie stanu zagrożenia epidemicznego albo stanu epidemii, z uwagi na możliwość ograniczenia bezpośrednich kontaktów międzyludzkich. Regulacja ta pozwoli na u</w:t>
      </w:r>
      <w:r w:rsidR="009A0C46">
        <w:rPr>
          <w:rFonts w:eastAsia="Calibri" w:cs="Times New Roman"/>
          <w:szCs w:val="24"/>
          <w:lang w:eastAsia="en-US"/>
        </w:rPr>
        <w:t>s</w:t>
      </w:r>
      <w:r w:rsidRPr="00654A18">
        <w:rPr>
          <w:rFonts w:eastAsia="Calibri" w:cs="Times New Roman"/>
          <w:szCs w:val="24"/>
          <w:lang w:eastAsia="en-US"/>
        </w:rPr>
        <w:t>prawnienie prowadzenia postępowań scaleniowych także w przyszłości, na wypadek ewentualnych nieprzewidzianych zdarzeń.</w:t>
      </w:r>
    </w:p>
    <w:p w14:paraId="7DDA4F76" w14:textId="74E5B33A"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W </w:t>
      </w:r>
      <w:r w:rsidR="00D42126">
        <w:rPr>
          <w:rFonts w:eastAsia="Calibri" w:cs="Times New Roman"/>
          <w:szCs w:val="24"/>
          <w:lang w:eastAsia="en-US"/>
        </w:rPr>
        <w:t>ustawie</w:t>
      </w:r>
      <w:r w:rsidRPr="00654A18">
        <w:rPr>
          <w:rFonts w:eastAsia="Calibri" w:cs="Times New Roman"/>
          <w:szCs w:val="24"/>
          <w:lang w:eastAsia="en-US"/>
        </w:rPr>
        <w:t xml:space="preserve"> w art. 33 w ust. 1a–1c wprowadzono przepisy mające na celu usprawnienie procedury w zakresie ustalania stron postępowania w przypadku nieuregulowanego lub nieujawnionego stanu prawnego gruntów tworzących obszar scalenia. Zgodnie z ust. 1d przepisy te mają zastosowanie również do gruntów przyległych do granic obszaru scalenia. Projektowane przepisy ust. 1b i 1c określają</w:t>
      </w:r>
      <w:r w:rsidR="004346A9">
        <w:rPr>
          <w:rFonts w:eastAsia="Calibri" w:cs="Times New Roman"/>
          <w:szCs w:val="24"/>
          <w:lang w:eastAsia="en-US"/>
        </w:rPr>
        <w:t>,</w:t>
      </w:r>
      <w:r w:rsidRPr="00654A18">
        <w:rPr>
          <w:rFonts w:eastAsia="Calibri" w:cs="Times New Roman"/>
          <w:szCs w:val="24"/>
          <w:lang w:eastAsia="en-US"/>
        </w:rPr>
        <w:t xml:space="preserve"> co należy rozumieć pod pojęciem </w:t>
      </w:r>
      <w:r w:rsidRPr="00654A18">
        <w:rPr>
          <w:rFonts w:eastAsia="Calibri" w:cs="Times New Roman"/>
          <w:szCs w:val="24"/>
          <w:lang w:eastAsia="en-US"/>
        </w:rPr>
        <w:lastRenderedPageBreak/>
        <w:t>nieuregulowanego oraz nieujawnionego stanu prawnego</w:t>
      </w:r>
      <w:r w:rsidRPr="00654A18">
        <w:rPr>
          <w:rFonts w:ascii="Calibri" w:eastAsia="Calibri" w:hAnsi="Calibri" w:cs="Times New Roman"/>
          <w:szCs w:val="24"/>
          <w:lang w:eastAsia="en-US"/>
        </w:rPr>
        <w:t xml:space="preserve"> </w:t>
      </w:r>
      <w:r w:rsidRPr="00654A18">
        <w:rPr>
          <w:rFonts w:eastAsia="Calibri" w:cs="Times New Roman"/>
          <w:szCs w:val="24"/>
          <w:lang w:eastAsia="en-US"/>
        </w:rPr>
        <w:t xml:space="preserve">gruntów tworzących obszar scalenia. </w:t>
      </w:r>
    </w:p>
    <w:p w14:paraId="3B276ECF" w14:textId="34DD7928"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Dodatkowo należy wyjaśnić, że scalenie gruntów nie zmienia prawa własności czy innych uprawnień związanych z gruntem. Wiążącym skutkiem scalenia jest to, że wszystkie osoby zainteresowane tracą prawo własności lub inne prawa do gruntu dotychczasowego, zachowują natomiast w tym samym rozmiarze prawa do wydzielonego w drodze scalenia gruntu ekwiwalentnego. W myśl uchwały Sądu Najwyższego z dnia 18 grudnia 2008 r., sygn. akt III CZP 125/08 „nieruchomość wydzielona w wyniku scalenia przeprowadzonego na podstawie ustawy z dnia 26 marca 1982 r. o scalaniu i wymianie gruntów w zamian za grunty stanowiące własność uczestnika postępowania oraz innego właściciela, nieuczestniczącego w tym postępowaniu, stanowi przedmiot ich współwłasności”.</w:t>
      </w:r>
    </w:p>
    <w:p w14:paraId="72D2D3D6"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Właściciel gruntów ujawniony przed scaleniem w księdze wieczystej w wyniku scalenia otrzymuje grunty ekwiwalentne (w zamian za grunty dotychczas posiadane przed scaleniem) i w tym zakresie zostają wprowadzone zmiany w księdze wieczystej. Zasada ta dotyczy wszystkich właścicieli gruntów w ujawnionych w księdze wieczystej, w tym także osób zmarłych.</w:t>
      </w:r>
    </w:p>
    <w:p w14:paraId="1D15B460" w14:textId="5C03EB48"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Stroną postępowania scaleniowego jest uczestnik scalenia, przez którego rozumie się właściciela (posiadacza samoistnego), użytkownika gruntu położonego na obszarze scalenia lub inwestora, a w przypadku gruntów stanowiących własność Skarbu Państwa lub jednostek samorządu terytorialnego także podmiot gospodar</w:t>
      </w:r>
      <w:r w:rsidR="003E74AE">
        <w:rPr>
          <w:rFonts w:eastAsia="Calibri" w:cs="Times New Roman"/>
          <w:szCs w:val="24"/>
          <w:lang w:eastAsia="en-US"/>
        </w:rPr>
        <w:t>ujący tymi gruntami (art. </w:t>
      </w:r>
      <w:r w:rsidRPr="00654A18">
        <w:rPr>
          <w:rFonts w:eastAsia="Calibri" w:cs="Times New Roman"/>
          <w:szCs w:val="24"/>
          <w:lang w:eastAsia="en-US"/>
        </w:rPr>
        <w:t>1 ust. 2 pkt 4 i 5 ustawy).</w:t>
      </w:r>
    </w:p>
    <w:p w14:paraId="64B5959F" w14:textId="59EFB8D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Proponowana zmiana art. 33 ust. 2 ustawy ma na celu wykonanie obowiązku nałożonego wyrokiem Trybunału Konstytucyjnego z dnia 18 kwietnia 2019 r.</w:t>
      </w:r>
      <w:r w:rsidR="0006350C">
        <w:rPr>
          <w:rFonts w:eastAsia="Calibri" w:cs="Times New Roman"/>
          <w:szCs w:val="24"/>
          <w:lang w:eastAsia="en-US"/>
        </w:rPr>
        <w:t>,</w:t>
      </w:r>
      <w:r w:rsidRPr="00654A18">
        <w:rPr>
          <w:rFonts w:eastAsia="Calibri" w:cs="Times New Roman"/>
          <w:szCs w:val="24"/>
          <w:lang w:eastAsia="en-US"/>
        </w:rPr>
        <w:t xml:space="preserve"> sygn. akt SK 21/17. Trybunał Konstytucyjny orzekł w tym wyroku, że art. 33 ust. 2 ustawy w zakresie, w jakim uniemożliwia stwierdzenie wydania ostatecznej decyzji o zatwierdzeniu projektu scalania z naruszeniem prawa, jest niezgodny z art. 45 ust. 1 i art. 77 ust. 2 Konstytucji Rzeczypospolitej Polskiej. Zmiana brzmienia art. 33 ust. 2 ustawy polega na ograniczeniu możliwości stwierdzania nieważności decyzji o zatwierdzeniu projektu scalenia lub wymiany gruntów, jeżeli od dnia, w którym decyzja stała się ostateczna, upłynęło 5 lat. Po upływie tego terminu, na podstawie art. 33 ust. 1 ustawy, będą miały zastosowanie przepisy ustawy z dnia 14 czerwca 1960 r. – Kodeks postępowania administracyjnego (Dz. U. z 2021 r. poz. 735,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xml:space="preserve">. zm.), w szczególności art. 158 § 2 i 3, które regulują </w:t>
      </w:r>
      <w:r w:rsidRPr="00654A18">
        <w:rPr>
          <w:rFonts w:eastAsia="Calibri" w:cs="Times New Roman"/>
          <w:szCs w:val="24"/>
          <w:lang w:eastAsia="en-US"/>
        </w:rPr>
        <w:lastRenderedPageBreak/>
        <w:t>przesłanki wydania decyzji stwierdzającej, że ostateczna decyzja zatwierdzająca projekt scalenia lub wymiany gruntów została wydana z naruszeniem prawa.</w:t>
      </w:r>
    </w:p>
    <w:p w14:paraId="2539F14B" w14:textId="2F7DB864"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Z dotychczasowego brzmienia art. 33 ust. 2 ustawy zostały wyłączone tryby nadzwyczajne, o których mowa w art. 154 i art. 155 Kodeksu postępowania administracyjnego. Natomiast do dodawanego art. 33 ust. 3 została przeniesiona regulacja ograniczająca możliwość wznowienia postępowania przez skrócenie terminu z 5 lat do 2 lat od dnia, w którym decyzja o zatwierdzeniu projektu scalenia lub wymiany gruntów stała się</w:t>
      </w:r>
      <w:r w:rsidR="00D306CB">
        <w:rPr>
          <w:rFonts w:eastAsia="Calibri" w:cs="Times New Roman"/>
          <w:szCs w:val="24"/>
          <w:lang w:eastAsia="en-US"/>
        </w:rPr>
        <w:t xml:space="preserve"> ostateczna.</w:t>
      </w:r>
      <w:r w:rsidRPr="00654A18">
        <w:rPr>
          <w:rFonts w:eastAsia="Calibri" w:cs="Times New Roman"/>
          <w:szCs w:val="24"/>
          <w:lang w:eastAsia="en-US"/>
        </w:rPr>
        <w:t xml:space="preserve"> Zasadne jest skrócenie 5</w:t>
      </w:r>
      <w:r w:rsidR="00FA1D61">
        <w:rPr>
          <w:rFonts w:eastAsia="Calibri" w:cs="Times New Roman"/>
          <w:szCs w:val="24"/>
          <w:lang w:eastAsia="en-US"/>
        </w:rPr>
        <w:t>-</w:t>
      </w:r>
      <w:r w:rsidRPr="00654A18">
        <w:rPr>
          <w:rFonts w:eastAsia="Calibri" w:cs="Times New Roman"/>
          <w:szCs w:val="24"/>
          <w:lang w:eastAsia="en-US"/>
        </w:rPr>
        <w:t>letniego terminu wynikającego z dotychczasowego brzmienia art. 33 ust. 2 ustawy do uchylenia decyzji w przypadku wznowienia postępowania ze względu na pewność prawa i obrotu gospodarczego.</w:t>
      </w:r>
    </w:p>
    <w:p w14:paraId="3AEA9FBD" w14:textId="49AB1DE4"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Dodawane w art. 33 </w:t>
      </w:r>
      <w:r w:rsidR="000D378C" w:rsidRPr="00654A18">
        <w:rPr>
          <w:rFonts w:eastAsia="Calibri" w:cs="Times New Roman"/>
          <w:szCs w:val="24"/>
          <w:lang w:eastAsia="en-US"/>
        </w:rPr>
        <w:t xml:space="preserve">ustawy </w:t>
      </w:r>
      <w:r w:rsidRPr="00654A18">
        <w:rPr>
          <w:rFonts w:eastAsia="Calibri" w:cs="Times New Roman"/>
          <w:szCs w:val="24"/>
          <w:lang w:eastAsia="en-US"/>
        </w:rPr>
        <w:t xml:space="preserve">ust. 4–6 wprowadzają niezbędne zmiany dotyczące terminów rozpatrzenia </w:t>
      </w:r>
      <w:proofErr w:type="spellStart"/>
      <w:r w:rsidRPr="00654A18">
        <w:rPr>
          <w:rFonts w:eastAsia="Calibri" w:cs="Times New Roman"/>
          <w:szCs w:val="24"/>
          <w:lang w:eastAsia="en-US"/>
        </w:rPr>
        <w:t>odwołań</w:t>
      </w:r>
      <w:proofErr w:type="spellEnd"/>
      <w:r w:rsidRPr="00654A18">
        <w:rPr>
          <w:rFonts w:eastAsia="Calibri" w:cs="Times New Roman"/>
          <w:szCs w:val="24"/>
          <w:lang w:eastAsia="en-US"/>
        </w:rPr>
        <w:t xml:space="preserve"> i skarg, mając na względzie terminy agrotechniczne związane z przenoszeniem przez rolników swojej działalności na grunty wydzielone im w postępowaniu scaleniowym lub wymiennym. Pozwoli to na wykonywanie ostatecznych decyzji o zatwierdzeniu projektu scalenia lub wymiany gruntów w racjonalnych ramach czasowych. Ust. 4 zawiera regulację mającą na celu skrócenie terminu rozpatrywania odwołania od decyzji o zatwierdzeniu projektu scalenia lub wymiany gruntów do 3 miesięcy od dnia otrzymania odwołania przez właściwy organ. Natomiast ust. 5 określa 2-miesięczny termin dla wojewódzkich sądów administracyjnych do rozstrzygnięcia skargi w przedmiocie zatwierdzenia projektu scalenia lub wymiany gruntów, licząc od dnia otrzymania przez właściwy sąd skargi opłaconej i niezawierającej braków formalnych.</w:t>
      </w:r>
    </w:p>
    <w:p w14:paraId="55FEF92A" w14:textId="65BCEC36"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Dodawany ust. 6</w:t>
      </w:r>
      <w:r w:rsidRPr="00654A18">
        <w:rPr>
          <w:rFonts w:ascii="Calibri" w:eastAsia="Calibri" w:hAnsi="Calibri" w:cs="Times New Roman"/>
          <w:szCs w:val="24"/>
          <w:lang w:eastAsia="en-US"/>
        </w:rPr>
        <w:t xml:space="preserve"> </w:t>
      </w:r>
      <w:r w:rsidRPr="00654A18">
        <w:rPr>
          <w:rFonts w:eastAsia="Calibri" w:cs="Times New Roman"/>
          <w:szCs w:val="24"/>
          <w:lang w:eastAsia="en-US"/>
        </w:rPr>
        <w:t xml:space="preserve">wprowadza rozwiązanie, zgodnie z którym, zarówno w postępowaniu przed wojewódzkim sądem administracyjnym, jak i Naczelnym Sądem Administracyjnym, w przypadku uwzględnienia skargi w przedmiocie zatwierdzenia projektu scalenia lub wymiany gruntów po upływie 2-miesięcznego terminu od dnia otrzymania przez właściwy wojewódzki sąd administracyjny skargi opłaconej i niezawierającej braków formalnych, nie będzie możliwe uchylenie zaskarżonej decyzji, a jedynie stwierdzenie jej wydania z naruszeniem prawa na podstawie art. 145 § 1 pkt 3 ustawy z dnia 30 sierpnia 2002 r. – Prawo o postępowaniu przed sądami administracyjnymi (Dz. U. z 2019 r. poz. 2325,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zm.). Projektowane rozwiązanie ma zapobiec sytuacjom występującym w obecny</w:t>
      </w:r>
      <w:r w:rsidR="003E74AE">
        <w:rPr>
          <w:rFonts w:eastAsia="Calibri" w:cs="Times New Roman"/>
          <w:szCs w:val="24"/>
          <w:lang w:eastAsia="en-US"/>
        </w:rPr>
        <w:t>m stanie prawnym, w których – z </w:t>
      </w:r>
      <w:r w:rsidRPr="00654A18">
        <w:rPr>
          <w:rFonts w:eastAsia="Calibri" w:cs="Times New Roman"/>
          <w:szCs w:val="24"/>
          <w:lang w:eastAsia="en-US"/>
        </w:rPr>
        <w:t xml:space="preserve">powodu niektórych uczestników scalenia gruntów kontestujących potrzebę </w:t>
      </w:r>
      <w:r w:rsidRPr="00654A18">
        <w:rPr>
          <w:rFonts w:eastAsia="Calibri" w:cs="Times New Roman"/>
          <w:szCs w:val="24"/>
          <w:lang w:eastAsia="en-US"/>
        </w:rPr>
        <w:lastRenderedPageBreak/>
        <w:t>przeprowadzenia scalenia – sądy administracyjne kilka lat po zakończeniu scalenia uchylają/stwierdzają nieważność całej decyzji, niwe</w:t>
      </w:r>
      <w:r w:rsidR="003E74AE">
        <w:rPr>
          <w:rFonts w:eastAsia="Calibri" w:cs="Times New Roman"/>
          <w:szCs w:val="24"/>
          <w:lang w:eastAsia="en-US"/>
        </w:rPr>
        <w:t>cząc olbrzymi wysiłek włożony w </w:t>
      </w:r>
      <w:r w:rsidRPr="00654A18">
        <w:rPr>
          <w:rFonts w:eastAsia="Calibri" w:cs="Times New Roman"/>
          <w:szCs w:val="24"/>
          <w:lang w:eastAsia="en-US"/>
        </w:rPr>
        <w:t>realizację projektów scaleniowych.</w:t>
      </w:r>
    </w:p>
    <w:p w14:paraId="31A9A27D" w14:textId="29E9BDAF"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Dodanie art. 33a </w:t>
      </w:r>
      <w:r w:rsidR="00F11B78" w:rsidRPr="00654A18">
        <w:rPr>
          <w:rFonts w:eastAsia="Calibri" w:cs="Times New Roman"/>
          <w:szCs w:val="24"/>
          <w:lang w:eastAsia="en-US"/>
        </w:rPr>
        <w:t xml:space="preserve">jest </w:t>
      </w:r>
      <w:r w:rsidRPr="00654A18">
        <w:rPr>
          <w:rFonts w:eastAsia="Calibri" w:cs="Times New Roman"/>
          <w:szCs w:val="24"/>
          <w:lang w:eastAsia="en-US"/>
        </w:rPr>
        <w:t>związane z koniecznością uregulowania uproszczonej procedury postępowania w</w:t>
      </w:r>
      <w:r w:rsidRPr="00654A18">
        <w:rPr>
          <w:rFonts w:eastAsia="TimesNewRoman" w:cs="Times New Roman"/>
          <w:szCs w:val="24"/>
          <w:lang w:eastAsia="en-US"/>
        </w:rPr>
        <w:t xml:space="preserve"> przypadku wprowadzenia na części albo na całym terytorium Rzeczypospolitej Polskiej stanu nadzwyczajnego, stanu zagrożenia epidemicznego lub stanu epidemii. W</w:t>
      </w:r>
      <w:r w:rsidRPr="00654A18">
        <w:rPr>
          <w:rFonts w:eastAsia="Calibri" w:cs="Times New Roman"/>
          <w:szCs w:val="24"/>
          <w:lang w:eastAsia="en-US"/>
        </w:rPr>
        <w:t xml:space="preserve"> związku z ograniczeniami dotyczącymi COVID-19 brak możliwości przeprowadzania zebrań z uczestnikami scalenia oraz występują utrudnienia w zakresie uzyskania niezbędnych dokumentów</w:t>
      </w:r>
      <w:r w:rsidR="003E74AE">
        <w:rPr>
          <w:rFonts w:eastAsia="Calibri" w:cs="Times New Roman"/>
          <w:szCs w:val="24"/>
          <w:lang w:eastAsia="en-US"/>
        </w:rPr>
        <w:t xml:space="preserve"> w zaplanowanych terminach (np. </w:t>
      </w:r>
      <w:r w:rsidRPr="00654A18">
        <w:rPr>
          <w:rFonts w:eastAsia="Calibri" w:cs="Times New Roman"/>
          <w:szCs w:val="24"/>
          <w:lang w:eastAsia="en-US"/>
        </w:rPr>
        <w:t xml:space="preserve">decyzje, pozwolenia wodnoprawne). Ponadto trudności w uzyskaniu odpowiednich zgód od właścicieli gruntów objętych scaleniem, a niezbędnych przy wydawaniu decyzji dotyczących elementów związanych z dokumentacją techniczną przy zagospodarowaniu </w:t>
      </w:r>
      <w:proofErr w:type="spellStart"/>
      <w:r w:rsidRPr="00654A18">
        <w:rPr>
          <w:rFonts w:eastAsia="Calibri" w:cs="Times New Roman"/>
          <w:szCs w:val="24"/>
          <w:lang w:eastAsia="en-US"/>
        </w:rPr>
        <w:t>poscaleniowym</w:t>
      </w:r>
      <w:proofErr w:type="spellEnd"/>
      <w:r w:rsidRPr="00654A18">
        <w:rPr>
          <w:rFonts w:eastAsia="Calibri" w:cs="Times New Roman"/>
          <w:szCs w:val="24"/>
          <w:lang w:eastAsia="en-US"/>
        </w:rPr>
        <w:t xml:space="preserve">, powodują opóźnienia w możliwości przeprowadzenia przetargów na roboty budowlane. Projektowane regulacje przewidują prowadzenie postępowań scaleniowych przy udziale rady uczestników scalenia lub zespołu do spraw scaleń powołanego przez starostę, </w:t>
      </w:r>
      <w:r w:rsidRPr="00654A18">
        <w:rPr>
          <w:rFonts w:eastAsia="Calibri" w:cs="Times New Roman"/>
          <w:szCs w:val="24"/>
          <w:shd w:val="clear" w:color="auto" w:fill="FFFFFF"/>
          <w:lang w:eastAsia="en-US"/>
        </w:rPr>
        <w:t>jeśli liczba uczestników jest większa niż 10 osób</w:t>
      </w:r>
      <w:r w:rsidRPr="00654A18">
        <w:rPr>
          <w:rFonts w:eastAsia="Calibri" w:cs="Times New Roman"/>
          <w:szCs w:val="24"/>
          <w:lang w:eastAsia="en-US"/>
        </w:rPr>
        <w:t>.</w:t>
      </w:r>
    </w:p>
    <w:p w14:paraId="53CB7445" w14:textId="77777777" w:rsidR="0060028A" w:rsidRPr="00654A18" w:rsidRDefault="0060028A" w:rsidP="00654A18">
      <w:pPr>
        <w:spacing w:before="60" w:after="60" w:line="360" w:lineRule="auto"/>
        <w:ind w:left="426" w:hanging="426"/>
        <w:jc w:val="both"/>
        <w:rPr>
          <w:rFonts w:eastAsia="Calibri" w:cs="Times New Roman"/>
          <w:b/>
          <w:szCs w:val="24"/>
          <w:lang w:eastAsia="en-US"/>
        </w:rPr>
      </w:pPr>
      <w:r w:rsidRPr="00654A18">
        <w:rPr>
          <w:rFonts w:eastAsia="Times New Roman" w:cs="Times New Roman"/>
          <w:b/>
          <w:bCs/>
          <w:szCs w:val="24"/>
        </w:rPr>
        <w:t>2.</w:t>
      </w:r>
      <w:r w:rsidR="00451CFB">
        <w:rPr>
          <w:rFonts w:eastAsia="Times New Roman" w:cs="Times New Roman"/>
          <w:b/>
          <w:bCs/>
          <w:szCs w:val="24"/>
        </w:rPr>
        <w:tab/>
      </w:r>
      <w:r w:rsidRPr="00654A18">
        <w:rPr>
          <w:rFonts w:eastAsia="Times New Roman" w:cs="Times New Roman"/>
          <w:b/>
          <w:bCs/>
          <w:szCs w:val="24"/>
        </w:rPr>
        <w:t>Zmiana ustawy o utracie mocy prawnej niektórych ksiąg wieczystych</w:t>
      </w:r>
    </w:p>
    <w:p w14:paraId="3F385342" w14:textId="4E59E513"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Zmiana </w:t>
      </w:r>
      <w:r w:rsidR="000D378C">
        <w:rPr>
          <w:rFonts w:eastAsia="Calibri" w:cs="Times New Roman"/>
          <w:szCs w:val="24"/>
          <w:lang w:eastAsia="en-US"/>
        </w:rPr>
        <w:t>art. 2</w:t>
      </w:r>
      <w:r w:rsidRPr="00654A18">
        <w:rPr>
          <w:rFonts w:eastAsia="Calibri" w:cs="Times New Roman"/>
          <w:szCs w:val="24"/>
          <w:lang w:eastAsia="en-US"/>
        </w:rPr>
        <w:t xml:space="preserve"> ust. 1 ustawy z dnia 17 lutego 1960 r. o utracie mocy prawnej niektórych ksiąg wieczystych</w:t>
      </w:r>
      <w:r w:rsidRPr="00654A18">
        <w:rPr>
          <w:rFonts w:eastAsia="Calibri" w:cs="Times New Roman"/>
          <w:i/>
          <w:szCs w:val="24"/>
          <w:lang w:eastAsia="en-US"/>
        </w:rPr>
        <w:t xml:space="preserve"> </w:t>
      </w:r>
      <w:r w:rsidRPr="00654A18">
        <w:rPr>
          <w:rFonts w:eastAsia="Calibri" w:cs="Times New Roman"/>
          <w:szCs w:val="24"/>
          <w:lang w:eastAsia="en-US"/>
        </w:rPr>
        <w:t>polega na wskazaniu starosty</w:t>
      </w:r>
      <w:r w:rsidR="00F11B78">
        <w:rPr>
          <w:rFonts w:eastAsia="Calibri" w:cs="Times New Roman"/>
          <w:szCs w:val="24"/>
          <w:lang w:eastAsia="en-US"/>
        </w:rPr>
        <w:t>,</w:t>
      </w:r>
      <w:r w:rsidRPr="00654A18">
        <w:rPr>
          <w:rFonts w:eastAsia="Calibri" w:cs="Times New Roman"/>
          <w:szCs w:val="24"/>
          <w:lang w:eastAsia="en-US"/>
        </w:rPr>
        <w:t xml:space="preserve"> zamiast wójta (burmistrza, prezydenta miasta), jako organu właściwego do złożenia zawiadomienia, na podstawie którego sąd prowadzący księgi wieczyste dokonuje zamknięcia ksiąg wieczystych założonych przed dniem 1 stycznia 1947 r. dla nieruchomości ziemskich objętych postępowaniem scaleniowym lub wymianą gruntów lub ksiąg wieczystych założonych po dniu 1 stycznia 1947 r. dla nieruchomości ziemskich objętych scaleniem lub wymianą, jeżeli uwidoczniony w nich stan nie jest zgodny ze stanem wykazanym w ewidencj</w:t>
      </w:r>
      <w:r w:rsidR="005C3502">
        <w:rPr>
          <w:rFonts w:eastAsia="Calibri" w:cs="Times New Roman"/>
          <w:szCs w:val="24"/>
          <w:lang w:eastAsia="en-US"/>
        </w:rPr>
        <w:t>i gruntów i </w:t>
      </w:r>
      <w:bookmarkStart w:id="0" w:name="_GoBack"/>
      <w:bookmarkEnd w:id="0"/>
      <w:r w:rsidRPr="00654A18">
        <w:rPr>
          <w:rFonts w:eastAsia="Calibri" w:cs="Times New Roman"/>
          <w:szCs w:val="24"/>
          <w:lang w:eastAsia="en-US"/>
        </w:rPr>
        <w:t>budynków.</w:t>
      </w:r>
    </w:p>
    <w:p w14:paraId="6EDEDCCC" w14:textId="2311F52D" w:rsidR="0060028A" w:rsidRPr="00654A18" w:rsidRDefault="0060028A" w:rsidP="00654A18">
      <w:pPr>
        <w:suppressAutoHyphens/>
        <w:autoSpaceDE w:val="0"/>
        <w:autoSpaceDN w:val="0"/>
        <w:adjustRightInd w:val="0"/>
        <w:spacing w:before="60" w:after="60" w:line="360" w:lineRule="auto"/>
        <w:jc w:val="both"/>
        <w:rPr>
          <w:rFonts w:eastAsia="Calibri" w:cs="Times New Roman"/>
          <w:szCs w:val="24"/>
          <w:lang w:eastAsia="en-US"/>
        </w:rPr>
      </w:pPr>
      <w:r w:rsidRPr="00654A18">
        <w:rPr>
          <w:rFonts w:eastAsia="Calibri" w:cs="Times New Roman"/>
          <w:szCs w:val="24"/>
          <w:lang w:eastAsia="en-US"/>
        </w:rPr>
        <w:t>Proponowana zmiana o charakterze porządkowym ma na celu ujednolicenie przepisów ustawy z dnia 17 lutego 1960 r. o utracie mocy prawnej niektórych ksiąg wieczystych oraz przepisów ustawy</w:t>
      </w:r>
      <w:r w:rsidRPr="00654A18">
        <w:rPr>
          <w:rFonts w:eastAsia="Calibri" w:cs="Times New Roman"/>
          <w:i/>
          <w:szCs w:val="24"/>
          <w:lang w:eastAsia="en-US"/>
        </w:rPr>
        <w:t xml:space="preserve"> </w:t>
      </w:r>
      <w:r w:rsidRPr="00654A18">
        <w:rPr>
          <w:rFonts w:eastAsia="Calibri" w:cs="Times New Roman"/>
          <w:szCs w:val="24"/>
          <w:lang w:eastAsia="en-US"/>
        </w:rPr>
        <w:t>o scalaniu i wymianie gruntów w zakresie organu właściwego do ujawnienia nowego stanu prawnego w księgach wiecz</w:t>
      </w:r>
      <w:r w:rsidR="00C06BE9">
        <w:rPr>
          <w:rFonts w:eastAsia="Calibri" w:cs="Times New Roman"/>
          <w:szCs w:val="24"/>
          <w:lang w:eastAsia="en-US"/>
        </w:rPr>
        <w:t>ystych wynikającego z decyzji o </w:t>
      </w:r>
      <w:r w:rsidRPr="00654A18">
        <w:rPr>
          <w:rFonts w:eastAsia="Calibri" w:cs="Times New Roman"/>
          <w:szCs w:val="24"/>
          <w:lang w:eastAsia="en-US"/>
        </w:rPr>
        <w:t>zatwierdzeniu projektu scalenia lub wymiany gruntów. U</w:t>
      </w:r>
      <w:r w:rsidR="00C06BE9">
        <w:rPr>
          <w:rFonts w:eastAsia="Calibri" w:cs="Times New Roman"/>
          <w:szCs w:val="24"/>
          <w:lang w:eastAsia="en-US"/>
        </w:rPr>
        <w:t>stawą z dnia 24 lipca 1998 r. o </w:t>
      </w:r>
      <w:r w:rsidRPr="00654A18">
        <w:rPr>
          <w:rFonts w:eastAsia="Calibri" w:cs="Times New Roman"/>
          <w:szCs w:val="24"/>
          <w:lang w:eastAsia="en-US"/>
        </w:rPr>
        <w:t>zmianie niektórych ustaw określających kompetencje organów administracji publicznej – w związku z reformą ustrojową państwa</w:t>
      </w:r>
      <w:r w:rsidRPr="00654A18">
        <w:rPr>
          <w:rFonts w:eastAsia="Calibri" w:cs="Times New Roman"/>
          <w:i/>
          <w:szCs w:val="24"/>
          <w:lang w:eastAsia="en-US"/>
        </w:rPr>
        <w:t xml:space="preserve"> </w:t>
      </w:r>
      <w:r w:rsidRPr="00654A18">
        <w:rPr>
          <w:rFonts w:eastAsia="Calibri" w:cs="Times New Roman"/>
          <w:szCs w:val="24"/>
          <w:lang w:eastAsia="en-US"/>
        </w:rPr>
        <w:t>(Dz. U. poz. 668</w:t>
      </w:r>
      <w:r w:rsidR="004C7B1A">
        <w:rPr>
          <w:rFonts w:eastAsia="Calibri" w:cs="Times New Roman"/>
          <w:szCs w:val="24"/>
          <w:lang w:eastAsia="en-US"/>
        </w:rPr>
        <w:t xml:space="preserve">, z </w:t>
      </w:r>
      <w:proofErr w:type="spellStart"/>
      <w:r w:rsidR="004C7B1A">
        <w:rPr>
          <w:rFonts w:eastAsia="Calibri" w:cs="Times New Roman"/>
          <w:szCs w:val="24"/>
          <w:lang w:eastAsia="en-US"/>
        </w:rPr>
        <w:t>późn</w:t>
      </w:r>
      <w:proofErr w:type="spellEnd"/>
      <w:r w:rsidR="004C7B1A">
        <w:rPr>
          <w:rFonts w:eastAsia="Calibri" w:cs="Times New Roman"/>
          <w:szCs w:val="24"/>
          <w:lang w:eastAsia="en-US"/>
        </w:rPr>
        <w:t>. zm.</w:t>
      </w:r>
      <w:r w:rsidRPr="00654A18">
        <w:rPr>
          <w:rFonts w:eastAsia="Calibri" w:cs="Times New Roman"/>
          <w:szCs w:val="24"/>
          <w:lang w:eastAsia="en-US"/>
        </w:rPr>
        <w:t xml:space="preserve">), obowiązującą </w:t>
      </w:r>
      <w:r w:rsidRPr="00654A18">
        <w:rPr>
          <w:rFonts w:eastAsia="Calibri" w:cs="Times New Roman"/>
          <w:szCs w:val="24"/>
          <w:lang w:eastAsia="en-US"/>
        </w:rPr>
        <w:lastRenderedPageBreak/>
        <w:t xml:space="preserve">od dnia 1 stycznia 1999 r., zostały wprowadzone zmiany polegające m.in. na wskazaniu zarządu gminy jako organu właściwego do wydania zawiadomienia, o którym mowa </w:t>
      </w:r>
      <w:r w:rsidR="00C06BE9">
        <w:rPr>
          <w:rFonts w:eastAsia="Calibri" w:cs="Times New Roman"/>
          <w:szCs w:val="24"/>
          <w:lang w:eastAsia="en-US"/>
        </w:rPr>
        <w:t>w </w:t>
      </w:r>
      <w:r w:rsidRPr="00654A18">
        <w:rPr>
          <w:rFonts w:eastAsia="Calibri" w:cs="Times New Roman"/>
          <w:szCs w:val="24"/>
          <w:lang w:eastAsia="en-US"/>
        </w:rPr>
        <w:t>art. 2 ust. 1 ustawy z dnia 17 lutego 1960 r. o utracie mocy prawnej niektórych ksiąg wieczystych</w:t>
      </w:r>
      <w:r w:rsidR="00251CA2">
        <w:rPr>
          <w:rFonts w:eastAsia="Calibri" w:cs="Times New Roman"/>
          <w:szCs w:val="24"/>
          <w:lang w:eastAsia="en-US"/>
        </w:rPr>
        <w:t>,</w:t>
      </w:r>
      <w:r w:rsidRPr="00654A18">
        <w:rPr>
          <w:rFonts w:eastAsia="Calibri" w:cs="Times New Roman"/>
          <w:szCs w:val="24"/>
          <w:lang w:eastAsia="en-US"/>
        </w:rPr>
        <w:t xml:space="preserve"> oraz jako organu przeprowadzającego scaleni</w:t>
      </w:r>
      <w:r w:rsidR="004C7B1A">
        <w:rPr>
          <w:rFonts w:eastAsia="Calibri" w:cs="Times New Roman"/>
          <w:szCs w:val="24"/>
          <w:lang w:eastAsia="en-US"/>
        </w:rPr>
        <w:t>e gruntów zgodnie z art. 3 ust. </w:t>
      </w:r>
      <w:r w:rsidRPr="00654A18">
        <w:rPr>
          <w:rFonts w:eastAsia="Calibri" w:cs="Times New Roman"/>
          <w:szCs w:val="24"/>
          <w:lang w:eastAsia="en-US"/>
        </w:rPr>
        <w:t xml:space="preserve">1 ustawy. Natomiast na podstawie ustawy z dnia 21 stycznia 2000 r. o zmianie niektórych ustaw związanych z funkcjonowaniem administracji publicznej (Dz. U. poz. 136,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zm.), obowiązującej od dnia 23 lutego 2000 r., jedynie w ustawie został zmieniony organ właściwy do przeprowadzenia postępowania scaleniowego lub wymiennego – z zarządu gminy na starostę. Jednakże ustawa ta nie objęła zmiany art. 2 ust. 1 ustawy z dnia 17 lutego 1960 r. o utracie mocy prawnej niektórych ksiąg wieczystych. Z kolei ust</w:t>
      </w:r>
      <w:r w:rsidR="003E74AE">
        <w:rPr>
          <w:rFonts w:eastAsia="Calibri" w:cs="Times New Roman"/>
          <w:szCs w:val="24"/>
          <w:lang w:eastAsia="en-US"/>
        </w:rPr>
        <w:t>awą z dnia 20 czerwca 2002 r. o </w:t>
      </w:r>
      <w:r w:rsidRPr="00654A18">
        <w:rPr>
          <w:rFonts w:eastAsia="Calibri" w:cs="Times New Roman"/>
          <w:szCs w:val="24"/>
          <w:lang w:eastAsia="en-US"/>
        </w:rPr>
        <w:t>bezpośrednim wyborze wójta, burmistrza i prezydenta miasta (Dz. U. poz. 984</w:t>
      </w:r>
      <w:r w:rsidR="004C7B1A">
        <w:rPr>
          <w:rFonts w:eastAsia="Calibri" w:cs="Times New Roman"/>
          <w:szCs w:val="24"/>
          <w:lang w:eastAsia="en-US"/>
        </w:rPr>
        <w:t xml:space="preserve">, z </w:t>
      </w:r>
      <w:proofErr w:type="spellStart"/>
      <w:r w:rsidR="004C7B1A">
        <w:rPr>
          <w:rFonts w:eastAsia="Calibri" w:cs="Times New Roman"/>
          <w:szCs w:val="24"/>
          <w:lang w:eastAsia="en-US"/>
        </w:rPr>
        <w:t>późn</w:t>
      </w:r>
      <w:proofErr w:type="spellEnd"/>
      <w:r w:rsidR="004C7B1A">
        <w:rPr>
          <w:rFonts w:eastAsia="Calibri" w:cs="Times New Roman"/>
          <w:szCs w:val="24"/>
          <w:lang w:eastAsia="en-US"/>
        </w:rPr>
        <w:t>. zm.), obowiązującej od dnia 4 </w:t>
      </w:r>
      <w:r w:rsidRPr="00654A18">
        <w:rPr>
          <w:rFonts w:eastAsia="Calibri" w:cs="Times New Roman"/>
          <w:szCs w:val="24"/>
          <w:lang w:eastAsia="en-US"/>
        </w:rPr>
        <w:t>sierpnia 2002 r., w ustawie z dnia 17 lutego 1960 r. o utracie mocy prawnej niektórych ksiąg wieczystych w art. 2 w ust. 1 wyrazy ,,zarządu gminy</w:t>
      </w:r>
      <w:r w:rsidRPr="00654A18">
        <w:rPr>
          <w:rFonts w:eastAsia="Times New Roman" w:cs="Times New Roman"/>
          <w:bCs/>
          <w:szCs w:val="24"/>
        </w:rPr>
        <w:t>”</w:t>
      </w:r>
      <w:r w:rsidRPr="00654A18">
        <w:rPr>
          <w:rFonts w:eastAsia="Calibri" w:cs="Times New Roman"/>
          <w:szCs w:val="24"/>
          <w:lang w:eastAsia="en-US"/>
        </w:rPr>
        <w:t xml:space="preserve"> zostały zastąpione wyrazami ,,wójta (burmistrza, prezydenta miasta)</w:t>
      </w:r>
      <w:r w:rsidRPr="00654A18">
        <w:rPr>
          <w:rFonts w:eastAsia="Times New Roman" w:cs="Times New Roman"/>
          <w:bCs/>
          <w:szCs w:val="24"/>
        </w:rPr>
        <w:t>”</w:t>
      </w:r>
      <w:r w:rsidRPr="00654A18">
        <w:rPr>
          <w:rFonts w:eastAsia="Calibri" w:cs="Times New Roman"/>
          <w:szCs w:val="24"/>
          <w:lang w:eastAsia="en-US"/>
        </w:rPr>
        <w:t>. W obecnie obowiązującym art. 2 ust. 1 ustawy z dnia 17 lutego 1960 r</w:t>
      </w:r>
      <w:r w:rsidRPr="00654A18">
        <w:rPr>
          <w:rFonts w:eastAsia="Calibri" w:cs="Times New Roman"/>
          <w:i/>
          <w:szCs w:val="24"/>
          <w:lang w:eastAsia="en-US"/>
        </w:rPr>
        <w:t xml:space="preserve">. </w:t>
      </w:r>
      <w:r w:rsidRPr="00654A18">
        <w:rPr>
          <w:rFonts w:eastAsia="Calibri" w:cs="Times New Roman"/>
          <w:szCs w:val="24"/>
          <w:lang w:eastAsia="en-US"/>
        </w:rPr>
        <w:t>o utracie mocy prawnej niektórych ksiąg wieczystych jako organ właściwy wskazany jest zatem wójt (burmistrz, prezydent miasta), natomiast organem właściwym do przeprowadzania postępowania scaleniowego jest starosta.</w:t>
      </w:r>
    </w:p>
    <w:p w14:paraId="76C9656F" w14:textId="244293E2" w:rsidR="0060028A" w:rsidRPr="00654A18" w:rsidRDefault="0060028A" w:rsidP="00654A18">
      <w:pPr>
        <w:suppressAutoHyphens/>
        <w:autoSpaceDE w:val="0"/>
        <w:autoSpaceDN w:val="0"/>
        <w:adjustRightInd w:val="0"/>
        <w:spacing w:before="60" w:after="60" w:line="360" w:lineRule="auto"/>
        <w:jc w:val="both"/>
        <w:rPr>
          <w:rFonts w:eastAsia="Calibri" w:cs="Times New Roman"/>
          <w:szCs w:val="24"/>
          <w:lang w:eastAsia="en-US"/>
        </w:rPr>
      </w:pPr>
      <w:r w:rsidRPr="00654A18">
        <w:rPr>
          <w:rFonts w:eastAsia="Calibri" w:cs="Times New Roman"/>
          <w:szCs w:val="24"/>
          <w:lang w:eastAsia="en-US"/>
        </w:rPr>
        <w:t>Ponadto proponuje się zmianę brzmienia zdania pierws</w:t>
      </w:r>
      <w:r w:rsidR="00C06BE9">
        <w:rPr>
          <w:rFonts w:eastAsia="Calibri" w:cs="Times New Roman"/>
          <w:szCs w:val="24"/>
          <w:lang w:eastAsia="en-US"/>
        </w:rPr>
        <w:t>zego w art. 2 w ust. 1 ustawy z </w:t>
      </w:r>
      <w:r w:rsidRPr="00654A18">
        <w:rPr>
          <w:rFonts w:eastAsia="Calibri" w:cs="Times New Roman"/>
          <w:szCs w:val="24"/>
          <w:lang w:eastAsia="en-US"/>
        </w:rPr>
        <w:t>dnia 17 lutego 1960 r. o utracie mocy prawnej niektórych ksiąg wieczystych w zakresie, w jakim zamknięcie przez sąd księgi wieczystej na mocy tego przepisu powinno przyjąć postać czynności technicznej na skutek zawiadomienia właściwego starosty, bez wydawania przez sąd postanowienia w tym zakresie. Dotychczasowe brzmienie zdania pierwszego w art. 2 w ust. 1 koliduje z naturą prawną postępowania wieczystoksięgowego, ponieważ zamknięcie księgi wieczystej jest czynnością techniczną i nie podlega zaskarżeniu (por. wyrok Tryb</w:t>
      </w:r>
      <w:r w:rsidR="003E74AE">
        <w:rPr>
          <w:rFonts w:eastAsia="Calibri" w:cs="Times New Roman"/>
          <w:szCs w:val="24"/>
          <w:lang w:eastAsia="en-US"/>
        </w:rPr>
        <w:t>unału Konstytucyjnego z dnia 16 </w:t>
      </w:r>
      <w:r w:rsidRPr="00654A18">
        <w:rPr>
          <w:rFonts w:eastAsia="Calibri" w:cs="Times New Roman"/>
          <w:szCs w:val="24"/>
          <w:lang w:eastAsia="en-US"/>
        </w:rPr>
        <w:t>grudnia 2008 r. P68/07, Dz.</w:t>
      </w:r>
      <w:r w:rsidR="00251CA2">
        <w:rPr>
          <w:rFonts w:eastAsia="Calibri" w:cs="Times New Roman"/>
          <w:szCs w:val="24"/>
          <w:lang w:eastAsia="en-US"/>
        </w:rPr>
        <w:t xml:space="preserve"> </w:t>
      </w:r>
      <w:r w:rsidRPr="00654A18">
        <w:rPr>
          <w:rFonts w:eastAsia="Calibri" w:cs="Times New Roman"/>
          <w:szCs w:val="24"/>
          <w:lang w:eastAsia="en-US"/>
        </w:rPr>
        <w:t xml:space="preserve">U. </w:t>
      </w:r>
      <w:r w:rsidR="00251CA2">
        <w:rPr>
          <w:rFonts w:eastAsia="Calibri" w:cs="Times New Roman"/>
          <w:szCs w:val="24"/>
          <w:lang w:eastAsia="en-US"/>
        </w:rPr>
        <w:t xml:space="preserve">z </w:t>
      </w:r>
      <w:r w:rsidRPr="00654A18">
        <w:rPr>
          <w:rFonts w:eastAsia="Calibri" w:cs="Times New Roman"/>
          <w:szCs w:val="24"/>
          <w:lang w:eastAsia="en-US"/>
        </w:rPr>
        <w:t xml:space="preserve">2008 </w:t>
      </w:r>
      <w:r w:rsidR="00251CA2">
        <w:rPr>
          <w:rFonts w:eastAsia="Calibri" w:cs="Times New Roman"/>
          <w:szCs w:val="24"/>
          <w:lang w:eastAsia="en-US"/>
        </w:rPr>
        <w:t>r.</w:t>
      </w:r>
      <w:r w:rsidRPr="00654A18">
        <w:rPr>
          <w:rFonts w:eastAsia="Calibri" w:cs="Times New Roman"/>
          <w:szCs w:val="24"/>
          <w:lang w:eastAsia="en-US"/>
        </w:rPr>
        <w:t xml:space="preserve"> poz. 1525, s</w:t>
      </w:r>
      <w:r w:rsidR="004C7B1A">
        <w:rPr>
          <w:rFonts w:eastAsia="Calibri" w:cs="Times New Roman"/>
          <w:szCs w:val="24"/>
          <w:lang w:eastAsia="en-US"/>
        </w:rPr>
        <w:t xml:space="preserve">tr. 12752, </w:t>
      </w:r>
      <w:proofErr w:type="spellStart"/>
      <w:r w:rsidR="004C7B1A">
        <w:rPr>
          <w:rFonts w:eastAsia="Calibri" w:cs="Times New Roman"/>
          <w:szCs w:val="24"/>
          <w:lang w:eastAsia="en-US"/>
        </w:rPr>
        <w:t>Wsp</w:t>
      </w:r>
      <w:proofErr w:type="spellEnd"/>
      <w:r w:rsidR="004C7B1A">
        <w:rPr>
          <w:rFonts w:eastAsia="Calibri" w:cs="Times New Roman"/>
          <w:szCs w:val="24"/>
          <w:lang w:eastAsia="en-US"/>
        </w:rPr>
        <w:t>. 2009 nr 1, poz. </w:t>
      </w:r>
      <w:r w:rsidRPr="00654A18">
        <w:rPr>
          <w:rFonts w:eastAsia="Calibri" w:cs="Times New Roman"/>
          <w:szCs w:val="24"/>
          <w:lang w:eastAsia="en-US"/>
        </w:rPr>
        <w:t>26, OTK Seria B 2008 nr 10, poz. 180).</w:t>
      </w:r>
    </w:p>
    <w:p w14:paraId="27453FBF" w14:textId="77777777" w:rsidR="0060028A" w:rsidRPr="00654A18" w:rsidRDefault="0060028A" w:rsidP="00654A18">
      <w:pPr>
        <w:suppressAutoHyphens/>
        <w:autoSpaceDE w:val="0"/>
        <w:autoSpaceDN w:val="0"/>
        <w:adjustRightInd w:val="0"/>
        <w:spacing w:before="60" w:after="60" w:line="360" w:lineRule="auto"/>
        <w:ind w:left="426" w:hanging="426"/>
        <w:jc w:val="both"/>
        <w:rPr>
          <w:rFonts w:eastAsia="Calibri" w:cs="Times New Roman"/>
          <w:b/>
          <w:szCs w:val="24"/>
          <w:lang w:eastAsia="en-US"/>
        </w:rPr>
      </w:pPr>
      <w:r w:rsidRPr="00654A18">
        <w:rPr>
          <w:rFonts w:eastAsia="Calibri" w:cs="Times New Roman"/>
          <w:b/>
          <w:szCs w:val="24"/>
          <w:lang w:eastAsia="en-US"/>
        </w:rPr>
        <w:t>3.</w:t>
      </w:r>
      <w:r w:rsidR="00451CFB">
        <w:rPr>
          <w:rFonts w:eastAsia="Calibri" w:cs="Times New Roman"/>
          <w:b/>
          <w:szCs w:val="24"/>
          <w:lang w:eastAsia="en-US"/>
        </w:rPr>
        <w:tab/>
      </w:r>
      <w:r w:rsidRPr="00654A18">
        <w:rPr>
          <w:rFonts w:eastAsia="Calibri" w:cs="Times New Roman"/>
          <w:b/>
          <w:szCs w:val="24"/>
          <w:lang w:eastAsia="en-US"/>
        </w:rPr>
        <w:t>Przepisy przejściowe</w:t>
      </w:r>
    </w:p>
    <w:p w14:paraId="26AB55EF" w14:textId="15C437B2"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W art. 3 w ust. 1 projektu ustawy wprowadza się przepis przejściowy dotyczący postępowań scaleniowych lub wymiennych, wszczętych i niezakończonych ostateczną decyzją przed dniem wejścia w życie niniejszej ustawy</w:t>
      </w:r>
      <w:r w:rsidR="003E74AE">
        <w:rPr>
          <w:rFonts w:eastAsia="Times New Roman" w:cs="Times New Roman"/>
          <w:bCs/>
          <w:szCs w:val="24"/>
        </w:rPr>
        <w:t>. Do toczących się postępowań w </w:t>
      </w:r>
      <w:r w:rsidRPr="00654A18">
        <w:rPr>
          <w:rFonts w:eastAsia="Times New Roman" w:cs="Times New Roman"/>
          <w:bCs/>
          <w:szCs w:val="24"/>
        </w:rPr>
        <w:t xml:space="preserve">tym zakresie będą miały zastosowanie przepisy wprowadzane w art. 1 projektu ustawy, </w:t>
      </w:r>
      <w:r w:rsidRPr="00654A18">
        <w:rPr>
          <w:rFonts w:eastAsia="Times New Roman" w:cs="Times New Roman"/>
          <w:bCs/>
          <w:szCs w:val="24"/>
        </w:rPr>
        <w:lastRenderedPageBreak/>
        <w:t>z wyjątkiem przepisów dotyczących wszczęcia postępowania scaleniowego (sposobu doręczenia postanowienia – art. 7 ust. 3 i 4) oraz kwestii</w:t>
      </w:r>
      <w:r w:rsidR="00FD1231">
        <w:rPr>
          <w:rFonts w:eastAsia="Times New Roman" w:cs="Times New Roman"/>
          <w:bCs/>
          <w:szCs w:val="24"/>
        </w:rPr>
        <w:t xml:space="preserve"> zawiadomień określonych w art. </w:t>
      </w:r>
      <w:r w:rsidRPr="00654A18">
        <w:rPr>
          <w:rFonts w:eastAsia="Times New Roman" w:cs="Times New Roman"/>
          <w:bCs/>
          <w:szCs w:val="24"/>
        </w:rPr>
        <w:t>31, które stosuje się w</w:t>
      </w:r>
      <w:r w:rsidR="00451CFB">
        <w:rPr>
          <w:rFonts w:eastAsia="Times New Roman" w:cs="Times New Roman"/>
          <w:bCs/>
          <w:szCs w:val="24"/>
        </w:rPr>
        <w:t xml:space="preserve"> </w:t>
      </w:r>
      <w:r w:rsidRPr="00654A18">
        <w:rPr>
          <w:rFonts w:eastAsia="Times New Roman" w:cs="Times New Roman"/>
          <w:bCs/>
          <w:szCs w:val="24"/>
        </w:rPr>
        <w:t>brzmieniu dotychczasowym. Ponadto do postępowań wszczętych i niezakończonych nie stosuje się nowych prze</w:t>
      </w:r>
      <w:r w:rsidR="00FD1231">
        <w:rPr>
          <w:rFonts w:eastAsia="Times New Roman" w:cs="Times New Roman"/>
          <w:bCs/>
          <w:szCs w:val="24"/>
        </w:rPr>
        <w:t>pisów art. 7a, art. 8 ust. 1a i </w:t>
      </w:r>
      <w:r w:rsidRPr="00654A18">
        <w:rPr>
          <w:rFonts w:eastAsia="Times New Roman" w:cs="Times New Roman"/>
          <w:bCs/>
          <w:szCs w:val="24"/>
        </w:rPr>
        <w:t>1b oraz art. 10 ust. 1 pkt 6 i 7 ustawy, z uwagi na fakt, że wymagałyby to powtórzenia niektórych zakończonych już etapów postępowania.</w:t>
      </w:r>
    </w:p>
    <w:p w14:paraId="160C799C" w14:textId="08C563D5"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 xml:space="preserve">Art. 3 ust. 2 projektu ustawy stanowi przepis przejściowy dotyczący postępowań administracyjnych w sprawie stwierdzenia nieważności decyzji o zatwierdzeniu projektu scalenia lub wymiany gruntów wszczętych i niezakończonych przed dniem wejścia w życie </w:t>
      </w:r>
      <w:r w:rsidR="0071545F">
        <w:rPr>
          <w:rFonts w:eastAsia="Times New Roman" w:cs="Times New Roman"/>
          <w:bCs/>
          <w:szCs w:val="24"/>
        </w:rPr>
        <w:t>projektowanej</w:t>
      </w:r>
      <w:r w:rsidRPr="00654A18">
        <w:rPr>
          <w:rFonts w:eastAsia="Times New Roman" w:cs="Times New Roman"/>
          <w:bCs/>
          <w:szCs w:val="24"/>
        </w:rPr>
        <w:t xml:space="preserve"> ustawy, do których będzie miał zastosowanie przepis art. 33 ust. 2 nowelizowanej ustawy, stanowiący wykonanie wyr</w:t>
      </w:r>
      <w:r w:rsidR="00FD1231">
        <w:rPr>
          <w:rFonts w:eastAsia="Times New Roman" w:cs="Times New Roman"/>
          <w:bCs/>
          <w:szCs w:val="24"/>
        </w:rPr>
        <w:t>oku Trybunału Konstytucyjnego z </w:t>
      </w:r>
      <w:r w:rsidRPr="00654A18">
        <w:rPr>
          <w:rFonts w:eastAsia="Times New Roman" w:cs="Times New Roman"/>
          <w:bCs/>
          <w:szCs w:val="24"/>
        </w:rPr>
        <w:t>dnia 18 kwietnia 2019 r., sygn. akt SK 21/17.</w:t>
      </w:r>
    </w:p>
    <w:p w14:paraId="77A20998" w14:textId="039DF2BA"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Przepisy przejściowe zawarte w art. 3 ust. 3 zakładają, że postępowania scaleniowe lub wymienne wznowione z przyczyn określonych w art. 145</w:t>
      </w:r>
      <w:r w:rsidRPr="00451CFB">
        <w:rPr>
          <w:rFonts w:eastAsia="Times New Roman" w:cs="Times New Roman"/>
          <w:bCs/>
          <w:szCs w:val="24"/>
        </w:rPr>
        <w:t>–</w:t>
      </w:r>
      <w:r w:rsidRPr="00654A18">
        <w:rPr>
          <w:rFonts w:eastAsia="Times New Roman" w:cs="Times New Roman"/>
          <w:bCs/>
          <w:szCs w:val="24"/>
        </w:rPr>
        <w:t>145b Kodeksu postępowania administracyjnego i niezakończone przed dniem wejścia w życie projektowanej ustawy będą prowadzone na dotychczasowych zasadach, z uwzględnieniem wyroku Trybunału Konstytucyjnego z dnia 18 kwietnia 2019 r.</w:t>
      </w:r>
      <w:r w:rsidR="002B07FC">
        <w:rPr>
          <w:rFonts w:eastAsia="Times New Roman" w:cs="Times New Roman"/>
          <w:bCs/>
          <w:szCs w:val="24"/>
        </w:rPr>
        <w:t>,</w:t>
      </w:r>
      <w:r w:rsidRPr="00654A18">
        <w:rPr>
          <w:rFonts w:eastAsia="Times New Roman" w:cs="Times New Roman"/>
          <w:bCs/>
          <w:szCs w:val="24"/>
        </w:rPr>
        <w:t xml:space="preserve"> sygn. akt SK 21/17. </w:t>
      </w:r>
    </w:p>
    <w:p w14:paraId="1E5707B4" w14:textId="033ED241"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Art. 3 ust. 4 stanowi, że do postępowań administracyjnych w sprawach uchylenia lub zmiany decyzji o zatwierdzeniu projektu scalenia lub wymiany gruntów wszczętych na podstawie art. 154 lub art. 155 Kodeksu postępowania administracyjnego</w:t>
      </w:r>
      <w:r w:rsidRPr="00451CFB">
        <w:rPr>
          <w:rFonts w:ascii="Times" w:eastAsia="Times New Roman" w:hAnsi="Times" w:cs="Arial"/>
          <w:bCs/>
          <w:szCs w:val="24"/>
        </w:rPr>
        <w:t xml:space="preserve"> </w:t>
      </w:r>
      <w:r w:rsidR="0013413F">
        <w:rPr>
          <w:rFonts w:eastAsia="Times New Roman" w:cs="Times New Roman"/>
          <w:bCs/>
          <w:szCs w:val="24"/>
        </w:rPr>
        <w:t>i </w:t>
      </w:r>
      <w:r w:rsidRPr="00654A18">
        <w:rPr>
          <w:rFonts w:eastAsia="Times New Roman" w:cs="Times New Roman"/>
          <w:bCs/>
          <w:szCs w:val="24"/>
        </w:rPr>
        <w:t xml:space="preserve">niezakończonych przed dniem wejścia w życie projektowanej ustawy będą miały zastosowanie przepisy </w:t>
      </w:r>
      <w:r w:rsidRPr="00451CFB">
        <w:rPr>
          <w:rFonts w:ascii="Times" w:eastAsia="Times New Roman" w:hAnsi="Times" w:cs="Arial"/>
          <w:bCs/>
          <w:szCs w:val="24"/>
        </w:rPr>
        <w:t>w brzmieniu obowiązującym przed dniem wejścia w życie projektowanej ustawy</w:t>
      </w:r>
      <w:r w:rsidRPr="00654A18">
        <w:rPr>
          <w:rFonts w:eastAsia="Times New Roman" w:cs="Times New Roman"/>
          <w:bCs/>
          <w:szCs w:val="24"/>
        </w:rPr>
        <w:t>, czyli z uwzględnieniem wyr</w:t>
      </w:r>
      <w:r w:rsidR="0013413F">
        <w:rPr>
          <w:rFonts w:eastAsia="Times New Roman" w:cs="Times New Roman"/>
          <w:bCs/>
          <w:szCs w:val="24"/>
        </w:rPr>
        <w:t>oku Trybunału Konstytucyjnego z </w:t>
      </w:r>
      <w:r w:rsidRPr="00654A18">
        <w:rPr>
          <w:rFonts w:eastAsia="Times New Roman" w:cs="Times New Roman"/>
          <w:bCs/>
          <w:szCs w:val="24"/>
        </w:rPr>
        <w:t>dnia 18 kwietnia 2019 r.</w:t>
      </w:r>
      <w:r w:rsidR="002B07FC">
        <w:rPr>
          <w:rFonts w:eastAsia="Times New Roman" w:cs="Times New Roman"/>
          <w:bCs/>
          <w:szCs w:val="24"/>
        </w:rPr>
        <w:t>,</w:t>
      </w:r>
      <w:r w:rsidRPr="00654A18">
        <w:rPr>
          <w:rFonts w:eastAsia="Times New Roman" w:cs="Times New Roman"/>
          <w:bCs/>
          <w:szCs w:val="24"/>
        </w:rPr>
        <w:t xml:space="preserve"> sygn. akt SK 21/17.</w:t>
      </w:r>
    </w:p>
    <w:p w14:paraId="0BCF450F" w14:textId="77777777"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 xml:space="preserve">Natomiast po wejściu w życie projektowanej ustawy do postępowań, które zostaną: </w:t>
      </w:r>
    </w:p>
    <w:p w14:paraId="2998FA90" w14:textId="1BBECA3B" w:rsidR="0060028A" w:rsidRPr="00654A18" w:rsidRDefault="0060028A" w:rsidP="00654A18">
      <w:pPr>
        <w:suppressAutoHyphens/>
        <w:autoSpaceDE w:val="0"/>
        <w:autoSpaceDN w:val="0"/>
        <w:adjustRightInd w:val="0"/>
        <w:spacing w:before="60" w:after="60" w:line="360" w:lineRule="auto"/>
        <w:ind w:left="426" w:hanging="426"/>
        <w:jc w:val="both"/>
        <w:rPr>
          <w:rFonts w:eastAsia="Times New Roman" w:cs="Times New Roman"/>
          <w:bCs/>
          <w:szCs w:val="24"/>
        </w:rPr>
      </w:pPr>
      <w:r w:rsidRPr="00654A18">
        <w:rPr>
          <w:rFonts w:eastAsia="Times New Roman" w:cs="Times New Roman"/>
          <w:bCs/>
          <w:szCs w:val="24"/>
        </w:rPr>
        <w:t>1)</w:t>
      </w:r>
      <w:r w:rsidR="00451CFB">
        <w:rPr>
          <w:rFonts w:eastAsia="Times New Roman" w:cs="Times New Roman"/>
          <w:bCs/>
          <w:szCs w:val="24"/>
        </w:rPr>
        <w:tab/>
      </w:r>
      <w:r w:rsidRPr="00654A18">
        <w:rPr>
          <w:rFonts w:eastAsia="Times New Roman" w:cs="Times New Roman"/>
          <w:bCs/>
          <w:szCs w:val="24"/>
        </w:rPr>
        <w:t>wznowione z przyczyn określonych w art. 145</w:t>
      </w:r>
      <w:r w:rsidRPr="00451CFB">
        <w:rPr>
          <w:rFonts w:eastAsia="Times New Roman" w:cs="Times New Roman"/>
          <w:bCs/>
          <w:szCs w:val="24"/>
        </w:rPr>
        <w:t>–</w:t>
      </w:r>
      <w:r w:rsidRPr="00654A18">
        <w:rPr>
          <w:rFonts w:eastAsia="Times New Roman" w:cs="Times New Roman"/>
          <w:bCs/>
          <w:szCs w:val="24"/>
        </w:rPr>
        <w:t>145b Kodeksu postępowania administracyjnego – będzie miał zastosowanie art. 33 ust. 3 ustawy w brzmieniu nadanym projektowaną ustawą;</w:t>
      </w:r>
    </w:p>
    <w:p w14:paraId="6CD11CEF" w14:textId="77777777" w:rsidR="0060028A" w:rsidRPr="00654A18" w:rsidRDefault="0060028A" w:rsidP="00654A18">
      <w:pPr>
        <w:suppressAutoHyphens/>
        <w:autoSpaceDE w:val="0"/>
        <w:autoSpaceDN w:val="0"/>
        <w:adjustRightInd w:val="0"/>
        <w:spacing w:before="60" w:after="60" w:line="360" w:lineRule="auto"/>
        <w:ind w:left="426" w:hanging="426"/>
        <w:jc w:val="both"/>
        <w:rPr>
          <w:rFonts w:eastAsia="Times New Roman" w:cs="Times New Roman"/>
          <w:bCs/>
          <w:szCs w:val="24"/>
        </w:rPr>
      </w:pPr>
      <w:r w:rsidRPr="00654A18">
        <w:rPr>
          <w:rFonts w:eastAsia="Times New Roman" w:cs="Times New Roman"/>
          <w:bCs/>
          <w:szCs w:val="24"/>
        </w:rPr>
        <w:t>2)</w:t>
      </w:r>
      <w:r w:rsidR="00451CFB">
        <w:rPr>
          <w:rFonts w:eastAsia="Times New Roman" w:cs="Times New Roman"/>
          <w:bCs/>
          <w:szCs w:val="24"/>
        </w:rPr>
        <w:tab/>
      </w:r>
      <w:r w:rsidRPr="00654A18">
        <w:rPr>
          <w:rFonts w:eastAsia="Times New Roman" w:cs="Times New Roman"/>
          <w:bCs/>
          <w:szCs w:val="24"/>
        </w:rPr>
        <w:t>wszczęte na podstawie art. 154 lub art. 155 Kodeksu postępowania administracyjnego w sprawach uchylenia lub zmiany decyzji o zatwierdzeniu projektu scalenia lub wymiany gruntów – będą miały zastosowanie wprost przepisy Kodeksu postępowania administracyjnego.</w:t>
      </w:r>
    </w:p>
    <w:p w14:paraId="2D4FE6A0" w14:textId="77777777"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lastRenderedPageBreak/>
        <w:t xml:space="preserve">W art. 4 projektu ustawy proponuje się, aby projektowana ustawa weszła w życie po upływie 30 dni od dnia ogłoszenia. Powyższe pozwoli na stosunkowo szybkie rozpoczęcie jej stosowania, przy jednoczesnym zapewnieniu projektowanym przepisom odpowiedniego </w:t>
      </w:r>
      <w:r w:rsidRPr="00654A18">
        <w:rPr>
          <w:rFonts w:eastAsia="Times New Roman" w:cs="Times New Roman"/>
          <w:bCs/>
          <w:i/>
          <w:szCs w:val="24"/>
        </w:rPr>
        <w:t>vacatio legis</w:t>
      </w:r>
      <w:r w:rsidRPr="00654A18">
        <w:rPr>
          <w:rFonts w:eastAsia="Times New Roman" w:cs="Times New Roman"/>
          <w:bCs/>
          <w:szCs w:val="24"/>
        </w:rPr>
        <w:t>.</w:t>
      </w:r>
    </w:p>
    <w:p w14:paraId="6D4F4DE1" w14:textId="77777777" w:rsidR="0060028A" w:rsidRPr="00654A18" w:rsidRDefault="0060028A" w:rsidP="00654A18">
      <w:pPr>
        <w:suppressAutoHyphens/>
        <w:autoSpaceDE w:val="0"/>
        <w:autoSpaceDN w:val="0"/>
        <w:adjustRightInd w:val="0"/>
        <w:spacing w:before="60" w:after="60" w:line="360" w:lineRule="auto"/>
        <w:jc w:val="both"/>
        <w:rPr>
          <w:rFonts w:eastAsia="Times New Roman" w:cs="Times New Roman"/>
          <w:bCs/>
          <w:szCs w:val="24"/>
        </w:rPr>
      </w:pPr>
      <w:r w:rsidRPr="00654A18">
        <w:rPr>
          <w:rFonts w:eastAsia="Times New Roman" w:cs="Times New Roman"/>
          <w:bCs/>
          <w:szCs w:val="24"/>
        </w:rPr>
        <w:t>Projekt ustawy jest zgodny z prawem Unii Europejskiej.</w:t>
      </w:r>
    </w:p>
    <w:p w14:paraId="166BB511"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Projektowana ustawa nie zawiera przepisów technicznych i w związku z tym nie podlega notyfikacji w rozumieniu przepisów rozporządzenia Rady Ministrów z dnia 23 grudnia 2002 r. w sprawie sposobu funkcjonowania krajowego systemu notyfikacji norm i aktów prawnych (Dz. U. poz. 2039,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xml:space="preserve">. zm.). </w:t>
      </w:r>
    </w:p>
    <w:p w14:paraId="3D0DF843"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 xml:space="preserve">Projekt ustawy nie wymaga przedstawienia właściwym organom i instytucjom Unii Europejskiej, w tym Europejskiemu Bankowi Centralnemu, w celu uzyskania opinii, dokonania powiadomienia, konsultacji albo uzgodnienia, o którym mowa w § 27 ust. 4 uchwały nr 190 Rady Ministrów z dnia 29 października 2013 r. – Regulamin pracy Rady Ministrów (M.P. z 2016 r. poz. 1006, z </w:t>
      </w:r>
      <w:proofErr w:type="spellStart"/>
      <w:r w:rsidRPr="00654A18">
        <w:rPr>
          <w:rFonts w:eastAsia="Calibri" w:cs="Times New Roman"/>
          <w:szCs w:val="24"/>
          <w:lang w:eastAsia="en-US"/>
        </w:rPr>
        <w:t>późn</w:t>
      </w:r>
      <w:proofErr w:type="spellEnd"/>
      <w:r w:rsidRPr="00654A18">
        <w:rPr>
          <w:rFonts w:eastAsia="Calibri" w:cs="Times New Roman"/>
          <w:szCs w:val="24"/>
          <w:lang w:eastAsia="en-US"/>
        </w:rPr>
        <w:t>. zm.).</w:t>
      </w:r>
    </w:p>
    <w:p w14:paraId="5BF9E6D3" w14:textId="77777777" w:rsidR="0060028A" w:rsidRPr="00654A18" w:rsidRDefault="0060028A" w:rsidP="00654A18">
      <w:pPr>
        <w:spacing w:before="60" w:after="60" w:line="360" w:lineRule="auto"/>
        <w:jc w:val="both"/>
        <w:rPr>
          <w:rFonts w:eastAsia="Calibri" w:cs="Times New Roman"/>
          <w:szCs w:val="24"/>
          <w:lang w:eastAsia="en-US"/>
        </w:rPr>
      </w:pPr>
      <w:r w:rsidRPr="00654A18">
        <w:rPr>
          <w:rFonts w:eastAsia="Calibri" w:cs="Times New Roman"/>
          <w:szCs w:val="24"/>
          <w:lang w:eastAsia="en-US"/>
        </w:rPr>
        <w:t>Zgodnie z art. 5 ustawy z dnia 7 lipca 2005 r. o działalności lobbingowej w procesie stanowienia prawa (Dz. U. z 2017 r. poz. 248) projekt ust</w:t>
      </w:r>
      <w:r w:rsidR="0013413F">
        <w:rPr>
          <w:rFonts w:eastAsia="Calibri" w:cs="Times New Roman"/>
          <w:szCs w:val="24"/>
          <w:lang w:eastAsia="en-US"/>
        </w:rPr>
        <w:t>awy został udostępniony w </w:t>
      </w:r>
      <w:r w:rsidRPr="00654A18">
        <w:rPr>
          <w:rFonts w:eastAsia="Calibri" w:cs="Times New Roman"/>
          <w:szCs w:val="24"/>
          <w:lang w:eastAsia="en-US"/>
        </w:rPr>
        <w:t xml:space="preserve">Biuletynie Informacji Publicznej na stronie podmiotowej </w:t>
      </w:r>
      <w:r w:rsidR="0013413F">
        <w:rPr>
          <w:rFonts w:eastAsia="Calibri" w:cs="Times New Roman"/>
          <w:bCs/>
          <w:szCs w:val="24"/>
          <w:bdr w:val="none" w:sz="0" w:space="0" w:color="auto" w:frame="1"/>
          <w:lang w:eastAsia="en-US"/>
        </w:rPr>
        <w:t>Ministerstwa Rolnictwa i </w:t>
      </w:r>
      <w:r w:rsidRPr="00654A18">
        <w:rPr>
          <w:rFonts w:eastAsia="Calibri" w:cs="Times New Roman"/>
          <w:bCs/>
          <w:szCs w:val="24"/>
          <w:bdr w:val="none" w:sz="0" w:space="0" w:color="auto" w:frame="1"/>
          <w:lang w:eastAsia="en-US"/>
        </w:rPr>
        <w:t xml:space="preserve">Rozwoju Wsi </w:t>
      </w:r>
      <w:r w:rsidRPr="00654A18">
        <w:rPr>
          <w:rFonts w:eastAsia="Calibri" w:cs="Times New Roman"/>
          <w:szCs w:val="24"/>
          <w:lang w:eastAsia="en-US"/>
        </w:rPr>
        <w:t xml:space="preserve">oraz w Biuletynie Informacji Publicznej Rządowego Centrum Legislacji w serwisie Rządowy Proces Legislacyjny. </w:t>
      </w:r>
    </w:p>
    <w:p w14:paraId="1D19073E" w14:textId="77777777" w:rsidR="0060028A" w:rsidRPr="0060028A" w:rsidRDefault="0060028A" w:rsidP="00654A18">
      <w:pPr>
        <w:spacing w:before="60" w:after="60" w:line="360" w:lineRule="auto"/>
        <w:jc w:val="both"/>
        <w:rPr>
          <w:rFonts w:eastAsia="Calibri" w:cs="Times New Roman"/>
          <w:sz w:val="22"/>
          <w:lang w:eastAsia="en-US"/>
        </w:rPr>
      </w:pPr>
      <w:r w:rsidRPr="00654A18">
        <w:rPr>
          <w:rFonts w:eastAsia="Calibri" w:cs="Times New Roman"/>
          <w:szCs w:val="24"/>
          <w:lang w:eastAsia="en-US"/>
        </w:rPr>
        <w:t>Projekt ustawy został wprowadzony do Wykazu prac legislacyjnych i programowych Rady Ministrów pod nr UD149</w:t>
      </w:r>
      <w:r w:rsidRPr="0060028A">
        <w:rPr>
          <w:rFonts w:eastAsia="Calibri" w:cs="Times New Roman"/>
          <w:sz w:val="22"/>
          <w:lang w:eastAsia="en-US"/>
        </w:rPr>
        <w:t>.</w:t>
      </w:r>
    </w:p>
    <w:sectPr w:rsidR="0060028A" w:rsidRPr="0060028A" w:rsidSect="00654A18">
      <w:footerReference w:type="default" r:id="rId6"/>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45E73" w14:textId="77777777" w:rsidR="00E76310" w:rsidRDefault="00E76310" w:rsidP="00451CFB">
      <w:pPr>
        <w:spacing w:after="0" w:line="240" w:lineRule="auto"/>
      </w:pPr>
      <w:r>
        <w:separator/>
      </w:r>
    </w:p>
  </w:endnote>
  <w:endnote w:type="continuationSeparator" w:id="0">
    <w:p w14:paraId="47C8F11E" w14:textId="77777777" w:rsidR="00E76310" w:rsidRDefault="00E76310" w:rsidP="00451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587651"/>
      <w:docPartObj>
        <w:docPartGallery w:val="Page Numbers (Bottom of Page)"/>
        <w:docPartUnique/>
      </w:docPartObj>
    </w:sdtPr>
    <w:sdtEndPr/>
    <w:sdtContent>
      <w:p w14:paraId="08CEB621" w14:textId="0DE561B4" w:rsidR="00451CFB" w:rsidRDefault="00451CFB" w:rsidP="00654A18">
        <w:pPr>
          <w:pStyle w:val="Stopka"/>
          <w:jc w:val="center"/>
        </w:pPr>
        <w:r>
          <w:fldChar w:fldCharType="begin"/>
        </w:r>
        <w:r>
          <w:instrText>PAGE   \* MERGEFORMAT</w:instrText>
        </w:r>
        <w:r>
          <w:fldChar w:fldCharType="separate"/>
        </w:r>
        <w:r w:rsidR="005C3502">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3351D" w14:textId="77777777" w:rsidR="00E76310" w:rsidRDefault="00E76310" w:rsidP="00451CFB">
      <w:pPr>
        <w:spacing w:after="0" w:line="240" w:lineRule="auto"/>
      </w:pPr>
      <w:r>
        <w:separator/>
      </w:r>
    </w:p>
  </w:footnote>
  <w:footnote w:type="continuationSeparator" w:id="0">
    <w:p w14:paraId="4D6F78E7" w14:textId="77777777" w:rsidR="00E76310" w:rsidRDefault="00E76310" w:rsidP="00451C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827"/>
    <w:rsid w:val="00001DF4"/>
    <w:rsid w:val="000061DE"/>
    <w:rsid w:val="0006350C"/>
    <w:rsid w:val="000D378C"/>
    <w:rsid w:val="0013413F"/>
    <w:rsid w:val="00165165"/>
    <w:rsid w:val="00195A4D"/>
    <w:rsid w:val="001B64F6"/>
    <w:rsid w:val="00251CA2"/>
    <w:rsid w:val="00287FA3"/>
    <w:rsid w:val="002B07FC"/>
    <w:rsid w:val="002F6CC9"/>
    <w:rsid w:val="003128E5"/>
    <w:rsid w:val="003160FB"/>
    <w:rsid w:val="00367B24"/>
    <w:rsid w:val="003E74AE"/>
    <w:rsid w:val="00427A71"/>
    <w:rsid w:val="004346A9"/>
    <w:rsid w:val="00451CFB"/>
    <w:rsid w:val="004C7B1A"/>
    <w:rsid w:val="005C3502"/>
    <w:rsid w:val="005E631D"/>
    <w:rsid w:val="0060028A"/>
    <w:rsid w:val="006514F2"/>
    <w:rsid w:val="00654A18"/>
    <w:rsid w:val="0071545F"/>
    <w:rsid w:val="00835AC7"/>
    <w:rsid w:val="009A0C46"/>
    <w:rsid w:val="009B4D26"/>
    <w:rsid w:val="009D1A83"/>
    <w:rsid w:val="009D76B5"/>
    <w:rsid w:val="00A65758"/>
    <w:rsid w:val="00A95BDD"/>
    <w:rsid w:val="00AA13F5"/>
    <w:rsid w:val="00B85208"/>
    <w:rsid w:val="00BB3CC2"/>
    <w:rsid w:val="00C06BE9"/>
    <w:rsid w:val="00C44827"/>
    <w:rsid w:val="00D306CB"/>
    <w:rsid w:val="00D42126"/>
    <w:rsid w:val="00D76BA3"/>
    <w:rsid w:val="00DD6E00"/>
    <w:rsid w:val="00E1051B"/>
    <w:rsid w:val="00E76310"/>
    <w:rsid w:val="00E95285"/>
    <w:rsid w:val="00F11B78"/>
    <w:rsid w:val="00FA1D61"/>
    <w:rsid w:val="00FD12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4A0D"/>
  <w15:docId w15:val="{B0B768FE-50E6-4C7E-9712-B0069785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65165"/>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51CF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1CFB"/>
    <w:rPr>
      <w:rFonts w:ascii="Segoe UI" w:hAnsi="Segoe UI" w:cs="Segoe UI"/>
      <w:sz w:val="18"/>
      <w:szCs w:val="18"/>
    </w:rPr>
  </w:style>
  <w:style w:type="paragraph" w:styleId="Nagwek">
    <w:name w:val="header"/>
    <w:basedOn w:val="Normalny"/>
    <w:link w:val="NagwekZnak"/>
    <w:uiPriority w:val="99"/>
    <w:unhideWhenUsed/>
    <w:rsid w:val="00451CF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51CFB"/>
    <w:rPr>
      <w:rFonts w:ascii="Times New Roman" w:hAnsi="Times New Roman"/>
      <w:sz w:val="24"/>
    </w:rPr>
  </w:style>
  <w:style w:type="paragraph" w:styleId="Stopka">
    <w:name w:val="footer"/>
    <w:basedOn w:val="Normalny"/>
    <w:link w:val="StopkaZnak"/>
    <w:uiPriority w:val="99"/>
    <w:unhideWhenUsed/>
    <w:rsid w:val="00451CF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51CFB"/>
    <w:rPr>
      <w:rFonts w:ascii="Times New Roman" w:hAnsi="Times New Roman"/>
      <w:sz w:val="24"/>
    </w:rPr>
  </w:style>
  <w:style w:type="character" w:styleId="Odwoaniedokomentarza">
    <w:name w:val="annotation reference"/>
    <w:basedOn w:val="Domylnaczcionkaakapitu"/>
    <w:uiPriority w:val="99"/>
    <w:semiHidden/>
    <w:unhideWhenUsed/>
    <w:rsid w:val="00001DF4"/>
    <w:rPr>
      <w:sz w:val="16"/>
      <w:szCs w:val="16"/>
    </w:rPr>
  </w:style>
  <w:style w:type="paragraph" w:styleId="Tekstkomentarza">
    <w:name w:val="annotation text"/>
    <w:basedOn w:val="Normalny"/>
    <w:link w:val="TekstkomentarzaZnak"/>
    <w:uiPriority w:val="99"/>
    <w:semiHidden/>
    <w:unhideWhenUsed/>
    <w:rsid w:val="00001DF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1DF4"/>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001DF4"/>
    <w:rPr>
      <w:b/>
      <w:bCs/>
    </w:rPr>
  </w:style>
  <w:style w:type="character" w:customStyle="1" w:styleId="TematkomentarzaZnak">
    <w:name w:val="Temat komentarza Znak"/>
    <w:basedOn w:val="TekstkomentarzaZnak"/>
    <w:link w:val="Tematkomentarza"/>
    <w:uiPriority w:val="99"/>
    <w:semiHidden/>
    <w:rsid w:val="00001DF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3455</Words>
  <Characters>20730</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Zesławska Barbara</dc:creator>
  <cp:lastModifiedBy>Wójcik Aleksandra</cp:lastModifiedBy>
  <cp:revision>5</cp:revision>
  <dcterms:created xsi:type="dcterms:W3CDTF">2021-10-20T08:07:00Z</dcterms:created>
  <dcterms:modified xsi:type="dcterms:W3CDTF">2021-10-20T08:18:00Z</dcterms:modified>
</cp:coreProperties>
</file>