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C35F5" w14:textId="1C89A3BE" w:rsidR="00DB64BC" w:rsidRPr="00A810EB" w:rsidRDefault="00FF3FC8" w:rsidP="00B920A5">
      <w:pPr>
        <w:spacing w:line="360" w:lineRule="auto"/>
        <w:jc w:val="center"/>
        <w:rPr>
          <w:rFonts w:ascii="Tahoma" w:hAnsi="Tahoma" w:cs="Tahoma"/>
          <w:b/>
          <w:sz w:val="24"/>
          <w:szCs w:val="24"/>
          <w:lang w:eastAsia="pl-PL"/>
        </w:rPr>
      </w:pPr>
      <w:bookmarkStart w:id="0" w:name="_GoBack"/>
      <w:bookmarkEnd w:id="0"/>
      <w:r w:rsidRPr="00A810EB">
        <w:rPr>
          <w:rFonts w:ascii="Tahoma" w:hAnsi="Tahoma" w:cs="Tahoma"/>
          <w:b/>
          <w:sz w:val="24"/>
          <w:szCs w:val="24"/>
          <w:lang w:eastAsia="pl-PL"/>
        </w:rPr>
        <w:t>UZASADNIENIE</w:t>
      </w:r>
    </w:p>
    <w:p w14:paraId="675B6BAA" w14:textId="393E4913" w:rsidR="006B20C7" w:rsidRPr="00A810EB" w:rsidRDefault="006B20C7" w:rsidP="00B920A5">
      <w:pPr>
        <w:spacing w:line="360" w:lineRule="auto"/>
        <w:jc w:val="center"/>
        <w:rPr>
          <w:rFonts w:ascii="Tahoma" w:hAnsi="Tahoma" w:cs="Tahoma"/>
          <w:b/>
          <w:sz w:val="24"/>
          <w:szCs w:val="24"/>
          <w:lang w:eastAsia="pl-PL"/>
        </w:rPr>
      </w:pPr>
    </w:p>
    <w:p w14:paraId="01862FE4" w14:textId="0158F333" w:rsidR="006B20C7" w:rsidRDefault="006B20C7" w:rsidP="00F91BD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  <w:r w:rsidRPr="00A810EB">
        <w:rPr>
          <w:rFonts w:ascii="Tahoma" w:hAnsi="Tahoma" w:cs="Tahoma"/>
          <w:b/>
          <w:sz w:val="24"/>
          <w:szCs w:val="24"/>
        </w:rPr>
        <w:t>Cel i potrzeba wydania ustawy, rzeczywisty stan w dziedzinie, która ma zostać unormowana</w:t>
      </w:r>
    </w:p>
    <w:p w14:paraId="4C769BB5" w14:textId="77777777" w:rsidR="00A810EB" w:rsidRPr="00A810EB" w:rsidRDefault="00A810EB" w:rsidP="00A810EB">
      <w:pPr>
        <w:pStyle w:val="Akapitzlist"/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043725E5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A810EB">
        <w:rPr>
          <w:rFonts w:ascii="Tahoma" w:hAnsi="Tahoma" w:cs="Tahoma"/>
          <w:sz w:val="24"/>
          <w:szCs w:val="24"/>
          <w:shd w:val="clear" w:color="auto" w:fill="FFFFFF"/>
        </w:rPr>
        <w:t xml:space="preserve">Obecnie o dodatek mieszkaniowy mogą się starać nie tylko najemcy, ale też posiadacze spółdzielczych mieszkań lokatorskich lub własnościowych, właściciele mieszkań lub domów jednorodzinnych. Wystąpić o niego mogą też osoby zajmującego lokal bez tytułu prawnego, oczekujące na lokal zamienny lub najem lokalu socjalnego. Nie zrozumiałe jest więc, dlaczego ze wsparcia w zakresie dopłaty do dodatku mieszkaniowego nie mogą skorzystać wszyscy, którzy otrzymują dodatek mieszkaniowy. </w:t>
      </w:r>
    </w:p>
    <w:p w14:paraId="52B5748B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hAnsi="Tahoma" w:cs="Tahoma"/>
          <w:bCs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  <w:shd w:val="clear" w:color="auto" w:fill="FFFFFF"/>
        </w:rPr>
        <w:t xml:space="preserve">Uprawniony ze spółdzielczego prawa do lokalu mieszkalnego czy właściciel lokalu również może znaleźć się w trudnej sytuacji finansowej z powodu pandemii, gdy stracił pracę albo zbankrutował. W związku z powyższym przepis art. 15zzzic </w:t>
      </w:r>
      <w:r w:rsidRPr="00A810EB">
        <w:rPr>
          <w:rFonts w:ascii="Tahoma" w:hAnsi="Tahoma" w:cs="Tahoma"/>
          <w:bCs/>
          <w:sz w:val="24"/>
          <w:szCs w:val="24"/>
        </w:rPr>
        <w:t xml:space="preserve">ustawy z dnia 2 marca 2020 r. o szczególnych rozwiązaniach związanych z zapobieganiem, przeciwdziałaniem i zwalczaniem COVID-19, innych chorób zakaźnych oraz wywołanych nimi sytuacji kryzysowych powinien obejmować wszystkie osoby, o których mowa art. 2 ust. 1 ustawy z dnia 21 czerwca 2001 r. o dodatkach mieszkaniowych a nie tylko najemców, tj. </w:t>
      </w:r>
    </w:p>
    <w:p w14:paraId="1644D4BC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1) najemców oraz podnajemców lokali mieszkalnych; </w:t>
      </w:r>
    </w:p>
    <w:p w14:paraId="69A1FAC6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2) osoby mieszkające w lokalach mieszkalnych, do których przysługuje im spółdzielcze prawo do lokalu mieszkalnego; </w:t>
      </w:r>
    </w:p>
    <w:p w14:paraId="061E6CE7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3) osoby mieszkające w lokalach mieszkalnych znajdujących się w budynkach stanowiących ich własność i właścicielom samodzielnych lokali mieszkalnych; </w:t>
      </w:r>
    </w:p>
    <w:p w14:paraId="58448DC4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4) inne osoby mające tytuł prawny do zajmowanego lokalu mieszkalnego i ponoszącym wydatki związane z jego zajmowaniem; </w:t>
      </w:r>
    </w:p>
    <w:p w14:paraId="58FF8CB7" w14:textId="77777777" w:rsidR="00F91BD8" w:rsidRPr="00A810EB" w:rsidRDefault="00F91BD8" w:rsidP="00F91BD8">
      <w:pPr>
        <w:shd w:val="clear" w:color="auto" w:fill="FFFFFF"/>
        <w:spacing w:line="360" w:lineRule="auto"/>
        <w:ind w:left="36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5) osoby zajmujące lokal mieszkalny bez tytułu prawnego, oczekujące na przysługujący im lokal zamienny albo najem socjalny lokalu</w:t>
      </w:r>
      <w:r w:rsidRPr="00A810EB">
        <w:rPr>
          <w:rFonts w:ascii="Tahoma" w:hAnsi="Tahoma" w:cs="Tahoma"/>
          <w:bCs/>
          <w:sz w:val="24"/>
          <w:szCs w:val="24"/>
        </w:rPr>
        <w:t xml:space="preserve"> – jako osoby uprawnione do dopłaty do dodatku mieszkaniowego</w:t>
      </w:r>
      <w:r w:rsidRPr="00A810EB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6654C6B2" w14:textId="7DA696C5" w:rsidR="00F91BD8" w:rsidRPr="00A810EB" w:rsidRDefault="00F91BD8" w:rsidP="00F91BD8">
      <w:pPr>
        <w:spacing w:after="0" w:line="360" w:lineRule="auto"/>
        <w:ind w:left="360"/>
        <w:jc w:val="both"/>
        <w:rPr>
          <w:rFonts w:ascii="Tahoma" w:hAnsi="Tahoma" w:cs="Tahoma"/>
          <w:b/>
          <w:sz w:val="24"/>
          <w:szCs w:val="24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Zmiana ustawy jest więc konieczna wobec utrzymującego się na obszarze całej </w:t>
      </w:r>
      <w:r w:rsidR="00A810EB">
        <w:rPr>
          <w:rFonts w:ascii="Tahoma" w:eastAsia="Times New Roman" w:hAnsi="Tahoma" w:cs="Tahoma"/>
          <w:sz w:val="24"/>
          <w:szCs w:val="24"/>
          <w:lang w:eastAsia="pl-PL"/>
        </w:rPr>
        <w:t>Polski</w:t>
      </w: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 od dnia 20 marca 2020 r. stanu epidemii</w:t>
      </w:r>
      <w:r w:rsidR="00A810EB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329C760F" w14:textId="77777777" w:rsidR="00F91BD8" w:rsidRPr="00A810EB" w:rsidRDefault="00F91BD8" w:rsidP="00F91BD8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310B3F82" w14:textId="7D4040B9" w:rsidR="006B20C7" w:rsidRDefault="006B20C7" w:rsidP="00F91BD8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>Różnice między dotychczasowym a projektowanym stanem prawnym</w:t>
      </w:r>
    </w:p>
    <w:p w14:paraId="24FFF9F0" w14:textId="77777777" w:rsidR="00A810EB" w:rsidRPr="00A810EB" w:rsidRDefault="00A810EB" w:rsidP="00A810EB">
      <w:pPr>
        <w:pStyle w:val="Akapitzlist"/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7BA21D9" w14:textId="02B7FB39" w:rsidR="00F91BD8" w:rsidRPr="00A810EB" w:rsidRDefault="00F91BD8" w:rsidP="00F91BD8">
      <w:pPr>
        <w:spacing w:after="0" w:line="360" w:lineRule="auto"/>
        <w:ind w:left="360"/>
        <w:jc w:val="both"/>
        <w:rPr>
          <w:rFonts w:ascii="Tahoma" w:hAnsi="Tahoma" w:cs="Tahoma"/>
          <w:bCs/>
          <w:sz w:val="24"/>
          <w:szCs w:val="24"/>
        </w:rPr>
      </w:pPr>
      <w:r w:rsidRPr="00A810EB">
        <w:rPr>
          <w:rFonts w:ascii="Tahoma" w:hAnsi="Tahoma" w:cs="Tahoma"/>
          <w:bCs/>
          <w:sz w:val="24"/>
          <w:szCs w:val="24"/>
        </w:rPr>
        <w:t xml:space="preserve">Proponowana zmiana polega na rozszerzeniu przepisu art. 15zzzic ust. 1 ustawy z dnia 2 marca 2020 r. o szczególnych rozwiązaniach związanych z zapobieganiem, przeciwdziałaniem i zwalczaniem COVID-19, innych chorób zakaźnych oraz wywołanych nimi sytuacji kryzysowych na wszystkie osoby spełniające wymogi określone w art. 2 ust. 1 </w:t>
      </w: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ustawy z dnia 21 czerwca 2001 r. o dodatkach mieszkaniowych. Proponuje się wejście w życie niniejszej ustawy z dniem następującym po dniu ogłoszenia ze względu na pilną potrzebę naprawienia niedopatrzenia polegającego na wcześniejszym zawężeniu grupy osób uprawnionych do uzyskania powiększenia dodatku mieszkaniowego. </w:t>
      </w:r>
    </w:p>
    <w:p w14:paraId="7C80CCEC" w14:textId="77777777" w:rsidR="00F91BD8" w:rsidRPr="00A810EB" w:rsidRDefault="00F91BD8" w:rsidP="00F91BD8">
      <w:pPr>
        <w:spacing w:after="0" w:line="360" w:lineRule="auto"/>
        <w:ind w:left="360"/>
        <w:jc w:val="both"/>
        <w:rPr>
          <w:rFonts w:ascii="Tahoma" w:hAnsi="Tahoma" w:cs="Tahoma"/>
          <w:bCs/>
          <w:sz w:val="24"/>
          <w:szCs w:val="24"/>
        </w:rPr>
      </w:pPr>
    </w:p>
    <w:p w14:paraId="12733979" w14:textId="6C000F9F" w:rsidR="006B20C7" w:rsidRPr="00A810EB" w:rsidRDefault="006B20C7" w:rsidP="00A810EB">
      <w:pPr>
        <w:spacing w:after="0" w:line="360" w:lineRule="auto"/>
        <w:ind w:left="426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>3. Przewidywane skutki społeczne, gospodarcze, finansowe i prawne</w:t>
      </w:r>
      <w:r w:rsidR="00F91BD8" w:rsidRPr="00A810EB">
        <w:rPr>
          <w:rFonts w:ascii="Tahoma" w:hAnsi="Tahoma" w:cs="Tahoma"/>
          <w:b/>
          <w:bCs/>
          <w:sz w:val="24"/>
          <w:szCs w:val="24"/>
        </w:rPr>
        <w:t>. Źródła finansowania.</w:t>
      </w:r>
    </w:p>
    <w:p w14:paraId="7803A447" w14:textId="77777777" w:rsidR="00F91BD8" w:rsidRPr="00A810EB" w:rsidRDefault="00F91BD8" w:rsidP="00B920A5">
      <w:pPr>
        <w:spacing w:after="0" w:line="360" w:lineRule="auto"/>
        <w:jc w:val="both"/>
        <w:rPr>
          <w:rFonts w:ascii="Tahoma" w:hAnsi="Tahoma" w:cs="Tahoma"/>
          <w:b/>
          <w:sz w:val="24"/>
          <w:szCs w:val="24"/>
          <w:lang w:eastAsia="pl-PL"/>
        </w:rPr>
      </w:pPr>
    </w:p>
    <w:p w14:paraId="16CFFAC6" w14:textId="06D0AD7B" w:rsidR="00232D16" w:rsidRPr="00A810EB" w:rsidRDefault="005D6EA0" w:rsidP="00B920A5">
      <w:pPr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Epidemia COVID-19 postawiła przed spółdzielniami mieszkaniowymi nowe wyzwania, które dotychczas nie były identyfikowane w działalności spółdzielni oraz ich członków. </w:t>
      </w:r>
      <w:r w:rsidR="00DA6820"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Członkowie spółdzielni mieszkaniowych </w:t>
      </w:r>
      <w:r w:rsidR="00F91BD8" w:rsidRPr="00A810EB">
        <w:rPr>
          <w:rFonts w:ascii="Tahoma" w:eastAsia="Times New Roman" w:hAnsi="Tahoma" w:cs="Tahoma"/>
          <w:sz w:val="24"/>
          <w:szCs w:val="24"/>
          <w:lang w:eastAsia="pl-PL"/>
        </w:rPr>
        <w:t>po wejściu ustawy w życie nie będą dyskryminowani</w:t>
      </w:r>
      <w:r w:rsidR="00DA6820"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 względem pozostałych uprawnionych z tytułów prawnych do lokali.</w:t>
      </w:r>
      <w:r w:rsidR="00232D16" w:rsidRPr="00A810EB">
        <w:rPr>
          <w:rFonts w:ascii="Tahoma" w:eastAsia="Times New Roman" w:hAnsi="Tahoma" w:cs="Tahoma"/>
          <w:sz w:val="24"/>
          <w:szCs w:val="24"/>
          <w:lang w:eastAsia="pl-PL"/>
        </w:rPr>
        <w:t xml:space="preserve"> Ponadto należy zwrócić uwagę na dane GUS na koniec 2018 r., które </w:t>
      </w:r>
      <w:r w:rsidR="00232D16" w:rsidRPr="00A810EB">
        <w:rPr>
          <w:rFonts w:ascii="Tahoma" w:hAnsi="Tahoma" w:cs="Tahoma"/>
          <w:sz w:val="24"/>
          <w:szCs w:val="24"/>
        </w:rPr>
        <w:t>wskazują, że w przypadku spółdzielni mieszkaniowych poziom zadłużenia jest zdecydowanie większy aniżeli w przypadku wspólnot mieszkaniowych, co właśnie przemawia za objęciem pomocą rządową w zakresie dopłat do dodatków mieszkaniowych również członków spółdzielni mieszkaniowych:</w:t>
      </w:r>
    </w:p>
    <w:p w14:paraId="43D43214" w14:textId="77777777" w:rsidR="00232D16" w:rsidRPr="00A810EB" w:rsidRDefault="00232D16" w:rsidP="00B920A5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Style w:val="Pogrubienie"/>
          <w:rFonts w:ascii="Tahoma" w:hAnsi="Tahoma" w:cs="Tahoma"/>
          <w:b w:val="0"/>
          <w:sz w:val="24"/>
          <w:szCs w:val="24"/>
        </w:rPr>
        <w:t>wspólnoty mieszkaniowe:</w:t>
      </w:r>
      <w:r w:rsidRPr="00A810EB">
        <w:rPr>
          <w:rFonts w:ascii="Tahoma" w:hAnsi="Tahoma" w:cs="Tahoma"/>
          <w:sz w:val="24"/>
          <w:szCs w:val="24"/>
        </w:rPr>
        <w:t xml:space="preserve"> </w:t>
      </w:r>
    </w:p>
    <w:p w14:paraId="3E92134A" w14:textId="77777777" w:rsidR="00232D16" w:rsidRPr="00A810EB" w:rsidRDefault="00232D16" w:rsidP="00B920A5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lastRenderedPageBreak/>
        <w:t>liczba lokali z zadłużeniem: 509 974,</w:t>
      </w:r>
    </w:p>
    <w:p w14:paraId="04FAD88D" w14:textId="77777777" w:rsidR="00232D16" w:rsidRPr="00A810EB" w:rsidRDefault="00232D16" w:rsidP="00B920A5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udział lokali z zadłużeniem: 15%,</w:t>
      </w:r>
    </w:p>
    <w:p w14:paraId="26524475" w14:textId="77777777" w:rsidR="00232D16" w:rsidRPr="00A810EB" w:rsidRDefault="00232D16" w:rsidP="00B920A5">
      <w:pPr>
        <w:numPr>
          <w:ilvl w:val="1"/>
          <w:numId w:val="3"/>
        </w:numPr>
        <w:spacing w:before="100" w:beforeAutospacing="1" w:after="240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zadłużenie przypadające na jedno zadłużone mieszkanie: 1564 zł.</w:t>
      </w:r>
    </w:p>
    <w:p w14:paraId="3D190EED" w14:textId="77777777" w:rsidR="00232D16" w:rsidRPr="00A810EB" w:rsidRDefault="00232D16" w:rsidP="00B920A5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Style w:val="Pogrubienie"/>
          <w:rFonts w:ascii="Tahoma" w:hAnsi="Tahoma" w:cs="Tahoma"/>
          <w:b w:val="0"/>
          <w:sz w:val="24"/>
          <w:szCs w:val="24"/>
        </w:rPr>
        <w:t>spółdzielnie mieszkaniowe:</w:t>
      </w:r>
      <w:r w:rsidRPr="00A810EB">
        <w:rPr>
          <w:rFonts w:ascii="Tahoma" w:hAnsi="Tahoma" w:cs="Tahoma"/>
          <w:sz w:val="24"/>
          <w:szCs w:val="24"/>
        </w:rPr>
        <w:t xml:space="preserve"> </w:t>
      </w:r>
    </w:p>
    <w:p w14:paraId="055E6C73" w14:textId="77777777" w:rsidR="00232D16" w:rsidRPr="00A810EB" w:rsidRDefault="00232D16" w:rsidP="00B920A5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liczba lokali z zadłużeniem: 939 097,</w:t>
      </w:r>
    </w:p>
    <w:p w14:paraId="12731CCC" w14:textId="77777777" w:rsidR="00232D16" w:rsidRPr="00A810EB" w:rsidRDefault="00232D16" w:rsidP="00B920A5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udział lokali z zadłużeniem: 46%,</w:t>
      </w:r>
    </w:p>
    <w:p w14:paraId="6524673E" w14:textId="77777777" w:rsidR="00232D16" w:rsidRPr="00A810EB" w:rsidRDefault="00232D16" w:rsidP="00B920A5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zadłużenie przypadające na jedno zadłużone mieszkanie: 1210 zł.</w:t>
      </w:r>
    </w:p>
    <w:p w14:paraId="4099AB03" w14:textId="74EAD85F" w:rsidR="005D6EA0" w:rsidRPr="00A810EB" w:rsidRDefault="00232D16" w:rsidP="00C16DCD">
      <w:pPr>
        <w:pStyle w:val="NormalnyWeb"/>
        <w:spacing w:line="360" w:lineRule="auto"/>
        <w:jc w:val="both"/>
        <w:rPr>
          <w:rFonts w:ascii="Tahoma" w:hAnsi="Tahoma" w:cs="Tahoma"/>
        </w:rPr>
      </w:pPr>
      <w:r w:rsidRPr="00A810EB">
        <w:rPr>
          <w:rFonts w:ascii="Tahoma" w:hAnsi="Tahoma" w:cs="Tahoma"/>
        </w:rPr>
        <w:t xml:space="preserve">Powyższe informacje potwierdzają, że zadłużenie czynszowe stanowi zdecydowanie większy problem dla spółdzielni, </w:t>
      </w:r>
      <w:r w:rsidR="00F91BD8" w:rsidRPr="00A810EB">
        <w:rPr>
          <w:rFonts w:ascii="Tahoma" w:hAnsi="Tahoma" w:cs="Tahoma"/>
        </w:rPr>
        <w:t xml:space="preserve">który zostanie ograniczony dzięki wejściu w życie niniejszej ustawy. </w:t>
      </w:r>
      <w:r w:rsidR="00C16DCD" w:rsidRPr="00C16DCD">
        <w:rPr>
          <w:rFonts w:ascii="Tahoma" w:hAnsi="Tahoma" w:cs="Tahoma"/>
        </w:rPr>
        <w:t xml:space="preserve">Na podstawie niniejszych </w:t>
      </w:r>
      <w:r w:rsidR="00C16DCD">
        <w:rPr>
          <w:rFonts w:ascii="Tahoma" w:hAnsi="Tahoma" w:cs="Tahoma"/>
        </w:rPr>
        <w:t xml:space="preserve">danych oraz szacunkowych danych </w:t>
      </w:r>
      <w:r w:rsidR="00C16DCD" w:rsidRPr="00C16DCD">
        <w:rPr>
          <w:rFonts w:ascii="Tahoma" w:hAnsi="Tahoma" w:cs="Tahoma"/>
        </w:rPr>
        <w:t>dotyczących liczby osób pobierających dodatek mieszkan</w:t>
      </w:r>
      <w:r w:rsidR="00C16DCD">
        <w:rPr>
          <w:rFonts w:ascii="Tahoma" w:hAnsi="Tahoma" w:cs="Tahoma"/>
        </w:rPr>
        <w:t xml:space="preserve">iowy (ok. 18 tys.) szacuje się, </w:t>
      </w:r>
      <w:r w:rsidR="00C16DCD" w:rsidRPr="00C16DCD">
        <w:rPr>
          <w:rFonts w:ascii="Tahoma" w:hAnsi="Tahoma" w:cs="Tahoma"/>
        </w:rPr>
        <w:t>że koszt wejścia w życie ustawy będzie nie wyższy n</w:t>
      </w:r>
      <w:r w:rsidR="00C16DCD">
        <w:rPr>
          <w:rFonts w:ascii="Tahoma" w:hAnsi="Tahoma" w:cs="Tahoma"/>
        </w:rPr>
        <w:t xml:space="preserve">iż 22 mln zł rocznie i zostanie </w:t>
      </w:r>
      <w:r w:rsidR="00C16DCD" w:rsidRPr="00C16DCD">
        <w:rPr>
          <w:rFonts w:ascii="Tahoma" w:hAnsi="Tahoma" w:cs="Tahoma"/>
        </w:rPr>
        <w:t>pokryty z Funduszu Przeciwdziałania COVID-19.</w:t>
      </w:r>
    </w:p>
    <w:p w14:paraId="63F9CE10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>4. Założenia podstawowych aktów wykonawczych</w:t>
      </w:r>
    </w:p>
    <w:p w14:paraId="01632BAF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48F9351" w14:textId="5C72E5FC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bCs/>
          <w:sz w:val="24"/>
          <w:szCs w:val="24"/>
        </w:rPr>
        <w:t xml:space="preserve">Projekt nie przewiduje upoważnień do wydawania aktów wykonawczych. </w:t>
      </w:r>
    </w:p>
    <w:p w14:paraId="231373DA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</w:p>
    <w:p w14:paraId="3C5046F1" w14:textId="77777777" w:rsidR="006B20C7" w:rsidRPr="00A810EB" w:rsidRDefault="006B20C7" w:rsidP="00A810EB">
      <w:pPr>
        <w:spacing w:after="0" w:line="360" w:lineRule="auto"/>
        <w:ind w:left="709" w:hanging="1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</w:p>
    <w:p w14:paraId="6EBE4FBC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605C461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Projektowana ustawa nie jest objęta prawem Unii Europejskiej i nie podlega notyfikacji do właściwych organów Unii Europejskiej.</w:t>
      </w:r>
    </w:p>
    <w:p w14:paraId="764B720F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4763ABD3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>6. Oświadczenie o zgodności z Konstytucją RP</w:t>
      </w:r>
    </w:p>
    <w:p w14:paraId="55C39997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4BE80AD3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W ocenie projektodawców projekt ustawy jest zgodny z Konstytucją RP.</w:t>
      </w:r>
    </w:p>
    <w:p w14:paraId="1FF419BF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728C66BC" w14:textId="77777777" w:rsidR="006B20C7" w:rsidRPr="00A810EB" w:rsidRDefault="006B20C7" w:rsidP="00A810EB">
      <w:pPr>
        <w:spacing w:after="0" w:line="360" w:lineRule="auto"/>
        <w:ind w:left="709" w:hanging="1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>7. Wpływ na działalność mikroprzedsiębiorców oraz małych i średnich przedsiębiorców</w:t>
      </w:r>
    </w:p>
    <w:p w14:paraId="0F4E3CE6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47830E1C" w14:textId="53F278CF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Wejście w życie projektowanej ustawy wpłynie</w:t>
      </w:r>
      <w:r w:rsidR="00A810EB" w:rsidRPr="00A810EB">
        <w:rPr>
          <w:rFonts w:ascii="Tahoma" w:hAnsi="Tahoma" w:cs="Tahoma"/>
          <w:sz w:val="24"/>
          <w:szCs w:val="24"/>
        </w:rPr>
        <w:t xml:space="preserve"> pozytywnie</w:t>
      </w:r>
      <w:r w:rsidRPr="00A810EB">
        <w:rPr>
          <w:rFonts w:ascii="Tahoma" w:hAnsi="Tahoma" w:cs="Tahoma"/>
          <w:sz w:val="24"/>
          <w:szCs w:val="24"/>
        </w:rPr>
        <w:t xml:space="preserve"> na </w:t>
      </w:r>
      <w:r w:rsidRPr="00A810EB">
        <w:rPr>
          <w:rFonts w:ascii="Tahoma" w:hAnsi="Tahoma" w:cs="Tahoma"/>
          <w:bCs/>
          <w:sz w:val="24"/>
          <w:szCs w:val="24"/>
        </w:rPr>
        <w:t>działalność mikroprzedsiębiorców oraz małych i średnich przedsiębiorców</w:t>
      </w:r>
      <w:r w:rsidR="00A810EB" w:rsidRPr="00A810EB">
        <w:rPr>
          <w:rFonts w:ascii="Tahoma" w:hAnsi="Tahoma" w:cs="Tahoma"/>
          <w:bCs/>
          <w:sz w:val="24"/>
          <w:szCs w:val="24"/>
        </w:rPr>
        <w:t xml:space="preserve"> poprzez zwiększenie płynności finansowej spółdzielni, ich członków oraz jednostek samorządu terytorialnego</w:t>
      </w:r>
      <w:r w:rsidRPr="00A810EB">
        <w:rPr>
          <w:rFonts w:ascii="Tahoma" w:hAnsi="Tahoma" w:cs="Tahoma"/>
          <w:bCs/>
          <w:sz w:val="24"/>
          <w:szCs w:val="24"/>
        </w:rPr>
        <w:t>.</w:t>
      </w:r>
    </w:p>
    <w:p w14:paraId="09C117C0" w14:textId="77777777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FB8D07B" w14:textId="77777777" w:rsidR="006B20C7" w:rsidRPr="00A810EB" w:rsidRDefault="006B20C7" w:rsidP="006B20C7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A810EB">
        <w:rPr>
          <w:rFonts w:ascii="Tahoma" w:hAnsi="Tahoma" w:cs="Tahoma"/>
          <w:b/>
          <w:bCs/>
          <w:sz w:val="24"/>
          <w:szCs w:val="24"/>
        </w:rPr>
        <w:tab/>
        <w:t>8. Konsultacje społeczne</w:t>
      </w:r>
    </w:p>
    <w:p w14:paraId="0022CD36" w14:textId="77777777" w:rsidR="006B20C7" w:rsidRPr="00A810EB" w:rsidRDefault="006B20C7" w:rsidP="006B20C7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522751E1" w14:textId="4FF4AAAB" w:rsidR="006B20C7" w:rsidRPr="00A810EB" w:rsidRDefault="006B20C7" w:rsidP="006B20C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A810EB">
        <w:rPr>
          <w:rFonts w:ascii="Tahoma" w:hAnsi="Tahoma" w:cs="Tahoma"/>
          <w:sz w:val="24"/>
          <w:szCs w:val="24"/>
        </w:rPr>
        <w:t>Projekt nie był poddany konsultacjom</w:t>
      </w:r>
      <w:r w:rsidR="00A810EB" w:rsidRPr="00A810EB">
        <w:rPr>
          <w:rFonts w:ascii="Tahoma" w:hAnsi="Tahoma" w:cs="Tahoma"/>
          <w:sz w:val="24"/>
          <w:szCs w:val="24"/>
        </w:rPr>
        <w:t xml:space="preserve"> społecznym</w:t>
      </w:r>
      <w:r w:rsidRPr="00A810EB">
        <w:rPr>
          <w:rFonts w:ascii="Tahoma" w:hAnsi="Tahoma" w:cs="Tahoma"/>
          <w:sz w:val="24"/>
          <w:szCs w:val="24"/>
        </w:rPr>
        <w:t>, ale uwzględnia postulaty przekazane przez zainteresowane środowiska.</w:t>
      </w:r>
    </w:p>
    <w:p w14:paraId="31913BED" w14:textId="77777777" w:rsidR="006B20C7" w:rsidRPr="00A810EB" w:rsidRDefault="006B20C7" w:rsidP="00B920A5">
      <w:pPr>
        <w:pStyle w:val="NormalnyWeb"/>
        <w:spacing w:line="360" w:lineRule="auto"/>
        <w:jc w:val="both"/>
        <w:rPr>
          <w:rFonts w:ascii="Tahoma" w:hAnsi="Tahoma" w:cs="Tahoma"/>
        </w:rPr>
      </w:pPr>
    </w:p>
    <w:sectPr w:rsidR="006B20C7" w:rsidRPr="00A810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EC7FA" w14:textId="77777777" w:rsidR="006221BB" w:rsidRDefault="006221BB" w:rsidP="007D54AB">
      <w:pPr>
        <w:spacing w:after="0" w:line="240" w:lineRule="auto"/>
      </w:pPr>
      <w:r>
        <w:separator/>
      </w:r>
    </w:p>
  </w:endnote>
  <w:endnote w:type="continuationSeparator" w:id="0">
    <w:p w14:paraId="07B47023" w14:textId="77777777" w:rsidR="006221BB" w:rsidRDefault="006221BB" w:rsidP="007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341602"/>
      <w:docPartObj>
        <w:docPartGallery w:val="Page Numbers (Bottom of Page)"/>
        <w:docPartUnique/>
      </w:docPartObj>
    </w:sdtPr>
    <w:sdtEndPr/>
    <w:sdtContent>
      <w:p w14:paraId="340C43C4" w14:textId="54D3238D" w:rsidR="00A810EB" w:rsidRDefault="00A810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CE1">
          <w:rPr>
            <w:noProof/>
          </w:rPr>
          <w:t>2</w:t>
        </w:r>
        <w:r>
          <w:fldChar w:fldCharType="end"/>
        </w:r>
      </w:p>
    </w:sdtContent>
  </w:sdt>
  <w:p w14:paraId="39EFAA40" w14:textId="77777777" w:rsidR="007D54AB" w:rsidRDefault="007D54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28E49" w14:textId="77777777" w:rsidR="006221BB" w:rsidRDefault="006221BB" w:rsidP="007D54AB">
      <w:pPr>
        <w:spacing w:after="0" w:line="240" w:lineRule="auto"/>
      </w:pPr>
      <w:r>
        <w:separator/>
      </w:r>
    </w:p>
  </w:footnote>
  <w:footnote w:type="continuationSeparator" w:id="0">
    <w:p w14:paraId="7701C8CD" w14:textId="77777777" w:rsidR="006221BB" w:rsidRDefault="006221BB" w:rsidP="007D5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40E9"/>
    <w:multiLevelType w:val="hybridMultilevel"/>
    <w:tmpl w:val="1B260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509D7"/>
    <w:multiLevelType w:val="hybridMultilevel"/>
    <w:tmpl w:val="EC587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564DA"/>
    <w:multiLevelType w:val="hybridMultilevel"/>
    <w:tmpl w:val="3D960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7394B"/>
    <w:multiLevelType w:val="multilevel"/>
    <w:tmpl w:val="7848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94"/>
    <w:rsid w:val="0002334D"/>
    <w:rsid w:val="000F3D75"/>
    <w:rsid w:val="00101594"/>
    <w:rsid w:val="00232D16"/>
    <w:rsid w:val="00452C46"/>
    <w:rsid w:val="005C3E28"/>
    <w:rsid w:val="005D4A33"/>
    <w:rsid w:val="005D6EA0"/>
    <w:rsid w:val="006221BB"/>
    <w:rsid w:val="006B20C7"/>
    <w:rsid w:val="007D54AB"/>
    <w:rsid w:val="00806C1C"/>
    <w:rsid w:val="0082424B"/>
    <w:rsid w:val="0090491D"/>
    <w:rsid w:val="00A312DD"/>
    <w:rsid w:val="00A42129"/>
    <w:rsid w:val="00A810EB"/>
    <w:rsid w:val="00AB1ACB"/>
    <w:rsid w:val="00AF6A0E"/>
    <w:rsid w:val="00B920A5"/>
    <w:rsid w:val="00BA66DC"/>
    <w:rsid w:val="00C16DCD"/>
    <w:rsid w:val="00C94270"/>
    <w:rsid w:val="00D02CE1"/>
    <w:rsid w:val="00D0460D"/>
    <w:rsid w:val="00DA6820"/>
    <w:rsid w:val="00DB64BC"/>
    <w:rsid w:val="00ED70BA"/>
    <w:rsid w:val="00EE1ADC"/>
    <w:rsid w:val="00F91BD8"/>
    <w:rsid w:val="00F9793B"/>
    <w:rsid w:val="00FF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2C7D"/>
  <w15:chartTrackingRefBased/>
  <w15:docId w15:val="{8848BF78-67A2-4929-85CF-AAA291E1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FF3FC8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5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101594"/>
  </w:style>
  <w:style w:type="character" w:customStyle="1" w:styleId="fn-ref">
    <w:name w:val="fn-ref"/>
    <w:basedOn w:val="Domylnaczcionkaakapitu"/>
    <w:rsid w:val="00101594"/>
  </w:style>
  <w:style w:type="character" w:customStyle="1" w:styleId="alb-s">
    <w:name w:val="a_lb-s"/>
    <w:basedOn w:val="Domylnaczcionkaakapitu"/>
    <w:rsid w:val="00101594"/>
  </w:style>
  <w:style w:type="character" w:styleId="Hipercze">
    <w:name w:val="Hyperlink"/>
    <w:basedOn w:val="Domylnaczcionkaakapitu"/>
    <w:uiPriority w:val="99"/>
    <w:semiHidden/>
    <w:unhideWhenUsed/>
    <w:rsid w:val="0010159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01594"/>
    <w:pPr>
      <w:ind w:left="720"/>
      <w:contextualSpacing/>
    </w:pPr>
  </w:style>
  <w:style w:type="character" w:customStyle="1" w:styleId="FontStyle11">
    <w:name w:val="Font Style11"/>
    <w:basedOn w:val="Domylnaczcionkaakapitu"/>
    <w:uiPriority w:val="99"/>
    <w:rsid w:val="00FF3FC8"/>
    <w:rPr>
      <w:rFonts w:ascii="Microsoft Sans Serif" w:hAnsi="Microsoft Sans Serif" w:cs="Microsoft Sans Serif"/>
      <w:b/>
      <w:bCs/>
      <w:sz w:val="12"/>
      <w:szCs w:val="12"/>
    </w:rPr>
  </w:style>
  <w:style w:type="paragraph" w:styleId="NormalnyWeb">
    <w:name w:val="Normal (Web)"/>
    <w:basedOn w:val="Normalny"/>
    <w:uiPriority w:val="99"/>
    <w:rsid w:val="00FF3FC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FF3FC8"/>
    <w:rPr>
      <w:rFonts w:ascii="Arial" w:eastAsia="Times New Roman" w:hAnsi="Arial" w:cs="Arial"/>
      <w:b/>
      <w:bCs/>
      <w:sz w:val="25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5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54AB"/>
  </w:style>
  <w:style w:type="paragraph" w:styleId="Stopka">
    <w:name w:val="footer"/>
    <w:basedOn w:val="Normalny"/>
    <w:link w:val="StopkaZnak"/>
    <w:uiPriority w:val="99"/>
    <w:unhideWhenUsed/>
    <w:rsid w:val="007D54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54AB"/>
  </w:style>
  <w:style w:type="character" w:styleId="Pogrubienie">
    <w:name w:val="Strong"/>
    <w:basedOn w:val="Domylnaczcionkaakapitu"/>
    <w:uiPriority w:val="22"/>
    <w:qFormat/>
    <w:rsid w:val="00232D1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448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21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76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9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715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08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29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67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88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05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71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81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70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Pałka</dc:creator>
  <cp:keywords/>
  <dc:description/>
  <cp:lastModifiedBy>Grzegorz Molesztak</cp:lastModifiedBy>
  <cp:revision>3</cp:revision>
  <cp:lastPrinted>2021-08-23T05:25:00Z</cp:lastPrinted>
  <dcterms:created xsi:type="dcterms:W3CDTF">2021-10-05T10:11:00Z</dcterms:created>
  <dcterms:modified xsi:type="dcterms:W3CDTF">2021-10-28T11:36:00Z</dcterms:modified>
</cp:coreProperties>
</file>