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FFB65"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jc w:val="center"/>
        <w:rPr>
          <w:rFonts w:ascii="Tahoma" w:eastAsia="Tahoma Bold" w:hAnsi="Tahoma" w:cs="Tahoma"/>
          <w:shd w:val="clear" w:color="auto" w:fill="FFFFFF"/>
        </w:rPr>
      </w:pPr>
      <w:bookmarkStart w:id="0" w:name="_GoBack"/>
      <w:bookmarkEnd w:id="0"/>
      <w:r w:rsidRPr="00B970E7">
        <w:rPr>
          <w:rFonts w:ascii="Tahoma" w:hAnsi="Tahoma" w:cs="Tahoma"/>
          <w:shd w:val="clear" w:color="auto" w:fill="FFFFFF"/>
        </w:rPr>
        <w:t>UZASADNIENIE</w:t>
      </w:r>
    </w:p>
    <w:p w14:paraId="186C448F"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eastAsia="Tahoma" w:hAnsi="Tahoma" w:cs="Tahoma"/>
          <w:shd w:val="clear" w:color="auto" w:fill="FFFFFF"/>
        </w:rPr>
      </w:pPr>
    </w:p>
    <w:p w14:paraId="0C8EE6F6"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eastAsia="Tahoma" w:hAnsi="Tahoma" w:cs="Tahoma"/>
          <w:shd w:val="clear" w:color="auto" w:fill="FFFFFF"/>
        </w:rPr>
      </w:pPr>
    </w:p>
    <w:p w14:paraId="613F2A01" w14:textId="77777777" w:rsidR="002D5353" w:rsidRPr="00B970E7" w:rsidRDefault="00D75504">
      <w:pPr>
        <w:pStyle w:val="Default"/>
        <w:numPr>
          <w:ilvl w:val="0"/>
          <w:numId w:val="12"/>
        </w:numPr>
        <w:spacing w:before="0" w:after="240" w:line="440" w:lineRule="atLeast"/>
        <w:rPr>
          <w:rFonts w:ascii="Tahoma" w:hAnsi="Tahoma" w:cs="Tahoma"/>
        </w:rPr>
      </w:pPr>
      <w:r w:rsidRPr="00B970E7">
        <w:rPr>
          <w:rFonts w:ascii="Tahoma" w:hAnsi="Tahoma" w:cs="Tahoma"/>
          <w:shd w:val="clear" w:color="auto" w:fill="FFFFFF"/>
        </w:rPr>
        <w:t>Aktualny stan prawny </w:t>
      </w:r>
    </w:p>
    <w:p w14:paraId="4F3B62DF"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Fonts w:ascii="Tahoma" w:eastAsia="Tahoma" w:hAnsi="Tahoma" w:cs="Tahoma"/>
          <w:shd w:val="clear" w:color="auto" w:fill="FFFFFF"/>
        </w:rPr>
      </w:pPr>
      <w:r w:rsidRPr="00B970E7">
        <w:rPr>
          <w:rFonts w:ascii="Tahoma" w:hAnsi="Tahoma" w:cs="Tahoma"/>
          <w:shd w:val="clear" w:color="auto" w:fill="FFFFFF"/>
        </w:rPr>
        <w:t>Aktualnie zagadnienia dotyczące uprawy konopii włóknistych są regulowane:</w:t>
      </w:r>
    </w:p>
    <w:p w14:paraId="344CDE2D"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Fonts w:ascii="Tahoma" w:hAnsi="Tahoma" w:cs="Tahoma"/>
          <w:shd w:val="clear" w:color="auto" w:fill="FFFFFF"/>
        </w:rPr>
        <w:t>Ustawą z dnia 29 lipca 2005 r. o przeciwdziałaniu narkomanii (Dz. U. z 2018 r. poz. 1030, 1490, 1669).</w:t>
      </w:r>
    </w:p>
    <w:p w14:paraId="03F44409"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Fonts w:ascii="Tahoma" w:hAnsi="Tahoma" w:cs="Tahoma"/>
          <w:shd w:val="clear" w:color="auto" w:fill="FFFFFF"/>
        </w:rPr>
        <w:t>Ustawa z dnia z dnia 24 kwietnia 2015 r. o zmianie ustawy o przeciwdziałaniu narkomanii oraz niektórych innych ustaw.</w:t>
      </w:r>
    </w:p>
    <w:p w14:paraId="4CE2BF05"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Fonts w:ascii="Tahoma" w:hAnsi="Tahoma" w:cs="Tahoma"/>
          <w:shd w:val="clear" w:color="auto" w:fill="FFFFFF"/>
        </w:rPr>
        <w:t>Ustawą z dnia 9 listopada 2012 r. o nasiennictwie (Dz. U. z 2019 r. poz. 568, z 2020 r. poz. 425, 875).</w:t>
      </w:r>
    </w:p>
    <w:p w14:paraId="31C71409"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Fonts w:ascii="Tahoma" w:hAnsi="Tahoma" w:cs="Tahoma"/>
          <w:shd w:val="clear" w:color="auto" w:fill="FFFFFF"/>
        </w:rPr>
        <w:t>Rozporządzeniem Ministra Gospodarki i Pracy z dnia 8 lutego 2005 r. w sprawie pozwoleń na przywóz konopi z krajów trzecich (Dz.U. 2005 nr 24 poz. 198)</w:t>
      </w:r>
    </w:p>
    <w:p w14:paraId="3D58625B" w14:textId="77777777" w:rsidR="002D5353" w:rsidRPr="00B970E7" w:rsidRDefault="00D75504">
      <w:pPr>
        <w:pStyle w:val="Default"/>
        <w:numPr>
          <w:ilvl w:val="0"/>
          <w:numId w:val="13"/>
        </w:numPr>
        <w:spacing w:before="0" w:after="240" w:line="440" w:lineRule="atLeast"/>
        <w:jc w:val="both"/>
        <w:rPr>
          <w:rFonts w:ascii="Tahoma" w:hAnsi="Tahoma" w:cs="Tahoma"/>
        </w:rPr>
      </w:pPr>
      <w:r w:rsidRPr="00B970E7">
        <w:rPr>
          <w:rFonts w:ascii="Tahoma" w:hAnsi="Tahoma" w:cs="Tahoma"/>
          <w:shd w:val="clear" w:color="auto" w:fill="FFFFFF"/>
        </w:rPr>
        <w:t>Rozporządzeniem Ministra Rozwoju z dnia 5 lutego 2016 r. zmieniające rozporządzenie w sprawie pozwoleń na przywóz konopi z krajów trzecich (Dz.U. 2016 poz. 256).</w:t>
      </w:r>
    </w:p>
    <w:p w14:paraId="02C202AC"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560" w:lineRule="atLeast"/>
        <w:jc w:val="both"/>
        <w:rPr>
          <w:rFonts w:ascii="Tahoma" w:eastAsia="Tahoma" w:hAnsi="Tahoma" w:cs="Tahoma"/>
          <w:shd w:val="clear" w:color="auto" w:fill="FFFFFF"/>
        </w:rPr>
      </w:pPr>
      <w:r w:rsidRPr="00B970E7">
        <w:rPr>
          <w:rFonts w:ascii="Tahoma" w:hAnsi="Tahoma" w:cs="Tahoma"/>
          <w:shd w:val="clear" w:color="auto" w:fill="FFFFFF"/>
        </w:rPr>
        <w:t xml:space="preserve">Zgodnie z obowiązującym stanem prawnym uprawa konopi włóknistych może być prowadzona wyłącznie na potrzeby przemysłu włókienniczego, chemicznego, celulozowo-papierniczego, spożywczego, kosmetycznego, farmaceutycznego, materiałów budowlanych oraz nasiennictwa. </w:t>
      </w:r>
      <w:r w:rsidRPr="00B970E7">
        <w:rPr>
          <w:rFonts w:ascii="Tahoma" w:hAnsi="Tahoma" w:cs="Tahoma"/>
          <w:color w:val="202124"/>
          <w:shd w:val="clear" w:color="auto" w:fill="FFFFFF"/>
        </w:rPr>
        <w:t xml:space="preserve">Ustawa o przeciwdziałaniu narkomanii definiuje konopie włókniste jako rośliny z gatunku konopie siewne (Cannabis sativa L.), w których suma zawartości delta-9- tetrahydrokannabinolu oraz kwasu tetrahydrokannabinolowego (kwasu delta-9-THC-2-karboksylowego) w kwiatowych lub owocujących wierzchołkach roślin, z których nie usunięto żywicy, nie przekracza 0,20% w przeliczeniu na suchą masę. Ustawa uprawnia Sejmik województwa, po zasięgnięciu opinii ministra właściwego do spraw zdrowia oraz ministra do spraw rolnictwa, do określenia powierzchni przeznaczonej corocznie pod uprawę konopi włóknistych oraz rejonizacji tych upraw na danym terenie. Z kolei zezwolenie na uprawę konopi włóknistych wydaje wójt (burmistrz, prezydent miasta) </w:t>
      </w:r>
      <w:r w:rsidRPr="00B970E7">
        <w:rPr>
          <w:rFonts w:ascii="Tahoma" w:hAnsi="Tahoma" w:cs="Tahoma"/>
          <w:color w:val="202124"/>
          <w:shd w:val="clear" w:color="auto" w:fill="FFFFFF"/>
        </w:rPr>
        <w:lastRenderedPageBreak/>
        <w:t>właściwy ze względu na miejsce położenia uprawy. Wójt (burmistrz, prezydent miasta) sprawuje również nadzór nad uprawami konopi włóknistych. Uprawa konopi wbrew przepisom ustawy podlega karze grzywny. </w:t>
      </w:r>
    </w:p>
    <w:p w14:paraId="67ED2A24"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eastAsia="Tahoma" w:hAnsi="Tahoma" w:cs="Tahoma"/>
          <w:shd w:val="clear" w:color="auto" w:fill="FFFFFF"/>
        </w:rPr>
      </w:pPr>
    </w:p>
    <w:p w14:paraId="1076A6FC"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eastAsia="Tahoma" w:hAnsi="Tahoma" w:cs="Tahoma"/>
          <w:shd w:val="clear" w:color="auto" w:fill="FFFFFF"/>
        </w:rPr>
      </w:pPr>
    </w:p>
    <w:p w14:paraId="32F0DE59"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Fonts w:ascii="Tahoma" w:eastAsia="Tahoma Bold" w:hAnsi="Tahoma" w:cs="Tahoma"/>
          <w:shd w:val="clear" w:color="auto" w:fill="FFFFFF"/>
        </w:rPr>
      </w:pPr>
      <w:r w:rsidRPr="00B970E7">
        <w:rPr>
          <w:rFonts w:ascii="Tahoma" w:hAnsi="Tahoma" w:cs="Tahoma"/>
          <w:shd w:val="clear" w:color="auto" w:fill="FFFFFF"/>
        </w:rPr>
        <w:t>II. Ratyfikowane umowy międzynarodowe i prawo Unii Europejskiej </w:t>
      </w:r>
    </w:p>
    <w:p w14:paraId="5D8EDD23"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Fonts w:ascii="Tahoma" w:eastAsia="Tahoma" w:hAnsi="Tahoma" w:cs="Tahoma"/>
          <w:shd w:val="clear" w:color="auto" w:fill="FFFFFF"/>
        </w:rPr>
      </w:pPr>
      <w:r w:rsidRPr="00B970E7">
        <w:rPr>
          <w:rFonts w:ascii="Tahoma" w:hAnsi="Tahoma" w:cs="Tahoma"/>
          <w:shd w:val="clear" w:color="auto" w:fill="FFFFFF"/>
        </w:rPr>
        <w:t>W regulowanej dziedzinie obowiązują umowy międzynarodowe i praw Unii Europejskiej, którym Rzeczpospolita Polska jest związana. Jednakże żadna z międzynarodowych konwencji dotyczących polityki antynarkotykowej nie zakazuje bądź nie dotyczy bezpośrednio uprawy  konopi włóknistych. W szczególności:</w:t>
      </w:r>
    </w:p>
    <w:p w14:paraId="4CC67BA1" w14:textId="77777777" w:rsidR="002D5353" w:rsidRPr="00B970E7" w:rsidRDefault="00D75504">
      <w:pPr>
        <w:pStyle w:val="Default"/>
        <w:numPr>
          <w:ilvl w:val="0"/>
          <w:numId w:val="14"/>
        </w:numPr>
        <w:spacing w:before="0" w:line="420" w:lineRule="atLeast"/>
        <w:jc w:val="both"/>
        <w:rPr>
          <w:rFonts w:ascii="Tahoma" w:hAnsi="Tahoma" w:cs="Tahoma"/>
        </w:rPr>
      </w:pPr>
      <w:r w:rsidRPr="00B970E7">
        <w:rPr>
          <w:rFonts w:ascii="Tahoma" w:hAnsi="Tahoma" w:cs="Tahoma"/>
          <w:shd w:val="clear" w:color="auto" w:fill="FFFFFF"/>
        </w:rPr>
        <w:t>Jednolita konwencja o środkach odurzających z 1961 r., sporządzona w Nowym Jorku dnia 30 marca 1961 r. nie ma zastosowania w odniesieniu do do rośliny konopi uprawianej wyłącznie w celach przemysłowych, rolniczych czy nasiennictwa. </w:t>
      </w:r>
      <w:r w:rsidRPr="00B970E7">
        <w:rPr>
          <w:rFonts w:ascii="Tahoma" w:hAnsi="Tahoma" w:cs="Tahoma"/>
          <w:shd w:val="clear" w:color="auto" w:fill="FFFFFF"/>
        </w:rPr>
        <w:br/>
      </w:r>
    </w:p>
    <w:p w14:paraId="7581A940" w14:textId="77777777" w:rsidR="002D5353" w:rsidRPr="00B970E7" w:rsidRDefault="00D75504">
      <w:pPr>
        <w:pStyle w:val="Default"/>
        <w:numPr>
          <w:ilvl w:val="0"/>
          <w:numId w:val="13"/>
        </w:numPr>
        <w:spacing w:before="0" w:line="420" w:lineRule="atLeast"/>
        <w:jc w:val="both"/>
        <w:rPr>
          <w:rFonts w:ascii="Tahoma" w:hAnsi="Tahoma" w:cs="Tahoma"/>
        </w:rPr>
      </w:pPr>
      <w:r w:rsidRPr="00B970E7">
        <w:rPr>
          <w:rFonts w:ascii="Tahoma" w:hAnsi="Tahoma" w:cs="Tahoma"/>
          <w:shd w:val="clear" w:color="auto" w:fill="FFFFFF"/>
        </w:rPr>
        <w:t>Konwencja o substancjach psychotropowych, sporządzona w Wiedniu dnia 21 lutego 1971 r. definiuje  "roślinę konopi" jako każdą roślinę z rodzaju konopi. W art. 14 Konwencja stanowi, że każda Strona Konwencji podejmie właściwe działania, aby zapobiec nielegalnej uprawie roślin zawierających substancje odurzające i psychotropowe, takich jak mak lekarski, krzew koka i rośliny konopi, oraz dokona zniszczenia takich roślin uprawianych nielegalnie na jej obszarze. Podejmowane działania powinny respektować podstawowe prawa człowieka, a także brać pod uwagę tradycyjne legalne użycie, w przypadkach, w których istnieją historyczne dowody takiego użycia, jak również względy ochrony środowiska. </w:t>
      </w:r>
      <w:r w:rsidRPr="00B970E7">
        <w:rPr>
          <w:rFonts w:ascii="Tahoma" w:hAnsi="Tahoma" w:cs="Tahoma"/>
          <w:shd w:val="clear" w:color="auto" w:fill="FFFFFF"/>
        </w:rPr>
        <w:br/>
      </w:r>
    </w:p>
    <w:p w14:paraId="0A46ED52" w14:textId="77777777" w:rsidR="002D5353" w:rsidRPr="00B970E7" w:rsidRDefault="00D75504">
      <w:pPr>
        <w:pStyle w:val="Default"/>
        <w:numPr>
          <w:ilvl w:val="0"/>
          <w:numId w:val="13"/>
        </w:numPr>
        <w:spacing w:before="0" w:after="240" w:line="420" w:lineRule="atLeast"/>
        <w:jc w:val="both"/>
        <w:rPr>
          <w:rFonts w:ascii="Tahoma" w:hAnsi="Tahoma" w:cs="Tahoma"/>
        </w:rPr>
      </w:pPr>
      <w:r w:rsidRPr="00B970E7">
        <w:rPr>
          <w:rFonts w:ascii="Tahoma" w:hAnsi="Tahoma" w:cs="Tahoma"/>
          <w:shd w:val="clear" w:color="auto" w:fill="FFFFFF"/>
        </w:rPr>
        <w:t>Konwencja Narodów Zjednoczonych o zwalczaniu nielegalnego obrotu środkami odurzającymi i substancjami psychotropowymi, sporządzona w Wiedniu dnia 20 grudnia 1988 r. nie ma zastosowania w odniesieniu do do rośliny konopi uprawianej wyłącznie w celach przemysłowych, rolniczych czy nasiennictwa. </w:t>
      </w:r>
      <w:r w:rsidRPr="00B970E7">
        <w:rPr>
          <w:rFonts w:ascii="Tahoma" w:hAnsi="Tahoma" w:cs="Tahoma"/>
          <w:shd w:val="clear" w:color="auto" w:fill="FFFFFF"/>
        </w:rPr>
        <w:br/>
      </w:r>
    </w:p>
    <w:p w14:paraId="5E0B1A02"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Fonts w:ascii="Tahoma" w:eastAsia="Tahoma" w:hAnsi="Tahoma" w:cs="Tahoma"/>
          <w:shd w:val="clear" w:color="auto" w:fill="FFFFFF"/>
        </w:rPr>
      </w:pPr>
      <w:r w:rsidRPr="00B970E7">
        <w:rPr>
          <w:rFonts w:ascii="Tahoma" w:hAnsi="Tahoma" w:cs="Tahoma"/>
          <w:shd w:val="clear" w:color="auto" w:fill="FFFFFF"/>
        </w:rPr>
        <w:t>Przedmiot projektowanej regulacji objęty jest zakresem prawa Unii Europejskiej, w szczególności:</w:t>
      </w:r>
    </w:p>
    <w:p w14:paraId="6AF1B9E8" w14:textId="77777777" w:rsidR="002D5353" w:rsidRPr="00B970E7" w:rsidRDefault="00D75504">
      <w:pPr>
        <w:pStyle w:val="Default"/>
        <w:numPr>
          <w:ilvl w:val="0"/>
          <w:numId w:val="15"/>
        </w:numPr>
        <w:spacing w:before="0" w:line="440" w:lineRule="atLeast"/>
        <w:jc w:val="both"/>
        <w:rPr>
          <w:rFonts w:ascii="Tahoma" w:hAnsi="Tahoma" w:cs="Tahoma"/>
        </w:rPr>
      </w:pPr>
      <w:r w:rsidRPr="00B970E7">
        <w:rPr>
          <w:rFonts w:ascii="Tahoma" w:hAnsi="Tahoma" w:cs="Tahoma"/>
          <w:shd w:val="clear" w:color="auto" w:fill="FFFFFF"/>
        </w:rPr>
        <w:lastRenderedPageBreak/>
        <w:t>Rozporządzeniem Parlamentu Europejskiego i Rady (UE) nr 1307/2013 z dnia 17 grudnia 2013 r. ustanawiającym przepisy dotyczące płatności bezpośrednich dla rolników na podstawie systemów wsparcia w ramach wspólnej polityki rolnej oraz uchylające rozporządzenie Rady (WE) nr 637/2008 i rozporządzenie Rady (WE) nr 73/2009;</w:t>
      </w:r>
      <w:r w:rsidRPr="00B970E7">
        <w:rPr>
          <w:rFonts w:ascii="Tahoma" w:eastAsia="Tahoma" w:hAnsi="Tahoma" w:cs="Tahoma"/>
          <w:shd w:val="clear" w:color="auto" w:fill="FFFFFF"/>
        </w:rPr>
        <w:br/>
      </w:r>
    </w:p>
    <w:p w14:paraId="5675EACC"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Fonts w:ascii="Tahoma" w:hAnsi="Tahoma" w:cs="Tahoma"/>
          <w:shd w:val="clear" w:color="auto" w:fill="FFFFFF"/>
        </w:rPr>
        <w:t>Rozporządzeniem Parlamentu Europejskiego i Rady (UE) nr 1308/2013 z dnia 17 grudnia 2013 r. ustanawiającym wspólną organizację rynków produktów rolnych oraz uchylającym rozporządzenia Rady (EWG) nr 922/72, (EWG) nr 234/79, (WE) nr 1037/2001 i (WE) nr 1234/2007;</w:t>
      </w:r>
    </w:p>
    <w:p w14:paraId="04BD7525" w14:textId="77777777" w:rsidR="00B970E7" w:rsidRPr="00B970E7" w:rsidRDefault="00B970E7" w:rsidP="00B970E7">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720"/>
        <w:jc w:val="both"/>
        <w:rPr>
          <w:rFonts w:ascii="Tahoma" w:hAnsi="Tahoma" w:cs="Tahoma"/>
        </w:rPr>
      </w:pPr>
    </w:p>
    <w:p w14:paraId="7343C888" w14:textId="77777777" w:rsidR="002D5353"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Rozporządzeniem Parlamentu Europejskiego i Rady (UE) nr 1007/2011 z dnia 27 września 2011 r. w sprawie nazewnictwa włókien tekstylnych oraz etykietowania i oznakowywania składu surowcowego wyrobów włókienniczych, a także uchylenia dyrektywy Rady 73/44/EWG oraz dyrektyw Parlamentu Europejskiego i Rady 96/73/WE i 2008/121/WE;</w:t>
      </w:r>
      <w:r w:rsidR="00B970E7">
        <w:rPr>
          <w:rFonts w:ascii="Tahoma" w:hAnsi="Tahoma" w:cs="Tahoma"/>
          <w:shd w:val="clear" w:color="auto" w:fill="FFFFFF"/>
        </w:rPr>
        <w:t xml:space="preserve"> </w:t>
      </w:r>
    </w:p>
    <w:p w14:paraId="0A70FD2D" w14:textId="77777777" w:rsidR="00B970E7" w:rsidRPr="00B970E7" w:rsidRDefault="00B970E7" w:rsidP="00B970E7">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720"/>
        <w:jc w:val="both"/>
        <w:rPr>
          <w:rFonts w:ascii="Tahoma" w:hAnsi="Tahoma" w:cs="Tahoma"/>
          <w:shd w:val="clear" w:color="auto" w:fill="FFFFFF"/>
        </w:rPr>
      </w:pPr>
    </w:p>
    <w:p w14:paraId="2BAD4CE3" w14:textId="77777777" w:rsidR="002D5353"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Dyrektywą Rady 2002/57/WE z dnia 13 czerwca 2002 r. w sprawie obrotu materiałem siewnym roślin oleistych i włóknistych;</w:t>
      </w:r>
      <w:r w:rsidR="00B970E7">
        <w:rPr>
          <w:rFonts w:ascii="Tahoma" w:hAnsi="Tahoma" w:cs="Tahoma"/>
          <w:shd w:val="clear" w:color="auto" w:fill="FFFFFF"/>
        </w:rPr>
        <w:t xml:space="preserve"> </w:t>
      </w:r>
    </w:p>
    <w:p w14:paraId="326B7A61" w14:textId="77777777" w:rsidR="00B970E7" w:rsidRPr="00B970E7" w:rsidRDefault="00B970E7" w:rsidP="00B970E7">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720"/>
        <w:jc w:val="both"/>
        <w:rPr>
          <w:rFonts w:ascii="Tahoma" w:hAnsi="Tahoma" w:cs="Tahoma"/>
          <w:shd w:val="clear" w:color="auto" w:fill="FFFFFF"/>
        </w:rPr>
      </w:pPr>
    </w:p>
    <w:p w14:paraId="6042B3E0" w14:textId="77777777" w:rsidR="002D5353" w:rsidRPr="00B970E7" w:rsidRDefault="00D75504">
      <w:pPr>
        <w:pStyle w:val="Default"/>
        <w:numPr>
          <w:ilvl w:val="0"/>
          <w:numId w:val="13"/>
        </w:numPr>
        <w:spacing w:before="0" w:after="240" w:line="440" w:lineRule="atLeast"/>
        <w:jc w:val="both"/>
        <w:rPr>
          <w:rFonts w:ascii="Tahoma" w:hAnsi="Tahoma" w:cs="Tahoma"/>
          <w:shd w:val="clear" w:color="auto" w:fill="FFFFFF"/>
        </w:rPr>
      </w:pPr>
      <w:r w:rsidRPr="00B970E7">
        <w:rPr>
          <w:rFonts w:ascii="Tahoma" w:hAnsi="Tahoma" w:cs="Tahoma"/>
          <w:shd w:val="clear" w:color="auto" w:fill="FFFFFF"/>
        </w:rPr>
        <w:t>Dyrektywą Komisji 2008/124/WE z dnia 18 grudnia 2008 r. ograniczająca obrót materiałem siewnym niektórych gatunków roślin pastewnych oraz oleistych i włóknistych do materiału siewnego, który został urzędowo zakwalifikowany jako elitarny materiał siewny lub kwalifikowany materiał siewny.</w:t>
      </w:r>
      <w:r w:rsidRPr="00B970E7">
        <w:rPr>
          <w:rFonts w:ascii="Tahoma" w:eastAsia="Tahoma" w:hAnsi="Tahoma" w:cs="Tahoma"/>
          <w:shd w:val="clear" w:color="auto" w:fill="FFFFFF"/>
        </w:rPr>
        <w:br/>
      </w:r>
    </w:p>
    <w:p w14:paraId="79FB9401"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Fonts w:ascii="Tahoma" w:hAnsi="Tahoma" w:cs="Tahoma"/>
          <w:shd w:val="clear" w:color="auto" w:fill="FFFFFF"/>
        </w:rPr>
        <w:t xml:space="preserve">Poprawki przyjęte przez Parlament Europejski w dniu 23 października 2020 r. w sprawie wniosku dotyczącego rozporządzenia Parlamentu Europejskiego i Rady ustanawiającego przepisy dotyczące wsparcia na podstawie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rozporządzenie Parlamentu Europejskiego i Rady (UE) nr 1305/2013 i rozporządzenie </w:t>
      </w:r>
      <w:r w:rsidRPr="00B970E7">
        <w:rPr>
          <w:rFonts w:ascii="Tahoma" w:hAnsi="Tahoma" w:cs="Tahoma"/>
          <w:shd w:val="clear" w:color="auto" w:fill="FFFFFF"/>
        </w:rPr>
        <w:lastRenderedPageBreak/>
        <w:t>Parlamentu Europejskiego i Rady (UE) nr 1307/2013 (</w:t>
      </w:r>
      <w:hyperlink r:id="rId7" w:history="1">
        <w:r w:rsidRPr="00B970E7">
          <w:rPr>
            <w:rStyle w:val="Hyperlink0"/>
            <w:rFonts w:ascii="Tahoma" w:hAnsi="Tahoma" w:cs="Tahoma"/>
          </w:rPr>
          <w:t>COM(2018)0392</w:t>
        </w:r>
      </w:hyperlink>
      <w:r w:rsidRPr="00B970E7">
        <w:rPr>
          <w:rStyle w:val="None"/>
          <w:rFonts w:ascii="Tahoma" w:hAnsi="Tahoma" w:cs="Tahoma"/>
          <w:shd w:val="clear" w:color="auto" w:fill="FFFFFF"/>
        </w:rPr>
        <w:t xml:space="preserve"> – C8-0248/2018 –</w:t>
      </w:r>
      <w:hyperlink r:id="rId8" w:history="1">
        <w:r w:rsidRPr="00B970E7">
          <w:rPr>
            <w:rStyle w:val="Hyperlink0"/>
            <w:rFonts w:ascii="Tahoma" w:hAnsi="Tahoma" w:cs="Tahoma"/>
          </w:rPr>
          <w:t>2018/0216(COD)</w:t>
        </w:r>
      </w:hyperlink>
      <w:r w:rsidRPr="00B970E7">
        <w:rPr>
          <w:rStyle w:val="None"/>
          <w:rFonts w:ascii="Tahoma" w:hAnsi="Tahoma" w:cs="Tahoma"/>
          <w:shd w:val="clear" w:color="auto" w:fill="FFFFFF"/>
        </w:rPr>
        <w:t>) zakładają, że:</w:t>
      </w:r>
    </w:p>
    <w:p w14:paraId="4369DF54" w14:textId="77777777" w:rsidR="002D5353" w:rsidRPr="00B970E7" w:rsidRDefault="00D75504">
      <w:pPr>
        <w:pStyle w:val="Default"/>
        <w:numPr>
          <w:ilvl w:val="0"/>
          <w:numId w:val="16"/>
        </w:numPr>
        <w:spacing w:before="0" w:line="440" w:lineRule="atLeast"/>
        <w:jc w:val="both"/>
        <w:rPr>
          <w:rFonts w:ascii="Tahoma" w:hAnsi="Tahoma" w:cs="Tahoma"/>
        </w:rPr>
      </w:pPr>
      <w:r w:rsidRPr="00B970E7">
        <w:rPr>
          <w:rStyle w:val="None"/>
          <w:rFonts w:ascii="Tahoma" w:hAnsi="Tahoma" w:cs="Tahoma"/>
          <w:shd w:val="clear" w:color="auto" w:fill="FFFFFF"/>
        </w:rPr>
        <w:t>w odniesieniu do obszarów wykorzystywanych do produkcji konopi, w celu ochrony zdrowia publicznego i zapewnienia spójności z innymi przepisami, wykorzystywanie odmian nasion konopi o zawartości tetrahydrokanabinolu poniżej 0,3 % powinno stanowić część definicji kwalifikującego się hektara;</w:t>
      </w:r>
    </w:p>
    <w:p w14:paraId="4FA961D2" w14:textId="77777777" w:rsidR="002D5353" w:rsidRPr="00B970E7" w:rsidRDefault="00D75504">
      <w:pPr>
        <w:pStyle w:val="Default"/>
        <w:numPr>
          <w:ilvl w:val="0"/>
          <w:numId w:val="13"/>
        </w:numPr>
        <w:spacing w:before="0" w:after="240" w:line="440" w:lineRule="atLeast"/>
        <w:jc w:val="both"/>
        <w:rPr>
          <w:rFonts w:ascii="Tahoma" w:hAnsi="Tahoma" w:cs="Tahoma"/>
        </w:rPr>
      </w:pPr>
      <w:r w:rsidRPr="00B970E7">
        <w:rPr>
          <w:rStyle w:val="None"/>
          <w:rFonts w:ascii="Tahoma" w:hAnsi="Tahoma" w:cs="Tahoma"/>
          <w:shd w:val="clear" w:color="auto" w:fill="FFFFFF"/>
        </w:rPr>
        <w:t>obszary wykorzystywane do produkcji konopi stanowią kwalifikujące się hektary tylko wtedy, gdy stosowane odmiany zawierają maksymalnie 0,3% tetrahydrokanabinolu.</w:t>
      </w:r>
    </w:p>
    <w:p w14:paraId="301A99FE"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Projekt zakłada brak sprzeczności z prawem Unii Europejskiej oraz konwencjami międzynarodowymi.</w:t>
      </w:r>
    </w:p>
    <w:p w14:paraId="079283E9"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1ADB44EF"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III. Potrzeba i cel uchwalenia projektowanej ustawy </w:t>
      </w:r>
    </w:p>
    <w:p w14:paraId="68F03CA5"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Do głównych problemów zgłaszanych przez podmioty zajmujące się problematyką upraw konopi włóknistych należą:</w:t>
      </w:r>
    </w:p>
    <w:p w14:paraId="63536C24" w14:textId="77777777" w:rsidR="002D5353" w:rsidRPr="00B970E7" w:rsidRDefault="00D75504">
      <w:pPr>
        <w:pStyle w:val="Default"/>
        <w:numPr>
          <w:ilvl w:val="0"/>
          <w:numId w:val="17"/>
        </w:numPr>
        <w:spacing w:before="0" w:line="440" w:lineRule="atLeast"/>
        <w:jc w:val="both"/>
        <w:rPr>
          <w:rFonts w:ascii="Tahoma" w:hAnsi="Tahoma" w:cs="Tahoma"/>
        </w:rPr>
      </w:pPr>
      <w:r w:rsidRPr="00B970E7">
        <w:rPr>
          <w:rStyle w:val="None"/>
          <w:rFonts w:ascii="Tahoma" w:hAnsi="Tahoma" w:cs="Tahoma"/>
          <w:shd w:val="clear" w:color="auto" w:fill="FFFFFF"/>
        </w:rPr>
        <w:t>biurokratyczna, coroczna procedura rejonizacji zatwierdzonej uchwałą sejmiku wojewódzkiego, nastawiona na uprawy sezonowe nie całoroczne, obciążająca rolników oraz administrację wojewódzką i samorząd lokalny;</w:t>
      </w:r>
    </w:p>
    <w:p w14:paraId="126897FE"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Style w:val="None"/>
          <w:rFonts w:ascii="Tahoma" w:hAnsi="Tahoma" w:cs="Tahoma"/>
          <w:shd w:val="clear" w:color="auto" w:fill="FFFFFF"/>
        </w:rPr>
        <w:t>restrykcyjny poziom THC  na poziomie 0,20%, czyli niższym niż dopuszczony prawem europejskim przed poprawką Parlamentu Europejskiego przyjętą w dniu 23 października 2020 r. (0,2%) oraz po poprawce (0,3%). </w:t>
      </w:r>
    </w:p>
    <w:p w14:paraId="519BA8DD" w14:textId="77777777" w:rsidR="002D5353" w:rsidRPr="00B970E7" w:rsidRDefault="00D75504">
      <w:pPr>
        <w:pStyle w:val="Default"/>
        <w:numPr>
          <w:ilvl w:val="0"/>
          <w:numId w:val="13"/>
        </w:numPr>
        <w:spacing w:before="0" w:after="240" w:line="440" w:lineRule="atLeast"/>
        <w:jc w:val="both"/>
        <w:rPr>
          <w:rFonts w:ascii="Tahoma" w:hAnsi="Tahoma" w:cs="Tahoma"/>
        </w:rPr>
      </w:pPr>
      <w:r w:rsidRPr="00B970E7">
        <w:rPr>
          <w:rStyle w:val="None"/>
          <w:rFonts w:ascii="Tahoma" w:hAnsi="Tahoma" w:cs="Tahoma"/>
          <w:shd w:val="clear" w:color="auto" w:fill="FFFFFF"/>
        </w:rPr>
        <w:t>zbyt wąsko zdefiniowany katalog zastosowań konopi siewnych.</w:t>
      </w:r>
      <w:r w:rsidRPr="00B970E7">
        <w:rPr>
          <w:rStyle w:val="None"/>
          <w:rFonts w:ascii="Tahoma" w:eastAsia="Tahoma" w:hAnsi="Tahoma" w:cs="Tahoma"/>
          <w:shd w:val="clear" w:color="auto" w:fill="FFFFFF"/>
        </w:rPr>
        <w:br/>
      </w:r>
    </w:p>
    <w:p w14:paraId="5BAA0BF6"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Przedstawiony projekt założeń przewiduje wyodrębnienie z ustawy z dnia 29 lipca 2005 r. o przeciwdziałaniu narkomanii (Dz. U. z 2018 r. poz. 1030, 1490, 1669) nowej ustawy dotyczącej uprawy konopii włóknistych oraz odpowiednie dostosowanie do tej zmiany u.o.p.n. </w:t>
      </w:r>
    </w:p>
    <w:p w14:paraId="2599C8DE"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lastRenderedPageBreak/>
        <w:t>Projekt i jego założenia mają na celu odbiurokratyzowanie obecnie obowiązujących przepisów prawa dla zwiększenia potencjału uprawy konopii włóknistych w Polsce oraz zwiększenia konkurencyjności polskiej produkcji na rynku globalnym. </w:t>
      </w:r>
    </w:p>
    <w:p w14:paraId="17BBA0BA"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Szczegółowo, założenia projektu dotyczą następujących zagadnień:</w:t>
      </w:r>
    </w:p>
    <w:p w14:paraId="1411BC44" w14:textId="77777777" w:rsidR="002D5353" w:rsidRPr="00B970E7" w:rsidRDefault="00D75504">
      <w:pPr>
        <w:pStyle w:val="Default"/>
        <w:numPr>
          <w:ilvl w:val="0"/>
          <w:numId w:val="18"/>
        </w:numPr>
        <w:spacing w:before="0" w:line="440" w:lineRule="atLeast"/>
        <w:jc w:val="both"/>
        <w:rPr>
          <w:rFonts w:ascii="Tahoma" w:hAnsi="Tahoma" w:cs="Tahoma"/>
        </w:rPr>
      </w:pPr>
      <w:r w:rsidRPr="00B970E7">
        <w:rPr>
          <w:rStyle w:val="None"/>
          <w:rFonts w:ascii="Tahoma" w:hAnsi="Tahoma" w:cs="Tahoma"/>
          <w:shd w:val="clear" w:color="auto" w:fill="FFFFFF"/>
        </w:rPr>
        <w:t>obowiązku corocznej rejonizacji uprawy konopi włóknistych;</w:t>
      </w:r>
    </w:p>
    <w:p w14:paraId="07703521"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Style w:val="None"/>
          <w:rFonts w:ascii="Tahoma" w:hAnsi="Tahoma" w:cs="Tahoma"/>
          <w:shd w:val="clear" w:color="auto" w:fill="FFFFFF"/>
        </w:rPr>
        <w:t>nieznacznego podwyższenia dopuszczalnego poziomu substancji czynnej w uprawach;</w:t>
      </w:r>
    </w:p>
    <w:p w14:paraId="76B2DDD8" w14:textId="77777777" w:rsidR="002D5353" w:rsidRPr="00B970E7" w:rsidRDefault="00D75504">
      <w:pPr>
        <w:pStyle w:val="Default"/>
        <w:numPr>
          <w:ilvl w:val="0"/>
          <w:numId w:val="13"/>
        </w:numPr>
        <w:spacing w:before="0" w:after="240" w:line="440" w:lineRule="atLeast"/>
        <w:jc w:val="both"/>
        <w:rPr>
          <w:rFonts w:ascii="Tahoma" w:hAnsi="Tahoma" w:cs="Tahoma"/>
        </w:rPr>
      </w:pPr>
      <w:r w:rsidRPr="00B970E7">
        <w:rPr>
          <w:rStyle w:val="None"/>
          <w:rFonts w:ascii="Tahoma" w:hAnsi="Tahoma" w:cs="Tahoma"/>
          <w:shd w:val="clear" w:color="auto" w:fill="FFFFFF"/>
        </w:rPr>
        <w:t>rozszerzenia katalogu dopuszczalnych zastosowań konopi włóknistych.</w:t>
      </w:r>
    </w:p>
    <w:p w14:paraId="46F5A3C6"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5898C9F4"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IV. Zakres przedmiotowy ustawy </w:t>
      </w:r>
    </w:p>
    <w:p w14:paraId="78888C79"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Projekt zmienia definicję konopii włóknistej, jako rośliny z gatunku konopie siewne (Cannabis sativa L.),w których suma zawartości delta-9-tetrahydrokannabinolu oraz kwasu tetrahydrokannabinolowego (kwasu delta-9-THC-2-karboksylowego) w kwiatowych lub owocujących wierzchołkach roślin, z których nie usunięto żywicy, nie przekracza 0,3% w przeliczeniu na suchą masę (patrz: Załącznik 1). W obecnym stanie prawnym dopuszczalny maksymalny poziom THC określony został na poziomie 0,20%.</w:t>
      </w:r>
    </w:p>
    <w:p w14:paraId="2982014F"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56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Projekt przewiduje uproszczenie i przyspieszenie możliwości rozpoczęcia uprawy poprzez uchylenie corocznego obowiązku rejonizacji, opisanego w art. 46 ustawy o przeciwdziałaniu narkomanii.</w:t>
      </w:r>
    </w:p>
    <w:p w14:paraId="7B78F735"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56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Ponadto projekt przewiduje rozszerzenie katalogu zastosowań konopi włóknistych.</w:t>
      </w:r>
    </w:p>
    <w:p w14:paraId="6AB09F57"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Bold" w:hAnsi="Tahoma" w:cs="Tahoma"/>
          <w:shd w:val="clear" w:color="auto" w:fill="FFFFFF"/>
        </w:rPr>
      </w:pPr>
      <w:r w:rsidRPr="00B970E7">
        <w:rPr>
          <w:rStyle w:val="None"/>
          <w:rFonts w:ascii="Tahoma" w:hAnsi="Tahoma" w:cs="Tahoma"/>
          <w:shd w:val="clear" w:color="auto" w:fill="FFFFFF"/>
        </w:rPr>
        <w:t>V. Zakres podmiotowy ustawy: </w:t>
      </w:r>
    </w:p>
    <w:p w14:paraId="14DDCCD0"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Zakresem projektowanej ustawy objęte zostaną następujące grupy podmiotów: </w:t>
      </w:r>
    </w:p>
    <w:p w14:paraId="1C06F2E0" w14:textId="77777777" w:rsidR="002D5353" w:rsidRPr="00B970E7" w:rsidRDefault="00D75504">
      <w:pPr>
        <w:pStyle w:val="Default"/>
        <w:numPr>
          <w:ilvl w:val="0"/>
          <w:numId w:val="19"/>
        </w:numPr>
        <w:spacing w:before="0" w:line="440" w:lineRule="atLeast"/>
        <w:jc w:val="both"/>
        <w:rPr>
          <w:rFonts w:ascii="Tahoma" w:hAnsi="Tahoma" w:cs="Tahoma"/>
        </w:rPr>
      </w:pPr>
      <w:r w:rsidRPr="00B970E7">
        <w:rPr>
          <w:rStyle w:val="None"/>
          <w:rFonts w:ascii="Tahoma" w:hAnsi="Tahoma" w:cs="Tahoma"/>
          <w:shd w:val="clear" w:color="auto" w:fill="FFFFFF"/>
        </w:rPr>
        <w:t>Osoby fizyczne oraz podmioty gospodarcze zajmujące się uprawą i obrotem konopi włóknistych</w:t>
      </w:r>
    </w:p>
    <w:p w14:paraId="51A02E67" w14:textId="77777777" w:rsidR="002D5353" w:rsidRPr="00B970E7" w:rsidRDefault="00D75504">
      <w:pPr>
        <w:pStyle w:val="Default"/>
        <w:numPr>
          <w:ilvl w:val="0"/>
          <w:numId w:val="13"/>
        </w:numPr>
        <w:spacing w:before="0" w:line="440" w:lineRule="atLeast"/>
        <w:jc w:val="both"/>
        <w:rPr>
          <w:rFonts w:ascii="Tahoma" w:hAnsi="Tahoma" w:cs="Tahoma"/>
        </w:rPr>
      </w:pPr>
      <w:r w:rsidRPr="00B970E7">
        <w:rPr>
          <w:rStyle w:val="None"/>
          <w:rFonts w:ascii="Tahoma" w:hAnsi="Tahoma" w:cs="Tahoma"/>
          <w:shd w:val="clear" w:color="auto" w:fill="FFFFFF"/>
        </w:rPr>
        <w:t>Samorząd gminy (wójt, burmistrz, prezydent miasta),</w:t>
      </w:r>
    </w:p>
    <w:p w14:paraId="0920F3A6" w14:textId="77777777" w:rsidR="002D5353" w:rsidRPr="00B970E7" w:rsidRDefault="00D75504">
      <w:pPr>
        <w:pStyle w:val="Default"/>
        <w:numPr>
          <w:ilvl w:val="0"/>
          <w:numId w:val="13"/>
        </w:numPr>
        <w:spacing w:before="0" w:after="560" w:line="440" w:lineRule="atLeast"/>
        <w:jc w:val="both"/>
        <w:rPr>
          <w:rFonts w:ascii="Tahoma" w:hAnsi="Tahoma" w:cs="Tahoma"/>
        </w:rPr>
      </w:pPr>
      <w:r w:rsidRPr="00B970E7">
        <w:rPr>
          <w:rStyle w:val="None"/>
          <w:rFonts w:ascii="Tahoma" w:hAnsi="Tahoma" w:cs="Tahoma"/>
          <w:shd w:val="clear" w:color="auto" w:fill="FFFFFF"/>
        </w:rPr>
        <w:lastRenderedPageBreak/>
        <w:t>Projektowana ustawa wyłączy podmioty wojewódzkie: marszałka województwa oraz sejmik wojewódzki w zakresie, w którym zmieniana ustawa nakłada na te podmioty coroczny obowiązek rejonizacji upraw.</w:t>
      </w:r>
    </w:p>
    <w:p w14:paraId="502FCCB1"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VI. Przewidywane skutki skutki społeczne, gospodarcze, finansowe i środowiskowe </w:t>
      </w:r>
    </w:p>
    <w:p w14:paraId="54CC94A4"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Fonts w:ascii="Tahoma" w:eastAsia="Tahoma" w:hAnsi="Tahoma" w:cs="Tahoma"/>
          <w:shd w:val="clear" w:color="auto" w:fill="FFFFFF"/>
        </w:rPr>
      </w:pPr>
      <w:r w:rsidRPr="00B970E7">
        <w:rPr>
          <w:rFonts w:ascii="Tahoma" w:hAnsi="Tahoma" w:cs="Tahoma"/>
          <w:shd w:val="clear" w:color="auto" w:fill="FFFFFF"/>
        </w:rPr>
        <w:t>Przyjęcie proponowanych w projekcie zmian przepisów będzie miało  pozytywny wpływ na dalszy rozwój areału upraw konopi i towarzyszącą temu procesowi stabilizację rynku pracy w regionach, w których uprawiane oraz przetwarzane konopie włókniste. Przepisy będą miały wpływ na poprawę konkurencyjności gospodarki, przez wzrost konkurencyjności podmiotów działających na krajowym rynku konopi siewnych. Z danych Agencji Restrukturyzacji i Modernizacji Rolnictwa wynika, że w 2017 roku areał upraw konopi włóknistych wynosił 1288 ha. W 2019 r. areał ten wzrósł niemal trzykrotnie do 3556 ha. Dane te obejmują wyłącznie rolników, którzy zadeklarowali uprawę konopi do przyznania płatności gruntowych. Z kolei z danych Euromonitor International, międzynarodowej firmy zajmującej się badaniami rynku wynika, że legalny rynek konopi na świecie, obecnie wyceniany na około 30 mld dol., przejmie 40 proc. światowej sprzedaży konopi w 2025 roku. W Polsce rynek CBD ma osiągnąć do 2025 roku nawet 5 mld zł. Dynamiczny rozwój areału upraw konopi włóknistych będzie miał również wpływ na wzrost przychodów do budżetu państwa. </w:t>
      </w:r>
    </w:p>
    <w:p w14:paraId="476F3876"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Fonts w:ascii="Tahoma" w:eastAsia="Tahoma" w:hAnsi="Tahoma" w:cs="Tahoma"/>
          <w:shd w:val="clear" w:color="auto" w:fill="FFFFFF"/>
        </w:rPr>
      </w:pPr>
      <w:r w:rsidRPr="00B970E7">
        <w:rPr>
          <w:rFonts w:ascii="Tahoma" w:hAnsi="Tahoma" w:cs="Tahoma"/>
          <w:shd w:val="clear" w:color="auto" w:fill="FFFFFF"/>
        </w:rPr>
        <w:t>Zwiększenie areału konopi siewnych przyczyni się do większej dostępności produktów produktów wytwarzanych z konopi, które mają właściwości lecznicze i są źródłem witaminy E, żelaza, wapnia, cynku, fosforu, magnezu. Ponadto, jak słusznie wskazuje Instytut Włókien Naturalnych i Roślin Zielarskich, uprawa konopi włóknistych pozwoli na osiągnięcie celów:</w:t>
      </w:r>
    </w:p>
    <w:p w14:paraId="10D5DB64" w14:textId="77777777" w:rsidR="002D5353" w:rsidRPr="00B970E7" w:rsidRDefault="00D75504">
      <w:pPr>
        <w:pStyle w:val="Default"/>
        <w:numPr>
          <w:ilvl w:val="0"/>
          <w:numId w:val="20"/>
        </w:numPr>
        <w:spacing w:before="0" w:line="440" w:lineRule="atLeast"/>
        <w:jc w:val="both"/>
        <w:rPr>
          <w:rFonts w:ascii="Tahoma" w:hAnsi="Tahoma" w:cs="Tahoma"/>
          <w:shd w:val="clear" w:color="auto" w:fill="FFFFFF"/>
        </w:rPr>
      </w:pPr>
      <w:r w:rsidRPr="00B970E7">
        <w:rPr>
          <w:rFonts w:ascii="Tahoma" w:hAnsi="Tahoma" w:cs="Tahoma"/>
          <w:shd w:val="clear" w:color="auto" w:fill="FFFFFF"/>
        </w:rPr>
        <w:t xml:space="preserve">energetycznych - poprzez osiągnięcie dużej ilości plonu biomasy z hektara. Potencjalny plon konopi, w przypadku odmiany Białobrzeskie może osiągnąć nawet do 15 ton, co stanowi wielokrotnie większą ilość biomasy niż w przypadku słomu zbożowej. Przy założeniu pozyskania paździerzy konopnych na poziomie 75% plonu słomy oraz ich wysokiej wartości opałowej konopie przemysłowe stanowią bardzo atrakcyjne źródło energii odnawialnej. Do produkcji energii można również wykorzystać słomę, gdyż stanowi ona plon uboczny przy produkcji nasion lub </w:t>
      </w:r>
      <w:r w:rsidRPr="00B970E7">
        <w:rPr>
          <w:rFonts w:ascii="Tahoma" w:hAnsi="Tahoma" w:cs="Tahoma"/>
          <w:shd w:val="clear" w:color="auto" w:fill="FFFFFF"/>
        </w:rPr>
        <w:lastRenderedPageBreak/>
        <w:t>kwiatostanów;</w:t>
      </w:r>
      <w:r w:rsidRPr="00B970E7">
        <w:rPr>
          <w:rFonts w:ascii="Tahoma" w:eastAsia="Tahoma" w:hAnsi="Tahoma" w:cs="Tahoma"/>
          <w:shd w:val="clear" w:color="auto" w:fill="FFFFFF"/>
        </w:rPr>
        <w:br/>
      </w:r>
    </w:p>
    <w:p w14:paraId="774E3A9B" w14:textId="77777777" w:rsidR="002D5353" w:rsidRPr="00B970E7"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weterynaryjnych i paszowych - dzięki potencjałowi w postaci nasion, wiech wraz z kwiatostanami oraz słomy, które mogą pełnić funkcje związane z suplementacją i chowem zwierząt gospodarskich. Nasiona zawierają cenne substancje odżywcze, przede wszystkim białko i kwasy tłuszczowe omega 3 i 6. Kwiatostany bogate są w substancje odżywcze wraz z kanabinoidami, które w formie suplementacji mogą wpłynąć na poprawę jakości życia zwierząt. Słoma poza funkcją wspomagania procesów trawiennych (we wczesnym okresie rozwoju roślin) u zwierząt, posiada również właściwości fizyko-chemiczne pozwalające na jej wykorzystywanie do ściółkowania;</w:t>
      </w:r>
      <w:r w:rsidRPr="00B970E7">
        <w:rPr>
          <w:rFonts w:ascii="Tahoma" w:eastAsia="Tahoma" w:hAnsi="Tahoma" w:cs="Tahoma"/>
          <w:shd w:val="clear" w:color="auto" w:fill="FFFFFF"/>
        </w:rPr>
        <w:br/>
      </w:r>
    </w:p>
    <w:p w14:paraId="0F2B3DC1" w14:textId="77777777" w:rsidR="002D5353" w:rsidRPr="00B970E7"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produkcji materiałów kompozytowych - poprzez dostarczenie dużej ilości wysokiej jakości materiałów kompozytowych lignocelulozowych, konopie mogą być wykorzystywane zamiast włókna szklanego do wzmacniania i napełniania materiałów polimerowych poprawiając właściwości użytkowe kompozytu oraz stopień biodegradacji; </w:t>
      </w:r>
      <w:r w:rsidRPr="00B970E7">
        <w:rPr>
          <w:rFonts w:ascii="Tahoma" w:hAnsi="Tahoma" w:cs="Tahoma"/>
          <w:shd w:val="clear" w:color="auto" w:fill="FFFFFF"/>
        </w:rPr>
        <w:br/>
      </w:r>
    </w:p>
    <w:p w14:paraId="08ECC8E4" w14:textId="77777777" w:rsidR="002D5353" w:rsidRPr="00B970E7"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rekultywacji gruntów - z uwagi na dużą ilość biomasy i dobrze rozwinięty system korzeniowy można uprawiać ją jako roślinę przyspieszającą procesy glebotwórcze poprawiające strukturę gleby oraz wpływające na zawartość składników pokarmowych i odtworzenia życia biologicznego w glebie i obszarach rekultywowanych obszarów na terenach po kopalniach odkrywkowych. Konopie włókniste dzięki wysokim plonom biomasy mogą służyć również do oczyszczania gleb z metali ciężkich (remediacja) pod warunkiem wykorzystania plonu na cele techniczne, nie żywieniowe;</w:t>
      </w:r>
      <w:r w:rsidRPr="00B970E7">
        <w:rPr>
          <w:rFonts w:ascii="Tahoma" w:eastAsia="Tahoma" w:hAnsi="Tahoma" w:cs="Tahoma"/>
          <w:shd w:val="clear" w:color="auto" w:fill="FFFFFF"/>
        </w:rPr>
        <w:br/>
      </w:r>
    </w:p>
    <w:p w14:paraId="7EE39A02" w14:textId="77777777" w:rsidR="002D5353" w:rsidRPr="00B970E7"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pszczelarstwa - plantacje konopi włóknistych stanowią źródło cennych wartości odżywczych oraz wzmacniających odporność pszczół chętnie wykorzystujących pyłek m.in. jako element specjalnie produkowanej przez pszczoły “karmy” dla larw (pierzgi). Ponadto istnieje duży potencjał produktów zawierających olejki eteryczne wytworzone z konopi włóknistych do zwalczania chorób pszczelich np. warrozy;</w:t>
      </w:r>
      <w:r w:rsidRPr="00B970E7">
        <w:rPr>
          <w:rFonts w:ascii="Tahoma" w:eastAsia="Tahoma" w:hAnsi="Tahoma" w:cs="Tahoma"/>
          <w:shd w:val="clear" w:color="auto" w:fill="FFFFFF"/>
        </w:rPr>
        <w:br/>
      </w:r>
    </w:p>
    <w:p w14:paraId="7C982DFE" w14:textId="77777777" w:rsidR="002D5353" w:rsidRPr="00B970E7"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lastRenderedPageBreak/>
        <w:t>nawozowych - biomasa konopna stanowi wartościowy element wzbogacania gleb w substancję organiczną, w szczególności na terenach gleb wyjałowionych;</w:t>
      </w:r>
      <w:r w:rsidRPr="00B970E7">
        <w:rPr>
          <w:rFonts w:ascii="Tahoma" w:eastAsia="Tahoma" w:hAnsi="Tahoma" w:cs="Tahoma"/>
          <w:shd w:val="clear" w:color="auto" w:fill="FFFFFF"/>
        </w:rPr>
        <w:br/>
      </w:r>
    </w:p>
    <w:p w14:paraId="75295F6F" w14:textId="77777777" w:rsidR="002D5353" w:rsidRDefault="00D75504">
      <w:pPr>
        <w:pStyle w:val="Default"/>
        <w:numPr>
          <w:ilvl w:val="0"/>
          <w:numId w:val="13"/>
        </w:numPr>
        <w:spacing w:before="0" w:line="440" w:lineRule="atLeast"/>
        <w:jc w:val="both"/>
        <w:rPr>
          <w:rFonts w:ascii="Tahoma" w:hAnsi="Tahoma" w:cs="Tahoma"/>
          <w:shd w:val="clear" w:color="auto" w:fill="FFFFFF"/>
        </w:rPr>
      </w:pPr>
      <w:r w:rsidRPr="00B970E7">
        <w:rPr>
          <w:rFonts w:ascii="Tahoma" w:hAnsi="Tahoma" w:cs="Tahoma"/>
          <w:shd w:val="clear" w:color="auto" w:fill="FFFFFF"/>
        </w:rPr>
        <w:t>dostarczania naturalnych środków ochrony roślin - surowce wytworzone z konopi włóknistych, w szczególności olejki eteryczne, mogą być wykorzystywane jako substancja czynna do produkcji środków ochrony roślin;</w:t>
      </w:r>
      <w:r w:rsidR="00B970E7">
        <w:rPr>
          <w:rFonts w:ascii="Tahoma" w:hAnsi="Tahoma" w:cs="Tahoma"/>
          <w:shd w:val="clear" w:color="auto" w:fill="FFFFFF"/>
        </w:rPr>
        <w:t xml:space="preserve"> </w:t>
      </w:r>
    </w:p>
    <w:p w14:paraId="4F3F1065" w14:textId="77777777" w:rsidR="00B970E7" w:rsidRPr="00B970E7" w:rsidRDefault="00B970E7" w:rsidP="00B970E7">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720"/>
        <w:jc w:val="both"/>
        <w:rPr>
          <w:rFonts w:ascii="Tahoma" w:hAnsi="Tahoma" w:cs="Tahoma"/>
          <w:shd w:val="clear" w:color="auto" w:fill="FFFFFF"/>
        </w:rPr>
      </w:pPr>
    </w:p>
    <w:p w14:paraId="4164E243" w14:textId="77777777" w:rsidR="002D5353" w:rsidRPr="00B970E7" w:rsidRDefault="00D75504">
      <w:pPr>
        <w:pStyle w:val="Default"/>
        <w:numPr>
          <w:ilvl w:val="0"/>
          <w:numId w:val="13"/>
        </w:numPr>
        <w:spacing w:before="0" w:after="240" w:line="440" w:lineRule="atLeast"/>
        <w:jc w:val="both"/>
        <w:rPr>
          <w:rFonts w:ascii="Tahoma" w:hAnsi="Tahoma" w:cs="Tahoma"/>
          <w:shd w:val="clear" w:color="auto" w:fill="FFFFFF"/>
        </w:rPr>
      </w:pPr>
      <w:r w:rsidRPr="00B970E7">
        <w:rPr>
          <w:rFonts w:ascii="Tahoma" w:hAnsi="Tahoma" w:cs="Tahoma"/>
          <w:shd w:val="clear" w:color="auto" w:fill="FFFFFF"/>
        </w:rPr>
        <w:t>naukowo-badawczych - podstawą utrzymania, a przede wszystkim rozwoju sektora konopi włóknistych w Polsce, jest prowadzenie upraw konopi dla celów naukowo-badawczych, w tym również hodowli. </w:t>
      </w:r>
    </w:p>
    <w:p w14:paraId="5648E993"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Bold" w:hAnsi="Tahoma" w:cs="Tahoma"/>
          <w:shd w:val="clear" w:color="auto" w:fill="FFFFFF"/>
        </w:rPr>
      </w:pPr>
    </w:p>
    <w:p w14:paraId="46357FF3"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VI. Możliwości podjęcia alternatywnych środków umożliwiających osiągnięcie celu </w:t>
      </w:r>
    </w:p>
    <w:p w14:paraId="0D7A5510"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Zgodnie z obowiązującą w Rzeczypospolitej Polskiej hierarchią źródeł prawa, proponowane rozwiązania nakładające na podmioty różnego rodzaju obowiązki, muszą mieć rangę ustawową. Brak jest alternatywnych rozwiązań o charakterze ekonomicznym, organizacyjnym i perswazyjnym umożliwiających uporządkowanie kwestii związanych z uprawą konopii włóknistych.</w:t>
      </w:r>
    </w:p>
    <w:p w14:paraId="291DFABD"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7E28F9C6"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VII. Konsultacje </w:t>
      </w:r>
    </w:p>
    <w:p w14:paraId="05032E53"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56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Założenia do projektu ustawy o konopiach włóknistych zostały udostępnione opinii publicznej na stronie: www.urszula-zielinska.pl w styczniu br. oraz przekazane zostały do 32 podmiotów w ramach konsultacji publicznych (patrz: załącznik 2).</w:t>
      </w:r>
    </w:p>
    <w:p w14:paraId="6614D056"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47895732"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56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W toku konsultacji uwagi do założeń do projektu zgłosiły osoby prywatne oraz następujące podmioty:</w:t>
      </w:r>
    </w:p>
    <w:p w14:paraId="7AE2FED7"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t>1)    Instytut Włókien Naturalnych i Roślin Zielarskich</w:t>
      </w:r>
    </w:p>
    <w:p w14:paraId="71576A99"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t>2)    Kombinat Konopny S.A.</w:t>
      </w:r>
    </w:p>
    <w:p w14:paraId="41A17062"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t>3)    Polska Sieć Polityki Narkotykowej</w:t>
      </w:r>
    </w:p>
    <w:p w14:paraId="696142BB"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t>4)    HempKing</w:t>
      </w:r>
    </w:p>
    <w:p w14:paraId="5349E5AF"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t>5)    Polskie Stowarzyszenie Producentów i Przetwórców Konopi</w:t>
      </w:r>
    </w:p>
    <w:p w14:paraId="54FD5E0A"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ind w:left="1413" w:hanging="480"/>
        <w:jc w:val="both"/>
        <w:rPr>
          <w:rStyle w:val="None"/>
          <w:rFonts w:ascii="Tahoma" w:eastAsia="Tahoma" w:hAnsi="Tahoma" w:cs="Tahoma"/>
          <w:shd w:val="clear" w:color="auto" w:fill="FFFFFF"/>
        </w:rPr>
      </w:pPr>
      <w:r w:rsidRPr="00B970E7">
        <w:rPr>
          <w:rStyle w:val="None"/>
          <w:rFonts w:ascii="Tahoma" w:hAnsi="Tahoma" w:cs="Tahoma"/>
          <w:shd w:val="clear" w:color="auto" w:fill="FFFFFF"/>
        </w:rPr>
        <w:lastRenderedPageBreak/>
        <w:t>6)    HempEkspert</w:t>
      </w:r>
    </w:p>
    <w:p w14:paraId="170D7BF4"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560" w:lineRule="atLeast"/>
        <w:ind w:left="1413"/>
        <w:jc w:val="both"/>
        <w:rPr>
          <w:rStyle w:val="None"/>
          <w:rFonts w:ascii="Tahoma" w:eastAsia="Tahoma" w:hAnsi="Tahoma" w:cs="Tahoma"/>
          <w:shd w:val="clear" w:color="auto" w:fill="FFFFFF"/>
        </w:rPr>
      </w:pPr>
      <w:r w:rsidRPr="00B970E7">
        <w:rPr>
          <w:rStyle w:val="None"/>
          <w:rFonts w:ascii="Tahoma" w:hAnsi="Tahoma" w:cs="Tahoma"/>
          <w:shd w:val="clear" w:color="auto" w:fill="FFFFFF"/>
        </w:rPr>
        <w:t> </w:t>
      </w:r>
    </w:p>
    <w:p w14:paraId="7B58FCB4"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560" w:lineRule="atLeast"/>
        <w:jc w:val="both"/>
        <w:rPr>
          <w:rStyle w:val="None"/>
          <w:rFonts w:ascii="Tahoma" w:eastAsia="Tahoma" w:hAnsi="Tahoma" w:cs="Tahoma"/>
          <w:shd w:val="clear" w:color="auto" w:fill="FFFFFF"/>
        </w:rPr>
      </w:pPr>
      <w:r w:rsidRPr="00B970E7">
        <w:rPr>
          <w:rStyle w:val="None"/>
          <w:rFonts w:ascii="Tahoma" w:hAnsi="Tahoma" w:cs="Tahoma"/>
          <w:shd w:val="clear" w:color="auto" w:fill="FFFFFF"/>
        </w:rPr>
        <w:t xml:space="preserve">Uwagi zostały przekazane przez osoby i podmioty, których projektowane regulacje dotyczą bezpośrednio. Charakter zgłoszonych uwag i propozycji zmian projektu uzależniony był od  perspektywy i doświadczeń podmiotu zgłaszającego uwagi. Przedstawiciele Kombinatu Konopnego ocenili propozycje jako konkretne i rekomendowali przeprowadzenie debaty w zakresie projektowanych zmian. Podobną propozycję wystosowała Prezes Fundacji Polska Sieć Polityki Narkotykowej. Taka debata odbyła się w lutym 2021 r. na forum zespołu parlamentarnego ds. legalizacji marihuany. Instytut Włókien Naturalnych i Roślin Zielarskich w uzgodnieniu z Polską Izbą Lnu i Konopi zaproponował wprowadzenie do ustawy możliwości prowadzenia upraw w celu hodowli odmian konopi włóknistych, argumentując, że brak tego typu rozwiązań w obecnym stanie prawnym utrudnia prowadzenie hodowli twórczej oraz zachowawczej nowych i już zarejestrowanych odmian konopi. Instytut wskazał również na szeroki katalog zastosowań konopi włóknistych, zwracając uwagę także na walory: energetyczne, weterynaryjne, paszowe, materiałów kompozytowych, rekultywacji i remediacji gruntów, pszczelarskie, nawozowe, ochronne roślin, naukowo-badawcze. Te uwagi zostały uwzględnione w przedłożonym projekcie. Uwagi zgłoszone przez osoby prywatne, w tym prowadzące gospodarstwa rolne, dotyczyły w znacznej mierze zwiększenia dopuszczalnego poziomu THC (od 0,3% do 1%), a także konieczności doprecyzowania obecnych przepisów. W tym kontekście zwracano uwagę, że z technicznego punktu widzenia wiele odmian mieści się w ustalonych limitach, lecz jest to zależne od czasu zbiorów. Ponadto w stanowiskach osób uprawiających konopie proponowano zmianę nazewnictwa na odpowiadającej światowej nomenklaturze tj. z „konopie włókniste” na „konopie przemysłowe”. Zwracano również uwagę na trudności organów ścigania w odróżnieniu legalnych upraw konopi włóknistych, w których ujawniają się naturalnie występujące przekroczenia powyżej limitu 0,20% THC, od upraw konopi </w:t>
      </w:r>
      <w:r w:rsidRPr="00B970E7">
        <w:rPr>
          <w:rStyle w:val="None"/>
          <w:rFonts w:ascii="Tahoma" w:hAnsi="Tahoma" w:cs="Tahoma"/>
          <w:shd w:val="clear" w:color="auto" w:fill="FFFFFF"/>
        </w:rPr>
        <w:lastRenderedPageBreak/>
        <w:t>mogących być środkiem odurzającym. W tym zakresie postulowano stworzenie spójnego opisu kontroli legalnych upraw konopi włóknistych, zabezpieczenia w przepisach dotyczącego weryfikacji materiału siewnego, a także opisanie w nowej ustawie konsekwencji karnych / administracyjnych dla rolnika wskutek przekroczeń poziomu THC.</w:t>
      </w:r>
    </w:p>
    <w:p w14:paraId="1FE38705"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76BF8795"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Bold" w:hAnsi="Tahoma" w:cs="Tahoma"/>
          <w:shd w:val="clear" w:color="auto" w:fill="FFFFFF"/>
        </w:rPr>
      </w:pPr>
      <w:r w:rsidRPr="00B970E7">
        <w:rPr>
          <w:rStyle w:val="None"/>
          <w:rFonts w:ascii="Tahoma" w:hAnsi="Tahoma" w:cs="Tahoma"/>
          <w:shd w:val="clear" w:color="auto" w:fill="FFFFFF"/>
        </w:rPr>
        <w:t>VIII Podsumowanie zmian</w:t>
      </w:r>
    </w:p>
    <w:tbl>
      <w:tblPr>
        <w:tblStyle w:val="TableNormal"/>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39"/>
        <w:gridCol w:w="4893"/>
      </w:tblGrid>
      <w:tr w:rsidR="002D5353" w:rsidRPr="00B970E7" w14:paraId="7762E3F2" w14:textId="77777777">
        <w:trPr>
          <w:trHeight w:val="310"/>
        </w:trPr>
        <w:tc>
          <w:tcPr>
            <w:tcW w:w="4739"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tcPr>
          <w:p w14:paraId="2CC144E2"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b/>
                <w:bCs/>
                <w:color w:val="000000"/>
              </w:rPr>
              <w:t>Aktualny stan</w:t>
            </w:r>
          </w:p>
        </w:tc>
        <w:tc>
          <w:tcPr>
            <w:tcW w:w="4892"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tcPr>
          <w:p w14:paraId="0D7C5F5B"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b/>
                <w:bCs/>
                <w:color w:val="000000"/>
              </w:rPr>
              <w:t>Proponowane zmiany</w:t>
            </w:r>
          </w:p>
        </w:tc>
      </w:tr>
      <w:tr w:rsidR="002D5353" w:rsidRPr="00B970E7" w14:paraId="676BEF54" w14:textId="77777777">
        <w:trPr>
          <w:trHeight w:val="1190"/>
        </w:trPr>
        <w:tc>
          <w:tcPr>
            <w:tcW w:w="4739"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27CFBC78"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1. Uprawa konopii włóknistych regulowana u.o.z.n</w:t>
            </w:r>
          </w:p>
        </w:tc>
        <w:tc>
          <w:tcPr>
            <w:tcW w:w="4892"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677DFD51"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Wyodrębnienie zapisów o konopiach włóknistych z u.o.p.n. w ramach nowej, osobnej ustawy.</w:t>
            </w:r>
          </w:p>
        </w:tc>
      </w:tr>
      <w:tr w:rsidR="002D5353" w:rsidRPr="00B970E7" w14:paraId="304BC377" w14:textId="77777777">
        <w:trPr>
          <w:trHeight w:val="310"/>
        </w:trPr>
        <w:tc>
          <w:tcPr>
            <w:tcW w:w="4739"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tcPr>
          <w:p w14:paraId="32C960BA"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2. Dopuszczalny poziom THC 0,20%</w:t>
            </w:r>
          </w:p>
        </w:tc>
        <w:tc>
          <w:tcPr>
            <w:tcW w:w="4892"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tcPr>
          <w:p w14:paraId="72909908"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Dopuszczalny poziom THC 0,3%</w:t>
            </w:r>
          </w:p>
        </w:tc>
      </w:tr>
      <w:tr w:rsidR="002D5353" w:rsidRPr="00B970E7" w14:paraId="5CDD0177" w14:textId="77777777">
        <w:trPr>
          <w:trHeight w:val="1190"/>
        </w:trPr>
        <w:tc>
          <w:tcPr>
            <w:tcW w:w="4739"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659673EF"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3. Obowiązek uzyskania rejonizacji przy każdym wysiewie (w praktyce corocznie), art. 46 u.o.p.n.</w:t>
            </w:r>
          </w:p>
        </w:tc>
        <w:tc>
          <w:tcPr>
            <w:tcW w:w="4892"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57EA9182"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Zniesienie obowiązku rejonizacji</w:t>
            </w:r>
          </w:p>
        </w:tc>
      </w:tr>
      <w:tr w:rsidR="002D5353" w:rsidRPr="00B970E7" w14:paraId="35BC0C50" w14:textId="77777777">
        <w:trPr>
          <w:trHeight w:val="2950"/>
        </w:trPr>
        <w:tc>
          <w:tcPr>
            <w:tcW w:w="4739"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258E18E2" w14:textId="77777777" w:rsidR="002D5353" w:rsidRPr="00B970E7" w:rsidRDefault="00D75504">
            <w:pPr>
              <w:tabs>
                <w:tab w:val="left" w:pos="720"/>
                <w:tab w:val="left" w:pos="1440"/>
                <w:tab w:val="left" w:pos="2160"/>
                <w:tab w:val="left" w:pos="2880"/>
                <w:tab w:val="left" w:pos="3600"/>
                <w:tab w:val="left" w:pos="4320"/>
              </w:tabs>
              <w:suppressAutoHyphens/>
              <w:spacing w:line="440" w:lineRule="atLeast"/>
              <w:outlineLvl w:val="0"/>
              <w:rPr>
                <w:rFonts w:ascii="Tahoma" w:hAnsi="Tahoma" w:cs="Tahoma"/>
              </w:rPr>
            </w:pPr>
            <w:r w:rsidRPr="00B970E7">
              <w:rPr>
                <w:rFonts w:ascii="Tahoma" w:hAnsi="Tahoma" w:cs="Tahoma"/>
                <w:color w:val="000000"/>
              </w:rPr>
              <w:t>4. Katalog zastosowań konopii włóknistych ograniczony do kategorii przemysłowych określonych ustawą:  "wyłącznie na potrzeby przemysłu włókienniczego, chemicznego, celulozowo-papierniczego, spożywczego, kosmetycznego, farmaceutycznego, materiałów budowlanych oraz nasiennictwa. “</w:t>
            </w:r>
          </w:p>
        </w:tc>
        <w:tc>
          <w:tcPr>
            <w:tcW w:w="4892"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tcPr>
          <w:p w14:paraId="575D6A18" w14:textId="77777777" w:rsidR="002D5353" w:rsidRPr="00B970E7" w:rsidRDefault="00D75504">
            <w:pPr>
              <w:tabs>
                <w:tab w:val="left" w:pos="720"/>
                <w:tab w:val="left" w:pos="1440"/>
                <w:tab w:val="left" w:pos="2160"/>
                <w:tab w:val="left" w:pos="2880"/>
                <w:tab w:val="left" w:pos="3600"/>
                <w:tab w:val="left" w:pos="4320"/>
              </w:tabs>
              <w:suppressAutoHyphens/>
              <w:spacing w:after="240" w:line="440" w:lineRule="atLeast"/>
              <w:outlineLvl w:val="0"/>
              <w:rPr>
                <w:rFonts w:ascii="Tahoma" w:hAnsi="Tahoma" w:cs="Tahoma"/>
              </w:rPr>
            </w:pPr>
            <w:r w:rsidRPr="00B970E7">
              <w:rPr>
                <w:rFonts w:ascii="Tahoma" w:hAnsi="Tahoma" w:cs="Tahoma"/>
                <w:color w:val="000000"/>
              </w:rPr>
              <w:t>Rozszerzenie katalogu zastosowań konopii włóknistych.</w:t>
            </w:r>
          </w:p>
        </w:tc>
      </w:tr>
    </w:tbl>
    <w:p w14:paraId="0A311AA1"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18D7437E"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15450AAC"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14B7306B"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w:hAnsi="Tahoma" w:cs="Tahoma"/>
          <w:shd w:val="clear" w:color="auto" w:fill="FFFFFF"/>
        </w:rPr>
      </w:pPr>
      <w:r w:rsidRPr="00B970E7">
        <w:rPr>
          <w:rStyle w:val="None"/>
          <w:rFonts w:ascii="Tahoma" w:hAnsi="Tahoma" w:cs="Tahoma"/>
          <w:shd w:val="clear" w:color="auto" w:fill="FFFFFF"/>
        </w:rPr>
        <w:t>Załącznik 1</w:t>
      </w:r>
    </w:p>
    <w:p w14:paraId="52C93ABB"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93" w:line="240" w:lineRule="auto"/>
        <w:rPr>
          <w:rFonts w:ascii="Tahoma" w:eastAsia="Tahoma" w:hAnsi="Tahoma" w:cs="Tahoma"/>
          <w:shd w:val="clear" w:color="auto" w:fill="FFFFFF"/>
        </w:rPr>
      </w:pPr>
      <w:r w:rsidRPr="00B970E7">
        <w:rPr>
          <w:rFonts w:ascii="Tahoma" w:hAnsi="Tahoma" w:cs="Tahoma"/>
          <w:shd w:val="clear" w:color="auto" w:fill="FFFFFF"/>
        </w:rPr>
        <w:t>Zestawienie legalnych wartości THC w produktach konopnych/CBD na świecie:</w:t>
      </w:r>
    </w:p>
    <w:p w14:paraId="0CDF0B2D"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Austria – THC &lt;0,3% </w:t>
      </w:r>
    </w:p>
    <w:p w14:paraId="63BC7EC2"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Belgia – THC&lt;0,2% – wymagana recepta</w:t>
      </w:r>
    </w:p>
    <w:p w14:paraId="5157C845"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Bułgaria – THC&lt;0,2%</w:t>
      </w:r>
    </w:p>
    <w:p w14:paraId="2FAAD935"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Czechy – THC&lt;0,3%, </w:t>
      </w:r>
    </w:p>
    <w:p w14:paraId="485B8D70"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lastRenderedPageBreak/>
        <w:t>Cypr – THC&lt;0,2%,</w:t>
      </w:r>
    </w:p>
    <w:p w14:paraId="7B4DCA97"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Chorwacja – THC&lt;0,2%,</w:t>
      </w:r>
    </w:p>
    <w:p w14:paraId="7261F8F1"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Dania – THC&lt;0,2% wymagana recepta</w:t>
      </w:r>
    </w:p>
    <w:p w14:paraId="33981995" w14:textId="77777777" w:rsidR="002D5353" w:rsidRPr="00B970E7" w:rsidRDefault="00D75504">
      <w:pPr>
        <w:pStyle w:val="Default"/>
        <w:numPr>
          <w:ilvl w:val="0"/>
          <w:numId w:val="22"/>
        </w:numPr>
        <w:spacing w:before="0" w:line="240" w:lineRule="auto"/>
        <w:rPr>
          <w:rFonts w:ascii="Tahoma" w:hAnsi="Tahoma" w:cs="Tahoma"/>
          <w:shd w:val="clear" w:color="auto" w:fill="FFFFFF"/>
          <w:lang w:val="es-ES_tradnl"/>
        </w:rPr>
      </w:pPr>
      <w:r w:rsidRPr="00B970E7">
        <w:rPr>
          <w:rFonts w:ascii="Tahoma" w:hAnsi="Tahoma" w:cs="Tahoma"/>
          <w:shd w:val="clear" w:color="auto" w:fill="FFFFFF"/>
          <w:lang w:val="es-ES_tradnl"/>
        </w:rPr>
        <w:t xml:space="preserve">Estonia </w:t>
      </w:r>
      <w:r w:rsidRPr="00B970E7">
        <w:rPr>
          <w:rFonts w:ascii="Tahoma" w:hAnsi="Tahoma" w:cs="Tahoma"/>
          <w:shd w:val="clear" w:color="auto" w:fill="FFFFFF"/>
        </w:rPr>
        <w:t xml:space="preserve">– THC&lt;0,2% </w:t>
      </w:r>
    </w:p>
    <w:p w14:paraId="6D1A2F7C"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Finlandia – THC&lt;0,2% wymagana recepta</w:t>
      </w:r>
    </w:p>
    <w:p w14:paraId="209C9764"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Francja – THC&lt;0,2%, </w:t>
      </w:r>
    </w:p>
    <w:p w14:paraId="3268AE2C"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Grecja i Północna Macedonia – THC&lt;0,2%, </w:t>
      </w:r>
    </w:p>
    <w:p w14:paraId="74EE9577"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Gruzja – </w:t>
      </w:r>
      <w:r w:rsidRPr="00B970E7">
        <w:rPr>
          <w:rFonts w:ascii="Tahoma" w:hAnsi="Tahoma" w:cs="Tahoma"/>
          <w:shd w:val="clear" w:color="auto" w:fill="FFFFFF"/>
          <w:lang w:val="en-US"/>
        </w:rPr>
        <w:t xml:space="preserve">THC 0,00% </w:t>
      </w:r>
    </w:p>
    <w:p w14:paraId="7FE8DB01"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Hiszpania – THC&lt;0,2% tylko do użytku zewnętrznego,</w:t>
      </w:r>
    </w:p>
    <w:p w14:paraId="2326C168"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Holandia – THC &lt;0,05%, powyżej jest farmaceutykiem</w:t>
      </w:r>
    </w:p>
    <w:p w14:paraId="20D678FE"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Irlandia Południowa – THC 0,00%</w:t>
      </w:r>
    </w:p>
    <w:p w14:paraId="5EEC6351"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Irlandia Północna – THC&lt;0,2%</w:t>
      </w:r>
    </w:p>
    <w:p w14:paraId="2DAAF95D"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Islandia – brak regulacji prawnej dot. CBD, ale bardzo surowe prawo dot. marihuany</w:t>
      </w:r>
    </w:p>
    <w:p w14:paraId="132D1D95"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Kanada - THC = 0,3%</w:t>
      </w:r>
    </w:p>
    <w:p w14:paraId="44D4AAD4"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Luksemburg – THC &lt;0,2%,</w:t>
      </w:r>
    </w:p>
    <w:p w14:paraId="2DAA6EB8"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Litwa – legalna uprawa konopi siewnych, ale bardzo niejasny status produktów CBD</w:t>
      </w:r>
    </w:p>
    <w:p w14:paraId="7E664B4D"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Łotwa – niejasne </w:t>
      </w:r>
    </w:p>
    <w:p w14:paraId="3563CD99"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Malta – tylko na receptę wydaną przez autoryzowanego lekarza</w:t>
      </w:r>
    </w:p>
    <w:p w14:paraId="50D32D8A"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Niemcy – THC &lt;0,2%,</w:t>
      </w:r>
    </w:p>
    <w:p w14:paraId="5086E17F"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Norwegia – THC 0,00%,</w:t>
      </w:r>
    </w:p>
    <w:p w14:paraId="6185A139"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Polska – THC = 0,20 %,</w:t>
      </w:r>
    </w:p>
    <w:p w14:paraId="5E86EA9C"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Portugalia – na receptę,</w:t>
      </w:r>
    </w:p>
    <w:p w14:paraId="78E359E1"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Rumunia – THC&lt;0,2%</w:t>
      </w:r>
    </w:p>
    <w:p w14:paraId="44FC0C91"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Szwajcaria – THC &lt;1% </w:t>
      </w:r>
    </w:p>
    <w:p w14:paraId="147AEC06"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 xml:space="preserve">Słowacja – nielegalny </w:t>
      </w:r>
    </w:p>
    <w:p w14:paraId="4ABD5162"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Słowenia – THC&lt;0,2%</w:t>
      </w:r>
    </w:p>
    <w:p w14:paraId="5BE80713"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Szwecja – THC 0,00%</w:t>
      </w:r>
    </w:p>
    <w:p w14:paraId="6F644202"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USA - THC = 0,3%</w:t>
      </w:r>
    </w:p>
    <w:p w14:paraId="74454C52"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Wielka Brytania – THC&lt;0,2% ale tylko jako suplement diety</w:t>
      </w:r>
    </w:p>
    <w:p w14:paraId="218DE0E6"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Węgry – THC&lt;0,2%</w:t>
      </w:r>
    </w:p>
    <w:p w14:paraId="5AF99BD0" w14:textId="77777777" w:rsidR="002D5353" w:rsidRPr="00B970E7" w:rsidRDefault="00D75504">
      <w:pPr>
        <w:pStyle w:val="Default"/>
        <w:numPr>
          <w:ilvl w:val="0"/>
          <w:numId w:val="22"/>
        </w:numPr>
        <w:spacing w:before="0" w:line="240" w:lineRule="auto"/>
        <w:rPr>
          <w:rFonts w:ascii="Tahoma" w:hAnsi="Tahoma" w:cs="Tahoma"/>
          <w:shd w:val="clear" w:color="auto" w:fill="FFFFFF"/>
        </w:rPr>
      </w:pPr>
      <w:r w:rsidRPr="00B970E7">
        <w:rPr>
          <w:rFonts w:ascii="Tahoma" w:hAnsi="Tahoma" w:cs="Tahoma"/>
          <w:shd w:val="clear" w:color="auto" w:fill="FFFFFF"/>
        </w:rPr>
        <w:t>Włochy – THC&lt;0,6% </w:t>
      </w:r>
    </w:p>
    <w:p w14:paraId="34DB669C"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eastAsia="Tahoma" w:hAnsi="Tahoma" w:cs="Tahoma"/>
          <w:shd w:val="clear" w:color="auto" w:fill="FFFFFF"/>
        </w:rPr>
      </w:pPr>
    </w:p>
    <w:p w14:paraId="5FFC45A9"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440" w:lineRule="atLeast"/>
        <w:rPr>
          <w:rStyle w:val="Hyperlink1"/>
          <w:rFonts w:ascii="Tahoma" w:eastAsia="Tahoma" w:hAnsi="Tahoma" w:cs="Tahoma"/>
        </w:rPr>
      </w:pPr>
      <w:r w:rsidRPr="00B970E7">
        <w:rPr>
          <w:rStyle w:val="None"/>
          <w:rFonts w:ascii="Tahoma" w:hAnsi="Tahoma" w:cs="Tahoma"/>
          <w:shd w:val="clear" w:color="auto" w:fill="FFFFFF"/>
        </w:rPr>
        <w:t>Źródło:</w:t>
      </w:r>
      <w:hyperlink r:id="rId9" w:history="1">
        <w:r w:rsidRPr="00B970E7">
          <w:rPr>
            <w:rStyle w:val="Hyperlink1"/>
            <w:rFonts w:ascii="Tahoma" w:hAnsi="Tahoma" w:cs="Tahoma"/>
          </w:rPr>
          <w:t xml:space="preserve"> </w:t>
        </w:r>
        <w:r w:rsidRPr="00B970E7">
          <w:rPr>
            <w:rStyle w:val="None"/>
            <w:rFonts w:ascii="Tahoma" w:hAnsi="Tahoma" w:cs="Tahoma"/>
            <w:color w:val="103CC0"/>
            <w:u w:val="single"/>
            <w:shd w:val="clear" w:color="auto" w:fill="FFFFFF"/>
          </w:rPr>
          <w:t>https://hempking.eu/pl/gdzie-cbd-jest-legalne-lista-krajow/</w:t>
        </w:r>
      </w:hyperlink>
    </w:p>
    <w:p w14:paraId="6C09602C"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ahoma" w:hAnsi="Tahoma" w:cs="Tahoma"/>
          <w:shd w:val="clear" w:color="auto" w:fill="FFFFFF"/>
        </w:rPr>
      </w:pPr>
    </w:p>
    <w:p w14:paraId="3EBB7AE2" w14:textId="77777777" w:rsidR="002D5353" w:rsidRPr="00B970E7" w:rsidRDefault="00D7550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440" w:lineRule="atLeast"/>
        <w:rPr>
          <w:rStyle w:val="None"/>
          <w:rFonts w:ascii="Tahoma" w:eastAsia="Tahoma" w:hAnsi="Tahoma" w:cs="Tahoma"/>
          <w:shd w:val="clear" w:color="auto" w:fill="FFFFFF"/>
        </w:rPr>
      </w:pPr>
      <w:r w:rsidRPr="00B970E7">
        <w:rPr>
          <w:rStyle w:val="None"/>
          <w:rFonts w:ascii="Tahoma" w:hAnsi="Tahoma" w:cs="Tahoma"/>
          <w:shd w:val="clear" w:color="auto" w:fill="FFFFFF"/>
        </w:rPr>
        <w:t>Załącznik 2</w:t>
      </w:r>
    </w:p>
    <w:tbl>
      <w:tblPr>
        <w:tblStyle w:val="TableNormal"/>
        <w:tblW w:w="96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0"/>
        <w:gridCol w:w="8840"/>
      </w:tblGrid>
      <w:tr w:rsidR="002D5353" w:rsidRPr="00B970E7" w14:paraId="3A4DC5B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39661687" w14:textId="77777777" w:rsidR="002D5353" w:rsidRPr="00B970E7" w:rsidRDefault="00D75504">
            <w:pPr>
              <w:tabs>
                <w:tab w:val="left" w:pos="720"/>
              </w:tabs>
              <w:suppressAutoHyphens/>
              <w:spacing w:line="440" w:lineRule="atLeast"/>
              <w:jc w:val="center"/>
              <w:outlineLvl w:val="0"/>
              <w:rPr>
                <w:rFonts w:ascii="Tahoma" w:hAnsi="Tahoma" w:cs="Tahoma"/>
              </w:rPr>
            </w:pPr>
            <w:r w:rsidRPr="00B970E7">
              <w:rPr>
                <w:rFonts w:ascii="Tahoma" w:hAnsi="Tahoma" w:cs="Tahoma"/>
                <w:b/>
                <w:bCs/>
                <w:color w:val="000000"/>
              </w:rPr>
              <w:t>L.p.</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C7B1E80"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b/>
                <w:bCs/>
                <w:color w:val="000000"/>
              </w:rPr>
              <w:t>Nazwa</w:t>
            </w:r>
          </w:p>
        </w:tc>
      </w:tr>
      <w:tr w:rsidR="002D5353" w:rsidRPr="00B970E7" w14:paraId="660A0D66"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54A7575F"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2CFB972"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Instytut Włókien Naturalnych i Roślin Zielarskich</w:t>
            </w:r>
          </w:p>
        </w:tc>
      </w:tr>
      <w:tr w:rsidR="002D5353" w:rsidRPr="00B970E7" w14:paraId="405A2B07"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2AB0EABB"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6029D841"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Biuro Analiz Sejmowych</w:t>
            </w:r>
          </w:p>
        </w:tc>
      </w:tr>
      <w:tr w:rsidR="002D5353" w:rsidRPr="00B970E7" w14:paraId="5E51737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5E317738"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3</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2AB78AB8"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Związek Powiatów Polskich</w:t>
            </w:r>
          </w:p>
        </w:tc>
      </w:tr>
      <w:tr w:rsidR="002D5353" w:rsidRPr="00B970E7" w14:paraId="06450391"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5C83030"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4</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BEDA0F8"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Sąd Najwyższy - Biuro Studiów i Analiz</w:t>
            </w:r>
          </w:p>
        </w:tc>
      </w:tr>
      <w:tr w:rsidR="002D5353" w:rsidRPr="00B970E7" w14:paraId="3ACF4FAC"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20A6915E"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lastRenderedPageBreak/>
              <w:t>5</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12385C3"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Prokurator Krajowy-Prokurator Generalny</w:t>
            </w:r>
          </w:p>
        </w:tc>
      </w:tr>
      <w:tr w:rsidR="002D5353" w:rsidRPr="00B970E7" w14:paraId="61EC77DC"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3E305E6A"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6</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60A2D5AF"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Krajowa Izba Gospodarcza</w:t>
            </w:r>
          </w:p>
        </w:tc>
      </w:tr>
      <w:tr w:rsidR="002D5353" w:rsidRPr="00B970E7" w14:paraId="7DD2BAFF"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47BF123B"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7</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82B3D13"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Naczelna Izba Pielęgniarek i Połoznych</w:t>
            </w:r>
          </w:p>
        </w:tc>
      </w:tr>
      <w:tr w:rsidR="002D5353" w:rsidRPr="00B970E7" w14:paraId="6B4FED92"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85CB237"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8</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372D98E9"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Minister Finansów</w:t>
            </w:r>
          </w:p>
        </w:tc>
      </w:tr>
      <w:tr w:rsidR="002D5353" w:rsidRPr="00B970E7" w14:paraId="45E2919E"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459EC74"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9</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8D10611"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Naczelna Izba Lekarska</w:t>
            </w:r>
          </w:p>
        </w:tc>
      </w:tr>
      <w:tr w:rsidR="002D5353" w:rsidRPr="00B970E7" w14:paraId="7CFF3930"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FF93344"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10</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36307B84"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Krajowa Rada Izb Rolniczych</w:t>
            </w:r>
          </w:p>
        </w:tc>
      </w:tr>
      <w:tr w:rsidR="002D5353" w:rsidRPr="00B970E7" w14:paraId="4AB59790"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6641D627"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11</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6C18FC8"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Stowarzyszenie "Wolne Konopie"</w:t>
            </w:r>
          </w:p>
        </w:tc>
      </w:tr>
      <w:tr w:rsidR="002D5353" w:rsidRPr="00B970E7" w14:paraId="23F642C9"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33845A16"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14</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780D19C"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Kombinat Konopny</w:t>
            </w:r>
          </w:p>
        </w:tc>
      </w:tr>
      <w:tr w:rsidR="002D5353" w:rsidRPr="00B970E7" w14:paraId="2C9BCCDC"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96CEF43"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15</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2323B9CE"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Olimax NT</w:t>
            </w:r>
          </w:p>
        </w:tc>
      </w:tr>
      <w:tr w:rsidR="002D5353" w:rsidRPr="00B970E7" w14:paraId="63EDCF3E"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00ED029"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16</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0354B699"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Dom Konopi</w:t>
            </w:r>
          </w:p>
        </w:tc>
      </w:tr>
      <w:tr w:rsidR="002D5353" w:rsidRPr="00B970E7" w14:paraId="0048D2FE"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5345831"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17</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428120A"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HempKing</w:t>
            </w:r>
          </w:p>
        </w:tc>
      </w:tr>
      <w:tr w:rsidR="002D5353" w:rsidRPr="00B970E7" w14:paraId="1C7656B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04D30716"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18</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2EC37BEF"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Central European Cannabis Forum (CECF)</w:t>
            </w:r>
          </w:p>
        </w:tc>
      </w:tr>
      <w:tr w:rsidR="002D5353" w:rsidRPr="00B970E7" w14:paraId="7984DE5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2E9FB7F"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19</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6561F1C4"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Polska Sieć Polityki Narkotykowej</w:t>
            </w:r>
          </w:p>
        </w:tc>
      </w:tr>
      <w:tr w:rsidR="002D5353" w:rsidRPr="00B970E7" w14:paraId="251B030C"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95342AA"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20</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0A316C79"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HemPoland</w:t>
            </w:r>
          </w:p>
        </w:tc>
      </w:tr>
      <w:tr w:rsidR="002D5353" w:rsidRPr="00B970E7" w14:paraId="4E9423D6"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1850B9D4"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21</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6BF5C504"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Chwast Kultura</w:t>
            </w:r>
          </w:p>
        </w:tc>
      </w:tr>
      <w:tr w:rsidR="002D5353" w:rsidRPr="00B970E7" w14:paraId="7CBCCE6D"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242FAC79"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22</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53F86EBB"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MedycznaMarihuana.com</w:t>
            </w:r>
          </w:p>
        </w:tc>
      </w:tr>
      <w:tr w:rsidR="002D5353" w:rsidRPr="00B970E7" w14:paraId="03DB64AD"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2482B46"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23</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55B10A0C"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CannabisNews</w:t>
            </w:r>
          </w:p>
        </w:tc>
      </w:tr>
      <w:tr w:rsidR="002D5353" w:rsidRPr="00B970E7" w14:paraId="052D89A7"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2B1ED0F"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24</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4EE0125E"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WeedNews</w:t>
            </w:r>
          </w:p>
        </w:tc>
      </w:tr>
      <w:tr w:rsidR="002D5353" w:rsidRPr="00B970E7" w14:paraId="05F98573" w14:textId="77777777">
        <w:trPr>
          <w:trHeight w:val="75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F06758E"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25</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5D890AA"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Style w:val="None"/>
                <w:rFonts w:ascii="Tahoma" w:eastAsia="Times Roman" w:hAnsi="Tahoma" w:cs="Tahoma"/>
                <w:color w:val="000000"/>
              </w:rPr>
            </w:pPr>
            <w:r w:rsidRPr="00B970E7">
              <w:rPr>
                <w:rFonts w:ascii="Tahoma" w:hAnsi="Tahoma" w:cs="Tahoma"/>
                <w:color w:val="000000"/>
              </w:rPr>
              <w:t>Centrum Terapeutyczne</w:t>
            </w:r>
          </w:p>
          <w:p w14:paraId="1032BFEC"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lang w:val="es-ES_tradnl"/>
              </w:rPr>
              <w:t>Max Hemp</w:t>
            </w:r>
          </w:p>
        </w:tc>
      </w:tr>
      <w:tr w:rsidR="002D5353" w:rsidRPr="00B970E7" w14:paraId="1DE8BF4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50812F8B"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26</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0709CC21"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Medicana</w:t>
            </w:r>
          </w:p>
        </w:tc>
      </w:tr>
      <w:tr w:rsidR="002D5353" w:rsidRPr="00B970E7" w14:paraId="6C4DE50B"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4FF67A8"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27</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55384F7A"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Cannabic Clinic</w:t>
            </w:r>
          </w:p>
        </w:tc>
      </w:tr>
      <w:tr w:rsidR="002D5353" w:rsidRPr="00B970E7" w14:paraId="1A3D9822"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0358BC27"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28</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E36E008"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Canformed</w:t>
            </w:r>
          </w:p>
        </w:tc>
      </w:tr>
      <w:tr w:rsidR="002D5353" w:rsidRPr="00B970E7" w14:paraId="3DE8CC84"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48020254"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lastRenderedPageBreak/>
              <w:t>29</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10203047"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SpectraMed</w:t>
            </w:r>
          </w:p>
        </w:tc>
      </w:tr>
      <w:tr w:rsidR="002D5353" w:rsidRPr="00B970E7" w14:paraId="4823F624"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26FAAAB0"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30</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972E765"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Firma Konopne Źródło Zdrowia</w:t>
            </w:r>
          </w:p>
        </w:tc>
      </w:tr>
      <w:tr w:rsidR="002D5353" w:rsidRPr="00B970E7" w14:paraId="6088EC93"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26A6A503"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31</w:t>
            </w:r>
          </w:p>
        </w:tc>
        <w:tc>
          <w:tcPr>
            <w:tcW w:w="884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62152713"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Swiat-cbd.pl</w:t>
            </w:r>
          </w:p>
        </w:tc>
      </w:tr>
      <w:tr w:rsidR="002D5353" w:rsidRPr="00B970E7" w14:paraId="5EB60888" w14:textId="77777777">
        <w:trPr>
          <w:trHeight w:val="310"/>
        </w:trPr>
        <w:tc>
          <w:tcPr>
            <w:tcW w:w="82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7FE8BA16" w14:textId="77777777" w:rsidR="002D5353" w:rsidRPr="00B970E7" w:rsidRDefault="00D75504">
            <w:pPr>
              <w:suppressAutoHyphens/>
              <w:spacing w:line="440" w:lineRule="atLeast"/>
              <w:jc w:val="right"/>
              <w:outlineLvl w:val="0"/>
              <w:rPr>
                <w:rFonts w:ascii="Tahoma" w:hAnsi="Tahoma" w:cs="Tahoma"/>
              </w:rPr>
            </w:pPr>
            <w:r w:rsidRPr="00B970E7">
              <w:rPr>
                <w:rFonts w:ascii="Tahoma" w:hAnsi="Tahoma" w:cs="Tahoma"/>
                <w:color w:val="000000"/>
              </w:rPr>
              <w:t>32</w:t>
            </w:r>
          </w:p>
        </w:tc>
        <w:tc>
          <w:tcPr>
            <w:tcW w:w="8840" w:type="dxa"/>
            <w:tcBorders>
              <w:top w:val="single" w:sz="8" w:space="0" w:color="000000"/>
              <w:left w:val="single" w:sz="8" w:space="0" w:color="000000"/>
              <w:bottom w:val="single" w:sz="8" w:space="0" w:color="000000"/>
              <w:right w:val="single" w:sz="8" w:space="0" w:color="000000"/>
            </w:tcBorders>
            <w:shd w:val="clear" w:color="auto" w:fill="CED7E7"/>
            <w:tcMar>
              <w:top w:w="80" w:type="dxa"/>
              <w:left w:w="80" w:type="dxa"/>
              <w:bottom w:w="80" w:type="dxa"/>
              <w:right w:w="80" w:type="dxa"/>
            </w:tcMar>
            <w:vAlign w:val="center"/>
          </w:tcPr>
          <w:p w14:paraId="1E37D368" w14:textId="77777777" w:rsidR="002D5353" w:rsidRPr="00B970E7" w:rsidRDefault="00D75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40" w:lineRule="atLeast"/>
              <w:outlineLvl w:val="0"/>
              <w:rPr>
                <w:rFonts w:ascii="Tahoma" w:hAnsi="Tahoma" w:cs="Tahoma"/>
              </w:rPr>
            </w:pPr>
            <w:r w:rsidRPr="00B970E7">
              <w:rPr>
                <w:rFonts w:ascii="Tahoma" w:hAnsi="Tahoma" w:cs="Tahoma"/>
                <w:color w:val="000000"/>
              </w:rPr>
              <w:t>Cannabis Poland S.A.</w:t>
            </w:r>
          </w:p>
        </w:tc>
      </w:tr>
    </w:tbl>
    <w:p w14:paraId="08723BC0"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imes Roman" w:hAnsi="Tahoma" w:cs="Tahoma"/>
          <w:shd w:val="clear" w:color="auto" w:fill="FFFFFF"/>
        </w:rPr>
      </w:pPr>
    </w:p>
    <w:p w14:paraId="216AEF45"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None"/>
          <w:rFonts w:ascii="Tahoma" w:eastAsia="Times Roman" w:hAnsi="Tahoma" w:cs="Tahoma"/>
          <w:shd w:val="clear" w:color="auto" w:fill="FFFFFF"/>
        </w:rPr>
      </w:pPr>
    </w:p>
    <w:p w14:paraId="1E69FE97" w14:textId="77777777" w:rsidR="002D5353" w:rsidRPr="00B970E7" w:rsidRDefault="002D535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Tahoma" w:hAnsi="Tahoma" w:cs="Tahoma"/>
        </w:rPr>
      </w:pPr>
    </w:p>
    <w:sectPr w:rsidR="002D5353" w:rsidRPr="00B970E7" w:rsidSect="002D5353">
      <w:headerReference w:type="default" r:id="rId10"/>
      <w:footerReference w:type="default" r:id="rId11"/>
      <w:pgSz w:w="11900" w:h="16840"/>
      <w:pgMar w:top="1134" w:right="1134" w:bottom="1134" w:left="1134" w:header="709"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94C8D" w14:textId="77777777" w:rsidR="00CC1982" w:rsidRDefault="00CC1982" w:rsidP="002D5353">
      <w:r>
        <w:separator/>
      </w:r>
    </w:p>
  </w:endnote>
  <w:endnote w:type="continuationSeparator" w:id="0">
    <w:p w14:paraId="18394D84" w14:textId="77777777" w:rsidR="00CC1982" w:rsidRDefault="00CC1982" w:rsidP="002D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Tahoma Bold">
    <w:altName w:val="Times New Roman"/>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C1143" w14:textId="77777777" w:rsidR="002D5353" w:rsidRDefault="002D5353">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868EB" w14:textId="77777777" w:rsidR="00CC1982" w:rsidRDefault="00CC1982" w:rsidP="002D5353">
      <w:r>
        <w:separator/>
      </w:r>
    </w:p>
  </w:footnote>
  <w:footnote w:type="continuationSeparator" w:id="0">
    <w:p w14:paraId="79B43DD3" w14:textId="77777777" w:rsidR="00CC1982" w:rsidRDefault="00CC1982" w:rsidP="002D53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29768" w14:textId="77777777" w:rsidR="002D5353" w:rsidRDefault="002D5353">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25B0"/>
    <w:multiLevelType w:val="hybridMultilevel"/>
    <w:tmpl w:val="059CAFD4"/>
    <w:styleLink w:val="Lettered"/>
    <w:lvl w:ilvl="0" w:tplc="F4029748">
      <w:start w:val="1"/>
      <w:numFmt w:val="decimal"/>
      <w:lvlText w:val="%1)"/>
      <w:lvlJc w:val="left"/>
      <w:pPr>
        <w:ind w:left="524" w:hanging="524"/>
      </w:pPr>
      <w:rPr>
        <w:rFonts w:hAnsi="Arial Unicode MS"/>
        <w:caps w:val="0"/>
        <w:smallCaps w:val="0"/>
        <w:strike w:val="0"/>
        <w:dstrike w:val="0"/>
        <w:outline w:val="0"/>
        <w:emboss w:val="0"/>
        <w:imprint w:val="0"/>
        <w:spacing w:val="0"/>
        <w:w w:val="100"/>
        <w:kern w:val="0"/>
        <w:position w:val="0"/>
        <w:highlight w:val="none"/>
        <w:vertAlign w:val="baseline"/>
      </w:rPr>
    </w:lvl>
    <w:lvl w:ilvl="1" w:tplc="4422347A">
      <w:start w:val="1"/>
      <w:numFmt w:val="decimal"/>
      <w:lvlText w:val="%2)"/>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73CA7FCA">
      <w:start w:val="1"/>
      <w:numFmt w:val="decimal"/>
      <w:lvlText w:val="%3)"/>
      <w:lvlJc w:val="left"/>
      <w:pPr>
        <w:ind w:left="64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CC36E274">
      <w:start w:val="1"/>
      <w:numFmt w:val="decimal"/>
      <w:lvlText w:val="%4)"/>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308849E2">
      <w:start w:val="1"/>
      <w:numFmt w:val="decimal"/>
      <w:lvlText w:val="%5)"/>
      <w:lvlJc w:val="left"/>
      <w:pPr>
        <w:ind w:left="13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1DAF954">
      <w:start w:val="1"/>
      <w:numFmt w:val="decimal"/>
      <w:lvlText w:val="%6)"/>
      <w:lvlJc w:val="left"/>
      <w:pPr>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B406DE64">
      <w:start w:val="1"/>
      <w:numFmt w:val="decimal"/>
      <w:lvlText w:val="%7)"/>
      <w:lvlJc w:val="left"/>
      <w:pPr>
        <w:ind w:left="208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4D16ACE0">
      <w:start w:val="1"/>
      <w:numFmt w:val="decimal"/>
      <w:lvlText w:val="%8)"/>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BAE0C3B4">
      <w:start w:val="1"/>
      <w:numFmt w:val="decimal"/>
      <w:lvlText w:val="%9)"/>
      <w:lvlJc w:val="left"/>
      <w:pPr>
        <w:ind w:left="280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D1C2B25"/>
    <w:multiLevelType w:val="hybridMultilevel"/>
    <w:tmpl w:val="059CAFD4"/>
    <w:numStyleLink w:val="Lettered"/>
  </w:abstractNum>
  <w:abstractNum w:abstractNumId="2" w15:restartNumberingAfterBreak="0">
    <w:nsid w:val="2823022B"/>
    <w:multiLevelType w:val="hybridMultilevel"/>
    <w:tmpl w:val="FCC83DB0"/>
    <w:numStyleLink w:val="Numbered"/>
  </w:abstractNum>
  <w:abstractNum w:abstractNumId="3" w15:restartNumberingAfterBreak="0">
    <w:nsid w:val="2D07119A"/>
    <w:multiLevelType w:val="hybridMultilevel"/>
    <w:tmpl w:val="FCC83DB0"/>
    <w:styleLink w:val="Numbered"/>
    <w:lvl w:ilvl="0" w:tplc="0DF6E02C">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0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1" w:tplc="ADCE3354">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2" w:tplc="8BACB9D4">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3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3" w:tplc="A8A6898E">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5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4" w:tplc="7638AC70">
      <w:start w:val="1"/>
      <w:numFmt w:val="decimal"/>
      <w:lvlText w:val="%5."/>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7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5" w:tplc="F99A1FCE">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69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6" w:tplc="8E0A80FA">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1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7" w:tplc="84F4FBE6">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3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8" w:tplc="59D81930">
      <w:start w:val="1"/>
      <w:numFmt w:val="decimal"/>
      <w:lvlText w:val="%9."/>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355" w:hanging="375"/>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62702F60"/>
    <w:multiLevelType w:val="hybridMultilevel"/>
    <w:tmpl w:val="F8186776"/>
    <w:numStyleLink w:val="Bullets"/>
  </w:abstractNum>
  <w:abstractNum w:abstractNumId="5" w15:restartNumberingAfterBreak="0">
    <w:nsid w:val="6B8174B1"/>
    <w:multiLevelType w:val="hybridMultilevel"/>
    <w:tmpl w:val="F8186776"/>
    <w:styleLink w:val="Bullets"/>
    <w:lvl w:ilvl="0" w:tplc="8FDC68E6">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9DC68C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660929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29C6BD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27E019C">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E9656F2">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514025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04C76A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26E96DC">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 w:ilvl="0" w:tplc="EA0204B4">
        <w:start w:val="1"/>
        <w:numFmt w:val="lowerLetter"/>
        <w:lvlText w:val="%1)"/>
        <w:lvlJc w:val="left"/>
        <w:pPr>
          <w:ind w:left="1092" w:hanging="5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04BE08">
        <w:start w:val="1"/>
        <w:numFmt w:val="lowerLetter"/>
        <w:lvlText w:val="%2)"/>
        <w:lvlJc w:val="left"/>
        <w:pPr>
          <w:ind w:left="132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E7EBA56">
        <w:start w:val="1"/>
        <w:numFmt w:val="lowerLetter"/>
        <w:lvlText w:val="%3)"/>
        <w:lvlJc w:val="left"/>
        <w:pPr>
          <w:ind w:left="168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4410F4">
        <w:start w:val="1"/>
        <w:numFmt w:val="lowerLetter"/>
        <w:lvlText w:val="%4)"/>
        <w:lvlJc w:val="left"/>
        <w:pPr>
          <w:ind w:left="204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C0A2A5A">
        <w:start w:val="1"/>
        <w:numFmt w:val="decimal"/>
        <w:lvlText w:val="%5)"/>
        <w:lvlJc w:val="left"/>
        <w:pPr>
          <w:ind w:left="1843"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FEEBBA">
        <w:start w:val="1"/>
        <w:numFmt w:val="decimal"/>
        <w:lvlText w:val="%6)"/>
        <w:lvlJc w:val="left"/>
        <w:pPr>
          <w:ind w:left="2203"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8D603DC">
        <w:start w:val="1"/>
        <w:numFmt w:val="decimal"/>
        <w:lvlText w:val="%7)"/>
        <w:lvlJc w:val="left"/>
        <w:pPr>
          <w:ind w:left="2563"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72E3C2">
        <w:start w:val="1"/>
        <w:numFmt w:val="decimal"/>
        <w:lvlText w:val="%8)"/>
        <w:lvlJc w:val="left"/>
        <w:pPr>
          <w:ind w:left="2923"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EB472D6">
        <w:start w:val="1"/>
        <w:numFmt w:val="decimal"/>
        <w:lvlText w:val="%9)"/>
        <w:lvlJc w:val="left"/>
        <w:pPr>
          <w:ind w:left="3283"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1"/>
    <w:lvlOverride w:ilvl="0">
      <w:startOverride w:val="1"/>
      <w:lvl w:ilvl="0" w:tplc="EA0204B4">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04BE0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E7EBA56">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4410F4">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C0A2A5A">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FEEBBA">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8D603D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72E3C2">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EB472D6">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
    <w:lvlOverride w:ilvl="0">
      <w:startOverride w:val="1"/>
      <w:lvl w:ilvl="0" w:tplc="EA0204B4">
        <w:start w:val="1"/>
        <w:numFmt w:val="lowerLetter"/>
        <w:lvlText w:val="%1)"/>
        <w:lvlJc w:val="left"/>
        <w:pPr>
          <w:tabs>
            <w:tab w:val="num" w:pos="1134"/>
          </w:tabs>
          <w:ind w:left="567"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04BE08">
        <w:start w:val="1"/>
        <w:numFmt w:val="lowerLetter"/>
        <w:suff w:val="nothing"/>
        <w:lvlText w:val="%2)"/>
        <w:lvlJc w:val="left"/>
        <w:pPr>
          <w:tabs>
            <w:tab w:val="left" w:pos="1134"/>
          </w:tabs>
          <w:ind w:left="753"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E7EBA56">
        <w:start w:val="1"/>
        <w:numFmt w:val="lowerLetter"/>
        <w:lvlText w:val="%3)"/>
        <w:lvlJc w:val="left"/>
        <w:pPr>
          <w:ind w:left="1113"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4410F4">
        <w:start w:val="1"/>
        <w:numFmt w:val="lowerLetter"/>
        <w:lvlText w:val="%4)"/>
        <w:lvlJc w:val="left"/>
        <w:pPr>
          <w:tabs>
            <w:tab w:val="left" w:pos="1134"/>
            <w:tab w:val="num" w:pos="2040"/>
          </w:tabs>
          <w:ind w:left="1473" w:firstLine="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C0A2A5A">
        <w:start w:val="1"/>
        <w:numFmt w:val="lowerLetter"/>
        <w:lvlText w:val="%5)"/>
        <w:lvlJc w:val="left"/>
        <w:pPr>
          <w:tabs>
            <w:tab w:val="left" w:pos="1134"/>
          </w:tabs>
          <w:ind w:left="1833" w:hanging="2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FEEBBA">
        <w:start w:val="1"/>
        <w:numFmt w:val="lowerLetter"/>
        <w:lvlText w:val="%6)"/>
        <w:lvlJc w:val="left"/>
        <w:pPr>
          <w:tabs>
            <w:tab w:val="left" w:pos="1134"/>
            <w:tab w:val="num" w:pos="2760"/>
          </w:tabs>
          <w:ind w:left="2193" w:firstLine="1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8D603DC">
        <w:start w:val="1"/>
        <w:numFmt w:val="lowerLetter"/>
        <w:lvlText w:val="%7)"/>
        <w:lvlJc w:val="left"/>
        <w:pPr>
          <w:tabs>
            <w:tab w:val="left" w:pos="1134"/>
          </w:tabs>
          <w:ind w:left="2553"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72E3C2">
        <w:start w:val="1"/>
        <w:numFmt w:val="lowerLetter"/>
        <w:lvlText w:val="%8)"/>
        <w:lvlJc w:val="left"/>
        <w:pPr>
          <w:tabs>
            <w:tab w:val="left" w:pos="1134"/>
            <w:tab w:val="num" w:pos="3480"/>
          </w:tabs>
          <w:ind w:left="2913" w:firstLine="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EB472D6">
        <w:start w:val="1"/>
        <w:numFmt w:val="lowerLetter"/>
        <w:lvlText w:val="%9)"/>
        <w:lvlJc w:val="left"/>
        <w:pPr>
          <w:tabs>
            <w:tab w:val="left" w:pos="1134"/>
          </w:tabs>
          <w:ind w:left="3273" w:hanging="2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1"/>
    <w:lvlOverride w:ilvl="0">
      <w:startOverride w:val="1"/>
      <w:lvl w:ilvl="0" w:tplc="EA0204B4">
        <w:start w:val="1"/>
        <w:numFmt w:val="lowerLetter"/>
        <w:lvlText w:val="%1)"/>
        <w:lvlJc w:val="left"/>
        <w:pPr>
          <w:ind w:left="1092" w:hanging="5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04BE08">
        <w:start w:val="1"/>
        <w:numFmt w:val="lowerLetter"/>
        <w:lvlText w:val="%2)"/>
        <w:lvlJc w:val="left"/>
        <w:pPr>
          <w:ind w:left="132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E7EBA56">
        <w:start w:val="1"/>
        <w:numFmt w:val="lowerLetter"/>
        <w:lvlText w:val="%3)"/>
        <w:lvlJc w:val="left"/>
        <w:pPr>
          <w:ind w:left="168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4410F4">
        <w:start w:val="1"/>
        <w:numFmt w:val="lowerLetter"/>
        <w:lvlText w:val="%4)"/>
        <w:lvlJc w:val="left"/>
        <w:pPr>
          <w:ind w:left="2041"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C0A2A5A">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FEEBBA">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8D603D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72E3C2">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EB472D6">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3"/>
  </w:num>
  <w:num w:numId="12">
    <w:abstractNumId w:val="2"/>
  </w:num>
  <w:num w:numId="13">
    <w:abstractNumId w:val="2"/>
    <w:lvlOverride w:ilvl="0">
      <w:startOverride w:val="1"/>
      <w:lvl w:ilvl="0" w:tplc="9FEA4E02">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4">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5">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6">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7">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8">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9">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0">
    <w:abstractNumId w:val="2"/>
    <w:lvlOverride w:ilvl="0">
      <w:startOverride w:val="1"/>
      <w:lvl w:ilvl="0" w:tplc="9FEA4E02">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3FABCBA">
        <w:start w:val="1"/>
        <w:numFmt w:val="decimal"/>
        <w:lvlText w:val="%2."/>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C86FC14">
        <w:start w:val="1"/>
        <w:numFmt w:val="decimal"/>
        <w:lvlText w:val="%3."/>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3340AE28">
        <w:start w:val="1"/>
        <w:numFmt w:val="decimal"/>
        <w:lvlText w:val="%4."/>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CB3AFC60">
        <w:start w:val="1"/>
        <w:numFmt w:val="decimal"/>
        <w:lvlText w:val="%5."/>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78CA5450">
        <w:start w:val="1"/>
        <w:numFmt w:val="decimal"/>
        <w:lvlText w:val="%6."/>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07D86B6C">
        <w:start w:val="1"/>
        <w:numFmt w:val="decimal"/>
        <w:lvlText w:val="%7."/>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56FE66">
        <w:start w:val="1"/>
        <w:numFmt w:val="decimal"/>
        <w:lvlText w:val="%8."/>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3A809B86">
        <w:start w:val="1"/>
        <w:numFmt w:val="decimal"/>
        <w:lvlText w:val="%9."/>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
    <w:abstractNumId w:val="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D5353"/>
    <w:rsid w:val="002D5353"/>
    <w:rsid w:val="003F4BD2"/>
    <w:rsid w:val="006C635D"/>
    <w:rsid w:val="00B970E7"/>
    <w:rsid w:val="00CC1982"/>
    <w:rsid w:val="00D75504"/>
    <w:rsid w:val="00EA24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F164"/>
  <w15:docId w15:val="{702B1DC3-9A6C-4D32-8E73-1BC31F4D4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2D5353"/>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D5353"/>
    <w:rPr>
      <w:u w:val="single"/>
    </w:rPr>
  </w:style>
  <w:style w:type="table" w:customStyle="1" w:styleId="TableNormal">
    <w:name w:val="Table Normal"/>
    <w:rsid w:val="002D5353"/>
    <w:tblPr>
      <w:tblInd w:w="0" w:type="dxa"/>
      <w:tblCellMar>
        <w:top w:w="0" w:type="dxa"/>
        <w:left w:w="0" w:type="dxa"/>
        <w:bottom w:w="0" w:type="dxa"/>
        <w:right w:w="0" w:type="dxa"/>
      </w:tblCellMar>
    </w:tblPr>
  </w:style>
  <w:style w:type="paragraph" w:customStyle="1" w:styleId="HeaderFooter">
    <w:name w:val="Header &amp; Footer"/>
    <w:rsid w:val="002D5353"/>
    <w:pPr>
      <w:tabs>
        <w:tab w:val="right" w:pos="9020"/>
      </w:tabs>
    </w:pPr>
    <w:rPr>
      <w:rFonts w:ascii="Helvetica Neue" w:hAnsi="Helvetica Neue" w:cs="Arial Unicode MS"/>
      <w:color w:val="000000"/>
      <w:sz w:val="24"/>
      <w:szCs w:val="24"/>
    </w:rPr>
  </w:style>
  <w:style w:type="paragraph" w:customStyle="1" w:styleId="Default">
    <w:name w:val="Default"/>
    <w:rsid w:val="002D5353"/>
    <w:pPr>
      <w:spacing w:before="160" w:line="288" w:lineRule="auto"/>
    </w:pPr>
    <w:rPr>
      <w:rFonts w:ascii="Helvetica Neue" w:hAnsi="Helvetica Neue" w:cs="Arial Unicode MS"/>
      <w:color w:val="000000"/>
      <w:sz w:val="24"/>
      <w:szCs w:val="24"/>
      <w:u w:color="000000"/>
    </w:rPr>
  </w:style>
  <w:style w:type="numbering" w:customStyle="1" w:styleId="Lettered">
    <w:name w:val="Lettered"/>
    <w:rsid w:val="002D5353"/>
    <w:pPr>
      <w:numPr>
        <w:numId w:val="1"/>
      </w:numPr>
    </w:pPr>
  </w:style>
  <w:style w:type="character" w:customStyle="1" w:styleId="NoneA">
    <w:name w:val="None A"/>
    <w:rsid w:val="002D5353"/>
  </w:style>
  <w:style w:type="paragraph" w:styleId="Bezodstpw">
    <w:name w:val="No Spacing"/>
    <w:rsid w:val="002D5353"/>
    <w:rPr>
      <w:rFonts w:cs="Arial Unicode MS"/>
      <w:color w:val="000000"/>
      <w:sz w:val="24"/>
      <w:szCs w:val="24"/>
      <w:u w:color="000000"/>
      <w:lang w:val="en-US"/>
    </w:rPr>
  </w:style>
  <w:style w:type="numbering" w:customStyle="1" w:styleId="Numbered">
    <w:name w:val="Numbered"/>
    <w:rsid w:val="002D5353"/>
    <w:pPr>
      <w:numPr>
        <w:numId w:val="11"/>
      </w:numPr>
    </w:pPr>
  </w:style>
  <w:style w:type="character" w:customStyle="1" w:styleId="None">
    <w:name w:val="None"/>
    <w:rsid w:val="002D5353"/>
  </w:style>
  <w:style w:type="character" w:customStyle="1" w:styleId="Hyperlink0">
    <w:name w:val="Hyperlink.0"/>
    <w:basedOn w:val="None"/>
    <w:rsid w:val="002D5353"/>
    <w:rPr>
      <w:outline w:val="0"/>
      <w:color w:val="1155CC"/>
      <w:u w:val="single"/>
      <w:shd w:val="clear" w:color="auto" w:fill="FFFFFF"/>
    </w:rPr>
  </w:style>
  <w:style w:type="numbering" w:customStyle="1" w:styleId="Bullets">
    <w:name w:val="Bullets"/>
    <w:rsid w:val="002D5353"/>
    <w:pPr>
      <w:numPr>
        <w:numId w:val="21"/>
      </w:numPr>
    </w:pPr>
  </w:style>
  <w:style w:type="character" w:customStyle="1" w:styleId="Hyperlink1">
    <w:name w:val="Hyperlink.1"/>
    <w:basedOn w:val="None"/>
    <w:rsid w:val="002D5353"/>
    <w:rPr>
      <w:outline w:val="0"/>
      <w:color w:val="000000"/>
      <w:u w:val="none"/>
      <w:shd w:val="clear" w:color="auto" w:fill="FFFFFF"/>
    </w:rPr>
  </w:style>
  <w:style w:type="paragraph" w:styleId="Tekstdymka">
    <w:name w:val="Balloon Text"/>
    <w:basedOn w:val="Normalny"/>
    <w:link w:val="TekstdymkaZnak"/>
    <w:uiPriority w:val="99"/>
    <w:semiHidden/>
    <w:unhideWhenUsed/>
    <w:rsid w:val="00B970E7"/>
    <w:rPr>
      <w:rFonts w:ascii="Tahoma" w:hAnsi="Tahoma" w:cs="Tahoma"/>
      <w:sz w:val="16"/>
      <w:szCs w:val="16"/>
    </w:rPr>
  </w:style>
  <w:style w:type="character" w:customStyle="1" w:styleId="TekstdymkaZnak">
    <w:name w:val="Tekst dymka Znak"/>
    <w:basedOn w:val="Domylnaczcionkaakapitu"/>
    <w:link w:val="Tekstdymka"/>
    <w:uiPriority w:val="99"/>
    <w:semiHidden/>
    <w:rsid w:val="00B970E7"/>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oeil.secure.europarl.europa.eu/oeil/popups/ficheprocedure.do?lang=en&amp;reference=2018/0216(CO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smartapi/cgi/sga_doc?smartapi!celexplus!prod!DocNumber&amp;lg=PL&amp;type_doc=COMfinal&amp;an_doc=2018&amp;nu_doc=03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empking.eu/pl/gdzie-cbd-jest-legalne-lista-krajow/" TargetMode="Externa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2843</Words>
  <Characters>17063</Characters>
  <Application>Microsoft Office Word</Application>
  <DocSecurity>0</DocSecurity>
  <Lines>142</Lines>
  <Paragraphs>39</Paragraphs>
  <ScaleCrop>false</ScaleCrop>
  <Company>Hewlett-Packard</Company>
  <LinksUpToDate>false</LinksUpToDate>
  <CharactersWithSpaces>19867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Grzegorz Molesztak</cp:lastModifiedBy>
  <cp:revision>3</cp:revision>
  <dcterms:created xsi:type="dcterms:W3CDTF">2021-04-20T06:11:00Z</dcterms:created>
  <dcterms:modified xsi:type="dcterms:W3CDTF">2021-10-28T12:19:00Z</dcterms:modified>
</cp:coreProperties>
</file>