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3D0" w:rsidRPr="00DD03D0" w:rsidRDefault="00DD03D0" w:rsidP="00DD03D0">
      <w:pPr>
        <w:keepNext/>
        <w:spacing w:before="120" w:after="0" w:line="360" w:lineRule="auto"/>
        <w:jc w:val="center"/>
        <w:rPr>
          <w:rFonts w:ascii="Times" w:eastAsia="Times New Roman" w:hAnsi="Times" w:cs="Arial"/>
          <w:bCs/>
          <w:caps/>
          <w:kern w:val="24"/>
          <w:sz w:val="24"/>
          <w:szCs w:val="24"/>
          <w:lang w:eastAsia="pl-PL"/>
        </w:rPr>
      </w:pPr>
      <w:r w:rsidRPr="00DD03D0">
        <w:rPr>
          <w:rFonts w:ascii="Times" w:eastAsia="Times New Roman" w:hAnsi="Times" w:cs="Arial"/>
          <w:bCs/>
          <w:caps/>
          <w:kern w:val="24"/>
          <w:sz w:val="24"/>
          <w:szCs w:val="24"/>
          <w:lang w:eastAsia="pl-PL"/>
        </w:rPr>
        <w:t>UZASADNIENIE</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Projektowana ustawa o wyrobach medycznych służy stosowaniu rozporządzenia Parlamentu Europejskiego i Rady (UE) 2017/745 z dnia 5 kwietnia 2017 r. w sprawie wyrobów medycznych, zmiany dyrektywy 2001/83/WE, rozporządzenia (WE) nr 178/2002 i rozporządzenia (WE) nr 1223/2009 oraz uchylenia dyrektyw Rady 90/385/EWG i 93/42/EWG (Dz. Urz. UE L 117 z 05.05.2017, str. 1, </w:t>
      </w:r>
      <w:r>
        <w:rPr>
          <w:rFonts w:ascii="Times" w:eastAsia="Times New Roman" w:hAnsi="Times" w:cs="Arial"/>
          <w:bCs/>
          <w:sz w:val="24"/>
          <w:szCs w:val="20"/>
          <w:lang w:eastAsia="pl-PL"/>
        </w:rPr>
        <w:t xml:space="preserve">z </w:t>
      </w:r>
      <w:proofErr w:type="spellStart"/>
      <w:r>
        <w:rPr>
          <w:rFonts w:ascii="Times" w:eastAsia="Times New Roman" w:hAnsi="Times" w:cs="Arial"/>
          <w:bCs/>
          <w:sz w:val="24"/>
          <w:szCs w:val="20"/>
          <w:lang w:eastAsia="pl-PL"/>
        </w:rPr>
        <w:t>późn</w:t>
      </w:r>
      <w:proofErr w:type="spellEnd"/>
      <w:r>
        <w:rPr>
          <w:rFonts w:ascii="Times" w:eastAsia="Times New Roman" w:hAnsi="Times" w:cs="Arial"/>
          <w:bCs/>
          <w:sz w:val="24"/>
          <w:szCs w:val="20"/>
          <w:lang w:eastAsia="pl-PL"/>
        </w:rPr>
        <w:t xml:space="preserve">. </w:t>
      </w:r>
      <w:proofErr w:type="spellStart"/>
      <w:r>
        <w:rPr>
          <w:rFonts w:ascii="Times" w:eastAsia="Times New Roman" w:hAnsi="Times" w:cs="Arial"/>
          <w:bCs/>
          <w:sz w:val="24"/>
          <w:szCs w:val="20"/>
          <w:lang w:eastAsia="pl-PL"/>
        </w:rPr>
        <w:t>zm</w:t>
      </w:r>
      <w:proofErr w:type="spellEnd"/>
      <w:r w:rsidRPr="000D5709">
        <w:rPr>
          <w:rFonts w:ascii="Times" w:eastAsia="Times New Roman" w:hAnsi="Times" w:cs="Arial"/>
          <w:bCs/>
          <w:sz w:val="24"/>
          <w:szCs w:val="20"/>
          <w:lang w:eastAsia="pl-PL"/>
        </w:rPr>
        <w:t xml:space="preserve">), zwanego dalej „rozporządzeniem 2017/745”, oraz rozporządzenia Parlamentu Europejskiego i Rady (UE) 2017/746 z dnia 5 kwietnia 2017 r. w sprawie wyrobów medycznych do diagnostyki in vitro oraz uchylenia dyrektywy 98/79/WE i decyzji Komisji 2010/227/UE (Dz. Urz. UE L 117 z 05.05.2017, str. 176, </w:t>
      </w:r>
      <w:r>
        <w:rPr>
          <w:rFonts w:ascii="Times" w:eastAsia="Times New Roman" w:hAnsi="Times" w:cs="Arial"/>
          <w:bCs/>
          <w:sz w:val="24"/>
          <w:szCs w:val="20"/>
          <w:lang w:eastAsia="pl-PL"/>
        </w:rPr>
        <w:t xml:space="preserve">z </w:t>
      </w:r>
      <w:proofErr w:type="spellStart"/>
      <w:r>
        <w:rPr>
          <w:rFonts w:ascii="Times" w:eastAsia="Times New Roman" w:hAnsi="Times" w:cs="Arial"/>
          <w:bCs/>
          <w:sz w:val="24"/>
          <w:szCs w:val="20"/>
          <w:lang w:eastAsia="pl-PL"/>
        </w:rPr>
        <w:t>późn</w:t>
      </w:r>
      <w:proofErr w:type="spellEnd"/>
      <w:r>
        <w:rPr>
          <w:rFonts w:ascii="Times" w:eastAsia="Times New Roman" w:hAnsi="Times" w:cs="Arial"/>
          <w:bCs/>
          <w:sz w:val="24"/>
          <w:szCs w:val="20"/>
          <w:lang w:eastAsia="pl-PL"/>
        </w:rPr>
        <w:t>. zm.</w:t>
      </w:r>
      <w:r w:rsidRPr="000D5709">
        <w:rPr>
          <w:rFonts w:ascii="Times" w:eastAsia="Times New Roman" w:hAnsi="Times" w:cs="Arial"/>
          <w:bCs/>
          <w:sz w:val="24"/>
          <w:szCs w:val="20"/>
          <w:lang w:eastAsia="pl-PL"/>
        </w:rPr>
        <w:t>), zwanego dalej „rozporządzeniem 2017/746”, które mają na celu zapewnienie sprawnego funkcjonowania rynku wewnętrznego w obszarze wyrobów medycznych i wyrobów medycznych do diagnostyki in vitro, przyjmując jako podstawę wysoki poziom ochrony zdrowia z myślą o pacjentach i użytkownikach</w:t>
      </w:r>
      <w:r w:rsidR="009D4A4F">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z uwzględnieniem małych i średnich przedsiębiorstw działających w tym sektorze. W szczególności projektowana ustawa określa:</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w:t>
      </w:r>
      <w:r w:rsidRPr="000D5709">
        <w:rPr>
          <w:rFonts w:ascii="Times" w:eastAsia="Times New Roman" w:hAnsi="Times" w:cs="Arial"/>
          <w:bCs/>
          <w:sz w:val="24"/>
          <w:szCs w:val="20"/>
          <w:lang w:eastAsia="pl-PL"/>
        </w:rPr>
        <w:tab/>
        <w:t>właściwość organów;</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2)</w:t>
      </w:r>
      <w:r w:rsidRPr="000D5709">
        <w:rPr>
          <w:rFonts w:ascii="Times" w:eastAsia="Times New Roman" w:hAnsi="Times" w:cs="Arial"/>
          <w:bCs/>
          <w:sz w:val="24"/>
          <w:szCs w:val="20"/>
          <w:lang w:eastAsia="pl-PL"/>
        </w:rPr>
        <w:tab/>
        <w:t>obowiązki informacyjne podmiotów gospodarczych działających na rynku wyrobów medycznych oraz wyrobów do diagnostyki in vitro;</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3)</w:t>
      </w:r>
      <w:r w:rsidRPr="000D5709">
        <w:rPr>
          <w:rFonts w:ascii="Times" w:eastAsia="Times New Roman" w:hAnsi="Times" w:cs="Arial"/>
          <w:bCs/>
          <w:sz w:val="24"/>
          <w:szCs w:val="20"/>
          <w:lang w:eastAsia="pl-PL"/>
        </w:rPr>
        <w:tab/>
        <w:t>zasady prowadzenia reklamy wyrobów;</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4)</w:t>
      </w:r>
      <w:r w:rsidRPr="000D5709">
        <w:rPr>
          <w:rFonts w:ascii="Times" w:eastAsia="Times New Roman" w:hAnsi="Times" w:cs="Arial"/>
          <w:bCs/>
          <w:sz w:val="24"/>
          <w:szCs w:val="20"/>
          <w:lang w:eastAsia="pl-PL"/>
        </w:rPr>
        <w:tab/>
        <w:t>system kar administracyjnych związanych z nieprzestrzeganiem przepisów wyżej wymienionych rozporządzeń i projektowanej ustawy.</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Celem projektowanej ustawy jest uregulowanie kwestii, które ww. rozporządzenia pozostawiają do decyzji państw członkowskich</w:t>
      </w:r>
      <w:r w:rsidR="009D4A4F">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oraz stworzenie ram prawnych dla właściwej i skutecznej realizacji uprawnień i obowiązków organów właściwych i podmiotów działających w obszarze wyrobów medycznych i wyrobów medycznych do diagnostyki in vitro na terytorium Rzeczypospolitej Polskiej.</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Do kompetencji nadanej państwom członkowskim w świetle rozporządzenia 2017/745 i rozporządzenia 2017/746 pozostawiono możliwość: </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w:t>
      </w:r>
      <w:r w:rsidRPr="000D5709">
        <w:rPr>
          <w:rFonts w:ascii="Times" w:eastAsia="Times New Roman" w:hAnsi="Times" w:cs="Arial"/>
          <w:bCs/>
          <w:sz w:val="24"/>
          <w:szCs w:val="20"/>
          <w:lang w:eastAsia="pl-PL"/>
        </w:rPr>
        <w:tab/>
        <w:t>uszczegółowienia zasad sprawowania nadzoru nad podmiotami prowadzącymi obrót wyrobami medycznymi i nad wyrobami medycznymi będącymi w obrocie na terytorium Rzeczypospolitej Polskiej;</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2)</w:t>
      </w:r>
      <w:r w:rsidRPr="000D5709">
        <w:rPr>
          <w:rFonts w:ascii="Times" w:eastAsia="Times New Roman" w:hAnsi="Times" w:cs="Arial"/>
          <w:bCs/>
          <w:sz w:val="24"/>
          <w:szCs w:val="20"/>
          <w:lang w:eastAsia="pl-PL"/>
        </w:rPr>
        <w:tab/>
        <w:t>wprowadzenia przepisów regulujących możliwość regenerowania i dalszego używania wyrobów medycznych jednorazowego użytku;</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lastRenderedPageBreak/>
        <w:t>3)</w:t>
      </w:r>
      <w:r w:rsidRPr="000D5709">
        <w:rPr>
          <w:rFonts w:ascii="Times" w:eastAsia="Times New Roman" w:hAnsi="Times" w:cs="Arial"/>
          <w:bCs/>
          <w:sz w:val="24"/>
          <w:szCs w:val="20"/>
          <w:lang w:eastAsia="pl-PL"/>
        </w:rPr>
        <w:tab/>
        <w:t>nałożenia na instytucje zdrowia publicznego wymogu przechowywania, w formie elektronicznej, kodów UDI, które są dostarczane wraz z wyrobem;</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4)</w:t>
      </w:r>
      <w:r w:rsidRPr="000D5709">
        <w:rPr>
          <w:rFonts w:ascii="Times" w:eastAsia="Times New Roman" w:hAnsi="Times" w:cs="Arial"/>
          <w:bCs/>
          <w:sz w:val="24"/>
          <w:szCs w:val="20"/>
          <w:lang w:eastAsia="pl-PL"/>
        </w:rPr>
        <w:tab/>
        <w:t>żądania od producenta wyrobu wykonanego na zamówienie wykazu wyrobów na zamówienie, które zostały udostępnione na terytorium Rzeczypospolitej Polskiej;</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5)</w:t>
      </w:r>
      <w:r w:rsidRPr="000D5709">
        <w:rPr>
          <w:rFonts w:ascii="Times" w:eastAsia="Times New Roman" w:hAnsi="Times" w:cs="Arial"/>
          <w:bCs/>
          <w:sz w:val="24"/>
          <w:szCs w:val="20"/>
          <w:lang w:eastAsia="pl-PL"/>
        </w:rPr>
        <w:tab/>
        <w:t>wyznaczania i określenia zasad monitorowania jednostek notyfikowanych;</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6)</w:t>
      </w:r>
      <w:r w:rsidRPr="000D5709">
        <w:rPr>
          <w:rFonts w:ascii="Times" w:eastAsia="Times New Roman" w:hAnsi="Times" w:cs="Arial"/>
          <w:bCs/>
          <w:sz w:val="24"/>
          <w:szCs w:val="20"/>
          <w:lang w:eastAsia="pl-PL"/>
        </w:rPr>
        <w:tab/>
        <w:t xml:space="preserve">organizacji udziału komisji etycznych w ocenie badania klinicznego </w:t>
      </w:r>
      <w:r>
        <w:rPr>
          <w:rFonts w:ascii="Times" w:eastAsia="Times New Roman" w:hAnsi="Times" w:cs="Arial"/>
          <w:bCs/>
          <w:sz w:val="24"/>
          <w:szCs w:val="20"/>
          <w:lang w:eastAsia="pl-PL"/>
        </w:rPr>
        <w:t xml:space="preserve">lub badania działania </w:t>
      </w:r>
      <w:r w:rsidRPr="000D5709">
        <w:rPr>
          <w:rFonts w:ascii="Times" w:eastAsia="Times New Roman" w:hAnsi="Times" w:cs="Arial"/>
          <w:bCs/>
          <w:sz w:val="24"/>
          <w:szCs w:val="20"/>
          <w:lang w:eastAsia="pl-PL"/>
        </w:rPr>
        <w:t xml:space="preserve">wyrobów w terminach przewidzianych dla pozwolenia na badanie kliniczne </w:t>
      </w:r>
      <w:r>
        <w:rPr>
          <w:rFonts w:ascii="Times" w:eastAsia="Times New Roman" w:hAnsi="Times" w:cs="Arial"/>
          <w:bCs/>
          <w:sz w:val="24"/>
          <w:szCs w:val="20"/>
          <w:lang w:eastAsia="pl-PL"/>
        </w:rPr>
        <w:t xml:space="preserve">lub badania działania </w:t>
      </w:r>
      <w:r w:rsidRPr="000D5709">
        <w:rPr>
          <w:rFonts w:ascii="Times" w:eastAsia="Times New Roman" w:hAnsi="Times" w:cs="Arial"/>
          <w:bCs/>
          <w:sz w:val="24"/>
          <w:szCs w:val="20"/>
          <w:lang w:eastAsia="pl-PL"/>
        </w:rPr>
        <w:t>określonych w ramach ww. rozporządzeń;</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7)</w:t>
      </w:r>
      <w:r w:rsidRPr="000D5709">
        <w:rPr>
          <w:rFonts w:ascii="Times" w:eastAsia="Times New Roman" w:hAnsi="Times" w:cs="Arial"/>
          <w:bCs/>
          <w:sz w:val="24"/>
          <w:szCs w:val="20"/>
          <w:lang w:eastAsia="pl-PL"/>
        </w:rPr>
        <w:tab/>
        <w:t>określenia wymagań dotyczących języków, w jaki</w:t>
      </w:r>
      <w:r w:rsidR="00A45D1C">
        <w:rPr>
          <w:rFonts w:ascii="Times" w:eastAsia="Times New Roman" w:hAnsi="Times" w:cs="Arial"/>
          <w:bCs/>
          <w:sz w:val="24"/>
          <w:szCs w:val="20"/>
          <w:lang w:eastAsia="pl-PL"/>
        </w:rPr>
        <w:t>ch</w:t>
      </w:r>
      <w:r w:rsidRPr="000D5709">
        <w:rPr>
          <w:rFonts w:ascii="Times" w:eastAsia="Times New Roman" w:hAnsi="Times" w:cs="Arial"/>
          <w:bCs/>
          <w:sz w:val="24"/>
          <w:szCs w:val="20"/>
          <w:lang w:eastAsia="pl-PL"/>
        </w:rPr>
        <w:t xml:space="preserve"> mają być sporządzane dokumenty związane </w:t>
      </w:r>
      <w:r w:rsidR="00A45D1C">
        <w:rPr>
          <w:rFonts w:ascii="Times" w:eastAsia="Times New Roman" w:hAnsi="Times" w:cs="Arial"/>
          <w:bCs/>
          <w:sz w:val="24"/>
          <w:szCs w:val="20"/>
          <w:lang w:eastAsia="pl-PL"/>
        </w:rPr>
        <w:t xml:space="preserve">z </w:t>
      </w:r>
      <w:r w:rsidRPr="000D5709">
        <w:rPr>
          <w:rFonts w:ascii="Times" w:eastAsia="Times New Roman" w:hAnsi="Times" w:cs="Arial"/>
          <w:bCs/>
          <w:sz w:val="24"/>
          <w:szCs w:val="20"/>
          <w:lang w:eastAsia="pl-PL"/>
        </w:rPr>
        <w:t>obrotem wyrobami medycznymi;</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8)</w:t>
      </w:r>
      <w:r w:rsidRPr="000D5709">
        <w:rPr>
          <w:rFonts w:ascii="Times" w:eastAsia="Times New Roman" w:hAnsi="Times" w:cs="Arial"/>
          <w:bCs/>
          <w:sz w:val="24"/>
          <w:szCs w:val="20"/>
          <w:lang w:eastAsia="pl-PL"/>
        </w:rPr>
        <w:tab/>
        <w:t>wprowadzenia środków korygujących dla producentów;</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9)</w:t>
      </w:r>
      <w:r w:rsidRPr="000D5709">
        <w:rPr>
          <w:rFonts w:ascii="Times" w:eastAsia="Times New Roman" w:hAnsi="Times" w:cs="Arial"/>
          <w:bCs/>
          <w:sz w:val="24"/>
          <w:szCs w:val="20"/>
          <w:lang w:eastAsia="pl-PL"/>
        </w:rPr>
        <w:tab/>
        <w:t>prowadzenia reklamy wyrobów;</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10)</w:t>
      </w:r>
      <w:r w:rsidRPr="000D5709">
        <w:rPr>
          <w:rFonts w:ascii="Times" w:eastAsia="Times New Roman" w:hAnsi="Times" w:cs="Arial"/>
          <w:bCs/>
          <w:sz w:val="24"/>
          <w:szCs w:val="20"/>
          <w:lang w:eastAsia="pl-PL"/>
        </w:rPr>
        <w:tab/>
        <w:t>wprowadzenia wszelkich niezbędnych środków zapewniających wykonanie przepisów ww. rozporządzeń, w tym przez ustanowienie skutecznych</w:t>
      </w:r>
      <w:r w:rsidR="00A45D1C">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proporcjonalnych i odstraszających sankcji za ich naruszenie; </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11)</w:t>
      </w:r>
      <w:r w:rsidRPr="000D5709">
        <w:rPr>
          <w:rFonts w:ascii="Times" w:eastAsia="Times New Roman" w:hAnsi="Times" w:cs="Arial"/>
          <w:bCs/>
          <w:sz w:val="24"/>
          <w:szCs w:val="20"/>
          <w:lang w:eastAsia="pl-PL"/>
        </w:rPr>
        <w:tab/>
        <w:t>wprowadzenia przepisów przejściowych umożliwiających dostosowanie do wprowadzonych ww. rozporządzeniami zmian oraz odpowiednie stosowanie przepisów dotychczasowych.</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Do najważniejszych założeń projektowanej ustawy należy wyznaczenie Prezesa Urzędu Rejestracji Produktów Leczniczych, Wyrobów Medycznych i Produktów Biobójczych, zwanego dalej „Prezesem Urzędu”, jako organu właściwego w sprawach wyrobów objętych zakresem rozporządzenia 2017/745 i rozporządzenia 2017/746 oraz określenie jego kompetencji.</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Prezes Urzędu będzie mógł</w:t>
      </w:r>
      <w:r>
        <w:rPr>
          <w:rFonts w:ascii="Times" w:eastAsia="Times New Roman" w:hAnsi="Times" w:cs="Arial"/>
          <w:bCs/>
          <w:sz w:val="24"/>
          <w:szCs w:val="20"/>
          <w:lang w:eastAsia="pl-PL"/>
        </w:rPr>
        <w:t xml:space="preserve"> m.in.</w:t>
      </w:r>
      <w:r w:rsidRPr="000D5709">
        <w:rPr>
          <w:rFonts w:ascii="Times" w:eastAsia="Times New Roman" w:hAnsi="Times" w:cs="Arial"/>
          <w:bCs/>
          <w:sz w:val="24"/>
          <w:szCs w:val="20"/>
          <w:lang w:eastAsia="pl-PL"/>
        </w:rPr>
        <w:t>:</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w:t>
      </w:r>
      <w:r w:rsidRPr="000D5709">
        <w:rPr>
          <w:rFonts w:ascii="Times" w:eastAsia="Times New Roman" w:hAnsi="Times" w:cs="Arial"/>
          <w:bCs/>
          <w:sz w:val="24"/>
          <w:szCs w:val="20"/>
          <w:lang w:eastAsia="pl-PL"/>
        </w:rPr>
        <w:tab/>
        <w:t>żądać od instytucji zdrowia publicznego wszelkich stosownych informacji o wyrobach medycznych wyprodukowanych i używanych w tych instytucjach;</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2)</w:t>
      </w:r>
      <w:r w:rsidRPr="000D5709">
        <w:rPr>
          <w:rFonts w:ascii="Times" w:eastAsia="Times New Roman" w:hAnsi="Times" w:cs="Arial"/>
          <w:bCs/>
          <w:sz w:val="24"/>
          <w:szCs w:val="20"/>
          <w:lang w:eastAsia="pl-PL"/>
        </w:rPr>
        <w:tab/>
        <w:t>prowadzić kontrole tych instytucji w zakresie produkowania i używania takich wyrobów;</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3)</w:t>
      </w:r>
      <w:r w:rsidRPr="000D5709">
        <w:rPr>
          <w:rFonts w:ascii="Times" w:eastAsia="Times New Roman" w:hAnsi="Times" w:cs="Arial"/>
          <w:bCs/>
          <w:sz w:val="24"/>
          <w:szCs w:val="20"/>
          <w:lang w:eastAsia="pl-PL"/>
        </w:rPr>
        <w:tab/>
        <w:t>w drodze decyzji administracyjnej zakazać wprowadzania do obrotu, wycofać z obrotu albo wycofać z obrotu i używania produkt nieobjęty zakresem danego rozporządzenia, jeżeli podmiot inny niż producent przeznaczył taki produkt do celów określonych w jednej z definicji produktów objętych zakresem danego rozporządzenia;</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4)</w:t>
      </w:r>
      <w:r w:rsidRPr="000D5709">
        <w:rPr>
          <w:rFonts w:ascii="Times" w:eastAsia="Times New Roman" w:hAnsi="Times" w:cs="Arial"/>
          <w:bCs/>
          <w:sz w:val="24"/>
          <w:szCs w:val="20"/>
          <w:lang w:eastAsia="pl-PL"/>
        </w:rPr>
        <w:tab/>
        <w:t>zażądać od producenta wyrobu wykonanego na zamówienie wykazu takich wyrobów, które zostały udostępnione na terytorium Rzeczypospolitej Polskiej;</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lastRenderedPageBreak/>
        <w:t>5)</w:t>
      </w:r>
      <w:r w:rsidRPr="000D5709">
        <w:rPr>
          <w:rFonts w:ascii="Times" w:eastAsia="Times New Roman" w:hAnsi="Times" w:cs="Arial"/>
          <w:bCs/>
          <w:sz w:val="24"/>
          <w:szCs w:val="20"/>
          <w:lang w:eastAsia="pl-PL"/>
        </w:rPr>
        <w:tab/>
        <w:t>zażądać od podmiotu wydającego informacji dotyczących systemu nadawania kodów UDI oraz wprowadzenia środków korygujących do czasu potwierdzenia dokładności danych przez dany podmiot;</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6)</w:t>
      </w:r>
      <w:r w:rsidRPr="000D5709">
        <w:rPr>
          <w:rFonts w:ascii="Times" w:eastAsia="Times New Roman" w:hAnsi="Times" w:cs="Arial"/>
          <w:bCs/>
          <w:sz w:val="24"/>
          <w:szCs w:val="20"/>
          <w:lang w:eastAsia="pl-PL"/>
        </w:rPr>
        <w:tab/>
        <w:t>żądać informacji o podmiotach i osobach wprowadzających i udostępniających wyroby w sprzedaży wysyłkowej.</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Projekt ustawy nakłada, w celu umożliwienia Prezesowi Urzędu wykonywania zadań wynikających z rozporządzenia 2017/745 i z rozporządzenia 2017/746, na organy administracji publicznej i inne jednostki organizacyjne administracji publicznej obowiązek</w:t>
      </w:r>
      <w:r>
        <w:rPr>
          <w:rFonts w:ascii="Times" w:eastAsia="Times New Roman" w:hAnsi="Times" w:cs="Arial"/>
          <w:sz w:val="24"/>
          <w:szCs w:val="20"/>
          <w:lang w:eastAsia="pl-PL"/>
        </w:rPr>
        <w:t xml:space="preserve"> </w:t>
      </w:r>
      <w:r w:rsidRPr="000D5709">
        <w:rPr>
          <w:rFonts w:ascii="Times" w:eastAsia="Times New Roman" w:hAnsi="Times" w:cs="Arial"/>
          <w:sz w:val="24"/>
          <w:szCs w:val="20"/>
          <w:lang w:eastAsia="pl-PL"/>
        </w:rPr>
        <w:t>udostępnienia na żądanie Prezesa Urzędu w żądanej formie wszelkich posiadanych informacji dotyczących obrotu wyrobem, systemem lub zestawem zabiegowym, w tym imion i nazwisk, numer</w:t>
      </w:r>
      <w:r>
        <w:rPr>
          <w:rFonts w:ascii="Times" w:eastAsia="Times New Roman" w:hAnsi="Times" w:cs="Arial"/>
          <w:sz w:val="24"/>
          <w:szCs w:val="20"/>
          <w:lang w:eastAsia="pl-PL"/>
        </w:rPr>
        <w:t>ów</w:t>
      </w:r>
      <w:r w:rsidRPr="000D5709">
        <w:rPr>
          <w:rFonts w:ascii="Times" w:eastAsia="Times New Roman" w:hAnsi="Times" w:cs="Arial"/>
          <w:sz w:val="24"/>
          <w:szCs w:val="20"/>
          <w:lang w:eastAsia="pl-PL"/>
        </w:rPr>
        <w:t xml:space="preserve"> PESEL i dan</w:t>
      </w:r>
      <w:r>
        <w:rPr>
          <w:rFonts w:ascii="Times" w:eastAsia="Times New Roman" w:hAnsi="Times" w:cs="Arial"/>
          <w:sz w:val="24"/>
          <w:szCs w:val="20"/>
          <w:lang w:eastAsia="pl-PL"/>
        </w:rPr>
        <w:t>ych</w:t>
      </w:r>
      <w:r w:rsidRPr="000D5709">
        <w:rPr>
          <w:rFonts w:ascii="Times" w:eastAsia="Times New Roman" w:hAnsi="Times" w:cs="Arial"/>
          <w:sz w:val="24"/>
          <w:szCs w:val="20"/>
          <w:lang w:eastAsia="pl-PL"/>
        </w:rPr>
        <w:t xml:space="preserve"> kontaktow</w:t>
      </w:r>
      <w:r>
        <w:rPr>
          <w:rFonts w:ascii="Times" w:eastAsia="Times New Roman" w:hAnsi="Times" w:cs="Arial"/>
          <w:sz w:val="24"/>
          <w:szCs w:val="20"/>
          <w:lang w:eastAsia="pl-PL"/>
        </w:rPr>
        <w:t>ych</w:t>
      </w:r>
      <w:r w:rsidRPr="000D5709">
        <w:rPr>
          <w:rFonts w:ascii="Times" w:eastAsia="Times New Roman" w:hAnsi="Times" w:cs="Arial"/>
          <w:sz w:val="24"/>
          <w:szCs w:val="20"/>
          <w:lang w:eastAsia="pl-PL"/>
        </w:rPr>
        <w:t xml:space="preserve"> osób uczestniczących w tym obrocie. Jest to niezbędne do sprawowania przez Prezesa Urzędu w sposób właściwy nadzoru nad wyrobami medycznymi. </w:t>
      </w:r>
      <w:r w:rsidRPr="00E17243">
        <w:rPr>
          <w:rFonts w:ascii="Times" w:eastAsia="Times New Roman" w:hAnsi="Times" w:cs="Arial"/>
          <w:sz w:val="24"/>
          <w:szCs w:val="20"/>
          <w:lang w:eastAsia="pl-PL"/>
        </w:rPr>
        <w:t xml:space="preserve">Uzyskanie numeru PESEL jest niezbędne do jednoznacznego zidentyfikowania osoby prowadzącej obrót wyrobami medycznymi, co jest koniczne do sprawowania skutecznego nadzoru i podejmowania działań określonych w rozporządzeniu 2017/745, rozporządzeniu 2017/746 i ustawie. Imię i nazwisko mogą nie być wystarczające do tego celu. </w:t>
      </w:r>
      <w:r w:rsidRPr="000D5709">
        <w:rPr>
          <w:rFonts w:ascii="Times" w:eastAsia="Times New Roman" w:hAnsi="Times" w:cs="Arial"/>
          <w:sz w:val="24"/>
          <w:szCs w:val="20"/>
          <w:lang w:eastAsia="pl-PL"/>
        </w:rPr>
        <w:t>Jest to środek niezbędny i proporcjonalny, który nie może zostać osiągnięty innymi środkami. Z uwagi</w:t>
      </w:r>
      <w:r>
        <w:rPr>
          <w:rFonts w:ascii="Times" w:eastAsia="Times New Roman" w:hAnsi="Times" w:cs="Arial"/>
          <w:sz w:val="24"/>
          <w:szCs w:val="20"/>
          <w:lang w:eastAsia="pl-PL"/>
        </w:rPr>
        <w:t xml:space="preserve"> na fakt</w:t>
      </w:r>
      <w:r w:rsidRPr="000D5709">
        <w:rPr>
          <w:rFonts w:ascii="Times" w:eastAsia="Times New Roman" w:hAnsi="Times" w:cs="Arial"/>
          <w:sz w:val="24"/>
          <w:szCs w:val="20"/>
          <w:lang w:eastAsia="pl-PL"/>
        </w:rPr>
        <w:t>, że zgodnie z projektem ustawy Prezes Urzędu współpracuje z licznymi organami administracji</w:t>
      </w:r>
      <w:r w:rsidR="005C45BA">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wzajemne przekazywanie sobie informacji stanowi logiczną kontynuację tej współpracy.</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Odstąpiono od tworzenia w projektowanej ustawie szczegółowej regulacji dotyczącej tworzenia rejestrów i banków danych, uznając że samodzielną podstawę do podejmowania odpowiednich działań w ww. zakresie będą stanowiły przepisy rozporządzeń unijnych. Jednocześnie projektowana ustawa została uzupełniona o ogólny przepis kompetencyjny wskazujący, że minister właściwy do spraw zdrowia oraz Prezes Urzędu podejmują działania, o których mowa w art. 108 rozporządzenia 2017/745 oraz art. 101 rozporządzenia 2017/746, natomiast ewentualne działania dotyczące zachęcania do tworzenia rejestrów i banków danych są planowane do określenia na poziomie krajowym</w:t>
      </w:r>
      <w:r w:rsidR="005C45BA">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 drodze komunikatów właściwych organów.</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Projekt przewiduje udostępnianie informacji o podmiotach i osobach sprzedających wysyłkowo wyroby w sytuacji, w której Prezes Urzędu nie posiada informacji umożliwiających mu wykonywanie obowiązków nadzorczych. Obowiązek ten został nałożony na usługodawców zapewniających środki porozumiewania się na odległość</w:t>
      </w:r>
      <w:r>
        <w:rPr>
          <w:rFonts w:ascii="Times" w:eastAsia="Times New Roman" w:hAnsi="Times" w:cs="Arial"/>
          <w:sz w:val="24"/>
          <w:szCs w:val="20"/>
          <w:lang w:eastAsia="pl-PL"/>
        </w:rPr>
        <w:t xml:space="preserve"> </w:t>
      </w:r>
      <w:r w:rsidRPr="00706ACB">
        <w:rPr>
          <w:rFonts w:ascii="Times" w:eastAsia="Times New Roman" w:hAnsi="Times" w:cs="Arial"/>
          <w:sz w:val="24"/>
          <w:szCs w:val="20"/>
          <w:lang w:eastAsia="pl-PL"/>
        </w:rPr>
        <w:t xml:space="preserve">oraz przedsiębiorców </w:t>
      </w:r>
      <w:r w:rsidRPr="00706ACB">
        <w:rPr>
          <w:rFonts w:ascii="Times" w:eastAsia="Times New Roman" w:hAnsi="Times" w:cs="Arial"/>
          <w:sz w:val="24"/>
          <w:szCs w:val="20"/>
          <w:lang w:eastAsia="pl-PL"/>
        </w:rPr>
        <w:lastRenderedPageBreak/>
        <w:t>telekomunikacyjnych</w:t>
      </w:r>
      <w:r w:rsidRPr="000D5709">
        <w:rPr>
          <w:rFonts w:ascii="Times" w:eastAsia="Times New Roman" w:hAnsi="Times" w:cs="Arial"/>
          <w:sz w:val="24"/>
          <w:szCs w:val="20"/>
          <w:lang w:eastAsia="pl-PL"/>
        </w:rPr>
        <w:t xml:space="preserve">, ponieważ są to podmioty, które dysponują danymi osób oferujących takie wyroby. Projektowany przepis jest analogiczny </w:t>
      </w:r>
      <w:r w:rsidR="005C45BA">
        <w:rPr>
          <w:rFonts w:ascii="Times" w:eastAsia="Times New Roman" w:hAnsi="Times" w:cs="Arial"/>
          <w:sz w:val="24"/>
          <w:szCs w:val="20"/>
          <w:lang w:eastAsia="pl-PL"/>
        </w:rPr>
        <w:t xml:space="preserve">do </w:t>
      </w:r>
      <w:r w:rsidRPr="000D5709">
        <w:rPr>
          <w:rFonts w:ascii="Times" w:eastAsia="Times New Roman" w:hAnsi="Times" w:cs="Arial"/>
          <w:sz w:val="24"/>
          <w:szCs w:val="20"/>
          <w:lang w:eastAsia="pl-PL"/>
        </w:rPr>
        <w:t>art. 68 ust. 10 ustawy z dnia 20 maja 2010 r. o wyrobach medycznych</w:t>
      </w:r>
      <w:r w:rsidRPr="00614C41">
        <w:rPr>
          <w:rFonts w:ascii="Times" w:eastAsia="Times New Roman" w:hAnsi="Times" w:cs="Arial"/>
          <w:sz w:val="24"/>
          <w:szCs w:val="20"/>
          <w:lang w:eastAsia="pl-PL"/>
        </w:rPr>
        <w:t xml:space="preserve"> </w:t>
      </w:r>
      <w:r>
        <w:rPr>
          <w:rFonts w:ascii="Times" w:eastAsia="Times New Roman" w:hAnsi="Times" w:cs="Arial"/>
          <w:sz w:val="24"/>
          <w:szCs w:val="20"/>
          <w:lang w:eastAsia="pl-PL"/>
        </w:rPr>
        <w:t xml:space="preserve">(Dz. U. </w:t>
      </w:r>
      <w:r w:rsidRPr="000E5A2A">
        <w:rPr>
          <w:rFonts w:ascii="Times" w:eastAsia="Times New Roman" w:hAnsi="Times" w:cs="Arial"/>
          <w:sz w:val="24"/>
          <w:szCs w:val="20"/>
          <w:lang w:eastAsia="pl-PL"/>
        </w:rPr>
        <w:t>z 202</w:t>
      </w:r>
      <w:r>
        <w:rPr>
          <w:rFonts w:ascii="Times" w:eastAsia="Times New Roman" w:hAnsi="Times" w:cs="Arial"/>
          <w:sz w:val="24"/>
          <w:szCs w:val="20"/>
          <w:lang w:eastAsia="pl-PL"/>
        </w:rPr>
        <w:t>1</w:t>
      </w:r>
      <w:r w:rsidRPr="000E5A2A">
        <w:rPr>
          <w:rFonts w:ascii="Times" w:eastAsia="Times New Roman" w:hAnsi="Times" w:cs="Arial"/>
          <w:sz w:val="24"/>
          <w:szCs w:val="20"/>
          <w:lang w:eastAsia="pl-PL"/>
        </w:rPr>
        <w:t xml:space="preserve"> r. poz. </w:t>
      </w:r>
      <w:r>
        <w:rPr>
          <w:rFonts w:ascii="Times" w:eastAsia="Times New Roman" w:hAnsi="Times" w:cs="Arial"/>
          <w:sz w:val="24"/>
          <w:szCs w:val="20"/>
          <w:lang w:eastAsia="pl-PL"/>
        </w:rPr>
        <w:t>1565)</w:t>
      </w:r>
      <w:r w:rsidRPr="000D5709">
        <w:rPr>
          <w:rFonts w:ascii="Times" w:eastAsia="Times New Roman" w:hAnsi="Times" w:cs="Arial"/>
          <w:sz w:val="24"/>
          <w:szCs w:val="20"/>
          <w:lang w:eastAsia="pl-PL"/>
        </w:rPr>
        <w:t xml:space="preserve">. Rozwiązanie to jest uzasadnione ochroną zdrowia publicznego, </w:t>
      </w:r>
      <w:r w:rsidR="005C45BA">
        <w:rPr>
          <w:rFonts w:ascii="Times" w:eastAsia="Times New Roman" w:hAnsi="Times" w:cs="Arial"/>
          <w:sz w:val="24"/>
          <w:szCs w:val="20"/>
          <w:lang w:eastAsia="pl-PL"/>
        </w:rPr>
        <w:t xml:space="preserve">a </w:t>
      </w:r>
      <w:r w:rsidRPr="000D5709">
        <w:rPr>
          <w:rFonts w:ascii="Times" w:eastAsia="Times New Roman" w:hAnsi="Times" w:cs="Arial"/>
          <w:sz w:val="24"/>
          <w:szCs w:val="20"/>
          <w:lang w:eastAsia="pl-PL"/>
        </w:rPr>
        <w:t>dostęp do takich danych jest niezbędny z uwagi, że w innym przypadku może nie być możliwe uzyskanie niezbędnych danych do sprawowania należytego nadzoru przez Prezesa Urzędu.</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Podobnie jak w przepisach dotychczasowych</w:t>
      </w:r>
      <w:r w:rsidR="005C45BA">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Prezes Urzędu w celu uzyskania możliwie najszerszej wiedzy o wyrobach wprowadzanych do obrotu oraz używanych na terytorium Rzeczypospolitej Polskiej będzie gromadził dane o uczestnikach obrotu wyrobami, a także zatwierdzał dane wprowadzane przez polskich uczestników obrotu wyrobami do bazy danych </w:t>
      </w:r>
      <w:proofErr w:type="spellStart"/>
      <w:r w:rsidRPr="000D5709">
        <w:rPr>
          <w:rFonts w:ascii="Times" w:eastAsia="Times New Roman" w:hAnsi="Times" w:cs="Arial"/>
          <w:bCs/>
          <w:sz w:val="24"/>
          <w:szCs w:val="20"/>
          <w:lang w:eastAsia="pl-PL"/>
        </w:rPr>
        <w:t>Eudamed</w:t>
      </w:r>
      <w:proofErr w:type="spellEnd"/>
      <w:r w:rsidRPr="000D5709">
        <w:rPr>
          <w:rFonts w:ascii="Times" w:eastAsia="Times New Roman" w:hAnsi="Times" w:cs="Arial"/>
          <w:bCs/>
          <w:sz w:val="24"/>
          <w:szCs w:val="20"/>
          <w:lang w:eastAsia="pl-PL"/>
        </w:rPr>
        <w:t>, w zakresie określonym przepisami rozporządzeń 2017/745 i 2017/746.</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W celu wykonania opisanych wyżej </w:t>
      </w:r>
      <w:r>
        <w:rPr>
          <w:rFonts w:ascii="Times" w:eastAsia="Times New Roman" w:hAnsi="Times" w:cs="Arial"/>
          <w:bCs/>
          <w:sz w:val="24"/>
          <w:szCs w:val="20"/>
          <w:lang w:eastAsia="pl-PL"/>
        </w:rPr>
        <w:t>zadań</w:t>
      </w:r>
      <w:r w:rsidRPr="000D5709">
        <w:rPr>
          <w:rFonts w:ascii="Times" w:eastAsia="Times New Roman" w:hAnsi="Times" w:cs="Arial"/>
          <w:bCs/>
          <w:sz w:val="24"/>
          <w:szCs w:val="20"/>
          <w:lang w:eastAsia="pl-PL"/>
        </w:rPr>
        <w:t xml:space="preserve"> w zakresie nadzoru i gromadzenia notyfikacji w ustawie nałożono obowiązek informacyjny dotyczący wprowadzenia do obrotu</w:t>
      </w:r>
      <w:r>
        <w:rPr>
          <w:rFonts w:ascii="Times" w:eastAsia="Times New Roman" w:hAnsi="Times" w:cs="Arial"/>
          <w:bCs/>
          <w:sz w:val="24"/>
          <w:szCs w:val="20"/>
          <w:lang w:eastAsia="pl-PL"/>
        </w:rPr>
        <w:t xml:space="preserve"> wyrobów</w:t>
      </w:r>
      <w:r w:rsidRPr="000D5709">
        <w:rPr>
          <w:rFonts w:ascii="Times" w:eastAsia="Times New Roman" w:hAnsi="Times" w:cs="Arial"/>
          <w:bCs/>
          <w:sz w:val="24"/>
          <w:szCs w:val="20"/>
          <w:lang w:eastAsia="pl-PL"/>
        </w:rPr>
        <w:t>. W celu zachowania spójności z przepisami rozporządzeń 2017/745 i 2017/746 przewiduje się utworzenie wykazu dystrybutorów oraz innych podmiotów, które będą obowiązane do przekazywania informacji o wyrobach sprowadzonych na terytorium Rzeczypospolitej Polskiej. Planuje się również wprowadzenie rejestracji wytwórców wyrobów na zamówienie. Prowadzenie wykazu dystrybutorów stanowi realizację uprawnienia wynikającego z art. 30 ust. 2 rozporządzenia 2017/745 i art. 27 ust. 2 rozporządzenia 2017/746. Gromadzenie i udostępnianie danych</w:t>
      </w:r>
      <w:r w:rsidR="005C45BA">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co do zasady, również w pozostałym zakresie (wykaz dystrybutorów oraz informacje o producentach </w:t>
      </w:r>
      <w:r>
        <w:rPr>
          <w:rFonts w:ascii="Times" w:eastAsia="Times New Roman" w:hAnsi="Times" w:cs="Arial"/>
          <w:bCs/>
          <w:sz w:val="24"/>
          <w:szCs w:val="20"/>
          <w:lang w:eastAsia="pl-PL"/>
        </w:rPr>
        <w:t xml:space="preserve">wyrobów </w:t>
      </w:r>
      <w:r w:rsidRPr="000D5709">
        <w:rPr>
          <w:rFonts w:ascii="Times" w:eastAsia="Times New Roman" w:hAnsi="Times" w:cs="Arial"/>
          <w:bCs/>
          <w:sz w:val="24"/>
          <w:szCs w:val="20"/>
          <w:lang w:eastAsia="pl-PL"/>
        </w:rPr>
        <w:t>na zamówienie) ma ułatwić</w:t>
      </w:r>
      <w:r w:rsidR="009D4A4F">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ogółowi społeczeństwa dostęp do informacji o wyrobach wprowadzonych do obrotu na terytorium R</w:t>
      </w:r>
      <w:r>
        <w:rPr>
          <w:rFonts w:ascii="Times" w:eastAsia="Times New Roman" w:hAnsi="Times" w:cs="Arial"/>
          <w:bCs/>
          <w:sz w:val="24"/>
          <w:szCs w:val="20"/>
          <w:lang w:eastAsia="pl-PL"/>
        </w:rPr>
        <w:t xml:space="preserve">zeczypospolitej Polskiej </w:t>
      </w:r>
      <w:r w:rsidRPr="000D5709">
        <w:rPr>
          <w:rFonts w:ascii="Times" w:eastAsia="Times New Roman" w:hAnsi="Times" w:cs="Arial"/>
          <w:bCs/>
          <w:sz w:val="24"/>
          <w:szCs w:val="20"/>
          <w:lang w:eastAsia="pl-PL"/>
        </w:rPr>
        <w:t xml:space="preserve">oraz ich identyfikację, w tym również informację o dystrybutorach wyrobów, systemów lub zestawów zabiegowych działających na terytorium Rzeczypospolitej Polskiej. Z uwagi na publiczny charakter bazy </w:t>
      </w:r>
      <w:proofErr w:type="spellStart"/>
      <w:r w:rsidRPr="000D5709">
        <w:rPr>
          <w:rFonts w:ascii="Times" w:eastAsia="Times New Roman" w:hAnsi="Times" w:cs="Arial"/>
          <w:bCs/>
          <w:sz w:val="24"/>
          <w:szCs w:val="20"/>
          <w:lang w:eastAsia="pl-PL"/>
        </w:rPr>
        <w:t>Eudamed</w:t>
      </w:r>
      <w:proofErr w:type="spellEnd"/>
      <w:r w:rsidRPr="000D5709">
        <w:rPr>
          <w:rFonts w:ascii="Times" w:eastAsia="Times New Roman" w:hAnsi="Times" w:cs="Arial"/>
          <w:bCs/>
          <w:sz w:val="24"/>
          <w:szCs w:val="20"/>
          <w:lang w:eastAsia="pl-PL"/>
        </w:rPr>
        <w:t>, która gromadzi informacje o producentach, upoważnionych przedstawicielach i importerach, upublicznienie niektórych z informacji gromadzonych przez Prezesa Urzędu zapewni klientom, pacjentom i użytkownikom wyrobów dostęp do pełnej informacji o podmiotach prowadzących obrót wyrobami medycznymi.</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Rozporządzenia 2017/745 oraz 2017/746 nakładają na państwa członkowskie obowiązki w zakresie transparentności. Ponieważ akty te są stosowane bezpośrednio i wynikają z nich bezpośrednio obowiązki dla Prezesa Urzędu</w:t>
      </w:r>
      <w:r w:rsidR="005C45BA">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projekt ustawy zakłada udostępnianie informacji zgodnie z ustawą z dnia 6 września 2001 r. o dostępie do informacji publicznej wyłącznie w zakresie zbieżnym z obecnymi regulacjami art. 91 ustawy z dnia 20 maja 2010 r. o wyrobach </w:t>
      </w:r>
      <w:r w:rsidRPr="000D5709">
        <w:rPr>
          <w:rFonts w:ascii="Times" w:eastAsia="Times New Roman" w:hAnsi="Times" w:cs="Arial"/>
          <w:sz w:val="24"/>
          <w:szCs w:val="20"/>
          <w:lang w:eastAsia="pl-PL"/>
        </w:rPr>
        <w:lastRenderedPageBreak/>
        <w:t>medycznych jako uzupełnieni</w:t>
      </w:r>
      <w:r w:rsidR="005C45BA">
        <w:rPr>
          <w:rFonts w:ascii="Times" w:eastAsia="Times New Roman" w:hAnsi="Times" w:cs="Arial"/>
          <w:sz w:val="24"/>
          <w:szCs w:val="20"/>
          <w:lang w:eastAsia="pl-PL"/>
        </w:rPr>
        <w:t>e</w:t>
      </w:r>
      <w:r w:rsidRPr="000D5709">
        <w:rPr>
          <w:rFonts w:ascii="Times" w:eastAsia="Times New Roman" w:hAnsi="Times" w:cs="Arial"/>
          <w:sz w:val="24"/>
          <w:szCs w:val="20"/>
          <w:lang w:eastAsia="pl-PL"/>
        </w:rPr>
        <w:t xml:space="preserve"> do stosowanych bezpośrednio przepisów rozporządzeń 2017/745 i 2017/746 oraz zagwarantowanie, że wszystkie informacje udostępniane na dotychczasowych zasadach będą </w:t>
      </w:r>
      <w:r w:rsidR="005C45BA" w:rsidRPr="000D5709">
        <w:rPr>
          <w:rFonts w:ascii="Times" w:eastAsia="Times New Roman" w:hAnsi="Times" w:cs="Arial"/>
          <w:sz w:val="24"/>
          <w:szCs w:val="20"/>
          <w:lang w:eastAsia="pl-PL"/>
        </w:rPr>
        <w:t xml:space="preserve">dalej </w:t>
      </w:r>
      <w:r w:rsidRPr="000D5709">
        <w:rPr>
          <w:rFonts w:ascii="Times" w:eastAsia="Times New Roman" w:hAnsi="Times" w:cs="Arial"/>
          <w:sz w:val="24"/>
          <w:szCs w:val="20"/>
          <w:lang w:eastAsia="pl-PL"/>
        </w:rPr>
        <w:t xml:space="preserve">stanowiły informację publiczną.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Projekt zakłada, ż</w:t>
      </w:r>
      <w:r>
        <w:rPr>
          <w:rFonts w:ascii="Times" w:eastAsia="Times New Roman" w:hAnsi="Times" w:cs="Arial"/>
          <w:bCs/>
          <w:sz w:val="24"/>
          <w:szCs w:val="20"/>
          <w:lang w:eastAsia="pl-PL"/>
        </w:rPr>
        <w:t>e</w:t>
      </w:r>
      <w:r w:rsidRPr="000D5709">
        <w:rPr>
          <w:rFonts w:ascii="Times" w:eastAsia="Times New Roman" w:hAnsi="Times" w:cs="Arial"/>
          <w:bCs/>
          <w:sz w:val="24"/>
          <w:szCs w:val="20"/>
          <w:lang w:eastAsia="pl-PL"/>
        </w:rPr>
        <w:t xml:space="preserve"> Prezes Urzędu będzie organem uprawnionym do dokonania, w drodze decyzji administracyjnej, klasyfikacji wyrobu w przypadku sporu pomiędzy producentem a jednostką notyfikowaną. Prezes Urzędu na należycie uzasadniony wniosek osoby wykonującej zawód medyczny, konsultanta krajowego, konsultanta wojewódzkiego, Prezesa Agencji Oceny Technologii Medycznych i Taryfikacji lub Prezesa Narodowego Funduszu Zdrowia będzie wydawał, w drodze decyzji administracyjnej, pozwolenie na wprowadzenie do obrotu lub do używania na terytorium Rzeczypospolitej Polskiej określonego wyrobu, w przypadku którego nie przeprowadzono procedur oceny zgodności, ale którego używanie leży w interesie zdrowia publicznego lub bezpieczeństwa lub zdrowia pacjentów; w przypadku gdy takie pozwolenie dotyczyć będzie używania przez więcej niż jednego pacjenta</w:t>
      </w:r>
      <w:r w:rsidR="00AB7F9E">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Prezes Urzędu będzie powiadamiał, zgodnie z art. 59 ust. 2 rozporządzenia 2017/745 i art. 54 ust. 2 rozporządzenia 2017/746, Komisję Europejsk</w:t>
      </w:r>
      <w:r w:rsidR="00AB7F9E">
        <w:rPr>
          <w:rFonts w:ascii="Times" w:eastAsia="Times New Roman" w:hAnsi="Times" w:cs="Arial"/>
          <w:bCs/>
          <w:sz w:val="24"/>
          <w:szCs w:val="20"/>
          <w:lang w:eastAsia="pl-PL"/>
        </w:rPr>
        <w:t>ą</w:t>
      </w:r>
      <w:r w:rsidRPr="000D5709">
        <w:rPr>
          <w:rFonts w:ascii="Times" w:eastAsia="Times New Roman" w:hAnsi="Times" w:cs="Arial"/>
          <w:bCs/>
          <w:sz w:val="24"/>
          <w:szCs w:val="20"/>
          <w:lang w:eastAsia="pl-PL"/>
        </w:rPr>
        <w:t xml:space="preserve"> i pozostałe państwa członkowskie o swoich decyzjach. Prezes Urzędu będzie organem właściwym do wydawania świadectw wolnej sprzedaży.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Prezes Urzędu będzie mógł żądać udostępnienia mu przez organy administracji publicznej i inne jednostki organizacyjne administracji publicznej w żądanej formie wszelkich posiadanych informacji dotycząc</w:t>
      </w:r>
      <w:r w:rsidR="00A14C69">
        <w:rPr>
          <w:rFonts w:ascii="Times" w:eastAsia="Times New Roman" w:hAnsi="Times" w:cs="Arial"/>
          <w:bCs/>
          <w:sz w:val="24"/>
          <w:szCs w:val="20"/>
          <w:lang w:eastAsia="pl-PL"/>
        </w:rPr>
        <w:t>ych</w:t>
      </w:r>
      <w:r w:rsidRPr="000D5709">
        <w:rPr>
          <w:rFonts w:ascii="Times" w:eastAsia="Times New Roman" w:hAnsi="Times" w:cs="Arial"/>
          <w:bCs/>
          <w:sz w:val="24"/>
          <w:szCs w:val="20"/>
          <w:lang w:eastAsia="pl-PL"/>
        </w:rPr>
        <w:t xml:space="preserve"> obrotu wyrobem, systemem lub zestawem zabiegowym, w tym dan</w:t>
      </w:r>
      <w:r>
        <w:rPr>
          <w:rFonts w:ascii="Times" w:eastAsia="Times New Roman" w:hAnsi="Times" w:cs="Arial"/>
          <w:bCs/>
          <w:sz w:val="24"/>
          <w:szCs w:val="20"/>
          <w:lang w:eastAsia="pl-PL"/>
        </w:rPr>
        <w:t>ych</w:t>
      </w:r>
      <w:r w:rsidRPr="000D5709">
        <w:rPr>
          <w:rFonts w:ascii="Times" w:eastAsia="Times New Roman" w:hAnsi="Times" w:cs="Arial"/>
          <w:bCs/>
          <w:sz w:val="24"/>
          <w:szCs w:val="20"/>
          <w:lang w:eastAsia="pl-PL"/>
        </w:rPr>
        <w:t xml:space="preserve"> osobow</w:t>
      </w:r>
      <w:r>
        <w:rPr>
          <w:rFonts w:ascii="Times" w:eastAsia="Times New Roman" w:hAnsi="Times" w:cs="Arial"/>
          <w:bCs/>
          <w:sz w:val="24"/>
          <w:szCs w:val="20"/>
          <w:lang w:eastAsia="pl-PL"/>
        </w:rPr>
        <w:t>ych</w:t>
      </w:r>
      <w:r w:rsidRPr="000D5709">
        <w:rPr>
          <w:rFonts w:ascii="Times" w:eastAsia="Times New Roman" w:hAnsi="Times" w:cs="Arial"/>
          <w:bCs/>
          <w:sz w:val="24"/>
          <w:szCs w:val="20"/>
          <w:lang w:eastAsia="pl-PL"/>
        </w:rPr>
        <w:t xml:space="preserve"> osób uczestniczących w tym obrocie. Żądanie dostarczenia tak szczegółowych danych, w tym danych osobowych, wiąże się z koniecznością ochrony zdrowia publicznego oraz życia i zdrowia użytkowników wyrobów. Prezes Urzędu w ramach nadzoru nad rynkiem wyrobów medycznych musi mieć możliwość niezwłocznego dotarcia do wszystkich podmiotów prowadzących obrót danym rodzajem wyrobów medycznych, np. w celu poinformowania o wycofaniu takiego wyrobu z obrotu. Przetwarzanie takich danych osobowych jest </w:t>
      </w:r>
      <w:r>
        <w:rPr>
          <w:rFonts w:ascii="Times" w:eastAsia="Times New Roman" w:hAnsi="Times" w:cs="Arial"/>
          <w:bCs/>
          <w:sz w:val="24"/>
          <w:szCs w:val="20"/>
          <w:lang w:eastAsia="pl-PL"/>
        </w:rPr>
        <w:t xml:space="preserve">zatem </w:t>
      </w:r>
      <w:r w:rsidRPr="000D5709">
        <w:rPr>
          <w:rFonts w:ascii="Times" w:eastAsia="Times New Roman" w:hAnsi="Times" w:cs="Arial"/>
          <w:bCs/>
          <w:sz w:val="24"/>
          <w:szCs w:val="20"/>
          <w:lang w:eastAsia="pl-PL"/>
        </w:rPr>
        <w:t>uzasadnione i proporcjonalne w związku z potrzebą ochrony życia i zdrowia.</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Zmiana przepisów ustawy z dnia 29 sierpnia 1997 r. – Ordynacja podatkowa</w:t>
      </w:r>
      <w:r>
        <w:rPr>
          <w:rFonts w:ascii="Times" w:eastAsia="Times New Roman" w:hAnsi="Times" w:cs="Arial"/>
          <w:sz w:val="24"/>
          <w:szCs w:val="20"/>
          <w:lang w:eastAsia="pl-PL"/>
        </w:rPr>
        <w:t xml:space="preserve"> </w:t>
      </w:r>
      <w:r w:rsidRPr="000D5709">
        <w:rPr>
          <w:rFonts w:ascii="Times" w:eastAsia="Times New Roman" w:hAnsi="Times" w:cs="Arial"/>
          <w:bCs/>
          <w:sz w:val="24"/>
          <w:szCs w:val="20"/>
          <w:lang w:eastAsia="pl-PL"/>
        </w:rPr>
        <w:t>(Dz. U. z 202</w:t>
      </w:r>
      <w:r>
        <w:rPr>
          <w:rFonts w:ascii="Times" w:eastAsia="Times New Roman" w:hAnsi="Times" w:cs="Arial"/>
          <w:bCs/>
          <w:sz w:val="24"/>
          <w:szCs w:val="20"/>
          <w:lang w:eastAsia="pl-PL"/>
        </w:rPr>
        <w:t>1</w:t>
      </w:r>
      <w:r w:rsidRPr="000D5709">
        <w:rPr>
          <w:rFonts w:ascii="Times" w:eastAsia="Times New Roman" w:hAnsi="Times" w:cs="Arial"/>
          <w:bCs/>
          <w:sz w:val="24"/>
          <w:szCs w:val="20"/>
          <w:lang w:eastAsia="pl-PL"/>
        </w:rPr>
        <w:t xml:space="preserve"> r. poz. </w:t>
      </w:r>
      <w:r>
        <w:rPr>
          <w:rFonts w:ascii="Times" w:eastAsia="Times New Roman" w:hAnsi="Times" w:cs="Arial"/>
          <w:bCs/>
          <w:sz w:val="24"/>
          <w:szCs w:val="20"/>
          <w:lang w:eastAsia="pl-PL"/>
        </w:rPr>
        <w:t>1540</w:t>
      </w:r>
      <w:r w:rsidRPr="000D5709">
        <w:rPr>
          <w:rFonts w:ascii="Times" w:eastAsia="Times New Roman" w:hAnsi="Times" w:cs="Arial"/>
          <w:bCs/>
          <w:sz w:val="24"/>
          <w:szCs w:val="20"/>
          <w:lang w:eastAsia="pl-PL"/>
        </w:rPr>
        <w:t xml:space="preserve">, z </w:t>
      </w:r>
      <w:proofErr w:type="spellStart"/>
      <w:r w:rsidRPr="000D5709">
        <w:rPr>
          <w:rFonts w:ascii="Times" w:eastAsia="Times New Roman" w:hAnsi="Times" w:cs="Arial"/>
          <w:bCs/>
          <w:sz w:val="24"/>
          <w:szCs w:val="20"/>
          <w:lang w:eastAsia="pl-PL"/>
        </w:rPr>
        <w:t>późn</w:t>
      </w:r>
      <w:proofErr w:type="spellEnd"/>
      <w:r w:rsidRPr="000D5709">
        <w:rPr>
          <w:rFonts w:ascii="Times" w:eastAsia="Times New Roman" w:hAnsi="Times" w:cs="Arial"/>
          <w:bCs/>
          <w:sz w:val="24"/>
          <w:szCs w:val="20"/>
          <w:lang w:eastAsia="pl-PL"/>
        </w:rPr>
        <w:t>. zm</w:t>
      </w:r>
      <w:r>
        <w:rPr>
          <w:rFonts w:ascii="Times" w:eastAsia="Times New Roman" w:hAnsi="Times" w:cs="Arial"/>
          <w:bCs/>
          <w:sz w:val="24"/>
          <w:szCs w:val="20"/>
          <w:lang w:eastAsia="pl-PL"/>
        </w:rPr>
        <w:t>.)</w:t>
      </w:r>
      <w:r w:rsidRPr="000D5709">
        <w:rPr>
          <w:rFonts w:ascii="Times" w:eastAsia="Times New Roman" w:hAnsi="Times" w:cs="Arial"/>
          <w:sz w:val="24"/>
          <w:szCs w:val="20"/>
          <w:lang w:eastAsia="pl-PL"/>
        </w:rPr>
        <w:t xml:space="preserve"> wynika z konieczności umożliwienia Prezesowi Urzędu współpracy z organami Krajowej Administracji Skarbowej w celu umożliwienia wymiany informacji między tymi organami ze względu na konieczność prowadzenia nadzoru nad wyrobami znajdującymi się w obrocie w Polsce. Informacje gromadzone przez organy prowadzące kontrole w zakresie przestrzegania przepisów ustawy z dnia 29 sierpnia 1997 r. – </w:t>
      </w:r>
      <w:r w:rsidRPr="000D5709">
        <w:rPr>
          <w:rFonts w:ascii="Times" w:eastAsia="Times New Roman" w:hAnsi="Times" w:cs="Arial"/>
          <w:sz w:val="24"/>
          <w:szCs w:val="20"/>
          <w:lang w:eastAsia="pl-PL"/>
        </w:rPr>
        <w:lastRenderedPageBreak/>
        <w:t xml:space="preserve">Ordynacja podatkowa oraz </w:t>
      </w:r>
      <w:r w:rsidRPr="004F71AE">
        <w:rPr>
          <w:rFonts w:ascii="Times" w:eastAsia="Times New Roman" w:hAnsi="Times" w:cs="Arial"/>
          <w:sz w:val="24"/>
          <w:szCs w:val="20"/>
          <w:lang w:eastAsia="pl-PL"/>
        </w:rPr>
        <w:t>kontrole celno-skarbow</w:t>
      </w:r>
      <w:r>
        <w:rPr>
          <w:rFonts w:ascii="Times" w:eastAsia="Times New Roman" w:hAnsi="Times" w:cs="Arial"/>
          <w:sz w:val="24"/>
          <w:szCs w:val="20"/>
          <w:lang w:eastAsia="pl-PL"/>
        </w:rPr>
        <w:t>e</w:t>
      </w:r>
      <w:r w:rsidRPr="004F71AE">
        <w:rPr>
          <w:rFonts w:ascii="Times" w:eastAsia="Times New Roman" w:hAnsi="Times" w:cs="Arial"/>
          <w:sz w:val="24"/>
          <w:szCs w:val="20"/>
          <w:lang w:eastAsia="pl-PL"/>
        </w:rPr>
        <w:t xml:space="preserve"> w zakresie przestrzegania przepisów prawa podatkowego i prawa celnego</w:t>
      </w:r>
      <w:r w:rsidRPr="000D5709">
        <w:rPr>
          <w:rFonts w:ascii="Times" w:eastAsia="Times New Roman" w:hAnsi="Times" w:cs="Arial"/>
          <w:sz w:val="24"/>
          <w:szCs w:val="20"/>
          <w:lang w:eastAsia="pl-PL"/>
        </w:rPr>
        <w:t xml:space="preserve"> mogą dotyczyć prowadzenia przez podmioty gospodarcze obrotu wyrobami oraz obejmować dowody prowadzenia takiego obrotu. Informacje i dowody opisane wyżej mogą być trudno</w:t>
      </w:r>
      <w:r w:rsidR="00964B50">
        <w:rPr>
          <w:rFonts w:ascii="Times" w:eastAsia="Times New Roman" w:hAnsi="Times" w:cs="Arial"/>
          <w:sz w:val="24"/>
          <w:szCs w:val="20"/>
          <w:lang w:eastAsia="pl-PL"/>
        </w:rPr>
        <w:t xml:space="preserve"> </w:t>
      </w:r>
      <w:r w:rsidRPr="000D5709">
        <w:rPr>
          <w:rFonts w:ascii="Times" w:eastAsia="Times New Roman" w:hAnsi="Times" w:cs="Arial"/>
          <w:sz w:val="24"/>
          <w:szCs w:val="20"/>
          <w:lang w:eastAsia="pl-PL"/>
        </w:rPr>
        <w:t>dostępne</w:t>
      </w:r>
      <w:r w:rsidR="001E2FEE">
        <w:rPr>
          <w:rFonts w:ascii="Times" w:eastAsia="Times New Roman" w:hAnsi="Times" w:cs="Arial"/>
          <w:sz w:val="24"/>
          <w:szCs w:val="20"/>
          <w:lang w:eastAsia="pl-PL"/>
        </w:rPr>
        <w:t xml:space="preserve"> lub niemożliwe do zdobycia</w:t>
      </w:r>
      <w:r w:rsidRPr="000D5709">
        <w:rPr>
          <w:rFonts w:ascii="Times" w:eastAsia="Times New Roman" w:hAnsi="Times" w:cs="Arial"/>
          <w:sz w:val="24"/>
          <w:szCs w:val="20"/>
          <w:lang w:eastAsia="pl-PL"/>
        </w:rPr>
        <w:t xml:space="preserve"> dla Prezesa Urzędu. Wobec tego Prezes Urzędu w celu prowadzenia działań nadzorczych i kontrolnych, których celem jest ochrona zdrowia i życia pacjentów, użytkowników wyrobów i osób trzecich</w:t>
      </w:r>
      <w:r w:rsidR="00964B50">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powinien mieć możliwość uzyskania </w:t>
      </w:r>
      <w:r>
        <w:rPr>
          <w:rFonts w:ascii="Times" w:eastAsia="Times New Roman" w:hAnsi="Times" w:cs="Arial"/>
          <w:sz w:val="24"/>
          <w:szCs w:val="20"/>
          <w:lang w:eastAsia="pl-PL"/>
        </w:rPr>
        <w:t xml:space="preserve">informacji </w:t>
      </w:r>
      <w:r w:rsidRPr="000D5709">
        <w:rPr>
          <w:rFonts w:ascii="Times" w:eastAsia="Times New Roman" w:hAnsi="Times" w:cs="Arial"/>
          <w:sz w:val="24"/>
          <w:szCs w:val="20"/>
          <w:lang w:eastAsia="pl-PL"/>
        </w:rPr>
        <w:t xml:space="preserve">posiadanych przez organy </w:t>
      </w:r>
      <w:r>
        <w:rPr>
          <w:rFonts w:ascii="Times" w:eastAsia="Times New Roman" w:hAnsi="Times" w:cs="Arial"/>
          <w:sz w:val="24"/>
          <w:szCs w:val="20"/>
          <w:lang w:eastAsia="pl-PL"/>
        </w:rPr>
        <w:t>Krajowej Administracji Skarbowej</w:t>
      </w:r>
      <w:r w:rsidRPr="000D5709">
        <w:rPr>
          <w:rFonts w:ascii="Times" w:eastAsia="Times New Roman" w:hAnsi="Times" w:cs="Arial"/>
          <w:sz w:val="24"/>
          <w:szCs w:val="20"/>
          <w:lang w:eastAsia="pl-PL"/>
        </w:rPr>
        <w:t xml:space="preserve">. </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875BB5">
        <w:rPr>
          <w:rFonts w:ascii="Times" w:eastAsia="Times New Roman" w:hAnsi="Times" w:cs="Arial"/>
          <w:bCs/>
          <w:sz w:val="24"/>
          <w:szCs w:val="20"/>
          <w:lang w:eastAsia="pl-PL"/>
        </w:rPr>
        <w:t>W związku ze zmianą przepisów dotyczących wyrobów medycznych niezbędna jest zmiana w przepisach ustawy z dnia 11 marca 2004 r. o podatku od towarów i usług (Dz.</w:t>
      </w:r>
      <w:r w:rsidR="00964B50">
        <w:rPr>
          <w:rFonts w:ascii="Times" w:eastAsia="Times New Roman" w:hAnsi="Times" w:cs="Arial"/>
          <w:bCs/>
          <w:sz w:val="24"/>
          <w:szCs w:val="20"/>
          <w:lang w:eastAsia="pl-PL"/>
        </w:rPr>
        <w:t xml:space="preserve"> </w:t>
      </w:r>
      <w:r w:rsidRPr="00875BB5">
        <w:rPr>
          <w:rFonts w:ascii="Times" w:eastAsia="Times New Roman" w:hAnsi="Times" w:cs="Arial"/>
          <w:bCs/>
          <w:sz w:val="24"/>
          <w:szCs w:val="20"/>
          <w:lang w:eastAsia="pl-PL"/>
        </w:rPr>
        <w:t xml:space="preserve">U. z 2021 r. poz. 685, z </w:t>
      </w:r>
      <w:proofErr w:type="spellStart"/>
      <w:r w:rsidRPr="00875BB5">
        <w:rPr>
          <w:rFonts w:ascii="Times" w:eastAsia="Times New Roman" w:hAnsi="Times" w:cs="Arial"/>
          <w:bCs/>
          <w:sz w:val="24"/>
          <w:szCs w:val="20"/>
          <w:lang w:eastAsia="pl-PL"/>
        </w:rPr>
        <w:t>późn</w:t>
      </w:r>
      <w:proofErr w:type="spellEnd"/>
      <w:r w:rsidRPr="00875BB5">
        <w:rPr>
          <w:rFonts w:ascii="Times" w:eastAsia="Times New Roman" w:hAnsi="Times" w:cs="Arial"/>
          <w:bCs/>
          <w:sz w:val="24"/>
          <w:szCs w:val="20"/>
          <w:lang w:eastAsia="pl-PL"/>
        </w:rPr>
        <w:t>. zm.). Przepisy tej ustawy w zakresie określenia właściwej stawki podatku stosowanej do dostawy wyrobów medycznych (poz. 13 w zał. nr 3 do tej ustawy) odwołują się do ustawy z dnia 20 maja 2010 r. o wyrobach medycznych, która utraci moc z dniem 26 maja 2022 r., w odniesieniu zaś do wyrobów medycznych i wyposażenia wyrobów medycznych jej przepisy nie będą stosowane od dnia wejścia w życie projektowanej ustawy, czyli po upływie 14 dni od dnia jej ogłoszenia.</w:t>
      </w:r>
    </w:p>
    <w:p w:rsidR="00DD03D0" w:rsidRPr="006A53C9" w:rsidRDefault="001E2FEE"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6A53C9">
        <w:rPr>
          <w:rFonts w:ascii="Times" w:eastAsia="Times New Roman" w:hAnsi="Times" w:cs="Arial"/>
          <w:bCs/>
          <w:sz w:val="24"/>
          <w:szCs w:val="20"/>
          <w:lang w:eastAsia="pl-PL"/>
        </w:rPr>
        <w:t>Zgodnie z proponowanym brzmieniem poz. 13 w załączniku nr 3 do ustawy o podatku od towarów i usług, obniżona stawka podatku, o której mowa w art. 41 ust. 2 tej ustawy, będzie miała zastosowanie do wyrobów medycznych, wyposażenia wyrobów medycznych, systemów i zestawów zabiegowych, w rozumieniu przepisów rozporządzenia 2017/745 oraz wyrobów medycznych do diagnostyki in vitro i wyposażenia wyrobów medycznych do diagnostyki in vitro, w rozumieniu przepisów rozporządzenia 2017/746, dopuszczonych do obrotu na terytorium Rzeczypospolitej Polskiej.</w:t>
      </w:r>
    </w:p>
    <w:p w:rsidR="00DD03D0" w:rsidRPr="006A53C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6A53C9">
        <w:rPr>
          <w:rFonts w:ascii="Times" w:eastAsia="Times New Roman" w:hAnsi="Times" w:cs="Arial"/>
          <w:bCs/>
          <w:sz w:val="24"/>
          <w:szCs w:val="20"/>
          <w:lang w:eastAsia="pl-PL"/>
        </w:rPr>
        <w:t xml:space="preserve">Celem takiego brzmienia poz. 13 załącznika nr 3 do ustawy o podatku od towarów i usług jest utrzymanie dotychczasowego zakresu przedmiotowego preferencji, tj. zasadniczo takiego samego katalogu tych wyrobów objętych stawką obniżoną (8%). </w:t>
      </w:r>
    </w:p>
    <w:p w:rsidR="00DD03D0" w:rsidRPr="006A53C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6A53C9">
        <w:rPr>
          <w:rFonts w:ascii="Times" w:eastAsia="Times New Roman" w:hAnsi="Times" w:cs="Arial"/>
          <w:bCs/>
          <w:sz w:val="24"/>
          <w:szCs w:val="20"/>
          <w:lang w:eastAsia="pl-PL"/>
        </w:rPr>
        <w:t xml:space="preserve">W związku z różnymi datami ważności i stosowania wymienionych powyżej aktów prawa dotyczących wyrobów medycznych, w celu zapewnienia jednolitego traktowania tych wyrobów na gruncie VAT (stosowanie stawki obniżonej do wszystkich produktów z tej grupy) niezbędne stało się wprowadzenie do ustawy o podatku od towarów i usług odpowiednich przepisów szczególnych (dodawany </w:t>
      </w:r>
      <w:r w:rsidR="00EF1A2D">
        <w:rPr>
          <w:rFonts w:ascii="Times" w:eastAsia="Times New Roman" w:hAnsi="Times" w:cs="Arial"/>
          <w:bCs/>
          <w:sz w:val="24"/>
          <w:szCs w:val="20"/>
          <w:lang w:eastAsia="pl-PL"/>
        </w:rPr>
        <w:t>r</w:t>
      </w:r>
      <w:r w:rsidRPr="006A53C9">
        <w:rPr>
          <w:rFonts w:ascii="Times" w:eastAsia="Times New Roman" w:hAnsi="Times" w:cs="Arial"/>
          <w:bCs/>
          <w:sz w:val="24"/>
          <w:szCs w:val="20"/>
          <w:lang w:eastAsia="pl-PL"/>
        </w:rPr>
        <w:t>ozdział 1b w dziale XIII). Przepisy te dotyczą stosowania stawki 8% VAT:</w:t>
      </w:r>
    </w:p>
    <w:p w:rsidR="00DD03D0" w:rsidRPr="006A53C9" w:rsidRDefault="00DD03D0" w:rsidP="00DD03D0">
      <w:pPr>
        <w:pStyle w:val="PKTpunkt"/>
      </w:pPr>
      <w:r w:rsidRPr="006A53C9">
        <w:lastRenderedPageBreak/>
        <w:t>1)</w:t>
      </w:r>
      <w:r w:rsidRPr="006A53C9">
        <w:tab/>
        <w:t>od dnia 26 maja 2022 r. – do wyrobów medycznych do diagnostyki in vitro i wyposażenia wyrobów medycznych do diagnostyki in vitro w rozumieniu przepisów rozporządzenia 2017/746 (dodawany art. 145c)</w:t>
      </w:r>
      <w:r>
        <w:t>;</w:t>
      </w:r>
    </w:p>
    <w:p w:rsidR="00DD03D0" w:rsidRPr="006A53C9" w:rsidRDefault="00DD03D0" w:rsidP="00DD03D0">
      <w:pPr>
        <w:pStyle w:val="PKTpunkt"/>
      </w:pPr>
      <w:r w:rsidRPr="006A53C9">
        <w:t>2)</w:t>
      </w:r>
      <w:r w:rsidRPr="006A53C9">
        <w:tab/>
        <w:t>do dnia 27 maja 2025 r. – do wyrobów medycznych dopuszczonych do obrotu na podstawie ustawy z dnia 20 maja 2010 r. o wyrobach medycznych, które – zgodnie z projektowaną ustawą o wyrobach medycznych – będą mogły być przedmiotem obrotu do tej daty (dodawany art. 145d)</w:t>
      </w:r>
      <w:r>
        <w:t>;</w:t>
      </w:r>
      <w:r w:rsidRPr="006A53C9">
        <w:t xml:space="preserve"> </w:t>
      </w:r>
    </w:p>
    <w:p w:rsidR="00DD03D0" w:rsidRPr="00875BB5" w:rsidRDefault="00DD03D0" w:rsidP="00DD03D0">
      <w:pPr>
        <w:pStyle w:val="PKTpunkt"/>
      </w:pPr>
      <w:r w:rsidRPr="006A53C9">
        <w:t>3)</w:t>
      </w:r>
      <w:r w:rsidRPr="006A53C9">
        <w:tab/>
        <w:t>do usług napraw i konserwacji wyrobów medycznych, dopuszczonych do obrotu na terytorium Rzeczypospolitej Polskiej na podstawie regulacji ustawy z dnia 20 maja 2010 r. o wyrobach medycznych (które mogą być użytkowane jeszcze przez wiele lat) (dodawany art. 145e).</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Projektowana ustawa wymaga, aby kody UDI przechowywały wszystkie podmioty i osoby, które stosują wyroby do celów zawodowych. Wprowadzono również obowiązek, by producenci i upoważnieni przedstawiciele obowiązani do przechowywania kodów UDI mieli </w:t>
      </w:r>
      <w:r>
        <w:rPr>
          <w:rFonts w:ascii="Times" w:eastAsia="Times New Roman" w:hAnsi="Times" w:cs="Arial"/>
          <w:bCs/>
          <w:sz w:val="24"/>
          <w:szCs w:val="20"/>
          <w:lang w:eastAsia="pl-PL"/>
        </w:rPr>
        <w:t>zawarte</w:t>
      </w:r>
      <w:r w:rsidRPr="000D5709">
        <w:rPr>
          <w:rFonts w:ascii="Times" w:eastAsia="Times New Roman" w:hAnsi="Times" w:cs="Arial"/>
          <w:bCs/>
          <w:sz w:val="24"/>
          <w:szCs w:val="20"/>
          <w:lang w:eastAsia="pl-PL"/>
        </w:rPr>
        <w:t xml:space="preserve"> umowy dotyczące przechowywania dokumentacji na wypadek upadłości lub likwidacji, przez okres wskazany w rozporządzeniu 2017/745 i rozporządzeniu 2017/746.</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W projektowanych przepisach zmieniających ustawę z </w:t>
      </w:r>
      <w:r w:rsidRPr="0066432A">
        <w:rPr>
          <w:rFonts w:ascii="Times" w:eastAsia="Times New Roman" w:hAnsi="Times" w:cs="Arial"/>
          <w:bCs/>
          <w:sz w:val="24"/>
          <w:szCs w:val="20"/>
          <w:lang w:eastAsia="pl-PL"/>
        </w:rPr>
        <w:t>dnia 6 listopada 2008 r. o prawach pacjenta i Rzeczniku Praw Pacjenta (Dz. U. z 2020 r. poz. 849</w:t>
      </w:r>
      <w:r>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 xml:space="preserve">wprowadza </w:t>
      </w:r>
      <w:r>
        <w:rPr>
          <w:rFonts w:ascii="Times" w:eastAsia="Times New Roman" w:hAnsi="Times" w:cs="Arial"/>
          <w:bCs/>
          <w:sz w:val="24"/>
          <w:szCs w:val="20"/>
          <w:lang w:eastAsia="pl-PL"/>
        </w:rPr>
        <w:t xml:space="preserve">się </w:t>
      </w:r>
      <w:r w:rsidRPr="000D5709">
        <w:rPr>
          <w:rFonts w:ascii="Times" w:eastAsia="Times New Roman" w:hAnsi="Times" w:cs="Arial"/>
          <w:bCs/>
          <w:sz w:val="24"/>
          <w:szCs w:val="20"/>
          <w:lang w:eastAsia="pl-PL"/>
        </w:rPr>
        <w:t>także wymóg, aby pacjentom, którym wszczepiono dany wyrób medyczny, instytucje zdrowia publicznego udostępniały wraz z kartą implantu wszelkie stosowne informacje przekazane przez producenta wyrobu i pozwalające na identyfikację wyrobu, w tym nazwę wyrobu, model, numer seryjny oraz wszelkie ostrzeżenia i informacje służące zapewnieniu bezpieczeństwa. Projektowane przepisy zakładają, że wyrób medyczny i wyrób medyczny do diagnostyki in vitro powinien być właściwie dostarczony, prawidłowo zainstalowany i utrzymywany oraz używany zgodnie z przewidzianym zastosowaniem, a użytkownik wyrobu będzie obowiązany do przestrzegania instrukcji używania. Taki sam wymóg określono dla produktów wymienionych w załączniku XVI do rozporządzenia 2017/745.</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Projekt ustawy zabrania uruchamiania i używania wyrobu medycznego</w:t>
      </w:r>
      <w:r>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wyrobu medycznego do diagnostyki in vitro</w:t>
      </w:r>
      <w:r>
        <w:rPr>
          <w:rFonts w:ascii="Times" w:eastAsia="Times New Roman" w:hAnsi="Times" w:cs="Arial"/>
          <w:bCs/>
          <w:sz w:val="24"/>
          <w:szCs w:val="20"/>
          <w:lang w:eastAsia="pl-PL"/>
        </w:rPr>
        <w:t xml:space="preserve"> lub produktu wymienionego w załączniku XVI</w:t>
      </w:r>
      <w:r w:rsidR="001E2FEE" w:rsidRPr="001E2FEE">
        <w:rPr>
          <w:rFonts w:ascii="Times" w:eastAsia="Times New Roman" w:hAnsi="Times" w:cs="Arial"/>
          <w:bCs/>
          <w:sz w:val="24"/>
          <w:szCs w:val="20"/>
          <w:lang w:eastAsia="pl-PL"/>
        </w:rPr>
        <w:t xml:space="preserve"> </w:t>
      </w:r>
      <w:r w:rsidR="001E2FEE" w:rsidRPr="00742CE4">
        <w:rPr>
          <w:rFonts w:ascii="Times" w:eastAsia="Times New Roman" w:hAnsi="Times" w:cs="Arial"/>
          <w:bCs/>
          <w:sz w:val="24"/>
          <w:szCs w:val="20"/>
          <w:lang w:eastAsia="pl-PL"/>
        </w:rPr>
        <w:t>do rozporządzenia 2017/745</w:t>
      </w:r>
      <w:r w:rsidR="001E2FEE">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mającego wady mogące stwarzać ryzyko dla pacjentów, użytkowników lub innych osób.</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Przepisy </w:t>
      </w:r>
      <w:r w:rsidR="001E2FEE">
        <w:rPr>
          <w:rFonts w:ascii="Times" w:eastAsia="Times New Roman" w:hAnsi="Times" w:cs="Arial"/>
          <w:bCs/>
          <w:sz w:val="24"/>
          <w:szCs w:val="20"/>
          <w:lang w:eastAsia="pl-PL"/>
        </w:rPr>
        <w:t>projektowanej</w:t>
      </w:r>
      <w:r w:rsidRPr="000D5709">
        <w:rPr>
          <w:rFonts w:ascii="Times" w:eastAsia="Times New Roman" w:hAnsi="Times" w:cs="Arial"/>
          <w:bCs/>
          <w:sz w:val="24"/>
          <w:szCs w:val="20"/>
          <w:lang w:eastAsia="pl-PL"/>
        </w:rPr>
        <w:t xml:space="preserve"> ustawy zobowiązują podmiot wykonujący działalność leczniczą oraz </w:t>
      </w:r>
      <w:r>
        <w:rPr>
          <w:rFonts w:ascii="Times" w:eastAsia="Times New Roman" w:hAnsi="Times" w:cs="Arial"/>
          <w:bCs/>
          <w:sz w:val="24"/>
          <w:szCs w:val="20"/>
          <w:lang w:eastAsia="pl-PL"/>
        </w:rPr>
        <w:t xml:space="preserve">osobę </w:t>
      </w:r>
      <w:r w:rsidRPr="000D5709">
        <w:rPr>
          <w:rFonts w:ascii="Times" w:eastAsia="Times New Roman" w:hAnsi="Times" w:cs="Arial"/>
          <w:bCs/>
          <w:sz w:val="24"/>
          <w:szCs w:val="20"/>
          <w:lang w:eastAsia="pl-PL"/>
        </w:rPr>
        <w:t>wykorzystując</w:t>
      </w:r>
      <w:r>
        <w:rPr>
          <w:rFonts w:ascii="Times" w:eastAsia="Times New Roman" w:hAnsi="Times" w:cs="Arial"/>
          <w:bCs/>
          <w:sz w:val="24"/>
          <w:szCs w:val="20"/>
          <w:lang w:eastAsia="pl-PL"/>
        </w:rPr>
        <w:t>ą</w:t>
      </w:r>
      <w:r w:rsidRPr="000D5709">
        <w:rPr>
          <w:rFonts w:ascii="Times" w:eastAsia="Times New Roman" w:hAnsi="Times" w:cs="Arial"/>
          <w:bCs/>
          <w:sz w:val="24"/>
          <w:szCs w:val="20"/>
          <w:lang w:eastAsia="pl-PL"/>
        </w:rPr>
        <w:t xml:space="preserve"> wyroby do </w:t>
      </w:r>
      <w:r>
        <w:rPr>
          <w:rFonts w:ascii="Times" w:eastAsia="Times New Roman" w:hAnsi="Times" w:cs="Arial"/>
          <w:bCs/>
          <w:sz w:val="24"/>
          <w:szCs w:val="20"/>
          <w:lang w:eastAsia="pl-PL"/>
        </w:rPr>
        <w:t xml:space="preserve">prowadzenia </w:t>
      </w:r>
      <w:r w:rsidRPr="000D5709">
        <w:rPr>
          <w:rFonts w:ascii="Times" w:eastAsia="Times New Roman" w:hAnsi="Times" w:cs="Arial"/>
          <w:bCs/>
          <w:sz w:val="24"/>
          <w:szCs w:val="20"/>
          <w:lang w:eastAsia="pl-PL"/>
        </w:rPr>
        <w:t xml:space="preserve">działalności gospodarczej lub zawodowej </w:t>
      </w:r>
      <w:r w:rsidRPr="000D5709">
        <w:rPr>
          <w:rFonts w:ascii="Times" w:eastAsia="Times New Roman" w:hAnsi="Times" w:cs="Arial"/>
          <w:bCs/>
          <w:sz w:val="24"/>
          <w:szCs w:val="20"/>
          <w:lang w:eastAsia="pl-PL"/>
        </w:rPr>
        <w:lastRenderedPageBreak/>
        <w:t xml:space="preserve">do posiadania dokumentacji wykonanych instalacji, napraw, konserwacji, działań serwisowych, aktualizacji oprogramowania, przeglądów, regulacji, kalibracji, </w:t>
      </w:r>
      <w:proofErr w:type="spellStart"/>
      <w:r w:rsidRPr="000D5709">
        <w:rPr>
          <w:rFonts w:ascii="Times" w:eastAsia="Times New Roman" w:hAnsi="Times" w:cs="Arial"/>
          <w:bCs/>
          <w:sz w:val="24"/>
          <w:szCs w:val="20"/>
          <w:lang w:eastAsia="pl-PL"/>
        </w:rPr>
        <w:t>wzorcowań</w:t>
      </w:r>
      <w:proofErr w:type="spellEnd"/>
      <w:r w:rsidRPr="000D5709">
        <w:rPr>
          <w:rFonts w:ascii="Times" w:eastAsia="Times New Roman" w:hAnsi="Times" w:cs="Arial"/>
          <w:bCs/>
          <w:sz w:val="24"/>
          <w:szCs w:val="20"/>
          <w:lang w:eastAsia="pl-PL"/>
        </w:rPr>
        <w:t>, sprawdzeń i kontroli bezpieczeństwa wyrobu, wynikających z instrukcji używania wyrobu, który wykorzystuj</w:t>
      </w:r>
      <w:r w:rsidR="00EF1A2D">
        <w:rPr>
          <w:rFonts w:ascii="Times" w:eastAsia="Times New Roman" w:hAnsi="Times" w:cs="Arial"/>
          <w:bCs/>
          <w:sz w:val="24"/>
          <w:szCs w:val="20"/>
          <w:lang w:eastAsia="pl-PL"/>
        </w:rPr>
        <w:t>ą</w:t>
      </w:r>
      <w:r w:rsidRPr="000D5709">
        <w:rPr>
          <w:rFonts w:ascii="Times" w:eastAsia="Times New Roman" w:hAnsi="Times" w:cs="Arial"/>
          <w:bCs/>
          <w:sz w:val="24"/>
          <w:szCs w:val="20"/>
          <w:lang w:eastAsia="pl-PL"/>
        </w:rPr>
        <w:t xml:space="preserve"> do udzielania świadczeń zdrowotnych lub usług, zawierając</w:t>
      </w:r>
      <w:r w:rsidR="00EF1A2D">
        <w:rPr>
          <w:rFonts w:ascii="Times" w:eastAsia="Times New Roman" w:hAnsi="Times" w:cs="Arial"/>
          <w:bCs/>
          <w:sz w:val="24"/>
          <w:szCs w:val="20"/>
          <w:lang w:eastAsia="pl-PL"/>
        </w:rPr>
        <w:t>ej</w:t>
      </w:r>
      <w:r w:rsidRPr="000D5709">
        <w:rPr>
          <w:rFonts w:ascii="Times" w:eastAsia="Times New Roman" w:hAnsi="Times" w:cs="Arial"/>
          <w:bCs/>
          <w:sz w:val="24"/>
          <w:szCs w:val="20"/>
          <w:lang w:eastAsia="pl-PL"/>
        </w:rPr>
        <w:t xml:space="preserve"> co najmniej daty wykonania tych czynności, imię i nazwisko lub nazwę (firmę) podmiotu, który wykonał te czynności, ich opis, wyniki i uwagi dotyczące wyrobu oraz kwalifikacje osób wykonujących wymienione czynności; podmioty te zostaną zobowiązane do przechowywania tej dokumentacji nie krócej niż przez okres 5 lat od dnia zaprzestania używania wyrobu do udzielania świadczeń zdrowotnych i do jej udostępniania organom i podmiotom sprawującym nadzór nad instytucją zdrowia publicznego lub upoważnionym do jej kontroli.</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Przepisy projektowanej ustawy zezwalają na regenerację wyrobów jednorazowego użytku, jednocześnie ze względów bezpieczeństwa wprowadzając zakaz używania na terytorium Rzeczypospolitej Polskiej zregenerowanych wyrobów jednorazowego użytku. Rozwiązanie to ma na celu umożliwienie rozwoju podmiotom działający</w:t>
      </w:r>
      <w:r w:rsidR="00EF1A2D">
        <w:rPr>
          <w:rFonts w:ascii="Times" w:eastAsia="Times New Roman" w:hAnsi="Times" w:cs="Arial"/>
          <w:bCs/>
          <w:sz w:val="24"/>
          <w:szCs w:val="20"/>
          <w:lang w:eastAsia="pl-PL"/>
        </w:rPr>
        <w:t>m</w:t>
      </w:r>
      <w:r w:rsidRPr="000D5709">
        <w:rPr>
          <w:rFonts w:ascii="Times" w:eastAsia="Times New Roman" w:hAnsi="Times" w:cs="Arial"/>
          <w:bCs/>
          <w:sz w:val="24"/>
          <w:szCs w:val="20"/>
          <w:lang w:eastAsia="pl-PL"/>
        </w:rPr>
        <w:t xml:space="preserve"> na terytorium Rzeczypospolitej Polskiej. </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Prezes Urzędu będzie organem właściwym w sprawach badań klinicznych wyrobów objętych zakresem rozporządzenia 2017/745 oraz w sprawach badań działania wyrobów objętych zakresem rozporządzenia 2017/746. Przepis art. 9 </w:t>
      </w:r>
      <w:r>
        <w:rPr>
          <w:rFonts w:ascii="Times" w:eastAsia="Times New Roman" w:hAnsi="Times" w:cs="Arial"/>
          <w:bCs/>
          <w:sz w:val="24"/>
          <w:szCs w:val="20"/>
          <w:lang w:eastAsia="pl-PL"/>
        </w:rPr>
        <w:t xml:space="preserve">ustawy </w:t>
      </w:r>
      <w:r w:rsidRPr="000D5709">
        <w:rPr>
          <w:rFonts w:ascii="Times" w:eastAsia="Times New Roman" w:hAnsi="Times" w:cs="Arial"/>
          <w:bCs/>
          <w:sz w:val="24"/>
          <w:szCs w:val="20"/>
          <w:lang w:eastAsia="pl-PL"/>
        </w:rPr>
        <w:t xml:space="preserve">z dnia 18 marca 2011 r. o Urzędzie Rejestracji Produktów Leczniczych, Wyrobów Medycznych i Produktów Biobójczych </w:t>
      </w:r>
      <w:r w:rsidRPr="0066432A">
        <w:rPr>
          <w:rFonts w:ascii="Times" w:eastAsia="Times New Roman" w:hAnsi="Times" w:cs="Arial"/>
          <w:bCs/>
          <w:sz w:val="24"/>
          <w:szCs w:val="20"/>
          <w:lang w:eastAsia="pl-PL"/>
        </w:rPr>
        <w:t>(Dz. U. z 2020 r. poz. 836)</w:t>
      </w:r>
      <w:r>
        <w:rPr>
          <w:rFonts w:ascii="Times" w:eastAsia="Times New Roman" w:hAnsi="Times" w:cs="Arial"/>
          <w:bCs/>
          <w:sz w:val="24"/>
          <w:szCs w:val="20"/>
          <w:lang w:eastAsia="pl-PL"/>
        </w:rPr>
        <w:t xml:space="preserve">, zwanej dalej „ustawą URPL”, </w:t>
      </w:r>
      <w:r w:rsidRPr="000D5709">
        <w:rPr>
          <w:rFonts w:ascii="Times" w:eastAsia="Times New Roman" w:hAnsi="Times" w:cs="Arial"/>
          <w:bCs/>
          <w:sz w:val="24"/>
          <w:szCs w:val="20"/>
          <w:lang w:eastAsia="pl-PL"/>
        </w:rPr>
        <w:t>gwarantuje brak konfliktu interesów w toku postępowań dotyczących badań. Projekt zakłada, ż</w:t>
      </w:r>
      <w:r>
        <w:rPr>
          <w:rFonts w:ascii="Times" w:eastAsia="Times New Roman" w:hAnsi="Times" w:cs="Arial"/>
          <w:bCs/>
          <w:sz w:val="24"/>
          <w:szCs w:val="20"/>
          <w:lang w:eastAsia="pl-PL"/>
        </w:rPr>
        <w:t>e</w:t>
      </w:r>
      <w:r w:rsidRPr="000D5709">
        <w:rPr>
          <w:rFonts w:ascii="Times" w:eastAsia="Times New Roman" w:hAnsi="Times" w:cs="Arial"/>
          <w:bCs/>
          <w:sz w:val="24"/>
          <w:szCs w:val="20"/>
          <w:lang w:eastAsia="pl-PL"/>
        </w:rPr>
        <w:t xml:space="preserve"> komisje bioetyczne wydające opinie na temat badań wyrobów medycznych zostaną zobowiązane, aby procedury przeprowadzania oceny badania i wydawania opinii były zgodne z przepisami rozporządzeń 2017/745 i 2017/746. Komisje bioetyczne będą wydawały opinie w terminie nie dłuższym niż 45 dni od dnia złożenia wniosku wraz z kompletną dokumentacją. Sponsor będzie składał wniosek do komisji bioetycznej właściwej ze względu na miejsce przeprowadzania badania, a w przypadku wieloośrodkowego badania prowadzonego na terytorium Rzeczypospolitej Polskiej na podstawie tego samego protokołu – do komisji bioetycznej właściwej ze względu na miejsce prowadzenia badania przez koordynatora badania i w takim przypadku opinia będzie dotyczyła wszystkich ośrodków, w imieniu których sponsor wystąpił z wnioskiem o wydanie opinii. Wydając decyzję w sprawie pozwolenia na prowadzenie badania</w:t>
      </w:r>
      <w:r w:rsidR="00D72A07">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Prezes Urzędu będzie oceniał, czy badacz jest osobą wykonującą zawód, który uznawany jest za kwalifikujący do pełnienia roli badacza ze względu na posiadaną niezbędną </w:t>
      </w:r>
      <w:r w:rsidRPr="000D5709">
        <w:rPr>
          <w:rFonts w:ascii="Times" w:eastAsia="Times New Roman" w:hAnsi="Times" w:cs="Arial"/>
          <w:bCs/>
          <w:sz w:val="24"/>
          <w:szCs w:val="20"/>
          <w:lang w:eastAsia="pl-PL"/>
        </w:rPr>
        <w:lastRenderedPageBreak/>
        <w:t xml:space="preserve">wiedzę naukową i doświadczenie w zakresie opieki nad pacjentem. Projekt ustawy zakłada wyłączenie art. 10 Kpa ze względu na krótkie terminy dla wydawania decyzji przewidziane w rozporządzeniach 2017/745 i 2017/746.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Projekt ustawy określa, że Prezes Urzędu </w:t>
      </w:r>
      <w:r w:rsidRPr="00454E36">
        <w:rPr>
          <w:rFonts w:ascii="Times" w:eastAsia="Times New Roman" w:hAnsi="Times" w:cs="Arial"/>
          <w:bCs/>
          <w:sz w:val="24"/>
          <w:szCs w:val="20"/>
          <w:lang w:eastAsia="pl-PL"/>
        </w:rPr>
        <w:t>wydaje pozwolenie albo odmawia wydania pozwolenia na</w:t>
      </w:r>
      <w:r>
        <w:rPr>
          <w:rFonts w:ascii="Times" w:eastAsia="Times New Roman" w:hAnsi="Times" w:cs="Arial"/>
          <w:bCs/>
          <w:sz w:val="24"/>
          <w:szCs w:val="20"/>
          <w:lang w:eastAsia="pl-PL"/>
        </w:rPr>
        <w:t xml:space="preserve"> prowadzenie badania klinicznego lub badania działania (art. 34 ust. 1 oraz art. 42 ust. 1). Przesłanki odmowy wydania pozwolenia zostały określone w rozporządzeniach, odpowiednio w </w:t>
      </w:r>
      <w:r w:rsidRPr="00454E36">
        <w:rPr>
          <w:rFonts w:ascii="Times" w:eastAsia="Times New Roman" w:hAnsi="Times" w:cs="Arial"/>
          <w:bCs/>
          <w:sz w:val="24"/>
          <w:szCs w:val="20"/>
          <w:lang w:eastAsia="pl-PL"/>
        </w:rPr>
        <w:t>art. 71 ust. rozporządzenia 2017/745 i art. 67 ust. 4 rozporządzenia 2017/746</w:t>
      </w:r>
      <w:r>
        <w:rPr>
          <w:rFonts w:ascii="Times" w:eastAsia="Times New Roman" w:hAnsi="Times" w:cs="Arial"/>
          <w:bCs/>
          <w:sz w:val="24"/>
          <w:szCs w:val="20"/>
          <w:lang w:eastAsia="pl-PL"/>
        </w:rPr>
        <w:t>. Natomiast w odniesieniu do istotnych zmian (art. 34 ust. 1 oraz art. 42 ust. 1) stosuje się odpowiednio, zgodnie z art. 75 ust. 2 rozporządzenia 2017/745 oraz art. 71 ust. 2 rozporządzenia 2017/746, przepisy dotyczące odmowy wydania pozwolenia na prowadzenie badania klinicznego lub badania działania.</w:t>
      </w:r>
    </w:p>
    <w:p w:rsidR="00DD03D0" w:rsidRDefault="00DD03D0" w:rsidP="00DD03D0">
      <w:pPr>
        <w:pStyle w:val="NIEARTTEKSTtekstnieartykuowanynppodstprawnarozplubpreambua"/>
      </w:pPr>
      <w:r>
        <w:t xml:space="preserve">W związku z koniecznością ustanowienia procedury odwoławczej, na podstawie </w:t>
      </w:r>
      <w:r w:rsidRPr="00311A49">
        <w:t>art. 70 ust. 1 rozporządzenia 2017/745</w:t>
      </w:r>
      <w:r>
        <w:t xml:space="preserve"> oraz art. 66 ust. 1 rozporządzenia 2017/746</w:t>
      </w:r>
      <w:r w:rsidR="00735A68">
        <w:t>,</w:t>
      </w:r>
      <w:r>
        <w:t xml:space="preserve"> projekt ustawy stanowi, że </w:t>
      </w:r>
      <w:r w:rsidRPr="00311A49">
        <w:t>odrzucenie wniosku</w:t>
      </w:r>
      <w:r>
        <w:t xml:space="preserve"> następuje w drodze decyzji administracyjnej, gdyż odrzucenie wniosku może nastąpić ze względów merytorycznych. Z uwagi</w:t>
      </w:r>
      <w:r w:rsidR="00735A68">
        <w:t xml:space="preserve"> na to</w:t>
      </w:r>
      <w:r>
        <w:t xml:space="preserve">, że </w:t>
      </w:r>
      <w:r w:rsidR="00735A68">
        <w:t xml:space="preserve">na </w:t>
      </w:r>
      <w:r>
        <w:t>podstawie wymienionych przepisów decyzja musi zostać wydana w 10 dni</w:t>
      </w:r>
      <w:r w:rsidR="00735A68">
        <w:t>,</w:t>
      </w:r>
      <w:r>
        <w:t xml:space="preserve"> wprowadza się regułę, zgodnie z którą uzasadnienie tej decyzji jest sporządzane w terminie 30 dni od dnia wydania decyzji, </w:t>
      </w:r>
      <w:r w:rsidR="00735A68">
        <w:t xml:space="preserve">a </w:t>
      </w:r>
      <w:r>
        <w:t xml:space="preserve">następnie </w:t>
      </w:r>
      <w:r w:rsidR="00735A68">
        <w:t xml:space="preserve">jest ono </w:t>
      </w:r>
      <w:r>
        <w:t xml:space="preserve">doręczane stronie wraz z pełną wersją decyzji. Sporządzenie decyzji </w:t>
      </w:r>
      <w:r w:rsidRPr="00D4035E">
        <w:t xml:space="preserve">wraz </w:t>
      </w:r>
      <w:r>
        <w:t xml:space="preserve">z uzasadnieniem w terminie 10-dniowym jest niemożliwe ze względu na obszerność tych uzasadnień, </w:t>
      </w:r>
      <w:r w:rsidR="00EE4850">
        <w:t xml:space="preserve">konieczność </w:t>
      </w:r>
      <w:r>
        <w:t>zasięgania opinii ekspertów oraz konieczność sporządzenia uzasadnieni</w:t>
      </w:r>
      <w:r w:rsidR="00735A68">
        <w:t>a</w:t>
      </w:r>
      <w:r>
        <w:t xml:space="preserve"> w formie, któr</w:t>
      </w:r>
      <w:r w:rsidR="00735A68">
        <w:t>a</w:t>
      </w:r>
      <w:r>
        <w:t xml:space="preserve"> zapewni realizację zasad wymienionych w art. 8, art. 9 i art. 15 Kodeksu postępowania administracyjnego.</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Rozporządzenie 2017/745 określa tylko niezbędne minimum, natomiast pozostawia swobodę dla państw członkowskich do określenia innych wymogów</w:t>
      </w:r>
      <w:r>
        <w:rPr>
          <w:rFonts w:ascii="Times" w:eastAsia="Times New Roman" w:hAnsi="Times" w:cs="Arial"/>
          <w:sz w:val="24"/>
          <w:szCs w:val="20"/>
          <w:lang w:eastAsia="pl-PL"/>
        </w:rPr>
        <w:t xml:space="preserve"> w odniesieniu do badań klinicznych określonych w art. 82 ust</w:t>
      </w:r>
      <w:r w:rsidR="00BF0460">
        <w:rPr>
          <w:rFonts w:ascii="Times" w:eastAsia="Times New Roman" w:hAnsi="Times" w:cs="Arial"/>
          <w:sz w:val="24"/>
          <w:szCs w:val="20"/>
          <w:lang w:eastAsia="pl-PL"/>
        </w:rPr>
        <w:t>.</w:t>
      </w:r>
      <w:r>
        <w:rPr>
          <w:rFonts w:ascii="Times" w:eastAsia="Times New Roman" w:hAnsi="Times" w:cs="Arial"/>
          <w:sz w:val="24"/>
          <w:szCs w:val="20"/>
          <w:lang w:eastAsia="pl-PL"/>
        </w:rPr>
        <w:t xml:space="preserve"> 1 rozporządzenia 2017/745</w:t>
      </w:r>
      <w:r w:rsidRPr="000D5709">
        <w:rPr>
          <w:rFonts w:ascii="Times" w:eastAsia="Times New Roman" w:hAnsi="Times" w:cs="Arial"/>
          <w:sz w:val="24"/>
          <w:szCs w:val="20"/>
          <w:lang w:eastAsia="pl-PL"/>
        </w:rPr>
        <w:t>. W ocenie projektodawcy nie znajduje uzasadnienia wprowadzenie rozróżnienia wymogów i sposobu procedowania w zależności od typu badania klinicznego, które przede wszystkim powinno mieć na względzie dobro osób w nim uczestniczących. Określenie, że wniosek jest rozpatrywany w oparciu o art. 70 rozporządzenia 2017/745</w:t>
      </w:r>
      <w:r w:rsidR="00BF0460">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jest logiczną konsekwencją dążenia</w:t>
      </w:r>
      <w:r w:rsidR="00134175">
        <w:rPr>
          <w:rFonts w:ascii="Times" w:eastAsia="Times New Roman" w:hAnsi="Times" w:cs="Arial"/>
          <w:sz w:val="24"/>
          <w:szCs w:val="20"/>
          <w:lang w:eastAsia="pl-PL"/>
        </w:rPr>
        <w:t xml:space="preserve"> do tego</w:t>
      </w:r>
      <w:r w:rsidR="00BF0460">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t>
      </w:r>
      <w:r w:rsidR="00134175">
        <w:rPr>
          <w:rFonts w:ascii="Times" w:eastAsia="Times New Roman" w:hAnsi="Times" w:cs="Arial"/>
          <w:sz w:val="24"/>
          <w:szCs w:val="20"/>
          <w:lang w:eastAsia="pl-PL"/>
        </w:rPr>
        <w:t>a</w:t>
      </w:r>
      <w:r w:rsidRPr="000D5709">
        <w:rPr>
          <w:rFonts w:ascii="Times" w:eastAsia="Times New Roman" w:hAnsi="Times" w:cs="Arial"/>
          <w:sz w:val="24"/>
          <w:szCs w:val="20"/>
          <w:lang w:eastAsia="pl-PL"/>
        </w:rPr>
        <w:t xml:space="preserve">by każdy wniosek o badanie kliniczne był rozpatrywany w ten sam sposób i </w:t>
      </w:r>
      <w:r w:rsidR="00134175">
        <w:rPr>
          <w:rFonts w:ascii="Times" w:eastAsia="Times New Roman" w:hAnsi="Times" w:cs="Arial"/>
          <w:sz w:val="24"/>
          <w:szCs w:val="20"/>
          <w:lang w:eastAsia="pl-PL"/>
        </w:rPr>
        <w:t>a</w:t>
      </w:r>
      <w:r w:rsidRPr="000D5709">
        <w:rPr>
          <w:rFonts w:ascii="Times" w:eastAsia="Times New Roman" w:hAnsi="Times" w:cs="Arial"/>
          <w:sz w:val="24"/>
          <w:szCs w:val="20"/>
          <w:lang w:eastAsia="pl-PL"/>
        </w:rPr>
        <w:t>by każde badanie kliniczne było równie bezpieczne dla uczestnika. Tak</w:t>
      </w:r>
      <w:r>
        <w:rPr>
          <w:rFonts w:ascii="Times" w:eastAsia="Times New Roman" w:hAnsi="Times" w:cs="Arial"/>
          <w:sz w:val="24"/>
          <w:szCs w:val="20"/>
          <w:lang w:eastAsia="pl-PL"/>
        </w:rPr>
        <w:t xml:space="preserve">ie same procedury przyjęto dla </w:t>
      </w:r>
      <w:r w:rsidRPr="000D5709">
        <w:rPr>
          <w:rFonts w:ascii="Times" w:eastAsia="Times New Roman" w:hAnsi="Times" w:cs="Arial"/>
          <w:sz w:val="24"/>
          <w:szCs w:val="20"/>
          <w:lang w:eastAsia="pl-PL"/>
        </w:rPr>
        <w:t xml:space="preserve">rozpatrywania tego wniosku. Pozwoli to również uniknąć niepotrzebnego dublowania przepisów i tworzenia dwóch </w:t>
      </w:r>
      <w:r w:rsidRPr="000D5709">
        <w:rPr>
          <w:rFonts w:ascii="Times" w:eastAsia="Times New Roman" w:hAnsi="Times" w:cs="Arial"/>
          <w:sz w:val="24"/>
          <w:szCs w:val="20"/>
          <w:lang w:eastAsia="pl-PL"/>
        </w:rPr>
        <w:lastRenderedPageBreak/>
        <w:t xml:space="preserve">odrębnych procedur, </w:t>
      </w:r>
      <w:r>
        <w:rPr>
          <w:rFonts w:ascii="Times" w:eastAsia="Times New Roman" w:hAnsi="Times" w:cs="Arial"/>
          <w:sz w:val="24"/>
          <w:szCs w:val="20"/>
          <w:lang w:eastAsia="pl-PL"/>
        </w:rPr>
        <w:t xml:space="preserve">co mogłoby </w:t>
      </w:r>
      <w:r w:rsidRPr="000D5709">
        <w:rPr>
          <w:rFonts w:ascii="Times" w:eastAsia="Times New Roman" w:hAnsi="Times" w:cs="Arial"/>
          <w:sz w:val="24"/>
          <w:szCs w:val="20"/>
          <w:lang w:eastAsia="pl-PL"/>
        </w:rPr>
        <w:t>wprowadzać w błąd podmioty zamierzające prowadzić badania kliniczne.</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 xml:space="preserve">W projekcie zawarto propozycje rozwiązań </w:t>
      </w:r>
      <w:r w:rsidRPr="000D5709">
        <w:rPr>
          <w:rFonts w:ascii="Times" w:eastAsia="Times New Roman" w:hAnsi="Times" w:cs="Arial"/>
          <w:bCs/>
          <w:sz w:val="24"/>
          <w:szCs w:val="20"/>
          <w:lang w:eastAsia="pl-PL"/>
        </w:rPr>
        <w:t>związane ze złożeniem do Prezesa Urzędu wniosku przez jednostkę ubiegającą się o notyfikację w zakresie wyrobów medycznych oraz wyrobów medycznych do diagnostyki in vitro</w:t>
      </w:r>
      <w:r>
        <w:rPr>
          <w:rFonts w:ascii="Times" w:eastAsia="Times New Roman" w:hAnsi="Times" w:cs="Arial"/>
          <w:bCs/>
          <w:sz w:val="24"/>
          <w:szCs w:val="20"/>
          <w:lang w:eastAsia="pl-PL"/>
        </w:rPr>
        <w:t xml:space="preserve"> oraz</w:t>
      </w:r>
      <w:r w:rsidRPr="000D5709">
        <w:rPr>
          <w:rFonts w:ascii="Times" w:eastAsia="Times New Roman" w:hAnsi="Times" w:cs="Arial"/>
          <w:bCs/>
          <w:sz w:val="24"/>
          <w:szCs w:val="20"/>
          <w:lang w:eastAsia="pl-PL"/>
        </w:rPr>
        <w:t xml:space="preserve"> oceną tego wniosku, w tym wymagania językowe dla przedkładanej dokumentacji oraz zasady wyznaczania ekspertów biorących udział przy ocenie takiej jednostki. </w:t>
      </w:r>
      <w:r w:rsidR="00134175" w:rsidRPr="000D5709">
        <w:rPr>
          <w:rFonts w:ascii="Times" w:eastAsia="Times New Roman" w:hAnsi="Times" w:cs="Arial"/>
          <w:bCs/>
          <w:sz w:val="24"/>
          <w:szCs w:val="20"/>
          <w:lang w:eastAsia="pl-PL"/>
        </w:rPr>
        <w:t>Nie przewiduj</w:t>
      </w:r>
      <w:r w:rsidR="00134175">
        <w:rPr>
          <w:rFonts w:ascii="Times" w:eastAsia="Times New Roman" w:hAnsi="Times" w:cs="Arial"/>
          <w:bCs/>
          <w:sz w:val="24"/>
          <w:szCs w:val="20"/>
          <w:lang w:eastAsia="pl-PL"/>
        </w:rPr>
        <w:t>e</w:t>
      </w:r>
      <w:r w:rsidR="00134175" w:rsidRPr="000D5709">
        <w:rPr>
          <w:rFonts w:ascii="Times" w:eastAsia="Times New Roman" w:hAnsi="Times" w:cs="Arial"/>
          <w:bCs/>
          <w:sz w:val="24"/>
          <w:szCs w:val="20"/>
          <w:lang w:eastAsia="pl-PL"/>
        </w:rPr>
        <w:t xml:space="preserve"> się pobierania opłat w celu wspomożenia rozwoju jednostek notyfikowanych na terytorium Rzeczypospolitej Polskiej. Obowiązek posiadania ubezpieczenia OC przez jednostkę notyfikowaną jest określony przez </w:t>
      </w:r>
      <w:r w:rsidR="00134175">
        <w:rPr>
          <w:rFonts w:ascii="Times" w:eastAsia="Times New Roman" w:hAnsi="Times" w:cs="Arial"/>
          <w:bCs/>
          <w:sz w:val="24"/>
          <w:szCs w:val="20"/>
          <w:lang w:eastAsia="pl-PL"/>
        </w:rPr>
        <w:t>r</w:t>
      </w:r>
      <w:r w:rsidR="00134175" w:rsidRPr="000D5709">
        <w:rPr>
          <w:rFonts w:ascii="Times" w:eastAsia="Times New Roman" w:hAnsi="Times" w:cs="Arial"/>
          <w:bCs/>
          <w:sz w:val="24"/>
          <w:szCs w:val="20"/>
          <w:lang w:eastAsia="pl-PL"/>
        </w:rPr>
        <w:t>ozporządzenie 2017/745 oraz rozporządzenie 2017/746, w załączniku VIII ust. 1.4.</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W zakresie incydentów medycznych </w:t>
      </w:r>
      <w:r>
        <w:rPr>
          <w:rFonts w:ascii="Times" w:eastAsia="Times New Roman" w:hAnsi="Times" w:cs="Arial"/>
          <w:bCs/>
          <w:sz w:val="24"/>
          <w:szCs w:val="20"/>
          <w:lang w:eastAsia="pl-PL"/>
        </w:rPr>
        <w:t>proponuje się rozwiązanie, zgodnie z którym</w:t>
      </w:r>
      <w:r w:rsidR="009D4A4F">
        <w:rPr>
          <w:rFonts w:ascii="Times" w:eastAsia="Times New Roman" w:hAnsi="Times" w:cs="Arial"/>
          <w:bCs/>
          <w:sz w:val="24"/>
          <w:szCs w:val="20"/>
          <w:lang w:eastAsia="pl-PL"/>
        </w:rPr>
        <w:t xml:space="preserve"> </w:t>
      </w:r>
      <w:r w:rsidRPr="0066432A">
        <w:rPr>
          <w:rFonts w:ascii="Times" w:eastAsia="Times New Roman" w:hAnsi="Times" w:cs="Arial"/>
          <w:bCs/>
          <w:sz w:val="24"/>
          <w:szCs w:val="20"/>
          <w:lang w:eastAsia="pl-PL"/>
        </w:rPr>
        <w:t xml:space="preserve">każdy, kto powziął informację o </w:t>
      </w:r>
      <w:r>
        <w:rPr>
          <w:rFonts w:ascii="Times" w:eastAsia="Times New Roman" w:hAnsi="Times" w:cs="Arial"/>
          <w:bCs/>
          <w:sz w:val="24"/>
          <w:szCs w:val="20"/>
          <w:lang w:eastAsia="pl-PL"/>
        </w:rPr>
        <w:t xml:space="preserve">poważnym </w:t>
      </w:r>
      <w:r w:rsidRPr="0066432A">
        <w:rPr>
          <w:rFonts w:ascii="Times" w:eastAsia="Times New Roman" w:hAnsi="Times" w:cs="Arial"/>
          <w:bCs/>
          <w:sz w:val="24"/>
          <w:szCs w:val="20"/>
          <w:lang w:eastAsia="pl-PL"/>
        </w:rPr>
        <w:t>incydencie, który się zdarzył na terytorium Rzeczypospolitej Polskiej</w:t>
      </w:r>
      <w:r w:rsidR="00C90128">
        <w:rPr>
          <w:rFonts w:ascii="Times" w:eastAsia="Times New Roman" w:hAnsi="Times" w:cs="Arial"/>
          <w:bCs/>
          <w:sz w:val="24"/>
          <w:szCs w:val="20"/>
          <w:lang w:eastAsia="pl-PL"/>
        </w:rPr>
        <w:t>,</w:t>
      </w:r>
      <w:r w:rsidRPr="0066432A">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 xml:space="preserve">będzie mógł zgłosić </w:t>
      </w:r>
      <w:r>
        <w:rPr>
          <w:rFonts w:ascii="Times" w:eastAsia="Times New Roman" w:hAnsi="Times" w:cs="Arial"/>
          <w:bCs/>
          <w:sz w:val="24"/>
          <w:szCs w:val="20"/>
          <w:lang w:eastAsia="pl-PL"/>
        </w:rPr>
        <w:t xml:space="preserve">taki incydent </w:t>
      </w:r>
      <w:r w:rsidRPr="000D5709">
        <w:rPr>
          <w:rFonts w:ascii="Times" w:eastAsia="Times New Roman" w:hAnsi="Times" w:cs="Arial"/>
          <w:bCs/>
          <w:sz w:val="24"/>
          <w:szCs w:val="20"/>
          <w:lang w:eastAsia="pl-PL"/>
        </w:rPr>
        <w:t>Prezesowi Urzędu</w:t>
      </w:r>
      <w:r>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P</w:t>
      </w:r>
      <w:r w:rsidRPr="000D5709">
        <w:rPr>
          <w:rFonts w:ascii="Times" w:eastAsia="Times New Roman" w:hAnsi="Times" w:cs="Arial"/>
          <w:bCs/>
          <w:sz w:val="24"/>
          <w:szCs w:val="20"/>
          <w:lang w:eastAsia="pl-PL"/>
        </w:rPr>
        <w:t>odmioty i osoby, które stosują wyroby do celów zawodowych i które podczas działalności zawodowej stwierdziły poważny incydent, będą obowiązane zgłosić go niezwłocznie producentowi lub upoważnionemu przedstawicielowi, a kopię zgłoszenia przesłać Prezesowi Urzędu. Podmioty, które podczas wykonywania swojej działalności stwierdziły poważny incydent, który zdarzył się na terytorium Rzeczypospolitej Polskiej, będą zobowiązane zgłosić go niezwłocznie producentowi lub upoważnionemu przedstawicielowi, a kopię zgłoszenia przesłać Prezesowi Urzędu, jeżeli nie powzię</w:t>
      </w:r>
      <w:r>
        <w:rPr>
          <w:rFonts w:ascii="Times" w:eastAsia="Times New Roman" w:hAnsi="Times" w:cs="Arial"/>
          <w:bCs/>
          <w:sz w:val="24"/>
          <w:szCs w:val="20"/>
          <w:lang w:eastAsia="pl-PL"/>
        </w:rPr>
        <w:t>ły</w:t>
      </w:r>
      <w:r w:rsidRPr="000D5709">
        <w:rPr>
          <w:rFonts w:ascii="Times" w:eastAsia="Times New Roman" w:hAnsi="Times" w:cs="Arial"/>
          <w:bCs/>
          <w:sz w:val="24"/>
          <w:szCs w:val="20"/>
          <w:lang w:eastAsia="pl-PL"/>
        </w:rPr>
        <w:t xml:space="preserve"> informacji, że incydent ten został już zgłoszony producentowi lub upoważnionemu przedstawicielowi oraz Prezesowi Urzędu. Jeżeli nie będzie można ustalić adresu producenta ani upoważnionego przedstawiciela albo jeżeli ani producent, ani upoważniony przedstawiciel nie mają miejsca zamieszkania lub siedziby na terytorium Rzeczypospolitej Polskiej, poważny incydent będzie można zgłosić dostawcy wyrobu medycznego posiadającemu miejsce zamieszkania lub siedzibę na terytorium Rzeczypospolitej Polskiej, przesyłając równocześnie kopię zgłoszenia Prezesowi Urzędu. Zgłoszenia poważnego incydentu będzie się dokonywać na formularzu, którego wzór określi minister właściwy do spraw zdrowia w drodze rozporządzenia.</w:t>
      </w:r>
    </w:p>
    <w:p w:rsidR="00DD03D0" w:rsidRPr="000D5709" w:rsidRDefault="00DD03D0" w:rsidP="00DD03D0">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Pr>
          <w:rFonts w:ascii="Times New Roman" w:eastAsia="Times New Roman" w:hAnsi="Times New Roman" w:cs="Arial"/>
          <w:sz w:val="24"/>
          <w:szCs w:val="20"/>
          <w:lang w:eastAsia="pl-PL"/>
        </w:rPr>
        <w:t>Projektowana u</w:t>
      </w:r>
      <w:r w:rsidRPr="00A44167">
        <w:rPr>
          <w:rFonts w:ascii="Times New Roman" w:eastAsia="Times New Roman" w:hAnsi="Times New Roman" w:cs="Arial"/>
          <w:sz w:val="24"/>
          <w:szCs w:val="20"/>
          <w:lang w:eastAsia="pl-PL"/>
        </w:rPr>
        <w:t xml:space="preserve">stawa </w:t>
      </w:r>
      <w:r>
        <w:rPr>
          <w:rFonts w:ascii="Times New Roman" w:eastAsia="Times New Roman" w:hAnsi="Times New Roman" w:cs="Arial"/>
          <w:sz w:val="24"/>
          <w:szCs w:val="20"/>
          <w:lang w:eastAsia="pl-PL"/>
        </w:rPr>
        <w:t xml:space="preserve">w art. 48 ust. 7 </w:t>
      </w:r>
      <w:r w:rsidRPr="00A44167">
        <w:rPr>
          <w:rFonts w:ascii="Times New Roman" w:eastAsia="Times New Roman" w:hAnsi="Times New Roman" w:cs="Arial"/>
          <w:sz w:val="24"/>
          <w:szCs w:val="20"/>
          <w:lang w:eastAsia="pl-PL"/>
        </w:rPr>
        <w:t xml:space="preserve">określa zakres danych, które będą musiały zostać ujęte w </w:t>
      </w:r>
      <w:r>
        <w:rPr>
          <w:rFonts w:ascii="Times New Roman" w:eastAsia="Times New Roman" w:hAnsi="Times New Roman" w:cs="Arial"/>
          <w:sz w:val="24"/>
          <w:szCs w:val="20"/>
          <w:lang w:eastAsia="pl-PL"/>
        </w:rPr>
        <w:t xml:space="preserve">tym </w:t>
      </w:r>
      <w:r w:rsidRPr="00A44167">
        <w:rPr>
          <w:rFonts w:ascii="Times New Roman" w:eastAsia="Times New Roman" w:hAnsi="Times New Roman" w:cs="Arial"/>
          <w:sz w:val="24"/>
          <w:szCs w:val="20"/>
          <w:lang w:eastAsia="pl-PL"/>
        </w:rPr>
        <w:t>formularzu</w:t>
      </w:r>
      <w:r>
        <w:rPr>
          <w:rFonts w:ascii="Times New Roman" w:eastAsia="Times New Roman" w:hAnsi="Times New Roman" w:cs="Arial"/>
          <w:sz w:val="24"/>
          <w:szCs w:val="20"/>
          <w:lang w:eastAsia="pl-PL"/>
        </w:rPr>
        <w:t xml:space="preserve">. </w:t>
      </w:r>
      <w:r w:rsidRPr="000D5709">
        <w:rPr>
          <w:rFonts w:ascii="Times" w:eastAsia="Times New Roman" w:hAnsi="Times" w:cs="Arial"/>
          <w:bCs/>
          <w:sz w:val="24"/>
          <w:szCs w:val="20"/>
          <w:lang w:eastAsia="pl-PL"/>
        </w:rPr>
        <w:t>Prezes Urzędu będzie prowadził rejestr otrzymanych zgłoszeń.</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Prezes Urzędu będzie oceniał, w miarę możliwości we współpracy z producentem oraz – w stosownych przypadkach – z jednostką notyfikowaną, która certyfikowała wyrób medyczny, wszelkie otrzymane informacje dotyczące poważnego incydentu, który miał miejsce na </w:t>
      </w:r>
      <w:r w:rsidRPr="000D5709">
        <w:rPr>
          <w:rFonts w:ascii="Times" w:eastAsia="Times New Roman" w:hAnsi="Times" w:cs="Arial"/>
          <w:bCs/>
          <w:sz w:val="24"/>
          <w:szCs w:val="20"/>
          <w:lang w:eastAsia="pl-PL"/>
        </w:rPr>
        <w:lastRenderedPageBreak/>
        <w:t>terytorium Rzeczypospolitej Polskiej, lub zewnętrznego działania korygującego dotyczącego bezpieczeństwa, które zostało lub ma zostać podjęte na terytorium Rzeczypospolitej Polskiej.</w:t>
      </w:r>
    </w:p>
    <w:p w:rsidR="00DD03D0" w:rsidRPr="000D5709" w:rsidRDefault="00DD03D0" w:rsidP="00DD03D0">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W odniesieniu do wymagań językowych projekt zakłada, że wyroby przeznaczone do używania na terytorium Rzeczypospolitej Polskiej będą musiały mieć oznakowania i instrukcje używania w języku polskim lub wyrażone za pomocą zharmonizowanych symboli lub rozpoznawalnych kodów, ale dopuszczalne będzie, aby wyroby przeznaczone do używania na terytorium Rzeczypospolitej Polskiej dostarczane osobom wykonującym zawód medyczny miały oznakowania lub instrukcje używania w języku angielskim, z wyjątkiem informacji przeznaczonych dla pacjenta, które będą musiały być podane w języku polskim lub wyrażone za pomocą zharmonizowanych symboli lub rozpoznawalnych kodów; jeżeli etykieta wyrobu będzie w języku polskim, to również instrukcja używania wyrobu będzie musiała być w języku polskim lub w postaci zharmonizowanych symboli lub rozpoznawalnych kodów; jeżeli etykieta opakowania zbiorczego będzie w języku polskim, to etykieta opakowania jednostkowego będzie również musiała być w języku polskim lub w postaci zharmonizowanych symboli lub rozpoznawalnych kodów. Wyrób przeznaczony do używania na terytorium Rzeczypospolitej Polskiej ma </w:t>
      </w:r>
      <w:r>
        <w:rPr>
          <w:rFonts w:ascii="Times" w:eastAsia="Times New Roman" w:hAnsi="Times" w:cs="Arial"/>
          <w:bCs/>
          <w:sz w:val="24"/>
          <w:szCs w:val="20"/>
          <w:lang w:eastAsia="pl-PL"/>
        </w:rPr>
        <w:t xml:space="preserve">mieć </w:t>
      </w:r>
      <w:r w:rsidRPr="000D5709">
        <w:rPr>
          <w:rFonts w:ascii="Times" w:eastAsia="Times New Roman" w:hAnsi="Times" w:cs="Arial"/>
          <w:bCs/>
          <w:sz w:val="24"/>
          <w:szCs w:val="20"/>
          <w:lang w:eastAsia="pl-PL"/>
        </w:rPr>
        <w:t>interfejs użytkownika w języku polskim lub w postaci zharmonizowanych symboli lub rozpoznawalnych kodów. Interfejs może być w języku angielskim, z wyłączeniem wyrobów przeznaczonych do używania w sytuacjach nagłego zagrożenia zdrowia i życia, o ile wszystkie pojęcia, symbole, komendy i polecenia zostały wyjaśnione w instrukcji używania, nie stwarza to zagrożenia dla użytkownika wyrobu oraz jest widocznie zaznaczone na opakowaniu handlowym. W przypadku wyrobów sterowanych lub komunikujących się z użytkownikiem za pomocą komend głosowych, interfejs oraz komendy muszą być w języku polskim. Wyrób przeznaczony do używania na terytorium Rzeczypospolitej Polskiej i dostarczany osobie wykonującej zawód medyczny, może mieć interfejs użytkownika w języku angielskim, z wyjątkiem części interfejsu użytkownika przeznaczonej dla pacjenta, która musi być w języku polskim lub angielskim, w postaci zharmonizowanych symboli lub rozpoznawalnych kodów.</w:t>
      </w:r>
    </w:p>
    <w:p w:rsidR="00DD03D0" w:rsidRPr="000D5709" w:rsidRDefault="00DD03D0" w:rsidP="00DD03D0">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Przekazywane przez producenta bądź przez upoważnionego przedstawiciela na żądanie Prezesa Urzędu informacje i dokumenty konieczne do wykazania zgodności danego wyrobu z wymogami będą musiały być sporządzone w języku polskim lub </w:t>
      </w:r>
      <w:r>
        <w:rPr>
          <w:rFonts w:ascii="Times" w:eastAsia="Times New Roman" w:hAnsi="Times" w:cs="Arial"/>
          <w:bCs/>
          <w:sz w:val="24"/>
          <w:szCs w:val="20"/>
          <w:lang w:eastAsia="pl-PL"/>
        </w:rPr>
        <w:t xml:space="preserve">w </w:t>
      </w:r>
      <w:r w:rsidRPr="000D5709">
        <w:rPr>
          <w:rFonts w:ascii="Times" w:eastAsia="Times New Roman" w:hAnsi="Times" w:cs="Arial"/>
          <w:bCs/>
          <w:sz w:val="24"/>
          <w:szCs w:val="20"/>
          <w:lang w:eastAsia="pl-PL"/>
        </w:rPr>
        <w:t xml:space="preserve">języku angielskim. Wyroby udostępniane na terytorium Rzeczypospolitej Polskiej będą musiały mieć deklarację zgodności UE sporządzoną lub przetłumaczoną na język polski. W przypadku wyrobów przeznaczonych dla osób wykonujących zawód medyczny będą mogły mieć deklarację zgodności w języku angielskim. Wszystkie kierowane do Prezesa Urzędu dokumenty związane z wnioskiem </w:t>
      </w:r>
      <w:r w:rsidRPr="000D5709">
        <w:rPr>
          <w:rFonts w:ascii="Times" w:eastAsia="Times New Roman" w:hAnsi="Times" w:cs="Arial"/>
          <w:bCs/>
          <w:sz w:val="24"/>
          <w:szCs w:val="20"/>
          <w:lang w:eastAsia="pl-PL"/>
        </w:rPr>
        <w:lastRenderedPageBreak/>
        <w:t xml:space="preserve">jednostki oraz z oceną tego wniosku, wymagane zgodnie z art. 38 i </w:t>
      </w:r>
      <w:r w:rsidR="00134175">
        <w:rPr>
          <w:rFonts w:ascii="Times" w:eastAsia="Times New Roman" w:hAnsi="Times" w:cs="Arial"/>
          <w:bCs/>
          <w:sz w:val="24"/>
          <w:szCs w:val="20"/>
          <w:lang w:eastAsia="pl-PL"/>
        </w:rPr>
        <w:t xml:space="preserve">art. </w:t>
      </w:r>
      <w:r w:rsidRPr="000D5709">
        <w:rPr>
          <w:rFonts w:ascii="Times" w:eastAsia="Times New Roman" w:hAnsi="Times" w:cs="Arial"/>
          <w:bCs/>
          <w:sz w:val="24"/>
          <w:szCs w:val="20"/>
          <w:lang w:eastAsia="pl-PL"/>
        </w:rPr>
        <w:t xml:space="preserve">39 rozporządzenia 2017/745 bądź art. 34 i </w:t>
      </w:r>
      <w:r w:rsidR="00134175">
        <w:rPr>
          <w:rFonts w:ascii="Times" w:eastAsia="Times New Roman" w:hAnsi="Times" w:cs="Arial"/>
          <w:bCs/>
          <w:sz w:val="24"/>
          <w:szCs w:val="20"/>
          <w:lang w:eastAsia="pl-PL"/>
        </w:rPr>
        <w:t xml:space="preserve">art. </w:t>
      </w:r>
      <w:r w:rsidRPr="000D5709">
        <w:rPr>
          <w:rFonts w:ascii="Times" w:eastAsia="Times New Roman" w:hAnsi="Times" w:cs="Arial"/>
          <w:bCs/>
          <w:sz w:val="24"/>
          <w:szCs w:val="20"/>
          <w:lang w:eastAsia="pl-PL"/>
        </w:rPr>
        <w:t>35 rozporządzenia 2017/746, będą musiały być sporządzone w języku polskim lub w języku angielskim. Również wszystkie dokumenty związane z procedur</w:t>
      </w:r>
      <w:r>
        <w:rPr>
          <w:rFonts w:ascii="Times" w:eastAsia="Times New Roman" w:hAnsi="Times" w:cs="Arial"/>
          <w:bCs/>
          <w:sz w:val="24"/>
          <w:szCs w:val="20"/>
          <w:lang w:eastAsia="pl-PL"/>
        </w:rPr>
        <w:t>ami</w:t>
      </w:r>
      <w:r w:rsidRPr="000D5709">
        <w:rPr>
          <w:rFonts w:ascii="Times" w:eastAsia="Times New Roman" w:hAnsi="Times" w:cs="Arial"/>
          <w:bCs/>
          <w:sz w:val="24"/>
          <w:szCs w:val="20"/>
          <w:lang w:eastAsia="pl-PL"/>
        </w:rPr>
        <w:t xml:space="preserve"> oceny zgodności</w:t>
      </w:r>
      <w:r>
        <w:rPr>
          <w:rFonts w:ascii="Times" w:eastAsia="Times New Roman" w:hAnsi="Times" w:cs="Arial"/>
          <w:bCs/>
          <w:sz w:val="24"/>
          <w:szCs w:val="20"/>
          <w:lang w:eastAsia="pl-PL"/>
        </w:rPr>
        <w:t xml:space="preserve">, w których brała </w:t>
      </w:r>
      <w:r w:rsidRPr="000D5709">
        <w:rPr>
          <w:rFonts w:ascii="Times" w:eastAsia="Times New Roman" w:hAnsi="Times" w:cs="Arial"/>
          <w:bCs/>
          <w:sz w:val="24"/>
          <w:szCs w:val="20"/>
          <w:lang w:eastAsia="pl-PL"/>
        </w:rPr>
        <w:t xml:space="preserve">udział jednostka notyfikowana wyznaczona przez Prezesa Urzędu, będą musiały być sporządzone w języku polskim lub w języku angielskim, podobnie jak certyfikaty wydawane przez jednostki notyfikowane wyznaczone przez Prezesa Urzędu.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Analogicznie do dotychczasowych przepisów, notatka bezpieczeństwa przeznaczona dla odbiorców na terytorium Rzeczypospolitej Polskiej będzie sporządzona w języku polskim. Obowiązkiem sporządzenia w języku polskim objęte będzie również ogólne streszczenie badania klinicznego wyrobu medycznego oraz </w:t>
      </w:r>
      <w:r>
        <w:rPr>
          <w:rFonts w:ascii="Times" w:eastAsia="Times New Roman" w:hAnsi="Times" w:cs="Arial"/>
          <w:bCs/>
          <w:sz w:val="24"/>
          <w:szCs w:val="20"/>
          <w:lang w:eastAsia="pl-PL"/>
        </w:rPr>
        <w:t xml:space="preserve">badania działania </w:t>
      </w:r>
      <w:r w:rsidRPr="000D5709">
        <w:rPr>
          <w:rFonts w:ascii="Times" w:eastAsia="Times New Roman" w:hAnsi="Times" w:cs="Arial"/>
          <w:bCs/>
          <w:sz w:val="24"/>
          <w:szCs w:val="20"/>
          <w:lang w:eastAsia="pl-PL"/>
        </w:rPr>
        <w:t xml:space="preserve">wyrobu medycznego do diagnostyki in vitro. W postępowaniach w sprawach nadzoru nad wyrobami medycznymi lub wyrobami medycznymi do diagnostyki in vitro, jak również w postępowaniach w sprawach incydentów i w sprawach bezpieczeństwa wyrobów medycznych lub wyrobów medycznych do diagnostyki in vitro projekt zakłada możliwość prowadzenia korespondencji z podmiotami w języku angielskim, z zastrzeżeniem iż </w:t>
      </w:r>
      <w:r>
        <w:rPr>
          <w:rFonts w:ascii="Times" w:eastAsia="Times New Roman" w:hAnsi="Times" w:cs="Arial"/>
          <w:bCs/>
          <w:sz w:val="24"/>
          <w:szCs w:val="20"/>
          <w:lang w:eastAsia="pl-PL"/>
        </w:rPr>
        <w:t xml:space="preserve">w określonych przypadkach </w:t>
      </w:r>
      <w:r w:rsidRPr="000D5709">
        <w:rPr>
          <w:rFonts w:ascii="Times" w:eastAsia="Times New Roman" w:hAnsi="Times" w:cs="Arial"/>
          <w:bCs/>
          <w:sz w:val="24"/>
          <w:szCs w:val="20"/>
          <w:lang w:eastAsia="pl-PL"/>
        </w:rPr>
        <w:t>na żądanie Prezesa Urzędu podmiot będzie zobowiązany dostarczyć tłumaczenie przesłanego dokumentu na język polski.</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Dla zapewnienia efektywności art. 71 ust. 1 rozporządzenia 2017/745 oraz art. 67 ust. 1 rozporządzenia 2017/746, które wymagają</w:t>
      </w:r>
      <w:r>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aby osoby oceniające pod kątem formalnym i merytorycznym wniosek o wydanie pozwolenia na badanie kliniczne wyrobu medycznego lub pozwolenia na badania działania, o którym mowa w art. 58 ust. 1, w art. 70 ust. 1 lub w art. 70 ust. 2 rozporządzenia 2017/746, lub badanie działania wyrobu do diagnostyki w terapii celowanej, które nie jest prowadzone z wykorzystaniem wyłącznie pozostałości próbek i o którym mowa w art. 58 ust. 2 rozporządzenia 2017/746 pod kątem formalnym i merytorycznym lub podejmujące decyzje w jego sprawie: </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w:t>
      </w:r>
      <w:r w:rsidRPr="000D5709">
        <w:rPr>
          <w:rFonts w:ascii="Times" w:eastAsia="Times New Roman" w:hAnsi="Times" w:cs="Arial"/>
          <w:bCs/>
          <w:sz w:val="24"/>
          <w:szCs w:val="20"/>
          <w:lang w:eastAsia="pl-PL"/>
        </w:rPr>
        <w:tab/>
        <w:t xml:space="preserve">nie pozostawały w konflikcie interesów, </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2)</w:t>
      </w:r>
      <w:r w:rsidRPr="000D5709">
        <w:rPr>
          <w:rFonts w:ascii="Times" w:eastAsia="Times New Roman" w:hAnsi="Times" w:cs="Arial"/>
          <w:bCs/>
          <w:sz w:val="24"/>
          <w:szCs w:val="20"/>
          <w:lang w:eastAsia="pl-PL"/>
        </w:rPr>
        <w:tab/>
        <w:t>były niezależne od sponsora, od badaczy biorących udział w badaniu oraz osób fizycznych lub prawnych finansujących dane badanie kliniczne</w:t>
      </w:r>
      <w:r>
        <w:rPr>
          <w:rFonts w:ascii="Times" w:eastAsia="Times New Roman" w:hAnsi="Times" w:cs="Arial"/>
          <w:bCs/>
          <w:sz w:val="24"/>
          <w:szCs w:val="20"/>
          <w:lang w:eastAsia="pl-PL"/>
        </w:rPr>
        <w:t xml:space="preserve"> lub badanie działania</w:t>
      </w:r>
      <w:r w:rsidRPr="000D5709">
        <w:rPr>
          <w:rFonts w:ascii="Times" w:eastAsia="Times New Roman" w:hAnsi="Times" w:cs="Arial"/>
          <w:bCs/>
          <w:sz w:val="24"/>
          <w:szCs w:val="20"/>
          <w:lang w:eastAsia="pl-PL"/>
        </w:rPr>
        <w:t xml:space="preserve">, a także </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3)</w:t>
      </w:r>
      <w:r w:rsidRPr="000D5709">
        <w:rPr>
          <w:rFonts w:ascii="Times" w:eastAsia="Times New Roman" w:hAnsi="Times" w:cs="Arial"/>
          <w:bCs/>
          <w:sz w:val="24"/>
          <w:szCs w:val="20"/>
          <w:lang w:eastAsia="pl-PL"/>
        </w:rPr>
        <w:tab/>
        <w:t xml:space="preserve">aby nie podlegały one żadnym innym niepożądanym wpływom </w:t>
      </w:r>
      <w:r>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oprócz obowiązku złożenia oświadczenia o braku konfliktu interesów wynikającego z art. 9 ustawy URPL, obowiąz</w:t>
      </w:r>
      <w:r w:rsidR="004A0AAF">
        <w:rPr>
          <w:rFonts w:ascii="Times" w:eastAsia="Times New Roman" w:hAnsi="Times" w:cs="Arial"/>
          <w:bCs/>
          <w:sz w:val="24"/>
          <w:szCs w:val="20"/>
          <w:lang w:eastAsia="pl-PL"/>
        </w:rPr>
        <w:t>ku</w:t>
      </w:r>
      <w:r w:rsidRPr="000D5709">
        <w:rPr>
          <w:rFonts w:ascii="Times" w:eastAsia="Times New Roman" w:hAnsi="Times" w:cs="Arial"/>
          <w:bCs/>
          <w:sz w:val="24"/>
          <w:szCs w:val="20"/>
          <w:lang w:eastAsia="pl-PL"/>
        </w:rPr>
        <w:t xml:space="preserve"> złożenia oświadczenia zawierającego informację o niepodleganiu niepożądanym wpływom oraz niezależności od sponsora i od badaczy biorących udział w </w:t>
      </w:r>
      <w:r w:rsidRPr="000D5709">
        <w:rPr>
          <w:rFonts w:ascii="Times" w:eastAsia="Times New Roman" w:hAnsi="Times" w:cs="Arial"/>
          <w:bCs/>
          <w:sz w:val="24"/>
          <w:szCs w:val="20"/>
          <w:lang w:eastAsia="pl-PL"/>
        </w:rPr>
        <w:lastRenderedPageBreak/>
        <w:t>badaniu oraz osób fizycznych lub prawnych finansujących dane badanie kliniczne</w:t>
      </w:r>
      <w:r>
        <w:rPr>
          <w:rFonts w:ascii="Times" w:eastAsia="Times New Roman" w:hAnsi="Times" w:cs="Arial"/>
          <w:bCs/>
          <w:sz w:val="24"/>
          <w:szCs w:val="20"/>
          <w:lang w:eastAsia="pl-PL"/>
        </w:rPr>
        <w:t xml:space="preserve"> lub badanie działania)</w:t>
      </w:r>
      <w:r w:rsidRPr="000D5709">
        <w:rPr>
          <w:rFonts w:ascii="Times" w:eastAsia="Times New Roman" w:hAnsi="Times" w:cs="Arial"/>
          <w:bCs/>
          <w:sz w:val="24"/>
          <w:szCs w:val="20"/>
          <w:lang w:eastAsia="pl-PL"/>
        </w:rPr>
        <w:t xml:space="preserve">.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Osoby oceniające wniosek o wydanie przedmiotowego pozwolenia mieszczą się zawsze w katalogu podmiotów, o których mowa w art. 9 ust. 1 ustawy o URPL, do którego odsyła projektowany przepis. Takie oświadczenie dopełni wymagania wynikające z ww. rozporządzeń unijnych (dodany art. 9a ustawy o URPL).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Projektowana ustawa wprowadza przepisy regulujące zasady prowadzenia reklamy wyrobów oraz reklam</w:t>
      </w:r>
      <w:r>
        <w:rPr>
          <w:rFonts w:ascii="Times" w:eastAsia="Times New Roman" w:hAnsi="Times" w:cs="Arial"/>
          <w:bCs/>
          <w:sz w:val="24"/>
          <w:szCs w:val="20"/>
          <w:lang w:eastAsia="pl-PL"/>
        </w:rPr>
        <w:t>y</w:t>
      </w:r>
      <w:r w:rsidRPr="000D5709">
        <w:rPr>
          <w:rFonts w:ascii="Times" w:eastAsia="Times New Roman" w:hAnsi="Times" w:cs="Arial"/>
          <w:bCs/>
          <w:sz w:val="24"/>
          <w:szCs w:val="20"/>
          <w:lang w:eastAsia="pl-PL"/>
        </w:rPr>
        <w:t xml:space="preserve"> usług świadczonych przy pomocy wyrobów. W art. 7 rozporządzenia 2017/745 oraz art. 7 rozporządzenia 2017/746 określono zakazy związane z reklamą wyrobów, dlatego też przepisy ustawowe mogą mieć wyłącznie charakter doprecyzowujący. Z tego te</w:t>
      </w:r>
      <w:r w:rsidR="00134175">
        <w:rPr>
          <w:rFonts w:ascii="Times" w:eastAsia="Times New Roman" w:hAnsi="Times" w:cs="Arial"/>
          <w:bCs/>
          <w:sz w:val="24"/>
          <w:szCs w:val="20"/>
          <w:lang w:eastAsia="pl-PL"/>
        </w:rPr>
        <w:t>ż</w:t>
      </w:r>
      <w:r w:rsidRPr="000D5709">
        <w:rPr>
          <w:rFonts w:ascii="Times" w:eastAsia="Times New Roman" w:hAnsi="Times" w:cs="Arial"/>
          <w:bCs/>
          <w:sz w:val="24"/>
          <w:szCs w:val="20"/>
          <w:lang w:eastAsia="pl-PL"/>
        </w:rPr>
        <w:t xml:space="preserve"> względu zrezygnowano z definicji reklamy, ponieważ prowadziłoby to do definiowania pojęcia używanego w ww. rozporządzeniach przez przepisy ustawy. Należy również zwrócić uwagę, że działalność reklamowa została szczegółowo omówiona w bogatym orzecznictwie sądowym, co jest dodatkową wytyczną przy ocenianiu kwalifikowania się danego rodzaju działalności jako reklamy. Wobec tego w niniejszej ustawie proponuje się wyłącznie wymienienie przypadków, w których również należy stosować przepisy dotyczące reklamy:</w:t>
      </w:r>
    </w:p>
    <w:p w:rsidR="00DD03D0" w:rsidRPr="000D5709" w:rsidRDefault="00DD03D0" w:rsidP="00DD03D0">
      <w:pPr>
        <w:pStyle w:val="PKTpunkt"/>
      </w:pPr>
      <w:r w:rsidRPr="000D5709">
        <w:t>1)</w:t>
      </w:r>
      <w:r w:rsidRPr="000D5709">
        <w:tab/>
        <w:t xml:space="preserve">reklama działalności gospodarczej lub zawodowej, w której wykorzystuje się wyrób do świadczenia usług </w:t>
      </w:r>
      <w:r w:rsidR="004A0AAF">
        <w:t>–</w:t>
      </w:r>
      <w:r w:rsidR="004A0AAF" w:rsidRPr="000D5709">
        <w:t xml:space="preserve"> </w:t>
      </w:r>
      <w:r w:rsidRPr="000D5709">
        <w:t>w zakresie w jakim dotyczy usług świadczonych przy użyciu danego wyrobu;</w:t>
      </w:r>
    </w:p>
    <w:p w:rsidR="00DD03D0" w:rsidRPr="000D5709" w:rsidRDefault="00DD03D0" w:rsidP="00DD03D0">
      <w:pPr>
        <w:pStyle w:val="PKTpunkt"/>
      </w:pPr>
      <w:r w:rsidRPr="000D5709">
        <w:t>2)</w:t>
      </w:r>
      <w:r w:rsidRPr="000D5709">
        <w:tab/>
        <w:t>prezentowanie wyrobów w czasie spotkań, których celem lub efektem jest zachęcanie do nabywania wyrobów, lub finansowanie takich spotkań;</w:t>
      </w:r>
    </w:p>
    <w:p w:rsidR="00DD03D0" w:rsidRPr="000D5709" w:rsidRDefault="00DD03D0" w:rsidP="00DD03D0">
      <w:pPr>
        <w:pStyle w:val="PKTpunkt"/>
      </w:pPr>
      <w:r w:rsidRPr="000D5709">
        <w:t>3)</w:t>
      </w:r>
      <w:r w:rsidRPr="000D5709">
        <w:tab/>
        <w:t>kierowanie do publicznej wiadomości opinii przez użytkowników wyrobów, jeżeli otrzymują z tego tytułu korzyści;</w:t>
      </w:r>
    </w:p>
    <w:p w:rsidR="00DD03D0" w:rsidRPr="000D5709" w:rsidRDefault="00DD03D0" w:rsidP="00DD03D0">
      <w:pPr>
        <w:pStyle w:val="PKTpunkt"/>
      </w:pPr>
      <w:r w:rsidRPr="000D5709">
        <w:t>4)</w:t>
      </w:r>
      <w:r w:rsidRPr="000D5709">
        <w:tab/>
        <w:t>odwiedzanie osób wykonujących zawód medyczny przez przedstawicieli handlowych lub medycznych;</w:t>
      </w:r>
    </w:p>
    <w:p w:rsidR="00DD03D0" w:rsidRPr="000D5709" w:rsidRDefault="00DD03D0" w:rsidP="00DD03D0">
      <w:pPr>
        <w:pStyle w:val="PKTpunkt"/>
      </w:pPr>
      <w:r w:rsidRPr="000D5709">
        <w:t>5)</w:t>
      </w:r>
      <w:r w:rsidRPr="000D5709">
        <w:tab/>
        <w:t>prezentowanie wyrobów w czasie targów, wystaw, pokazów, prezentacji oraz sympozjów naukowych lub technicznych;</w:t>
      </w:r>
    </w:p>
    <w:p w:rsidR="00DD03D0" w:rsidRPr="000D5709" w:rsidRDefault="001A7646" w:rsidP="00DD03D0">
      <w:pPr>
        <w:pStyle w:val="PKTpunkt"/>
      </w:pPr>
      <w:r>
        <w:t>6)</w:t>
      </w:r>
      <w:r>
        <w:tab/>
        <w:t>prezentowanie</w:t>
      </w:r>
      <w:r w:rsidR="00DD03D0" w:rsidRPr="000D5709">
        <w:t xml:space="preserve"> wyrobów, w tym niezgodnych z rozporządzeniem 2017/745 lub rozporządzeniem 2017/746, w czasie wydarzeń, o których mowa w pkt 5.</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Tak szerokie ujęcie reklamy pozwoli na wyeliminowanie obecnie spotykanych niekorzystnych zjawisk. Przepisy przewidują wydanie rozporządze</w:t>
      </w:r>
      <w:r w:rsidR="001A7646">
        <w:rPr>
          <w:rFonts w:ascii="Times" w:eastAsia="Times New Roman" w:hAnsi="Times" w:cs="Arial"/>
          <w:bCs/>
          <w:sz w:val="24"/>
          <w:szCs w:val="20"/>
          <w:lang w:eastAsia="pl-PL"/>
        </w:rPr>
        <w:t>nia</w:t>
      </w:r>
      <w:r w:rsidRPr="000D5709">
        <w:rPr>
          <w:rFonts w:ascii="Times" w:eastAsia="Times New Roman" w:hAnsi="Times" w:cs="Arial"/>
          <w:bCs/>
          <w:sz w:val="24"/>
          <w:szCs w:val="20"/>
          <w:lang w:eastAsia="pl-PL"/>
        </w:rPr>
        <w:t xml:space="preserve"> określając</w:t>
      </w:r>
      <w:r w:rsidR="001A7646">
        <w:rPr>
          <w:rFonts w:ascii="Times" w:eastAsia="Times New Roman" w:hAnsi="Times" w:cs="Arial"/>
          <w:bCs/>
          <w:sz w:val="24"/>
          <w:szCs w:val="20"/>
          <w:lang w:eastAsia="pl-PL"/>
        </w:rPr>
        <w:t>ego</w:t>
      </w:r>
      <w:r w:rsidRPr="000D5709">
        <w:rPr>
          <w:rFonts w:ascii="Times" w:eastAsia="Times New Roman" w:hAnsi="Times" w:cs="Arial"/>
          <w:bCs/>
          <w:sz w:val="24"/>
          <w:szCs w:val="20"/>
          <w:lang w:eastAsia="pl-PL"/>
        </w:rPr>
        <w:t xml:space="preserve"> elementy składowe reklamy, formę jej prowadzenia, sposób formułowania komunikatów reklamowych. Ustawa określa rodzaje decyzji nakładanych przez Prezesa Urzędu</w:t>
      </w:r>
      <w:r w:rsidRPr="007D21BF">
        <w:rPr>
          <w:rFonts w:ascii="Times" w:eastAsia="Times New Roman" w:hAnsi="Times" w:cs="Arial"/>
          <w:bCs/>
          <w:sz w:val="24"/>
          <w:szCs w:val="20"/>
          <w:lang w:eastAsia="pl-PL"/>
        </w:rPr>
        <w:t xml:space="preserve"> w przypadku naruszeń art. </w:t>
      </w:r>
      <w:r w:rsidRPr="007D21BF">
        <w:rPr>
          <w:rFonts w:ascii="Times" w:eastAsia="Times New Roman" w:hAnsi="Times" w:cs="Arial"/>
          <w:bCs/>
          <w:sz w:val="24"/>
          <w:szCs w:val="20"/>
          <w:lang w:eastAsia="pl-PL"/>
        </w:rPr>
        <w:lastRenderedPageBreak/>
        <w:t>7 rozporządzenia 2017/745 lub art. 7 rozporządzenia 2017/746 w zakresie reklamy lub art. 55 lub art. 56.</w:t>
      </w:r>
    </w:p>
    <w:p w:rsidR="00DD03D0" w:rsidRPr="000D5709" w:rsidRDefault="00DD03D0" w:rsidP="00DD03D0">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Przepisy mają również określać pewne zakazy i ograniczenia. Reklama wyrobu kierowana do publicznej wiadomości nie może:</w:t>
      </w:r>
    </w:p>
    <w:p w:rsidR="00DD03D0" w:rsidRPr="000D5709" w:rsidRDefault="00DD03D0" w:rsidP="00DD03D0">
      <w:pPr>
        <w:pStyle w:val="PKTpunkt"/>
      </w:pPr>
      <w:r w:rsidRPr="000D5709">
        <w:t>1)</w:t>
      </w:r>
      <w:r w:rsidRPr="000D5709">
        <w:tab/>
        <w:t xml:space="preserve">wykorzystywać wizerunku osób wykonujących zawody medyczne lub podających się za takie osoby lub przedstawiać osoby prezentujące wyrób w sposób sugerujący, że wykonują taki zawód </w:t>
      </w:r>
      <w:r w:rsidR="002B25B6">
        <w:t>–</w:t>
      </w:r>
      <w:r w:rsidR="002B25B6" w:rsidRPr="000D5709">
        <w:t xml:space="preserve"> </w:t>
      </w:r>
      <w:r w:rsidRPr="000D5709">
        <w:t>ponieważ osoby takie posiadają pewien autorytet społeczny i reklama taka może mylnie sugerować wyższość pewnych produktów nad innymi; konsument nie dysponując określoną wiedzą medyczną może uznać treści reklamowe za obiektywne i naukowe;</w:t>
      </w:r>
    </w:p>
    <w:p w:rsidR="00DD03D0" w:rsidRPr="000D5709" w:rsidRDefault="00DD03D0" w:rsidP="00DD03D0">
      <w:pPr>
        <w:pStyle w:val="PKTpunkt"/>
      </w:pPr>
      <w:r w:rsidRPr="000D5709">
        <w:t>2)</w:t>
      </w:r>
      <w:r w:rsidRPr="000D5709">
        <w:tab/>
        <w:t>zawierać bezpośredniego wezwania dzieci do nabycia reklamowanych wyrobów lub do nakłonienia rodziców lub innych osób dorosłych do kupienia im reklamowanych wyrobów;</w:t>
      </w:r>
    </w:p>
    <w:p w:rsidR="00DD03D0" w:rsidRPr="000D5709" w:rsidRDefault="00DD03D0" w:rsidP="00DD03D0">
      <w:pPr>
        <w:pStyle w:val="PKTpunkt"/>
      </w:pPr>
      <w:r w:rsidRPr="000D5709">
        <w:t>3)</w:t>
      </w:r>
      <w:r w:rsidRPr="000D5709">
        <w:tab/>
        <w:t>dotyczyć wyrobów przeznaczonych do używania przez osoby posiadające określone kwalifikacje.</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Pr>
          <w:rFonts w:ascii="Times" w:eastAsia="Times New Roman" w:hAnsi="Times" w:cs="Arial"/>
          <w:bCs/>
          <w:sz w:val="24"/>
          <w:szCs w:val="20"/>
          <w:lang w:eastAsia="pl-PL"/>
        </w:rPr>
        <w:t>Przepisy określają zasady prowadzenia działań reklamowych na terenie świadczeniodawców. Ma to zapewnić niezakłócone funkcjonowanie świadczeniodawców oraz brak utrudnień w dostępie dla pacjentów, analogicznie do przepisów reklamowych produktów leczniczych.</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Reklama będzie mogła być prowadzona wyłącznie przez podmiot gospodarczy, a przez inne podmioty</w:t>
      </w:r>
      <w:r w:rsidR="00B17E1E">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 xml:space="preserve"> po zawarciu porozumienia z producentem lub upoważnionym przedstawicielem. Porozumienie to może mieć charakter ramowy, tzn. dopuszczać możliwość prowadzenia ogółu działań reklamowych w określonym czasie. Projektowane przepisy nakładają również obowiązek przechowywania dokumentacji reklamowej, nie tylko przez podmioty prowadzące reklamę, ale też przez podmioty, które są właścicielami mediów albo nośników, gdzie reklama ta jest prowadzona.</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Zakłada się, że przepisy dotyczące reklamy wejdą w życie </w:t>
      </w:r>
      <w:r w:rsidR="001A7646">
        <w:rPr>
          <w:rFonts w:ascii="Times" w:eastAsia="Times New Roman" w:hAnsi="Times" w:cs="Arial"/>
          <w:bCs/>
          <w:sz w:val="24"/>
          <w:szCs w:val="20"/>
          <w:lang w:eastAsia="pl-PL"/>
        </w:rPr>
        <w:t>z dniem</w:t>
      </w:r>
      <w:r w:rsidRPr="000D5709">
        <w:rPr>
          <w:rFonts w:ascii="Times" w:eastAsia="Times New Roman" w:hAnsi="Times" w:cs="Arial"/>
          <w:bCs/>
          <w:sz w:val="24"/>
          <w:szCs w:val="20"/>
          <w:lang w:eastAsia="pl-PL"/>
        </w:rPr>
        <w:t xml:space="preserve"> 1 stycznia 2022 r., w celu umożliwienia podmiotom gospodarczym dostosowania swojej działalności do nowych wymogów.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 xml:space="preserve">Projekt ustawy przewiduje wprowadzenie ogólnych przepisów o kontroli, doprecyzowujących przepisy zawarte w ustawie z dnia 6 marca 2018 r. – Prawo przedsiębiorców (Dz. U. z 2021 r. poz. 162) do specyficznego produktu jakim są wyroby medyczne. Epidemia wirusa SARS-CoV-2 udowodniła, że wyroby medyczne są kluczowe dla </w:t>
      </w:r>
      <w:r w:rsidRPr="000D5709">
        <w:rPr>
          <w:rFonts w:ascii="Times" w:eastAsia="Times New Roman" w:hAnsi="Times" w:cs="Arial"/>
          <w:sz w:val="24"/>
          <w:szCs w:val="20"/>
          <w:lang w:eastAsia="pl-PL"/>
        </w:rPr>
        <w:lastRenderedPageBreak/>
        <w:t>zapewnienia bezpieczeństwa publicznego, ochrony zdrowia publicznego oraz dla interesów państwa, dlatego też organ nadzorczy musi mieć szerokie możliwości prowadzenia kontroli wyrobów dostępnych na rynku i wprowadzan</w:t>
      </w:r>
      <w:r>
        <w:rPr>
          <w:rFonts w:ascii="Times" w:eastAsia="Times New Roman" w:hAnsi="Times" w:cs="Arial"/>
          <w:sz w:val="24"/>
          <w:szCs w:val="20"/>
          <w:lang w:eastAsia="pl-PL"/>
        </w:rPr>
        <w:t>ych</w:t>
      </w:r>
      <w:r w:rsidRPr="000D5709">
        <w:rPr>
          <w:rFonts w:ascii="Times" w:eastAsia="Times New Roman" w:hAnsi="Times" w:cs="Arial"/>
          <w:sz w:val="24"/>
          <w:szCs w:val="20"/>
          <w:lang w:eastAsia="pl-PL"/>
        </w:rPr>
        <w:t xml:space="preserve"> do używania. Szczególnie że wyroby medyczne mogą stwarzać zagrożenie</w:t>
      </w:r>
      <w:r w:rsidR="00B17E1E">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nie tylko bezpośrednio wyrządzając szkody w zdrowiu użytkownika, ale także pośrednio</w:t>
      </w:r>
      <w:r w:rsidR="00B17E1E">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np. przez mniejszą skuteczność niż deklarowana, ryzyko wystąpienia schorzeń związanych z ich używaniem, błędne działanie prowadzące do niewłaściwych diagnoz itd. Szczególnie w sytuacjach kryzysowych albo mogących prowadzić do takiej sytuacji niezbędne jest wyposażenie organu odpowiedzialnego za zwalczanie skutków tej sytuacji w narzędzie kontrolne umożliwiające szybką weryfikację wyrobów medycznych znajdujących się w obrocie i używaniu na terytorium Rzeczypospolitej Polskiej. Dochodzi tu do zderzenia interesu publicznego, społecznego i interesu indywidulanego użytkownika z interesem przedsiębiorcy lub instytucji zdrowia publicznego i</w:t>
      </w:r>
      <w:r w:rsidR="00B17E1E">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przy poszanowaniu zasady swobody przedsiębiorczości</w:t>
      </w:r>
      <w:r w:rsidR="00B17E1E">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przyznać należy prymat ochronie życia i zdrowia publicznego. Co więcej</w:t>
      </w:r>
      <w:r w:rsidR="00B17E1E">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potencjalna słabość Urzędu jako organu kontrolującego wyroby medyczne jest szkodliwa dla przedsiębiorców wprowadzających do obrotu lub do używania lub prowadzących obrót wyrobami medycznymi zgodnie z przepisami prawa, którzy muszą zmagać się z nieuczciwą konkurencją.</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Zgodnie z art. 108 ust</w:t>
      </w:r>
      <w:r w:rsidR="00B17E1E">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1 pkt 3 ustawy z dnia 6 września 2001 r. – Prawo farmaceutyczne (Dz. U. z 202</w:t>
      </w:r>
      <w:r>
        <w:rPr>
          <w:rFonts w:ascii="Times" w:eastAsia="Times New Roman" w:hAnsi="Times" w:cs="Arial"/>
          <w:sz w:val="24"/>
          <w:szCs w:val="20"/>
          <w:lang w:eastAsia="pl-PL"/>
        </w:rPr>
        <w:t>1</w:t>
      </w:r>
      <w:r w:rsidRPr="000D5709">
        <w:rPr>
          <w:rFonts w:ascii="Times" w:eastAsia="Times New Roman" w:hAnsi="Times" w:cs="Arial"/>
          <w:sz w:val="24"/>
          <w:szCs w:val="20"/>
          <w:lang w:eastAsia="pl-PL"/>
        </w:rPr>
        <w:t xml:space="preserve"> r. poz. 9</w:t>
      </w:r>
      <w:r>
        <w:rPr>
          <w:rFonts w:ascii="Times" w:eastAsia="Times New Roman" w:hAnsi="Times" w:cs="Arial"/>
          <w:sz w:val="24"/>
          <w:szCs w:val="20"/>
          <w:lang w:eastAsia="pl-PL"/>
        </w:rPr>
        <w:t>7</w:t>
      </w:r>
      <w:r w:rsidRPr="000D5709">
        <w:rPr>
          <w:rFonts w:ascii="Times" w:eastAsia="Times New Roman" w:hAnsi="Times" w:cs="Arial"/>
          <w:sz w:val="24"/>
          <w:szCs w:val="20"/>
          <w:lang w:eastAsia="pl-PL"/>
        </w:rPr>
        <w:t xml:space="preserve">4, z </w:t>
      </w:r>
      <w:proofErr w:type="spellStart"/>
      <w:r w:rsidRPr="000D5709">
        <w:rPr>
          <w:rFonts w:ascii="Times" w:eastAsia="Times New Roman" w:hAnsi="Times" w:cs="Arial"/>
          <w:sz w:val="24"/>
          <w:szCs w:val="20"/>
          <w:lang w:eastAsia="pl-PL"/>
        </w:rPr>
        <w:t>późn</w:t>
      </w:r>
      <w:proofErr w:type="spellEnd"/>
      <w:r w:rsidRPr="000D5709">
        <w:rPr>
          <w:rFonts w:ascii="Times" w:eastAsia="Times New Roman" w:hAnsi="Times" w:cs="Arial"/>
          <w:sz w:val="24"/>
          <w:szCs w:val="20"/>
          <w:lang w:eastAsia="pl-PL"/>
        </w:rPr>
        <w:t>. zm.) Państwowa Inspekcja Farmaceutyczna sprawuje nadzór nad obrotem wyrobami medycznymi w zakresie, w którym obrót ten prowadzony jest przez podmioty nad którymi nadzór sprawuje inspekcja farmaceutyczn</w:t>
      </w:r>
      <w:r>
        <w:rPr>
          <w:rFonts w:ascii="Times" w:eastAsia="Times New Roman" w:hAnsi="Times" w:cs="Arial"/>
          <w:sz w:val="24"/>
          <w:szCs w:val="20"/>
          <w:lang w:eastAsia="pl-PL"/>
        </w:rPr>
        <w:t>a</w:t>
      </w:r>
      <w:r w:rsidRPr="000D5709">
        <w:rPr>
          <w:rFonts w:ascii="Times" w:eastAsia="Times New Roman" w:hAnsi="Times" w:cs="Arial"/>
          <w:sz w:val="24"/>
          <w:szCs w:val="20"/>
          <w:lang w:eastAsia="pl-PL"/>
        </w:rPr>
        <w:t>. Obecna sytuacja prowadzi więc do nieuzasadnionego różnicowania podmiotów prowadzących obrót wyrobami medycznymi, gdzie jedne podmioty są poddane bardziej restrykcyjnemu nadzorowi od innych. Dlatego też w projekcie przewiduje się zbliżenie uprawnień Prezesa Urzędu do uprawnień kontrolnych Państwowej Inspekcji Farmaceutycznej. Organ nadzorujący wyroby medyczne powinien więc mieć możliwość szybkiego i skutecznego prowadzenia czynności kontrolnych.</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W projekcie ustawy przewiduje się przyznanie pracownik</w:t>
      </w:r>
      <w:r>
        <w:rPr>
          <w:rFonts w:ascii="Times" w:eastAsia="Times New Roman" w:hAnsi="Times" w:cs="Arial"/>
          <w:sz w:val="24"/>
          <w:szCs w:val="20"/>
          <w:lang w:eastAsia="pl-PL"/>
        </w:rPr>
        <w:t>owi</w:t>
      </w:r>
      <w:r w:rsidRPr="000D5709">
        <w:rPr>
          <w:rFonts w:ascii="Times" w:eastAsia="Times New Roman" w:hAnsi="Times" w:cs="Arial"/>
          <w:sz w:val="24"/>
          <w:szCs w:val="20"/>
          <w:lang w:eastAsia="pl-PL"/>
        </w:rPr>
        <w:t xml:space="preserve"> Urzędu </w:t>
      </w:r>
      <w:r>
        <w:rPr>
          <w:rFonts w:ascii="Times" w:eastAsia="Times New Roman" w:hAnsi="Times" w:cs="Arial"/>
          <w:sz w:val="24"/>
          <w:szCs w:val="20"/>
          <w:lang w:eastAsia="pl-PL"/>
        </w:rPr>
        <w:t xml:space="preserve">uprawnienia </w:t>
      </w:r>
      <w:r w:rsidRPr="000D5709">
        <w:rPr>
          <w:rFonts w:ascii="Times" w:eastAsia="Times New Roman" w:hAnsi="Times" w:cs="Arial"/>
          <w:sz w:val="24"/>
          <w:szCs w:val="20"/>
          <w:lang w:eastAsia="pl-PL"/>
        </w:rPr>
        <w:t xml:space="preserve">do wizytowania wszelkich obiektów, lokali, terenów lub środków transportu, które dany podmiot wykorzystuje do swojej działalności handlowej, gospodarczej, rzemieślniczej lub zawodowej, w celu wykrycia niezgodności i uzyskania dowodów. Zgodnie z art. 93 rozporządzenia 2017/745 i art. 88 rozporządzenia 2017/746 oraz art. 14 rozporządzenia </w:t>
      </w:r>
      <w:r w:rsidRPr="00EF4B72">
        <w:rPr>
          <w:rFonts w:ascii="Times" w:eastAsia="Times New Roman" w:hAnsi="Times" w:cs="Arial"/>
          <w:bCs/>
          <w:sz w:val="24"/>
          <w:szCs w:val="20"/>
          <w:lang w:eastAsia="pl-PL"/>
        </w:rPr>
        <w:t xml:space="preserve">Parlamentu Europejskiego i Rady (UE) 2019/1020 z dnia 20 czerwca 2019 r. w sprawie nadzoru rynku i zgodności produktów oraz zmieniającego dyrektywę 2004/42/WE oraz rozporządzenia (WE) </w:t>
      </w:r>
      <w:r w:rsidRPr="00EF4B72">
        <w:rPr>
          <w:rFonts w:ascii="Times" w:eastAsia="Times New Roman" w:hAnsi="Times" w:cs="Arial"/>
          <w:bCs/>
          <w:sz w:val="24"/>
          <w:szCs w:val="20"/>
          <w:lang w:eastAsia="pl-PL"/>
        </w:rPr>
        <w:lastRenderedPageBreak/>
        <w:t xml:space="preserve">nr 765/2008 i (UE) nr 305/2011 </w:t>
      </w:r>
      <w:r w:rsidRPr="000D5709">
        <w:rPr>
          <w:rFonts w:ascii="Times" w:eastAsia="Times New Roman" w:hAnsi="Times" w:cs="Arial"/>
          <w:sz w:val="24"/>
          <w:szCs w:val="20"/>
          <w:lang w:eastAsia="pl-PL"/>
        </w:rPr>
        <w:t>(</w:t>
      </w:r>
      <w:r w:rsidRPr="000D5709">
        <w:rPr>
          <w:rFonts w:ascii="Times" w:eastAsia="Times New Roman" w:hAnsi="Times" w:cs="Arial"/>
          <w:bCs/>
          <w:sz w:val="24"/>
          <w:szCs w:val="20"/>
          <w:lang w:eastAsia="pl-PL"/>
        </w:rPr>
        <w:t>Dz. Urz. UE L 169 z 25.</w:t>
      </w:r>
      <w:r>
        <w:rPr>
          <w:rFonts w:ascii="Times" w:eastAsia="Times New Roman" w:hAnsi="Times" w:cs="Arial"/>
          <w:bCs/>
          <w:sz w:val="24"/>
          <w:szCs w:val="20"/>
          <w:lang w:eastAsia="pl-PL"/>
        </w:rPr>
        <w:t>0</w:t>
      </w:r>
      <w:r w:rsidRPr="000D5709">
        <w:rPr>
          <w:rFonts w:ascii="Times" w:eastAsia="Times New Roman" w:hAnsi="Times" w:cs="Arial"/>
          <w:bCs/>
          <w:sz w:val="24"/>
          <w:szCs w:val="20"/>
          <w:lang w:eastAsia="pl-PL"/>
        </w:rPr>
        <w:t>6.2019, str. 1</w:t>
      </w:r>
      <w:r>
        <w:rPr>
          <w:rFonts w:ascii="Times" w:eastAsia="Times New Roman" w:hAnsi="Times" w:cs="Arial"/>
          <w:bCs/>
          <w:sz w:val="24"/>
          <w:szCs w:val="20"/>
          <w:lang w:eastAsia="pl-PL"/>
        </w:rPr>
        <w:t xml:space="preserve">), zwanego dalej „rozporządzeniem 2019/1020”, </w:t>
      </w:r>
      <w:r w:rsidRPr="000D5709">
        <w:rPr>
          <w:rFonts w:ascii="Times" w:eastAsia="Times New Roman" w:hAnsi="Times" w:cs="Arial"/>
          <w:sz w:val="24"/>
          <w:szCs w:val="20"/>
          <w:lang w:eastAsia="pl-PL"/>
        </w:rPr>
        <w:t xml:space="preserve">organy nadzoru przeprowadzają zapowiedziane i – w razie konieczności – niezapowiedziane inspekcje w obiektach podmiotów gospodarczych, jak również dostawców lub podwykonawców, a także – w stosownych przypadkach – w obiektach użytkowników profesjonalnych. Konieczne jest więc wyposażenie kontrolerów w możliwość wstępu </w:t>
      </w:r>
      <w:r w:rsidR="002D0B4C">
        <w:rPr>
          <w:rFonts w:ascii="Times" w:eastAsia="Times New Roman" w:hAnsi="Times" w:cs="Arial"/>
          <w:sz w:val="24"/>
          <w:szCs w:val="20"/>
          <w:lang w:eastAsia="pl-PL"/>
        </w:rPr>
        <w:t xml:space="preserve">do </w:t>
      </w:r>
      <w:r w:rsidRPr="000D5709">
        <w:rPr>
          <w:rFonts w:ascii="Times" w:eastAsia="Times New Roman" w:hAnsi="Times" w:cs="Arial"/>
          <w:sz w:val="24"/>
          <w:szCs w:val="20"/>
          <w:lang w:eastAsia="pl-PL"/>
        </w:rPr>
        <w:t>obiektów</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lokali, pomieszczeń nie tylko tych podmiotów, ale również ich kooperantów. Nowoczesny proces produkcji i dystrybucji wyrobów medycznych charakteryzuje się dużym rozproszeniem funkcji w procesie produkcji i dystrybucji</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 związku z tym przepisy prawa powinny uwzględniać tę okoliczność. Poza tym kontrolerzy będą uprawnieni do żądania ustnych lub pisemnych wyjaśnień</w:t>
      </w:r>
      <w:r>
        <w:rPr>
          <w:rFonts w:ascii="Times" w:eastAsia="Times New Roman" w:hAnsi="Times" w:cs="Arial"/>
          <w:sz w:val="24"/>
          <w:szCs w:val="20"/>
          <w:lang w:eastAsia="pl-PL"/>
        </w:rPr>
        <w:t xml:space="preserve"> i</w:t>
      </w:r>
      <w:r w:rsidRPr="000D5709">
        <w:rPr>
          <w:rFonts w:ascii="Times" w:eastAsia="Times New Roman" w:hAnsi="Times" w:cs="Arial"/>
          <w:sz w:val="24"/>
          <w:szCs w:val="20"/>
          <w:lang w:eastAsia="pl-PL"/>
        </w:rPr>
        <w:t xml:space="preserve"> okazania dokumentów lub innych nośników informacji oraz udostępnienia danych mających związek z przedmiotem inspekcji lub kontroli, badania dokumentów, wyrobów i urządzeń odnoszących się do przedmiotu inspekcji lub kontroli, </w:t>
      </w:r>
      <w:r>
        <w:rPr>
          <w:rFonts w:ascii="Times" w:eastAsia="Times New Roman" w:hAnsi="Times" w:cs="Arial"/>
          <w:sz w:val="24"/>
          <w:szCs w:val="20"/>
          <w:lang w:eastAsia="pl-PL"/>
        </w:rPr>
        <w:t xml:space="preserve">oraz </w:t>
      </w:r>
      <w:r w:rsidRPr="000D5709">
        <w:rPr>
          <w:rFonts w:ascii="Times" w:eastAsia="Times New Roman" w:hAnsi="Times" w:cs="Arial"/>
          <w:sz w:val="24"/>
          <w:szCs w:val="20"/>
          <w:lang w:eastAsia="pl-PL"/>
        </w:rPr>
        <w:t xml:space="preserve">pobierania, w ramach inspekcji lub kontroli, próbek wyrobów, w celu </w:t>
      </w:r>
      <w:r>
        <w:rPr>
          <w:rFonts w:ascii="Times" w:eastAsia="Times New Roman" w:hAnsi="Times" w:cs="Arial"/>
          <w:sz w:val="24"/>
          <w:szCs w:val="20"/>
          <w:lang w:eastAsia="pl-PL"/>
        </w:rPr>
        <w:t xml:space="preserve">ich </w:t>
      </w:r>
      <w:r w:rsidRPr="000D5709">
        <w:rPr>
          <w:rFonts w:ascii="Times" w:eastAsia="Times New Roman" w:hAnsi="Times" w:cs="Arial"/>
          <w:sz w:val="24"/>
          <w:szCs w:val="20"/>
          <w:lang w:eastAsia="pl-PL"/>
        </w:rPr>
        <w:t>przebadania.</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 xml:space="preserve">Kontrola jest przeprowadzana na podstawie upoważnienia wydanego przez Prezesa Urzędu. Kontrola rozpoczyna się po okazaniu upoważnienia, bez obowiązku pokazania legitymacji. </w:t>
      </w:r>
      <w:r>
        <w:rPr>
          <w:rFonts w:ascii="Times" w:eastAsia="Times New Roman" w:hAnsi="Times" w:cs="Arial"/>
          <w:sz w:val="24"/>
          <w:szCs w:val="20"/>
          <w:lang w:eastAsia="pl-PL"/>
        </w:rPr>
        <w:t>Z</w:t>
      </w:r>
      <w:r w:rsidRPr="000D5709">
        <w:rPr>
          <w:rFonts w:ascii="Times" w:eastAsia="Times New Roman" w:hAnsi="Times" w:cs="Arial"/>
          <w:sz w:val="24"/>
          <w:szCs w:val="20"/>
          <w:lang w:eastAsia="pl-PL"/>
        </w:rPr>
        <w:t>godnie z przepisami art. 93 rozporządzenia 2017/745 i art. 88 rozporządzenia 2017/746 organy nadzoru są obowiązane do współpracy i podejmowania wspólnych działań w zakresie nadzoru rynku</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aby zapewnić zharmonizowany i wysoki poziom nadzoru rynku we wszystkich państwach członkowskich. Współpraca ta będzie obejmować wspólne kontrole podmiotów gospodarczych. Wobec tego w kontroli mogą brać udział osoby niebędące pracownikami Urzędu, co</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 celu uniknięcia mogących pojawiać się w praktyce wątpliwości</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zostało uwzględnione w projekcie ustawy. Ponadto może wystąpić konieczność udziału w kontroli osób posiadających wiadomości specjalne</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m.in. w zakresie dziedzin medycyny lub konstrukcji, produkcji lub zastosowania kontrolowanych wyrobów. Takie osoby nie posiadają również legitymacji służbowej, dlatego wprowadzono ogólną regulację okazywania wyłącznie zawiadomienia w celu ujednolicenia przepisów dla wszystkich kontroli.</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Z uwagi</w:t>
      </w:r>
      <w:r>
        <w:rPr>
          <w:rFonts w:ascii="Times" w:eastAsia="Times New Roman" w:hAnsi="Times" w:cs="Arial"/>
          <w:sz w:val="24"/>
          <w:szCs w:val="20"/>
          <w:lang w:eastAsia="pl-PL"/>
        </w:rPr>
        <w:t xml:space="preserve"> na to</w:t>
      </w:r>
      <w:r w:rsidRPr="000D5709">
        <w:rPr>
          <w:rFonts w:ascii="Times" w:eastAsia="Times New Roman" w:hAnsi="Times" w:cs="Arial"/>
          <w:sz w:val="24"/>
          <w:szCs w:val="20"/>
          <w:lang w:eastAsia="pl-PL"/>
        </w:rPr>
        <w:t>, że wyroby medyczne są bardzo szczególnym produktem i ryzyko związane z ich używaniem może mieć bardzo poważne konsekwencje w przyszłości dla pacjentów czy użytkowników</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Prezes Urzędu musi mieć kompetencje do prowadzenia kontroli również bez zawiadomienia, jeżeli jest to konieczne do ustalenia</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czy ryzyko takie występuje. Dopiero bowiem przeprowadzona kontrola daje możliwość ustalenia</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czy wyrób jest bezpieczny, natomiast konieczność wysyłania zawiadomienia i zachowania ustawowego terminu </w:t>
      </w:r>
      <w:r w:rsidRPr="000D5709">
        <w:rPr>
          <w:rFonts w:ascii="Times" w:eastAsia="Times New Roman" w:hAnsi="Times" w:cs="Arial"/>
          <w:sz w:val="24"/>
          <w:szCs w:val="20"/>
          <w:lang w:eastAsia="pl-PL"/>
        </w:rPr>
        <w:lastRenderedPageBreak/>
        <w:t>skutkowałoby pozostawaniem w obrocie wyrobów medycznych</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mogących stanowić zagrożenie dla życia i zdrowia użytkowników</w:t>
      </w:r>
      <w:r>
        <w:rPr>
          <w:rFonts w:ascii="Times" w:eastAsia="Times New Roman" w:hAnsi="Times" w:cs="Arial"/>
          <w:sz w:val="24"/>
          <w:szCs w:val="20"/>
          <w:lang w:eastAsia="pl-PL"/>
        </w:rPr>
        <w:t>, a w sytuacji</w:t>
      </w:r>
      <w:r w:rsidRPr="000D5709">
        <w:rPr>
          <w:rFonts w:ascii="Times" w:eastAsia="Times New Roman" w:hAnsi="Times" w:cs="Arial"/>
          <w:sz w:val="24"/>
          <w:szCs w:val="20"/>
          <w:lang w:eastAsia="pl-PL"/>
        </w:rPr>
        <w:t xml:space="preserve"> zagrożenia epidemicznego uniemożliwiałoby bieżący nadzór nad wyrobami znajdującymi się w obrocie.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Zgodnie z art. 93 rozporządzenia 2017/745 i art. 88 rozporządzenia 2017/746 organy kontroli są uprawnione do przeprowadzania niezapowiedzianych kontroli. Z uwagi</w:t>
      </w:r>
      <w:r w:rsidR="002D0B4C">
        <w:rPr>
          <w:rFonts w:ascii="Times" w:eastAsia="Times New Roman" w:hAnsi="Times" w:cs="Arial"/>
          <w:sz w:val="24"/>
          <w:szCs w:val="20"/>
          <w:lang w:eastAsia="pl-PL"/>
        </w:rPr>
        <w:t xml:space="preserve"> na to</w:t>
      </w:r>
      <w:r w:rsidRPr="000D5709">
        <w:rPr>
          <w:rFonts w:ascii="Times" w:eastAsia="Times New Roman" w:hAnsi="Times" w:cs="Arial"/>
          <w:sz w:val="24"/>
          <w:szCs w:val="20"/>
          <w:lang w:eastAsia="pl-PL"/>
        </w:rPr>
        <w:t>, że rozporządzenia unijne nie zawierają żadnych ograniczeń w tym zakresie</w:t>
      </w:r>
      <w:r w:rsidR="002D0B4C">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 celu ochrony interesów polskich podmiotów wprowadzono zastrzeżenie, że takie kontrole mogą być przeprowadzane wyłącznie, gdy istnieje uzasadnione podejrzenie, że wyroby medyczne wprowadzane do obrotu, do używania lub używane w instytucjach zdrowia publicznego są niezgodne z rozporządzeniem 2017/745 lub rozporządzeniem 2017/746 lub stwarzają nieakceptowalne ryzyko. Z uwagi</w:t>
      </w:r>
      <w:r w:rsidR="005031D4">
        <w:rPr>
          <w:rFonts w:ascii="Times" w:eastAsia="Times New Roman" w:hAnsi="Times" w:cs="Arial"/>
          <w:sz w:val="24"/>
          <w:szCs w:val="20"/>
          <w:lang w:eastAsia="pl-PL"/>
        </w:rPr>
        <w:t xml:space="preserve"> na to</w:t>
      </w:r>
      <w:r w:rsidRPr="000D5709">
        <w:rPr>
          <w:rFonts w:ascii="Times" w:eastAsia="Times New Roman" w:hAnsi="Times" w:cs="Arial"/>
          <w:sz w:val="24"/>
          <w:szCs w:val="20"/>
          <w:lang w:eastAsia="pl-PL"/>
        </w:rPr>
        <w:t>, że używanie lub obrót wyrobami medycznymi stwarzającymi ryzyko lub co do których istnieje uzasadnione podejrzenie, że takie ryzyko stwarzają</w:t>
      </w:r>
      <w:r w:rsidR="005031D4">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może prowadzić do bardzo poważnych konsekwencji dla zdrowia lub życia użytkowników lub grup użytkowników</w:t>
      </w:r>
      <w:r w:rsidR="005031D4">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niezbędne i uzasadnione jest wyposażenie organu kontrolnego w uprawnienia do niezwłocznego zbadania takich wyrobów. Doświadczenie życiowe i dotychczasowa praktyka Urzędu wskazują, że w wymienionych sytuacjach absolutnie niezbędne może być podejmowanie działań natychmiastowych, zanim konsekwencje rozszerzą się na kolejnych użytkowników, a podmiot wprowadzający takie wyroby podejmie kroki w celu ukrycia, zniszczenia lub sfabrykowania dowodów. Sytuacjami</w:t>
      </w:r>
      <w:r w:rsidR="005031D4">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w których podjęcie działań kontrolnych bez zawiadomienia jest niezbędne</w:t>
      </w:r>
      <w:r w:rsidR="005031D4">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są m.in. podejrzenie o stosowaniu w gotowym wyrobie innych materiałów lub podzespołów niż te o udowodnionych właściwościach (np. zastosowanie silikonu technicznego w implantach piersi, montowanie zasilaczy niezgodnych z normami europejskimi), podejrzenie o niezapewnieniu prawidłowych warunków magazynowania (np. przechowywanie wyrobów w zawilgoconym i nieogrzewanym magazynie), oferowanie wyrobów do użytku przez profesjonalistów laikom (np. sprzedaż w ogólnie dostępnym sklepie wyrobów do diagnostyki in vitro pozwalających na wykrycie zakażenia wirusem HIV), prezentowanie wyrobu medycznego niezgodnie z jego przeznaczeniem (np. prezentowanie wyrobu do magnetoterapii jako skutecznego w leczeniu cukrzycy lub chorób zakaźnych).</w:t>
      </w:r>
      <w:r w:rsidR="009D4A4F">
        <w:rPr>
          <w:rFonts w:ascii="Times" w:eastAsia="Times New Roman" w:hAnsi="Times" w:cs="Arial"/>
          <w:sz w:val="24"/>
          <w:szCs w:val="20"/>
          <w:lang w:eastAsia="pl-PL"/>
        </w:rPr>
        <w:t xml:space="preserve"> </w:t>
      </w:r>
      <w:r w:rsidRPr="000D5709">
        <w:rPr>
          <w:rFonts w:ascii="Times" w:eastAsia="Times New Roman" w:hAnsi="Times" w:cs="Arial"/>
          <w:sz w:val="24"/>
          <w:szCs w:val="20"/>
          <w:lang w:eastAsia="pl-PL"/>
        </w:rPr>
        <w:t xml:space="preserve">Z tego też względu osoba upoważniona przez Prezesa Urzędu do dokonywania kontroli będzie mogła zarządzić otwarcie obiektu, lokalu lub ich części, które kontrolowany wykorzystuje do swojej działalności handlowej, gospodarczej, rzemieślniczej lub zawodowej, jak również </w:t>
      </w:r>
      <w:r>
        <w:rPr>
          <w:rFonts w:ascii="Times" w:eastAsia="Times New Roman" w:hAnsi="Times" w:cs="Arial"/>
          <w:sz w:val="24"/>
          <w:szCs w:val="20"/>
          <w:lang w:eastAsia="pl-PL"/>
        </w:rPr>
        <w:t>dokonywania</w:t>
      </w:r>
      <w:r w:rsidRPr="000D5709">
        <w:rPr>
          <w:rFonts w:ascii="Times" w:eastAsia="Times New Roman" w:hAnsi="Times" w:cs="Arial"/>
          <w:sz w:val="24"/>
          <w:szCs w:val="20"/>
          <w:lang w:eastAsia="pl-PL"/>
        </w:rPr>
        <w:t xml:space="preserve"> ich oględzin, analogicznie do art. 37at ust. 3a ustawy z dnia 6 września 2001 r. – Prawo farmaceutyczne.</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lastRenderedPageBreak/>
        <w:t>Zgodnie z art. 93 rozporządzenia 2017/745 i art. 88 rozporządzenia 2017/746 Prezes Urzędu jest uprawniony do kontroli podwykonawców i dostawców kontrolowanego. Ponieważ kontrole takie są „wpadkowe” wobec głównej kontroli</w:t>
      </w:r>
      <w:r w:rsidR="006B4E1F">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powinn</w:t>
      </w:r>
      <w:r w:rsidR="006B4E1F">
        <w:rPr>
          <w:rFonts w:ascii="Times" w:eastAsia="Times New Roman" w:hAnsi="Times" w:cs="Arial"/>
          <w:sz w:val="24"/>
          <w:szCs w:val="20"/>
          <w:lang w:eastAsia="pl-PL"/>
        </w:rPr>
        <w:t>y</w:t>
      </w:r>
      <w:r w:rsidRPr="000D5709">
        <w:rPr>
          <w:rFonts w:ascii="Times" w:eastAsia="Times New Roman" w:hAnsi="Times" w:cs="Arial"/>
          <w:sz w:val="24"/>
          <w:szCs w:val="20"/>
          <w:lang w:eastAsia="pl-PL"/>
        </w:rPr>
        <w:t xml:space="preserve"> odbywać się w ramach tej głównej kontroli i być traktowane jako jedna kontrola.</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Ponieważ podlegające kontroli podmioty gospodarcze prowadzące obrót wyrobami medycznymi, których producent znajduj</w:t>
      </w:r>
      <w:r w:rsidR="006B4E1F">
        <w:rPr>
          <w:rFonts w:ascii="Times" w:eastAsia="Times New Roman" w:hAnsi="Times" w:cs="Arial"/>
          <w:sz w:val="24"/>
          <w:szCs w:val="20"/>
          <w:lang w:eastAsia="pl-PL"/>
        </w:rPr>
        <w:t>e</w:t>
      </w:r>
      <w:r w:rsidRPr="000D5709">
        <w:rPr>
          <w:rFonts w:ascii="Times" w:eastAsia="Times New Roman" w:hAnsi="Times" w:cs="Arial"/>
          <w:sz w:val="24"/>
          <w:szCs w:val="20"/>
          <w:lang w:eastAsia="pl-PL"/>
        </w:rPr>
        <w:t xml:space="preserve"> się poza granicami Rzeczypospolitej Polskiej, mogą posiadać dokumentacje tych wyrobów w języku angielskim, a nie posiadać dokumentacji w języku polskim, to w celu obniżenia kosztów ponoszonych przez ten podmiot dopuszczalne jest przedłożenie do kontroli dokumentów w języku angielskim. Jednakże w sytuacji gdy zrozumienie dokumentu nie będzie możliwe</w:t>
      </w:r>
      <w:r w:rsidR="006B4E1F">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ponieważ jego stopień skomplikowania będzie wysoki</w:t>
      </w:r>
      <w:r w:rsidR="006B4E1F">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a waga dokumentu jako dowodu </w:t>
      </w:r>
      <w:r w:rsidR="006B4E1F">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znaczna</w:t>
      </w:r>
      <w:r w:rsidR="006B4E1F">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lub w innych przypadkach</w:t>
      </w:r>
      <w:r w:rsidR="006B4E1F">
        <w:rPr>
          <w:rFonts w:ascii="Times" w:eastAsia="Times New Roman" w:hAnsi="Times" w:cs="Arial"/>
          <w:sz w:val="24"/>
          <w:szCs w:val="20"/>
          <w:lang w:eastAsia="pl-PL"/>
        </w:rPr>
        <w:t>,</w:t>
      </w:r>
      <w:r w:rsidRPr="000D5709">
        <w:rPr>
          <w:rFonts w:ascii="Times" w:eastAsia="Times New Roman" w:hAnsi="Times" w:cs="Arial"/>
          <w:sz w:val="24"/>
          <w:szCs w:val="20"/>
          <w:lang w:eastAsia="pl-PL"/>
        </w:rPr>
        <w:t xml:space="preserve"> jeżeli w toku postepowania kontrolnego zostanie stwierdzona taka konieczność, niezbędne będzie dostarczenie przez kontrolowanego tłumaczenia dokumentu</w:t>
      </w:r>
      <w:r>
        <w:rPr>
          <w:rFonts w:ascii="Times" w:eastAsia="Times New Roman" w:hAnsi="Times" w:cs="Arial"/>
          <w:sz w:val="24"/>
          <w:szCs w:val="20"/>
          <w:lang w:eastAsia="pl-PL"/>
        </w:rPr>
        <w:t xml:space="preserve">, o ile zgodnie z wymogami ustawy nie jest dopuszczalne sporządzenie lub przedstawienie </w:t>
      </w:r>
      <w:r w:rsidR="001A7646">
        <w:rPr>
          <w:rFonts w:ascii="Times" w:eastAsia="Times New Roman" w:hAnsi="Times" w:cs="Arial"/>
          <w:sz w:val="24"/>
          <w:szCs w:val="20"/>
          <w:lang w:eastAsia="pl-PL"/>
        </w:rPr>
        <w:t xml:space="preserve">go </w:t>
      </w:r>
      <w:r>
        <w:rPr>
          <w:rFonts w:ascii="Times" w:eastAsia="Times New Roman" w:hAnsi="Times" w:cs="Arial"/>
          <w:sz w:val="24"/>
          <w:szCs w:val="20"/>
          <w:lang w:eastAsia="pl-PL"/>
        </w:rPr>
        <w:t>w języku angielskim</w:t>
      </w:r>
      <w:r w:rsidRPr="000D5709">
        <w:rPr>
          <w:rFonts w:ascii="Times" w:eastAsia="Times New Roman" w:hAnsi="Times" w:cs="Arial"/>
          <w:sz w:val="24"/>
          <w:szCs w:val="20"/>
          <w:lang w:eastAsia="pl-PL"/>
        </w:rPr>
        <w:t xml:space="preserve">. </w:t>
      </w:r>
    </w:p>
    <w:p w:rsidR="00DD03D0" w:rsidRPr="000D5709" w:rsidRDefault="00DD03D0" w:rsidP="00DD03D0">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Kontrola kończy się sporządzeniem protokołu kontroli, który może, w celu ułatwienia i przyspieszenia procesu kontroli, zostać sporządzony w formie elektronicznej i opatrzony podpisem elektronicznym. Z przeprowadzonej inspekcji badania jest sporządzany raport z inspekcji badania w trzech egzemplarzach, z których po jednym egzemplarzu otrzymują podmiot kontrolowany i sponsor. Protokół kontroli może zawierać zalecenia pokontrolne. Kontrolowany w terminie 14 dni od dnia otrzymania protokołu kontroli może wnieść do niego umotywowane zastrzeżenia. Prezes Urzędu rozpatruje zastrzeżenia w terminie 30 dni od dnia ich otrzymania i zajmuje stanowisko w sprawie, które jest ostateczne i wraz z uzasadnieniem jest doręczane kontrolowanemu.</w:t>
      </w:r>
    </w:p>
    <w:p w:rsidR="00DD03D0" w:rsidRPr="000D5709" w:rsidRDefault="00DD03D0" w:rsidP="00DD03D0">
      <w:pPr>
        <w:suppressAutoHyphens/>
        <w:autoSpaceDE w:val="0"/>
        <w:autoSpaceDN w:val="0"/>
        <w:adjustRightInd w:val="0"/>
        <w:spacing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Prezes Urzędu może zażądać od instytucji zdrowia publicznego lub podmiotu wprowadzającego do obrotu lub do używania wyroby dostarczenia próbek niezbędnych do przeprowadzenia badań i weryfikacji wyrobu. Działanie takie będzie podejmowane w przypadku</w:t>
      </w:r>
      <w:r>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gdy zgodność wyrobu z wymaganiami nie może być oceniona na podstawie przedstawion</w:t>
      </w:r>
      <w:r w:rsidR="0009290B">
        <w:rPr>
          <w:rFonts w:ascii="Times" w:eastAsia="Times New Roman" w:hAnsi="Times" w:cs="Arial"/>
          <w:bCs/>
          <w:sz w:val="24"/>
          <w:szCs w:val="20"/>
          <w:lang w:eastAsia="pl-PL"/>
        </w:rPr>
        <w:t>ej</w:t>
      </w:r>
      <w:r w:rsidRPr="000D5709">
        <w:rPr>
          <w:rFonts w:ascii="Times" w:eastAsia="Times New Roman" w:hAnsi="Times" w:cs="Arial"/>
          <w:bCs/>
          <w:sz w:val="24"/>
          <w:szCs w:val="20"/>
          <w:lang w:eastAsia="pl-PL"/>
        </w:rPr>
        <w:t xml:space="preserve"> przez kontrolowanego dokumentacji i niezbędne będzie wykonanie badań przez wyspecjalizowane podmioty. W przypadkach, w których wyroby okażą się niezgodne z wymaganiami</w:t>
      </w:r>
      <w:r w:rsidR="0009290B">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kontrolowany będzie miał obowiązek ponieść koszty wykonania tych badań.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 xml:space="preserve">Projektowana ustawa zawiera przepisy szczególne w stosunku do ustawy z dnia 6 marca 2018 r. – Prawo przedsiębiorców, natomiast w celu uniknięcia wątpliwości interpretacyjnych w pozostałym zakresie odwołano się do tej ustawy. Jednakże z ustawy z dnia 6 marca 2018 r. </w:t>
      </w:r>
      <w:r w:rsidRPr="000D5709">
        <w:rPr>
          <w:rFonts w:ascii="Times" w:eastAsia="Times New Roman" w:hAnsi="Times" w:cs="Arial"/>
          <w:sz w:val="24"/>
          <w:szCs w:val="20"/>
          <w:lang w:eastAsia="pl-PL"/>
        </w:rPr>
        <w:lastRenderedPageBreak/>
        <w:t xml:space="preserve">– Prawo przedsiębiorców wyłączono art. 54 i </w:t>
      </w:r>
      <w:r w:rsidR="00FA3B34">
        <w:rPr>
          <w:rFonts w:ascii="Times" w:eastAsia="Times New Roman" w:hAnsi="Times" w:cs="Arial"/>
          <w:sz w:val="24"/>
          <w:szCs w:val="20"/>
          <w:lang w:eastAsia="pl-PL"/>
        </w:rPr>
        <w:t xml:space="preserve">art. </w:t>
      </w:r>
      <w:r w:rsidRPr="000D5709">
        <w:rPr>
          <w:rFonts w:ascii="Times" w:eastAsia="Times New Roman" w:hAnsi="Times" w:cs="Arial"/>
          <w:sz w:val="24"/>
          <w:szCs w:val="20"/>
          <w:lang w:eastAsia="pl-PL"/>
        </w:rPr>
        <w:t>55. Z uwagi na przywołany wyżej szczególny status wyrobów medycznych oraz na art. 93 rozporządzenia 2017/745, art. 88 rozporządzenia 2017/746 oraz art. 14 ust 4 rozporządzenia 2019/1020 Prezes Urzędu ma możliwość przeprowadzania niezapowiedzianych kontroli, przez co następuje konieczność wyłączenia art. 54. Natomiast wyłączenie art. 55 jest niezbędne z uwagi na następujące okoliczności: możliwość rozszerzenia kontroli na podwykonawców, co traktowane jest jako jedna kontrola, w trakcie kontroli może zajść konieczność dostarczenia przez kontrolowanego dokumentów, np. od podmiotu zagranicznego, co może znacząco przedłużyć czynności kontrolne, konieczne jest współdziałanie z innymi, właściwymi w danym zakresie organami publicznymi, czy zasięgnięcie opinii eksperta. Również sporządzenie protokołu kontroli, zgodnie z poglądami doktryny wlicza się do czasu kontroli, a z uwagi na stopień skomplikowania wyrobów medycznych i wielość czynności kontrolnych koniecznych do ustalenia stanu faktycznego, może być znacznie czasochłonne.</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Prezes Urzędu, sprawując nadzór nad wyrobami medycznymi i wyrobami medycznymi do diagnostyki in vitro będzie współpracował z Głównym Inspektorem Farmaceutycznym, Głównym Inspektorem Sanitarnym, Głównym Lekarzem Weterynarii, Prezesem Urzędu Ochrony Konkurencji i Konsumentów, Szefem Krajowej Administracji Skarbowej, Prezesem Urzędu Dozoru Technicznego, Głównym Inspektorem Pracy, Prezesem Państwowej Agencji Atomistyki, Ministrem Obrony Narodowej, Komendantem Głównym Policji, Prezesem Głównego Urzędu Miar, Prezesem Narodowego Funduszu Zdrowia, Prezesem Agencji Oceny Technologii Medycznych i Taryfikacji, Centrum Monitorowania Jakości w Ochronie Zdrowia, Centrum Systemów Informacyjnych Ochrony Zdrowia, Centralnym Ośrodkiem Badań Jakości w Diagnostyce Laboratoryjnej, Centralnym Ośrodkiem Badań Jakości w Diagnostyce Mikrobiologicznej, Krajowym Centrum Bankowania Tkanek i Komórek, Prezesem Agencji Badań Medycznych oraz instytutami badawczymi i uczelniami w zakresie właściwym dla tych podmiotów.</w:t>
      </w:r>
    </w:p>
    <w:p w:rsidR="00DD03D0" w:rsidRPr="00EA7C9D"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Współpraca z Szefem Krajowej Administracji Skarbowej oraz z urzędami celno-skarbowymi zostanie generalnie utrzymana na dotychczasowych zasadach. Prezes Urzędu będzie wydawał na wniosek naczelnika urzędu celno-skarbowego opinię w sprawie spełniania przez wyrób medyczny określonych dla niego wymagań, a organy te będą informowały Prezesa Urzędu o działaniach podjętych w odniesieniu do zatrzymanych wyrobów medycznych. </w:t>
      </w:r>
      <w:r w:rsidRPr="00EA7C9D">
        <w:rPr>
          <w:rFonts w:ascii="Times" w:eastAsia="Times New Roman" w:hAnsi="Times" w:cs="Arial"/>
          <w:bCs/>
          <w:sz w:val="24"/>
          <w:szCs w:val="20"/>
          <w:lang w:eastAsia="pl-PL"/>
        </w:rPr>
        <w:t xml:space="preserve">W razie stwierdzenia, że wyrób, system lub zestaw zabiegowy stwarza poważne zagrożenie lub jest to konieczne w interesie ochrony zdrowia publicznego, Prezes Urzędu może wszcząć </w:t>
      </w:r>
      <w:r w:rsidRPr="00EA7C9D">
        <w:rPr>
          <w:rFonts w:ascii="Times" w:eastAsia="Times New Roman" w:hAnsi="Times" w:cs="Arial"/>
          <w:bCs/>
          <w:sz w:val="24"/>
          <w:szCs w:val="20"/>
          <w:lang w:eastAsia="pl-PL"/>
        </w:rPr>
        <w:lastRenderedPageBreak/>
        <w:t>postępowanie w sprawie jego zniszczenia. Projekt ustawy stanowi, że stroną postępowania w sprawie zniszczenia wyrobów jest importer</w:t>
      </w:r>
      <w:r>
        <w:rPr>
          <w:rFonts w:ascii="Times" w:eastAsia="Times New Roman" w:hAnsi="Times" w:cs="Arial"/>
          <w:bCs/>
          <w:sz w:val="24"/>
          <w:szCs w:val="20"/>
          <w:lang w:eastAsia="pl-PL"/>
        </w:rPr>
        <w:t>. T</w:t>
      </w:r>
      <w:r w:rsidRPr="00EA7C9D">
        <w:rPr>
          <w:rFonts w:ascii="Times" w:eastAsia="Times New Roman" w:hAnsi="Times" w:cs="Arial"/>
          <w:bCs/>
          <w:sz w:val="24"/>
          <w:szCs w:val="20"/>
          <w:lang w:eastAsia="pl-PL"/>
        </w:rPr>
        <w:t>akie jednoznaczne wskazanie strony w przepisach ma na celu przyspieszenie postępowania oraz ograniczenie kosztów przechowywania ponoszonych przez importera na czas trwania postępowania.</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Jeżeli dany podmiot gospodarczy nie usunie braku zgodności z odpowiednimi wymogami w </w:t>
      </w:r>
      <w:r>
        <w:rPr>
          <w:rFonts w:ascii="Times" w:eastAsia="Times New Roman" w:hAnsi="Times" w:cs="Arial"/>
          <w:bCs/>
          <w:sz w:val="24"/>
          <w:szCs w:val="20"/>
          <w:lang w:eastAsia="pl-PL"/>
        </w:rPr>
        <w:t xml:space="preserve">wyznaczonym </w:t>
      </w:r>
      <w:r w:rsidRPr="000D5709">
        <w:rPr>
          <w:rFonts w:ascii="Times" w:eastAsia="Times New Roman" w:hAnsi="Times" w:cs="Arial"/>
          <w:bCs/>
          <w:sz w:val="24"/>
          <w:szCs w:val="20"/>
          <w:lang w:eastAsia="pl-PL"/>
        </w:rPr>
        <w:t>terminie, Prezes Urzędu niezwłocznie będzie wydawał decyzję administracyjną w sprawie ograniczenia lub zakazania udostępniania produktu lub jego wycofania z używania lub wycofania z obrotu; o decyzji tej Prezes Urzędu będzie powiadamiał Komisję Europejsk</w:t>
      </w:r>
      <w:r>
        <w:rPr>
          <w:rFonts w:ascii="Times" w:eastAsia="Times New Roman" w:hAnsi="Times" w:cs="Arial"/>
          <w:bCs/>
          <w:sz w:val="24"/>
          <w:szCs w:val="20"/>
          <w:lang w:eastAsia="pl-PL"/>
        </w:rPr>
        <w:t>ą</w:t>
      </w:r>
      <w:r w:rsidRPr="000D5709">
        <w:rPr>
          <w:rFonts w:ascii="Times" w:eastAsia="Times New Roman" w:hAnsi="Times" w:cs="Arial"/>
          <w:bCs/>
          <w:sz w:val="24"/>
          <w:szCs w:val="20"/>
          <w:lang w:eastAsia="pl-PL"/>
        </w:rPr>
        <w:t xml:space="preserve"> i pozostałe państwa członkowskie za pomocą systemu elektronicznego, o którym mowa w art. 100 rozporządzenia 2017/745. W przypadku, gdy po przeprowadzeniu oceny, która wskaże na potencjalne ryzyko związane z danym wyrobem, kategorią lub grupą wyrobów, Prezes Urzędu uzna, że w celu ochrony zdrowia i bezpieczeństwa pacjentów, użytkowników lub innych osób lub innych kwestii związanych ze zdrowiem publicznym udostępnianie na rynku lub wprowadzanie do używania wyrobu, określonej kategorii lub grupy wyrobów należy objąć zakazem, ograniczeniem lub szczególnymi wymogami lub też że taki wyrób, kategorię lub grupę wyrobów należy wycofać z obrotu lub z używania, będzie mógł wydać odpowiednie decyzje administracyjne, niezwłocznie powiadamiając o nich Komisję Europejską i pozostałe państwa członkowskie za pomocą systemu elektronicznego, o którym mowa w art. 100 rozporządzenia 2017/745.</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Projekt ustawy zakłada wydanie rozporządzeń w zakresie:</w:t>
      </w:r>
    </w:p>
    <w:p w:rsidR="00DD03D0" w:rsidRDefault="00DD03D0" w:rsidP="00DD03D0">
      <w:pPr>
        <w:pStyle w:val="PKTpunkt"/>
      </w:pPr>
      <w:r>
        <w:t>1)</w:t>
      </w:r>
      <w:r>
        <w:tab/>
        <w:t>możliwości wprowadzenia ograniczeń dotyczących produkcji i używania</w:t>
      </w:r>
      <w:r w:rsidRPr="000D5709">
        <w:t xml:space="preserve"> określonego rodzaju wyrobów produkowanych i używanych w instytucjach zdrowia publicznego</w:t>
      </w:r>
      <w:r>
        <w:t xml:space="preserve"> dotyczących w szczególności </w:t>
      </w:r>
      <w:r w:rsidRPr="006F6971">
        <w:t>warunków produkcji lub używania</w:t>
      </w:r>
      <w:r>
        <w:t xml:space="preserve">, </w:t>
      </w:r>
      <w:r w:rsidRPr="006F6971">
        <w:t xml:space="preserve">liczby produkowanych </w:t>
      </w:r>
      <w:r>
        <w:t>wyrobów;</w:t>
      </w:r>
    </w:p>
    <w:p w:rsidR="00DD03D0" w:rsidRPr="000D5709" w:rsidRDefault="00DD03D0" w:rsidP="00DD03D0">
      <w:pPr>
        <w:pStyle w:val="PKTpunkt"/>
      </w:pPr>
      <w:r>
        <w:t>2)</w:t>
      </w:r>
      <w:r>
        <w:tab/>
        <w:t>określeni</w:t>
      </w:r>
      <w:r w:rsidR="00C951BE">
        <w:t>a</w:t>
      </w:r>
      <w:r>
        <w:t xml:space="preserve"> wzoru</w:t>
      </w:r>
      <w:r w:rsidRPr="000D5709">
        <w:t xml:space="preserve"> formularza zgłoszenia poważnego incydentu</w:t>
      </w:r>
      <w:r>
        <w:t>;</w:t>
      </w:r>
    </w:p>
    <w:p w:rsidR="00DD03D0" w:rsidRPr="000D5709" w:rsidRDefault="00DD03D0" w:rsidP="00DD03D0">
      <w:pPr>
        <w:pStyle w:val="PKTpunkt"/>
      </w:pPr>
      <w:r>
        <w:t>3)</w:t>
      </w:r>
      <w:r>
        <w:tab/>
      </w:r>
      <w:r w:rsidRPr="000D5709">
        <w:t>możliwości wprowadzenia dodatkowych wymagań lub ograniczeń dotyczących stosowania konkretnego rodzaju wyrobów, warunków używania i dystrybucji wyrobów, w tym wymagań dotyczących kwalifikacji użytkowników, oraz warunków wykonywania czynności serwisowych, w tym wymagań dotyczących wyposażenia technicznego podmiotów i kwalifikacji zatrudnionych w nich osób wykonujących te czynności;</w:t>
      </w:r>
    </w:p>
    <w:p w:rsidR="00DD03D0" w:rsidRPr="000D5709" w:rsidRDefault="00DD03D0" w:rsidP="00DD03D0">
      <w:pPr>
        <w:pStyle w:val="PKTpunkt"/>
      </w:pPr>
      <w:r>
        <w:t>4)</w:t>
      </w:r>
      <w:r>
        <w:tab/>
      </w:r>
      <w:r w:rsidRPr="000D5709">
        <w:t xml:space="preserve">określenia zakresu ubezpieczenia sponsora i badacza za szkody wyrządzone w związku z prowadzeniem badania klinicznego wyrobu medycznego, terminu powstania obowiązku </w:t>
      </w:r>
      <w:r w:rsidRPr="000D5709">
        <w:lastRenderedPageBreak/>
        <w:t>ubezpieczenia oraz minimalnej sumy gwarancyjnej, biorąc pod uwagę ryzyko szkody związane z prowadzeniem badania klinicznego</w:t>
      </w:r>
      <w:r>
        <w:t xml:space="preserve"> lub badania działania</w:t>
      </w:r>
      <w:r w:rsidRPr="000D5709">
        <w:t>;</w:t>
      </w:r>
    </w:p>
    <w:p w:rsidR="00DD03D0" w:rsidRPr="000D5709" w:rsidRDefault="00DD03D0" w:rsidP="00DD03D0">
      <w:pPr>
        <w:pStyle w:val="PKTpunkt"/>
      </w:pPr>
      <w:r>
        <w:t>5)</w:t>
      </w:r>
      <w:r>
        <w:tab/>
      </w:r>
      <w:r w:rsidRPr="000D5709">
        <w:t xml:space="preserve">określenia wysokości opłat za złożenie do Prezesa Urzędu wniosku o wydanie pozwolenia na prowadzenie badania klinicznego, wniosku o wydanie pozwolenia na wprowadzenie istotnych zmian w badaniu klinicznym, wniosku o wydanie pozwolenia na prowadzenie badania </w:t>
      </w:r>
      <w:r>
        <w:t>działania</w:t>
      </w:r>
      <w:r w:rsidRPr="000D5709">
        <w:t xml:space="preserve">, wniosku o wydanie pozwolenia na wprowadzenie istotnych zmian w badaniu </w:t>
      </w:r>
      <w:r>
        <w:t>działania,</w:t>
      </w:r>
      <w:r w:rsidRPr="000D5709">
        <w:t xml:space="preserve"> wniosku o wydanie opinii naukowej na temat jakości i bezpieczeństwa substancji, która w przypadku użycia osobno może być uważana za produkt leczniczy i która stanowi integralną część wyrobu medycznego, oraz wniosku o wydanie opinii naukowej na temat zgodności wyrobu medycznego z odpowiednimi wymogami określonymi w załączniku I do dyrektywy 2001/83/WE Parlamentu Europejskiego i Rady z dnia 6 listopada 2001 r. w sprawie wspólnotowego kodeksu odnoszącego się do produktów leczniczych stosowanych u ludzi (Dz. Urz. L 311 z 28.11.2001, s. 67, z </w:t>
      </w:r>
      <w:proofErr w:type="spellStart"/>
      <w:r w:rsidRPr="000D5709">
        <w:t>późn</w:t>
      </w:r>
      <w:proofErr w:type="spellEnd"/>
      <w:r w:rsidRPr="000D5709">
        <w:t>. zm.), a także za złożenie wniosku do Krajowego Centrum Bankowania Tkanek i Komórek o wydanie opinii naukowej w sprawie aspektów oddawania, pobierania i testowania tkanek lub komórek pochodzenia ludzkiego lub ich pochodnych wykorzystywanych do wyprodukowania wyrobów medycznych;</w:t>
      </w:r>
    </w:p>
    <w:p w:rsidR="00DD03D0" w:rsidRPr="000D5709" w:rsidRDefault="00DD03D0" w:rsidP="00DD03D0">
      <w:pPr>
        <w:pStyle w:val="PKTpunkt"/>
      </w:pPr>
      <w:r>
        <w:t>6)</w:t>
      </w:r>
      <w:r>
        <w:tab/>
      </w:r>
      <w:r w:rsidRPr="00CC651B">
        <w:t>określenia formy reklamy wyrobów, niezbędnych danych, jakie ma zawierać reklama, sposobu prezentowania reklamy</w:t>
      </w:r>
      <w:r w:rsidRPr="000D5709">
        <w:t>.</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Projekt zakłada zastąpienie obecnych przepisów karnych karami administracyjnymi. Zgodnie z założeniami pozwoli to na efektywniejszy nadzór sprawowany przez Prezesa Urzędu oraz skrócenie postępowań w sprawie nakładania kar. Kwestie proceduralne, w szczególności przesłanki nakładania kar administracyjnych oraz zasady ich miarkowania, uregulowane są w Kodeksie post</w:t>
      </w:r>
      <w:r w:rsidR="009C52D0">
        <w:rPr>
          <w:rFonts w:ascii="Times" w:eastAsia="Times New Roman" w:hAnsi="Times" w:cs="Arial"/>
          <w:bCs/>
          <w:sz w:val="24"/>
          <w:szCs w:val="20"/>
          <w:lang w:eastAsia="pl-PL"/>
        </w:rPr>
        <w:t>ę</w:t>
      </w:r>
      <w:r w:rsidRPr="000D5709">
        <w:rPr>
          <w:rFonts w:ascii="Times" w:eastAsia="Times New Roman" w:hAnsi="Times" w:cs="Arial"/>
          <w:bCs/>
          <w:sz w:val="24"/>
          <w:szCs w:val="20"/>
          <w:lang w:eastAsia="pl-PL"/>
        </w:rPr>
        <w:t>powania administracyjnego</w:t>
      </w:r>
      <w:r w:rsidR="009C52D0">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 xml:space="preserve">W projekcie przewidziano również wprowadzenie przepisu uprawniającego </w:t>
      </w:r>
      <w:r>
        <w:rPr>
          <w:rFonts w:ascii="Times" w:eastAsia="Times New Roman" w:hAnsi="Times" w:cs="Arial"/>
          <w:sz w:val="24"/>
          <w:szCs w:val="20"/>
          <w:lang w:eastAsia="pl-PL"/>
        </w:rPr>
        <w:t>o</w:t>
      </w:r>
      <w:r w:rsidRPr="000D5709">
        <w:rPr>
          <w:rFonts w:ascii="Times" w:eastAsia="Times New Roman" w:hAnsi="Times" w:cs="Arial"/>
          <w:sz w:val="24"/>
          <w:szCs w:val="20"/>
          <w:lang w:eastAsia="pl-PL"/>
        </w:rPr>
        <w:t xml:space="preserve">rgan </w:t>
      </w:r>
      <w:r>
        <w:rPr>
          <w:rFonts w:ascii="Times" w:eastAsia="Times New Roman" w:hAnsi="Times" w:cs="Arial"/>
          <w:sz w:val="24"/>
          <w:szCs w:val="20"/>
          <w:lang w:eastAsia="pl-PL"/>
        </w:rPr>
        <w:t>do odstąpienia</w:t>
      </w:r>
      <w:r w:rsidRPr="000D5709">
        <w:rPr>
          <w:rFonts w:ascii="Times" w:eastAsia="Times New Roman" w:hAnsi="Times" w:cs="Arial"/>
          <w:sz w:val="24"/>
          <w:szCs w:val="20"/>
          <w:lang w:eastAsia="pl-PL"/>
        </w:rPr>
        <w:t xml:space="preserve"> od wymierzania kar pieniężnych</w:t>
      </w:r>
      <w:r w:rsidR="001151F6">
        <w:rPr>
          <w:rFonts w:ascii="Times" w:eastAsia="Times New Roman" w:hAnsi="Times" w:cs="Arial"/>
          <w:sz w:val="24"/>
          <w:szCs w:val="20"/>
          <w:lang w:eastAsia="pl-PL"/>
        </w:rPr>
        <w:t>,</w:t>
      </w:r>
      <w:r>
        <w:rPr>
          <w:rFonts w:ascii="Times" w:eastAsia="Times New Roman" w:hAnsi="Times" w:cs="Arial"/>
          <w:sz w:val="24"/>
          <w:szCs w:val="20"/>
          <w:lang w:eastAsia="pl-PL"/>
        </w:rPr>
        <w:t xml:space="preserve"> </w:t>
      </w:r>
      <w:r w:rsidRPr="000D5709">
        <w:rPr>
          <w:rFonts w:ascii="Times" w:eastAsia="Times New Roman" w:hAnsi="Times" w:cs="Arial"/>
          <w:sz w:val="24"/>
          <w:szCs w:val="20"/>
          <w:lang w:eastAsia="pl-PL"/>
        </w:rPr>
        <w:t>jeżeli zdarzenie miało charakter incydentalny, nie stwarzało ryzyka</w:t>
      </w:r>
      <w:r>
        <w:rPr>
          <w:rFonts w:ascii="Times" w:eastAsia="Times New Roman" w:hAnsi="Times" w:cs="Arial"/>
          <w:sz w:val="24"/>
          <w:szCs w:val="20"/>
          <w:lang w:eastAsia="pl-PL"/>
        </w:rPr>
        <w:t>, a</w:t>
      </w:r>
      <w:r w:rsidR="009D4A4F">
        <w:rPr>
          <w:rFonts w:ascii="Times" w:eastAsia="Times New Roman" w:hAnsi="Times" w:cs="Arial"/>
          <w:sz w:val="24"/>
          <w:szCs w:val="20"/>
          <w:lang w:eastAsia="pl-PL"/>
        </w:rPr>
        <w:t xml:space="preserve"> </w:t>
      </w:r>
      <w:r w:rsidRPr="000D5709">
        <w:rPr>
          <w:rFonts w:ascii="Times" w:eastAsia="Times New Roman" w:hAnsi="Times" w:cs="Arial"/>
          <w:sz w:val="24"/>
          <w:szCs w:val="20"/>
          <w:lang w:eastAsia="pl-PL"/>
        </w:rPr>
        <w:t>podmiot</w:t>
      </w:r>
      <w:r>
        <w:rPr>
          <w:rFonts w:ascii="Times" w:eastAsia="Times New Roman" w:hAnsi="Times" w:cs="Arial"/>
          <w:sz w:val="24"/>
          <w:szCs w:val="20"/>
          <w:lang w:eastAsia="pl-PL"/>
        </w:rPr>
        <w:t>, najpóźniej w terminie wskazanym przez Prezesa Urzędu, ministra właściwego do spraw zdrowia albo Głównego Inspektora Sanitarnego</w:t>
      </w:r>
      <w:r w:rsidR="001151F6">
        <w:rPr>
          <w:rFonts w:ascii="Times" w:eastAsia="Times New Roman" w:hAnsi="Times" w:cs="Arial"/>
          <w:sz w:val="24"/>
          <w:szCs w:val="20"/>
          <w:lang w:eastAsia="pl-PL"/>
        </w:rPr>
        <w:t>,</w:t>
      </w:r>
      <w:r>
        <w:rPr>
          <w:rFonts w:ascii="Times" w:eastAsia="Times New Roman" w:hAnsi="Times" w:cs="Arial"/>
          <w:sz w:val="24"/>
          <w:szCs w:val="20"/>
          <w:lang w:eastAsia="pl-PL"/>
        </w:rPr>
        <w:t xml:space="preserve"> przy prowadzeniu czynności, w trakcie których stwierdzono uchybienie prawa, </w:t>
      </w:r>
      <w:r w:rsidRPr="000D5709">
        <w:rPr>
          <w:rFonts w:ascii="Times" w:eastAsia="Times New Roman" w:hAnsi="Times" w:cs="Arial"/>
          <w:sz w:val="24"/>
          <w:szCs w:val="20"/>
          <w:lang w:eastAsia="pl-PL"/>
        </w:rPr>
        <w:t xml:space="preserve">podjął działania w celu </w:t>
      </w:r>
      <w:r>
        <w:rPr>
          <w:rFonts w:ascii="Times" w:eastAsia="Times New Roman" w:hAnsi="Times" w:cs="Arial"/>
          <w:sz w:val="24"/>
          <w:szCs w:val="20"/>
          <w:lang w:eastAsia="pl-PL"/>
        </w:rPr>
        <w:t xml:space="preserve">ich </w:t>
      </w:r>
      <w:r w:rsidRPr="000D5709">
        <w:rPr>
          <w:rFonts w:ascii="Times" w:eastAsia="Times New Roman" w:hAnsi="Times" w:cs="Arial"/>
          <w:sz w:val="24"/>
          <w:szCs w:val="20"/>
          <w:lang w:eastAsia="pl-PL"/>
        </w:rPr>
        <w:t xml:space="preserve">usunięcia </w:t>
      </w:r>
      <w:r>
        <w:rPr>
          <w:rFonts w:ascii="Times" w:eastAsia="Times New Roman" w:hAnsi="Times" w:cs="Arial"/>
          <w:sz w:val="24"/>
          <w:szCs w:val="20"/>
          <w:lang w:eastAsia="pl-PL"/>
        </w:rPr>
        <w:t>i poinformował właściwy organ o ich podjęciu.</w:t>
      </w:r>
      <w:r w:rsidRPr="000D5709">
        <w:rPr>
          <w:rFonts w:ascii="Times" w:eastAsia="Times New Roman" w:hAnsi="Times" w:cs="Arial"/>
          <w:bCs/>
          <w:sz w:val="24"/>
          <w:szCs w:val="20"/>
          <w:lang w:eastAsia="pl-PL"/>
        </w:rPr>
        <w:t xml:space="preserve"> Przepis ten ma </w:t>
      </w:r>
      <w:r w:rsidR="001151F6">
        <w:rPr>
          <w:rFonts w:ascii="Times" w:eastAsia="Times New Roman" w:hAnsi="Times" w:cs="Arial"/>
          <w:bCs/>
          <w:sz w:val="24"/>
          <w:szCs w:val="20"/>
          <w:lang w:eastAsia="pl-PL"/>
        </w:rPr>
        <w:t xml:space="preserve">na </w:t>
      </w:r>
      <w:r w:rsidRPr="000D5709">
        <w:rPr>
          <w:rFonts w:ascii="Times" w:eastAsia="Times New Roman" w:hAnsi="Times" w:cs="Arial"/>
          <w:bCs/>
          <w:sz w:val="24"/>
          <w:szCs w:val="20"/>
          <w:lang w:eastAsia="pl-PL"/>
        </w:rPr>
        <w:t>celu uniknięcie sytuacji, w których przedsiębiorcy lub inne podmioty zostaną obciążeni karami, a naruszenie przepisów będzie niewielkie i jednorazowe. Stanowi on swego rodzaju dopełnienie zasad miarkowania kar określonych w art. 189d pkt 3 i 4 Kodeksu postępowania administracyjnego.</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lastRenderedPageBreak/>
        <w:t>W projekcie ustawy wprowadzono również przepisy przejściowe ściśle związane z rozporządzeniami 2017/745 i 2017/746. Art</w:t>
      </w:r>
      <w:r>
        <w:rPr>
          <w:rFonts w:ascii="Times" w:eastAsia="Times New Roman" w:hAnsi="Times" w:cs="Arial"/>
          <w:sz w:val="24"/>
          <w:szCs w:val="20"/>
          <w:lang w:eastAsia="pl-PL"/>
        </w:rPr>
        <w:t>ykuł</w:t>
      </w:r>
      <w:r w:rsidRPr="000D5709">
        <w:rPr>
          <w:rFonts w:ascii="Times" w:eastAsia="Times New Roman" w:hAnsi="Times" w:cs="Arial"/>
          <w:sz w:val="24"/>
          <w:szCs w:val="20"/>
          <w:lang w:eastAsia="pl-PL"/>
        </w:rPr>
        <w:t xml:space="preserve"> 120 ust. 3 i 4 rozporządzenia 2017/745 oraz art. 110 rozporządzenia 2017/746 ust. 3 i 4 określają okresy przejściowe, zgodnie z którymi </w:t>
      </w:r>
      <w:r>
        <w:rPr>
          <w:rFonts w:ascii="Times" w:eastAsia="Times New Roman" w:hAnsi="Times" w:cs="Arial"/>
          <w:sz w:val="24"/>
          <w:szCs w:val="20"/>
          <w:lang w:eastAsia="pl-PL"/>
        </w:rPr>
        <w:t xml:space="preserve">określone w ww. przepisach </w:t>
      </w:r>
      <w:r w:rsidRPr="000D5709">
        <w:rPr>
          <w:rFonts w:ascii="Times" w:eastAsia="Times New Roman" w:hAnsi="Times" w:cs="Arial"/>
          <w:sz w:val="24"/>
          <w:szCs w:val="20"/>
          <w:lang w:eastAsia="pl-PL"/>
        </w:rPr>
        <w:t>wyroby mogą być wprowadzane do obrotu lub wprowadz</w:t>
      </w:r>
      <w:r w:rsidR="001151F6">
        <w:rPr>
          <w:rFonts w:ascii="Times" w:eastAsia="Times New Roman" w:hAnsi="Times" w:cs="Arial"/>
          <w:sz w:val="24"/>
          <w:szCs w:val="20"/>
          <w:lang w:eastAsia="pl-PL"/>
        </w:rPr>
        <w:t>a</w:t>
      </w:r>
      <w:r w:rsidRPr="000D5709">
        <w:rPr>
          <w:rFonts w:ascii="Times" w:eastAsia="Times New Roman" w:hAnsi="Times" w:cs="Arial"/>
          <w:sz w:val="24"/>
          <w:szCs w:val="20"/>
          <w:lang w:eastAsia="pl-PL"/>
        </w:rPr>
        <w:t>n</w:t>
      </w:r>
      <w:r w:rsidR="001151F6">
        <w:rPr>
          <w:rFonts w:ascii="Times" w:eastAsia="Times New Roman" w:hAnsi="Times" w:cs="Arial"/>
          <w:sz w:val="24"/>
          <w:szCs w:val="20"/>
          <w:lang w:eastAsia="pl-PL"/>
        </w:rPr>
        <w:t>e</w:t>
      </w:r>
      <w:r w:rsidRPr="000D5709">
        <w:rPr>
          <w:rFonts w:ascii="Times" w:eastAsia="Times New Roman" w:hAnsi="Times" w:cs="Arial"/>
          <w:sz w:val="24"/>
          <w:szCs w:val="20"/>
          <w:lang w:eastAsia="pl-PL"/>
        </w:rPr>
        <w:t xml:space="preserve"> do używania tylko wtedy, jeżeli od daty rozpoczęcia stosowania rozporządzeń pozostają one zgodne z którąkolwiek z dyrektyw dotyczących wyrobów oraz nie ma istotnych zmian w projekcie i przewidzianym zastosowaniu. Jednakże określone w rozporządzeniach wymogi dotyczące nadzoru po wprowadzeniu do obrotu, nadzoru rynku, obserwacji, rejestracji podmiotów gospodarczych i wyrobów stosuje się zamiast odpowiadających im wymogów określonych w tych dyrektywach. Wyroby wprowadzane do obrotu po dniu rozpoczęcia stosowania tych rozporządzeń będą mogły być dalej udostępniane na rynku lub wprowadzane do używania do dnia 27 maja 2025 r. Natomiast art. 123 ust. 1 lit. f rozporządzenia 2017/745 oraz art. 113 ust. 1 lit. f rozporządzenia 2017/746 określają przepisy przejściowe do czasu uruchomienia bazy </w:t>
      </w:r>
      <w:proofErr w:type="spellStart"/>
      <w:r w:rsidRPr="000D5709">
        <w:rPr>
          <w:rFonts w:ascii="Times" w:eastAsia="Times New Roman" w:hAnsi="Times" w:cs="Arial"/>
          <w:sz w:val="24"/>
          <w:szCs w:val="20"/>
          <w:lang w:eastAsia="pl-PL"/>
        </w:rPr>
        <w:t>Eudamed</w:t>
      </w:r>
      <w:proofErr w:type="spellEnd"/>
      <w:r w:rsidRPr="000D5709">
        <w:rPr>
          <w:rFonts w:ascii="Times" w:eastAsia="Times New Roman" w:hAnsi="Times" w:cs="Arial"/>
          <w:sz w:val="24"/>
          <w:szCs w:val="20"/>
          <w:lang w:eastAsia="pl-PL"/>
        </w:rPr>
        <w:t>. Konieczne jest w związku z tym wprowadzenie analogicznych okresów przejściowych, które umożliwią stosowanie rozporządzeń.</w:t>
      </w:r>
    </w:p>
    <w:p w:rsidR="00DD03D0"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Pr>
          <w:rFonts w:ascii="Times" w:eastAsia="Times New Roman" w:hAnsi="Times" w:cs="Arial"/>
          <w:sz w:val="24"/>
          <w:szCs w:val="20"/>
          <w:lang w:eastAsia="pl-PL"/>
        </w:rPr>
        <w:t>Z uwagi na fakt, że wyroby wprowadzane do obrotu lub udostępniane na polskim rynku na podstawie zgłoszeń lub powiadomień, o których mowa w art. 58 ustawy z dnia 20 maja 2010 r. o wyrobach medycznych, będą w obrocie przez wiele lat, a podmioty prowadzące obrót są obowiązane informować o zmianach lub o zaprzestaniu prowadzenia określonej działalności, niniejsza ustawa przewiduje wprowadzenie przepisów przejściowych do dnia 1 stycznia 2031 r., analogicznych do art. 61–63 uchylanej ustawy o wyrobach medycznych. Wprowadzane przepisy przejściowe pozwolą również na objęcie nimi zgłoszeń i powiadomień dokonywanych na podstawie art. 139 niniejszej ustawy. Przyjęty termin wynika z jednej strony</w:t>
      </w:r>
      <w:r w:rsidR="001151F6">
        <w:rPr>
          <w:rFonts w:ascii="Times" w:eastAsia="Times New Roman" w:hAnsi="Times" w:cs="Arial"/>
          <w:sz w:val="24"/>
          <w:szCs w:val="20"/>
          <w:lang w:eastAsia="pl-PL"/>
        </w:rPr>
        <w:t xml:space="preserve"> z</w:t>
      </w:r>
      <w:r>
        <w:rPr>
          <w:rFonts w:ascii="Times" w:eastAsia="Times New Roman" w:hAnsi="Times" w:cs="Arial"/>
          <w:sz w:val="24"/>
          <w:szCs w:val="20"/>
          <w:lang w:eastAsia="pl-PL"/>
        </w:rPr>
        <w:t xml:space="preserve"> zapewnieni</w:t>
      </w:r>
      <w:r w:rsidR="001151F6">
        <w:rPr>
          <w:rFonts w:ascii="Times" w:eastAsia="Times New Roman" w:hAnsi="Times" w:cs="Arial"/>
          <w:sz w:val="24"/>
          <w:szCs w:val="20"/>
          <w:lang w:eastAsia="pl-PL"/>
        </w:rPr>
        <w:t>a</w:t>
      </w:r>
      <w:r>
        <w:rPr>
          <w:rFonts w:ascii="Times" w:eastAsia="Times New Roman" w:hAnsi="Times" w:cs="Arial"/>
          <w:sz w:val="24"/>
          <w:szCs w:val="20"/>
          <w:lang w:eastAsia="pl-PL"/>
        </w:rPr>
        <w:t xml:space="preserve"> Urzędowi pełnej informacji o wyrobach znajdujących się w obrocie, z drugiej jednak strony ograniczony jest uśrednionym okresem, w którym wyroby zazwyczaj znajdują się w obrocie oraz zapewnieniem, by wprowadzane niniejszą ustawą obowiązki nie były nadmiernie uciążliwe dla przedsiębiorców.</w:t>
      </w:r>
    </w:p>
    <w:p w:rsidR="00DD03D0" w:rsidRPr="00674899" w:rsidRDefault="00DD03D0" w:rsidP="00DD03D0">
      <w:pPr>
        <w:pStyle w:val="USTustnpkodeksu"/>
      </w:pPr>
      <w:r>
        <w:t xml:space="preserve">Jednocześnie w art. 139 ust. 6 projektowanej ustawy przewiduje się możliwość wydawania </w:t>
      </w:r>
      <w:r w:rsidR="00104F92" w:rsidRPr="00674899">
        <w:t>ś</w:t>
      </w:r>
      <w:r w:rsidRPr="00674899">
        <w:t>wiadectw</w:t>
      </w:r>
      <w:r>
        <w:t>a</w:t>
      </w:r>
      <w:r w:rsidRPr="00674899">
        <w:t xml:space="preserve"> </w:t>
      </w:r>
      <w:r w:rsidR="00104F92">
        <w:t>w</w:t>
      </w:r>
      <w:r w:rsidRPr="00674899">
        <w:t xml:space="preserve">olnej </w:t>
      </w:r>
      <w:r w:rsidR="00104F92">
        <w:t>s</w:t>
      </w:r>
      <w:r w:rsidRPr="00674899">
        <w:t>przedaży</w:t>
      </w:r>
      <w:r>
        <w:t xml:space="preserve">, które </w:t>
      </w:r>
      <w:r w:rsidRPr="00674899">
        <w:t>jest formą zaświadczenia umożliwiając</w:t>
      </w:r>
      <w:r w:rsidR="00577CDE">
        <w:t>ego</w:t>
      </w:r>
      <w:r w:rsidRPr="00674899">
        <w:t xml:space="preserve"> polskim wytwórcom oraz autoryzowanym przedstawicielom eksport wyrobów medycznych. </w:t>
      </w:r>
      <w:r w:rsidRPr="00674899">
        <w:br/>
        <w:t xml:space="preserve">Świadectwo wolnej sprzedaży na podstawie art. 60 </w:t>
      </w:r>
      <w:r w:rsidR="00577CDE">
        <w:t>r</w:t>
      </w:r>
      <w:r w:rsidRPr="00674899">
        <w:t xml:space="preserve">ozporządzenia 2017/745 lub art. 55 </w:t>
      </w:r>
      <w:r w:rsidR="00577CDE">
        <w:t>r</w:t>
      </w:r>
      <w:r w:rsidRPr="00674899">
        <w:t xml:space="preserve">ozporządzenia 2017/746 może zostać wydane wyłącznie dla wyrobów zgodnych </w:t>
      </w:r>
      <w:r w:rsidRPr="00674899">
        <w:br/>
        <w:t>z rozporządzeniami, co oznacza</w:t>
      </w:r>
      <w:r w:rsidR="00577CDE">
        <w:t>,</w:t>
      </w:r>
      <w:r w:rsidRPr="00674899">
        <w:t xml:space="preserve"> iż o wydanie </w:t>
      </w:r>
      <w:r w:rsidR="00104F92" w:rsidRPr="00674899">
        <w:t>ś</w:t>
      </w:r>
      <w:r w:rsidRPr="00674899">
        <w:t xml:space="preserve">wiadectwa </w:t>
      </w:r>
      <w:r w:rsidR="00104F92" w:rsidRPr="00674899">
        <w:t>w</w:t>
      </w:r>
      <w:r w:rsidRPr="00674899">
        <w:t xml:space="preserve">olnej </w:t>
      </w:r>
      <w:r w:rsidR="00104F92" w:rsidRPr="00674899">
        <w:t>s</w:t>
      </w:r>
      <w:r w:rsidRPr="00674899">
        <w:t xml:space="preserve">przedaży może wnioskować </w:t>
      </w:r>
      <w:r w:rsidRPr="00674899">
        <w:lastRenderedPageBreak/>
        <w:t>producent lub upoważniony przedstawiciel wyłącznie dla wyrobu, którego ocena zgodności została przeprowadzona na podstawie ww. rozporządzeń.</w:t>
      </w:r>
      <w:r>
        <w:t xml:space="preserve"> P</w:t>
      </w:r>
      <w:r w:rsidRPr="00674899">
        <w:t xml:space="preserve">rzepis art. 120 ust. 3 </w:t>
      </w:r>
      <w:r w:rsidR="00577CDE">
        <w:t>r</w:t>
      </w:r>
      <w:r w:rsidRPr="00674899">
        <w:t>ozporządzenia 2017/745 umożliwia wprowadzanie do obrotu i do używania wyrobów zgodnych z dyrektywami 93/42 EWG lub 90/385 EWG do dnia 26 maja 2024 r.</w:t>
      </w:r>
      <w:r>
        <w:t xml:space="preserve"> </w:t>
      </w:r>
    </w:p>
    <w:p w:rsidR="00DD03D0" w:rsidRPr="00674899" w:rsidRDefault="00DD03D0" w:rsidP="00DD03D0">
      <w:pPr>
        <w:pStyle w:val="USTustnpkodeksu"/>
        <w:ind w:firstLine="0"/>
      </w:pPr>
      <w:r>
        <w:t xml:space="preserve">Projektowana regulacja pozwoli </w:t>
      </w:r>
      <w:r w:rsidRPr="00674899">
        <w:t>Prezes</w:t>
      </w:r>
      <w:r>
        <w:t>owi</w:t>
      </w:r>
      <w:r w:rsidRPr="00674899">
        <w:t xml:space="preserve"> Urzędu Rejestracji Produktów Leczniczych, Wyrobów Medycznych i Produktów Biobójczych </w:t>
      </w:r>
      <w:r>
        <w:t xml:space="preserve">na </w:t>
      </w:r>
      <w:r w:rsidRPr="00674899">
        <w:t>wydawani</w:t>
      </w:r>
      <w:r>
        <w:t>e</w:t>
      </w:r>
      <w:r w:rsidRPr="00674899">
        <w:t xml:space="preserve"> </w:t>
      </w:r>
      <w:r w:rsidR="00104F92" w:rsidRPr="00674899">
        <w:t>ś</w:t>
      </w:r>
      <w:r w:rsidRPr="00674899">
        <w:t xml:space="preserve">wiadectw </w:t>
      </w:r>
      <w:r w:rsidR="00104F92" w:rsidRPr="00674899">
        <w:t>w</w:t>
      </w:r>
      <w:r w:rsidRPr="00674899">
        <w:t xml:space="preserve">olnej </w:t>
      </w:r>
      <w:r w:rsidR="00104F92" w:rsidRPr="00674899">
        <w:t>s</w:t>
      </w:r>
      <w:r w:rsidRPr="00674899">
        <w:t>przedaży dla wyrobów zgodnych z dyrektywami 93/42 EWG, 90/385 EWG i 98/79/WE</w:t>
      </w:r>
      <w:r>
        <w:t>.</w:t>
      </w:r>
      <w:r w:rsidRPr="00674899">
        <w:t xml:space="preserve">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Przewiduje się utrzymanie w mocy następujących rozporządzeń:</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1)</w:t>
      </w:r>
      <w:r w:rsidRPr="000D5709">
        <w:rPr>
          <w:rFonts w:ascii="Times" w:eastAsia="Times New Roman" w:hAnsi="Times" w:cs="Arial"/>
          <w:bCs/>
          <w:sz w:val="24"/>
          <w:szCs w:val="20"/>
          <w:lang w:eastAsia="pl-PL"/>
        </w:rPr>
        <w:tab/>
      </w:r>
      <w:r w:rsidR="00104F92" w:rsidRPr="00BC3E9C">
        <w:rPr>
          <w:rFonts w:ascii="Times" w:eastAsia="Times New Roman" w:hAnsi="Times" w:cs="Arial"/>
          <w:bCs/>
          <w:sz w:val="24"/>
          <w:szCs w:val="20"/>
          <w:lang w:eastAsia="pl-PL"/>
        </w:rPr>
        <w:t xml:space="preserve">Ministra Zdrowia </w:t>
      </w:r>
      <w:r w:rsidRPr="000D5709">
        <w:rPr>
          <w:rFonts w:ascii="Times" w:eastAsia="Times New Roman" w:hAnsi="Times" w:cs="Arial"/>
          <w:bCs/>
          <w:sz w:val="24"/>
          <w:szCs w:val="20"/>
          <w:lang w:eastAsia="pl-PL"/>
        </w:rPr>
        <w:t>z dnia 17 lutego 2016 r. w sprawie wymagań zasadniczych oraz procedur oceny zgodności wyrobów medycznych</w:t>
      </w:r>
      <w:r>
        <w:rPr>
          <w:rFonts w:ascii="Times" w:eastAsia="Times New Roman" w:hAnsi="Times" w:cs="Arial"/>
          <w:bCs/>
          <w:sz w:val="24"/>
          <w:szCs w:val="20"/>
          <w:lang w:eastAsia="pl-PL"/>
        </w:rPr>
        <w:t xml:space="preserve"> (Dz. U. poz. 211)</w:t>
      </w:r>
      <w:r w:rsidRPr="000D5709">
        <w:rPr>
          <w:rFonts w:ascii="Times" w:eastAsia="Times New Roman" w:hAnsi="Times" w:cs="Arial"/>
          <w:bCs/>
          <w:sz w:val="24"/>
          <w:szCs w:val="20"/>
          <w:lang w:eastAsia="pl-PL"/>
        </w:rPr>
        <w:t>;</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2)</w:t>
      </w:r>
      <w:r w:rsidRPr="000D5709">
        <w:rPr>
          <w:rFonts w:ascii="Times" w:eastAsia="Times New Roman" w:hAnsi="Times" w:cs="Arial"/>
          <w:bCs/>
          <w:sz w:val="24"/>
          <w:szCs w:val="20"/>
          <w:lang w:eastAsia="pl-PL"/>
        </w:rPr>
        <w:tab/>
      </w:r>
      <w:r w:rsidR="00104F92" w:rsidRPr="00BC3E9C">
        <w:rPr>
          <w:rFonts w:ascii="Times" w:eastAsia="Times New Roman" w:hAnsi="Times" w:cs="Arial"/>
          <w:bCs/>
          <w:sz w:val="24"/>
          <w:szCs w:val="20"/>
          <w:lang w:eastAsia="pl-PL"/>
        </w:rPr>
        <w:t xml:space="preserve">Ministra Zdrowia </w:t>
      </w:r>
      <w:r w:rsidRPr="000D5709">
        <w:rPr>
          <w:rFonts w:ascii="Times" w:eastAsia="Times New Roman" w:hAnsi="Times" w:cs="Arial"/>
          <w:bCs/>
          <w:sz w:val="24"/>
          <w:szCs w:val="20"/>
          <w:lang w:eastAsia="pl-PL"/>
        </w:rPr>
        <w:t>z dnia 16 lutego 2016 r. w sprawie szczegółowych wymagań dotyczących planowania, prowadzenia, monitorowania i dokumentowania badania klinicznego wyrobu medycznego</w:t>
      </w:r>
      <w:r>
        <w:rPr>
          <w:rFonts w:ascii="Times" w:eastAsia="Times New Roman" w:hAnsi="Times" w:cs="Arial"/>
          <w:bCs/>
          <w:sz w:val="24"/>
          <w:szCs w:val="20"/>
          <w:lang w:eastAsia="pl-PL"/>
        </w:rPr>
        <w:t xml:space="preserve"> (Dz. U. poz. 209)</w:t>
      </w:r>
      <w:r w:rsidRPr="000D5709">
        <w:rPr>
          <w:rFonts w:ascii="Times" w:eastAsia="Times New Roman" w:hAnsi="Times" w:cs="Arial"/>
          <w:bCs/>
          <w:sz w:val="24"/>
          <w:szCs w:val="20"/>
          <w:lang w:eastAsia="pl-PL"/>
        </w:rPr>
        <w:t>;</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3)</w:t>
      </w:r>
      <w:r w:rsidRPr="000D5709">
        <w:rPr>
          <w:rFonts w:ascii="Times" w:eastAsia="Times New Roman" w:hAnsi="Times" w:cs="Arial"/>
          <w:bCs/>
          <w:sz w:val="24"/>
          <w:szCs w:val="20"/>
          <w:lang w:eastAsia="pl-PL"/>
        </w:rPr>
        <w:tab/>
      </w:r>
      <w:r w:rsidR="00104F92" w:rsidRPr="00BC3E9C">
        <w:rPr>
          <w:rFonts w:ascii="Times" w:eastAsia="Times New Roman" w:hAnsi="Times" w:cs="Arial"/>
          <w:bCs/>
          <w:sz w:val="24"/>
          <w:szCs w:val="20"/>
          <w:lang w:eastAsia="pl-PL"/>
        </w:rPr>
        <w:t xml:space="preserve">Ministra Zdrowia </w:t>
      </w:r>
      <w:r w:rsidRPr="000D5709">
        <w:rPr>
          <w:rFonts w:ascii="Times" w:eastAsia="Times New Roman" w:hAnsi="Times" w:cs="Arial"/>
          <w:bCs/>
          <w:sz w:val="24"/>
          <w:szCs w:val="20"/>
          <w:lang w:eastAsia="pl-PL"/>
        </w:rPr>
        <w:t>z dnia 5 listopada 2010 r. w sprawie sposobu klasyfikowania wyrobów medycznych</w:t>
      </w:r>
      <w:r>
        <w:rPr>
          <w:rFonts w:ascii="Times" w:eastAsia="Times New Roman" w:hAnsi="Times" w:cs="Arial"/>
          <w:bCs/>
          <w:sz w:val="24"/>
          <w:szCs w:val="20"/>
          <w:lang w:eastAsia="pl-PL"/>
        </w:rPr>
        <w:t xml:space="preserve"> (Dz. U. poz. 1416)</w:t>
      </w:r>
      <w:r w:rsidRPr="000D5709">
        <w:rPr>
          <w:rFonts w:ascii="Times" w:eastAsia="Times New Roman" w:hAnsi="Times" w:cs="Arial"/>
          <w:bCs/>
          <w:sz w:val="24"/>
          <w:szCs w:val="20"/>
          <w:lang w:eastAsia="pl-PL"/>
        </w:rPr>
        <w:t>;</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4)</w:t>
      </w:r>
      <w:r w:rsidRPr="000D5709">
        <w:rPr>
          <w:rFonts w:ascii="Times" w:eastAsia="Times New Roman" w:hAnsi="Times" w:cs="Arial"/>
          <w:bCs/>
          <w:sz w:val="24"/>
          <w:szCs w:val="20"/>
          <w:lang w:eastAsia="pl-PL"/>
        </w:rPr>
        <w:tab/>
      </w:r>
      <w:r w:rsidR="00104F92" w:rsidRPr="00BC3E9C">
        <w:rPr>
          <w:rFonts w:ascii="Times" w:eastAsia="Times New Roman" w:hAnsi="Times" w:cs="Arial"/>
          <w:bCs/>
          <w:sz w:val="24"/>
          <w:szCs w:val="20"/>
          <w:lang w:eastAsia="pl-PL"/>
        </w:rPr>
        <w:t xml:space="preserve">Ministra Zdrowia </w:t>
      </w:r>
      <w:r w:rsidRPr="000D5709">
        <w:rPr>
          <w:rFonts w:ascii="Times" w:eastAsia="Times New Roman" w:hAnsi="Times" w:cs="Arial"/>
          <w:bCs/>
          <w:sz w:val="24"/>
          <w:szCs w:val="20"/>
          <w:lang w:eastAsia="pl-PL"/>
        </w:rPr>
        <w:t>z dnia 12 stycznia 2011 r. w sprawie wymagań zasadniczych oraz procedur oceny zgodności wyrobów medycznych do diagnostyki in vitro</w:t>
      </w:r>
      <w:r>
        <w:rPr>
          <w:rFonts w:ascii="Times" w:eastAsia="Times New Roman" w:hAnsi="Times" w:cs="Arial"/>
          <w:bCs/>
          <w:sz w:val="24"/>
          <w:szCs w:val="20"/>
          <w:lang w:eastAsia="pl-PL"/>
        </w:rPr>
        <w:t xml:space="preserve"> (Dz. U. z 2013 r. poz. 1127)</w:t>
      </w:r>
      <w:r w:rsidRPr="000D5709">
        <w:rPr>
          <w:rFonts w:ascii="Times" w:eastAsia="Times New Roman" w:hAnsi="Times" w:cs="Arial"/>
          <w:bCs/>
          <w:sz w:val="24"/>
          <w:szCs w:val="20"/>
          <w:lang w:eastAsia="pl-PL"/>
        </w:rPr>
        <w:t>;</w:t>
      </w:r>
    </w:p>
    <w:p w:rsidR="00DD03D0" w:rsidRPr="000D5709" w:rsidRDefault="006C17F7" w:rsidP="00DD03D0">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5</w:t>
      </w:r>
      <w:r w:rsidR="00DD03D0" w:rsidRPr="000D5709">
        <w:rPr>
          <w:rFonts w:ascii="Times" w:eastAsia="Times New Roman" w:hAnsi="Times" w:cs="Arial"/>
          <w:bCs/>
          <w:sz w:val="24"/>
          <w:szCs w:val="20"/>
          <w:lang w:eastAsia="pl-PL"/>
        </w:rPr>
        <w:t>)</w:t>
      </w:r>
      <w:r w:rsidR="00DD03D0" w:rsidRPr="000D5709">
        <w:rPr>
          <w:rFonts w:ascii="Times" w:eastAsia="Times New Roman" w:hAnsi="Times" w:cs="Arial"/>
          <w:bCs/>
          <w:sz w:val="24"/>
          <w:szCs w:val="20"/>
          <w:lang w:eastAsia="pl-PL"/>
        </w:rPr>
        <w:tab/>
      </w:r>
      <w:r w:rsidR="00104F92" w:rsidRPr="00BC3E9C">
        <w:rPr>
          <w:rFonts w:ascii="Times" w:eastAsia="Times New Roman" w:hAnsi="Times" w:cs="Arial"/>
          <w:bCs/>
          <w:sz w:val="24"/>
          <w:szCs w:val="20"/>
          <w:lang w:eastAsia="pl-PL"/>
        </w:rPr>
        <w:t xml:space="preserve">Ministra Zdrowia </w:t>
      </w:r>
      <w:r w:rsidR="00DD03D0" w:rsidRPr="000D5709">
        <w:rPr>
          <w:rFonts w:ascii="Times" w:eastAsia="Times New Roman" w:hAnsi="Times" w:cs="Arial"/>
          <w:bCs/>
          <w:sz w:val="24"/>
          <w:szCs w:val="20"/>
          <w:lang w:eastAsia="pl-PL"/>
        </w:rPr>
        <w:t>z dnia 16 lutego 2016 r. w sprawie kryteriów raportowania zdarzeń z wyrobami, sposobu zgłaszania incydentów medycznych i działań z zakresu bezpieczeństwa wyrobów</w:t>
      </w:r>
      <w:r w:rsidR="00DD03D0">
        <w:rPr>
          <w:rFonts w:ascii="Times" w:eastAsia="Times New Roman" w:hAnsi="Times" w:cs="Arial"/>
          <w:bCs/>
          <w:sz w:val="24"/>
          <w:szCs w:val="20"/>
          <w:lang w:eastAsia="pl-PL"/>
        </w:rPr>
        <w:t xml:space="preserve"> (Dz. U. poz. 201)</w:t>
      </w:r>
      <w:r w:rsidR="00DD03D0" w:rsidRPr="000D5709">
        <w:rPr>
          <w:rFonts w:ascii="Times" w:eastAsia="Times New Roman" w:hAnsi="Times" w:cs="Arial"/>
          <w:bCs/>
          <w:sz w:val="24"/>
          <w:szCs w:val="20"/>
          <w:lang w:eastAsia="pl-PL"/>
        </w:rPr>
        <w:t>;</w:t>
      </w:r>
    </w:p>
    <w:p w:rsidR="00DD03D0" w:rsidRPr="000D5709" w:rsidRDefault="006C17F7" w:rsidP="00DD03D0">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6</w:t>
      </w:r>
      <w:r w:rsidR="00DD03D0" w:rsidRPr="000D5709">
        <w:rPr>
          <w:rFonts w:ascii="Times" w:eastAsia="Times New Roman" w:hAnsi="Times" w:cs="Arial"/>
          <w:bCs/>
          <w:sz w:val="24"/>
          <w:szCs w:val="20"/>
          <w:lang w:eastAsia="pl-PL"/>
        </w:rPr>
        <w:t>)</w:t>
      </w:r>
      <w:r w:rsidR="00DD03D0" w:rsidRPr="000D5709">
        <w:rPr>
          <w:rFonts w:ascii="Times" w:eastAsia="Times New Roman" w:hAnsi="Times" w:cs="Arial"/>
          <w:bCs/>
          <w:sz w:val="24"/>
          <w:szCs w:val="20"/>
          <w:lang w:eastAsia="pl-PL"/>
        </w:rPr>
        <w:tab/>
      </w:r>
      <w:r w:rsidR="00104F92" w:rsidRPr="00BC3E9C">
        <w:rPr>
          <w:rFonts w:ascii="Times" w:eastAsia="Times New Roman" w:hAnsi="Times" w:cs="Arial"/>
          <w:bCs/>
          <w:sz w:val="24"/>
          <w:szCs w:val="20"/>
          <w:lang w:eastAsia="pl-PL"/>
        </w:rPr>
        <w:t xml:space="preserve">Ministra </w:t>
      </w:r>
      <w:r w:rsidR="00104F92">
        <w:rPr>
          <w:rFonts w:ascii="Times" w:eastAsia="Times New Roman" w:hAnsi="Times" w:cs="Arial"/>
          <w:bCs/>
          <w:sz w:val="24"/>
          <w:szCs w:val="20"/>
          <w:lang w:eastAsia="pl-PL"/>
        </w:rPr>
        <w:t>Finansów</w:t>
      </w:r>
      <w:r w:rsidR="00104F92" w:rsidRPr="00BC3E9C">
        <w:rPr>
          <w:rFonts w:ascii="Times" w:eastAsia="Times New Roman" w:hAnsi="Times" w:cs="Arial"/>
          <w:bCs/>
          <w:sz w:val="24"/>
          <w:szCs w:val="20"/>
          <w:lang w:eastAsia="pl-PL"/>
        </w:rPr>
        <w:t xml:space="preserve"> </w:t>
      </w:r>
      <w:r w:rsidR="00DD03D0" w:rsidRPr="000D5709">
        <w:rPr>
          <w:rFonts w:ascii="Times" w:eastAsia="Times New Roman" w:hAnsi="Times" w:cs="Arial"/>
          <w:bCs/>
          <w:sz w:val="24"/>
          <w:szCs w:val="20"/>
          <w:lang w:eastAsia="pl-PL"/>
        </w:rPr>
        <w:t>z dnia 6 października 2010 r. w sprawie obowiązkowego ubezpieczenia odpowiedzialności cywilnej sponsora i badacza klinicznego w związku z prowadzeniem badania klinicznego wyrobów</w:t>
      </w:r>
      <w:r w:rsidR="00DD03D0">
        <w:rPr>
          <w:rFonts w:ascii="Times" w:eastAsia="Times New Roman" w:hAnsi="Times" w:cs="Arial"/>
          <w:bCs/>
          <w:sz w:val="24"/>
          <w:szCs w:val="20"/>
          <w:lang w:eastAsia="pl-PL"/>
        </w:rPr>
        <w:t xml:space="preserve"> (Dz. U. poz. 1290).</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Utrzymanie w mocy ww. aktów prawnych jest niezbędne do zapewnienia właściwego nadzoru nad wyrobami, kontynuacji badań klinicznych, możliwości dokonywania zgłoszeń i powiadomień oraz zgłaszania incydentów. Należy wziąć pod uwagę, że wyroby mogą być wprowadzone do obrotu oraz używane przez wiele lat od </w:t>
      </w:r>
      <w:r w:rsidR="007712CD">
        <w:rPr>
          <w:rFonts w:ascii="Times" w:eastAsia="Times New Roman" w:hAnsi="Times" w:cs="Arial"/>
          <w:bCs/>
          <w:sz w:val="24"/>
          <w:szCs w:val="20"/>
          <w:lang w:eastAsia="pl-PL"/>
        </w:rPr>
        <w:t xml:space="preserve">dnia </w:t>
      </w:r>
      <w:r w:rsidRPr="000D5709">
        <w:rPr>
          <w:rFonts w:ascii="Times" w:eastAsia="Times New Roman" w:hAnsi="Times" w:cs="Arial"/>
          <w:bCs/>
          <w:sz w:val="24"/>
          <w:szCs w:val="20"/>
          <w:lang w:eastAsia="pl-PL"/>
        </w:rPr>
        <w:t xml:space="preserve">wejścia w życie niniejszej ustawy, </w:t>
      </w:r>
      <w:r w:rsidR="006C17F7">
        <w:rPr>
          <w:rFonts w:ascii="Times" w:eastAsia="Times New Roman" w:hAnsi="Times" w:cs="Arial"/>
          <w:bCs/>
          <w:sz w:val="24"/>
          <w:szCs w:val="20"/>
          <w:lang w:eastAsia="pl-PL"/>
        </w:rPr>
        <w:t xml:space="preserve">a </w:t>
      </w:r>
      <w:r w:rsidRPr="000D5709">
        <w:rPr>
          <w:rFonts w:ascii="Times" w:eastAsia="Times New Roman" w:hAnsi="Times" w:cs="Arial"/>
          <w:bCs/>
          <w:sz w:val="24"/>
          <w:szCs w:val="20"/>
          <w:lang w:eastAsia="pl-PL"/>
        </w:rPr>
        <w:t>problemy i zagrożenia związane z ich używaniem mogą ujawniać się po wielu latach od wprowadzenia do obrotu, dlatego przewiduje się utrzymanie w mocy niektórych przepisów przez 10 lub nawet 20 lat</w:t>
      </w:r>
      <w:r>
        <w:rPr>
          <w:rFonts w:ascii="Times" w:eastAsia="Times New Roman" w:hAnsi="Times" w:cs="Arial"/>
          <w:bCs/>
          <w:sz w:val="24"/>
          <w:szCs w:val="20"/>
          <w:lang w:eastAsia="pl-PL"/>
        </w:rPr>
        <w:t>, z możliwością ich zmieniania</w:t>
      </w:r>
      <w:r w:rsidRPr="000D5709">
        <w:rPr>
          <w:rFonts w:ascii="Times" w:eastAsia="Times New Roman" w:hAnsi="Times" w:cs="Arial"/>
          <w:bCs/>
          <w:sz w:val="24"/>
          <w:szCs w:val="20"/>
          <w:lang w:eastAsia="pl-PL"/>
        </w:rPr>
        <w:t>.</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Przewiduje się, że ustawa wejdzie w życie 14 dni od dnia ogłoszenia, z wyjątkiem:</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lastRenderedPageBreak/>
        <w:t>1</w:t>
      </w:r>
      <w:r w:rsidRPr="000D5709">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ab/>
        <w:t xml:space="preserve">przepisów dotyczących reklamy, które wejdą w życie </w:t>
      </w:r>
      <w:r w:rsidR="007712CD">
        <w:rPr>
          <w:rFonts w:ascii="Times" w:eastAsia="Times New Roman" w:hAnsi="Times" w:cs="Arial"/>
          <w:bCs/>
          <w:sz w:val="24"/>
          <w:szCs w:val="20"/>
          <w:lang w:eastAsia="pl-PL"/>
        </w:rPr>
        <w:t xml:space="preserve">z dniem </w:t>
      </w:r>
      <w:r w:rsidRPr="000D5709">
        <w:rPr>
          <w:rFonts w:ascii="Times" w:eastAsia="Times New Roman" w:hAnsi="Times" w:cs="Arial"/>
          <w:bCs/>
          <w:sz w:val="24"/>
          <w:szCs w:val="20"/>
          <w:lang w:eastAsia="pl-PL"/>
        </w:rPr>
        <w:t xml:space="preserve">1 stycznia 2022 r. </w:t>
      </w:r>
      <w:r>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 xml:space="preserve"> </w:t>
      </w:r>
      <w:r>
        <w:rPr>
          <w:rFonts w:ascii="Times" w:eastAsia="Times New Roman" w:hAnsi="Times" w:cs="Arial"/>
          <w:bCs/>
          <w:sz w:val="24"/>
          <w:szCs w:val="20"/>
          <w:lang w:eastAsia="pl-PL"/>
        </w:rPr>
        <w:t xml:space="preserve">w </w:t>
      </w:r>
      <w:r w:rsidRPr="000D5709">
        <w:rPr>
          <w:rFonts w:ascii="Times" w:eastAsia="Times New Roman" w:hAnsi="Times" w:cs="Arial"/>
          <w:bCs/>
          <w:sz w:val="24"/>
          <w:szCs w:val="20"/>
          <w:lang w:eastAsia="pl-PL"/>
        </w:rPr>
        <w:t>celu umożliwienia podmiot</w:t>
      </w:r>
      <w:r w:rsidR="006C17F7">
        <w:rPr>
          <w:rFonts w:ascii="Times" w:eastAsia="Times New Roman" w:hAnsi="Times" w:cs="Arial"/>
          <w:bCs/>
          <w:sz w:val="24"/>
          <w:szCs w:val="20"/>
          <w:lang w:eastAsia="pl-PL"/>
        </w:rPr>
        <w:t>om</w:t>
      </w:r>
      <w:r w:rsidRPr="000D5709">
        <w:rPr>
          <w:rFonts w:ascii="Times" w:eastAsia="Times New Roman" w:hAnsi="Times" w:cs="Arial"/>
          <w:bCs/>
          <w:sz w:val="24"/>
          <w:szCs w:val="20"/>
          <w:lang w:eastAsia="pl-PL"/>
        </w:rPr>
        <w:t xml:space="preserve"> prowadzącym reklamę dostosowani</w:t>
      </w:r>
      <w:r>
        <w:rPr>
          <w:rFonts w:ascii="Times" w:eastAsia="Times New Roman" w:hAnsi="Times" w:cs="Arial"/>
          <w:bCs/>
          <w:sz w:val="24"/>
          <w:szCs w:val="20"/>
          <w:lang w:eastAsia="pl-PL"/>
        </w:rPr>
        <w:t>a</w:t>
      </w:r>
      <w:r w:rsidRPr="000D5709">
        <w:rPr>
          <w:rFonts w:ascii="Times" w:eastAsia="Times New Roman" w:hAnsi="Times" w:cs="Arial"/>
          <w:bCs/>
          <w:sz w:val="24"/>
          <w:szCs w:val="20"/>
          <w:lang w:eastAsia="pl-PL"/>
        </w:rPr>
        <w:t xml:space="preserve"> się do nowych regulacji prawnych;</w:t>
      </w:r>
    </w:p>
    <w:p w:rsidR="00DD03D0" w:rsidRDefault="00DD03D0" w:rsidP="00DD03D0">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Pr="000D5709">
        <w:rPr>
          <w:rFonts w:ascii="Times" w:eastAsia="Times New Roman" w:hAnsi="Times" w:cs="Arial"/>
          <w:bCs/>
          <w:sz w:val="24"/>
          <w:szCs w:val="20"/>
          <w:lang w:eastAsia="pl-PL"/>
        </w:rPr>
        <w:t>)</w:t>
      </w:r>
      <w:r w:rsidRPr="000D5709">
        <w:rPr>
          <w:rFonts w:ascii="Times" w:eastAsia="Times New Roman" w:hAnsi="Times" w:cs="Arial"/>
          <w:bCs/>
          <w:sz w:val="24"/>
          <w:szCs w:val="20"/>
          <w:lang w:eastAsia="pl-PL"/>
        </w:rPr>
        <w:tab/>
      </w:r>
      <w:r>
        <w:rPr>
          <w:rFonts w:ascii="Times" w:eastAsia="Times New Roman" w:hAnsi="Times" w:cs="Arial"/>
          <w:bCs/>
          <w:sz w:val="24"/>
          <w:szCs w:val="20"/>
          <w:lang w:eastAsia="pl-PL"/>
        </w:rPr>
        <w:t xml:space="preserve">przepisu uchylającego ustawę z dnia </w:t>
      </w:r>
      <w:r w:rsidRPr="00CC651B">
        <w:rPr>
          <w:rFonts w:ascii="Times" w:eastAsia="Times New Roman" w:hAnsi="Times" w:cs="Arial"/>
          <w:bCs/>
          <w:sz w:val="24"/>
          <w:szCs w:val="20"/>
          <w:lang w:eastAsia="pl-PL"/>
        </w:rPr>
        <w:t>20 maja 2010 r. o wyrobach medycznych</w:t>
      </w:r>
      <w:r>
        <w:rPr>
          <w:rFonts w:ascii="Times" w:eastAsia="Times New Roman" w:hAnsi="Times" w:cs="Arial"/>
          <w:bCs/>
          <w:sz w:val="24"/>
          <w:szCs w:val="20"/>
          <w:lang w:eastAsia="pl-PL"/>
        </w:rPr>
        <w:t>, który wejdzie w życie z dniem 26 maja 2022 r.;</w:t>
      </w:r>
    </w:p>
    <w:p w:rsidR="00DD03D0" w:rsidRPr="000D5709" w:rsidRDefault="00DD03D0" w:rsidP="00DD03D0">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3)</w:t>
      </w:r>
      <w:r>
        <w:rPr>
          <w:rFonts w:ascii="Times" w:eastAsia="Times New Roman" w:hAnsi="Times" w:cs="Arial"/>
          <w:bCs/>
          <w:sz w:val="24"/>
          <w:szCs w:val="20"/>
          <w:lang w:eastAsia="pl-PL"/>
        </w:rPr>
        <w:tab/>
      </w:r>
      <w:r w:rsidRPr="000D5709">
        <w:rPr>
          <w:rFonts w:ascii="Times" w:eastAsia="Times New Roman" w:hAnsi="Times" w:cs="Arial"/>
          <w:bCs/>
          <w:sz w:val="24"/>
          <w:szCs w:val="20"/>
          <w:lang w:eastAsia="pl-PL"/>
        </w:rPr>
        <w:t xml:space="preserve">przepisów dotyczących tworzonych rejestrów wyrobów oraz dystrybutorów, które wejdą w życie </w:t>
      </w:r>
      <w:r w:rsidR="007712CD">
        <w:rPr>
          <w:rFonts w:ascii="Times" w:eastAsia="Times New Roman" w:hAnsi="Times" w:cs="Arial"/>
          <w:bCs/>
          <w:sz w:val="24"/>
          <w:szCs w:val="20"/>
          <w:lang w:eastAsia="pl-PL"/>
        </w:rPr>
        <w:t xml:space="preserve">z dniem </w:t>
      </w:r>
      <w:r w:rsidRPr="000D5709">
        <w:rPr>
          <w:rFonts w:ascii="Times" w:eastAsia="Times New Roman" w:hAnsi="Times" w:cs="Arial"/>
          <w:bCs/>
          <w:sz w:val="24"/>
          <w:szCs w:val="20"/>
          <w:lang w:eastAsia="pl-PL"/>
        </w:rPr>
        <w:t>1 stycznia 2023 r., z uwagi na konieczność stworzenia systemów elektronicznych niezbędnych do realizacji tych zadań.</w:t>
      </w:r>
    </w:p>
    <w:p w:rsidR="00DD03D0" w:rsidRDefault="00DD03D0" w:rsidP="00DD03D0">
      <w:pPr>
        <w:pStyle w:val="ARTartustawynprozporzdzenia"/>
      </w:pPr>
      <w:r>
        <w:t xml:space="preserve">Rozporządzenie 2017/745 jest stosowane od dnia 26 maja 2021 r. i częściowo </w:t>
      </w:r>
      <w:r w:rsidR="00016C25">
        <w:t>zastąpiło</w:t>
      </w:r>
      <w:r>
        <w:t xml:space="preserve"> ustaw</w:t>
      </w:r>
      <w:r w:rsidR="009A5BB1">
        <w:t>ę</w:t>
      </w:r>
      <w:r>
        <w:t xml:space="preserve"> z dnia 20 maja 2010 r. o wyrobach medycznych. Oznacza to, że już obecnie Urząd działa w oparciu o to rozporządzenie i w obrocie znajdują się wyroby medyczne wprowadzone zgodnie z nim. Tym samym nie jest konieczne określanie dłuższych okresów przejściowych, za wyjątkiem przypadków wskazanych powyżej, ponieważ już obecnie podmioty funkcjonujące na rynku wyrobów medycznych musiały się do niego dostosować.</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 xml:space="preserve">Projekt nie nakłada obowiązków o charakterze majątkowym na </w:t>
      </w:r>
      <w:proofErr w:type="spellStart"/>
      <w:r w:rsidRPr="000D5709">
        <w:rPr>
          <w:rFonts w:ascii="Times" w:eastAsia="Times New Roman" w:hAnsi="Times" w:cs="Arial"/>
          <w:bCs/>
          <w:sz w:val="24"/>
          <w:szCs w:val="20"/>
          <w:lang w:eastAsia="pl-PL"/>
        </w:rPr>
        <w:t>mikroprzedsiębiorców</w:t>
      </w:r>
      <w:proofErr w:type="spellEnd"/>
      <w:r w:rsidRPr="000D5709">
        <w:rPr>
          <w:rFonts w:ascii="Times" w:eastAsia="Times New Roman" w:hAnsi="Times" w:cs="Arial"/>
          <w:bCs/>
          <w:sz w:val="24"/>
          <w:szCs w:val="20"/>
          <w:lang w:eastAsia="pl-PL"/>
        </w:rPr>
        <w:t xml:space="preserve">, małych i średnich przedsiębiorców. Projekt będzie miał pozytywny wpływ na </w:t>
      </w:r>
      <w:proofErr w:type="spellStart"/>
      <w:r w:rsidRPr="000D5709">
        <w:rPr>
          <w:rFonts w:ascii="Times" w:eastAsia="Times New Roman" w:hAnsi="Times" w:cs="Arial"/>
          <w:bCs/>
          <w:sz w:val="24"/>
          <w:szCs w:val="20"/>
          <w:lang w:eastAsia="pl-PL"/>
        </w:rPr>
        <w:t>mikroprzedsiębiorców</w:t>
      </w:r>
      <w:proofErr w:type="spellEnd"/>
      <w:r w:rsidRPr="000D5709">
        <w:rPr>
          <w:rFonts w:ascii="Times" w:eastAsia="Times New Roman" w:hAnsi="Times" w:cs="Arial"/>
          <w:bCs/>
          <w:sz w:val="24"/>
          <w:szCs w:val="20"/>
          <w:lang w:eastAsia="pl-PL"/>
        </w:rPr>
        <w:t>, małych i średnich przedsiębiorców przez ograniczenie obowiązków administracyjnych przy wprowadzaniu wyrobów do obrotu, uregulowanie przepisów dotyczących działalności reklamowej oraz stworzenie systemu informatycznego zapewniającego dostęp do bazy wyrobów medycznych wprowadzonych do obrotu na terytorium Rzeczypospolitej Polskiej.</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sz w:val="24"/>
          <w:szCs w:val="20"/>
          <w:lang w:eastAsia="pl-PL"/>
        </w:rPr>
      </w:pPr>
      <w:r w:rsidRPr="000D5709">
        <w:rPr>
          <w:rFonts w:ascii="Times" w:eastAsia="Times New Roman" w:hAnsi="Times" w:cs="Arial"/>
          <w:sz w:val="24"/>
          <w:szCs w:val="20"/>
          <w:lang w:eastAsia="pl-PL"/>
        </w:rPr>
        <w:t>Projekt jest zgodny z zasadą proporcjonalności i adekwatności. Przede wszystkim należy zwrócić uwagę, że zdecydowan</w:t>
      </w:r>
      <w:r w:rsidR="00945DA1">
        <w:rPr>
          <w:rFonts w:ascii="Times" w:eastAsia="Times New Roman" w:hAnsi="Times" w:cs="Arial"/>
          <w:sz w:val="24"/>
          <w:szCs w:val="20"/>
          <w:lang w:eastAsia="pl-PL"/>
        </w:rPr>
        <w:t>a</w:t>
      </w:r>
      <w:r w:rsidRPr="000D5709">
        <w:rPr>
          <w:rFonts w:ascii="Times" w:eastAsia="Times New Roman" w:hAnsi="Times" w:cs="Arial"/>
          <w:sz w:val="24"/>
          <w:szCs w:val="20"/>
          <w:lang w:eastAsia="pl-PL"/>
        </w:rPr>
        <w:t xml:space="preserve"> większość obowiązków</w:t>
      </w:r>
      <w:r w:rsidR="00945DA1" w:rsidRPr="000D5709">
        <w:rPr>
          <w:rFonts w:ascii="Times" w:eastAsia="Times New Roman" w:hAnsi="Times" w:cs="Arial"/>
          <w:sz w:val="24"/>
          <w:szCs w:val="20"/>
          <w:lang w:eastAsia="pl-PL"/>
        </w:rPr>
        <w:t xml:space="preserve"> została</w:t>
      </w:r>
      <w:r w:rsidRPr="000D5709">
        <w:rPr>
          <w:rFonts w:ascii="Times" w:eastAsia="Times New Roman" w:hAnsi="Times" w:cs="Arial"/>
          <w:sz w:val="24"/>
          <w:szCs w:val="20"/>
          <w:lang w:eastAsia="pl-PL"/>
        </w:rPr>
        <w:t xml:space="preserve"> na przedsiębiorców nałożona w rozporządzeni</w:t>
      </w:r>
      <w:r>
        <w:rPr>
          <w:rFonts w:ascii="Times" w:eastAsia="Times New Roman" w:hAnsi="Times" w:cs="Arial"/>
          <w:sz w:val="24"/>
          <w:szCs w:val="20"/>
          <w:lang w:eastAsia="pl-PL"/>
        </w:rPr>
        <w:t>u</w:t>
      </w:r>
      <w:r w:rsidRPr="000D5709">
        <w:rPr>
          <w:rFonts w:ascii="Times" w:eastAsia="Times New Roman" w:hAnsi="Times" w:cs="Arial"/>
          <w:sz w:val="24"/>
          <w:szCs w:val="20"/>
          <w:lang w:eastAsia="pl-PL"/>
        </w:rPr>
        <w:t xml:space="preserve"> 2017/745 oraz</w:t>
      </w:r>
      <w:r>
        <w:rPr>
          <w:rFonts w:ascii="Times" w:eastAsia="Times New Roman" w:hAnsi="Times" w:cs="Arial"/>
          <w:sz w:val="24"/>
          <w:szCs w:val="20"/>
          <w:lang w:eastAsia="pl-PL"/>
        </w:rPr>
        <w:t xml:space="preserve"> rozporządzeniu</w:t>
      </w:r>
      <w:r w:rsidRPr="000D5709">
        <w:rPr>
          <w:rFonts w:ascii="Times" w:eastAsia="Times New Roman" w:hAnsi="Times" w:cs="Arial"/>
          <w:sz w:val="24"/>
          <w:szCs w:val="20"/>
          <w:lang w:eastAsia="pl-PL"/>
        </w:rPr>
        <w:t xml:space="preserve"> 2017/746. Rozporządzenia te nakładają również na państwa członkowskie obowiązek ustawowego uregulowania lub doprecyzowania niektórych zagadnień. W zakresie obowiązków nałożonych bezpośrednio przez ustawę </w:t>
      </w:r>
      <w:r>
        <w:rPr>
          <w:rFonts w:ascii="Times" w:eastAsia="Times New Roman" w:hAnsi="Times" w:cs="Arial"/>
          <w:sz w:val="24"/>
          <w:szCs w:val="20"/>
          <w:lang w:eastAsia="pl-PL"/>
        </w:rPr>
        <w:t xml:space="preserve">zauważyć należy, że </w:t>
      </w:r>
      <w:r w:rsidRPr="000D5709">
        <w:rPr>
          <w:rFonts w:ascii="Times" w:eastAsia="Times New Roman" w:hAnsi="Times" w:cs="Arial"/>
          <w:sz w:val="24"/>
          <w:szCs w:val="20"/>
          <w:lang w:eastAsia="pl-PL"/>
        </w:rPr>
        <w:t xml:space="preserve">są one niezbędne dla zapewnienia prawidłowego nadzoru nad wyrobami oraz przeciwdziałania nieetycznym zjawiskom w zakresie prowadzenia reklamy, a równocześnie uzasadnione jest to nadrzędnym interesem publicznym ochrony życia i zdrowia publicznego. </w:t>
      </w:r>
    </w:p>
    <w:p w:rsidR="00DD03D0" w:rsidRPr="000D5709" w:rsidRDefault="00DD03D0" w:rsidP="00DD03D0">
      <w:pPr>
        <w:suppressAutoHyphens/>
        <w:autoSpaceDE w:val="0"/>
        <w:autoSpaceDN w:val="0"/>
        <w:adjustRightInd w:val="0"/>
        <w:spacing w:before="120" w:after="0" w:line="360" w:lineRule="auto"/>
        <w:ind w:firstLine="510"/>
        <w:jc w:val="both"/>
        <w:rPr>
          <w:rFonts w:ascii="Times" w:eastAsia="Times New Roman" w:hAnsi="Times" w:cs="Arial"/>
          <w:bCs/>
          <w:sz w:val="24"/>
          <w:szCs w:val="20"/>
          <w:lang w:eastAsia="pl-PL"/>
        </w:rPr>
      </w:pPr>
      <w:r w:rsidRPr="000D5709">
        <w:rPr>
          <w:rFonts w:ascii="Times" w:eastAsia="Times New Roman" w:hAnsi="Times" w:cs="Arial"/>
          <w:bCs/>
          <w:sz w:val="24"/>
          <w:szCs w:val="20"/>
          <w:lang w:eastAsia="pl-PL"/>
        </w:rPr>
        <w:t>Projekt wymaga notyfikacji w rozumieniu przepisów rozporządzenia Rady Ministrów z dnia 23 grudnia 2002 r. w sprawie sposobu funkcjonowania krajowego systemu notyfikacji norm i aktów prawnych (Dz. U. poz. 2039 oraz z 2004 r. poz. 597).</w:t>
      </w:r>
    </w:p>
    <w:p w:rsidR="00DD03D0" w:rsidRDefault="00DD03D0" w:rsidP="00DD03D0">
      <w:pPr>
        <w:suppressAutoHyphens/>
        <w:autoSpaceDE w:val="0"/>
        <w:autoSpaceDN w:val="0"/>
        <w:adjustRightInd w:val="0"/>
        <w:spacing w:before="120" w:after="0" w:line="360" w:lineRule="auto"/>
        <w:ind w:firstLine="510"/>
        <w:jc w:val="both"/>
      </w:pPr>
      <w:r w:rsidRPr="000D5709">
        <w:rPr>
          <w:rFonts w:ascii="Times" w:eastAsia="Times New Roman" w:hAnsi="Times" w:cs="Arial"/>
          <w:bCs/>
          <w:sz w:val="24"/>
          <w:szCs w:val="20"/>
          <w:lang w:eastAsia="pl-PL"/>
        </w:rPr>
        <w:lastRenderedPageBreak/>
        <w:t>Projekt nie wymaga przedstawienia właściwym organom i instytucjom Unii Europejskiej, w tym Europejskiemu Bankowi Centralnemu, w celu uzyskania opinii, dokonania powiadomienia, konsultacji albo uzgodnienia.</w:t>
      </w:r>
      <w:r>
        <w:rPr>
          <w:rFonts w:ascii="Times" w:eastAsia="Times New Roman" w:hAnsi="Times" w:cs="Arial"/>
          <w:bCs/>
          <w:sz w:val="24"/>
          <w:szCs w:val="20"/>
          <w:lang w:eastAsia="pl-PL"/>
        </w:rPr>
        <w:t xml:space="preserve"> </w:t>
      </w:r>
      <w:r w:rsidRPr="000D5709">
        <w:rPr>
          <w:rFonts w:ascii="Times" w:eastAsia="Times New Roman" w:hAnsi="Times" w:cs="Arial"/>
          <w:bCs/>
          <w:sz w:val="24"/>
          <w:szCs w:val="20"/>
          <w:lang w:eastAsia="pl-PL"/>
        </w:rPr>
        <w:t xml:space="preserve">Projekt </w:t>
      </w:r>
      <w:r>
        <w:rPr>
          <w:rFonts w:ascii="Times" w:eastAsia="Times New Roman" w:hAnsi="Times" w:cs="Arial"/>
          <w:bCs/>
          <w:sz w:val="24"/>
          <w:szCs w:val="20"/>
          <w:lang w:eastAsia="pl-PL"/>
        </w:rPr>
        <w:t>ustawy</w:t>
      </w:r>
      <w:r w:rsidRPr="000D5709">
        <w:rPr>
          <w:rFonts w:ascii="Times" w:eastAsia="Times New Roman" w:hAnsi="Times" w:cs="Arial"/>
          <w:bCs/>
          <w:sz w:val="24"/>
          <w:szCs w:val="20"/>
          <w:lang w:eastAsia="pl-PL"/>
        </w:rPr>
        <w:t xml:space="preserve"> jest zgodny z prawem Unii Europejskiej.</w:t>
      </w:r>
    </w:p>
    <w:p w:rsidR="00EF479A" w:rsidRDefault="00EF479A"/>
    <w:sectPr w:rsidR="00EF479A" w:rsidSect="00DD03D0">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0C82" w:rsidRDefault="005E0C82" w:rsidP="00DD03D0">
      <w:pPr>
        <w:spacing w:after="0" w:line="240" w:lineRule="auto"/>
      </w:pPr>
      <w:r>
        <w:separator/>
      </w:r>
    </w:p>
  </w:endnote>
  <w:endnote w:type="continuationSeparator" w:id="0">
    <w:p w:rsidR="005E0C82" w:rsidRDefault="005E0C82" w:rsidP="00DD0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2E0" w:rsidRDefault="00DF12E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2E0" w:rsidRDefault="00DF12E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2E0" w:rsidRDefault="00DF12E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0C82" w:rsidRDefault="005E0C82" w:rsidP="00DD03D0">
      <w:pPr>
        <w:spacing w:after="0" w:line="240" w:lineRule="auto"/>
      </w:pPr>
      <w:r>
        <w:separator/>
      </w:r>
    </w:p>
  </w:footnote>
  <w:footnote w:type="continuationSeparator" w:id="0">
    <w:p w:rsidR="005E0C82" w:rsidRDefault="005E0C82" w:rsidP="00DD0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2E0" w:rsidRDefault="00DF12E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0" w:name="_GoBack" w:displacedByCustomXml="next"/>
  <w:sdt>
    <w:sdtPr>
      <w:rPr>
        <w:rFonts w:ascii="Times New Roman" w:hAnsi="Times New Roman" w:cs="Times New Roman"/>
        <w:sz w:val="24"/>
        <w:szCs w:val="24"/>
      </w:rPr>
      <w:id w:val="-276949831"/>
      <w:docPartObj>
        <w:docPartGallery w:val="Page Numbers (Top of Page)"/>
        <w:docPartUnique/>
      </w:docPartObj>
    </w:sdtPr>
    <w:sdtEndPr/>
    <w:sdtContent>
      <w:p w:rsidR="00DD03D0" w:rsidRPr="00DF12E0" w:rsidRDefault="00DD03D0">
        <w:pPr>
          <w:pStyle w:val="Nagwek"/>
          <w:jc w:val="center"/>
          <w:rPr>
            <w:rFonts w:ascii="Times New Roman" w:hAnsi="Times New Roman" w:cs="Times New Roman"/>
            <w:sz w:val="24"/>
            <w:szCs w:val="24"/>
          </w:rPr>
        </w:pPr>
        <w:r w:rsidRPr="00DF12E0">
          <w:rPr>
            <w:rFonts w:ascii="Times New Roman" w:hAnsi="Times New Roman" w:cs="Times New Roman"/>
            <w:sz w:val="24"/>
            <w:szCs w:val="24"/>
          </w:rPr>
          <w:t xml:space="preserve">– </w:t>
        </w:r>
        <w:r w:rsidRPr="00DF12E0">
          <w:rPr>
            <w:rFonts w:ascii="Times New Roman" w:hAnsi="Times New Roman" w:cs="Times New Roman"/>
            <w:sz w:val="24"/>
            <w:szCs w:val="24"/>
          </w:rPr>
          <w:fldChar w:fldCharType="begin"/>
        </w:r>
        <w:r w:rsidRPr="00DF12E0">
          <w:rPr>
            <w:rFonts w:ascii="Times New Roman" w:hAnsi="Times New Roman" w:cs="Times New Roman"/>
            <w:sz w:val="24"/>
            <w:szCs w:val="24"/>
          </w:rPr>
          <w:instrText>PAGE   \* MERGEFORMAT</w:instrText>
        </w:r>
        <w:r w:rsidRPr="00DF12E0">
          <w:rPr>
            <w:rFonts w:ascii="Times New Roman" w:hAnsi="Times New Roman" w:cs="Times New Roman"/>
            <w:sz w:val="24"/>
            <w:szCs w:val="24"/>
          </w:rPr>
          <w:fldChar w:fldCharType="separate"/>
        </w:r>
        <w:r w:rsidR="00DF12E0">
          <w:rPr>
            <w:rFonts w:ascii="Times New Roman" w:hAnsi="Times New Roman" w:cs="Times New Roman"/>
            <w:noProof/>
            <w:sz w:val="24"/>
            <w:szCs w:val="24"/>
          </w:rPr>
          <w:t>2</w:t>
        </w:r>
        <w:r w:rsidRPr="00DF12E0">
          <w:rPr>
            <w:rFonts w:ascii="Times New Roman" w:hAnsi="Times New Roman" w:cs="Times New Roman"/>
            <w:sz w:val="24"/>
            <w:szCs w:val="24"/>
          </w:rPr>
          <w:fldChar w:fldCharType="end"/>
        </w:r>
        <w:r w:rsidRPr="00DF12E0">
          <w:rPr>
            <w:rFonts w:ascii="Times New Roman" w:hAnsi="Times New Roman" w:cs="Times New Roman"/>
            <w:sz w:val="24"/>
            <w:szCs w:val="24"/>
          </w:rPr>
          <w:t xml:space="preserve"> –</w:t>
        </w:r>
      </w:p>
    </w:sdtContent>
  </w:sdt>
  <w:bookmarkEnd w:id="0"/>
  <w:p w:rsidR="00DD03D0" w:rsidRDefault="00DD03D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12E0" w:rsidRDefault="00DF12E0">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3D0"/>
    <w:rsid w:val="00016C25"/>
    <w:rsid w:val="000449B1"/>
    <w:rsid w:val="0009290B"/>
    <w:rsid w:val="00104F92"/>
    <w:rsid w:val="001151F6"/>
    <w:rsid w:val="00134175"/>
    <w:rsid w:val="001422C6"/>
    <w:rsid w:val="001A7646"/>
    <w:rsid w:val="001E2FEE"/>
    <w:rsid w:val="00280C51"/>
    <w:rsid w:val="002B25B6"/>
    <w:rsid w:val="002D0B4C"/>
    <w:rsid w:val="00390C9A"/>
    <w:rsid w:val="004031AE"/>
    <w:rsid w:val="004A0AAF"/>
    <w:rsid w:val="005031D4"/>
    <w:rsid w:val="005357B5"/>
    <w:rsid w:val="00577CDE"/>
    <w:rsid w:val="005C45BA"/>
    <w:rsid w:val="005E0C82"/>
    <w:rsid w:val="005F56E2"/>
    <w:rsid w:val="006979C4"/>
    <w:rsid w:val="006B4E1F"/>
    <w:rsid w:val="006C17F7"/>
    <w:rsid w:val="00735A68"/>
    <w:rsid w:val="007712CD"/>
    <w:rsid w:val="0078484D"/>
    <w:rsid w:val="00886B93"/>
    <w:rsid w:val="00945DA1"/>
    <w:rsid w:val="00955FBA"/>
    <w:rsid w:val="00964B50"/>
    <w:rsid w:val="00986FA9"/>
    <w:rsid w:val="009A5BB1"/>
    <w:rsid w:val="009C52D0"/>
    <w:rsid w:val="009D4A4F"/>
    <w:rsid w:val="00A14C69"/>
    <w:rsid w:val="00A45D1C"/>
    <w:rsid w:val="00A52B64"/>
    <w:rsid w:val="00AB7F9E"/>
    <w:rsid w:val="00B17E1E"/>
    <w:rsid w:val="00BA4139"/>
    <w:rsid w:val="00BA51B7"/>
    <w:rsid w:val="00BC0DF8"/>
    <w:rsid w:val="00BF0460"/>
    <w:rsid w:val="00C34360"/>
    <w:rsid w:val="00C714CC"/>
    <w:rsid w:val="00C90128"/>
    <w:rsid w:val="00C951BE"/>
    <w:rsid w:val="00D72A07"/>
    <w:rsid w:val="00DC3197"/>
    <w:rsid w:val="00DD03D0"/>
    <w:rsid w:val="00DE4CC4"/>
    <w:rsid w:val="00DF12E0"/>
    <w:rsid w:val="00DF7891"/>
    <w:rsid w:val="00EE4850"/>
    <w:rsid w:val="00EF1A2D"/>
    <w:rsid w:val="00EF479A"/>
    <w:rsid w:val="00F40679"/>
    <w:rsid w:val="00FA2B0A"/>
    <w:rsid w:val="00FA3B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2ACC98-F76D-4F42-BF95-8F7232D42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D03D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KTpunkt">
    <w:name w:val="PKT – punkt"/>
    <w:uiPriority w:val="99"/>
    <w:qFormat/>
    <w:rsid w:val="00DD03D0"/>
    <w:pPr>
      <w:spacing w:after="0" w:line="360" w:lineRule="auto"/>
      <w:ind w:left="510" w:hanging="510"/>
      <w:jc w:val="both"/>
    </w:pPr>
    <w:rPr>
      <w:rFonts w:ascii="Times" w:eastAsia="Times New Roman" w:hAnsi="Times" w:cs="Arial"/>
      <w:bCs/>
      <w:sz w:val="24"/>
      <w:szCs w:val="20"/>
      <w:lang w:eastAsia="pl-PL"/>
    </w:rPr>
  </w:style>
  <w:style w:type="paragraph" w:customStyle="1" w:styleId="USTustnpkodeksu">
    <w:name w:val="UST(§) – ust. (§ np. kodeksu)"/>
    <w:basedOn w:val="ARTartustawynprozporzdzenia"/>
    <w:uiPriority w:val="12"/>
    <w:qFormat/>
    <w:rsid w:val="00DD03D0"/>
    <w:pPr>
      <w:spacing w:before="0"/>
    </w:pPr>
    <w:rPr>
      <w:bCs/>
    </w:rPr>
  </w:style>
  <w:style w:type="paragraph" w:customStyle="1" w:styleId="ARTartustawynprozporzdzenia">
    <w:name w:val="ART(§) – art. ustawy (§ np. rozporządzenia)"/>
    <w:uiPriority w:val="11"/>
    <w:qFormat/>
    <w:rsid w:val="00DD03D0"/>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D03D0"/>
    <w:rPr>
      <w:bCs/>
    </w:rPr>
  </w:style>
  <w:style w:type="paragraph" w:styleId="Nagwek">
    <w:name w:val="header"/>
    <w:basedOn w:val="Normalny"/>
    <w:link w:val="NagwekZnak"/>
    <w:uiPriority w:val="99"/>
    <w:unhideWhenUsed/>
    <w:rsid w:val="00DD03D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D03D0"/>
  </w:style>
  <w:style w:type="paragraph" w:styleId="Stopka">
    <w:name w:val="footer"/>
    <w:basedOn w:val="Normalny"/>
    <w:link w:val="StopkaZnak"/>
    <w:uiPriority w:val="99"/>
    <w:unhideWhenUsed/>
    <w:rsid w:val="00DD03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D03D0"/>
  </w:style>
  <w:style w:type="paragraph" w:styleId="Tekstdymka">
    <w:name w:val="Balloon Text"/>
    <w:basedOn w:val="Normalny"/>
    <w:link w:val="TekstdymkaZnak"/>
    <w:uiPriority w:val="99"/>
    <w:semiHidden/>
    <w:unhideWhenUsed/>
    <w:rsid w:val="009D4A4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4A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8897</Words>
  <Characters>53386</Characters>
  <Application>Microsoft Office Word</Application>
  <DocSecurity>0</DocSecurity>
  <Lines>444</Lines>
  <Paragraphs>124</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62159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Kołakowska Iwona</dc:creator>
  <cp:keywords/>
  <dc:description/>
  <cp:lastModifiedBy>Kołakowska Iwona</cp:lastModifiedBy>
  <cp:revision>4</cp:revision>
  <dcterms:created xsi:type="dcterms:W3CDTF">2021-10-25T08:58:00Z</dcterms:created>
  <dcterms:modified xsi:type="dcterms:W3CDTF">2021-10-25T09:47:00Z</dcterms:modified>
</cp:coreProperties>
</file>