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E72BA" w14:textId="44ABABDA" w:rsidR="00182372" w:rsidRDefault="00182372" w:rsidP="00182372">
      <w:pPr>
        <w:autoSpaceDE w:val="0"/>
        <w:autoSpaceDN w:val="0"/>
        <w:adjustRightInd w:val="0"/>
        <w:spacing w:after="0" w:line="360" w:lineRule="auto"/>
        <w:jc w:val="center"/>
        <w:rPr>
          <w:rFonts w:eastAsia="Calibri" w:cs="Times New Roman"/>
          <w:szCs w:val="24"/>
          <w:u w:val="single"/>
        </w:rPr>
      </w:pPr>
      <w:bookmarkStart w:id="0" w:name="_GoBack"/>
      <w:bookmarkEnd w:id="0"/>
      <w:r w:rsidRPr="00271D65">
        <w:rPr>
          <w:rFonts w:eastAsia="Calibri" w:cs="Times New Roman"/>
          <w:b/>
          <w:bCs/>
          <w:szCs w:val="24"/>
          <w:u w:val="single"/>
        </w:rPr>
        <w:t>Uzasadnienie</w:t>
      </w:r>
    </w:p>
    <w:p w14:paraId="11724828" w14:textId="6846EC83" w:rsidR="0051067B" w:rsidRDefault="0051067B" w:rsidP="00182372">
      <w:pPr>
        <w:autoSpaceDE w:val="0"/>
        <w:autoSpaceDN w:val="0"/>
        <w:adjustRightInd w:val="0"/>
        <w:spacing w:after="0" w:line="360" w:lineRule="auto"/>
        <w:jc w:val="center"/>
        <w:rPr>
          <w:rFonts w:eastAsia="Calibri" w:cs="Times New Roman"/>
          <w:szCs w:val="24"/>
          <w:u w:val="single"/>
        </w:rPr>
      </w:pPr>
    </w:p>
    <w:p w14:paraId="62133B71" w14:textId="0B0963F3" w:rsidR="004A367B" w:rsidRDefault="004A367B" w:rsidP="0051067B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  <w:u w:val="single"/>
        </w:rPr>
      </w:pPr>
      <w:r>
        <w:rPr>
          <w:rFonts w:eastAsia="Calibri" w:cs="Times New Roman"/>
          <w:szCs w:val="24"/>
          <w:u w:val="single"/>
        </w:rPr>
        <w:t>Najważniejsze założenia projektowanej ustawy:</w:t>
      </w:r>
    </w:p>
    <w:p w14:paraId="256A7C29" w14:textId="77777777" w:rsidR="004A367B" w:rsidRPr="004A367B" w:rsidRDefault="004A367B" w:rsidP="0051067B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  <w:u w:val="single"/>
        </w:rPr>
      </w:pPr>
    </w:p>
    <w:p w14:paraId="30B68CC6" w14:textId="41B93DB0" w:rsidR="004A367B" w:rsidRDefault="0051067B" w:rsidP="004A367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Oczywistym jest, że </w:t>
      </w:r>
      <w:r w:rsidR="00E833B7">
        <w:rPr>
          <w:rFonts w:eastAsia="Calibri" w:cs="Times New Roman"/>
          <w:szCs w:val="24"/>
        </w:rPr>
        <w:t>wzrost demograficzny stanowi podstawowy czynnik zapewnienia trwania społeczeństwa or</w:t>
      </w:r>
      <w:r w:rsidR="007C62E6">
        <w:rPr>
          <w:rFonts w:eastAsia="Calibri" w:cs="Times New Roman"/>
          <w:szCs w:val="24"/>
        </w:rPr>
        <w:t>a</w:t>
      </w:r>
      <w:r w:rsidR="00E833B7">
        <w:rPr>
          <w:rFonts w:eastAsia="Calibri" w:cs="Times New Roman"/>
          <w:szCs w:val="24"/>
        </w:rPr>
        <w:t xml:space="preserve">z jego rozwoju. Nie ma wątpliwości, że bez tzw. zastępowalności pokoleń </w:t>
      </w:r>
      <w:r w:rsidR="00640FD4">
        <w:rPr>
          <w:rFonts w:eastAsia="Calibri" w:cs="Times New Roman"/>
          <w:szCs w:val="24"/>
        </w:rPr>
        <w:t xml:space="preserve">warunkującej korzystną strukturę wiekową populacji </w:t>
      </w:r>
      <w:r w:rsidR="00E833B7">
        <w:rPr>
          <w:rFonts w:eastAsia="Calibri" w:cs="Times New Roman"/>
          <w:szCs w:val="24"/>
        </w:rPr>
        <w:t xml:space="preserve">w perspektywie kilkudziesięciu lat dochodzi do gwałtownego spadku ogólnej liczby ludności, a tym samym osób czynnych na rynku pracy, co z kolei stanowi chociażby poważne obciążenie dla systemu ubezpieczeń społecznych. Jednocześnie wzrost odsetka osób starszych w społeczeństwie </w:t>
      </w:r>
      <w:r w:rsidR="00EF3F87">
        <w:rPr>
          <w:rFonts w:eastAsia="Calibri" w:cs="Times New Roman"/>
          <w:szCs w:val="24"/>
        </w:rPr>
        <w:t xml:space="preserve">– nie rekompensowany adekwatnymi wskaźnikami dzietności – </w:t>
      </w:r>
      <w:r w:rsidR="00E833B7">
        <w:rPr>
          <w:rFonts w:eastAsia="Calibri" w:cs="Times New Roman"/>
          <w:szCs w:val="24"/>
        </w:rPr>
        <w:t>generuje szereg wyzwań, którym sprostanie wymaga odpowiednich zasobów ekonomicznych i osobowych. Do tego zaś konieczne jest zagwarantowanie wspomnianej „zastępowalności pokoleń”.</w:t>
      </w:r>
    </w:p>
    <w:p w14:paraId="75F3D2EB" w14:textId="28FB2928" w:rsidR="00E833B7" w:rsidRDefault="00FB4CFB" w:rsidP="004A367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J</w:t>
      </w:r>
      <w:r w:rsidR="00E833B7">
        <w:rPr>
          <w:rFonts w:eastAsia="Calibri" w:cs="Times New Roman"/>
          <w:szCs w:val="24"/>
        </w:rPr>
        <w:t>ak dowodzą statystyki i prognozy, bezpieczeństwo demograficzne Polski jest poważnie zagrożone.</w:t>
      </w:r>
      <w:r w:rsidR="0062185B">
        <w:rPr>
          <w:rFonts w:eastAsia="Calibri" w:cs="Times New Roman"/>
          <w:szCs w:val="24"/>
        </w:rPr>
        <w:t xml:space="preserve"> </w:t>
      </w:r>
      <w:r w:rsidR="00FA195B">
        <w:rPr>
          <w:rFonts w:eastAsia="Calibri" w:cs="Times New Roman"/>
          <w:szCs w:val="24"/>
        </w:rPr>
        <w:t xml:space="preserve">Główny Urząd Statystyczny już w 2014 r. wskazywał, że </w:t>
      </w:r>
      <w:r w:rsidR="00951A35">
        <w:rPr>
          <w:rFonts w:eastAsia="Calibri" w:cs="Times New Roman"/>
          <w:szCs w:val="24"/>
        </w:rPr>
        <w:t>w 2050 r. liczba ludności Polski – w porównaniu do roku 2013 – zmniejszy się o 12%, tj. 4,55 mln. W ślad za tym podążą poważne zmiany w strukturze populacji: osoby powyżej 65. roku życia będą stanowić aż 1/3 wszystkich mieszkańców Polski</w:t>
      </w:r>
      <w:r w:rsidR="00951A35">
        <w:rPr>
          <w:rStyle w:val="Odwoanieprzypisudolnego"/>
          <w:rFonts w:eastAsia="Calibri" w:cs="Times New Roman"/>
          <w:szCs w:val="24"/>
        </w:rPr>
        <w:footnoteReference w:id="1"/>
      </w:r>
      <w:r w:rsidR="00951A35">
        <w:rPr>
          <w:rFonts w:eastAsia="Calibri" w:cs="Times New Roman"/>
          <w:szCs w:val="24"/>
        </w:rPr>
        <w:t>.</w:t>
      </w:r>
      <w:r>
        <w:rPr>
          <w:rFonts w:eastAsia="Calibri" w:cs="Times New Roman"/>
          <w:szCs w:val="24"/>
        </w:rPr>
        <w:t xml:space="preserve"> Niestety, takie programy, jak </w:t>
      </w:r>
      <w:r w:rsidR="001E4C85">
        <w:rPr>
          <w:rFonts w:eastAsia="Calibri" w:cs="Times New Roman"/>
          <w:szCs w:val="24"/>
        </w:rPr>
        <w:t>„500+” nie doprowadziły do znaczącego zwiększenia się poziomu dzietności w Polsce</w:t>
      </w:r>
      <w:r w:rsidR="00EF3F87">
        <w:rPr>
          <w:rFonts w:eastAsia="Calibri" w:cs="Times New Roman"/>
          <w:szCs w:val="24"/>
        </w:rPr>
        <w:t>,</w:t>
      </w:r>
      <w:r w:rsidR="00951A35">
        <w:rPr>
          <w:rFonts w:eastAsia="Calibri" w:cs="Times New Roman"/>
          <w:szCs w:val="24"/>
        </w:rPr>
        <w:t xml:space="preserve"> </w:t>
      </w:r>
      <w:r w:rsidR="00EF3F87">
        <w:rPr>
          <w:rFonts w:eastAsia="Calibri" w:cs="Times New Roman"/>
          <w:szCs w:val="24"/>
        </w:rPr>
        <w:t>choć w jakimś stopniu wyhamowały prognozowany spadek liczby urodze</w:t>
      </w:r>
      <w:r w:rsidR="009B3490">
        <w:rPr>
          <w:rFonts w:eastAsia="Calibri" w:cs="Times New Roman"/>
          <w:szCs w:val="24"/>
        </w:rPr>
        <w:t>ń. Ś</w:t>
      </w:r>
      <w:r w:rsidR="00EF3F87">
        <w:rPr>
          <w:rFonts w:eastAsia="Calibri" w:cs="Times New Roman"/>
          <w:szCs w:val="24"/>
        </w:rPr>
        <w:t>wiadcze</w:t>
      </w:r>
      <w:r w:rsidR="00B270EF">
        <w:rPr>
          <w:rFonts w:eastAsia="Calibri" w:cs="Times New Roman"/>
          <w:szCs w:val="24"/>
        </w:rPr>
        <w:t xml:space="preserve">nie to, </w:t>
      </w:r>
      <w:r w:rsidR="00EF3F87">
        <w:rPr>
          <w:rFonts w:eastAsia="Calibri" w:cs="Times New Roman"/>
          <w:szCs w:val="24"/>
        </w:rPr>
        <w:t xml:space="preserve">zdecydowanie zwiększające poziom bezpieczeństwa finansowego polskich rodzin, </w:t>
      </w:r>
      <w:r w:rsidR="00B270EF">
        <w:rPr>
          <w:rFonts w:eastAsia="Calibri" w:cs="Times New Roman"/>
          <w:szCs w:val="24"/>
        </w:rPr>
        <w:t>ma wymiar godnościowy i jak dotąd wywiera</w:t>
      </w:r>
      <w:r w:rsidR="00EF3F87">
        <w:rPr>
          <w:rFonts w:eastAsia="Calibri" w:cs="Times New Roman"/>
          <w:szCs w:val="24"/>
        </w:rPr>
        <w:t xml:space="preserve"> przede wszystkim efekt socjalny. Warto przy tym zaznaczyć, że świadomość konieczności wypracowania spójnej, kompleksowej i długofalowej polityki w zakresie demografii jest komunikowana i podnoszona przez przedstawicieli instytucji rządowych</w:t>
      </w:r>
      <w:r w:rsidR="00EF3F87">
        <w:rPr>
          <w:rStyle w:val="Odwoanieprzypisudolnego"/>
          <w:rFonts w:eastAsia="Calibri" w:cs="Times New Roman"/>
          <w:szCs w:val="24"/>
        </w:rPr>
        <w:footnoteReference w:id="2"/>
      </w:r>
      <w:r w:rsidR="00EF3F87">
        <w:rPr>
          <w:rFonts w:eastAsia="Calibri" w:cs="Times New Roman"/>
          <w:szCs w:val="24"/>
        </w:rPr>
        <w:t xml:space="preserve">, czego dobrym przykładem jest </w:t>
      </w:r>
      <w:r w:rsidR="00EF3F87" w:rsidRPr="00444323">
        <w:rPr>
          <w:rFonts w:eastAsia="Calibri" w:cs="Times New Roman"/>
          <w:szCs w:val="24"/>
        </w:rPr>
        <w:t>konsultowany aktualnie projekt Strategii Demograficznej 2040</w:t>
      </w:r>
      <w:r w:rsidR="00EF3F87" w:rsidRPr="00444323">
        <w:rPr>
          <w:rFonts w:eastAsia="Calibri" w:cs="Times New Roman"/>
          <w:szCs w:val="24"/>
          <w:vertAlign w:val="superscript"/>
        </w:rPr>
        <w:footnoteReference w:id="3"/>
      </w:r>
      <w:r w:rsidR="00EF3F87">
        <w:rPr>
          <w:rFonts w:eastAsia="Calibri" w:cs="Times New Roman"/>
          <w:szCs w:val="24"/>
        </w:rPr>
        <w:t xml:space="preserve">. Doceniając wagę tego dokumentu, należy podobnie, jak jego autorzy, zwrócić uwagę na potrzebę i efektywność działań prodemograficznych, prowadzonych w sposób długofalowy i kompleksowy, co potwierdzają doświadczenia takich państw jak Francja, Szwecja, czy Węgry.  </w:t>
      </w:r>
      <w:r w:rsidR="00EF3F87">
        <w:rPr>
          <w:rFonts w:eastAsia="Calibri" w:cs="Times New Roman"/>
          <w:szCs w:val="24"/>
        </w:rPr>
        <w:lastRenderedPageBreak/>
        <w:t>Oznacza to, m.in. że osiągnięcie celów demograficznych  możliwe jest jedynie w oparciu o rzetelne i wszechstronne badania naukowe oraz wielowymiarowe działania prowadzone w sposób ciągły i konsekwentny – a więc zapewniający bieżące monitorowanie trendów związanych z szeroko pojętą demografią oraz wypracowywanie odpowiednich rekomendacji w celu przeciwdziałania występowaniu negatywnych zjawisk w tym obszarze.</w:t>
      </w:r>
      <w:r w:rsidR="007C62E6">
        <w:rPr>
          <w:rFonts w:eastAsia="Calibri" w:cs="Times New Roman"/>
          <w:szCs w:val="24"/>
        </w:rPr>
        <w:t xml:space="preserve"> </w:t>
      </w:r>
    </w:p>
    <w:p w14:paraId="6DAFCFCF" w14:textId="42F3CA80" w:rsidR="00E833B7" w:rsidRDefault="001E4C85" w:rsidP="004D25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O</w:t>
      </w:r>
      <w:r w:rsidR="00E833B7">
        <w:rPr>
          <w:rFonts w:eastAsia="Calibri" w:cs="Times New Roman"/>
          <w:szCs w:val="24"/>
        </w:rPr>
        <w:t>becnie w Polsce nie</w:t>
      </w:r>
      <w:r w:rsidR="00D1149F">
        <w:rPr>
          <w:rFonts w:eastAsia="Calibri" w:cs="Times New Roman"/>
          <w:szCs w:val="24"/>
        </w:rPr>
        <w:t xml:space="preserve"> </w:t>
      </w:r>
      <w:r w:rsidR="00E833B7">
        <w:rPr>
          <w:rFonts w:eastAsia="Calibri" w:cs="Times New Roman"/>
          <w:szCs w:val="24"/>
        </w:rPr>
        <w:t>istnie</w:t>
      </w:r>
      <w:r w:rsidR="00022D1F">
        <w:rPr>
          <w:rFonts w:eastAsia="Calibri" w:cs="Times New Roman"/>
          <w:szCs w:val="24"/>
        </w:rPr>
        <w:t>je</w:t>
      </w:r>
      <w:r w:rsidR="00E833B7">
        <w:rPr>
          <w:rFonts w:eastAsia="Calibri" w:cs="Times New Roman"/>
          <w:szCs w:val="24"/>
        </w:rPr>
        <w:t xml:space="preserve"> instytucja zajmująca się w sposób kompleksowy badaniem zjawisk demograficznych – zwłaszcza niskiej dzietności</w:t>
      </w:r>
      <w:r w:rsidR="001506F1">
        <w:rPr>
          <w:rFonts w:eastAsia="Calibri" w:cs="Times New Roman"/>
          <w:szCs w:val="24"/>
        </w:rPr>
        <w:t xml:space="preserve"> – ich wpływu na sytuację społeczeństwa oraz wypracowywaniem adekwatnych sposobów radzenia sobie z zaistniałą sytuacją</w:t>
      </w:r>
      <w:r w:rsidR="004D2515">
        <w:rPr>
          <w:rFonts w:eastAsia="Calibri" w:cs="Times New Roman"/>
          <w:szCs w:val="24"/>
        </w:rPr>
        <w:t xml:space="preserve"> (dobrym przykładem może tu być francuski INED – </w:t>
      </w:r>
      <w:r w:rsidR="004D2515" w:rsidRPr="00436946">
        <w:rPr>
          <w:rFonts w:eastAsia="Calibri" w:cs="Times New Roman"/>
          <w:szCs w:val="24"/>
        </w:rPr>
        <w:t>Narodowy Instytut Badań nad Demografią</w:t>
      </w:r>
      <w:r w:rsidR="004D2515">
        <w:rPr>
          <w:rFonts w:eastAsia="Calibri" w:cs="Times New Roman"/>
          <w:szCs w:val="24"/>
        </w:rPr>
        <w:t>, który założony został w 1945 roku)</w:t>
      </w:r>
      <w:r w:rsidR="001506F1">
        <w:rPr>
          <w:rFonts w:eastAsia="Calibri" w:cs="Times New Roman"/>
          <w:szCs w:val="24"/>
        </w:rPr>
        <w:t xml:space="preserve">. </w:t>
      </w:r>
      <w:r w:rsidR="004D2515">
        <w:rPr>
          <w:rFonts w:eastAsia="Calibri" w:cs="Times New Roman"/>
          <w:szCs w:val="24"/>
        </w:rPr>
        <w:t xml:space="preserve">Nie ma przy tym wątpliwości – zwłaszcza w świetle danych dotyczących polskiej demografii – że konieczność konsekwentnego kształtowania  skutecznej  strategii radzenia sobie z zaistniałym kryzysem jest pilnym zadaniem, od którego realizacji zależeć będzie przyszły poziom życia obecnych, jak i przyszłych pokoleń. </w:t>
      </w:r>
    </w:p>
    <w:p w14:paraId="1ACA674B" w14:textId="3E3CDEE6" w:rsidR="004A367B" w:rsidRDefault="004A367B" w:rsidP="004A367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W związku z tym istnieje konieczność powołania wyspecjalizowanej jednostki zajmującej się kompleksowymi studiami nad procesami zachodzącymi w sferze demografii</w:t>
      </w:r>
      <w:r w:rsidR="004D2515">
        <w:rPr>
          <w:rFonts w:eastAsia="Calibri" w:cs="Times New Roman"/>
          <w:szCs w:val="24"/>
        </w:rPr>
        <w:t xml:space="preserve"> w jej społeczno-kulturowym kontekście, </w:t>
      </w:r>
      <w:r>
        <w:rPr>
          <w:rFonts w:eastAsia="Calibri" w:cs="Times New Roman"/>
          <w:szCs w:val="24"/>
        </w:rPr>
        <w:t xml:space="preserve">której zostanie zagwarantowany odpowiedni stopień niezależności od czynników związanych z prowadzeniem bieżącej </w:t>
      </w:r>
      <w:r w:rsidR="00053460">
        <w:rPr>
          <w:rFonts w:eastAsia="Calibri" w:cs="Times New Roman"/>
          <w:szCs w:val="24"/>
        </w:rPr>
        <w:t xml:space="preserve">działalności </w:t>
      </w:r>
      <w:r>
        <w:rPr>
          <w:rFonts w:eastAsia="Calibri" w:cs="Times New Roman"/>
          <w:szCs w:val="24"/>
        </w:rPr>
        <w:t>polit</w:t>
      </w:r>
      <w:r w:rsidR="00053460">
        <w:rPr>
          <w:rFonts w:eastAsia="Calibri" w:cs="Times New Roman"/>
          <w:szCs w:val="24"/>
        </w:rPr>
        <w:t>ycznej</w:t>
      </w:r>
      <w:r>
        <w:rPr>
          <w:rFonts w:eastAsia="Calibri" w:cs="Times New Roman"/>
          <w:szCs w:val="24"/>
        </w:rPr>
        <w:t xml:space="preserve">. </w:t>
      </w:r>
    </w:p>
    <w:p w14:paraId="5F605882" w14:textId="6180A9A6" w:rsidR="00C015C7" w:rsidRDefault="004A367B" w:rsidP="00C015C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Prezentowany projekt ustawy zakłada powołanie </w:t>
      </w:r>
      <w:r w:rsidR="00053460">
        <w:rPr>
          <w:rFonts w:eastAsia="Calibri" w:cs="Times New Roman"/>
          <w:szCs w:val="24"/>
        </w:rPr>
        <w:t xml:space="preserve">nowej </w:t>
      </w:r>
      <w:r>
        <w:rPr>
          <w:rFonts w:eastAsia="Calibri" w:cs="Times New Roman"/>
          <w:szCs w:val="24"/>
        </w:rPr>
        <w:t>instytucji publicznej – w formie państwowej osoby prawnej – odpowiadającej na wskazane powyżej wyzwania, zwłaszcza w zakresie prowadzenia badań naukowych nad demografią oraz wypracowywanie odpowiednich rekomendacji z nich wynikających</w:t>
      </w:r>
      <w:r w:rsidR="00AF006A">
        <w:rPr>
          <w:rFonts w:eastAsia="Calibri" w:cs="Times New Roman"/>
          <w:szCs w:val="24"/>
        </w:rPr>
        <w:t>, jednocześnie wyposażonej w duży stopień niezależności od organów władzy wykonawczej, z natury rzeczy obsadzanych w wyniku decyzji o charakterze politycznym.</w:t>
      </w:r>
      <w:r w:rsidR="00C015C7">
        <w:rPr>
          <w:rFonts w:eastAsia="Calibri" w:cs="Times New Roman"/>
          <w:szCs w:val="24"/>
        </w:rPr>
        <w:t xml:space="preserve"> </w:t>
      </w:r>
    </w:p>
    <w:p w14:paraId="0B51BB1D" w14:textId="14D6FD18" w:rsidR="004A367B" w:rsidRPr="0051067B" w:rsidRDefault="00C015C7" w:rsidP="00C015C7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W związku z powyższym</w:t>
      </w:r>
      <w:r w:rsidR="00620C41">
        <w:rPr>
          <w:rFonts w:eastAsia="Calibri" w:cs="Times New Roman"/>
          <w:szCs w:val="24"/>
        </w:rPr>
        <w:t xml:space="preserve"> powoływany</w:t>
      </w:r>
      <w:r>
        <w:rPr>
          <w:rFonts w:eastAsia="Calibri" w:cs="Times New Roman"/>
          <w:szCs w:val="24"/>
        </w:rPr>
        <w:t xml:space="preserve"> Polski Instytut Rodziny i Demografii łączy w sobie cechy instytutów badawczych funkcjonujących obecnie w Rzeczypospolitej Polskiej, z rozwiązaniami charakterystycznymi dla </w:t>
      </w:r>
      <w:r w:rsidR="007C7AA5">
        <w:rPr>
          <w:rFonts w:eastAsia="Calibri" w:cs="Times New Roman"/>
          <w:szCs w:val="24"/>
        </w:rPr>
        <w:t>jednostek państwowych wyposażonych w różnego rodzaju gwarancje autonomii</w:t>
      </w:r>
      <w:r w:rsidR="0085440A">
        <w:rPr>
          <w:rFonts w:eastAsia="Calibri" w:cs="Times New Roman"/>
          <w:szCs w:val="24"/>
        </w:rPr>
        <w:t xml:space="preserve">, takich jak Instytut Pamięci Narodowej – Komisja Badania Zbrodni przeciwko Narodowi Polskiemu. </w:t>
      </w:r>
    </w:p>
    <w:p w14:paraId="1A321EE9" w14:textId="0129F263" w:rsidR="00182372" w:rsidRDefault="00182372" w:rsidP="00182372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</w:rPr>
      </w:pPr>
    </w:p>
    <w:p w14:paraId="41446A00" w14:textId="5B1459B1" w:rsidR="004A367B" w:rsidRDefault="004A367B" w:rsidP="00182372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  <w:u w:val="single"/>
        </w:rPr>
      </w:pPr>
      <w:r>
        <w:rPr>
          <w:rFonts w:eastAsia="Calibri" w:cs="Times New Roman"/>
          <w:szCs w:val="24"/>
          <w:u w:val="single"/>
        </w:rPr>
        <w:t>Uzasadnienie do szczegółowych rozwiązań</w:t>
      </w:r>
    </w:p>
    <w:p w14:paraId="36C1C793" w14:textId="08FF49FF" w:rsidR="004A367B" w:rsidRDefault="004A367B" w:rsidP="00182372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</w:rPr>
      </w:pPr>
      <w:bookmarkStart w:id="1" w:name="_Hlk53394755"/>
    </w:p>
    <w:bookmarkEnd w:id="1"/>
    <w:p w14:paraId="79EB6375" w14:textId="74F8B3BE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</w:rPr>
      </w:pPr>
      <w:r w:rsidRPr="001E4C85">
        <w:rPr>
          <w:rFonts w:eastAsia="Calibri" w:cs="Times New Roman"/>
          <w:szCs w:val="24"/>
        </w:rPr>
        <w:tab/>
        <w:t xml:space="preserve">Na mocy przedkładanego projektu ustawy planuje się powołanie Polskiego Instytutu Rodziny i Demografii, będącego państwową osobą prawną (art. 2 ust. 1), finansowaną z </w:t>
      </w:r>
      <w:r w:rsidRPr="001E4C85">
        <w:rPr>
          <w:rFonts w:eastAsia="Calibri" w:cs="Times New Roman"/>
          <w:szCs w:val="24"/>
        </w:rPr>
        <w:lastRenderedPageBreak/>
        <w:t xml:space="preserve">budżetu państwa (art. 2 ust. 3). Zadania Instytutu zostały </w:t>
      </w:r>
      <w:r w:rsidR="000A0741" w:rsidRPr="001E4C85">
        <w:rPr>
          <w:rFonts w:eastAsia="Calibri" w:cs="Times New Roman"/>
          <w:szCs w:val="24"/>
        </w:rPr>
        <w:t>skatalogowan</w:t>
      </w:r>
      <w:r w:rsidR="000A0741">
        <w:rPr>
          <w:rFonts w:eastAsia="Calibri" w:cs="Times New Roman"/>
          <w:szCs w:val="24"/>
        </w:rPr>
        <w:t>e</w:t>
      </w:r>
      <w:r w:rsidR="000A0741" w:rsidRPr="001E4C85">
        <w:rPr>
          <w:rFonts w:eastAsia="Calibri" w:cs="Times New Roman"/>
          <w:szCs w:val="24"/>
        </w:rPr>
        <w:t xml:space="preserve"> </w:t>
      </w:r>
      <w:r w:rsidRPr="001E4C85">
        <w:rPr>
          <w:rFonts w:eastAsia="Calibri" w:cs="Times New Roman"/>
          <w:szCs w:val="24"/>
        </w:rPr>
        <w:t xml:space="preserve">w art. 3 projektu ustawy, w sposób umożliwiający zarówno kompleksowe badanie zjawisk demograficznych i związanych z nimi procesów oraz wypracowywanie rekomendacji </w:t>
      </w:r>
      <w:r w:rsidR="004D2515">
        <w:rPr>
          <w:rFonts w:eastAsia="Calibri" w:cs="Times New Roman"/>
          <w:szCs w:val="24"/>
        </w:rPr>
        <w:t xml:space="preserve">i narzędzi </w:t>
      </w:r>
      <w:r w:rsidRPr="001E4C85">
        <w:rPr>
          <w:rFonts w:eastAsia="Calibri" w:cs="Times New Roman"/>
          <w:szCs w:val="24"/>
        </w:rPr>
        <w:t xml:space="preserve">umożliwiających organom państwa prowadzenie odpowiedniej polityki w zakresie pojawiających się w tym zakresie wyzwań. </w:t>
      </w:r>
      <w:r w:rsidR="004D2515">
        <w:rPr>
          <w:rFonts w:eastAsia="Calibri" w:cs="Times New Roman"/>
          <w:szCs w:val="24"/>
        </w:rPr>
        <w:t xml:space="preserve">Koresponduje to z </w:t>
      </w:r>
      <w:bookmarkStart w:id="2" w:name="_Hlk80812888"/>
      <w:r w:rsidR="004D2515">
        <w:rPr>
          <w:rFonts w:eastAsia="Calibri" w:cs="Times New Roman"/>
          <w:szCs w:val="24"/>
        </w:rPr>
        <w:t>konsultowanym aktualnie projektem Strategii Demograficznej 2040</w:t>
      </w:r>
      <w:r w:rsidR="004D2515">
        <w:rPr>
          <w:rStyle w:val="Odwoanieprzypisudolnego"/>
          <w:rFonts w:eastAsia="Calibri" w:cs="Times New Roman"/>
          <w:szCs w:val="24"/>
        </w:rPr>
        <w:footnoteReference w:id="4"/>
      </w:r>
      <w:bookmarkEnd w:id="2"/>
      <w:r w:rsidR="004D2515">
        <w:rPr>
          <w:rFonts w:eastAsia="Calibri" w:cs="Times New Roman"/>
          <w:szCs w:val="24"/>
        </w:rPr>
        <w:t xml:space="preserve"> oraz ze Strategią na rzecz Odpowiedzialnego Rozwoju</w:t>
      </w:r>
      <w:r w:rsidR="004D2515">
        <w:rPr>
          <w:rStyle w:val="Odwoanieprzypisudolnego"/>
          <w:rFonts w:eastAsia="Calibri" w:cs="Times New Roman"/>
          <w:szCs w:val="24"/>
        </w:rPr>
        <w:footnoteReference w:id="5"/>
      </w:r>
      <w:r w:rsidR="004D2515">
        <w:rPr>
          <w:rFonts w:eastAsia="Calibri" w:cs="Times New Roman"/>
          <w:szCs w:val="24"/>
        </w:rPr>
        <w:t>, w której „pułapkę demograficzną” wskazano jako jedną z najważniejszych barier rozwojowych dla Polski w najbliższych dekadach. W tym kontekście, nie ma wątpliwości, że przeciwdziałanie niskiej dzietności musi zostać połączone z opracowywaniem i rozwijaniem odpowiedniej polityki prorodzinnej wraz z kształtowaniem adekwatnego kontekstu społeczno-kulturowego. W ten sposób, możliwe jest zagwarantowanie optymalnych warunków dla tworzenia i funkcjonowania rodzin, warunkujących zrodzenie i wychowanie kolejnych pokoleń, od których zależeć będzie kondycja i rozwój społeczno-gospodarczy Polski. W tym wymiarze, Instytut będzie ponadto odgrywał ważną rolę platformy współpracy i wymiany wiedzy, informacji i dobrych praktyk zarówno w wymiarze krajowym, jak i międzynarodowym.</w:t>
      </w:r>
      <w:r w:rsidR="008A434F">
        <w:rPr>
          <w:rFonts w:eastAsia="Calibri" w:cs="Times New Roman"/>
          <w:szCs w:val="24"/>
        </w:rPr>
        <w:t xml:space="preserve"> </w:t>
      </w:r>
    </w:p>
    <w:p w14:paraId="565378D0" w14:textId="302BCB74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</w:rPr>
      </w:pPr>
      <w:r w:rsidRPr="001E4C85">
        <w:rPr>
          <w:rFonts w:eastAsia="Calibri" w:cs="Times New Roman"/>
          <w:szCs w:val="24"/>
        </w:rPr>
        <w:tab/>
      </w:r>
      <w:r w:rsidR="008A434F">
        <w:rPr>
          <w:rFonts w:eastAsia="Calibri" w:cs="Times New Roman"/>
          <w:szCs w:val="24"/>
        </w:rPr>
        <w:t>W związku z tym d</w:t>
      </w:r>
      <w:r w:rsidRPr="001E4C85">
        <w:rPr>
          <w:rFonts w:eastAsia="Calibri" w:cs="Times New Roman"/>
          <w:szCs w:val="24"/>
        </w:rPr>
        <w:t xml:space="preserve">o najważniejszych zadań Instytutu </w:t>
      </w:r>
      <w:r>
        <w:rPr>
          <w:rFonts w:eastAsia="Calibri" w:cs="Times New Roman"/>
          <w:szCs w:val="24"/>
        </w:rPr>
        <w:t>z</w:t>
      </w:r>
      <w:r w:rsidRPr="001E4C85">
        <w:rPr>
          <w:rFonts w:eastAsia="Calibri" w:cs="Times New Roman"/>
          <w:szCs w:val="24"/>
        </w:rPr>
        <w:t>alic</w:t>
      </w:r>
      <w:r>
        <w:rPr>
          <w:rFonts w:eastAsia="Calibri" w:cs="Times New Roman"/>
          <w:szCs w:val="24"/>
        </w:rPr>
        <w:t>zono:</w:t>
      </w:r>
    </w:p>
    <w:p w14:paraId="5B4EA066" w14:textId="77777777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</w:rPr>
      </w:pPr>
      <w:r w:rsidRPr="001E4C85">
        <w:rPr>
          <w:rFonts w:eastAsia="Calibri" w:cs="Times New Roman"/>
          <w:szCs w:val="24"/>
        </w:rPr>
        <w:t xml:space="preserve">- </w:t>
      </w:r>
      <w:r w:rsidRPr="001E4C85">
        <w:rPr>
          <w:rFonts w:eastAsia="Calibri" w:cs="Times New Roman"/>
          <w:bCs/>
          <w:szCs w:val="24"/>
        </w:rPr>
        <w:t>gromadzenie, opracowywanie oraz udostępnianie organom władzy publicznej informacji o zjawiskach i procesach demograficznych, społecznych i kulturowych w Polsce</w:t>
      </w:r>
      <w:r w:rsidRPr="001E4C85">
        <w:rPr>
          <w:rFonts w:eastAsia="Calibri" w:cs="Times New Roman"/>
          <w:szCs w:val="24"/>
        </w:rPr>
        <w:t>;</w:t>
      </w:r>
    </w:p>
    <w:p w14:paraId="726C44EA" w14:textId="77777777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szCs w:val="24"/>
        </w:rPr>
        <w:t xml:space="preserve">- </w:t>
      </w:r>
      <w:r w:rsidRPr="001E4C85">
        <w:rPr>
          <w:rFonts w:eastAsia="Calibri" w:cs="Times New Roman"/>
          <w:bCs/>
          <w:szCs w:val="24"/>
        </w:rPr>
        <w:t>przygotowywanie analiz, ekspertyz i studiów prognostycznych;</w:t>
      </w:r>
    </w:p>
    <w:p w14:paraId="3E9CB95F" w14:textId="77777777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>- organizowanie i prowadzenie badań naukowych;</w:t>
      </w:r>
    </w:p>
    <w:p w14:paraId="1D804ECD" w14:textId="77777777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>- opiniowanie projektów ustaw i rozporządzeń pod względem ich wpływu na sytuację rodzin, dzietność oraz inne procesy demograficzne;</w:t>
      </w:r>
    </w:p>
    <w:p w14:paraId="5E5BC76B" w14:textId="10BB35AB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>- monitorowanie i analizowanie obszaru komunikacji społecznej oraz edukacji publicznej pod względem ich wpływu na pr</w:t>
      </w:r>
      <w:r w:rsidR="00D61433">
        <w:rPr>
          <w:rFonts w:eastAsia="Calibri" w:cs="Times New Roman"/>
          <w:bCs/>
          <w:szCs w:val="24"/>
        </w:rPr>
        <w:t>ocesy</w:t>
      </w:r>
      <w:r w:rsidRPr="001E4C85">
        <w:rPr>
          <w:rFonts w:eastAsia="Calibri" w:cs="Times New Roman"/>
          <w:bCs/>
          <w:szCs w:val="24"/>
        </w:rPr>
        <w:t xml:space="preserve"> w obszarze rodziny i demografii;</w:t>
      </w:r>
    </w:p>
    <w:p w14:paraId="01FE2F83" w14:textId="77777777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>- monitorowanie, ewaluacja oraz tworzenie rozwiązań polityki rodzinnej i demograficznej;</w:t>
      </w:r>
    </w:p>
    <w:p w14:paraId="0F716DB0" w14:textId="77777777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 xml:space="preserve">- prowadzenie różnorodnych form popularyzacji wiedzy zdobytej w ramach działalności Instytutu, w tym zwłaszcza poprzez podejmowanie działalności edukacyjnej i szkoleniowej. </w:t>
      </w:r>
    </w:p>
    <w:p w14:paraId="0D89BC27" w14:textId="5D10555B" w:rsid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ab/>
        <w:t>Polski Instytut Rodziny i Demografii – ze względu na wskazane powyżej czynniki – został pomyślany, jako instytucja niezależna od czynników wynikających z bieżącej działalności politycznej</w:t>
      </w:r>
      <w:r w:rsidR="004D2515">
        <w:rPr>
          <w:rFonts w:eastAsia="Calibri" w:cs="Times New Roman"/>
          <w:bCs/>
          <w:szCs w:val="24"/>
        </w:rPr>
        <w:t>, funkcjonująca w sposób ciągły i systematyczny</w:t>
      </w:r>
      <w:r w:rsidRPr="001E4C85">
        <w:rPr>
          <w:rFonts w:eastAsia="Calibri" w:cs="Times New Roman"/>
          <w:bCs/>
          <w:szCs w:val="24"/>
        </w:rPr>
        <w:t xml:space="preserve">. W tym celu kierowanie nim zostało powierzone Prezesowi (art. </w:t>
      </w:r>
      <w:r w:rsidR="008C36D4">
        <w:rPr>
          <w:rFonts w:eastAsia="Calibri" w:cs="Times New Roman"/>
          <w:bCs/>
          <w:szCs w:val="24"/>
        </w:rPr>
        <w:t>6</w:t>
      </w:r>
      <w:r w:rsidR="00A93B12" w:rsidRPr="001E4C85">
        <w:rPr>
          <w:rFonts w:eastAsia="Calibri" w:cs="Times New Roman"/>
          <w:bCs/>
          <w:szCs w:val="24"/>
        </w:rPr>
        <w:t xml:space="preserve"> </w:t>
      </w:r>
      <w:r w:rsidRPr="001E4C85">
        <w:rPr>
          <w:rFonts w:eastAsia="Calibri" w:cs="Times New Roman"/>
          <w:bCs/>
          <w:szCs w:val="24"/>
        </w:rPr>
        <w:t xml:space="preserve">ust. 1), wybieranemu przez Sejm Rzeczypospolitej Polskiej na wniosek Rady Instytutu (art. </w:t>
      </w:r>
      <w:r w:rsidR="008C36D4">
        <w:rPr>
          <w:rFonts w:eastAsia="Calibri" w:cs="Times New Roman"/>
          <w:bCs/>
          <w:szCs w:val="24"/>
        </w:rPr>
        <w:t>7</w:t>
      </w:r>
      <w:r w:rsidRPr="001E4C85">
        <w:rPr>
          <w:rFonts w:eastAsia="Calibri" w:cs="Times New Roman"/>
          <w:bCs/>
          <w:szCs w:val="24"/>
        </w:rPr>
        <w:t xml:space="preserve">). Poza tym w projekcie wprost </w:t>
      </w:r>
      <w:r w:rsidRPr="001E4C85">
        <w:rPr>
          <w:rFonts w:eastAsia="Calibri" w:cs="Times New Roman"/>
          <w:bCs/>
          <w:szCs w:val="24"/>
        </w:rPr>
        <w:lastRenderedPageBreak/>
        <w:t xml:space="preserve">zagwarantowano Prezesowi niezależność – w zakresie sprawowania swojego urzędu – od innych organów władzy publicznej (art. </w:t>
      </w:r>
      <w:r w:rsidR="008C36D4">
        <w:rPr>
          <w:rFonts w:eastAsia="Calibri" w:cs="Times New Roman"/>
          <w:bCs/>
          <w:szCs w:val="24"/>
        </w:rPr>
        <w:t>6</w:t>
      </w:r>
      <w:r w:rsidRPr="001E4C85">
        <w:rPr>
          <w:rFonts w:eastAsia="Calibri" w:cs="Times New Roman"/>
          <w:bCs/>
          <w:szCs w:val="24"/>
        </w:rPr>
        <w:t xml:space="preserve"> ust. 2), a więc zarówno szczebla rządowego, jak i samorządowego. </w:t>
      </w:r>
    </w:p>
    <w:p w14:paraId="3E21C2D7" w14:textId="2D1DDD60" w:rsidR="00707345" w:rsidRPr="001E4C85" w:rsidRDefault="0070734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ab/>
      </w:r>
      <w:r w:rsidR="00C75DD3">
        <w:rPr>
          <w:rFonts w:eastAsia="Calibri" w:cs="Times New Roman"/>
          <w:bCs/>
          <w:szCs w:val="24"/>
        </w:rPr>
        <w:t xml:space="preserve">W myśl projektu Prezes Instytutu </w:t>
      </w:r>
      <w:r w:rsidR="00E4759A">
        <w:rPr>
          <w:rFonts w:eastAsia="Calibri" w:cs="Times New Roman"/>
          <w:bCs/>
          <w:szCs w:val="24"/>
        </w:rPr>
        <w:t xml:space="preserve">zostanie wyposażony w uprawnienia charakterystyczne dla organu administracji publicznej. Dzięki temu zyska </w:t>
      </w:r>
      <w:r w:rsidR="004D2515">
        <w:rPr>
          <w:rFonts w:eastAsia="Calibri" w:cs="Times New Roman"/>
          <w:bCs/>
          <w:szCs w:val="24"/>
        </w:rPr>
        <w:t xml:space="preserve">także </w:t>
      </w:r>
      <w:r w:rsidR="007F7CF3">
        <w:rPr>
          <w:rFonts w:eastAsia="Calibri" w:cs="Times New Roman"/>
          <w:bCs/>
          <w:szCs w:val="24"/>
        </w:rPr>
        <w:t>niezbędne narzędzia</w:t>
      </w:r>
      <w:r w:rsidR="00E4759A">
        <w:rPr>
          <w:rFonts w:eastAsia="Calibri" w:cs="Times New Roman"/>
          <w:bCs/>
          <w:szCs w:val="24"/>
        </w:rPr>
        <w:t xml:space="preserve"> do realizacji zadań Instytutu w zakresie ochrony praw rodziny. W związku z tym Prezes Instytutu będzie uprawniony m.in. do udziału w stosownych postępowaniach</w:t>
      </w:r>
      <w:r w:rsidR="005626C6">
        <w:rPr>
          <w:rFonts w:eastAsia="Calibri" w:cs="Times New Roman"/>
          <w:bCs/>
          <w:szCs w:val="24"/>
        </w:rPr>
        <w:t xml:space="preserve">, </w:t>
      </w:r>
      <w:r w:rsidR="000D737D">
        <w:rPr>
          <w:rFonts w:eastAsia="Calibri" w:cs="Times New Roman"/>
          <w:bCs/>
          <w:szCs w:val="24"/>
        </w:rPr>
        <w:t xml:space="preserve">wnioskowania o </w:t>
      </w:r>
      <w:r w:rsidR="005626C6">
        <w:rPr>
          <w:rFonts w:eastAsia="Calibri" w:cs="Times New Roman"/>
          <w:bCs/>
          <w:szCs w:val="24"/>
        </w:rPr>
        <w:t xml:space="preserve">wystąpienie z inicjatywą ustawodawczą oraz </w:t>
      </w:r>
      <w:r w:rsidR="00516294">
        <w:rPr>
          <w:rFonts w:eastAsia="Calibri" w:cs="Times New Roman"/>
          <w:bCs/>
          <w:szCs w:val="24"/>
        </w:rPr>
        <w:t>inicjowania</w:t>
      </w:r>
      <w:r w:rsidR="000D737D">
        <w:rPr>
          <w:rFonts w:eastAsia="Calibri" w:cs="Times New Roman"/>
          <w:bCs/>
          <w:szCs w:val="24"/>
        </w:rPr>
        <w:t xml:space="preserve"> stosownych zmian w prawie miejscowym. </w:t>
      </w:r>
    </w:p>
    <w:p w14:paraId="7803EC05" w14:textId="56A772BA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ab/>
        <w:t>Jednocześnie projekt określa warunki, jakie musi spełniać osoba powołana na stanowisko Prezesa Instytutu (art.</w:t>
      </w:r>
      <w:r w:rsidR="00A93B12">
        <w:rPr>
          <w:rFonts w:eastAsia="Calibri" w:cs="Times New Roman"/>
          <w:bCs/>
          <w:szCs w:val="24"/>
        </w:rPr>
        <w:t xml:space="preserve"> </w:t>
      </w:r>
      <w:r w:rsidR="008C36D4">
        <w:rPr>
          <w:rFonts w:eastAsia="Calibri" w:cs="Times New Roman"/>
          <w:bCs/>
          <w:szCs w:val="24"/>
        </w:rPr>
        <w:t>9</w:t>
      </w:r>
      <w:r w:rsidRPr="001E4C85">
        <w:rPr>
          <w:rFonts w:eastAsia="Calibri" w:cs="Times New Roman"/>
          <w:bCs/>
          <w:szCs w:val="24"/>
        </w:rPr>
        <w:t>). Wśród najważniejszych należy wymienić posiadanie wyróżniających się kwalifikacji i doświadczenia z obszaru badań nad rodziną, polityką rodzinną i demograficzną oraz stopnia naukowego doktora, doktora habilitowanego lub tytułu naukowego profesora. Nie ma wątpliwości, że tego rodzaju kwalifikacje są niezbędne do kierowania instytucją mającą charakter przede wszystkim naukowy i edukacyjny. Poza tym,</w:t>
      </w:r>
      <w:r w:rsidR="004D2515">
        <w:rPr>
          <w:rFonts w:eastAsia="Calibri" w:cs="Times New Roman"/>
          <w:bCs/>
          <w:szCs w:val="24"/>
        </w:rPr>
        <w:t xml:space="preserve"> ze względu na szeroką autonomię</w:t>
      </w:r>
      <w:r w:rsidRPr="001E4C85">
        <w:rPr>
          <w:rFonts w:eastAsia="Calibri" w:cs="Times New Roman"/>
          <w:bCs/>
          <w:szCs w:val="24"/>
        </w:rPr>
        <w:t xml:space="preserve"> Instytutu oraz zakładaną jego niezależność od czynników politycznych, projekt zakłada m.in. niedopuszczalność łączenia tej funkcji z członkostwem w partii politycznej bądź łączeniem jej ze sprawowaniem mandatu posła bądź senatora. </w:t>
      </w:r>
    </w:p>
    <w:p w14:paraId="49828370" w14:textId="3CA11211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ab/>
        <w:t>Prezes Instytutu ma być wyłaniany zwykłą większością głosów przez Sejm Rzeczypospolitej Polskiej, na wniosek Rady Instytutu (art.</w:t>
      </w:r>
      <w:r w:rsidR="00A93B12">
        <w:rPr>
          <w:rFonts w:eastAsia="Calibri" w:cs="Times New Roman"/>
          <w:bCs/>
          <w:szCs w:val="24"/>
        </w:rPr>
        <w:t xml:space="preserve"> </w:t>
      </w:r>
      <w:r w:rsidR="008C36D4">
        <w:rPr>
          <w:rFonts w:eastAsia="Calibri" w:cs="Times New Roman"/>
          <w:bCs/>
          <w:szCs w:val="24"/>
        </w:rPr>
        <w:t>7</w:t>
      </w:r>
      <w:r w:rsidRPr="001E4C85">
        <w:rPr>
          <w:rFonts w:eastAsia="Calibri" w:cs="Times New Roman"/>
          <w:bCs/>
          <w:szCs w:val="24"/>
        </w:rPr>
        <w:t xml:space="preserve">). Jednocześnie Sejm RP będzie władny – w przypadkach określonych w ustawie – do odwołania Prezesa z pełnionej przez niego funkcji. Poza tym, przede wszystkim w celu zapewnienia transparentności procedury powołania Prezesa oraz powierzenia tej funkcji osobie o najwyższych kwalifikacjach, w projekcie przewidziano przeprowadzenie przez Radę Instytutu konkursu na to stanowisko. Procedura konkursowa będzie składać się z dwóch etapów: wstępnego, w którym kandydaci będą przechodzić weryfikację pod kątem spełniania formalnych przesłanek do objęcia funkcji Prezesa oraz merytorycznego, zakładającego przede wszystkim możliwość zapoznania się przez członków Rady Instytutu z sylwetką kandydatów oraz ich dorobkiem. Decyzję co do wyłonienia kandydata na Prezesa Instytutu Rodziny i Demografii członkowie Rady będą podejmować w głosowaniu tajnym (art. </w:t>
      </w:r>
      <w:r w:rsidR="008C36D4">
        <w:rPr>
          <w:rFonts w:eastAsia="Calibri" w:cs="Times New Roman"/>
          <w:bCs/>
          <w:szCs w:val="24"/>
        </w:rPr>
        <w:t>8</w:t>
      </w:r>
      <w:r w:rsidR="00E40E3D">
        <w:rPr>
          <w:rFonts w:eastAsia="Calibri" w:cs="Times New Roman"/>
          <w:bCs/>
          <w:szCs w:val="24"/>
        </w:rPr>
        <w:t xml:space="preserve"> ust. 9</w:t>
      </w:r>
      <w:r w:rsidR="00A93B12">
        <w:rPr>
          <w:rFonts w:eastAsia="Calibri" w:cs="Times New Roman"/>
          <w:bCs/>
          <w:szCs w:val="24"/>
        </w:rPr>
        <w:t>)</w:t>
      </w:r>
      <w:r w:rsidRPr="001E4C85">
        <w:rPr>
          <w:rFonts w:eastAsia="Calibri" w:cs="Times New Roman"/>
          <w:bCs/>
          <w:szCs w:val="24"/>
        </w:rPr>
        <w:t xml:space="preserve">. </w:t>
      </w:r>
    </w:p>
    <w:p w14:paraId="2EF930D6" w14:textId="349AA788" w:rsidR="001E4C85" w:rsidRPr="001E4C85" w:rsidRDefault="001E4C8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 w:rsidRPr="001E4C85">
        <w:rPr>
          <w:rFonts w:eastAsia="Calibri" w:cs="Times New Roman"/>
          <w:bCs/>
          <w:szCs w:val="24"/>
        </w:rPr>
        <w:tab/>
        <w:t>Sama zaś Rada Instytutu została pomyślana, jako organ opiniodawczo-doradczy Prezesa, składający się z członków wskazanych przez: Prezydenta RP (dwie osoby), Sejm RP (pięć osób), Senat RP (dwie osoby). W ten sposób najważniejsze organy władzy zyskają wpływ na obsadzenie Rady Instytutu, co z kolei zagwarantuje pluralizm je</w:t>
      </w:r>
      <w:r w:rsidR="008A434F">
        <w:rPr>
          <w:rFonts w:eastAsia="Calibri" w:cs="Times New Roman"/>
          <w:bCs/>
          <w:szCs w:val="24"/>
        </w:rPr>
        <w:t>j</w:t>
      </w:r>
      <w:r w:rsidRPr="001E4C85">
        <w:rPr>
          <w:rFonts w:eastAsia="Calibri" w:cs="Times New Roman"/>
          <w:bCs/>
          <w:szCs w:val="24"/>
        </w:rPr>
        <w:t xml:space="preserve"> składu.  </w:t>
      </w:r>
    </w:p>
    <w:p w14:paraId="7C054B47" w14:textId="282C41ED" w:rsidR="007E7ABE" w:rsidRDefault="004D2515" w:rsidP="001E4C85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lastRenderedPageBreak/>
        <w:tab/>
        <w:t>Pod względem struktury Instytut</w:t>
      </w:r>
      <w:r w:rsidR="001E4C85" w:rsidRPr="001E4C85">
        <w:rPr>
          <w:rFonts w:eastAsia="Calibri" w:cs="Times New Roman"/>
          <w:bCs/>
          <w:szCs w:val="24"/>
        </w:rPr>
        <w:t xml:space="preserve"> będzie składać</w:t>
      </w:r>
      <w:r>
        <w:rPr>
          <w:rFonts w:eastAsia="Calibri" w:cs="Times New Roman"/>
          <w:bCs/>
          <w:szCs w:val="24"/>
        </w:rPr>
        <w:t xml:space="preserve"> się</w:t>
      </w:r>
      <w:r w:rsidR="001E4C85" w:rsidRPr="001E4C85">
        <w:rPr>
          <w:rFonts w:eastAsia="Calibri" w:cs="Times New Roman"/>
          <w:bCs/>
          <w:szCs w:val="24"/>
        </w:rPr>
        <w:t xml:space="preserve"> z jednostek powołanych w celu realizacji zadań wynikających z przedmiotowego projektu ustawy. Projekt zakłada powołanie następujących jednostek organizacyjnych Instytutu: Departamentu Kultury, Mediów i Edukacji; Departamentu Badań i Analiz; Departamentu Współpracy Zagranicznej; Departamentu Współpracy z Samorządami i Organizacjami Pozarządowymi</w:t>
      </w:r>
      <w:r w:rsidR="008E6CC0">
        <w:rPr>
          <w:rFonts w:eastAsia="Calibri" w:cs="Times New Roman"/>
          <w:bCs/>
          <w:szCs w:val="24"/>
        </w:rPr>
        <w:t xml:space="preserve">; Departamentu Prawnego; </w:t>
      </w:r>
      <w:r w:rsidR="008E6CC0" w:rsidRPr="001E4C85">
        <w:rPr>
          <w:rFonts w:eastAsia="Calibri" w:cs="Times New Roman"/>
          <w:bCs/>
          <w:szCs w:val="24"/>
        </w:rPr>
        <w:t>Biura Organizacyjno-Koordynacyjnego</w:t>
      </w:r>
      <w:r w:rsidR="001E4C85" w:rsidRPr="001E4C85">
        <w:rPr>
          <w:rFonts w:eastAsia="Calibri" w:cs="Times New Roman"/>
          <w:bCs/>
          <w:szCs w:val="24"/>
        </w:rPr>
        <w:t xml:space="preserve"> (art. </w:t>
      </w:r>
      <w:r w:rsidR="008E6CC0">
        <w:rPr>
          <w:rFonts w:eastAsia="Calibri" w:cs="Times New Roman"/>
          <w:bCs/>
          <w:szCs w:val="24"/>
        </w:rPr>
        <w:t>2</w:t>
      </w:r>
      <w:r w:rsidR="008C36D4">
        <w:rPr>
          <w:rFonts w:eastAsia="Calibri" w:cs="Times New Roman"/>
          <w:bCs/>
          <w:szCs w:val="24"/>
        </w:rPr>
        <w:t>2</w:t>
      </w:r>
      <w:r w:rsidR="001E4C85" w:rsidRPr="001E4C85">
        <w:rPr>
          <w:rFonts w:eastAsia="Calibri" w:cs="Times New Roman"/>
          <w:bCs/>
          <w:szCs w:val="24"/>
        </w:rPr>
        <w:t xml:space="preserve">). Jednak, co istotne, w kompetencji Rady Instytutu pozostanie możliwość dokonania zmian w jego strukturze (art. </w:t>
      </w:r>
      <w:r w:rsidR="008E6CC0">
        <w:rPr>
          <w:rFonts w:eastAsia="Calibri" w:cs="Times New Roman"/>
          <w:bCs/>
          <w:szCs w:val="24"/>
        </w:rPr>
        <w:t>2</w:t>
      </w:r>
      <w:r w:rsidR="008C36D4">
        <w:rPr>
          <w:rFonts w:eastAsia="Calibri" w:cs="Times New Roman"/>
          <w:bCs/>
          <w:szCs w:val="24"/>
        </w:rPr>
        <w:t>2</w:t>
      </w:r>
      <w:r w:rsidR="00D03C12" w:rsidRPr="001E4C85">
        <w:rPr>
          <w:rFonts w:eastAsia="Calibri" w:cs="Times New Roman"/>
          <w:bCs/>
          <w:szCs w:val="24"/>
        </w:rPr>
        <w:t xml:space="preserve"> </w:t>
      </w:r>
      <w:r w:rsidR="001E4C85" w:rsidRPr="001E4C85">
        <w:rPr>
          <w:rFonts w:eastAsia="Calibri" w:cs="Times New Roman"/>
          <w:bCs/>
          <w:szCs w:val="24"/>
        </w:rPr>
        <w:t xml:space="preserve">ust. 2). Dzięki temu możliwe będzie – bez konieczności nowelizacji ustawy – dostosowywanie struktury Instytut do bieżących potrzeb. </w:t>
      </w:r>
      <w:r>
        <w:rPr>
          <w:rFonts w:eastAsia="Calibri" w:cs="Times New Roman"/>
          <w:bCs/>
          <w:szCs w:val="24"/>
        </w:rPr>
        <w:t xml:space="preserve">Powyższe rozstrzygnięcia dotyczące konstrukcji Instytutu nakierowane są m.in. na to, aby umożliwić mu kompleksowe i wielowymiarowe tworzenie i efektywną realizację długofalowych działań prodemograficznych.  </w:t>
      </w:r>
    </w:p>
    <w:p w14:paraId="77697EA7" w14:textId="74B453E3" w:rsidR="008A434F" w:rsidRDefault="001E4A84" w:rsidP="007E7ABE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Biorąc pod uwagę niezwykle negatywne trendy demograficzne</w:t>
      </w:r>
      <w:r w:rsidR="007E7ABE">
        <w:rPr>
          <w:rFonts w:eastAsia="Calibri" w:cs="Times New Roman"/>
          <w:bCs/>
          <w:szCs w:val="24"/>
        </w:rPr>
        <w:t xml:space="preserve"> oraz szereg problemów wynikających z tego rodzaju zjawisk, powołanie przedmiotowego Instytutu wydaje się koniecznością, niezbędną dla wypracowania właściwych rekomendacji</w:t>
      </w:r>
      <w:r w:rsidR="004D2515">
        <w:rPr>
          <w:rFonts w:eastAsia="Calibri" w:cs="Times New Roman"/>
          <w:bCs/>
          <w:szCs w:val="24"/>
        </w:rPr>
        <w:t xml:space="preserve"> i narzędzi</w:t>
      </w:r>
      <w:r w:rsidR="007E7ABE">
        <w:rPr>
          <w:rFonts w:eastAsia="Calibri" w:cs="Times New Roman"/>
          <w:bCs/>
          <w:szCs w:val="24"/>
        </w:rPr>
        <w:t xml:space="preserve"> w zakresie prowadz</w:t>
      </w:r>
      <w:r w:rsidR="004D2515">
        <w:rPr>
          <w:rFonts w:eastAsia="Calibri" w:cs="Times New Roman"/>
          <w:bCs/>
          <w:szCs w:val="24"/>
        </w:rPr>
        <w:t>enia polityki prodemograficznej, włączając w to prowadzenie długofalowej i systematycznej aktywności nakierowanej na diagnozowanie i kształtowanie trendów społeczno-kulturowych wpływających na kondycję demograficzną kraju.</w:t>
      </w:r>
      <w:r w:rsidR="007E7ABE">
        <w:rPr>
          <w:rFonts w:eastAsia="Calibri" w:cs="Times New Roman"/>
          <w:bCs/>
          <w:szCs w:val="24"/>
        </w:rPr>
        <w:t xml:space="preserve">  </w:t>
      </w:r>
    </w:p>
    <w:p w14:paraId="2DC29BBC" w14:textId="225BFBC9" w:rsidR="00D03C12" w:rsidRPr="00023FB7" w:rsidRDefault="00D03C12" w:rsidP="007E7ABE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bCs/>
          <w:szCs w:val="24"/>
        </w:rPr>
      </w:pPr>
      <w:r w:rsidRPr="00023FB7">
        <w:rPr>
          <w:rFonts w:eastAsia="Calibri" w:cs="Times New Roman"/>
          <w:bCs/>
          <w:szCs w:val="24"/>
        </w:rPr>
        <w:t>Projekt ustawy zakłada wydanie przez Radę Ministrów rozporządzenia, które będzie określało wysokość miesięcznej diety przysługującej członkowi Rady Instytutu z tytułu wykonywanych przez niego zadań z tym, że nie będzie ona mogła być wyższa od trzykrotności minimalnego wynagrodzenia za pracę.</w:t>
      </w:r>
    </w:p>
    <w:p w14:paraId="3DD704B8" w14:textId="0EC3E0A6" w:rsidR="00D03C12" w:rsidRPr="00D03C12" w:rsidRDefault="00D03C12" w:rsidP="007E7ABE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 w:cs="Times New Roman"/>
          <w:bCs/>
          <w:color w:val="FF0000"/>
          <w:szCs w:val="24"/>
        </w:rPr>
      </w:pPr>
      <w:r w:rsidRPr="00D03C12">
        <w:rPr>
          <w:rFonts w:eastAsia="Times New Roman" w:cs="Times New Roman"/>
          <w:szCs w:val="24"/>
          <w:lang w:eastAsia="pl-PL"/>
        </w:rPr>
        <w:t>Przyjęcie projektowanych rozwiąza</w:t>
      </w:r>
      <w:r>
        <w:rPr>
          <w:rFonts w:eastAsia="Times New Roman" w:cs="Times New Roman"/>
          <w:szCs w:val="24"/>
          <w:lang w:eastAsia="pl-PL"/>
        </w:rPr>
        <w:t>ń</w:t>
      </w:r>
      <w:r w:rsidRPr="00D03C12">
        <w:rPr>
          <w:rFonts w:eastAsia="Times New Roman" w:cs="Times New Roman"/>
          <w:szCs w:val="24"/>
          <w:lang w:eastAsia="pl-PL"/>
        </w:rPr>
        <w:t xml:space="preserve"> spowoduje</w:t>
      </w:r>
      <w:r>
        <w:rPr>
          <w:rFonts w:eastAsia="Times New Roman" w:cs="Times New Roman"/>
          <w:szCs w:val="24"/>
          <w:lang w:eastAsia="pl-PL"/>
        </w:rPr>
        <w:t xml:space="preserve"> wygenerowanie</w:t>
      </w:r>
      <w:r w:rsidRPr="00D03C12">
        <w:rPr>
          <w:rFonts w:eastAsia="Times New Roman" w:cs="Times New Roman"/>
          <w:szCs w:val="24"/>
          <w:lang w:eastAsia="pl-PL"/>
        </w:rPr>
        <w:t xml:space="preserve"> dodatkowych wydatków </w:t>
      </w:r>
      <w:r>
        <w:rPr>
          <w:rFonts w:eastAsia="Times New Roman" w:cs="Times New Roman"/>
          <w:szCs w:val="24"/>
          <w:lang w:eastAsia="pl-PL"/>
        </w:rPr>
        <w:t xml:space="preserve">z </w:t>
      </w:r>
      <w:r w:rsidRPr="00D03C12">
        <w:rPr>
          <w:rFonts w:eastAsia="Times New Roman" w:cs="Times New Roman"/>
          <w:szCs w:val="24"/>
          <w:lang w:eastAsia="pl-PL"/>
        </w:rPr>
        <w:t>budżet</w:t>
      </w:r>
      <w:r w:rsidR="00B0352D">
        <w:rPr>
          <w:rFonts w:eastAsia="Times New Roman" w:cs="Times New Roman"/>
          <w:szCs w:val="24"/>
          <w:lang w:eastAsia="pl-PL"/>
        </w:rPr>
        <w:t xml:space="preserve">u państwa w kwocie około </w:t>
      </w:r>
      <w:r w:rsidR="00C25578">
        <w:rPr>
          <w:rFonts w:eastAsia="Times New Roman" w:cs="Times New Roman"/>
          <w:szCs w:val="24"/>
          <w:lang w:eastAsia="pl-PL"/>
        </w:rPr>
        <w:t xml:space="preserve">30 </w:t>
      </w:r>
      <w:r>
        <w:rPr>
          <w:rFonts w:eastAsia="Times New Roman" w:cs="Times New Roman"/>
          <w:szCs w:val="24"/>
          <w:lang w:eastAsia="pl-PL"/>
        </w:rPr>
        <w:t xml:space="preserve">mln zł związanych z utworzeniem i zapewnieniem działalności </w:t>
      </w:r>
      <w:r w:rsidR="000A0741" w:rsidRPr="000A0741">
        <w:rPr>
          <w:rFonts w:eastAsia="Times New Roman" w:cs="Times New Roman"/>
          <w:szCs w:val="24"/>
          <w:lang w:eastAsia="pl-PL"/>
        </w:rPr>
        <w:t>Polskiego Instytutu Rodziny i Demografii</w:t>
      </w:r>
      <w:r>
        <w:rPr>
          <w:rFonts w:eastAsia="Times New Roman" w:cs="Times New Roman"/>
          <w:szCs w:val="24"/>
          <w:lang w:eastAsia="pl-PL"/>
        </w:rPr>
        <w:t xml:space="preserve">. Natomiast nie spowoduje dodatkowych kosztów finansowych dla </w:t>
      </w:r>
      <w:r w:rsidRPr="00D03C12">
        <w:rPr>
          <w:rFonts w:eastAsia="Times New Roman" w:cs="Times New Roman"/>
          <w:szCs w:val="24"/>
          <w:lang w:eastAsia="pl-PL"/>
        </w:rPr>
        <w:t>budżetów jednostek samorządu terytorialnego</w:t>
      </w:r>
      <w:r w:rsidR="00066E8A">
        <w:rPr>
          <w:rFonts w:eastAsia="Times New Roman" w:cs="Times New Roman"/>
          <w:szCs w:val="24"/>
          <w:lang w:eastAsia="pl-PL"/>
        </w:rPr>
        <w:t>.</w:t>
      </w:r>
    </w:p>
    <w:p w14:paraId="44C67CAD" w14:textId="0059481E" w:rsidR="0085440A" w:rsidRPr="00D34966" w:rsidRDefault="001E4A84" w:rsidP="00182372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szCs w:val="24"/>
        </w:rPr>
      </w:pPr>
      <w:r>
        <w:rPr>
          <w:rFonts w:eastAsia="Calibri" w:cs="Times New Roman"/>
          <w:bCs/>
          <w:szCs w:val="24"/>
        </w:rPr>
        <w:tab/>
        <w:t xml:space="preserve">Projekt nie jest objęty prawem Unii Europejskiej. </w:t>
      </w:r>
    </w:p>
    <w:sectPr w:rsidR="0085440A" w:rsidRPr="00D34966" w:rsidSect="00AE6A03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9BA20" w14:textId="77777777" w:rsidR="006F4ED9" w:rsidRDefault="006F4ED9" w:rsidP="001E4C85">
      <w:pPr>
        <w:spacing w:after="0" w:line="240" w:lineRule="auto"/>
      </w:pPr>
      <w:r>
        <w:separator/>
      </w:r>
    </w:p>
  </w:endnote>
  <w:endnote w:type="continuationSeparator" w:id="0">
    <w:p w14:paraId="51C7756A" w14:textId="77777777" w:rsidR="006F4ED9" w:rsidRDefault="006F4ED9" w:rsidP="001E4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4A7D44" w14:textId="77777777" w:rsidR="002A4409" w:rsidRDefault="002A4409" w:rsidP="00F61B09">
    <w:pPr>
      <w:pStyle w:val="Stopka"/>
      <w:framePr w:wrap="none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34F17A1" w14:textId="77777777" w:rsidR="002A4409" w:rsidRDefault="002A440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698251" w14:textId="3C8CBCA1" w:rsidR="002A4409" w:rsidRDefault="002A4409" w:rsidP="00F61B09">
    <w:pPr>
      <w:pStyle w:val="Stopka"/>
      <w:framePr w:wrap="none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2321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377078C" w14:textId="77777777" w:rsidR="002A4409" w:rsidRDefault="002A440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F9FA41" w14:textId="77777777" w:rsidR="006F4ED9" w:rsidRDefault="006F4ED9" w:rsidP="001E4C85">
      <w:pPr>
        <w:spacing w:after="0" w:line="240" w:lineRule="auto"/>
      </w:pPr>
      <w:r>
        <w:separator/>
      </w:r>
    </w:p>
  </w:footnote>
  <w:footnote w:type="continuationSeparator" w:id="0">
    <w:p w14:paraId="1B5620B8" w14:textId="77777777" w:rsidR="006F4ED9" w:rsidRDefault="006F4ED9" w:rsidP="001E4C85">
      <w:pPr>
        <w:spacing w:after="0" w:line="240" w:lineRule="auto"/>
      </w:pPr>
      <w:r>
        <w:continuationSeparator/>
      </w:r>
    </w:p>
  </w:footnote>
  <w:footnote w:id="1">
    <w:p w14:paraId="4D628DAD" w14:textId="1CCBE8B4" w:rsidR="002A4409" w:rsidRDefault="002A4409">
      <w:pPr>
        <w:pStyle w:val="Tekstprzypisudolnego"/>
      </w:pPr>
      <w:r>
        <w:rPr>
          <w:rStyle w:val="Odwoanieprzypisudolnego"/>
        </w:rPr>
        <w:footnoteRef/>
      </w:r>
      <w:r>
        <w:t xml:space="preserve"> Główny Urząd Statystyczny, </w:t>
      </w:r>
      <w:r>
        <w:rPr>
          <w:i/>
          <w:iCs/>
        </w:rPr>
        <w:t>Prognoza ludności na lata 2014-2050</w:t>
      </w:r>
      <w:r>
        <w:t xml:space="preserve">, </w:t>
      </w:r>
      <w:r w:rsidRPr="00951A35">
        <w:t>file:///C:/Users/Acer/AppData/Local/Temp/prognoza_ludnosci_na_lata____2014_-_2050.pdf</w:t>
      </w:r>
      <w:r>
        <w:t>, (dostęp: 8.10.2020 r.), s.</w:t>
      </w:r>
      <w:r>
        <w:rPr>
          <w:i/>
          <w:iCs/>
        </w:rPr>
        <w:t xml:space="preserve"> </w:t>
      </w:r>
      <w:r>
        <w:t>109.</w:t>
      </w:r>
    </w:p>
  </w:footnote>
  <w:footnote w:id="2">
    <w:p w14:paraId="6CBC4E5F" w14:textId="77777777" w:rsidR="002A4409" w:rsidRPr="00777C67" w:rsidRDefault="002A4409" w:rsidP="00EF3F87">
      <w:pPr>
        <w:pStyle w:val="Tekstprzypisudolnego"/>
        <w:rPr>
          <w:iCs/>
        </w:rPr>
      </w:pPr>
      <w:r w:rsidRPr="00777C67">
        <w:rPr>
          <w:rStyle w:val="Odwoanieprzypisudolnego"/>
        </w:rPr>
        <w:footnoteRef/>
      </w:r>
      <w:r w:rsidRPr="00777C67">
        <w:t xml:space="preserve"> </w:t>
      </w:r>
      <w:r w:rsidRPr="00777C67">
        <w:rPr>
          <w:i/>
          <w:iCs/>
        </w:rPr>
        <w:t>Podsekretarz Stanu Barbara Socha w Radiu Wnet, 21.01.2020 r</w:t>
      </w:r>
      <w:r w:rsidRPr="00777C67">
        <w:t xml:space="preserve">., https://www.gov.pl/web/rodzina/podeskretarz-stanu-barbara-socha-w-radiu-wnet-21012020-r, (dostęp: 08.10.2020 r.); </w:t>
      </w:r>
      <w:r w:rsidRPr="00777C67">
        <w:rPr>
          <w:i/>
        </w:rPr>
        <w:t>Rząd pierwszy raz przyznaje: dzięki 500 plus urodzenia nie wzrosły i nie wzrosną</w:t>
      </w:r>
      <w:r w:rsidRPr="00777C67">
        <w:rPr>
          <w:iCs/>
        </w:rPr>
        <w:t xml:space="preserve">, https://businessinsider.com.pl/finanse/makroekonomia/500-plus-a-dzietnosc-nowe-urodzenia-a-rzadowy-program/0vd3p2d (dostęp: 08.10.2020 r.). </w:t>
      </w:r>
    </w:p>
  </w:footnote>
  <w:footnote w:id="3">
    <w:p w14:paraId="0F177E56" w14:textId="77777777" w:rsidR="002A4409" w:rsidRDefault="002A4409" w:rsidP="00EF3F8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04E4">
        <w:rPr>
          <w:i/>
          <w:iCs/>
        </w:rPr>
        <w:t>Strategia Demograficzna 2040 – projekt</w:t>
      </w:r>
      <w:r w:rsidRPr="00CB04E4">
        <w:t>, Pełnomocnik Rządu ds. polityki demograficznej, 2021.</w:t>
      </w:r>
    </w:p>
  </w:footnote>
  <w:footnote w:id="4">
    <w:p w14:paraId="041476A4" w14:textId="77777777" w:rsidR="002A4409" w:rsidRDefault="002A4409" w:rsidP="004D25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bookmarkStart w:id="3" w:name="_Hlk80188927"/>
      <w:r w:rsidRPr="00CB04E4">
        <w:rPr>
          <w:i/>
          <w:iCs/>
        </w:rPr>
        <w:t>Strategia Demograficzna 2040 – projekt</w:t>
      </w:r>
      <w:r w:rsidRPr="00CB04E4">
        <w:t>, Pełnomocnik Rządu ds. polityki demograficznej, 2021.</w:t>
      </w:r>
      <w:bookmarkEnd w:id="3"/>
    </w:p>
  </w:footnote>
  <w:footnote w:id="5">
    <w:p w14:paraId="20181360" w14:textId="77777777" w:rsidR="002A4409" w:rsidRPr="00777C67" w:rsidRDefault="002A4409" w:rsidP="004D2515">
      <w:pPr>
        <w:pStyle w:val="Tekstprzypisudolnego"/>
      </w:pPr>
      <w:r w:rsidRPr="00777C67">
        <w:rPr>
          <w:rStyle w:val="Odwoanieprzypisudolnego"/>
        </w:rPr>
        <w:footnoteRef/>
      </w:r>
      <w:r w:rsidRPr="00777C67">
        <w:t xml:space="preserve"> </w:t>
      </w:r>
      <w:r w:rsidRPr="004D2515">
        <w:rPr>
          <w:i/>
        </w:rPr>
        <w:t>Strategia na rzecz Odpowiedzialnego Rozwoju do roku 2020 (z perspektywą do 2030 r.)</w:t>
      </w:r>
      <w:r>
        <w:t>, Warszawa 2017, s. 25.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9815B7"/>
    <w:multiLevelType w:val="hybridMultilevel"/>
    <w:tmpl w:val="82BE30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61AB8"/>
    <w:multiLevelType w:val="hybridMultilevel"/>
    <w:tmpl w:val="85940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6EB"/>
    <w:rsid w:val="00004678"/>
    <w:rsid w:val="00007A44"/>
    <w:rsid w:val="00007E32"/>
    <w:rsid w:val="00011E2D"/>
    <w:rsid w:val="000121C1"/>
    <w:rsid w:val="00012BE1"/>
    <w:rsid w:val="00017673"/>
    <w:rsid w:val="00022D1F"/>
    <w:rsid w:val="00023FB7"/>
    <w:rsid w:val="000240F5"/>
    <w:rsid w:val="00041303"/>
    <w:rsid w:val="00045FA4"/>
    <w:rsid w:val="00053460"/>
    <w:rsid w:val="0006294C"/>
    <w:rsid w:val="00066E8A"/>
    <w:rsid w:val="00077A23"/>
    <w:rsid w:val="000859E3"/>
    <w:rsid w:val="00092D45"/>
    <w:rsid w:val="0009319A"/>
    <w:rsid w:val="0009699A"/>
    <w:rsid w:val="00097CB0"/>
    <w:rsid w:val="000A0741"/>
    <w:rsid w:val="000A1AA5"/>
    <w:rsid w:val="000A1C62"/>
    <w:rsid w:val="000A7DBD"/>
    <w:rsid w:val="000D0B00"/>
    <w:rsid w:val="000D6446"/>
    <w:rsid w:val="000D737D"/>
    <w:rsid w:val="000E4E4D"/>
    <w:rsid w:val="001000DC"/>
    <w:rsid w:val="00102792"/>
    <w:rsid w:val="00111527"/>
    <w:rsid w:val="00114201"/>
    <w:rsid w:val="00115F20"/>
    <w:rsid w:val="001178BC"/>
    <w:rsid w:val="00117FB8"/>
    <w:rsid w:val="00121623"/>
    <w:rsid w:val="001268EC"/>
    <w:rsid w:val="00133F72"/>
    <w:rsid w:val="00136C63"/>
    <w:rsid w:val="001401F2"/>
    <w:rsid w:val="001404BB"/>
    <w:rsid w:val="001506F1"/>
    <w:rsid w:val="00154750"/>
    <w:rsid w:val="001547B9"/>
    <w:rsid w:val="00172BA1"/>
    <w:rsid w:val="00174BED"/>
    <w:rsid w:val="00174C0F"/>
    <w:rsid w:val="00175C25"/>
    <w:rsid w:val="00177615"/>
    <w:rsid w:val="001815AE"/>
    <w:rsid w:val="00182372"/>
    <w:rsid w:val="001875EC"/>
    <w:rsid w:val="00193455"/>
    <w:rsid w:val="00193491"/>
    <w:rsid w:val="00193D9F"/>
    <w:rsid w:val="001A1523"/>
    <w:rsid w:val="001A3D50"/>
    <w:rsid w:val="001A540D"/>
    <w:rsid w:val="001B2DF3"/>
    <w:rsid w:val="001C3241"/>
    <w:rsid w:val="001E4A84"/>
    <w:rsid w:val="001E4C85"/>
    <w:rsid w:val="001E5808"/>
    <w:rsid w:val="001F3371"/>
    <w:rsid w:val="00203793"/>
    <w:rsid w:val="0021366B"/>
    <w:rsid w:val="002213BC"/>
    <w:rsid w:val="00222FB9"/>
    <w:rsid w:val="0022404C"/>
    <w:rsid w:val="00251C44"/>
    <w:rsid w:val="0025595B"/>
    <w:rsid w:val="00255ECB"/>
    <w:rsid w:val="002634B0"/>
    <w:rsid w:val="002656BE"/>
    <w:rsid w:val="002717D9"/>
    <w:rsid w:val="00271D65"/>
    <w:rsid w:val="00274137"/>
    <w:rsid w:val="00284AAC"/>
    <w:rsid w:val="002876A9"/>
    <w:rsid w:val="002A3DB5"/>
    <w:rsid w:val="002A3E55"/>
    <w:rsid w:val="002A4409"/>
    <w:rsid w:val="002D177A"/>
    <w:rsid w:val="002E4E6E"/>
    <w:rsid w:val="002E64E4"/>
    <w:rsid w:val="002F7EC6"/>
    <w:rsid w:val="003012AA"/>
    <w:rsid w:val="00304D50"/>
    <w:rsid w:val="00311A4A"/>
    <w:rsid w:val="00311F53"/>
    <w:rsid w:val="003147C3"/>
    <w:rsid w:val="00322C4B"/>
    <w:rsid w:val="00327A90"/>
    <w:rsid w:val="0033564C"/>
    <w:rsid w:val="0033585D"/>
    <w:rsid w:val="00336D17"/>
    <w:rsid w:val="00345A86"/>
    <w:rsid w:val="00367114"/>
    <w:rsid w:val="00370F8F"/>
    <w:rsid w:val="003745B3"/>
    <w:rsid w:val="00375752"/>
    <w:rsid w:val="0038592D"/>
    <w:rsid w:val="003A4F4C"/>
    <w:rsid w:val="003B7BE4"/>
    <w:rsid w:val="003C07B5"/>
    <w:rsid w:val="003D1746"/>
    <w:rsid w:val="003D2748"/>
    <w:rsid w:val="003D3AAF"/>
    <w:rsid w:val="003D465D"/>
    <w:rsid w:val="003E40B8"/>
    <w:rsid w:val="003F6184"/>
    <w:rsid w:val="003F6F02"/>
    <w:rsid w:val="00405B57"/>
    <w:rsid w:val="00407DB0"/>
    <w:rsid w:val="00410A0A"/>
    <w:rsid w:val="00412F36"/>
    <w:rsid w:val="0042079F"/>
    <w:rsid w:val="00426392"/>
    <w:rsid w:val="004269AE"/>
    <w:rsid w:val="004310AD"/>
    <w:rsid w:val="00442D12"/>
    <w:rsid w:val="00445C11"/>
    <w:rsid w:val="00451442"/>
    <w:rsid w:val="00455407"/>
    <w:rsid w:val="004605DE"/>
    <w:rsid w:val="00462AF2"/>
    <w:rsid w:val="00465176"/>
    <w:rsid w:val="00471217"/>
    <w:rsid w:val="00480E11"/>
    <w:rsid w:val="00485E05"/>
    <w:rsid w:val="00487798"/>
    <w:rsid w:val="004A21F2"/>
    <w:rsid w:val="004A367B"/>
    <w:rsid w:val="004A62A1"/>
    <w:rsid w:val="004B54CF"/>
    <w:rsid w:val="004C39D7"/>
    <w:rsid w:val="004D0389"/>
    <w:rsid w:val="004D2515"/>
    <w:rsid w:val="004D33D6"/>
    <w:rsid w:val="004D544D"/>
    <w:rsid w:val="004D5F3D"/>
    <w:rsid w:val="004E2209"/>
    <w:rsid w:val="004E5AB7"/>
    <w:rsid w:val="004E6D44"/>
    <w:rsid w:val="004F1BA9"/>
    <w:rsid w:val="004F39B6"/>
    <w:rsid w:val="004F5106"/>
    <w:rsid w:val="004F7756"/>
    <w:rsid w:val="00506A42"/>
    <w:rsid w:val="0051067B"/>
    <w:rsid w:val="0051225D"/>
    <w:rsid w:val="00516294"/>
    <w:rsid w:val="0052321E"/>
    <w:rsid w:val="00534F32"/>
    <w:rsid w:val="00535604"/>
    <w:rsid w:val="00536324"/>
    <w:rsid w:val="00543E7F"/>
    <w:rsid w:val="005626C6"/>
    <w:rsid w:val="005642B8"/>
    <w:rsid w:val="0057103C"/>
    <w:rsid w:val="005721A2"/>
    <w:rsid w:val="00573688"/>
    <w:rsid w:val="0059040F"/>
    <w:rsid w:val="00590E02"/>
    <w:rsid w:val="00594270"/>
    <w:rsid w:val="005A78C6"/>
    <w:rsid w:val="005B307E"/>
    <w:rsid w:val="005B4F55"/>
    <w:rsid w:val="005C2FC4"/>
    <w:rsid w:val="005C6D49"/>
    <w:rsid w:val="005D656D"/>
    <w:rsid w:val="005F4330"/>
    <w:rsid w:val="005F5B74"/>
    <w:rsid w:val="006029E2"/>
    <w:rsid w:val="0060616A"/>
    <w:rsid w:val="00607517"/>
    <w:rsid w:val="00620C41"/>
    <w:rsid w:val="0062156C"/>
    <w:rsid w:val="0062185B"/>
    <w:rsid w:val="00637498"/>
    <w:rsid w:val="00640FD4"/>
    <w:rsid w:val="00641F7E"/>
    <w:rsid w:val="006512A1"/>
    <w:rsid w:val="00665970"/>
    <w:rsid w:val="00675BB2"/>
    <w:rsid w:val="00677F77"/>
    <w:rsid w:val="006A3A79"/>
    <w:rsid w:val="006C1F92"/>
    <w:rsid w:val="006C7D6F"/>
    <w:rsid w:val="006D0E7A"/>
    <w:rsid w:val="006D6E6E"/>
    <w:rsid w:val="006E42C1"/>
    <w:rsid w:val="006F4ED9"/>
    <w:rsid w:val="00707345"/>
    <w:rsid w:val="00731ECD"/>
    <w:rsid w:val="007337C1"/>
    <w:rsid w:val="00735701"/>
    <w:rsid w:val="00747630"/>
    <w:rsid w:val="00766D24"/>
    <w:rsid w:val="00774123"/>
    <w:rsid w:val="00784517"/>
    <w:rsid w:val="00790272"/>
    <w:rsid w:val="007969DA"/>
    <w:rsid w:val="007A3A63"/>
    <w:rsid w:val="007A4DBB"/>
    <w:rsid w:val="007A7670"/>
    <w:rsid w:val="007B052A"/>
    <w:rsid w:val="007C62E6"/>
    <w:rsid w:val="007C7AA5"/>
    <w:rsid w:val="007D25A4"/>
    <w:rsid w:val="007D4479"/>
    <w:rsid w:val="007D6AC9"/>
    <w:rsid w:val="007E179F"/>
    <w:rsid w:val="007E1A61"/>
    <w:rsid w:val="007E4B8C"/>
    <w:rsid w:val="007E7ABE"/>
    <w:rsid w:val="007F4C5A"/>
    <w:rsid w:val="007F7CF3"/>
    <w:rsid w:val="008023DD"/>
    <w:rsid w:val="0081351A"/>
    <w:rsid w:val="00822873"/>
    <w:rsid w:val="00824A02"/>
    <w:rsid w:val="00826716"/>
    <w:rsid w:val="00837F84"/>
    <w:rsid w:val="00843A2D"/>
    <w:rsid w:val="00844CED"/>
    <w:rsid w:val="00851F4C"/>
    <w:rsid w:val="0085440A"/>
    <w:rsid w:val="008600C5"/>
    <w:rsid w:val="00862670"/>
    <w:rsid w:val="00867F6E"/>
    <w:rsid w:val="0087163B"/>
    <w:rsid w:val="00876835"/>
    <w:rsid w:val="008813EB"/>
    <w:rsid w:val="00886C7B"/>
    <w:rsid w:val="008A434F"/>
    <w:rsid w:val="008A6CB3"/>
    <w:rsid w:val="008B3706"/>
    <w:rsid w:val="008B4CB0"/>
    <w:rsid w:val="008C0776"/>
    <w:rsid w:val="008C36D4"/>
    <w:rsid w:val="008C50F6"/>
    <w:rsid w:val="008D08B7"/>
    <w:rsid w:val="008E07FE"/>
    <w:rsid w:val="008E4280"/>
    <w:rsid w:val="008E578D"/>
    <w:rsid w:val="008E6944"/>
    <w:rsid w:val="008E6CC0"/>
    <w:rsid w:val="008F5997"/>
    <w:rsid w:val="008F60AE"/>
    <w:rsid w:val="008F6DB0"/>
    <w:rsid w:val="009001B8"/>
    <w:rsid w:val="00912EBE"/>
    <w:rsid w:val="0094357B"/>
    <w:rsid w:val="0094450E"/>
    <w:rsid w:val="00944D13"/>
    <w:rsid w:val="00951A35"/>
    <w:rsid w:val="00954E8C"/>
    <w:rsid w:val="009643A2"/>
    <w:rsid w:val="00980D86"/>
    <w:rsid w:val="00982965"/>
    <w:rsid w:val="00995B76"/>
    <w:rsid w:val="009970DF"/>
    <w:rsid w:val="009B0B3D"/>
    <w:rsid w:val="009B3490"/>
    <w:rsid w:val="009B3A1C"/>
    <w:rsid w:val="009C0FDA"/>
    <w:rsid w:val="009D442B"/>
    <w:rsid w:val="009E669F"/>
    <w:rsid w:val="009F0923"/>
    <w:rsid w:val="00A046EB"/>
    <w:rsid w:val="00A04BD9"/>
    <w:rsid w:val="00A36473"/>
    <w:rsid w:val="00A405EF"/>
    <w:rsid w:val="00A472B4"/>
    <w:rsid w:val="00A637D3"/>
    <w:rsid w:val="00A6467E"/>
    <w:rsid w:val="00A651F0"/>
    <w:rsid w:val="00A65216"/>
    <w:rsid w:val="00A770D2"/>
    <w:rsid w:val="00A8342C"/>
    <w:rsid w:val="00A86EE3"/>
    <w:rsid w:val="00A90728"/>
    <w:rsid w:val="00A93B12"/>
    <w:rsid w:val="00A94E6B"/>
    <w:rsid w:val="00AA220B"/>
    <w:rsid w:val="00AB120F"/>
    <w:rsid w:val="00AC17DC"/>
    <w:rsid w:val="00AC6850"/>
    <w:rsid w:val="00AD211F"/>
    <w:rsid w:val="00AD2380"/>
    <w:rsid w:val="00AE6A03"/>
    <w:rsid w:val="00AF006A"/>
    <w:rsid w:val="00AF2D20"/>
    <w:rsid w:val="00B0116E"/>
    <w:rsid w:val="00B0352D"/>
    <w:rsid w:val="00B07B05"/>
    <w:rsid w:val="00B17637"/>
    <w:rsid w:val="00B270EF"/>
    <w:rsid w:val="00B311C5"/>
    <w:rsid w:val="00B40016"/>
    <w:rsid w:val="00B41BAD"/>
    <w:rsid w:val="00B5198C"/>
    <w:rsid w:val="00B528CC"/>
    <w:rsid w:val="00B65605"/>
    <w:rsid w:val="00B65C9C"/>
    <w:rsid w:val="00B676E1"/>
    <w:rsid w:val="00B72F6E"/>
    <w:rsid w:val="00B80E5D"/>
    <w:rsid w:val="00B9393F"/>
    <w:rsid w:val="00BA46BA"/>
    <w:rsid w:val="00BA534A"/>
    <w:rsid w:val="00BA5D6B"/>
    <w:rsid w:val="00BA7BF1"/>
    <w:rsid w:val="00BB2042"/>
    <w:rsid w:val="00BB4E58"/>
    <w:rsid w:val="00BB5739"/>
    <w:rsid w:val="00BC0476"/>
    <w:rsid w:val="00BD7F31"/>
    <w:rsid w:val="00BE1E62"/>
    <w:rsid w:val="00BF0DBA"/>
    <w:rsid w:val="00BF312E"/>
    <w:rsid w:val="00C01541"/>
    <w:rsid w:val="00C015C7"/>
    <w:rsid w:val="00C058FF"/>
    <w:rsid w:val="00C12F80"/>
    <w:rsid w:val="00C20890"/>
    <w:rsid w:val="00C21298"/>
    <w:rsid w:val="00C25578"/>
    <w:rsid w:val="00C259F9"/>
    <w:rsid w:val="00C25DBD"/>
    <w:rsid w:val="00C44201"/>
    <w:rsid w:val="00C4590E"/>
    <w:rsid w:val="00C60189"/>
    <w:rsid w:val="00C64AC5"/>
    <w:rsid w:val="00C67171"/>
    <w:rsid w:val="00C7023F"/>
    <w:rsid w:val="00C71088"/>
    <w:rsid w:val="00C744D1"/>
    <w:rsid w:val="00C75DD3"/>
    <w:rsid w:val="00C85285"/>
    <w:rsid w:val="00C97EE5"/>
    <w:rsid w:val="00CA776F"/>
    <w:rsid w:val="00CC6B85"/>
    <w:rsid w:val="00CD2E0B"/>
    <w:rsid w:val="00CF7017"/>
    <w:rsid w:val="00D0022D"/>
    <w:rsid w:val="00D018C0"/>
    <w:rsid w:val="00D03C12"/>
    <w:rsid w:val="00D076E5"/>
    <w:rsid w:val="00D1149F"/>
    <w:rsid w:val="00D174A4"/>
    <w:rsid w:val="00D27E25"/>
    <w:rsid w:val="00D34966"/>
    <w:rsid w:val="00D36904"/>
    <w:rsid w:val="00D463A1"/>
    <w:rsid w:val="00D47B68"/>
    <w:rsid w:val="00D61433"/>
    <w:rsid w:val="00D63A71"/>
    <w:rsid w:val="00D6591F"/>
    <w:rsid w:val="00D65BCA"/>
    <w:rsid w:val="00D67509"/>
    <w:rsid w:val="00D676DE"/>
    <w:rsid w:val="00D81A80"/>
    <w:rsid w:val="00D824E3"/>
    <w:rsid w:val="00D83F98"/>
    <w:rsid w:val="00D8644E"/>
    <w:rsid w:val="00D901FB"/>
    <w:rsid w:val="00DA68FB"/>
    <w:rsid w:val="00DB2744"/>
    <w:rsid w:val="00DB2931"/>
    <w:rsid w:val="00DC0554"/>
    <w:rsid w:val="00DD7C51"/>
    <w:rsid w:val="00DE11DB"/>
    <w:rsid w:val="00DF3CDE"/>
    <w:rsid w:val="00E0232A"/>
    <w:rsid w:val="00E0315D"/>
    <w:rsid w:val="00E07D0B"/>
    <w:rsid w:val="00E16525"/>
    <w:rsid w:val="00E23181"/>
    <w:rsid w:val="00E32582"/>
    <w:rsid w:val="00E330CB"/>
    <w:rsid w:val="00E331E9"/>
    <w:rsid w:val="00E36C03"/>
    <w:rsid w:val="00E40C07"/>
    <w:rsid w:val="00E40E3D"/>
    <w:rsid w:val="00E40FE6"/>
    <w:rsid w:val="00E43A2D"/>
    <w:rsid w:val="00E46F59"/>
    <w:rsid w:val="00E4759A"/>
    <w:rsid w:val="00E51EDF"/>
    <w:rsid w:val="00E52CB7"/>
    <w:rsid w:val="00E53831"/>
    <w:rsid w:val="00E60876"/>
    <w:rsid w:val="00E74449"/>
    <w:rsid w:val="00E76C0D"/>
    <w:rsid w:val="00E80D00"/>
    <w:rsid w:val="00E80D24"/>
    <w:rsid w:val="00E833B7"/>
    <w:rsid w:val="00E845B3"/>
    <w:rsid w:val="00E84FEB"/>
    <w:rsid w:val="00E85B27"/>
    <w:rsid w:val="00E9000C"/>
    <w:rsid w:val="00E94721"/>
    <w:rsid w:val="00E962C9"/>
    <w:rsid w:val="00EA4BC5"/>
    <w:rsid w:val="00EB37BB"/>
    <w:rsid w:val="00EB46E6"/>
    <w:rsid w:val="00EB79BE"/>
    <w:rsid w:val="00EC3674"/>
    <w:rsid w:val="00EE7D65"/>
    <w:rsid w:val="00EF0AB7"/>
    <w:rsid w:val="00EF3CFA"/>
    <w:rsid w:val="00EF3F87"/>
    <w:rsid w:val="00EF5081"/>
    <w:rsid w:val="00F02424"/>
    <w:rsid w:val="00F04DDF"/>
    <w:rsid w:val="00F050BA"/>
    <w:rsid w:val="00F143AD"/>
    <w:rsid w:val="00F17A31"/>
    <w:rsid w:val="00F227C4"/>
    <w:rsid w:val="00F22D43"/>
    <w:rsid w:val="00F3189F"/>
    <w:rsid w:val="00F31A93"/>
    <w:rsid w:val="00F46015"/>
    <w:rsid w:val="00F51B98"/>
    <w:rsid w:val="00F53EB4"/>
    <w:rsid w:val="00F61B09"/>
    <w:rsid w:val="00F72253"/>
    <w:rsid w:val="00F743BD"/>
    <w:rsid w:val="00F762EA"/>
    <w:rsid w:val="00F81A09"/>
    <w:rsid w:val="00F9721B"/>
    <w:rsid w:val="00FA195B"/>
    <w:rsid w:val="00FA604C"/>
    <w:rsid w:val="00FA6079"/>
    <w:rsid w:val="00FA7410"/>
    <w:rsid w:val="00FB412C"/>
    <w:rsid w:val="00FB4CFB"/>
    <w:rsid w:val="00FC797E"/>
    <w:rsid w:val="00FD0738"/>
    <w:rsid w:val="00FD5305"/>
    <w:rsid w:val="00F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A5122"/>
  <w15:chartTrackingRefBased/>
  <w15:docId w15:val="{38665C95-FE82-416A-95FC-EC2F32691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B85"/>
    <w:pPr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319A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3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144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319A"/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9319A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51442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E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0E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0E5D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0E5D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7163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7163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4C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4C85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E4C8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0D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0DB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0DB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AE6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6A03"/>
    <w:rPr>
      <w:rFonts w:ascii="Times New Roman" w:hAnsi="Times New Roman"/>
      <w:sz w:val="24"/>
    </w:rPr>
  </w:style>
  <w:style w:type="character" w:styleId="Numerstrony">
    <w:name w:val="page number"/>
    <w:basedOn w:val="Domylnaczcionkaakapitu"/>
    <w:uiPriority w:val="99"/>
    <w:semiHidden/>
    <w:unhideWhenUsed/>
    <w:rsid w:val="00AE6A0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2209"/>
    <w:pPr>
      <w:jc w:val="both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2209"/>
    <w:rPr>
      <w:rFonts w:ascii="Times New Roman" w:hAnsi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4E2209"/>
    <w:pPr>
      <w:ind w:left="720"/>
      <w:contextualSpacing/>
    </w:pPr>
  </w:style>
  <w:style w:type="paragraph" w:styleId="Poprawka">
    <w:name w:val="Revision"/>
    <w:hidden/>
    <w:uiPriority w:val="99"/>
    <w:semiHidden/>
    <w:rsid w:val="006029E2"/>
    <w:pPr>
      <w:spacing w:after="0" w:line="240" w:lineRule="auto"/>
    </w:pPr>
    <w:rPr>
      <w:rFonts w:ascii="Times New Roman" w:hAnsi="Times New Roman"/>
      <w:sz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CC6B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9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19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26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90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9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1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6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908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1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8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27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2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61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554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3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23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8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1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19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8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69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0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9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8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1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6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82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21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6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06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8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0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1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3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2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6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54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8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90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642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8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13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78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4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0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457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53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5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22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82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1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2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8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5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B769D-677C-42D5-9E5A-EB30F2015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1710</Words>
  <Characters>10262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Grzegorz Molesztak</cp:lastModifiedBy>
  <cp:revision>7</cp:revision>
  <cp:lastPrinted>2021-11-04T11:23:00Z</cp:lastPrinted>
  <dcterms:created xsi:type="dcterms:W3CDTF">2021-10-28T06:25:00Z</dcterms:created>
  <dcterms:modified xsi:type="dcterms:W3CDTF">2021-11-16T11:07:00Z</dcterms:modified>
  <cp:category/>
</cp:coreProperties>
</file>