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14C" w:rsidRPr="00576BA9" w:rsidRDefault="00576BA9" w:rsidP="00576BA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76BA9">
        <w:rPr>
          <w:rFonts w:ascii="Times New Roman" w:hAnsi="Times New Roman" w:cs="Times New Roman"/>
          <w:sz w:val="24"/>
          <w:szCs w:val="24"/>
        </w:rPr>
        <w:t>UZASADNIENIE</w:t>
      </w:r>
    </w:p>
    <w:p w:rsidR="0097414C" w:rsidRPr="00576BA9" w:rsidRDefault="0097414C" w:rsidP="00576BA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 xml:space="preserve">Projekt ustawy przewiduje wprowadzenie zmian w ustawie z dnia 6 grudnia 2008 r. o podatku akcyzowym (Dz. U. z 2020 r. poz. 722, z </w:t>
      </w:r>
      <w:proofErr w:type="spellStart"/>
      <w:r w:rsidRPr="00576BA9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576BA9">
        <w:rPr>
          <w:rFonts w:ascii="Times New Roman" w:hAnsi="Times New Roman" w:cs="Times New Roman"/>
          <w:sz w:val="24"/>
          <w:szCs w:val="24"/>
        </w:rPr>
        <w:t>. zm.), zwanej dalej „ustawą akcyzową”, oraz w ustawie z dnia 6 lipca 2016 r. o podatku od sprzedaży detalicznej (Dz. U. z 2020 r. poz. 1293)</w:t>
      </w:r>
      <w:r w:rsidR="00576BF2">
        <w:rPr>
          <w:rFonts w:ascii="Times New Roman" w:hAnsi="Times New Roman" w:cs="Times New Roman"/>
          <w:sz w:val="24"/>
          <w:szCs w:val="24"/>
        </w:rPr>
        <w:t>,</w:t>
      </w:r>
      <w:r w:rsidRPr="00576BA9">
        <w:rPr>
          <w:rFonts w:ascii="Times New Roman" w:hAnsi="Times New Roman" w:cs="Times New Roman"/>
          <w:sz w:val="24"/>
          <w:szCs w:val="24"/>
        </w:rPr>
        <w:t xml:space="preserve"> których głównym celem jest realizacja działań w obszarze podatków, zmierzających do powstrzymania wzrostu inflacji. </w:t>
      </w:r>
    </w:p>
    <w:p w:rsidR="00A62E2B" w:rsidRPr="00576BA9" w:rsidRDefault="00A62E2B" w:rsidP="00576BA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>Planowane jest również wprowadzenie innych rozwiązań w zakresie podatków, zapowiedzianych w dniu 25 listopada 2021 r</w:t>
      </w:r>
      <w:r w:rsidR="0040759C">
        <w:rPr>
          <w:rFonts w:ascii="Times New Roman" w:hAnsi="Times New Roman" w:cs="Times New Roman"/>
          <w:sz w:val="24"/>
          <w:szCs w:val="24"/>
        </w:rPr>
        <w:t>.</w:t>
      </w:r>
      <w:r w:rsidRPr="00576BA9">
        <w:rPr>
          <w:rFonts w:ascii="Times New Roman" w:hAnsi="Times New Roman" w:cs="Times New Roman"/>
          <w:sz w:val="24"/>
          <w:szCs w:val="24"/>
        </w:rPr>
        <w:t>, zmierzających do powstrzymania wzrostu inflacji (obniżenie stawek podatku od towarów i usług na gaz ziemny i energię elektryczną). Zmiany te będą dokonane stosownym rozporządzeniem, dlatego nie wymagają zamieszczenia w przedmiotowej ustawie.</w:t>
      </w:r>
    </w:p>
    <w:p w:rsidR="0097414C" w:rsidRPr="00576BA9" w:rsidRDefault="0097414C" w:rsidP="00576BA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>Projekt przewiduje:</w:t>
      </w:r>
    </w:p>
    <w:p w:rsidR="003D3621" w:rsidRPr="00576BA9" w:rsidRDefault="003D3621" w:rsidP="00D5496D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 xml:space="preserve">czasową obniżkę stawek podatku na energię elektryczną i niektóre paliwa silnikowe, tj. olej napędowy, biokomponenty stanowiące samoistne paliwa, benzynę silnikową, gaz skroplony LPG. Zaproponowano także wprowadzenie zwolnień dla energii elektrycznej wykorzystywanej przez gospodarstwa domowe (art. </w:t>
      </w:r>
      <w:r w:rsidR="00625A43" w:rsidRPr="00576BA9">
        <w:rPr>
          <w:rFonts w:ascii="Times New Roman" w:hAnsi="Times New Roman" w:cs="Times New Roman"/>
          <w:sz w:val="24"/>
          <w:szCs w:val="24"/>
        </w:rPr>
        <w:t>1</w:t>
      </w:r>
      <w:r w:rsidRPr="00576BA9">
        <w:rPr>
          <w:rFonts w:ascii="Times New Roman" w:hAnsi="Times New Roman" w:cs="Times New Roman"/>
          <w:sz w:val="24"/>
          <w:szCs w:val="24"/>
        </w:rPr>
        <w:t>);</w:t>
      </w:r>
    </w:p>
    <w:p w:rsidR="0097414C" w:rsidRPr="00576BA9" w:rsidRDefault="0097414C" w:rsidP="00576BA9">
      <w:pPr>
        <w:pStyle w:val="Akapitzlist"/>
        <w:numPr>
          <w:ilvl w:val="0"/>
          <w:numId w:val="4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 xml:space="preserve">czasowe wyłączenie z opodatkowania podatkiem od sprzedaży detalicznej sprzedaży paliw (art. </w:t>
      </w:r>
      <w:r w:rsidR="003D3621" w:rsidRPr="00576BA9">
        <w:rPr>
          <w:rFonts w:ascii="Times New Roman" w:hAnsi="Times New Roman" w:cs="Times New Roman"/>
          <w:sz w:val="24"/>
          <w:szCs w:val="24"/>
        </w:rPr>
        <w:t>2</w:t>
      </w:r>
      <w:r w:rsidRPr="00576BA9">
        <w:rPr>
          <w:rFonts w:ascii="Times New Roman" w:hAnsi="Times New Roman" w:cs="Times New Roman"/>
          <w:sz w:val="24"/>
          <w:szCs w:val="24"/>
        </w:rPr>
        <w:t>).</w:t>
      </w:r>
    </w:p>
    <w:p w:rsidR="0097414C" w:rsidRPr="00576BA9" w:rsidRDefault="0097414C" w:rsidP="00576BA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>Zmiana proponowana w ustawie akcyzowej spowoduje obniżenie stawek akcyzy na ww. wyroby energetyczne do wysokości minimum akcyzowego (wliczając opłatę paliwową i opłatę emisyjną) w taki sposób, że wysokość opłaty emisyjnej i opłaty paliwowej pozostaną w 2021</w:t>
      </w:r>
      <w:r w:rsidR="0061337C">
        <w:rPr>
          <w:rFonts w:ascii="Times New Roman" w:hAnsi="Times New Roman" w:cs="Times New Roman"/>
          <w:sz w:val="24"/>
          <w:szCs w:val="24"/>
        </w:rPr>
        <w:t xml:space="preserve"> </w:t>
      </w:r>
      <w:r w:rsidRPr="00576BA9">
        <w:rPr>
          <w:rFonts w:ascii="Times New Roman" w:hAnsi="Times New Roman" w:cs="Times New Roman"/>
          <w:sz w:val="24"/>
          <w:szCs w:val="24"/>
        </w:rPr>
        <w:t>r. i 2022 r. na dotychczasowym poziomie.</w:t>
      </w:r>
    </w:p>
    <w:p w:rsidR="0097414C" w:rsidRPr="00576BA9" w:rsidRDefault="0097414C" w:rsidP="00576BA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>W związku z czasowym charakterem proponowanych zmian dodano w przepisach epizodycznych ustawy akcyzowej dwa nowe artykuły – art. 163d i art. 164a.</w:t>
      </w:r>
    </w:p>
    <w:p w:rsidR="0097414C" w:rsidRPr="00576BA9" w:rsidRDefault="0097414C" w:rsidP="00576BA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 xml:space="preserve">W art. 163d uregulowano kwestie związane ze zwolnieniem od akcyzy w okresie do dnia 31 </w:t>
      </w:r>
      <w:r w:rsidR="00A62E2B" w:rsidRPr="00576BA9">
        <w:rPr>
          <w:rFonts w:ascii="Times New Roman" w:hAnsi="Times New Roman" w:cs="Times New Roman"/>
          <w:sz w:val="24"/>
          <w:szCs w:val="24"/>
        </w:rPr>
        <w:t xml:space="preserve">maja </w:t>
      </w:r>
      <w:r w:rsidRPr="00576BA9">
        <w:rPr>
          <w:rFonts w:ascii="Times New Roman" w:hAnsi="Times New Roman" w:cs="Times New Roman"/>
          <w:sz w:val="24"/>
          <w:szCs w:val="24"/>
        </w:rPr>
        <w:t>2022 r. sprzedaży energii elektrycznej odbiorcom tej energii w gospodarstwach domowych.</w:t>
      </w:r>
    </w:p>
    <w:p w:rsidR="0097414C" w:rsidRPr="00576BA9" w:rsidRDefault="0097414C" w:rsidP="00576BA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 xml:space="preserve">W art. 164a uregulowano kwestię obniżonych stawek akcyzy na niektóre wyroby energetyczne. </w:t>
      </w:r>
    </w:p>
    <w:p w:rsidR="0097414C" w:rsidRPr="00576BA9" w:rsidRDefault="0097414C" w:rsidP="00576BA9">
      <w:pPr>
        <w:spacing w:before="120" w:after="0" w:line="360" w:lineRule="auto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>Szczegółowy zakres proponowanych zmian obejmuje:</w:t>
      </w:r>
    </w:p>
    <w:p w:rsidR="0097414C" w:rsidRPr="00576BA9" w:rsidRDefault="0097414C" w:rsidP="00576BA9">
      <w:pPr>
        <w:spacing w:before="120" w:after="0" w:line="360" w:lineRule="auto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b/>
          <w:sz w:val="24"/>
          <w:szCs w:val="24"/>
        </w:rPr>
        <w:t>Stawki akcyzy w okresie od dnia 20 grudnia 2021 r. do dnia 31 grudnia 2021 r. wyniosą na</w:t>
      </w:r>
      <w:r w:rsidRPr="00576BA9">
        <w:rPr>
          <w:rFonts w:ascii="Times New Roman" w:hAnsi="Times New Roman" w:cs="Times New Roman"/>
          <w:sz w:val="24"/>
          <w:szCs w:val="24"/>
        </w:rPr>
        <w:t>:</w:t>
      </w:r>
    </w:p>
    <w:p w:rsidR="0097414C" w:rsidRPr="00576BA9" w:rsidRDefault="0097414C" w:rsidP="00D5496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lastRenderedPageBreak/>
        <w:t xml:space="preserve">benzyny silnikowe </w:t>
      </w:r>
      <w:r w:rsidRPr="00576BA9">
        <w:rPr>
          <w:rFonts w:ascii="Times New Roman" w:hAnsi="Times New Roman" w:cs="Times New Roman"/>
          <w:bCs/>
          <w:sz w:val="24"/>
          <w:szCs w:val="24"/>
        </w:rPr>
        <w:t>o kodach CN 2710 12 45 lub 2710 12 49 oraz wyroby powstałe ze zmieszania tych benzyn z biokomponentami, spełniające wymagania jakościowe określone w odrębnych przepisach – 1369,00 zł/1000 litrów;</w:t>
      </w:r>
    </w:p>
    <w:p w:rsidR="0097414C" w:rsidRPr="00576BA9" w:rsidRDefault="0097414C" w:rsidP="00576BA9">
      <w:pPr>
        <w:pStyle w:val="Akapitzlist"/>
        <w:numPr>
          <w:ilvl w:val="0"/>
          <w:numId w:val="2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>oleje napędowe o kodzie CN 2710 19 43 i 2710 20 11 oraz wyroby powstałe ze zmieszania tych olejów z biokomponentami, spełniające wymagania jakościowe określone w odrębnych przepisach – 1065 zł/1000 litrów;</w:t>
      </w:r>
    </w:p>
    <w:p w:rsidR="0097414C" w:rsidRPr="00576BA9" w:rsidRDefault="0097414C" w:rsidP="00576BA9">
      <w:pPr>
        <w:pStyle w:val="Akapitzlist"/>
        <w:numPr>
          <w:ilvl w:val="0"/>
          <w:numId w:val="2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>biokomponenty stanowiące samoistne paliwa, spełniające wymagania jakościowe określone w odrębnych przepisach, przeznaczone do napędu silników spalinowych, bez względu na kod CN – 1065 zł/1000 litrów;</w:t>
      </w:r>
    </w:p>
    <w:p w:rsidR="0097414C" w:rsidRPr="00576BA9" w:rsidRDefault="0097414C" w:rsidP="00576BA9">
      <w:pPr>
        <w:pStyle w:val="Akapitzlist"/>
        <w:numPr>
          <w:ilvl w:val="0"/>
          <w:numId w:val="2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>gazy przeznaczone do napędu silników spalinowych skroplone – 364,00 zł/1000 kilogramów.</w:t>
      </w:r>
    </w:p>
    <w:p w:rsidR="0097414C" w:rsidRPr="00576BA9" w:rsidRDefault="0097414C" w:rsidP="00576BA9">
      <w:pPr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BA9">
        <w:rPr>
          <w:rFonts w:ascii="Times New Roman" w:hAnsi="Times New Roman" w:cs="Times New Roman"/>
          <w:b/>
          <w:sz w:val="24"/>
          <w:szCs w:val="24"/>
        </w:rPr>
        <w:t xml:space="preserve">Stawki akcyzy w okresie od dnia 1 stycznia 2022 r. do dnia </w:t>
      </w:r>
      <w:r w:rsidR="00514762" w:rsidRPr="00576BA9">
        <w:rPr>
          <w:rFonts w:ascii="Times New Roman" w:hAnsi="Times New Roman" w:cs="Times New Roman"/>
          <w:b/>
          <w:sz w:val="24"/>
          <w:szCs w:val="24"/>
        </w:rPr>
        <w:t xml:space="preserve">31 </w:t>
      </w:r>
      <w:r w:rsidRPr="00576BA9">
        <w:rPr>
          <w:rFonts w:ascii="Times New Roman" w:hAnsi="Times New Roman" w:cs="Times New Roman"/>
          <w:b/>
          <w:sz w:val="24"/>
          <w:szCs w:val="24"/>
        </w:rPr>
        <w:t>maja 2022 r. wyniosą na:</w:t>
      </w:r>
    </w:p>
    <w:p w:rsidR="0097414C" w:rsidRPr="00576BA9" w:rsidRDefault="0097414C" w:rsidP="00D5496D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>benzyny silnikowe o kodach CN 2710 12 45 lub 2710 12 49 oraz wyroby powstałe ze zmieszania tych benzyn z biokomponentami, spełniające wymagania jakościowe określone w odrębnych przepisach – 1413,00 zł/1000 litrów;</w:t>
      </w:r>
    </w:p>
    <w:p w:rsidR="0097414C" w:rsidRPr="00576BA9" w:rsidRDefault="0097414C" w:rsidP="00576BA9">
      <w:pPr>
        <w:pStyle w:val="Akapitzlist"/>
        <w:numPr>
          <w:ilvl w:val="0"/>
          <w:numId w:val="3"/>
        </w:numPr>
        <w:spacing w:before="120" w:after="0" w:line="360" w:lineRule="auto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>oleje napędowe o kodzie CN 2710 19 43 i 2710 20 11 oraz wyroby powstałe ze zmieszania tych olejów z biokomponentami, spełniające wymagania jakościowe określone w odrębnych przepisach – 1104 zł/1000 litrów;</w:t>
      </w:r>
    </w:p>
    <w:p w:rsidR="0097414C" w:rsidRPr="00576BA9" w:rsidRDefault="0097414C" w:rsidP="00576BA9">
      <w:pPr>
        <w:pStyle w:val="Akapitzlist"/>
        <w:numPr>
          <w:ilvl w:val="0"/>
          <w:numId w:val="3"/>
        </w:numPr>
        <w:spacing w:before="120" w:after="0" w:line="360" w:lineRule="auto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>biokomponenty stanowiące samoistne paliwa, spełniające wymagania jakościowe określone w odrębnych przepisach, przeznaczone do napędu silników spalinowych, bez względu na kod CN – 1104 zł/1000 litrów;</w:t>
      </w:r>
    </w:p>
    <w:p w:rsidR="0097414C" w:rsidRPr="00576BA9" w:rsidRDefault="0097414C" w:rsidP="00576BA9">
      <w:pPr>
        <w:pStyle w:val="Akapitzlist"/>
        <w:numPr>
          <w:ilvl w:val="0"/>
          <w:numId w:val="3"/>
        </w:numPr>
        <w:spacing w:before="120" w:after="0" w:line="360" w:lineRule="auto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>gazy przeznaczone do napędu silników spalinowych skroplone – 387,00 zł/1000 kilogramów.</w:t>
      </w:r>
    </w:p>
    <w:p w:rsidR="0097414C" w:rsidRPr="00576BA9" w:rsidRDefault="0097414C" w:rsidP="00576BA9">
      <w:pPr>
        <w:spacing w:before="120" w:after="0" w:line="360" w:lineRule="auto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b/>
          <w:sz w:val="24"/>
          <w:szCs w:val="24"/>
        </w:rPr>
        <w:t xml:space="preserve">Stawka akcyzy na energię elektryczną w okresie od dnia 1 stycznia 2022 r. do dnia 31 </w:t>
      </w:r>
      <w:r w:rsidR="00514762" w:rsidRPr="00576BA9">
        <w:rPr>
          <w:rFonts w:ascii="Times New Roman" w:hAnsi="Times New Roman" w:cs="Times New Roman"/>
          <w:b/>
          <w:sz w:val="24"/>
          <w:szCs w:val="24"/>
        </w:rPr>
        <w:t xml:space="preserve">maja </w:t>
      </w:r>
      <w:r w:rsidRPr="00576BA9">
        <w:rPr>
          <w:rFonts w:ascii="Times New Roman" w:hAnsi="Times New Roman" w:cs="Times New Roman"/>
          <w:b/>
          <w:sz w:val="24"/>
          <w:szCs w:val="24"/>
        </w:rPr>
        <w:t>2022 r. wyniesie – 4,60 zł/MWh</w:t>
      </w:r>
      <w:r w:rsidRPr="00576BA9">
        <w:rPr>
          <w:rFonts w:ascii="Times New Roman" w:hAnsi="Times New Roman" w:cs="Times New Roman"/>
          <w:sz w:val="24"/>
          <w:szCs w:val="24"/>
        </w:rPr>
        <w:t>.</w:t>
      </w:r>
    </w:p>
    <w:p w:rsidR="0097414C" w:rsidRPr="00576BA9" w:rsidRDefault="0097414C" w:rsidP="00576BA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76BA9">
        <w:rPr>
          <w:rFonts w:ascii="Times New Roman" w:hAnsi="Times New Roman" w:cs="Times New Roman"/>
          <w:sz w:val="24"/>
          <w:szCs w:val="24"/>
        </w:rPr>
        <w:t>Obniżenie stawek akcyzy</w:t>
      </w:r>
      <w:r w:rsidRPr="00576BA9" w:rsidDel="00B01661">
        <w:rPr>
          <w:rFonts w:ascii="Times New Roman" w:hAnsi="Times New Roman" w:cs="Times New Roman"/>
          <w:sz w:val="24"/>
          <w:szCs w:val="24"/>
        </w:rPr>
        <w:t xml:space="preserve"> </w:t>
      </w:r>
      <w:r w:rsidRPr="00576BA9">
        <w:rPr>
          <w:rFonts w:ascii="Times New Roman" w:hAnsi="Times New Roman" w:cs="Times New Roman"/>
          <w:sz w:val="24"/>
          <w:szCs w:val="24"/>
        </w:rPr>
        <w:t>powinno oznaczać spadek cen paliw na stacjach paliw. W</w:t>
      </w:r>
      <w:r w:rsidRPr="00576BA9">
        <w:rPr>
          <w:rFonts w:ascii="Times New Roman" w:hAnsi="Times New Roman" w:cs="Times New Roman"/>
          <w:sz w:val="24"/>
          <w:szCs w:val="24"/>
          <w:lang w:eastAsia="pl-PL"/>
        </w:rPr>
        <w:t xml:space="preserve"> przypadku przeniesienia całej obniżki akcyzy na końcową cenę paliw litr paliwa będzie się kształtował następująco: </w:t>
      </w:r>
    </w:p>
    <w:p w:rsidR="0097414C" w:rsidRPr="00576BA9" w:rsidRDefault="0097414C" w:rsidP="00D5496D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76BA9">
        <w:rPr>
          <w:rFonts w:ascii="Times New Roman" w:hAnsi="Times New Roman" w:cs="Times New Roman"/>
          <w:sz w:val="24"/>
          <w:szCs w:val="24"/>
          <w:lang w:eastAsia="pl-PL"/>
        </w:rPr>
        <w:t>olej napędowy i biokomponenty stanowiące samoistne paliwa:</w:t>
      </w:r>
    </w:p>
    <w:p w:rsidR="0097414C" w:rsidRPr="00576BA9" w:rsidRDefault="0097414C" w:rsidP="00576BA9">
      <w:pPr>
        <w:spacing w:before="120"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76BA9">
        <w:rPr>
          <w:rFonts w:ascii="Times New Roman" w:hAnsi="Times New Roman" w:cs="Times New Roman"/>
          <w:sz w:val="24"/>
          <w:szCs w:val="24"/>
          <w:lang w:eastAsia="pl-PL"/>
        </w:rPr>
        <w:t>20 grudnia 2021</w:t>
      </w:r>
      <w:r w:rsidR="000C7646">
        <w:rPr>
          <w:rFonts w:ascii="Times New Roman" w:hAnsi="Times New Roman" w:cs="Times New Roman"/>
          <w:sz w:val="24"/>
          <w:szCs w:val="24"/>
          <w:lang w:eastAsia="pl-PL"/>
        </w:rPr>
        <w:t xml:space="preserve"> r.</w:t>
      </w:r>
      <w:r w:rsidRPr="00576BA9">
        <w:rPr>
          <w:rFonts w:ascii="Times New Roman" w:hAnsi="Times New Roman" w:cs="Times New Roman"/>
          <w:sz w:val="24"/>
          <w:szCs w:val="24"/>
          <w:lang w:eastAsia="pl-PL"/>
        </w:rPr>
        <w:t xml:space="preserve"> – 31 grudnia 2021</w:t>
      </w:r>
      <w:r w:rsidR="008603C7" w:rsidRPr="00576BA9">
        <w:rPr>
          <w:rFonts w:ascii="Times New Roman" w:hAnsi="Times New Roman" w:cs="Times New Roman"/>
          <w:sz w:val="24"/>
          <w:szCs w:val="24"/>
          <w:lang w:eastAsia="pl-PL"/>
        </w:rPr>
        <w:t xml:space="preserve"> r.</w:t>
      </w:r>
      <w:r w:rsidRPr="00576BA9">
        <w:rPr>
          <w:rFonts w:ascii="Times New Roman" w:hAnsi="Times New Roman" w:cs="Times New Roman"/>
          <w:sz w:val="24"/>
          <w:szCs w:val="24"/>
          <w:lang w:eastAsia="pl-PL"/>
        </w:rPr>
        <w:t xml:space="preserve"> o 8 gr/l</w:t>
      </w:r>
      <w:r w:rsidR="0061337C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576BA9">
        <w:rPr>
          <w:rFonts w:ascii="Times New Roman" w:hAnsi="Times New Roman" w:cs="Times New Roman"/>
          <w:sz w:val="24"/>
          <w:szCs w:val="24"/>
          <w:lang w:eastAsia="pl-PL"/>
        </w:rPr>
        <w:t>z VAT 10 gr/l,</w:t>
      </w:r>
    </w:p>
    <w:p w:rsidR="0097414C" w:rsidRPr="00576BA9" w:rsidRDefault="0097414C" w:rsidP="00576BA9">
      <w:pPr>
        <w:spacing w:before="120"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76BA9">
        <w:rPr>
          <w:rFonts w:ascii="Times New Roman" w:hAnsi="Times New Roman" w:cs="Times New Roman"/>
          <w:sz w:val="24"/>
          <w:szCs w:val="24"/>
          <w:lang w:eastAsia="pl-PL"/>
        </w:rPr>
        <w:t>1 stycznia 2022</w:t>
      </w:r>
      <w:r w:rsidR="000C7646">
        <w:rPr>
          <w:rFonts w:ascii="Times New Roman" w:hAnsi="Times New Roman" w:cs="Times New Roman"/>
          <w:sz w:val="24"/>
          <w:szCs w:val="24"/>
          <w:lang w:eastAsia="pl-PL"/>
        </w:rPr>
        <w:t xml:space="preserve"> r.</w:t>
      </w:r>
      <w:r w:rsidRPr="00576BA9">
        <w:rPr>
          <w:rFonts w:ascii="Times New Roman" w:hAnsi="Times New Roman" w:cs="Times New Roman"/>
          <w:sz w:val="24"/>
          <w:szCs w:val="24"/>
          <w:lang w:eastAsia="pl-PL"/>
        </w:rPr>
        <w:t xml:space="preserve"> – </w:t>
      </w:r>
      <w:r w:rsidR="00A62E2B" w:rsidRPr="00576BA9">
        <w:rPr>
          <w:rFonts w:ascii="Times New Roman" w:hAnsi="Times New Roman" w:cs="Times New Roman"/>
          <w:sz w:val="24"/>
          <w:szCs w:val="24"/>
          <w:lang w:eastAsia="pl-PL"/>
        </w:rPr>
        <w:t xml:space="preserve">31 </w:t>
      </w:r>
      <w:r w:rsidRPr="00576BA9">
        <w:rPr>
          <w:rFonts w:ascii="Times New Roman" w:hAnsi="Times New Roman" w:cs="Times New Roman"/>
          <w:sz w:val="24"/>
          <w:szCs w:val="24"/>
          <w:lang w:eastAsia="pl-PL"/>
        </w:rPr>
        <w:t>maja 2022 r. o 5 gr/l z VAT o 6 gr/l</w:t>
      </w:r>
      <w:r w:rsidR="000657FA">
        <w:rPr>
          <w:rFonts w:ascii="Times New Roman" w:hAnsi="Times New Roman" w:cs="Times New Roman"/>
          <w:sz w:val="24"/>
          <w:szCs w:val="24"/>
          <w:lang w:eastAsia="pl-PL"/>
        </w:rPr>
        <w:t>;</w:t>
      </w:r>
    </w:p>
    <w:p w:rsidR="0097414C" w:rsidRPr="00576BA9" w:rsidRDefault="0097414C" w:rsidP="00576BA9">
      <w:pPr>
        <w:pStyle w:val="Akapitzlist"/>
        <w:numPr>
          <w:ilvl w:val="0"/>
          <w:numId w:val="1"/>
        </w:numPr>
        <w:spacing w:before="12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76BA9">
        <w:rPr>
          <w:rFonts w:ascii="Times New Roman" w:hAnsi="Times New Roman" w:cs="Times New Roman"/>
          <w:sz w:val="24"/>
          <w:szCs w:val="24"/>
          <w:lang w:eastAsia="pl-PL"/>
        </w:rPr>
        <w:t>benzyny silnikowe:</w:t>
      </w:r>
      <w:r w:rsidR="0061337C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97414C" w:rsidRPr="00576BA9" w:rsidRDefault="0097414C" w:rsidP="00576BA9">
      <w:pPr>
        <w:pStyle w:val="Akapitzlist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76BA9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20 grudnia 2021</w:t>
      </w:r>
      <w:r w:rsidR="001E4AC0">
        <w:rPr>
          <w:rFonts w:ascii="Times New Roman" w:hAnsi="Times New Roman" w:cs="Times New Roman"/>
          <w:sz w:val="24"/>
          <w:szCs w:val="24"/>
          <w:lang w:eastAsia="pl-PL"/>
        </w:rPr>
        <w:t xml:space="preserve"> r.</w:t>
      </w:r>
      <w:r w:rsidRPr="00576BA9">
        <w:rPr>
          <w:rFonts w:ascii="Times New Roman" w:hAnsi="Times New Roman" w:cs="Times New Roman"/>
          <w:sz w:val="24"/>
          <w:szCs w:val="24"/>
          <w:lang w:eastAsia="pl-PL"/>
        </w:rPr>
        <w:t xml:space="preserve"> – 31 grudnia 2021 </w:t>
      </w:r>
      <w:r w:rsidR="008603C7" w:rsidRPr="00576BA9">
        <w:rPr>
          <w:rFonts w:ascii="Times New Roman" w:hAnsi="Times New Roman" w:cs="Times New Roman"/>
          <w:sz w:val="24"/>
          <w:szCs w:val="24"/>
          <w:lang w:eastAsia="pl-PL"/>
        </w:rPr>
        <w:t xml:space="preserve">r. </w:t>
      </w:r>
      <w:r w:rsidRPr="00576BA9">
        <w:rPr>
          <w:rFonts w:ascii="Times New Roman" w:hAnsi="Times New Roman" w:cs="Times New Roman"/>
          <w:sz w:val="24"/>
          <w:szCs w:val="24"/>
          <w:lang w:eastAsia="pl-PL"/>
        </w:rPr>
        <w:t>o 14 gr/l</w:t>
      </w:r>
      <w:r w:rsidR="0061337C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576BA9">
        <w:rPr>
          <w:rFonts w:ascii="Times New Roman" w:hAnsi="Times New Roman" w:cs="Times New Roman"/>
          <w:sz w:val="24"/>
          <w:szCs w:val="24"/>
          <w:lang w:eastAsia="pl-PL"/>
        </w:rPr>
        <w:t>z VAT 17 gr/l,</w:t>
      </w:r>
    </w:p>
    <w:p w:rsidR="0097414C" w:rsidRPr="00576BA9" w:rsidRDefault="0097414C" w:rsidP="00576BA9">
      <w:pPr>
        <w:pStyle w:val="Akapitzlist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76BA9">
        <w:rPr>
          <w:rFonts w:ascii="Times New Roman" w:hAnsi="Times New Roman" w:cs="Times New Roman"/>
          <w:sz w:val="24"/>
          <w:szCs w:val="24"/>
          <w:lang w:eastAsia="pl-PL"/>
        </w:rPr>
        <w:t xml:space="preserve">1 stycznia 2022 </w:t>
      </w:r>
      <w:r w:rsidR="001E4AC0">
        <w:rPr>
          <w:rFonts w:ascii="Times New Roman" w:hAnsi="Times New Roman" w:cs="Times New Roman"/>
          <w:sz w:val="24"/>
          <w:szCs w:val="24"/>
          <w:lang w:eastAsia="pl-PL"/>
        </w:rPr>
        <w:t xml:space="preserve">r. </w:t>
      </w:r>
      <w:r w:rsidRPr="00576BA9">
        <w:rPr>
          <w:rFonts w:ascii="Times New Roman" w:hAnsi="Times New Roman" w:cs="Times New Roman"/>
          <w:sz w:val="24"/>
          <w:szCs w:val="24"/>
          <w:lang w:eastAsia="pl-PL"/>
        </w:rPr>
        <w:t xml:space="preserve">– </w:t>
      </w:r>
      <w:r w:rsidR="00A62E2B" w:rsidRPr="00576BA9">
        <w:rPr>
          <w:rFonts w:ascii="Times New Roman" w:hAnsi="Times New Roman" w:cs="Times New Roman"/>
          <w:sz w:val="24"/>
          <w:szCs w:val="24"/>
          <w:lang w:eastAsia="pl-PL"/>
        </w:rPr>
        <w:t>31</w:t>
      </w:r>
      <w:r w:rsidR="008603C7" w:rsidRPr="00576BA9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576BA9">
        <w:rPr>
          <w:rFonts w:ascii="Times New Roman" w:hAnsi="Times New Roman" w:cs="Times New Roman"/>
          <w:sz w:val="24"/>
          <w:szCs w:val="24"/>
          <w:lang w:eastAsia="pl-PL"/>
        </w:rPr>
        <w:t>maja 2022 r. o 11 gr/l z VAT o 14 gr/l</w:t>
      </w:r>
      <w:r w:rsidR="000657FA">
        <w:rPr>
          <w:rFonts w:ascii="Times New Roman" w:hAnsi="Times New Roman" w:cs="Times New Roman"/>
          <w:sz w:val="24"/>
          <w:szCs w:val="24"/>
          <w:lang w:eastAsia="pl-PL"/>
        </w:rPr>
        <w:t>;</w:t>
      </w:r>
    </w:p>
    <w:p w:rsidR="0097414C" w:rsidRPr="00576BA9" w:rsidRDefault="0097414C" w:rsidP="00576BA9">
      <w:pPr>
        <w:pStyle w:val="Akapitzlist"/>
        <w:numPr>
          <w:ilvl w:val="0"/>
          <w:numId w:val="1"/>
        </w:numPr>
        <w:spacing w:before="120"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76BA9">
        <w:rPr>
          <w:rFonts w:ascii="Times New Roman" w:hAnsi="Times New Roman" w:cs="Times New Roman"/>
          <w:sz w:val="24"/>
          <w:szCs w:val="24"/>
          <w:lang w:eastAsia="pl-PL"/>
        </w:rPr>
        <w:t>gaz skroplony (LPG):</w:t>
      </w:r>
    </w:p>
    <w:p w:rsidR="0097414C" w:rsidRPr="00576BA9" w:rsidRDefault="0097414C" w:rsidP="00576BA9">
      <w:pPr>
        <w:pStyle w:val="Akapitzlist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76BA9">
        <w:rPr>
          <w:rFonts w:ascii="Times New Roman" w:hAnsi="Times New Roman" w:cs="Times New Roman"/>
          <w:sz w:val="24"/>
          <w:szCs w:val="24"/>
          <w:lang w:eastAsia="pl-PL"/>
        </w:rPr>
        <w:t>20 grudnia 2021</w:t>
      </w:r>
      <w:r w:rsidR="001E4AC0">
        <w:rPr>
          <w:rFonts w:ascii="Times New Roman" w:hAnsi="Times New Roman" w:cs="Times New Roman"/>
          <w:sz w:val="24"/>
          <w:szCs w:val="24"/>
          <w:lang w:eastAsia="pl-PL"/>
        </w:rPr>
        <w:t xml:space="preserve"> r.</w:t>
      </w:r>
      <w:r w:rsidRPr="00576BA9">
        <w:rPr>
          <w:rFonts w:ascii="Times New Roman" w:hAnsi="Times New Roman" w:cs="Times New Roman"/>
          <w:sz w:val="24"/>
          <w:szCs w:val="24"/>
          <w:lang w:eastAsia="pl-PL"/>
        </w:rPr>
        <w:t xml:space="preserve"> – 31 grudnia 2021 </w:t>
      </w:r>
      <w:r w:rsidR="008603C7" w:rsidRPr="00576BA9">
        <w:rPr>
          <w:rFonts w:ascii="Times New Roman" w:hAnsi="Times New Roman" w:cs="Times New Roman"/>
          <w:sz w:val="24"/>
          <w:szCs w:val="24"/>
          <w:lang w:eastAsia="pl-PL"/>
        </w:rPr>
        <w:t xml:space="preserve">r. </w:t>
      </w:r>
      <w:r w:rsidRPr="00576BA9">
        <w:rPr>
          <w:rFonts w:ascii="Times New Roman" w:hAnsi="Times New Roman" w:cs="Times New Roman"/>
          <w:sz w:val="24"/>
          <w:szCs w:val="24"/>
          <w:lang w:eastAsia="pl-PL"/>
        </w:rPr>
        <w:t>o 15 gr/l</w:t>
      </w:r>
      <w:r w:rsidR="0061337C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576BA9">
        <w:rPr>
          <w:rFonts w:ascii="Times New Roman" w:hAnsi="Times New Roman" w:cs="Times New Roman"/>
          <w:sz w:val="24"/>
          <w:szCs w:val="24"/>
          <w:lang w:eastAsia="pl-PL"/>
        </w:rPr>
        <w:t>z VAT 18 gr/l,</w:t>
      </w:r>
    </w:p>
    <w:p w:rsidR="0097414C" w:rsidRPr="00576BA9" w:rsidRDefault="0097414C" w:rsidP="00576BA9">
      <w:pPr>
        <w:pStyle w:val="Akapitzlist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76BA9">
        <w:rPr>
          <w:rFonts w:ascii="Times New Roman" w:hAnsi="Times New Roman" w:cs="Times New Roman"/>
          <w:sz w:val="24"/>
          <w:szCs w:val="24"/>
          <w:lang w:eastAsia="pl-PL"/>
        </w:rPr>
        <w:t>1 stycznia 2022</w:t>
      </w:r>
      <w:r w:rsidR="001E4AC0">
        <w:rPr>
          <w:rFonts w:ascii="Times New Roman" w:hAnsi="Times New Roman" w:cs="Times New Roman"/>
          <w:sz w:val="24"/>
          <w:szCs w:val="24"/>
          <w:lang w:eastAsia="pl-PL"/>
        </w:rPr>
        <w:t xml:space="preserve"> r.</w:t>
      </w:r>
      <w:r w:rsidRPr="00576BA9">
        <w:rPr>
          <w:rFonts w:ascii="Times New Roman" w:hAnsi="Times New Roman" w:cs="Times New Roman"/>
          <w:sz w:val="24"/>
          <w:szCs w:val="24"/>
          <w:lang w:eastAsia="pl-PL"/>
        </w:rPr>
        <w:t xml:space="preserve"> – </w:t>
      </w:r>
      <w:r w:rsidR="00A62E2B" w:rsidRPr="00576BA9">
        <w:rPr>
          <w:rFonts w:ascii="Times New Roman" w:hAnsi="Times New Roman" w:cs="Times New Roman"/>
          <w:sz w:val="24"/>
          <w:szCs w:val="24"/>
          <w:lang w:eastAsia="pl-PL"/>
        </w:rPr>
        <w:t xml:space="preserve">31 </w:t>
      </w:r>
      <w:r w:rsidRPr="00576BA9">
        <w:rPr>
          <w:rFonts w:ascii="Times New Roman" w:hAnsi="Times New Roman" w:cs="Times New Roman"/>
          <w:sz w:val="24"/>
          <w:szCs w:val="24"/>
          <w:lang w:eastAsia="pl-PL"/>
        </w:rPr>
        <w:t>maja 2022 r. o 15 gr/l z VAT o 18 gr/l.</w:t>
      </w:r>
    </w:p>
    <w:p w:rsidR="0097414C" w:rsidRPr="00576BA9" w:rsidRDefault="0097414C" w:rsidP="00576BA9">
      <w:pPr>
        <w:pStyle w:val="Akapitzlist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97414C" w:rsidRPr="00576BA9" w:rsidRDefault="0097414C" w:rsidP="00576BA9">
      <w:pPr>
        <w:pStyle w:val="Akapitzlist"/>
        <w:spacing w:before="120" w:after="120" w:line="360" w:lineRule="auto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  <w:lang w:eastAsia="pl-PL"/>
        </w:rPr>
        <w:t>Koszt dla budżetu wprowadzenia ww. obniżek to ok. 1,</w:t>
      </w:r>
      <w:r w:rsidR="00A32F3F" w:rsidRPr="00576BA9">
        <w:rPr>
          <w:rFonts w:ascii="Times New Roman" w:hAnsi="Times New Roman" w:cs="Times New Roman"/>
          <w:sz w:val="24"/>
          <w:szCs w:val="24"/>
          <w:lang w:eastAsia="pl-PL"/>
        </w:rPr>
        <w:t>327</w:t>
      </w:r>
      <w:r w:rsidRPr="00576BA9">
        <w:rPr>
          <w:rFonts w:ascii="Times New Roman" w:hAnsi="Times New Roman" w:cs="Times New Roman"/>
          <w:sz w:val="24"/>
          <w:szCs w:val="24"/>
          <w:lang w:eastAsia="pl-PL"/>
        </w:rPr>
        <w:t xml:space="preserve"> mld zł (akcyza wraz z podatkiem VAT). </w:t>
      </w:r>
    </w:p>
    <w:p w:rsidR="0097414C" w:rsidRPr="00576BA9" w:rsidRDefault="0097414C" w:rsidP="00576BA9">
      <w:pPr>
        <w:pStyle w:val="Akapitzlist"/>
        <w:spacing w:before="120" w:after="120" w:line="360" w:lineRule="auto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Czasowe obniżki akcyzy na przedmiotowe paliwa silnikowe mają doprowadzić do zahamowania wzrostu cen paliw na stacjach paliw, a zatem również pomóc w walce z inflacją. Należy podkreślić, że wzrost cen surowców energetycznych na rynkach światowych jest główną przyczyną wzrostu inflacji w Polsce i innych krajach unijnych. W związku z tym ograniczenie wzrostu cen paliw powinno się przyczynić do stabilizacji cen także w innych obszarach gospodarki, </w:t>
      </w:r>
      <w:r w:rsidR="00576B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 </w:t>
      </w: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tym cen żywności. </w:t>
      </w:r>
    </w:p>
    <w:p w:rsidR="0097414C" w:rsidRPr="00576BA9" w:rsidRDefault="0097414C" w:rsidP="00576BA9">
      <w:pPr>
        <w:pStyle w:val="Akapitzlist"/>
        <w:spacing w:before="120" w:after="120" w:line="360" w:lineRule="auto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>Giełdowe notowania energii elektrycznej w ciągu roku wzrosły o blisko 40%. To przełoży się na wzrost stawek dla gospodarstw domowych w 2022 r. Szacowane jest, że rachunki za energię elektryczną dla gospodarstw domowych wzrosną o 10</w:t>
      </w:r>
      <w:r w:rsidR="000657FA">
        <w:rPr>
          <w:rFonts w:ascii="Times New Roman" w:hAnsi="Times New Roman" w:cs="Times New Roman"/>
          <w:bCs/>
          <w:color w:val="000000"/>
          <w:sz w:val="24"/>
          <w:szCs w:val="24"/>
        </w:rPr>
        <w:t>–</w:t>
      </w: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>15%.</w:t>
      </w:r>
    </w:p>
    <w:p w:rsidR="0097414C" w:rsidRPr="00576BA9" w:rsidRDefault="0097414C" w:rsidP="00576BA9">
      <w:pPr>
        <w:pStyle w:val="Akapitzlist"/>
        <w:spacing w:before="120" w:after="120" w:line="360" w:lineRule="auto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>Wprowadzenie zwolnień dla energii elektrycznej wykorzystywanej przez gospodarstwa domowe pozwoli na zmniejszenie kosztów po stronie tej grupy odbiorców.</w:t>
      </w:r>
    </w:p>
    <w:p w:rsidR="0097414C" w:rsidRPr="00576BA9" w:rsidRDefault="0097414C" w:rsidP="00576BA9">
      <w:pPr>
        <w:pStyle w:val="Akapitzlist"/>
        <w:spacing w:before="120" w:after="120" w:line="360" w:lineRule="auto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>Wprowadzenie zwolnienia od akcyzy dopuszcza prawo unijne. Art. 15 ust. 1 lit. h dyrektywy Rady 2003/96/WE</w:t>
      </w:r>
      <w:r w:rsidR="0061337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>wskazuje, iż bez uszczerbku dla innych przepisów wspólnotowych, państwa członkowskie mogą przyznawać, pod kontrolą fiskalną, całkowite lub częściowe zwolnienia w zakresie poziomu opodatkowania wobec energii elektrycznej wykorzystywanej przez gospodarstwa domowe.</w:t>
      </w:r>
    </w:p>
    <w:p w:rsidR="0097414C" w:rsidRPr="00576BA9" w:rsidRDefault="0097414C" w:rsidP="00576BA9">
      <w:pPr>
        <w:pStyle w:val="Akapitzlist"/>
        <w:spacing w:before="120" w:after="120" w:line="360" w:lineRule="auto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Zwolnieniem objęta będzie sprzedaż energii elektrycznej nabywcy końcowemu będącemu odbiorcą energii elektrycznej w gospodarstwie domowym, w rozumieniu przepisów ustawy z dnia 10 kwietnia 1997 r. – Prawo energetyczne (Dz. U. z 2021 r. poz. 716, z </w:t>
      </w:r>
      <w:proofErr w:type="spellStart"/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>późn</w:t>
      </w:r>
      <w:proofErr w:type="spellEnd"/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zm.). Odbiorcą energii elektrycznych w gospodarstwie domowym, w myśl art. 3 pkt 13b ww. ustawy, jest odbiorca końcowy dokonujący zakupu energii elektrycznej wyłącznie w celu ich zużycia w gospodarstwie domowym. </w:t>
      </w:r>
    </w:p>
    <w:p w:rsidR="0097414C" w:rsidRPr="00576BA9" w:rsidRDefault="0097414C" w:rsidP="00576BA9">
      <w:pPr>
        <w:pStyle w:val="Akapitzlist"/>
        <w:spacing w:before="120" w:after="120" w:line="360" w:lineRule="auto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>Ponieważ ani ustawa akcyzow</w:t>
      </w:r>
      <w:r w:rsidR="000657FA">
        <w:rPr>
          <w:rFonts w:ascii="Times New Roman" w:hAnsi="Times New Roman" w:cs="Times New Roman"/>
          <w:bCs/>
          <w:color w:val="000000"/>
          <w:sz w:val="24"/>
          <w:szCs w:val="24"/>
        </w:rPr>
        <w:t>a</w:t>
      </w: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ani ustawa z dnia 10 kwietnia 1997 r. – Prawo energetyczne nie posługuje się legalną definicją gospodarstwa domowego, dla określenia tego pojęcia należy odwołać się do jego znaczenia językowego. Z Małego słownika j. polskiego (Wydawnictwo Naukowe PWN Warszawa 1999, str. 231) wynika, iż </w:t>
      </w:r>
      <w:r w:rsidR="000657F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wyraz </w:t>
      </w:r>
      <w:r w:rsidR="00576BF2">
        <w:rPr>
          <w:rFonts w:ascii="Times New Roman" w:hAnsi="Times New Roman" w:cs="Times New Roman"/>
          <w:bCs/>
          <w:color w:val="000000"/>
          <w:sz w:val="24"/>
          <w:szCs w:val="24"/>
        </w:rPr>
        <w:t>„</w:t>
      </w: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>gospodarstwo</w:t>
      </w:r>
      <w:r w:rsidR="00576BF2">
        <w:rPr>
          <w:rFonts w:ascii="Times New Roman" w:hAnsi="Times New Roman" w:cs="Times New Roman"/>
          <w:bCs/>
          <w:color w:val="000000"/>
          <w:sz w:val="24"/>
          <w:szCs w:val="24"/>
        </w:rPr>
        <w:t>”</w:t>
      </w: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657F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oznacza </w:t>
      </w: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m.in. </w:t>
      </w: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posiadłość wiejsk</w:t>
      </w:r>
      <w:r w:rsidR="000657FA">
        <w:rPr>
          <w:rFonts w:ascii="Times New Roman" w:hAnsi="Times New Roman" w:cs="Times New Roman"/>
          <w:bCs/>
          <w:color w:val="000000"/>
          <w:sz w:val="24"/>
          <w:szCs w:val="24"/>
        </w:rPr>
        <w:t>ą</w:t>
      </w: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obejmując</w:t>
      </w:r>
      <w:r w:rsidR="000657FA">
        <w:rPr>
          <w:rFonts w:ascii="Times New Roman" w:hAnsi="Times New Roman" w:cs="Times New Roman"/>
          <w:bCs/>
          <w:color w:val="000000"/>
          <w:sz w:val="24"/>
          <w:szCs w:val="24"/>
        </w:rPr>
        <w:t>ą</w:t>
      </w: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grunty i zabudowania, natomiast </w:t>
      </w:r>
      <w:r w:rsidR="00576BF2">
        <w:rPr>
          <w:rFonts w:ascii="Times New Roman" w:hAnsi="Times New Roman" w:cs="Times New Roman"/>
          <w:bCs/>
          <w:color w:val="000000"/>
          <w:sz w:val="24"/>
          <w:szCs w:val="24"/>
        </w:rPr>
        <w:t>wyraz „</w:t>
      </w: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>domowy</w:t>
      </w:r>
      <w:r w:rsidR="00576BF2">
        <w:rPr>
          <w:rFonts w:ascii="Times New Roman" w:hAnsi="Times New Roman" w:cs="Times New Roman"/>
          <w:bCs/>
          <w:color w:val="000000"/>
          <w:sz w:val="24"/>
          <w:szCs w:val="24"/>
        </w:rPr>
        <w:t>”</w:t>
      </w: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– to w szczególności odnoszący się do domu. Dom to pomieszczenia mieszkalne, miejsce stałego zamieszkania</w:t>
      </w:r>
      <w:r w:rsidR="00576BF2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jak i ogół spraw, obowiązków rodzinnych</w:t>
      </w:r>
      <w:r w:rsidR="00576BF2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domowych, gospodarstwo domowe.</w:t>
      </w:r>
    </w:p>
    <w:p w:rsidR="0097414C" w:rsidRPr="00576BA9" w:rsidRDefault="0097414C" w:rsidP="00576BA9">
      <w:pPr>
        <w:pStyle w:val="Akapitzlist"/>
        <w:spacing w:before="120" w:after="120" w:line="360" w:lineRule="auto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>Gospodarstwo domowe to przede wszystkim zabudowania związane z pomieszczeniami mieszkalnymi (służy jako miejsce stałego zamieszkania, w którym koncentruje się ogół spraw, obowiązków rodzinnych domowych).</w:t>
      </w:r>
    </w:p>
    <w:p w:rsidR="0061337C" w:rsidRDefault="0097414C" w:rsidP="0061337C">
      <w:pPr>
        <w:pStyle w:val="Akapitzlist"/>
        <w:spacing w:before="120" w:after="120" w:line="360" w:lineRule="auto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Definicje te wskazują zatem na główny cel wykorzystywania pomieszczeń, w których jest prowadzone gospodarstwo domowe. Jest nim cel mieszkalny. Ponieważ jednak częstym przypadkiem jest, że osoby tworzące gospodarstwo domowe wykorzystują pomieszczenia, w których mieszkają, także do celów zarobkowych, wprowadzane zwolnienie precyzuje, kiedy wykluczone jest korzystanie ze zwolnienia. Dotyczy to sytuacji, gdy cała nieruchomość jest wykorzystywana na potrzeby prowadzonej działalności gospodarczej. W takiej jednak sytuacji nabywca końcowy energii elektrycznej dla tego lokalu powinien z dostawcą tej energii podpisać umowę na dostawę tej energii jako odbiorca inny niż gospodarstwo domowe. </w:t>
      </w:r>
    </w:p>
    <w:p w:rsidR="0061337C" w:rsidRDefault="0061337C" w:rsidP="0061337C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7414C" w:rsidRPr="00576BA9" w:rsidRDefault="0097414C" w:rsidP="0061337C">
      <w:pPr>
        <w:pStyle w:val="Akapitzlist"/>
        <w:spacing w:after="120" w:line="360" w:lineRule="auto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>Koszt dla budżetu wprowadzenia zwolnienia jest szacowany na ok. 0,</w:t>
      </w:r>
      <w:r w:rsidR="00A62E2B"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 </w:t>
      </w:r>
      <w:r w:rsidRPr="00576BA9">
        <w:rPr>
          <w:rFonts w:ascii="Times New Roman" w:hAnsi="Times New Roman" w:cs="Times New Roman"/>
          <w:bCs/>
          <w:color w:val="000000"/>
          <w:sz w:val="24"/>
          <w:szCs w:val="24"/>
        </w:rPr>
        <w:t>mld zł (akcyza i VAT).</w:t>
      </w:r>
    </w:p>
    <w:p w:rsidR="0097414C" w:rsidRPr="00576BA9" w:rsidRDefault="0097414C" w:rsidP="00576BA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 xml:space="preserve">W zmianie ustawy o podatku od sprzedaży detalicznej, jako jedno z działań mających powstrzymać wzrost inflacji, proponuje się rozwiązanie polegające na czasowym wyłączeniu z opodatkowania podatkiem od sprzedaży detalicznej sprzedaży paliw. Zgodnie z projektowanym art. 11b tej ustawy, w okresie od 1 stycznia do 31 maja 2022 roku, opodatkowaniu podatkiem od sprzedaży detalicznej nie będzie podlegała sprzedaż detaliczna. </w:t>
      </w:r>
    </w:p>
    <w:p w:rsidR="0097414C" w:rsidRPr="00576BA9" w:rsidRDefault="0097414C" w:rsidP="00576BA9">
      <w:pPr>
        <w:pStyle w:val="Akapitzlist"/>
        <w:numPr>
          <w:ilvl w:val="0"/>
          <w:numId w:val="5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 xml:space="preserve">benzyn silnikowych, o których mowa w art. 89 ust. 1 pkt 2 ustawy </w:t>
      </w:r>
      <w:r w:rsidR="000657FA">
        <w:rPr>
          <w:rFonts w:ascii="Times New Roman" w:hAnsi="Times New Roman" w:cs="Times New Roman"/>
          <w:sz w:val="24"/>
          <w:szCs w:val="24"/>
        </w:rPr>
        <w:t>akcyzowej;</w:t>
      </w:r>
    </w:p>
    <w:p w:rsidR="0097414C" w:rsidRPr="00576BA9" w:rsidRDefault="0097414C" w:rsidP="00576BA9">
      <w:pPr>
        <w:pStyle w:val="Akapitzlist"/>
        <w:numPr>
          <w:ilvl w:val="0"/>
          <w:numId w:val="5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>olejów napędowych, o któr</w:t>
      </w:r>
      <w:r w:rsidR="000657FA">
        <w:rPr>
          <w:rFonts w:ascii="Times New Roman" w:hAnsi="Times New Roman" w:cs="Times New Roman"/>
          <w:sz w:val="24"/>
          <w:szCs w:val="24"/>
        </w:rPr>
        <w:t>ych mowa w art. 89 ust. 1 pkt 6 ustawy akcyzowej;</w:t>
      </w:r>
    </w:p>
    <w:p w:rsidR="0097414C" w:rsidRPr="00576BA9" w:rsidRDefault="0097414C" w:rsidP="00576BA9">
      <w:pPr>
        <w:pStyle w:val="Akapitzlist"/>
        <w:numPr>
          <w:ilvl w:val="0"/>
          <w:numId w:val="5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>biokomponentów stanowiących samoistne paliwa, o których mowa w art. 89 ust. 1 pkt 8</w:t>
      </w:r>
      <w:r w:rsidR="000657FA">
        <w:rPr>
          <w:rFonts w:ascii="Times New Roman" w:hAnsi="Times New Roman" w:cs="Times New Roman"/>
          <w:sz w:val="24"/>
          <w:szCs w:val="24"/>
        </w:rPr>
        <w:t xml:space="preserve"> ustawy akcyzowej;</w:t>
      </w:r>
    </w:p>
    <w:p w:rsidR="0097414C" w:rsidRPr="00576BA9" w:rsidRDefault="0097414C" w:rsidP="00576BA9">
      <w:pPr>
        <w:pStyle w:val="Akapitzlist"/>
        <w:numPr>
          <w:ilvl w:val="0"/>
          <w:numId w:val="5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>gazów przeznaczonych do napędu silników spalinowych, o których mowa w art. 89 ust. 1 pkt 12 lit. a</w:t>
      </w:r>
      <w:r w:rsidR="00D5496D">
        <w:rPr>
          <w:rFonts w:ascii="Times New Roman" w:hAnsi="Times New Roman" w:cs="Times New Roman"/>
          <w:sz w:val="24"/>
          <w:szCs w:val="24"/>
        </w:rPr>
        <w:t>–</w:t>
      </w:r>
      <w:r w:rsidRPr="00576BA9">
        <w:rPr>
          <w:rFonts w:ascii="Times New Roman" w:hAnsi="Times New Roman" w:cs="Times New Roman"/>
          <w:sz w:val="24"/>
          <w:szCs w:val="24"/>
        </w:rPr>
        <w:t>b</w:t>
      </w:r>
      <w:r w:rsidR="000657FA">
        <w:rPr>
          <w:rFonts w:ascii="Times New Roman" w:hAnsi="Times New Roman" w:cs="Times New Roman"/>
          <w:sz w:val="24"/>
          <w:szCs w:val="24"/>
        </w:rPr>
        <w:t xml:space="preserve"> ustawy akcyzowej</w:t>
      </w:r>
      <w:r w:rsidRPr="00576BA9">
        <w:rPr>
          <w:rFonts w:ascii="Times New Roman" w:hAnsi="Times New Roman" w:cs="Times New Roman"/>
          <w:sz w:val="24"/>
          <w:szCs w:val="24"/>
        </w:rPr>
        <w:t>.</w:t>
      </w:r>
    </w:p>
    <w:p w:rsidR="0097414C" w:rsidRPr="00576BA9" w:rsidRDefault="0097414C" w:rsidP="00576BA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>Należy przypuszczać, że okresowe wyłączenie z opodatkowania sprzedaży paliw na rzecz konsumentów będzie miało wpływ na spadek ich cen na stacjach paliw.</w:t>
      </w:r>
    </w:p>
    <w:p w:rsidR="0097414C" w:rsidRPr="00576BA9" w:rsidRDefault="0097414C" w:rsidP="00576BA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>W ustawie przewiduje się również nałożenie obowiązku</w:t>
      </w:r>
      <w:r w:rsidR="0061337C">
        <w:rPr>
          <w:rFonts w:ascii="Times New Roman" w:hAnsi="Times New Roman" w:cs="Times New Roman"/>
          <w:sz w:val="24"/>
          <w:szCs w:val="24"/>
        </w:rPr>
        <w:t xml:space="preserve"> </w:t>
      </w:r>
      <w:r w:rsidRPr="00576BA9">
        <w:rPr>
          <w:rFonts w:ascii="Times New Roman" w:hAnsi="Times New Roman" w:cs="Times New Roman"/>
          <w:sz w:val="24"/>
          <w:szCs w:val="24"/>
        </w:rPr>
        <w:t xml:space="preserve">zamieszczania przy kasie rejestrującej w lokalu przedsiębiorstwa, w którym dokonywana jest sprzedaż paliw silnikowych, czytelnej informacji </w:t>
      </w:r>
      <w:r w:rsidR="004B7738" w:rsidRPr="00576BA9">
        <w:rPr>
          <w:rFonts w:ascii="Times New Roman" w:hAnsi="Times New Roman" w:cs="Times New Roman"/>
          <w:sz w:val="24"/>
          <w:szCs w:val="24"/>
        </w:rPr>
        <w:t xml:space="preserve">o obniżeniu podatku akcyzowego na paliwa silnikowe oraz o niepodleganiu tych </w:t>
      </w:r>
      <w:r w:rsidR="004B7738" w:rsidRPr="00576BA9">
        <w:rPr>
          <w:rFonts w:ascii="Times New Roman" w:hAnsi="Times New Roman" w:cs="Times New Roman"/>
          <w:sz w:val="24"/>
          <w:szCs w:val="24"/>
        </w:rPr>
        <w:lastRenderedPageBreak/>
        <w:t>paliw opodatkowaniu podatkiem od sprzedaży detalicznej. Projekt przewiduje, że wzór tej informacji może zostać ogłoszony przez Radę Ministrów w drodze obwieszczenia.</w:t>
      </w:r>
    </w:p>
    <w:p w:rsidR="0097414C" w:rsidRPr="00576BA9" w:rsidRDefault="0097414C" w:rsidP="00576BA9">
      <w:pPr>
        <w:pStyle w:val="Akapitzlist"/>
        <w:spacing w:before="120"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6BA9">
        <w:rPr>
          <w:rFonts w:ascii="Times New Roman" w:hAnsi="Times New Roman" w:cs="Times New Roman"/>
          <w:sz w:val="24"/>
          <w:szCs w:val="24"/>
        </w:rPr>
        <w:t>Ze względu na wagę proponowanych zmian oraz zbliżający się szczyt sezonu grzewczego planowany termin wejścia w życie określono na dzień następujący po dniu ogłoszenia. Wejście w życie ustawy w tym terminie nie narusza zasad demokratycznego państwa prawnego. Zmiany zawarte w nowo dodawanym art. 164a ust. 2</w:t>
      </w:r>
      <w:r w:rsidR="009869EC">
        <w:rPr>
          <w:rFonts w:ascii="Times New Roman" w:hAnsi="Times New Roman" w:cs="Times New Roman"/>
          <w:sz w:val="24"/>
          <w:szCs w:val="24"/>
        </w:rPr>
        <w:t>–</w:t>
      </w:r>
      <w:r w:rsidRPr="00576BA9">
        <w:rPr>
          <w:rFonts w:ascii="Times New Roman" w:hAnsi="Times New Roman" w:cs="Times New Roman"/>
          <w:sz w:val="24"/>
          <w:szCs w:val="24"/>
        </w:rPr>
        <w:t xml:space="preserve">4 ustawy akcyzowej oraz w ustawie o podatku od sprzedaży detalicznej (art. 2) </w:t>
      </w:r>
      <w:r w:rsidR="00625A43" w:rsidRPr="00576BA9">
        <w:rPr>
          <w:rFonts w:ascii="Times New Roman" w:hAnsi="Times New Roman" w:cs="Times New Roman"/>
          <w:sz w:val="24"/>
          <w:szCs w:val="24"/>
        </w:rPr>
        <w:t>będą mieć zastosowanie</w:t>
      </w:r>
      <w:r w:rsidRPr="00576BA9">
        <w:rPr>
          <w:rFonts w:ascii="Times New Roman" w:hAnsi="Times New Roman" w:cs="Times New Roman"/>
          <w:sz w:val="24"/>
          <w:szCs w:val="24"/>
        </w:rPr>
        <w:t xml:space="preserve"> od 1 stycznia 2022 r., natomiast zmiany zawarte w nowo dodawanym art. 164a ust. 1 ustawy akcyzowej będą stosowane od 20 grudnia 2021 r. </w:t>
      </w:r>
    </w:p>
    <w:p w:rsidR="0097414C" w:rsidRPr="00576BA9" w:rsidRDefault="0097414C" w:rsidP="00576BA9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76BA9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ustawy nie jest sprzeczny z prawem Unii Europejskiej.</w:t>
      </w:r>
      <w:r w:rsidRPr="00576BA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:rsidR="0097414C" w:rsidRPr="00576BA9" w:rsidRDefault="0097414C" w:rsidP="00576BA9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6BA9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ustawy nie podlega przedstawieniu właściwym organom i instytucjom Unii Europejskiej, w tym Europejskiemu Bankowi Centralnemu,</w:t>
      </w:r>
      <w:r w:rsidRPr="00576BA9">
        <w:rPr>
          <w:rFonts w:ascii="Times New Roman" w:eastAsia="Times New Roman" w:hAnsi="Times New Roman" w:cs="Times New Roman"/>
          <w:sz w:val="24"/>
          <w:szCs w:val="24"/>
        </w:rPr>
        <w:t xml:space="preserve"> w celu uzyskania opinii, dokonania powiadomienia, konsultacji albo uzgodnienia.</w:t>
      </w:r>
    </w:p>
    <w:p w:rsidR="0097414C" w:rsidRPr="00576BA9" w:rsidRDefault="0097414C" w:rsidP="00576BA9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76BA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 ustawy nie zawiera przepisów technicznych w rozumieniu przepisów rozporządzenia Rady Ministrów z dnia 23 grudnia 2002 r. </w:t>
      </w:r>
      <w:r w:rsidRPr="00576BA9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w sprawie sposobu funkcjonowania krajowego systemu notyfikacji norm i aktów prawnych</w:t>
      </w:r>
      <w:r w:rsidRPr="00576BA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(Dz. U. poz. 2039, z </w:t>
      </w:r>
      <w:proofErr w:type="spellStart"/>
      <w:r w:rsidRPr="00576BA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późn</w:t>
      </w:r>
      <w:proofErr w:type="spellEnd"/>
      <w:r w:rsidRPr="00576BA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zm.), w związku z czym nie podlega notyfikacji.</w:t>
      </w:r>
    </w:p>
    <w:p w:rsidR="0097414C" w:rsidRPr="00576BA9" w:rsidRDefault="0097414C" w:rsidP="00576BA9">
      <w:pPr>
        <w:spacing w:before="120"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E2D4E" w:rsidRPr="00576BA9" w:rsidRDefault="00170E9B" w:rsidP="00576B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E2D4E" w:rsidRPr="00576BA9" w:rsidSect="00576BA9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2F8" w:rsidRDefault="00CD22F8" w:rsidP="00576BA9">
      <w:pPr>
        <w:spacing w:after="0" w:line="240" w:lineRule="auto"/>
      </w:pPr>
      <w:r>
        <w:separator/>
      </w:r>
    </w:p>
  </w:endnote>
  <w:endnote w:type="continuationSeparator" w:id="0">
    <w:p w:rsidR="00CD22F8" w:rsidRDefault="00CD22F8" w:rsidP="00576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2F8" w:rsidRDefault="00CD22F8" w:rsidP="00576BA9">
      <w:pPr>
        <w:spacing w:after="0" w:line="240" w:lineRule="auto"/>
      </w:pPr>
      <w:r>
        <w:separator/>
      </w:r>
    </w:p>
  </w:footnote>
  <w:footnote w:type="continuationSeparator" w:id="0">
    <w:p w:rsidR="00CD22F8" w:rsidRDefault="00CD22F8" w:rsidP="00576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BA9" w:rsidRPr="00576BA9" w:rsidRDefault="00576BA9">
    <w:pPr>
      <w:pStyle w:val="Nagwek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– </w:t>
    </w:r>
    <w:sdt>
      <w:sdtPr>
        <w:rPr>
          <w:rFonts w:ascii="Times New Roman" w:hAnsi="Times New Roman" w:cs="Times New Roman"/>
          <w:sz w:val="24"/>
          <w:szCs w:val="24"/>
        </w:rPr>
        <w:id w:val="-1227841324"/>
        <w:docPartObj>
          <w:docPartGallery w:val="Page Numbers (Top of Page)"/>
          <w:docPartUnique/>
        </w:docPartObj>
      </w:sdtPr>
      <w:sdtEndPr/>
      <w:sdtContent>
        <w:r w:rsidRPr="00576B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76BA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76B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70E9B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576BA9"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  <w:t xml:space="preserve"> –</w:t>
        </w:r>
      </w:sdtContent>
    </w:sdt>
  </w:p>
  <w:p w:rsidR="00576BA9" w:rsidRDefault="00576B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B0206"/>
    <w:multiLevelType w:val="hybridMultilevel"/>
    <w:tmpl w:val="4E4C41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52E6D"/>
    <w:multiLevelType w:val="hybridMultilevel"/>
    <w:tmpl w:val="8910C6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23A45"/>
    <w:multiLevelType w:val="hybridMultilevel"/>
    <w:tmpl w:val="62781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C04E78"/>
    <w:multiLevelType w:val="hybridMultilevel"/>
    <w:tmpl w:val="A0043CB2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7AC2405E"/>
    <w:multiLevelType w:val="hybridMultilevel"/>
    <w:tmpl w:val="11D691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14C"/>
    <w:rsid w:val="000657FA"/>
    <w:rsid w:val="000C7646"/>
    <w:rsid w:val="00170E9B"/>
    <w:rsid w:val="001925B4"/>
    <w:rsid w:val="001E4AC0"/>
    <w:rsid w:val="002466BE"/>
    <w:rsid w:val="003D3621"/>
    <w:rsid w:val="0040759C"/>
    <w:rsid w:val="004B28E7"/>
    <w:rsid w:val="004B7738"/>
    <w:rsid w:val="00514762"/>
    <w:rsid w:val="005627D6"/>
    <w:rsid w:val="00576BA9"/>
    <w:rsid w:val="00576BF2"/>
    <w:rsid w:val="0061337C"/>
    <w:rsid w:val="00625A43"/>
    <w:rsid w:val="006A13FF"/>
    <w:rsid w:val="007E603A"/>
    <w:rsid w:val="007F300C"/>
    <w:rsid w:val="008603C7"/>
    <w:rsid w:val="00887FF6"/>
    <w:rsid w:val="008B7AA9"/>
    <w:rsid w:val="0097414C"/>
    <w:rsid w:val="00980F9E"/>
    <w:rsid w:val="009869EC"/>
    <w:rsid w:val="009A495C"/>
    <w:rsid w:val="00A32F3F"/>
    <w:rsid w:val="00A62E2B"/>
    <w:rsid w:val="00A95EDC"/>
    <w:rsid w:val="00C154DB"/>
    <w:rsid w:val="00CA1554"/>
    <w:rsid w:val="00CD22F8"/>
    <w:rsid w:val="00D5496D"/>
    <w:rsid w:val="00DA7DC7"/>
    <w:rsid w:val="00DF2D84"/>
    <w:rsid w:val="00EC77A9"/>
    <w:rsid w:val="00EC7B39"/>
    <w:rsid w:val="00F16B58"/>
    <w:rsid w:val="00F31967"/>
    <w:rsid w:val="00FC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E5D6F7E-594B-481C-A5EC-D9268397B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414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414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D36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3621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rsid w:val="004B77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B7738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7738"/>
    <w:rPr>
      <w:rFonts w:ascii="Times" w:eastAsia="Times New Roman" w:hAnsi="Times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76B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6BA9"/>
  </w:style>
  <w:style w:type="paragraph" w:styleId="Stopka">
    <w:name w:val="footer"/>
    <w:basedOn w:val="Normalny"/>
    <w:link w:val="StopkaZnak"/>
    <w:uiPriority w:val="99"/>
    <w:unhideWhenUsed/>
    <w:rsid w:val="00576B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6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1460</Words>
  <Characters>8765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10205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Furmanowska Ewa</dc:creator>
  <cp:keywords/>
  <dc:description/>
  <cp:lastModifiedBy>Kołakowska Iwona</cp:lastModifiedBy>
  <cp:revision>3</cp:revision>
  <dcterms:created xsi:type="dcterms:W3CDTF">2021-11-30T16:42:00Z</dcterms:created>
  <dcterms:modified xsi:type="dcterms:W3CDTF">2021-11-30T16:43:00Z</dcterms:modified>
</cp:coreProperties>
</file>