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C8D25" w14:textId="77777777" w:rsidR="00A30674" w:rsidRPr="008B45FE" w:rsidRDefault="00ED4FE6">
      <w:pPr>
        <w:keepNext/>
        <w:suppressAutoHyphens/>
        <w:jc w:val="center"/>
        <w:rPr>
          <w:rFonts w:ascii="Tahoma" w:eastAsia="Verdana" w:hAnsi="Tahoma" w:cs="Tahoma"/>
          <w:b/>
          <w:bCs/>
        </w:rPr>
      </w:pPr>
      <w:bookmarkStart w:id="0" w:name="_GoBack"/>
      <w:bookmarkEnd w:id="0"/>
      <w:r w:rsidRPr="008B45FE">
        <w:rPr>
          <w:rFonts w:ascii="Tahoma" w:hAnsi="Tahoma" w:cs="Tahoma"/>
          <w:b/>
          <w:bCs/>
        </w:rPr>
        <w:t>Uzasadnienie</w:t>
      </w:r>
    </w:p>
    <w:p w14:paraId="697FADDD" w14:textId="77777777" w:rsidR="00A30674" w:rsidRPr="008B45FE" w:rsidRDefault="00A30674">
      <w:pPr>
        <w:keepNext/>
        <w:suppressAutoHyphens/>
        <w:jc w:val="center"/>
        <w:rPr>
          <w:rFonts w:ascii="Tahoma" w:eastAsia="Verdana" w:hAnsi="Tahoma" w:cs="Tahoma"/>
          <w:b/>
          <w:bCs/>
        </w:rPr>
      </w:pPr>
    </w:p>
    <w:p w14:paraId="623DE700" w14:textId="77777777" w:rsidR="00A30674" w:rsidRPr="008B45FE" w:rsidRDefault="00ED4FE6">
      <w:pPr>
        <w:ind w:firstLine="851"/>
        <w:jc w:val="both"/>
        <w:rPr>
          <w:rFonts w:ascii="Tahoma" w:eastAsia="Tahoma" w:hAnsi="Tahoma" w:cs="Tahoma"/>
        </w:rPr>
      </w:pPr>
      <w:r w:rsidRPr="008B45FE">
        <w:rPr>
          <w:rFonts w:ascii="Tahoma" w:hAnsi="Tahoma" w:cs="Tahoma"/>
        </w:rPr>
        <w:t>Celem projektowanej ustawy jest podniesienie jakości stanowionego prawa, które dotyczy przedsię</w:t>
      </w:r>
      <w:r w:rsidRPr="008B45FE">
        <w:rPr>
          <w:rFonts w:ascii="Tahoma" w:hAnsi="Tahoma" w:cs="Tahoma"/>
          <w:lang w:val="it-IT"/>
        </w:rPr>
        <w:t>biorc</w:t>
      </w:r>
      <w:r w:rsidRPr="008B45FE">
        <w:rPr>
          <w:rFonts w:ascii="Tahoma" w:hAnsi="Tahoma" w:cs="Tahoma"/>
        </w:rPr>
        <w:t xml:space="preserve">ów. </w:t>
      </w:r>
    </w:p>
    <w:p w14:paraId="7BD3E488" w14:textId="77777777" w:rsidR="00A30674" w:rsidRPr="008B45FE" w:rsidRDefault="00ED4FE6">
      <w:pPr>
        <w:ind w:firstLine="851"/>
        <w:jc w:val="both"/>
        <w:rPr>
          <w:rFonts w:ascii="Tahoma" w:eastAsia="Tahoma" w:hAnsi="Tahoma" w:cs="Tahoma"/>
        </w:rPr>
      </w:pPr>
      <w:r w:rsidRPr="008B45FE">
        <w:rPr>
          <w:rFonts w:ascii="Tahoma" w:hAnsi="Tahoma" w:cs="Tahoma"/>
        </w:rPr>
        <w:t>Osiągnięcie tego celu cel wymaga wzmocnienia instytucjonalnego i proceduralnego systemu jego tworzenia - od założeń, po konsultacje i ocenę skutków. Podstawowe znaczenie ma staranne i obiektywne przygotowanie prognozy skutków projektowanych regulacji, które gwarantuje przedstawienie propozycji dogłębnie przemyślanej. Nawet jednak staranne przygotowanie ocen skutków regulacji nie wyklucza błędów i pominięcia istotnych skutków praktycznych. Dlatego niezbędną częścią procesu legislacyjnego powinny być rzeczywiste konsultacje publiczne. Oba mechanizmy służą lepszemu przygotowaniu aktów prawnych i wzmacniają przejrzystość procesu stanowienia prawa. Tę rolę spełniają jednak tylko autentyczne oceny skutków regulacji i rzeczywiste konsultacje publiczne. W przeciwnym razie są tylko fasadami i osłabiają demokratyczny charakter stanowienia prawa.</w:t>
      </w:r>
    </w:p>
    <w:p w14:paraId="0AF32713" w14:textId="77777777" w:rsidR="00A30674" w:rsidRPr="008B45FE" w:rsidRDefault="00ED4FE6">
      <w:pPr>
        <w:ind w:firstLine="851"/>
        <w:jc w:val="both"/>
        <w:rPr>
          <w:rFonts w:ascii="Tahoma" w:eastAsia="Tahoma" w:hAnsi="Tahoma" w:cs="Tahoma"/>
        </w:rPr>
      </w:pPr>
      <w:r w:rsidRPr="008B45FE">
        <w:rPr>
          <w:rFonts w:ascii="Tahoma" w:hAnsi="Tahoma" w:cs="Tahoma"/>
        </w:rPr>
        <w:t>Prognozowanie praktycznych skutków projektowanych aktów normatywnych ma oczywiście pozwolić uniknąć lub zminimalizować negatywne konsekwencje rozważanych rozwiązań i w ten sposób zapewnić stałe podnoszenie jakości prawa. W obecnym stanie prawnym można znaleźć tylko szczątkowe regulacje dotyczące tej problematyki. Ponieważ największe znaczenie ma przygotowywanie rządowych aktów prawnych, przede wszystkim należy wymienić postanowienia dotyczące tzw. ocen skutków regulacji i konsultacji publicznych, które zawiera regulamin pracy Rady Ministrów, zawarty w uchwale Rady Ministró</w:t>
      </w:r>
      <w:r w:rsidRPr="008B45FE">
        <w:rPr>
          <w:rFonts w:ascii="Tahoma" w:hAnsi="Tahoma" w:cs="Tahoma"/>
          <w:lang w:val="de-DE"/>
        </w:rPr>
        <w:t>w (uchwa</w:t>
      </w:r>
      <w:r w:rsidRPr="008B45FE">
        <w:rPr>
          <w:rFonts w:ascii="Tahoma" w:hAnsi="Tahoma" w:cs="Tahoma"/>
        </w:rPr>
        <w:t>ła Nr 190 Rady Ministrów z dnia 29 października 2013 r. Regulamin pracy Rady Ministrów, M. P. z 2013 r. poz. 979 z późn. zm.). Należy przypomnieć, że uchwała Rady Ministrów nie jest źródłem prawa powszechnie obowiązującego. Natomiast w przepisach rangi ustawowej rozrzucone są tylko pojedyncze przepisy ogólnie o konsultacjach projektów aktów normatywnych przez wybrane podmioty: np. związki zawodowe czy organizacje pracodawców. Równie lakoniczne są przepisy ustawy – Prawo przedsię</w:t>
      </w:r>
      <w:r w:rsidRPr="008B45FE">
        <w:rPr>
          <w:rFonts w:ascii="Tahoma" w:hAnsi="Tahoma" w:cs="Tahoma"/>
          <w:lang w:val="it-IT"/>
        </w:rPr>
        <w:t>biorc</w:t>
      </w:r>
      <w:r w:rsidRPr="008B45FE">
        <w:rPr>
          <w:rFonts w:ascii="Tahoma" w:hAnsi="Tahoma" w:cs="Tahoma"/>
        </w:rPr>
        <w:t xml:space="preserve">ów, które dotyczą przygotowywania przepisów dotyczących działalności gospodarczej. Trudno jednak uznać je za coś więcej niż </w:t>
      </w:r>
      <w:r w:rsidRPr="008B45FE">
        <w:rPr>
          <w:rFonts w:ascii="Tahoma" w:hAnsi="Tahoma" w:cs="Tahoma"/>
          <w:lang w:val="pt-PT"/>
        </w:rPr>
        <w:t>apel do organ</w:t>
      </w:r>
      <w:r w:rsidRPr="008B45FE">
        <w:rPr>
          <w:rFonts w:ascii="Tahoma" w:hAnsi="Tahoma" w:cs="Tahoma"/>
        </w:rPr>
        <w:t xml:space="preserve">ów administracji, ponieważ są bardzo ogólne i nie zawierają żadnych mechanizmów zapewnienia jakości regulacji. Trzeba też dodać, </w:t>
      </w:r>
      <w:r w:rsidRPr="008B45FE">
        <w:rPr>
          <w:rFonts w:ascii="Tahoma" w:hAnsi="Tahoma" w:cs="Tahoma"/>
        </w:rPr>
        <w:lastRenderedPageBreak/>
        <w:t xml:space="preserve">że samo zamieszczenie określonych obowiązków dla organów administracji oznacza, że ich naruszenie obarczone jest sankcjami. </w:t>
      </w:r>
    </w:p>
    <w:p w14:paraId="2D2ECC82" w14:textId="77777777" w:rsidR="00A30674" w:rsidRPr="008B45FE" w:rsidRDefault="00ED4FE6">
      <w:pPr>
        <w:ind w:firstLine="851"/>
        <w:jc w:val="both"/>
        <w:rPr>
          <w:rFonts w:ascii="Tahoma" w:eastAsia="Tahoma" w:hAnsi="Tahoma" w:cs="Tahoma"/>
        </w:rPr>
      </w:pPr>
      <w:r w:rsidRPr="008B45FE">
        <w:rPr>
          <w:rFonts w:ascii="Tahoma" w:hAnsi="Tahoma" w:cs="Tahoma"/>
        </w:rPr>
        <w:t>Dotychczasowe próby usystematyzowania analiz prognozowanych efektów projektowanych regulacji nie poprawiły jakości aktów prawnych. Obecne oceny skutków regulacji nie przynoszą zakładanych efektów, ponieważ zwykle są tylko elementem „dekoracyjnym” w procesie stanowienia prawa. W najlepszym przypadku służą celom informacyjnym, a w najgorszym – dezinformacyjnym. Obecny system stanowienia prawa nie tyko sprzyja, ale jest wręcz skonstruowany w sposób pozwalający na wybiórczy dobór takich kryteriów oceny projektów aktów prawnych i danych statystycznych, które popierają z góry przyjęte założenia projektodawców. Chodzi tutaj przede wszystkim o brak jakiegokolwiek zaangażowania w proces przygotowania ocen skutków regulacji osób spoza administracji rządowej. Tymczasem, nadmierne upolitycznienie przygotowywania ocen skutków regulacji prowadzi do bardzo negatywnych zjawisk. Odwrócenie prawidłowego porządku, czyli przygotowanie ocen zanim podjęta zostanie decyzja o przygotowaniu aktu prawnego, ponieką</w:t>
      </w:r>
      <w:r w:rsidRPr="008B45FE">
        <w:rPr>
          <w:rFonts w:ascii="Tahoma" w:hAnsi="Tahoma" w:cs="Tahoma"/>
          <w:lang w:val="da-DK"/>
        </w:rPr>
        <w:t>d si</w:t>
      </w:r>
      <w:r w:rsidRPr="008B45FE">
        <w:rPr>
          <w:rFonts w:ascii="Tahoma" w:hAnsi="Tahoma" w:cs="Tahoma"/>
        </w:rPr>
        <w:t xml:space="preserve">łą rzeczy, skutkuje pomijaniem tych aspektów przyszłych regulacji, które mogłyby przemawiać za odrzuceniem propozycji legislacyjnych. W tym kontekście można nawet wskazać konkretne zjawiska. Nagminne jest przyznawanie określonych korzyści wąskiej grupie adresatów bez odniesienia się do sytuacji podmiotów i osób w podobnej sytuacji, co nieuchronnie prowadzi do nierównego traktowania. Typowym fortelem jest używanie argumentów uprawnionych w stosunku do określonej grupy podmiotów (np. osób bardzo zamożnych) do uzasadnienia rozwiązań mających znacznie szerszy zakres podmiotowy, aż </w:t>
      </w:r>
      <w:r w:rsidRPr="008B45FE">
        <w:rPr>
          <w:rFonts w:ascii="Tahoma" w:hAnsi="Tahoma" w:cs="Tahoma"/>
          <w:lang w:val="pt-PT"/>
        </w:rPr>
        <w:t>do obj</w:t>
      </w:r>
      <w:r w:rsidRPr="008B45FE">
        <w:rPr>
          <w:rFonts w:ascii="Tahoma" w:hAnsi="Tahoma" w:cs="Tahoma"/>
        </w:rPr>
        <w:t>ęcia nimi grup już całkowicie niepodobnych (osó</w:t>
      </w:r>
      <w:r w:rsidRPr="008B45FE">
        <w:rPr>
          <w:rFonts w:ascii="Tahoma" w:hAnsi="Tahoma" w:cs="Tahoma"/>
          <w:lang w:val="pt-PT"/>
        </w:rPr>
        <w:t xml:space="preserve">b o </w:t>
      </w:r>
      <w:r w:rsidRPr="008B45FE">
        <w:rPr>
          <w:rFonts w:ascii="Tahoma" w:hAnsi="Tahoma" w:cs="Tahoma"/>
        </w:rPr>
        <w:t xml:space="preserve">średnich dochodach). Takie błędy lub manipulacje rodzą bardzo negatywne skutki. Nie tylko bowiem wypaczają dyskurs publiczny, ale także prowadzą do przyjmowania rozwiązań niesprawiedliwych i bardzo kosztownych dla ogółu społeczeństwa. Najwyższą cenę takich szkodliwych rozwiązań płacą podmioty i obywatele, którzy – z różnych względów – nie mają odpowiedniej reprezentacji, a w związku z tym nie mogą liczyć na przywileje i ułatwienia. Ich faktyczną reprezentacją na etapie przygotowywania aktów prawnych mogłyby być np. środowiska naukowa, a powinien być apolityczny aparat państwa. Nawet jednak grupy zorganizowane mogą nie mieć szansy przedstawienie swoich stanowisk, jeżeli nie dochodzi do </w:t>
      </w:r>
      <w:r w:rsidRPr="008B45FE">
        <w:rPr>
          <w:rFonts w:ascii="Tahoma" w:hAnsi="Tahoma" w:cs="Tahoma"/>
        </w:rPr>
        <w:lastRenderedPageBreak/>
        <w:t xml:space="preserve">przeprowadzenia rzeczywistych konsultacji publicznych.  </w:t>
      </w:r>
    </w:p>
    <w:p w14:paraId="77687170" w14:textId="77777777" w:rsidR="00A30674" w:rsidRPr="008B45FE" w:rsidRDefault="00ED4FE6">
      <w:pPr>
        <w:ind w:firstLine="851"/>
        <w:jc w:val="both"/>
        <w:rPr>
          <w:rFonts w:ascii="Tahoma" w:eastAsia="Tahoma" w:hAnsi="Tahoma" w:cs="Tahoma"/>
        </w:rPr>
      </w:pPr>
      <w:r w:rsidRPr="008B45FE">
        <w:rPr>
          <w:rFonts w:ascii="Tahoma" w:hAnsi="Tahoma" w:cs="Tahoma"/>
        </w:rPr>
        <w:t>W obecnym stanie prawnym wyłącznie od woli projektodawców zależy, czy konsultacje publiczne projektów aktów prawnych są w ogóle przeprowadzane. Postanowienia regulaminu pracy Rady Ministrów pozwalają bowiem w szerokim zakresie i praktycznie dowolnie pominąć konsultacje publiczne (§ 36 ust. 1, por. § 28 ust. 4). Nie ma żadnych mechanizmów gwarantujących rzeczywiste zasięganie opinii społeczeństwa i ekspertów spoza aparatu państwa. Konsultacje publiczne stały się ornamentem, który najczęściej jest bez znaczenia dla treści projektów aktów prawnych. Tej oceny nie może zmienić nagłaśnianie tzw. konsultacji publicznych i obudowywanie inicjatyw legislacyjnych różnymi dokumentami, które rzekomo mają ułatwiać uwzględnianiu głosu społeczeństwa i niezależnych ekspertów. Szczególnie uderzające w tym względzie jest używanie nazewnictwa zapożyczonego z innych państw lub systemu unijnego oraz modnej, naśladującą naukową terminologii, które mają stwarzać wrażenie obiektywizmu i rzetelności przedstawianych propozycji. Te instrumenty nie są jednak wypeł</w:t>
      </w:r>
      <w:r w:rsidRPr="008B45FE">
        <w:rPr>
          <w:rFonts w:ascii="Tahoma" w:hAnsi="Tahoma" w:cs="Tahoma"/>
          <w:lang w:val="it-IT"/>
        </w:rPr>
        <w:t>nione tre</w:t>
      </w:r>
      <w:r w:rsidRPr="008B45FE">
        <w:rPr>
          <w:rFonts w:ascii="Tahoma" w:hAnsi="Tahoma" w:cs="Tahoma"/>
        </w:rPr>
        <w:t xml:space="preserve">ścią, a niekiedy służą nawet przesłanianiu faktu forsowania wcześniej przyjętych zamiarów. Za z góry przyjętym rozwiązaniem używane są jednostronne argumenty. Najlepszym dowodem na iluzoryczny charakter konsultacji jest to, że osoby i organy odpowiedzialne za prowadzenie projektu aktu normatywnego przez proces legislacyjny często nie ustosunkowują się merytorycznie do zgłaszanych uwag albo ustosunkowanie się jest nad wyraz zdawkowe. Wielokrotnie odniesienie się do uwag ogranicza się do stwierdzenia „nie uwzględniono”. Jednocześnie nie dba się o to, aby zrównoważyć głosy zainteresowanych lobby głosami niezależnych ekspertów, którzy mogą zająć stanowisko w interesie ogólnospołecznym lub „milczącej większości”, która siłą rzeczy nie jest silnie zorganizowana, albo nie jest postrzegana za atrakcyjny cel agitacji politycznej. W efekcie w systemie prawnym mnożą się rozwiązania wyjątkowe i szczególne, które radykalnie ograniczają podstawowe wartości prawa jako systemu regulującego stosunki społecznego - czyli przewidywalność i równość wszystkich obywateli i podmiotów. Oczywiście, nie chodzi przy tym o jednolite unormowanie bez dostrzegania różnic. Nie na tym bowiem polega zasada równości. Każde zróżnicowanie musi i powinno być jednak oparte o rzeczywiste kryterium i służyć zakładanemu celowi w sposób adekwatny, a nie być arbitralne i podporządkowane wyłącznie założeniom ideologicznym. Dotyczy to praktycznie </w:t>
      </w:r>
      <w:r w:rsidRPr="008B45FE">
        <w:rPr>
          <w:rFonts w:ascii="Tahoma" w:hAnsi="Tahoma" w:cs="Tahoma"/>
        </w:rPr>
        <w:lastRenderedPageBreak/>
        <w:t>wszystkich sfer życia, począwszy od budownictwa, przez opodatkowania dochodów, a skończywszy na świadczeniach w wieku poprodukcyjnym.</w:t>
      </w:r>
    </w:p>
    <w:p w14:paraId="7CD4CA33" w14:textId="77777777" w:rsidR="00A30674" w:rsidRPr="008B45FE" w:rsidRDefault="00ED4FE6">
      <w:pPr>
        <w:ind w:firstLine="851"/>
        <w:jc w:val="both"/>
        <w:rPr>
          <w:rFonts w:ascii="Tahoma" w:eastAsia="Tahoma" w:hAnsi="Tahoma" w:cs="Tahoma"/>
        </w:rPr>
      </w:pPr>
      <w:r w:rsidRPr="008B45FE">
        <w:rPr>
          <w:rFonts w:ascii="Tahoma" w:hAnsi="Tahoma" w:cs="Tahoma"/>
        </w:rPr>
        <w:t xml:space="preserve">W efekcie wskazanych powyżej krytycznych wad systemu stanowienia prawa w Polsce, stanowczo zbyt liczne inicjatywy legislacyjne podporządkowywane są względom propagandowym lub nawet ambicjonalnym poszczególnych gospodarzy resortów, czy politycznych funkcjonariuszy. To zbyt często prowadzi do przyjmowania ustaw zbędnych lub w przytłaczającym stopniu powielających wcześniejsze uregulowania. Charakterystycznym zjawiskiem jest mnożenie podobnych instytucji prawnych pod nowymi nazwami. Głęboki kryzys jakości prawa ujawniła pandemia koronawirusa. Przyjęte rozwiązania były chaotyczne i wymagały permanentnych zmian. Polski system prawny okazał się całkowicie nieprzygotowany do nowej sytuacji. Znamienne jest chociażby to, że wiele przepisów ustaw „covidowych” dotyczy tego konkretnego wirusa, a więc każda nowe zagrożenie epidemiczne zastanie polskie prawo w stanie zbliżonym do stanu sprzed epidemii koronawirusa z 2019 r.  Przyczyną takiego stanu rzeczy jest brak spójnego i konsekwentnego systemu stanowienia prawa, który pozwoliłby na natychmiastowe wyeliminowanie takich doraźnych i pośpiesznie skompilowanych przepisów. </w:t>
      </w:r>
    </w:p>
    <w:p w14:paraId="0A5DF1C1" w14:textId="77777777" w:rsidR="00A30674" w:rsidRPr="008B45FE" w:rsidRDefault="00ED4FE6">
      <w:pPr>
        <w:ind w:firstLine="851"/>
        <w:jc w:val="both"/>
        <w:rPr>
          <w:rFonts w:ascii="Tahoma" w:eastAsia="Verdana" w:hAnsi="Tahoma" w:cs="Tahoma"/>
          <w:b/>
          <w:bCs/>
        </w:rPr>
      </w:pPr>
      <w:r w:rsidRPr="008B45FE">
        <w:rPr>
          <w:rFonts w:ascii="Tahoma" w:hAnsi="Tahoma" w:cs="Tahoma"/>
        </w:rPr>
        <w:t>W związku powyższym kwestie opracowywania aktów normatywnych i konsultacji społecznych powinny w kluczowych aspektach znaleźć się w uregulowaniach rangi ustawowej. Takie umiejscowienie będzie oznaczało, że istotne elementy mechanizmu przygotowywania ocen skutków regulacji i konsultacji społecznych będzie staranniejsze,  bardziej stabilnie uregulowane, a przede wszystkim – ich naruszenie będzie jednoznacznym naruszeniem prawa, co rodzi konkretne konsekwencje prawne.</w:t>
      </w:r>
    </w:p>
    <w:p w14:paraId="511029E4" w14:textId="77777777" w:rsidR="00A30674" w:rsidRPr="008B45FE" w:rsidRDefault="00ED4FE6">
      <w:pPr>
        <w:keepNext/>
        <w:spacing w:before="360"/>
        <w:ind w:left="851"/>
        <w:rPr>
          <w:rFonts w:ascii="Tahoma" w:eastAsia="Verdana" w:hAnsi="Tahoma" w:cs="Tahoma"/>
          <w:b/>
          <w:bCs/>
        </w:rPr>
      </w:pPr>
      <w:r w:rsidRPr="008B45FE">
        <w:rPr>
          <w:rFonts w:ascii="Tahoma" w:hAnsi="Tahoma" w:cs="Tahoma"/>
          <w:b/>
          <w:bCs/>
        </w:rPr>
        <w:t>Zmiany w ustawie o Radzie Ministrów (art. 1)</w:t>
      </w:r>
    </w:p>
    <w:p w14:paraId="7423F32E" w14:textId="39AB520D" w:rsidR="00A30674" w:rsidRPr="008B45FE" w:rsidRDefault="00ED4FE6" w:rsidP="003C55DF">
      <w:pPr>
        <w:pStyle w:val="gmail-zustzmustartykuempunktem"/>
        <w:spacing w:before="0" w:beforeAutospacing="0" w:after="0" w:afterAutospacing="0" w:line="360" w:lineRule="auto"/>
        <w:ind w:left="510" w:firstLine="510"/>
        <w:jc w:val="both"/>
        <w:rPr>
          <w:rFonts w:ascii="Tahoma" w:eastAsia="Tahoma" w:hAnsi="Tahoma" w:cs="Tahoma"/>
        </w:rPr>
      </w:pPr>
      <w:r w:rsidRPr="008B45FE">
        <w:rPr>
          <w:rFonts w:ascii="Tahoma" w:hAnsi="Tahoma" w:cs="Tahoma"/>
        </w:rPr>
        <w:t xml:space="preserve">Ustawa o Radzie Ministrów to podstawowy akt prawny regulujący funkcjonowanie rządu. Dlatego w tej ustawie powinny być uregulowane podstawowe aspekty przygotowywania prognoz skutków rozważanych, a następnie projektowanych, aktów normatywnych. Przygotowane przez administrację prognozy skutków regulacji – zwanych w projekcie Oceną Wpływu – powinny podlegać weryfikacji przez gremium eksperckie niezależne od rządu. </w:t>
      </w:r>
      <w:r w:rsidRPr="008B45FE">
        <w:rPr>
          <w:rFonts w:ascii="Tahoma" w:hAnsi="Tahoma" w:cs="Tahoma"/>
        </w:rPr>
        <w:lastRenderedPageBreak/>
        <w:t>Niezależność od rzą</w:t>
      </w:r>
      <w:r w:rsidRPr="008B45FE">
        <w:rPr>
          <w:rFonts w:ascii="Tahoma" w:hAnsi="Tahoma" w:cs="Tahoma"/>
          <w:lang w:val="fr-FR"/>
        </w:rPr>
        <w:t>du mo</w:t>
      </w:r>
      <w:r w:rsidRPr="008B45FE">
        <w:rPr>
          <w:rFonts w:ascii="Tahoma" w:hAnsi="Tahoma" w:cs="Tahoma"/>
        </w:rPr>
        <w:t>że zapewnić tylko wyznaczenie członków tego gremium przez ośrodki niezależne od rządu. W związku z tym proponuje się powołanie Rady Oceny Wpływu, która działałaby przy Prezesie Rządowego Centrum Legislacji (projektowany art. 14p). Rada  składałaby się z przedstawicieli reprezentatywnych organizacji związkowych i organizacji pracodawców, Polskiej Akademii Nauk, niektórych uczelni publicznych (projektowany art. 14r ust. 1-3). W celu zapewniania większej niezależności, nominujące uczelnie byłyby wyłaniane w drodze losowania. Uprawdopodobnieniu, że  członkowie Rady będą apolityczni ma służyć przepis zakładający niedopuszczalność łączenia członkostwa w Radzie z pełnieniem istotnych funkcji publicznych w okresie 5 lat poprzedzających dzień rozpoczęcia kadencji Rady (art. 14r ust. 4). Wzmocnieniu pozycji i odpolitycznieniu Rady ma służyć także powoływanie członków Rady na kadencję i ograniczenie możliwości dowolnego odwoływania ze składu Rady (art. 14r ust. 5 i</w:t>
      </w:r>
      <w:r w:rsidR="008B45FE">
        <w:rPr>
          <w:rFonts w:ascii="Tahoma" w:hAnsi="Tahoma" w:cs="Tahoma"/>
        </w:rPr>
        <w:t xml:space="preserve"> </w:t>
      </w:r>
      <w:r w:rsidRPr="008B45FE">
        <w:rPr>
          <w:rFonts w:ascii="Tahoma" w:hAnsi="Tahoma" w:cs="Tahoma"/>
        </w:rPr>
        <w:t xml:space="preserve">6). Z tych samych względów przewodniczącego i wiceprzewodniczącego Rady powinna wybierać sama Rada (art. 14s ust. 3). Szczegółowe zadania i szczegółowe zasady funkcjonowania Rady Oceny Wpływu powinno określić rozporządzenie Prezesa Rady Ministrów (art. 14s ust. 2). Proponuje się, aby za udział w pracach Rady członkowie otrzymywali </w:t>
      </w:r>
      <w:r w:rsidR="001E4D1D" w:rsidRPr="008B45FE">
        <w:rPr>
          <w:rFonts w:ascii="Tahoma" w:hAnsi="Tahoma" w:cs="Tahoma"/>
        </w:rPr>
        <w:t xml:space="preserve">wynagrodzenie </w:t>
      </w:r>
      <w:r w:rsidR="003D67DC" w:rsidRPr="008B45FE">
        <w:rPr>
          <w:rFonts w:ascii="Tahoma" w:hAnsi="Tahoma" w:cs="Tahoma"/>
        </w:rPr>
        <w:t xml:space="preserve">ryczałtowe </w:t>
      </w:r>
      <w:r w:rsidR="001E4D1D" w:rsidRPr="008B45FE">
        <w:rPr>
          <w:rFonts w:ascii="Tahoma" w:hAnsi="Tahoma" w:cs="Tahoma"/>
        </w:rPr>
        <w:t>za udział w posiedzeniach oraz sporządzanie opinii oceny wpływu, w wysokości dwukrotności kwoty bazowej dla członków korpusu służby cywilnej</w:t>
      </w:r>
      <w:r w:rsidR="003C55DF" w:rsidRPr="008B45FE">
        <w:rPr>
          <w:rFonts w:ascii="Tahoma" w:hAnsi="Tahoma" w:cs="Tahoma"/>
        </w:rPr>
        <w:t xml:space="preserve">. </w:t>
      </w:r>
      <w:r w:rsidR="001E4D1D" w:rsidRPr="008B45FE">
        <w:rPr>
          <w:rFonts w:ascii="Tahoma" w:hAnsi="Tahoma" w:cs="Tahoma"/>
        </w:rPr>
        <w:t xml:space="preserve">Członkom,  mającym inne miejsce zamieszkania niż miejsce posiedzeń Rady, </w:t>
      </w:r>
      <w:r w:rsidR="003C55DF" w:rsidRPr="008B45FE">
        <w:rPr>
          <w:rFonts w:ascii="Tahoma" w:hAnsi="Tahoma" w:cs="Tahoma"/>
        </w:rPr>
        <w:t xml:space="preserve">przysługiwać będą </w:t>
      </w:r>
      <w:r w:rsidR="001E4D1D" w:rsidRPr="008B45FE">
        <w:rPr>
          <w:rFonts w:ascii="Tahoma" w:hAnsi="Tahoma" w:cs="Tahoma"/>
        </w:rPr>
        <w:t>diety, zwrot kosztów przejazdów i noclegów związanych z uczestnictwem w tych posiedzeniach, na zasadach określonych w przepisach wydanych na podstawie art. 77</w:t>
      </w:r>
      <w:r w:rsidR="001E4D1D" w:rsidRPr="008B45FE">
        <w:rPr>
          <w:rFonts w:ascii="Tahoma" w:hAnsi="Tahoma" w:cs="Tahoma"/>
          <w:vertAlign w:val="superscript"/>
        </w:rPr>
        <w:t>5</w:t>
      </w:r>
      <w:r w:rsidR="001E4D1D" w:rsidRPr="008B45FE">
        <w:rPr>
          <w:rFonts w:ascii="Tahoma" w:hAnsi="Tahoma" w:cs="Tahoma"/>
        </w:rPr>
        <w:t xml:space="preserve"> § 2 ustawy z dnia 26 czerwca 1974 r. – Kodeks pracy</w:t>
      </w:r>
      <w:r w:rsidR="003C55DF" w:rsidRPr="008B45FE">
        <w:rPr>
          <w:rFonts w:ascii="Tahoma" w:hAnsi="Tahoma" w:cs="Tahoma"/>
        </w:rPr>
        <w:t>.</w:t>
      </w:r>
    </w:p>
    <w:p w14:paraId="2235265F" w14:textId="77777777" w:rsidR="00A30674" w:rsidRPr="008B45FE" w:rsidRDefault="00ED4FE6">
      <w:pPr>
        <w:keepNext/>
        <w:spacing w:before="360"/>
        <w:ind w:left="851"/>
        <w:rPr>
          <w:rFonts w:ascii="Tahoma" w:eastAsia="Verdana" w:hAnsi="Tahoma" w:cs="Tahoma"/>
          <w:b/>
          <w:bCs/>
        </w:rPr>
      </w:pPr>
      <w:r w:rsidRPr="008B45FE">
        <w:rPr>
          <w:rFonts w:ascii="Tahoma" w:hAnsi="Tahoma" w:cs="Tahoma"/>
          <w:b/>
          <w:bCs/>
        </w:rPr>
        <w:t>Zmiany w ustawie – Prawo przedsię</w:t>
      </w:r>
      <w:r w:rsidRPr="008B45FE">
        <w:rPr>
          <w:rFonts w:ascii="Tahoma" w:hAnsi="Tahoma" w:cs="Tahoma"/>
          <w:b/>
          <w:bCs/>
          <w:lang w:val="it-IT"/>
        </w:rPr>
        <w:t>biorc</w:t>
      </w:r>
      <w:r w:rsidRPr="008B45FE">
        <w:rPr>
          <w:rFonts w:ascii="Tahoma" w:hAnsi="Tahoma" w:cs="Tahoma"/>
          <w:b/>
          <w:bCs/>
        </w:rPr>
        <w:t>ów (art. 2)</w:t>
      </w:r>
    </w:p>
    <w:p w14:paraId="6C0DCB53" w14:textId="77777777" w:rsidR="00A30674" w:rsidRPr="008B45FE" w:rsidRDefault="00ED4FE6">
      <w:pPr>
        <w:ind w:firstLine="851"/>
        <w:jc w:val="both"/>
        <w:rPr>
          <w:rFonts w:ascii="Tahoma" w:eastAsia="Tahoma" w:hAnsi="Tahoma" w:cs="Tahoma"/>
        </w:rPr>
      </w:pPr>
      <w:r w:rsidRPr="008B45FE">
        <w:rPr>
          <w:rFonts w:ascii="Tahoma" w:hAnsi="Tahoma" w:cs="Tahoma"/>
        </w:rPr>
        <w:t>W ustawie Prawo przedsię</w:t>
      </w:r>
      <w:r w:rsidRPr="008B45FE">
        <w:rPr>
          <w:rFonts w:ascii="Tahoma" w:hAnsi="Tahoma" w:cs="Tahoma"/>
          <w:lang w:val="it-IT"/>
        </w:rPr>
        <w:t>biorc</w:t>
      </w:r>
      <w:r w:rsidRPr="008B45FE">
        <w:rPr>
          <w:rFonts w:ascii="Tahoma" w:hAnsi="Tahoma" w:cs="Tahoma"/>
        </w:rPr>
        <w:t xml:space="preserve">ów zawarty jest rozdział 6 „Zasady opracowywania projektów aktów normatywnych z zakresu prawa gospodarczego oraz oceny ich funkcjonowania.” Przepisy tego rozdziału nakazują dokonywanie analiz oceny przewidywanych skutków aktów prawnych (art. 66 ust. 1 pkt 2). Przewidziano także zasady opracowywania aktów normatywnych: proporcjonalności i adekwatności </w:t>
      </w:r>
      <w:r w:rsidRPr="008B45FE">
        <w:rPr>
          <w:rFonts w:ascii="Tahoma" w:hAnsi="Tahoma" w:cs="Tahoma"/>
        </w:rPr>
        <w:lastRenderedPageBreak/>
        <w:t>(art. 67), przy czym szczególną uwagę poświęcono proporcjonalności nakładania obowiązków na mikroprzedsię</w:t>
      </w:r>
      <w:r w:rsidRPr="008B45FE">
        <w:rPr>
          <w:rFonts w:ascii="Tahoma" w:hAnsi="Tahoma" w:cs="Tahoma"/>
          <w:lang w:val="it-IT"/>
        </w:rPr>
        <w:t>biorc</w:t>
      </w:r>
      <w:r w:rsidRPr="008B45FE">
        <w:rPr>
          <w:rFonts w:ascii="Tahoma" w:hAnsi="Tahoma" w:cs="Tahoma"/>
        </w:rPr>
        <w:t>ów, małych i średnich przedsię</w:t>
      </w:r>
      <w:r w:rsidRPr="008B45FE">
        <w:rPr>
          <w:rFonts w:ascii="Tahoma" w:hAnsi="Tahoma" w:cs="Tahoma"/>
          <w:lang w:val="it-IT"/>
        </w:rPr>
        <w:t>biorc</w:t>
      </w:r>
      <w:r w:rsidRPr="008B45FE">
        <w:rPr>
          <w:rFonts w:ascii="Tahoma" w:hAnsi="Tahoma" w:cs="Tahoma"/>
        </w:rPr>
        <w:t xml:space="preserve">ów (art. 68). Jakkolwiek te przepisy obecnie wskazują właściwy kierunek myślenia o regulacjach gospodarczych, to nie są wystarczająco konsekwentne i są niepełne. </w:t>
      </w:r>
    </w:p>
    <w:p w14:paraId="683E0D8F" w14:textId="77777777" w:rsidR="00A30674" w:rsidRPr="008B45FE" w:rsidRDefault="00ED4FE6">
      <w:pPr>
        <w:ind w:firstLine="851"/>
        <w:jc w:val="both"/>
        <w:rPr>
          <w:rFonts w:ascii="Tahoma" w:eastAsia="Tahoma" w:hAnsi="Tahoma" w:cs="Tahoma"/>
        </w:rPr>
      </w:pPr>
      <w:r w:rsidRPr="008B45FE">
        <w:rPr>
          <w:rFonts w:ascii="Tahoma" w:hAnsi="Tahoma" w:cs="Tahoma"/>
        </w:rPr>
        <w:t>Wobec powyższego potrzebna jest zmiana art. 66-68 ustawy Prawo przedsię</w:t>
      </w:r>
      <w:r w:rsidRPr="008B45FE">
        <w:rPr>
          <w:rFonts w:ascii="Tahoma" w:hAnsi="Tahoma" w:cs="Tahoma"/>
          <w:lang w:val="it-IT"/>
        </w:rPr>
        <w:t>biorc</w:t>
      </w:r>
      <w:r w:rsidRPr="008B45FE">
        <w:rPr>
          <w:rFonts w:ascii="Tahoma" w:hAnsi="Tahoma" w:cs="Tahoma"/>
        </w:rPr>
        <w:t>ów oraz dodanie przepisów dotyczących konsultacji publicznych, które proponuje się zamieścić jako art. 68a-68c tej ustawy. Z tego też względu należy zmienić tytuł rozdziału przez wskazanie także konsultacji projektów aktów normatywnych.</w:t>
      </w:r>
    </w:p>
    <w:p w14:paraId="2F9B220F" w14:textId="77777777" w:rsidR="00A30674" w:rsidRPr="008B45FE" w:rsidRDefault="00ED4FE6">
      <w:pPr>
        <w:ind w:firstLine="851"/>
        <w:jc w:val="both"/>
        <w:rPr>
          <w:rFonts w:ascii="Tahoma" w:eastAsia="Tahoma" w:hAnsi="Tahoma" w:cs="Tahoma"/>
        </w:rPr>
      </w:pPr>
      <w:r w:rsidRPr="008B45FE">
        <w:rPr>
          <w:rFonts w:ascii="Tahoma" w:hAnsi="Tahoma" w:cs="Tahoma"/>
        </w:rPr>
        <w:t>Przepis art. 66 ust. 1 pkt 1 ustawy Prawo przedsię</w:t>
      </w:r>
      <w:r w:rsidRPr="008B45FE">
        <w:rPr>
          <w:rFonts w:ascii="Tahoma" w:hAnsi="Tahoma" w:cs="Tahoma"/>
          <w:lang w:val="it-IT"/>
        </w:rPr>
        <w:t>biorc</w:t>
      </w:r>
      <w:r w:rsidRPr="008B45FE">
        <w:rPr>
          <w:rFonts w:ascii="Tahoma" w:hAnsi="Tahoma" w:cs="Tahoma"/>
        </w:rPr>
        <w:t xml:space="preserve">ów nakazuje sporządzanie „analizy możliwości osiągnięcia celu tego aktu normatywnego za pomocą innych środków”. Przepisy ustawy nie statuują jednak wyraźnie zasady, że wynik tej analizy przesądza, czy w ogóle przystępować do opracowywania aktu normatywnego. Wręcz przeciwnie, przepisy akcentują </w:t>
      </w:r>
      <w:r w:rsidRPr="008B45FE">
        <w:rPr>
          <w:rFonts w:ascii="Tahoma" w:hAnsi="Tahoma" w:cs="Tahoma"/>
          <w:lang w:val="en-US"/>
        </w:rPr>
        <w:t xml:space="preserve">same </w:t>
      </w:r>
      <w:r w:rsidRPr="008B45FE">
        <w:rPr>
          <w:rFonts w:ascii="Tahoma" w:hAnsi="Tahoma" w:cs="Tahoma"/>
        </w:rPr>
        <w:t>„prace nad opracowaniem projektu aktu normatywnego”. Brak takiej jasnej reguły ułatwia opracowywanie aktów prawnych „na siłę”, często oportunistycznie, jako „namacalny” dowód podjęcia wysiłków przez właściwe władze. Czę</w:t>
      </w:r>
      <w:r w:rsidRPr="008B45FE">
        <w:rPr>
          <w:rFonts w:ascii="Tahoma" w:hAnsi="Tahoma" w:cs="Tahoma"/>
          <w:lang w:val="it-IT"/>
        </w:rPr>
        <w:t>sto te</w:t>
      </w:r>
      <w:r w:rsidRPr="008B45FE">
        <w:rPr>
          <w:rFonts w:ascii="Tahoma" w:hAnsi="Tahoma" w:cs="Tahoma"/>
        </w:rPr>
        <w:t>ż takie decyzje zapadają spontanicznie ze względów propagandowych, np. w reakcji na jakieś nieszczęścia  (np. katastrofy budowlane lub wypadki komunikacyjne). Tymczasem, chociaż każda regulacja powinna służyć jasno określonemu celowi, to nie każdy cel wymaga przyjęcia nowych regulacji. Obowiązujące przepisy nie przewidują więc jednoznacznej zasady, że opracowywanie aktów normatywnych niekoniecznie jest pożądanym sposobem dążenia do osiągania celów. Skutkiem tego braku jest jedna z większych trudności w prowadzeniu działalności gospodarczej (i każdej innej dziedziny życia), czyli niestabilność polskiego prawa. Dlatego w projektowanym art. 66 podkreś</w:t>
      </w:r>
      <w:r w:rsidRPr="008B45FE">
        <w:rPr>
          <w:rFonts w:ascii="Tahoma" w:hAnsi="Tahoma" w:cs="Tahoma"/>
          <w:lang w:val="fr-FR"/>
        </w:rPr>
        <w:t>la si</w:t>
      </w:r>
      <w:r w:rsidRPr="008B45FE">
        <w:rPr>
          <w:rFonts w:ascii="Tahoma" w:hAnsi="Tahoma" w:cs="Tahoma"/>
        </w:rPr>
        <w:t>ę konieczność przeprowadzenia analizy, czy w ogóle konieczne jest przyjęcie nowej regulacji. Dopiero, gdy z tej analizy wynika, że przyjęcie aktu prawnego jest niezbędne, sensowne i celowe jest opracowanie analizy skutków projektowanego aktu prawnego (projektowany art. 66 ust. 2).</w:t>
      </w:r>
    </w:p>
    <w:p w14:paraId="6D765DA2" w14:textId="77777777" w:rsidR="00A30674" w:rsidRPr="008B45FE" w:rsidRDefault="00ED4FE6">
      <w:pPr>
        <w:ind w:firstLine="851"/>
        <w:jc w:val="both"/>
        <w:rPr>
          <w:rFonts w:ascii="Tahoma" w:eastAsia="Tahoma" w:hAnsi="Tahoma" w:cs="Tahoma"/>
        </w:rPr>
      </w:pPr>
      <w:r w:rsidRPr="008B45FE">
        <w:rPr>
          <w:rFonts w:ascii="Tahoma" w:hAnsi="Tahoma" w:cs="Tahoma"/>
        </w:rPr>
        <w:t xml:space="preserve">Mając na uwadze, że analizy wymagane obowiązującym art. 66 ust. 1 zwykle są wycinkowe i tendencyjne, należy znacznie uszczegółowić ich zakres. Rzetelna analiza wymaga bowiem, aby odnosiła się konkretnie przynajmniej do: praw </w:t>
      </w:r>
      <w:r w:rsidRPr="008B45FE">
        <w:rPr>
          <w:rFonts w:ascii="Tahoma" w:hAnsi="Tahoma" w:cs="Tahoma"/>
        </w:rPr>
        <w:lastRenderedPageBreak/>
        <w:t>majątkowych przedsię</w:t>
      </w:r>
      <w:r w:rsidRPr="008B45FE">
        <w:rPr>
          <w:rFonts w:ascii="Tahoma" w:hAnsi="Tahoma" w:cs="Tahoma"/>
          <w:lang w:val="it-IT"/>
        </w:rPr>
        <w:t>biorc</w:t>
      </w:r>
      <w:r w:rsidRPr="008B45FE">
        <w:rPr>
          <w:rFonts w:ascii="Tahoma" w:hAnsi="Tahoma" w:cs="Tahoma"/>
        </w:rPr>
        <w:t>ów; uprawnień i obowiązków publicznoprawnych przedsię</w:t>
      </w:r>
      <w:r w:rsidRPr="008B45FE">
        <w:rPr>
          <w:rFonts w:ascii="Tahoma" w:hAnsi="Tahoma" w:cs="Tahoma"/>
          <w:lang w:val="it-IT"/>
        </w:rPr>
        <w:t>biorc</w:t>
      </w:r>
      <w:r w:rsidRPr="008B45FE">
        <w:rPr>
          <w:rFonts w:ascii="Tahoma" w:hAnsi="Tahoma" w:cs="Tahoma"/>
        </w:rPr>
        <w:t>ów; kosztów prowadzenia działalności gospodarczej przez przedsię</w:t>
      </w:r>
      <w:r w:rsidRPr="008B45FE">
        <w:rPr>
          <w:rFonts w:ascii="Tahoma" w:hAnsi="Tahoma" w:cs="Tahoma"/>
          <w:lang w:val="it-IT"/>
        </w:rPr>
        <w:t>biorc</w:t>
      </w:r>
      <w:r w:rsidRPr="008B45FE">
        <w:rPr>
          <w:rFonts w:ascii="Tahoma" w:hAnsi="Tahoma" w:cs="Tahoma"/>
        </w:rPr>
        <w:t>ów, w tym kosztów dopełnienia czynności administracyjnych oraz kosztów dostosowania przedsiębiorstw do projektowanych regulacji, w tym zmian organizacji przedsiębiorstw, nabycia praw, nabycia wyposażenia i urządzeń, usunięcia lub wycofania używanych wyposażenia lub urządzeń, nabycia lub przebudowy nieruchomości, budynków i lokali (projektowany art. 66 ust. 2 pkt 1-4). Tak jak obecnie, ocena wpływu powinna wskazywać, czy i jakie rozwiązania przygotowano dla mniejszych przedsię</w:t>
      </w:r>
      <w:r w:rsidRPr="008B45FE">
        <w:rPr>
          <w:rFonts w:ascii="Tahoma" w:hAnsi="Tahoma" w:cs="Tahoma"/>
          <w:lang w:val="it-IT"/>
        </w:rPr>
        <w:t>biorc</w:t>
      </w:r>
      <w:r w:rsidRPr="008B45FE">
        <w:rPr>
          <w:rFonts w:ascii="Tahoma" w:hAnsi="Tahoma" w:cs="Tahoma"/>
        </w:rPr>
        <w:t xml:space="preserve">ów (projektowany art. 66 ust. 3). Ocena wpływu powinna być dołączana do uzasadnienia projektu aktu prawnego. Ze względu na to, że rzetelna ocena właściwie musi być odrębnym dokumentem, należy zrezygnować z możliwości zamieszczania jej w uzasadnieniu do projektu aktu normatywnego (por. obowiązujący art. 66 ust. 2 i projektowany art. 66 ust. 4). W celu ujednolicenia sposobu przygotowania ocen wpływu, szczegółowe zasady ich przygotowywania powinny znaleźć się w rozporządzeniu (projektowany art. 66 ust. 5). Proponuje się, aby Rada Ministrów wydała rozporządzenie w terminie 3 miesięcy od dnia wejścia w życie ustawy (art. 6 projektu). Do upływu tego terminu, w okresie przejściowym,  podmioty odpowiedzialne będą zobowiązane przygotowywać oceny kierując się przepisami ustawy. </w:t>
      </w:r>
    </w:p>
    <w:p w14:paraId="70F2F4ED" w14:textId="77777777" w:rsidR="00A30674" w:rsidRPr="008B45FE" w:rsidRDefault="00ED4FE6">
      <w:pPr>
        <w:ind w:firstLine="851"/>
        <w:jc w:val="both"/>
        <w:rPr>
          <w:rFonts w:ascii="Tahoma" w:eastAsia="Tahoma" w:hAnsi="Tahoma" w:cs="Tahoma"/>
        </w:rPr>
      </w:pPr>
      <w:r w:rsidRPr="008B45FE">
        <w:rPr>
          <w:rFonts w:ascii="Tahoma" w:hAnsi="Tahoma" w:cs="Tahoma"/>
        </w:rPr>
        <w:t>W kolejnym kroku, już opracowując projekt aktu normatywnego, powinny znaleźć zastosowanie bardziej szczegółowe wytyczne kształtowania poszczególnych obowiązków administracyjnych, tj.:</w:t>
      </w:r>
    </w:p>
    <w:p w14:paraId="33AB29A6" w14:textId="77777777" w:rsidR="00A30674" w:rsidRPr="008B45FE" w:rsidRDefault="00ED4FE6">
      <w:pPr>
        <w:pStyle w:val="ZPKTzmpktartykuempunktem"/>
        <w:ind w:left="510"/>
        <w:rPr>
          <w:rFonts w:ascii="Tahoma" w:eastAsia="Tahoma" w:hAnsi="Tahoma" w:cs="Tahoma"/>
        </w:rPr>
      </w:pPr>
      <w:r w:rsidRPr="008B45FE">
        <w:rPr>
          <w:rFonts w:ascii="Tahoma" w:hAnsi="Tahoma" w:cs="Tahoma"/>
        </w:rPr>
        <w:t>1)</w:t>
      </w:r>
      <w:r w:rsidRPr="008B45FE">
        <w:rPr>
          <w:rFonts w:ascii="Tahoma" w:hAnsi="Tahoma" w:cs="Tahoma"/>
        </w:rPr>
        <w:tab/>
        <w:t>powstrzymywania się od nakładania nowych lub zwiększania dotychczasowych obowiązków administracyjnych, a jeżeli nie jest to możliwe, nakładać lub zwiększać te obowiązki jedynie w stopniu koniecznym do osiągnię</w:t>
      </w:r>
      <w:r w:rsidRPr="008B45FE">
        <w:rPr>
          <w:rFonts w:ascii="Tahoma" w:hAnsi="Tahoma" w:cs="Tahoma"/>
          <w:lang w:val="it-IT"/>
        </w:rPr>
        <w:t>cia cel</w:t>
      </w:r>
      <w:r w:rsidRPr="008B45FE">
        <w:rPr>
          <w:rFonts w:ascii="Tahoma" w:hAnsi="Tahoma" w:cs="Tahoma"/>
        </w:rPr>
        <w:t xml:space="preserve">ów projektowanego aktu normatywnego; </w:t>
      </w:r>
    </w:p>
    <w:p w14:paraId="4869A164" w14:textId="77777777" w:rsidR="00A30674" w:rsidRPr="008B45FE" w:rsidRDefault="00ED4FE6">
      <w:pPr>
        <w:pStyle w:val="ZPKTzmpktartykuempunktem"/>
        <w:ind w:left="510"/>
        <w:rPr>
          <w:rFonts w:ascii="Tahoma" w:eastAsia="Tahoma" w:hAnsi="Tahoma" w:cs="Tahoma"/>
        </w:rPr>
      </w:pPr>
      <w:r w:rsidRPr="008B45FE">
        <w:rPr>
          <w:rFonts w:ascii="Tahoma" w:hAnsi="Tahoma" w:cs="Tahoma"/>
        </w:rPr>
        <w:t>2)</w:t>
      </w:r>
      <w:r w:rsidRPr="008B45FE">
        <w:rPr>
          <w:rFonts w:ascii="Tahoma" w:hAnsi="Tahoma" w:cs="Tahoma"/>
        </w:rPr>
        <w:tab/>
        <w:t>dążenia do ograniczenia obowiązków informacyjnych, zwłaszcza polegających na przekazywaniu informacji organom władzy publicznej, a jeżeli to nie możliwe, należy dążyć do wprowadzania obowiązków informacyjnych w sposób, który wykorzysta dotychczasowe systemy teleinformatyczne i procedury.</w:t>
      </w:r>
    </w:p>
    <w:p w14:paraId="17615C3C" w14:textId="77777777" w:rsidR="00A30674" w:rsidRPr="008B45FE" w:rsidRDefault="00ED4FE6">
      <w:pPr>
        <w:pStyle w:val="ZPKTzmpktartykuempunktem"/>
        <w:ind w:left="510"/>
        <w:rPr>
          <w:rFonts w:ascii="Tahoma" w:eastAsia="Tahoma" w:hAnsi="Tahoma" w:cs="Tahoma"/>
        </w:rPr>
      </w:pPr>
      <w:r w:rsidRPr="008B45FE">
        <w:rPr>
          <w:rFonts w:ascii="Tahoma" w:hAnsi="Tahoma" w:cs="Tahoma"/>
        </w:rPr>
        <w:t>3)</w:t>
      </w:r>
      <w:r w:rsidRPr="008B45FE">
        <w:rPr>
          <w:rFonts w:ascii="Tahoma" w:hAnsi="Tahoma" w:cs="Tahoma"/>
        </w:rPr>
        <w:tab/>
        <w:t>dążenia do nakładania wyłącznie obowiązków administracyjnych niezbędnych do osiągnię</w:t>
      </w:r>
      <w:r w:rsidRPr="008B45FE">
        <w:rPr>
          <w:rFonts w:ascii="Tahoma" w:hAnsi="Tahoma" w:cs="Tahoma"/>
          <w:lang w:val="it-IT"/>
        </w:rPr>
        <w:t>cia cel</w:t>
      </w:r>
      <w:r w:rsidRPr="008B45FE">
        <w:rPr>
          <w:rFonts w:ascii="Tahoma" w:hAnsi="Tahoma" w:cs="Tahoma"/>
        </w:rPr>
        <w:t xml:space="preserve">ów prawa Unii Europejskiej i prawa międzynarodowe, gdy akt </w:t>
      </w:r>
      <w:r w:rsidRPr="008B45FE">
        <w:rPr>
          <w:rFonts w:ascii="Tahoma" w:hAnsi="Tahoma" w:cs="Tahoma"/>
        </w:rPr>
        <w:lastRenderedPageBreak/>
        <w:t xml:space="preserve">prawny wykonuje ich przepisy  (projektowany art. 67 ust. 1). </w:t>
      </w:r>
    </w:p>
    <w:p w14:paraId="0D1C3AA6" w14:textId="77777777" w:rsidR="00A30674" w:rsidRPr="008B45FE" w:rsidRDefault="00ED4FE6">
      <w:pPr>
        <w:ind w:firstLine="851"/>
        <w:jc w:val="both"/>
        <w:rPr>
          <w:rFonts w:ascii="Tahoma" w:eastAsia="Tahoma" w:hAnsi="Tahoma" w:cs="Tahoma"/>
        </w:rPr>
      </w:pPr>
      <w:r w:rsidRPr="008B45FE">
        <w:rPr>
          <w:rFonts w:ascii="Tahoma" w:hAnsi="Tahoma" w:cs="Tahoma"/>
        </w:rPr>
        <w:t>Oceniając dotychczasową praktykę formułowania uzasadnień do projektów aktów prawnych, celowe jest uszczegółowienie wymagań stawianych ich autorom. Nie można ograniczyć się tylko do wymogu wyjaśniania celu i sposobu osiągania zakładanego celu (projektowany art. 67 ust. 2 pkt 1). Przede wszystkim uzasadnienia powinny odnosić się do każdego przepisu projektowanego aktu normatywnego (projektowany art. 67 ust. 2 pkt 2). Istotne jest, aby uzasadnianie zawierało wyraźne informacje, czy projektowany przepis (a nie cały akt!) zmienia stan prawny oraz na czym ma polegać zmiana stanu prawnego. Wyciągając wniosek z nagminnego wskazywania prawa unijnego jako rzekomej przyczyny przyjmowania określonych rozwiązań, uzasadnienia powinny zawierać szczegółowe informacje, czy projektowany przepis ma na celu wykonanie prawa Unii Europejskiej, prawa międzynarodowego lub decyzji albo orzeczenia organu Unii Europejskiej lub organizacji międzynarodowej oraz wskazanie takiego przepisu lub przepisów, decyzji albo orzeczenia, które projektowany przepis ma na celu wykonać (projektowany art. 67 ust. 2 pkt 3).</w:t>
      </w:r>
    </w:p>
    <w:p w14:paraId="0F02A569" w14:textId="77777777" w:rsidR="00A30674" w:rsidRPr="008B45FE" w:rsidRDefault="00ED4FE6">
      <w:pPr>
        <w:ind w:firstLine="851"/>
        <w:jc w:val="both"/>
        <w:rPr>
          <w:rFonts w:ascii="Tahoma" w:eastAsia="Tahoma" w:hAnsi="Tahoma" w:cs="Tahoma"/>
        </w:rPr>
      </w:pPr>
      <w:r w:rsidRPr="008B45FE">
        <w:rPr>
          <w:rFonts w:ascii="Tahoma" w:hAnsi="Tahoma" w:cs="Tahoma"/>
        </w:rPr>
        <w:t>Wyraźna poprawa jakość stanowienia prawa w Polsce nie nastąpi, jeżeli adresaci prawa będą nadal zaskakiwani nowymi regulacjami. Dlatego celowe jest wprowadzenie wyraźnego przepisu, który zobowiąże opracowujących zwłaszcza ustawy, aby nawet nie przewidywali krótkiego vacatio legis. W projektowanym art. 67 ust. 3 proponuje się, aby projekt ustawy nie mogli przewidywać krótszego okresu vacatio legis niż sześć miesięcy, przy czym nowe przepisy z reguły powinny wchodzić w życie z początkiem półrocza. Oczywiście, przepisy wprowadzające i przejściowe mogłyby wchodzić w życie szybciej, aby umożliwić przygotowanie do zmian prawnych. Często jest to nawet przecież pożądane. Ustalenie takiego kwartalnego „</w:t>
      </w:r>
      <w:r w:rsidRPr="008B45FE">
        <w:rPr>
          <w:rFonts w:ascii="Tahoma" w:hAnsi="Tahoma" w:cs="Tahoma"/>
          <w:lang w:val="en-US"/>
        </w:rPr>
        <w:t>rytmu</w:t>
      </w:r>
      <w:r w:rsidRPr="008B45FE">
        <w:rPr>
          <w:rFonts w:ascii="Tahoma" w:hAnsi="Tahoma" w:cs="Tahoma"/>
        </w:rPr>
        <w:t xml:space="preserve">” zmian prawnych ułatwi poruszanie się po systemie prawnym. Należy jednak pokreślić, że projektowane rozwiązania nie powinny być odczytywane jako złagodzenie rygorów wprowadzania zmian podatkowych, które wynikają z orzecznictwa Trybunału Konstytucyjnego. </w:t>
      </w:r>
    </w:p>
    <w:p w14:paraId="73905BF9" w14:textId="77777777" w:rsidR="00A30674" w:rsidRPr="008B45FE" w:rsidRDefault="00ED4FE6">
      <w:pPr>
        <w:ind w:firstLine="851"/>
        <w:jc w:val="both"/>
        <w:rPr>
          <w:rFonts w:ascii="Tahoma" w:eastAsia="Tahoma" w:hAnsi="Tahoma" w:cs="Tahoma"/>
        </w:rPr>
      </w:pPr>
      <w:r w:rsidRPr="008B45FE">
        <w:rPr>
          <w:rFonts w:ascii="Tahoma" w:hAnsi="Tahoma" w:cs="Tahoma"/>
        </w:rPr>
        <w:t xml:space="preserve">Opracowywanie aktów normatywnych przez organy państwa to ważna forma wykonywania włazy publicznej. Dlatego kluczowe jest przypisanie odpowiedzialności (nawet tylko politycznej) konkretnym osobom, które nadzorują opracowanie aktu normatywnego i przeprowadzenie konsultacji publicznych. Obecnie wskazanie takich </w:t>
      </w:r>
      <w:r w:rsidRPr="008B45FE">
        <w:rPr>
          <w:rFonts w:ascii="Tahoma" w:hAnsi="Tahoma" w:cs="Tahoma"/>
        </w:rPr>
        <w:lastRenderedPageBreak/>
        <w:t>osób jest praktykowane, ale nie jest jasne jakie ma ono znacznie prawne. Stąd nałożenie tego obowiązku w ustawie przesądzi o prawnym, a nie tylko porządkowym, znaczeniu wskazania (projektowany art. 67 ust. 4). Jest to tym bardzie istotne, że projekty ustaw są przyjmowane kolegialnie przez Radę Ministrów, a więc odpowiedzialność za ich treść jest „rozmyta”.</w:t>
      </w:r>
    </w:p>
    <w:p w14:paraId="04254D75" w14:textId="77777777" w:rsidR="00A30674" w:rsidRPr="008B45FE" w:rsidRDefault="00ED4FE6">
      <w:pPr>
        <w:ind w:firstLine="851"/>
        <w:jc w:val="both"/>
        <w:rPr>
          <w:rFonts w:ascii="Tahoma" w:eastAsia="Tahoma" w:hAnsi="Tahoma" w:cs="Tahoma"/>
        </w:rPr>
      </w:pPr>
      <w:r w:rsidRPr="008B45FE">
        <w:rPr>
          <w:rFonts w:ascii="Tahoma" w:hAnsi="Tahoma" w:cs="Tahoma"/>
        </w:rPr>
        <w:t>Prawdziwą bolączką procesu legislacyjnego ostatnich lat jest swobodne podchodzenie organów władzy do konsultacji publicznych. Konsultacje są pomijane lub skracane do tak krótkiego czasu, że stają się iluzoryczne, a przez to bezwartościowe. Jedną z przyczyn tego stanu rzeczy jest – wspomniane już – uregulowanie konsultacji przede wszystkim w akcie wewnętrznym administracji, czyli uchwale Rady Ministrów. Ten wręcz ustrojowy błąd jest oczywiście dogodny dla rządzących. Pozbawia jednak społeczeństwo ważnego instrumentu udziału w decydowaniu o własnej sytuacji. Dlatego proponuje się dodanie art. 68a-68c, które podniosą główne zasady przeprowadzania konsultacji publicznych projektów aktów normatywnych do rangi ustawowej. Zgodnie z projektowanym art. 68a ust. 1, projekty aktów prawnych powinny być obowiązkowo zamieszczane na jednej stronie internetowej, czyli w Biuletynie Informacji Publicznej Rządowego Centrum Legislacji (RCL). Wprawdzie tak też powinno dziać się to obecnie, jednak zbyt często odnotowane jest procedowanie jakiegoś aktu, ale sam jego tekst jest niedostępny. Ważne jest potwierdzenie prawa każdego do zgłaszania uwag do projektu rządowego aktu prawnego (projektowany art. 68a ust. 2). Niezależnie od zamieszczenia projektu na stronie RCL, projekty aktów prawnych powinny być kierowane do organizacji reprezentatywnych w rozumieniu ustawy o Radzie Dialogu Społecznego i reprezentacji w rozumieniu ustawy o samorządzie zawodowym niektórych przedsię</w:t>
      </w:r>
      <w:r w:rsidRPr="008B45FE">
        <w:rPr>
          <w:rFonts w:ascii="Tahoma" w:hAnsi="Tahoma" w:cs="Tahoma"/>
          <w:lang w:val="it-IT"/>
        </w:rPr>
        <w:t>biorc</w:t>
      </w:r>
      <w:r w:rsidRPr="008B45FE">
        <w:rPr>
          <w:rFonts w:ascii="Tahoma" w:hAnsi="Tahoma" w:cs="Tahoma"/>
        </w:rPr>
        <w:t xml:space="preserve">ów (projektowany art. 68a ust. 3 pkt 1 i 2). Ponadto, projekty powinny być kierowane do innych podmiotów, które mogą być zainteresowanego projektem ustawy lub rozporządzenia (projektowany art. 68a ust. 3 pkt 3). Szczególnie ważnym uzupełnieniem tych regulacji są minimalne terminy przeprowadzania konsultacji. Nadmierne skracanie terminów na zgłaszanie uwag sprawia bowiem, że konsultacje stają się czystą fikcją. Proponuje się, że termin na zgłaszanie uwag powinien wynieść 45 dni w przypadku projektu ustawy, i 21 dni w przypadku projektu innego aktu normatywnego. (projektowany art. 68a ust. 4). Również w odpowiedzi na naganną </w:t>
      </w:r>
      <w:r w:rsidRPr="008B45FE">
        <w:rPr>
          <w:rFonts w:ascii="Tahoma" w:hAnsi="Tahoma" w:cs="Tahoma"/>
        </w:rPr>
        <w:lastRenderedPageBreak/>
        <w:t>praktykę braku lub zdawkowego odnoszenia się do zgłoszonych uwag, w projektowanym art. 68a ust. 5 proponuje się nałożyć wyraźny obowiązek odnoszenia się do każdej uwagi złożonej w toku konsultacji publicznych, a w przypadku nie uwzględnienia uwagi – obowiązek uzasadniania takiego stanowiska. Wszystkie wyniki konsultacji, wraz ze zgłoszonymi uwagami i odpowiedziami prowadzącego konsultacje, powinny być udostępniane przez co najmniej 5 lat (projektowany art. 68a ust. 6).</w:t>
      </w:r>
    </w:p>
    <w:p w14:paraId="2619277F" w14:textId="77777777" w:rsidR="00A30674" w:rsidRPr="008B45FE" w:rsidRDefault="00ED4FE6">
      <w:pPr>
        <w:ind w:firstLine="851"/>
        <w:jc w:val="both"/>
        <w:rPr>
          <w:rFonts w:ascii="Tahoma" w:eastAsia="Tahoma" w:hAnsi="Tahoma" w:cs="Tahoma"/>
        </w:rPr>
      </w:pPr>
      <w:r w:rsidRPr="008B45FE">
        <w:rPr>
          <w:rFonts w:ascii="Tahoma" w:hAnsi="Tahoma" w:cs="Tahoma"/>
        </w:rPr>
        <w:t>Obowiązujące regulacje wewnętrzne rządu pozwalają na praktycznie uznaniowe odstępowanie od konsultacji publicznych. Dlatego nieodzowne jest nałożenie wyraźnych organiczne w tym względzie. W myśl projektowanego art. 68b ust. 1, pominięcie konsultacji publicznych przez Radę Ministrów powinno być dopuszczalne wyłącznie, gdy jest to podyktowane koniecznością ochrony zdrowia, życia lub porządku publicznego. W takich jednak przypadkach Rada Ministrów nie może przewidywać w projekcie aktu normatywnego dłuższego okresu obowiązywania tego aktu niż 6 miesięcy (projektowany art. 68 ust. 2). Jeżeli w tym okresie wystąpią przesłanki przedłużenia obowiązywania tego aktu, organ odpowiedzialny powinien niezwłocznie przystąpić do konsultacji publicznych nowego aktu prawnego (projektowany art. 68b ust. 3). Dalsze odstępstwa od powyższych zasad powinny być dopuszczalne tylko w przypadku wprowadzenia stanu wyjątkowego (projektowany art. 68b ust. 4).</w:t>
      </w:r>
    </w:p>
    <w:p w14:paraId="2E0CEA23" w14:textId="77777777" w:rsidR="00A30674" w:rsidRPr="008B45FE" w:rsidRDefault="00ED4FE6">
      <w:pPr>
        <w:ind w:firstLine="851"/>
        <w:jc w:val="both"/>
        <w:rPr>
          <w:rFonts w:ascii="Tahoma" w:eastAsia="Tahoma" w:hAnsi="Tahoma" w:cs="Tahoma"/>
        </w:rPr>
      </w:pPr>
      <w:r w:rsidRPr="008B45FE">
        <w:rPr>
          <w:rFonts w:ascii="Tahoma" w:hAnsi="Tahoma" w:cs="Tahoma"/>
        </w:rPr>
        <w:t>Wyżej omówione propozycje przepisów dotyczyły procesu legislacyjnego inicjowanego przez Radę Ministrów. Inicjatywa ustawodawcza przysługuje jednak także innym podmiotom. Dlatego potrzebne jest zobowiązanie także tych innych podmiotów do zasięgania opinii organizacji reprezentatywnych lub branżowych (projektowany art. 68c ust. 1). Jeżeli te podmioty nie wywiążą się z tego obowiązku, powinien go dopełnić Marszałek Sejmu (projektowany art. 68c ust. 2). W takim przypadku projektodawca powinien odnieść się do uwag na wezwanie Marszałka i opracować ostateczną wersję projektu (projektowany art. 68c ust. 3 i 4). Każdy pozarządowy projekt ustawy powinien być oceniony przez Radę Ministrów, która zwykle jest emanacją większości parlamentarnej (projektowany art. 68c ust. 5). Jeż</w:t>
      </w:r>
      <w:r w:rsidRPr="008B45FE">
        <w:rPr>
          <w:rFonts w:ascii="Tahoma" w:hAnsi="Tahoma" w:cs="Tahoma"/>
          <w:lang w:val="it-IT"/>
        </w:rPr>
        <w:t>eli Rada Ministr</w:t>
      </w:r>
      <w:r w:rsidRPr="008B45FE">
        <w:rPr>
          <w:rFonts w:ascii="Tahoma" w:hAnsi="Tahoma" w:cs="Tahoma"/>
        </w:rPr>
        <w:t xml:space="preserve">ów popiera projekt pozarządowy w całości lub części, to jest logiczne, że powinna sporządzić własną ocenę wpływu tego projektu (projektowany art. 68c ust. 6). Poparcie pozarządowego aktu prawnego przez rząd oznacza bowiem, że ten </w:t>
      </w:r>
      <w:r w:rsidRPr="008B45FE">
        <w:rPr>
          <w:rFonts w:ascii="Tahoma" w:hAnsi="Tahoma" w:cs="Tahoma"/>
        </w:rPr>
        <w:lastRenderedPageBreak/>
        <w:t>powinien wykazać przyczyny swojego stanowiska nie tylko deklarując poparcie, ale także uzupełniając uzasadnienie projektu pełną oceną wpływu. Dzięki takiemu rozwiązaniu pominięcie drogi rządowej nie zwolni Rady Ministrów z przedstawienia przewidywanych skutków projektowanej regulacji. Projekt pozarządowy wraz oceną wpływu powinien być zamieszczony na stronie internetowej Sejmu (projektowany art. 68c ust. 7). Dzięki temu będzie umocowana obecna praktyka, a projektowana regulacja będzie kompletna.</w:t>
      </w:r>
    </w:p>
    <w:p w14:paraId="407F00A1" w14:textId="77777777" w:rsidR="00A30674" w:rsidRPr="008B45FE" w:rsidRDefault="00ED4FE6">
      <w:pPr>
        <w:keepNext/>
        <w:spacing w:before="360"/>
        <w:rPr>
          <w:rFonts w:ascii="Tahoma" w:eastAsia="Verdana" w:hAnsi="Tahoma" w:cs="Tahoma"/>
          <w:b/>
          <w:bCs/>
        </w:rPr>
      </w:pPr>
      <w:r w:rsidRPr="008B45FE">
        <w:rPr>
          <w:rFonts w:ascii="Tahoma" w:hAnsi="Tahoma" w:cs="Tahoma"/>
          <w:b/>
          <w:bCs/>
        </w:rPr>
        <w:t>Zmiany w ustawie o Rzeczniku Małych i Średnich Przedsię</w:t>
      </w:r>
      <w:r w:rsidRPr="008B45FE">
        <w:rPr>
          <w:rFonts w:ascii="Tahoma" w:hAnsi="Tahoma" w:cs="Tahoma"/>
          <w:b/>
          <w:bCs/>
          <w:lang w:val="it-IT"/>
        </w:rPr>
        <w:t>biorc</w:t>
      </w:r>
      <w:r w:rsidRPr="008B45FE">
        <w:rPr>
          <w:rFonts w:ascii="Tahoma" w:hAnsi="Tahoma" w:cs="Tahoma"/>
          <w:b/>
          <w:bCs/>
        </w:rPr>
        <w:t>ów (art. 3)</w:t>
      </w:r>
    </w:p>
    <w:p w14:paraId="6347F801" w14:textId="77777777" w:rsidR="00A30674" w:rsidRPr="008B45FE" w:rsidRDefault="00ED4FE6">
      <w:pPr>
        <w:ind w:firstLine="851"/>
        <w:jc w:val="both"/>
        <w:rPr>
          <w:rFonts w:ascii="Tahoma" w:eastAsia="Tahoma" w:hAnsi="Tahoma" w:cs="Tahoma"/>
        </w:rPr>
      </w:pPr>
      <w:r w:rsidRPr="008B45FE">
        <w:rPr>
          <w:rFonts w:ascii="Tahoma" w:hAnsi="Tahoma" w:cs="Tahoma"/>
        </w:rPr>
        <w:t>Ustawa o Rzeczniku Małych i Średnich Przedsię</w:t>
      </w:r>
      <w:r w:rsidRPr="008B45FE">
        <w:rPr>
          <w:rFonts w:ascii="Tahoma" w:hAnsi="Tahoma" w:cs="Tahoma"/>
          <w:lang w:val="it-IT"/>
        </w:rPr>
        <w:t>biorc</w:t>
      </w:r>
      <w:r w:rsidRPr="008B45FE">
        <w:rPr>
          <w:rFonts w:ascii="Tahoma" w:hAnsi="Tahoma" w:cs="Tahoma"/>
        </w:rPr>
        <w:t>ów nie gwarantuje Rzecznikowi, że  otrzyma do zaopiniowania projekty aktów normatywnych. I w praktyce niestety w większości ich nie otrzymuje. Usunięciu tej luki służy dodawany projektowany art. 11a ust. 1 tej ustawy. Obowiązek kierowania projektu ustawy do Rzecznika powinien obejmować także Marszałka Sejmu (projektowany art. 11a ust. 2). Wykonując swoje funkcje, Rzecznik powinien być zobowiązany do wyrażenia opinii (projektowany art. 11a ust. 3). Nałożenie tego obowiązku ma na celu wykluczenie sytuacji, w której Rzecznik powstrzymuje się od wydania opinii w sprawach dotyczących przedsię</w:t>
      </w:r>
      <w:r w:rsidRPr="008B45FE">
        <w:rPr>
          <w:rFonts w:ascii="Tahoma" w:hAnsi="Tahoma" w:cs="Tahoma"/>
          <w:lang w:val="it-IT"/>
        </w:rPr>
        <w:t>biorc</w:t>
      </w:r>
      <w:r w:rsidRPr="008B45FE">
        <w:rPr>
          <w:rFonts w:ascii="Tahoma" w:hAnsi="Tahoma" w:cs="Tahoma"/>
        </w:rPr>
        <w:t>ów, np. kierując się motywami nie związanymi z jego misją.</w:t>
      </w:r>
    </w:p>
    <w:p w14:paraId="5B021E32" w14:textId="77777777" w:rsidR="00A30674" w:rsidRPr="008B45FE" w:rsidRDefault="00ED4FE6">
      <w:pPr>
        <w:ind w:firstLine="851"/>
        <w:jc w:val="both"/>
        <w:rPr>
          <w:rFonts w:ascii="Tahoma" w:eastAsia="Tahoma" w:hAnsi="Tahoma" w:cs="Tahoma"/>
        </w:rPr>
      </w:pPr>
      <w:r w:rsidRPr="008B45FE">
        <w:rPr>
          <w:rFonts w:ascii="Tahoma" w:hAnsi="Tahoma" w:cs="Tahoma"/>
        </w:rPr>
        <w:t>W celu należytego spełniania przez Rzecznika roli, do której został powołany, konieczne jest także umocnienie jego kompetencji i wykonywania zadań. Dlatego proponuje się w projekcie zmianę fakultatywności niektórych z nich  na obligatoryjność.</w:t>
      </w:r>
    </w:p>
    <w:p w14:paraId="7B4D4A37" w14:textId="77777777" w:rsidR="00A30674" w:rsidRPr="008B45FE" w:rsidRDefault="00ED4FE6">
      <w:pPr>
        <w:keepNext/>
        <w:spacing w:before="360"/>
        <w:rPr>
          <w:rFonts w:ascii="Tahoma" w:eastAsia="Verdana" w:hAnsi="Tahoma" w:cs="Tahoma"/>
          <w:b/>
          <w:bCs/>
        </w:rPr>
      </w:pPr>
      <w:r w:rsidRPr="008B45FE">
        <w:rPr>
          <w:rFonts w:ascii="Tahoma" w:hAnsi="Tahoma" w:cs="Tahoma"/>
          <w:b/>
          <w:bCs/>
        </w:rPr>
        <w:t>Przepisy przejściowe i końcowe</w:t>
      </w:r>
    </w:p>
    <w:p w14:paraId="5F2508F4" w14:textId="77777777" w:rsidR="00A30674" w:rsidRPr="008B45FE" w:rsidRDefault="00ED4FE6">
      <w:pPr>
        <w:ind w:firstLine="851"/>
        <w:jc w:val="both"/>
        <w:rPr>
          <w:rFonts w:ascii="Tahoma" w:eastAsia="Tahoma" w:hAnsi="Tahoma" w:cs="Tahoma"/>
        </w:rPr>
      </w:pPr>
      <w:r w:rsidRPr="008B45FE">
        <w:rPr>
          <w:rFonts w:ascii="Tahoma" w:hAnsi="Tahoma" w:cs="Tahoma"/>
        </w:rPr>
        <w:t xml:space="preserve">Proponuje się, aby nowe przepisy miały zastosowanie tylko do projektów aktów normatywnych wniesionych do Sejmu oraz projektów rozporządzeń skierowanych do uzgodnień, konsultacji publicznych lub opiniowania, po dniu wejścia w życie niniejszej ustawy (art. 4 projektu). Zastosowanie przepisów w toczącym się procesie konsultacji byłoby bowiem nieskuteczne, ponieważ w praktyce oznaczałoby konieczność wycofania tych projektów lub przygotowanie symbolicznej oceny wpływu. </w:t>
      </w:r>
    </w:p>
    <w:p w14:paraId="2AD564EA" w14:textId="77777777" w:rsidR="00A30674" w:rsidRPr="008B45FE" w:rsidRDefault="00ED4FE6">
      <w:pPr>
        <w:ind w:firstLine="851"/>
        <w:jc w:val="both"/>
        <w:rPr>
          <w:rFonts w:ascii="Tahoma" w:hAnsi="Tahoma" w:cs="Tahoma"/>
        </w:rPr>
      </w:pPr>
      <w:r w:rsidRPr="008B45FE">
        <w:rPr>
          <w:rFonts w:ascii="Tahoma" w:hAnsi="Tahoma" w:cs="Tahoma"/>
        </w:rPr>
        <w:t xml:space="preserve">Ustawa powołująca nową instytucję powinna wskazywać termin rozpoczęcia jej działania. Dlatego proponuje się, aby pierwsza kadencja Rady Oceny Wpływu </w:t>
      </w:r>
      <w:r w:rsidRPr="008B45FE">
        <w:rPr>
          <w:rFonts w:ascii="Tahoma" w:hAnsi="Tahoma" w:cs="Tahoma"/>
        </w:rPr>
        <w:lastRenderedPageBreak/>
        <w:t>rozpoczęła się  90 dni od dnia ogłoszenia ustawy. Rozpoczęcia kadencji Rady w tym terminie wymaga odpowiednio wcześniejszego wezwania uprawnionych podmiotów do przedstawienia kandydatów do Rady (art. 5).</w:t>
      </w:r>
    </w:p>
    <w:p w14:paraId="578D2A8A" w14:textId="77777777" w:rsidR="00A30674" w:rsidRPr="008B45FE" w:rsidRDefault="00ED4FE6">
      <w:pPr>
        <w:ind w:firstLine="851"/>
        <w:jc w:val="both"/>
        <w:rPr>
          <w:rFonts w:ascii="Tahoma" w:eastAsia="Tahoma" w:hAnsi="Tahoma" w:cs="Tahoma"/>
        </w:rPr>
      </w:pPr>
      <w:r w:rsidRPr="008B45FE">
        <w:rPr>
          <w:rFonts w:ascii="Tahoma" w:hAnsi="Tahoma" w:cs="Tahoma"/>
        </w:rPr>
        <w:t>Proponuje się, aby Rada Ministrów wydała rozporządzenie dotyczące metodykę sporządzania Oceny Wpływu nie później niż w terminie 2 miesięcy od dnia wejścia w życie ustawy (art. 6 projektu). Projekt ustawy powinien wejść w życie po upływie 14 dni od dnia ogłoszenia.</w:t>
      </w:r>
    </w:p>
    <w:p w14:paraId="2FECA09F" w14:textId="144D932D" w:rsidR="003C55DF" w:rsidRDefault="003C55DF" w:rsidP="008B45FE">
      <w:pPr>
        <w:keepNext/>
        <w:spacing w:before="360"/>
        <w:jc w:val="both"/>
        <w:rPr>
          <w:rFonts w:ascii="Tahoma" w:hAnsi="Tahoma" w:cs="Tahoma"/>
        </w:rPr>
      </w:pPr>
      <w:r w:rsidRPr="008B45FE">
        <w:rPr>
          <w:rFonts w:ascii="Tahoma" w:hAnsi="Tahoma" w:cs="Tahoma"/>
          <w:b/>
          <w:bCs/>
        </w:rPr>
        <w:tab/>
      </w:r>
      <w:r w:rsidR="00D1631B" w:rsidRPr="008B45FE">
        <w:rPr>
          <w:rFonts w:ascii="Tahoma" w:hAnsi="Tahoma" w:cs="Tahoma"/>
          <w:color w:val="333333"/>
        </w:rPr>
        <w:t xml:space="preserve">Wejście w życie projektowanej ustawy przepisów będzie miało wpływ na budżet państwa. Skutki finansowe </w:t>
      </w:r>
      <w:r w:rsidR="00663279" w:rsidRPr="008B45FE">
        <w:rPr>
          <w:rFonts w:ascii="Tahoma" w:hAnsi="Tahoma" w:cs="Tahoma"/>
          <w:color w:val="333333"/>
        </w:rPr>
        <w:t xml:space="preserve">związane będą z </w:t>
      </w:r>
      <w:r w:rsidR="007B4878" w:rsidRPr="008B45FE">
        <w:rPr>
          <w:rFonts w:ascii="Tahoma" w:hAnsi="Tahoma" w:cs="Tahoma"/>
        </w:rPr>
        <w:t>powołanie</w:t>
      </w:r>
      <w:r w:rsidR="00663279" w:rsidRPr="008B45FE">
        <w:rPr>
          <w:rFonts w:ascii="Tahoma" w:hAnsi="Tahoma" w:cs="Tahoma"/>
        </w:rPr>
        <w:t>m</w:t>
      </w:r>
      <w:r w:rsidR="007B4878" w:rsidRPr="008B45FE">
        <w:rPr>
          <w:rFonts w:ascii="Tahoma" w:hAnsi="Tahoma" w:cs="Tahoma"/>
        </w:rPr>
        <w:t xml:space="preserve"> Rady Oceny Wpływu, które</w:t>
      </w:r>
      <w:r w:rsidR="00663279" w:rsidRPr="008B45FE">
        <w:rPr>
          <w:rFonts w:ascii="Tahoma" w:hAnsi="Tahoma" w:cs="Tahoma"/>
        </w:rPr>
        <w:t>j</w:t>
      </w:r>
      <w:r w:rsidR="007B4878" w:rsidRPr="008B45FE">
        <w:rPr>
          <w:rFonts w:ascii="Tahoma" w:hAnsi="Tahoma" w:cs="Tahoma"/>
        </w:rPr>
        <w:t xml:space="preserve"> Członkowie otrzymywać będą wynagrodzenie</w:t>
      </w:r>
      <w:r w:rsidR="00EB09A5" w:rsidRPr="008B45FE">
        <w:rPr>
          <w:rFonts w:ascii="Tahoma" w:hAnsi="Tahoma" w:cs="Tahoma"/>
          <w:color w:val="auto"/>
        </w:rPr>
        <w:t xml:space="preserve"> </w:t>
      </w:r>
      <w:r w:rsidR="00EB09A5" w:rsidRPr="008B45FE">
        <w:rPr>
          <w:rFonts w:ascii="Tahoma" w:hAnsi="Tahoma" w:cs="Tahoma"/>
        </w:rPr>
        <w:t xml:space="preserve">ryczałtowe </w:t>
      </w:r>
      <w:r w:rsidR="00EB09A5" w:rsidRPr="008B45FE">
        <w:rPr>
          <w:rFonts w:ascii="Tahoma" w:hAnsi="Tahoma" w:cs="Tahoma"/>
          <w:color w:val="auto"/>
        </w:rPr>
        <w:t xml:space="preserve">w wysokości dwukrotności kwoty bazowej dla członków korpusu służby cywilnej, której wysokość określa ustawa budżetowa. </w:t>
      </w:r>
      <w:r w:rsidR="0069387A" w:rsidRPr="008B45FE">
        <w:rPr>
          <w:rFonts w:ascii="Tahoma" w:hAnsi="Tahoma" w:cs="Tahoma"/>
        </w:rPr>
        <w:t xml:space="preserve">Szacunkowy </w:t>
      </w:r>
      <w:r w:rsidR="00395983" w:rsidRPr="008B45FE">
        <w:rPr>
          <w:rFonts w:ascii="Tahoma" w:hAnsi="Tahoma" w:cs="Tahoma"/>
        </w:rPr>
        <w:t xml:space="preserve">roczny koszt wynagrodzeń ryczałtowych </w:t>
      </w:r>
      <w:r w:rsidR="0069387A" w:rsidRPr="008B45FE">
        <w:rPr>
          <w:rFonts w:ascii="Tahoma" w:hAnsi="Tahoma" w:cs="Tahoma"/>
        </w:rPr>
        <w:t xml:space="preserve">członków Rady Oceny Wpływu </w:t>
      </w:r>
      <w:r w:rsidR="00395983" w:rsidRPr="008B45FE">
        <w:rPr>
          <w:rFonts w:ascii="Tahoma" w:hAnsi="Tahoma" w:cs="Tahoma"/>
        </w:rPr>
        <w:t xml:space="preserve">wyniesie ok </w:t>
      </w:r>
      <w:r w:rsidR="005B4365" w:rsidRPr="008B45FE">
        <w:rPr>
          <w:rFonts w:ascii="Tahoma" w:hAnsi="Tahoma" w:cs="Tahoma"/>
        </w:rPr>
        <w:t>80</w:t>
      </w:r>
      <w:r w:rsidR="00395983" w:rsidRPr="008B45FE">
        <w:rPr>
          <w:rFonts w:ascii="Tahoma" w:hAnsi="Tahoma" w:cs="Tahoma"/>
        </w:rPr>
        <w:t>0 tys zł</w:t>
      </w:r>
      <w:r w:rsidR="005B4365" w:rsidRPr="008B45FE">
        <w:rPr>
          <w:rFonts w:ascii="Tahoma" w:hAnsi="Tahoma" w:cs="Tahoma"/>
        </w:rPr>
        <w:t xml:space="preserve">. </w:t>
      </w:r>
    </w:p>
    <w:p w14:paraId="7F13D9B8" w14:textId="77777777" w:rsidR="008B45FE" w:rsidRPr="008B45FE" w:rsidRDefault="008B45FE" w:rsidP="008B45FE">
      <w:pPr>
        <w:keepNext/>
        <w:spacing w:before="360"/>
        <w:jc w:val="both"/>
        <w:rPr>
          <w:rFonts w:ascii="Tahoma" w:hAnsi="Tahoma" w:cs="Tahoma"/>
        </w:rPr>
      </w:pPr>
    </w:p>
    <w:p w14:paraId="3F7E01E2" w14:textId="77777777" w:rsidR="00A30674" w:rsidRPr="008B45FE" w:rsidRDefault="00ED4FE6">
      <w:pPr>
        <w:ind w:firstLine="851"/>
        <w:jc w:val="both"/>
        <w:rPr>
          <w:rFonts w:ascii="Tahoma" w:eastAsia="Tahoma" w:hAnsi="Tahoma" w:cs="Tahoma"/>
        </w:rPr>
      </w:pPr>
      <w:r w:rsidRPr="008B45FE">
        <w:rPr>
          <w:rFonts w:ascii="Tahoma" w:hAnsi="Tahoma" w:cs="Tahoma"/>
        </w:rPr>
        <w:t>Zakres projektowanej ustawy nie jest objęty prawem Unii Europejskiej. Trzeba jednak zauważyć, że przejrzystość procesu stanowienia prawa jest jednym z istotnych warunków państwa prawa (praworządności), która jest wartością wymienioną w art. 2 Traktatu o Funkcjonowaniu Unii Europejskiej.</w:t>
      </w:r>
    </w:p>
    <w:p w14:paraId="601B16E3" w14:textId="77777777" w:rsidR="00A30674" w:rsidRPr="008B45FE" w:rsidRDefault="00ED4FE6">
      <w:pPr>
        <w:ind w:firstLine="851"/>
        <w:jc w:val="both"/>
        <w:rPr>
          <w:rFonts w:ascii="Tahoma" w:eastAsia="Tahoma" w:hAnsi="Tahoma" w:cs="Tahoma"/>
        </w:rPr>
      </w:pPr>
      <w:r w:rsidRPr="008B45FE">
        <w:rPr>
          <w:rFonts w:ascii="Tahoma" w:hAnsi="Tahoma" w:cs="Tahoma"/>
        </w:rPr>
        <w:t xml:space="preserve">Projekt nie wymaga przedstawienia właściwym organom i instytucjom Unii Europejskiej, w tym Europejskiemu Bankowi Centralnemu, w celu uzyskania opinii, dokonania powiadomienia, konsultacji lub uzgodnienia. </w:t>
      </w:r>
    </w:p>
    <w:p w14:paraId="0A49EFDD" w14:textId="77777777" w:rsidR="00A30674" w:rsidRPr="008B45FE" w:rsidRDefault="00ED4FE6">
      <w:pPr>
        <w:ind w:firstLine="851"/>
        <w:jc w:val="both"/>
        <w:rPr>
          <w:rFonts w:ascii="Tahoma" w:eastAsia="Tahoma" w:hAnsi="Tahoma" w:cs="Tahoma"/>
        </w:rPr>
      </w:pPr>
      <w:r w:rsidRPr="008B45FE">
        <w:rPr>
          <w:rFonts w:ascii="Tahoma" w:hAnsi="Tahoma" w:cs="Tahoma"/>
        </w:rPr>
        <w:t xml:space="preserve">Projekt ustawy nie podlega notyfikacji zgodnie z § 4 ust. 1 pkt 1 rozporządzenia Rady Ministrów z dnia 23 grudnia 2002 r. w sprawie funkcjonowania krajowego systemu notyfikacji norm i aktów prawnych (Dz. U. poz. 2039, z późn. zm.), gdyż regulacja nie odnosi się do wprowadzenia norm lub przepisów technicznych. </w:t>
      </w:r>
    </w:p>
    <w:p w14:paraId="5183AC41" w14:textId="77777777" w:rsidR="00A30674" w:rsidRPr="008B45FE" w:rsidRDefault="00A30674">
      <w:pPr>
        <w:ind w:firstLine="851"/>
        <w:jc w:val="both"/>
        <w:rPr>
          <w:rFonts w:ascii="Tahoma" w:eastAsia="Tahoma" w:hAnsi="Tahoma" w:cs="Tahoma"/>
        </w:rPr>
      </w:pPr>
    </w:p>
    <w:p w14:paraId="7CCC67CB" w14:textId="379466C6" w:rsidR="00A30674" w:rsidRPr="008B45FE" w:rsidRDefault="00A30674" w:rsidP="008B45FE">
      <w:pPr>
        <w:jc w:val="both"/>
        <w:rPr>
          <w:rFonts w:ascii="Tahoma" w:hAnsi="Tahoma" w:cs="Tahoma"/>
        </w:rPr>
      </w:pPr>
    </w:p>
    <w:sectPr w:rsidR="00A30674" w:rsidRPr="008B45FE">
      <w:headerReference w:type="default" r:id="rId6"/>
      <w:footerReference w:type="default" r:id="rId7"/>
      <w:headerReference w:type="first" r:id="rId8"/>
      <w:footerReference w:type="first" r:id="rId9"/>
      <w:pgSz w:w="11900" w:h="16840"/>
      <w:pgMar w:top="1560" w:right="1434" w:bottom="1276" w:left="1418"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25FC5" w14:textId="77777777" w:rsidR="004E4692" w:rsidRDefault="004E4692">
      <w:pPr>
        <w:spacing w:line="240" w:lineRule="auto"/>
      </w:pPr>
      <w:r>
        <w:separator/>
      </w:r>
    </w:p>
  </w:endnote>
  <w:endnote w:type="continuationSeparator" w:id="0">
    <w:p w14:paraId="40323F03" w14:textId="77777777" w:rsidR="004E4692" w:rsidRDefault="004E4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imes Roman">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10B86" w14:textId="77777777" w:rsidR="00A30674" w:rsidRDefault="00A30674">
    <w:pPr>
      <w:pStyle w:val="Nagweki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6CD6A" w14:textId="77777777" w:rsidR="00A30674" w:rsidRDefault="00A30674">
    <w:pPr>
      <w:pStyle w:val="Nagweki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0E010" w14:textId="77777777" w:rsidR="004E4692" w:rsidRDefault="004E4692">
      <w:r>
        <w:separator/>
      </w:r>
    </w:p>
  </w:footnote>
  <w:footnote w:type="continuationSeparator" w:id="0">
    <w:p w14:paraId="2EE70657" w14:textId="77777777" w:rsidR="004E4692" w:rsidRDefault="004E4692">
      <w:r>
        <w:continuationSeparator/>
      </w:r>
    </w:p>
  </w:footnote>
  <w:footnote w:type="continuationNotice" w:id="1">
    <w:p w14:paraId="237168FB" w14:textId="77777777" w:rsidR="004E4692" w:rsidRDefault="004E469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050AB" w14:textId="77777777" w:rsidR="00A30674" w:rsidRDefault="00A30674">
    <w:pPr>
      <w:pStyle w:val="Nagwekistop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F05DA" w14:textId="77777777" w:rsidR="00A30674" w:rsidRDefault="00A30674">
    <w:pPr>
      <w:pStyle w:val="Nagwekistop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defaultTabStop w:val="708"/>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74"/>
    <w:rsid w:val="00004373"/>
    <w:rsid w:val="0004451D"/>
    <w:rsid w:val="00054684"/>
    <w:rsid w:val="00087625"/>
    <w:rsid w:val="000B165A"/>
    <w:rsid w:val="000E6A6A"/>
    <w:rsid w:val="000E6F58"/>
    <w:rsid w:val="00114A01"/>
    <w:rsid w:val="00183FD1"/>
    <w:rsid w:val="001B2EE0"/>
    <w:rsid w:val="001C475D"/>
    <w:rsid w:val="001E4D1D"/>
    <w:rsid w:val="0021103B"/>
    <w:rsid w:val="002C1A2D"/>
    <w:rsid w:val="002F0A39"/>
    <w:rsid w:val="00303278"/>
    <w:rsid w:val="003418CA"/>
    <w:rsid w:val="0035648F"/>
    <w:rsid w:val="00395983"/>
    <w:rsid w:val="003A278F"/>
    <w:rsid w:val="003C55DF"/>
    <w:rsid w:val="003D67DC"/>
    <w:rsid w:val="003E599E"/>
    <w:rsid w:val="00471111"/>
    <w:rsid w:val="004E4692"/>
    <w:rsid w:val="005016A7"/>
    <w:rsid w:val="005508F4"/>
    <w:rsid w:val="00572FB8"/>
    <w:rsid w:val="005B4365"/>
    <w:rsid w:val="005B69F1"/>
    <w:rsid w:val="00602BCD"/>
    <w:rsid w:val="00615731"/>
    <w:rsid w:val="00622631"/>
    <w:rsid w:val="006539EF"/>
    <w:rsid w:val="00663279"/>
    <w:rsid w:val="00667B7D"/>
    <w:rsid w:val="00672845"/>
    <w:rsid w:val="0069387A"/>
    <w:rsid w:val="007B4878"/>
    <w:rsid w:val="0086177D"/>
    <w:rsid w:val="008B45FE"/>
    <w:rsid w:val="008E4A4B"/>
    <w:rsid w:val="0093216C"/>
    <w:rsid w:val="009E72B3"/>
    <w:rsid w:val="00A03B77"/>
    <w:rsid w:val="00A22E0D"/>
    <w:rsid w:val="00A30674"/>
    <w:rsid w:val="00A512BB"/>
    <w:rsid w:val="00A8289A"/>
    <w:rsid w:val="00B04956"/>
    <w:rsid w:val="00B31486"/>
    <w:rsid w:val="00BD1F2F"/>
    <w:rsid w:val="00C51E34"/>
    <w:rsid w:val="00C64F1C"/>
    <w:rsid w:val="00C87BEB"/>
    <w:rsid w:val="00C96D3E"/>
    <w:rsid w:val="00CF7012"/>
    <w:rsid w:val="00D123A9"/>
    <w:rsid w:val="00D1631B"/>
    <w:rsid w:val="00D53FB7"/>
    <w:rsid w:val="00D62873"/>
    <w:rsid w:val="00D8683A"/>
    <w:rsid w:val="00DB4F9B"/>
    <w:rsid w:val="00DE7EC4"/>
    <w:rsid w:val="00E54E0A"/>
    <w:rsid w:val="00E56367"/>
    <w:rsid w:val="00EB09A5"/>
    <w:rsid w:val="00ED4FE6"/>
    <w:rsid w:val="00EE1D70"/>
    <w:rsid w:val="00F24F58"/>
    <w:rsid w:val="00FD50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F0B9"/>
  <w15:docId w15:val="{CC7D8107-0A56-458F-9430-5CB2D6CDE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pacing w:line="360" w:lineRule="auto"/>
    </w:pPr>
    <w:rPr>
      <w:rFonts w:cs="Arial Unicode M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OZNPROJEKTUwskazaniedatylubwersjiprojektu">
    <w:name w:val="OZN_PROJEKTU – wskazanie daty lub wersji projektu"/>
    <w:next w:val="OZNRODZAKTUtznustawalubrozporzdzenieiorganwydajcy"/>
    <w:pPr>
      <w:widowControl w:val="0"/>
      <w:spacing w:line="360" w:lineRule="auto"/>
      <w:jc w:val="right"/>
    </w:pPr>
    <w:rPr>
      <w:rFonts w:cs="Arial Unicode MS"/>
      <w:color w:val="000000"/>
      <w:sz w:val="24"/>
      <w:szCs w:val="24"/>
      <w:u w:val="single" w:color="000000"/>
    </w:rPr>
  </w:style>
  <w:style w:type="paragraph" w:customStyle="1" w:styleId="OZNRODZAKTUtznustawalubrozporzdzenieiorganwydajcy">
    <w:name w:val="OZN_RODZ_AKTU – tzn. ustawa lub rozporządzenie i organ wydający"/>
    <w:next w:val="DATAAKTUdatauchwalenialubwydaniaaktu"/>
    <w:pPr>
      <w:keepNext/>
      <w:widowControl w:val="0"/>
      <w:suppressAutoHyphens/>
      <w:spacing w:after="120" w:line="360" w:lineRule="auto"/>
      <w:jc w:val="center"/>
    </w:pPr>
    <w:rPr>
      <w:rFonts w:ascii="Times Roman" w:hAnsi="Times Roman" w:cs="Arial Unicode MS"/>
      <w:b/>
      <w:bCs/>
      <w:caps/>
      <w:color w:val="000000"/>
      <w:spacing w:val="53"/>
      <w:kern w:val="24"/>
      <w:sz w:val="24"/>
      <w:szCs w:val="24"/>
      <w:u w:color="000000"/>
    </w:rPr>
  </w:style>
  <w:style w:type="paragraph" w:customStyle="1" w:styleId="DATAAKTUdatauchwalenialubwydaniaaktu">
    <w:name w:val="DATA_AKTU – data uchwalenia lub wydania aktu"/>
    <w:next w:val="TYTUAKTUprzedmiotregulacjiustawylubrozporzdzenia"/>
    <w:pPr>
      <w:keepNext/>
      <w:widowControl w:val="0"/>
      <w:suppressAutoHyphens/>
      <w:spacing w:before="120" w:after="120" w:line="360" w:lineRule="auto"/>
      <w:jc w:val="center"/>
    </w:pPr>
    <w:rPr>
      <w:rFonts w:cs="Arial Unicode MS"/>
      <w:color w:val="000000"/>
      <w:sz w:val="24"/>
      <w:szCs w:val="24"/>
      <w:u w:color="000000"/>
    </w:rPr>
  </w:style>
  <w:style w:type="paragraph" w:customStyle="1" w:styleId="TYTUAKTUprzedmiotregulacjiustawylubrozporzdzenia">
    <w:name w:val="TYTUŁ_AKTU – przedmiot regulacji ustawy lub rozporządzenia"/>
    <w:next w:val="ARTartustawynprozporzdzenia"/>
    <w:pPr>
      <w:keepNext/>
      <w:widowControl w:val="0"/>
      <w:suppressAutoHyphens/>
      <w:spacing w:before="120" w:after="360" w:line="360" w:lineRule="auto"/>
      <w:jc w:val="center"/>
    </w:pPr>
    <w:rPr>
      <w:rFonts w:ascii="Times Roman" w:hAnsi="Times Roman" w:cs="Arial Unicode MS"/>
      <w:b/>
      <w:bCs/>
      <w:color w:val="000000"/>
      <w:sz w:val="24"/>
      <w:szCs w:val="24"/>
      <w:u w:color="000000"/>
    </w:rPr>
  </w:style>
  <w:style w:type="paragraph" w:customStyle="1" w:styleId="ARTartustawynprozporzdzenia">
    <w:name w:val="ART(§) – art. ustawy (§ np. rozporządzenia)"/>
    <w:pPr>
      <w:widowControl w:val="0"/>
      <w:suppressAutoHyphens/>
      <w:spacing w:before="120" w:line="360" w:lineRule="auto"/>
      <w:ind w:firstLine="510"/>
      <w:jc w:val="both"/>
    </w:pPr>
    <w:rPr>
      <w:rFonts w:cs="Arial Unicode MS"/>
      <w:color w:val="000000"/>
      <w:sz w:val="24"/>
      <w:szCs w:val="24"/>
      <w:u w:color="000000"/>
    </w:rPr>
  </w:style>
  <w:style w:type="paragraph" w:styleId="Tekstprzypisudolnego">
    <w:name w:val="footnote text"/>
    <w:pPr>
      <w:widowControl w:val="0"/>
    </w:pPr>
    <w:rPr>
      <w:rFonts w:eastAsia="Times New Roman"/>
      <w:color w:val="000000"/>
      <w:u w:color="000000"/>
    </w:rPr>
  </w:style>
  <w:style w:type="paragraph" w:customStyle="1" w:styleId="ZARTzmartartykuempunktem">
    <w:name w:val="Z/ART(§) – zm. art. (§) artykułem (punktem)"/>
    <w:pPr>
      <w:widowControl w:val="0"/>
      <w:suppressAutoHyphens/>
      <w:spacing w:line="360" w:lineRule="auto"/>
      <w:ind w:left="510" w:firstLine="510"/>
      <w:jc w:val="both"/>
    </w:pPr>
    <w:rPr>
      <w:rFonts w:cs="Arial Unicode MS"/>
      <w:color w:val="000000"/>
      <w:sz w:val="24"/>
      <w:szCs w:val="24"/>
      <w:u w:color="000000"/>
    </w:rPr>
  </w:style>
  <w:style w:type="paragraph" w:customStyle="1" w:styleId="ZUSTzmustartykuempunktem">
    <w:name w:val="Z/UST(§) – zm. ust. (§) artykułem (punktem)"/>
    <w:pPr>
      <w:widowControl w:val="0"/>
      <w:suppressAutoHyphens/>
      <w:spacing w:line="360" w:lineRule="auto"/>
      <w:ind w:left="510" w:firstLine="510"/>
      <w:jc w:val="both"/>
    </w:pPr>
    <w:rPr>
      <w:rFonts w:cs="Arial Unicode MS"/>
      <w:color w:val="000000"/>
      <w:sz w:val="24"/>
      <w:szCs w:val="24"/>
      <w:u w:color="000000"/>
    </w:rPr>
  </w:style>
  <w:style w:type="paragraph" w:customStyle="1" w:styleId="ZPKTzmpktartykuempunktem">
    <w:name w:val="Z/PKT – zm. pkt artykułem (punktem)"/>
    <w:pPr>
      <w:widowControl w:val="0"/>
      <w:spacing w:line="360" w:lineRule="auto"/>
      <w:ind w:left="1020" w:hanging="510"/>
      <w:jc w:val="both"/>
    </w:pPr>
    <w:rPr>
      <w:rFonts w:cs="Arial Unicode MS"/>
      <w:color w:val="000000"/>
      <w:sz w:val="24"/>
      <w:szCs w:val="24"/>
      <w:u w:color="000000"/>
    </w:rPr>
  </w:style>
  <w:style w:type="paragraph" w:customStyle="1" w:styleId="Domylne">
    <w:name w:val="Domyślne"/>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PKTpunkt">
    <w:name w:val="PKT – punkt"/>
    <w:pPr>
      <w:widowControl w:val="0"/>
      <w:spacing w:line="360" w:lineRule="auto"/>
      <w:ind w:left="510" w:hanging="510"/>
      <w:jc w:val="both"/>
    </w:pPr>
    <w:rPr>
      <w:rFonts w:cs="Arial Unicode MS"/>
      <w:color w:val="000000"/>
      <w:sz w:val="24"/>
      <w:szCs w:val="24"/>
      <w:u w:color="000000"/>
    </w:rPr>
  </w:style>
  <w:style w:type="paragraph" w:customStyle="1" w:styleId="ZROZDZODDZOZNzmoznrozdzoddzartykuempunktem">
    <w:name w:val="Z/ROZDZ(ODDZ)_OZN – zm. ozn. rozdz. (oddz.) artykułem (punktem)"/>
    <w:next w:val="ZROZDZODDZPRZEDMzmprzedmrozdzoddzartykuempunktem"/>
    <w:pPr>
      <w:keepNext/>
      <w:widowControl w:val="0"/>
      <w:suppressAutoHyphens/>
      <w:spacing w:line="360" w:lineRule="auto"/>
      <w:ind w:left="510"/>
      <w:jc w:val="center"/>
    </w:pPr>
    <w:rPr>
      <w:rFonts w:cs="Arial Unicode MS"/>
      <w:color w:val="000000"/>
      <w:kern w:val="24"/>
      <w:sz w:val="24"/>
      <w:szCs w:val="24"/>
      <w:u w:color="000000"/>
    </w:rPr>
  </w:style>
  <w:style w:type="paragraph" w:customStyle="1" w:styleId="ZROZDZODDZPRZEDMzmprzedmrozdzoddzartykuempunktem">
    <w:name w:val="Z/ROZDZ(ODDZ)_PRZEDM – zm. przedm. rozdz. (oddz.) artykułem (punktem)"/>
    <w:next w:val="ZARTzmartartykuempunktem"/>
    <w:pPr>
      <w:keepNext/>
      <w:widowControl w:val="0"/>
      <w:suppressAutoHyphens/>
      <w:spacing w:before="120" w:after="120" w:line="360" w:lineRule="auto"/>
      <w:ind w:left="510"/>
      <w:jc w:val="center"/>
    </w:pPr>
    <w:rPr>
      <w:rFonts w:cs="Arial Unicode MS"/>
      <w:color w:val="000000"/>
      <w:sz w:val="24"/>
      <w:szCs w:val="24"/>
      <w:u w:color="000000"/>
    </w:rPr>
  </w:style>
  <w:style w:type="paragraph" w:customStyle="1" w:styleId="ZLITwPKTzmlitwpktartykuempunktem">
    <w:name w:val="Z/LIT_w_PKT – zm. lit. w pkt artykułem (punktem)"/>
    <w:pPr>
      <w:widowControl w:val="0"/>
      <w:spacing w:line="360" w:lineRule="auto"/>
      <w:ind w:left="1497" w:hanging="476"/>
      <w:jc w:val="both"/>
    </w:pPr>
    <w:rPr>
      <w:rFonts w:cs="Arial Unicode MS"/>
      <w:color w:val="000000"/>
      <w:sz w:val="24"/>
      <w:szCs w:val="24"/>
      <w:u w:color="000000"/>
    </w:rPr>
  </w:style>
  <w:style w:type="paragraph" w:customStyle="1" w:styleId="LITlitera">
    <w:name w:val="LIT – litera"/>
    <w:pPr>
      <w:widowControl w:val="0"/>
      <w:spacing w:line="360" w:lineRule="auto"/>
      <w:ind w:left="986" w:hanging="476"/>
      <w:jc w:val="both"/>
    </w:pPr>
    <w:rPr>
      <w:rFonts w:cs="Arial Unicode MS"/>
      <w:color w:val="000000"/>
      <w:sz w:val="24"/>
      <w:szCs w:val="24"/>
      <w:u w:color="000000"/>
    </w:rPr>
  </w:style>
  <w:style w:type="paragraph" w:customStyle="1" w:styleId="ZLITARTzmartliter">
    <w:name w:val="Z_LIT/ART(§) – zm. art. (§) literą"/>
    <w:pPr>
      <w:widowControl w:val="0"/>
      <w:suppressAutoHyphens/>
      <w:spacing w:line="360" w:lineRule="auto"/>
      <w:ind w:left="987" w:firstLine="510"/>
      <w:jc w:val="both"/>
    </w:pPr>
    <w:rPr>
      <w:rFonts w:cs="Arial Unicode MS"/>
      <w:color w:val="000000"/>
      <w:sz w:val="24"/>
      <w:szCs w:val="24"/>
      <w:u w:color="000000"/>
    </w:rPr>
  </w:style>
  <w:style w:type="paragraph" w:customStyle="1" w:styleId="ZLITPKTzmpktliter">
    <w:name w:val="Z_LIT/PKT – zm. pkt literą"/>
    <w:pPr>
      <w:widowControl w:val="0"/>
      <w:spacing w:line="360" w:lineRule="auto"/>
      <w:ind w:left="1497" w:hanging="510"/>
      <w:jc w:val="both"/>
    </w:pPr>
    <w:rPr>
      <w:rFonts w:cs="Arial Unicode MS"/>
      <w:color w:val="000000"/>
      <w:sz w:val="24"/>
      <w:szCs w:val="24"/>
      <w:u w:color="000000"/>
    </w:rPr>
  </w:style>
  <w:style w:type="paragraph" w:customStyle="1" w:styleId="USTustnpkodeksu">
    <w:name w:val="UST(§) – ust. (§ np. kodeksu)"/>
    <w:pPr>
      <w:widowControl w:val="0"/>
      <w:suppressAutoHyphens/>
      <w:spacing w:line="360" w:lineRule="auto"/>
      <w:ind w:firstLine="510"/>
      <w:jc w:val="both"/>
    </w:pPr>
    <w:rPr>
      <w:rFonts w:cs="Arial Unicode MS"/>
      <w:color w:val="000000"/>
      <w:sz w:val="24"/>
      <w:szCs w:val="24"/>
      <w:u w:color="00000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cs="Arial Unicode MS"/>
      <w:color w:val="000000"/>
      <w:u w:color="000000"/>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054684"/>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paragraph" w:styleId="Tematkomentarza">
    <w:name w:val="annotation subject"/>
    <w:basedOn w:val="Tekstkomentarza"/>
    <w:next w:val="Tekstkomentarza"/>
    <w:link w:val="TematkomentarzaZnak"/>
    <w:uiPriority w:val="99"/>
    <w:semiHidden/>
    <w:unhideWhenUsed/>
    <w:rsid w:val="00C51E34"/>
    <w:rPr>
      <w:b/>
      <w:bCs/>
    </w:rPr>
  </w:style>
  <w:style w:type="character" w:customStyle="1" w:styleId="TematkomentarzaZnak">
    <w:name w:val="Temat komentarza Znak"/>
    <w:basedOn w:val="TekstkomentarzaZnak"/>
    <w:link w:val="Tematkomentarza"/>
    <w:uiPriority w:val="99"/>
    <w:semiHidden/>
    <w:rsid w:val="00C51E34"/>
    <w:rPr>
      <w:rFonts w:cs="Arial Unicode MS"/>
      <w:b/>
      <w:bCs/>
      <w:color w:val="000000"/>
      <w:u w:color="000000"/>
    </w:rPr>
  </w:style>
  <w:style w:type="paragraph" w:customStyle="1" w:styleId="gmail-zustzmustartykuempunktem">
    <w:name w:val="gmail-zustzmustartykuempunktem"/>
    <w:basedOn w:val="Normalny"/>
    <w:rsid w:val="001E4D1D"/>
    <w:pPr>
      <w:widowControl/>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3946</Words>
  <Characters>23682</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5</cp:revision>
  <cp:lastPrinted>2021-12-01T07:55:00Z</cp:lastPrinted>
  <dcterms:created xsi:type="dcterms:W3CDTF">2021-10-27T07:49:00Z</dcterms:created>
  <dcterms:modified xsi:type="dcterms:W3CDTF">2021-12-01T07:55:00Z</dcterms:modified>
</cp:coreProperties>
</file>