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 Id="rId9"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55867E" w14:textId="0CC3B8FA" w:rsidR="001D7340" w:rsidRPr="001D7340" w:rsidRDefault="001D7340" w:rsidP="001D7340">
      <w:pPr>
        <w:pStyle w:val="CZKSIGAoznaczenieiprzedmiotczcilubksigi"/>
        <w:rPr>
          <w:rStyle w:val="Ppogrubienie"/>
        </w:rPr>
      </w:pPr>
      <w:bookmarkStart w:id="0" w:name="_GoBack"/>
      <w:bookmarkEnd w:id="0"/>
      <w:r w:rsidRPr="001D7340">
        <w:rPr>
          <w:rStyle w:val="Ppogrubienie"/>
        </w:rPr>
        <w:t>UZASADNIENIE</w:t>
      </w:r>
    </w:p>
    <w:p w14:paraId="21156C3D" w14:textId="6D59144B" w:rsidR="001D7340" w:rsidRPr="001D7340" w:rsidRDefault="001D7340" w:rsidP="001D7340">
      <w:pPr>
        <w:pStyle w:val="ARTartustawynprozporzdzenia"/>
      </w:pPr>
      <w:r w:rsidRPr="001D7340">
        <w:t>Projektowana ustawa o zmianie ustawy o Instytucie Pamięci Narodowej - Komisji Ścigania Zbrodni przeciwko Narodowi Polskiemu ma na celu wprowadzenie rozwiązań prawnych postulowanych przez Instytut Pamięci Narodowej w zakresie upamiętniania walk i</w:t>
      </w:r>
      <w:r w:rsidR="00CA0300">
        <w:t> </w:t>
      </w:r>
      <w:r w:rsidRPr="001D7340">
        <w:t xml:space="preserve">męczeństwa przez Instytut, w tym w ramach możliwości prowadzenia instytucji kultury, jaką jest Muzeum Żołnierzy Wyklętych i Więźniów Politycznych PRL w Warszawie. </w:t>
      </w:r>
    </w:p>
    <w:p w14:paraId="4DE6192E" w14:textId="77777777" w:rsidR="001D7340" w:rsidRPr="001D7340" w:rsidRDefault="001D7340" w:rsidP="001D7340">
      <w:pPr>
        <w:pStyle w:val="ARTartustawynprozporzdzenia"/>
      </w:pPr>
      <w:r w:rsidRPr="001D7340">
        <w:t>Muzeum Żołnierzy Wyklętych i Więźniów Politycznych PRL w Warszawie zostało utworzone na mocy zarządzenia Ministra Sprawiedliwości z dnia 4 kwietnia 2016 r. w sprawie utworzenia i nadania regulaminu Muzeum Żołnierzy Wyklętych i Więźniów Politycznych PRL (Dz. Urz. Min. Sprawiedl. poz. 96). Muzeum nie posiadało osobowości prawnej i działało w  strukturze organizacyjnej Służby Więziennej. Do realizacji jego zadań, na podstawie zarządzenia Ministra Sprawiedliwości z dnia 29 lutego 2016 r. zmieniającego zarządzenie w  sprawie nadania statutu Centralnemu Zarządowi Służby Więziennej (Dz. Urz. Min. Sprawiedl. poz. 82), powołano w ramach struktury organizacyjnej Centralnego Zarządu Służby Więziennej Biuro Edukacji Historycznej – Muzeum Żołnierzy Wyklętych i Więźniów Politycznych PRL. W dniu 1 marca 2020 r. Minister Sprawiedliwości wydał zarządzenie w sprawie przekształcenia Muzeum Żołnierzy Wyklętych i Więźniów Politycznych PRL w państwową instytucję kultury oraz nadania statutu Muzeum (Dz. Urz. Min. Sprawiedl.  poz. 83). Na podstawie tego aktu Muzeum z dniem 2 marca 2020 r. przyjęło formę państwowej instytucji kultury.</w:t>
      </w:r>
    </w:p>
    <w:p w14:paraId="0F60DC52" w14:textId="77777777" w:rsidR="001D7340" w:rsidRPr="001D7340" w:rsidRDefault="001D7340" w:rsidP="001D7340">
      <w:pPr>
        <w:pStyle w:val="ARTartustawynprozporzdzenia"/>
      </w:pPr>
      <w:r w:rsidRPr="001D7340">
        <w:t xml:space="preserve">W założeniach statutowych Muzeum ma się stać nowoczesnym obiektem historycznym, w którym nie tylko będzie prowadzona działalność kulturalna, lecz także działalność na rzecz wzmocnienia dotychczasowych działań państwa w dziedzinie polityki pamięci. W Polsce nie stworzono bowiem dotychczas ekspozycji, która prezentowałaby w długiej perspektywie zagadnienia Żołnierzy Wyklętych i Więźniów Politycznych PRL w historii Polski po 1944 roku. Jako priorytet postawiono sobie za cel ukazywanie historii Żołnierzy Wyklętych w różnych aspektach, aż po naświetlenie tragicznych okoliczności pobytu w katowniach aresztu śledczego przy Rakowieckiej, który dla wielu działaczy podziemia był miejscem ich mordu. Muzeum pokaże historię społecznego oporu przeciwko totalitarnemu systemowi po roku 1944, prezentując historię ludzi, którzy walcząc z okrutnym ustrojem minionej epoki złożyli najwyższą ofiarę na ołtarzu Ojczyzny. W ten sposób Muzeum ma szansę uzupełnić lukę w ofercie polskich muzeów, które z jednej strony koncentrują się na kolekcjach sztuki (np. </w:t>
      </w:r>
      <w:r w:rsidRPr="001D7340">
        <w:lastRenderedPageBreak/>
        <w:t>muzea narodowe), a z drugiej na prezentacji wybranych zagadnień historycznych (np. muzea regionalne, biograficzne, techniczne).</w:t>
      </w:r>
    </w:p>
    <w:p w14:paraId="11F0EAC4" w14:textId="77777777" w:rsidR="001D7340" w:rsidRPr="001D7340" w:rsidRDefault="001D7340" w:rsidP="001D7340">
      <w:pPr>
        <w:pStyle w:val="ARTartustawynprozporzdzenia"/>
      </w:pPr>
      <w:r w:rsidRPr="001D7340">
        <w:t>Mimo szerokiej oferty prezentowanej przez muzea nikt do tej pory nie odpowiedział na potrzebę pogłębienia wiedzy w zakresie wiedzy o oporze w stosunku do komunizmu, który wystąpił w Polsce po 1944 roku. Nie powstała dotychczas placówka, która w sposób systemowy opowiadać będzie historii społecznego oporu przeciwko najbardziej zbrodniczemu systemowi totalitarnemu jakim był komunizm. Tym samym Muzeum stanowić będzie wypełnienie tej luki w ofercie kierowanej przez placówki muzealne w Polsce.</w:t>
      </w:r>
    </w:p>
    <w:p w14:paraId="626B24C9" w14:textId="77777777" w:rsidR="001D7340" w:rsidRPr="001D7340" w:rsidRDefault="001D7340" w:rsidP="001D7340">
      <w:pPr>
        <w:pStyle w:val="ARTartustawynprozporzdzenia"/>
      </w:pPr>
      <w:r w:rsidRPr="001D7340">
        <w:t>Ustawa z dnia 4 września 1997 r. o działach administracji rządowej (Dz.U. z 2020 r. poz. 1220) określa zakres działów administracji rządowej oraz właściwość ministra kierującego danym działem, zgodnie z art. 24 przywoływanego aktu – dział sprawiedliwość, którym kieruje Minister Sprawiedliwości, obejmuje sprawy:</w:t>
      </w:r>
    </w:p>
    <w:p w14:paraId="436F2D14" w14:textId="77777777" w:rsidR="001D7340" w:rsidRPr="001D7340" w:rsidRDefault="001D7340" w:rsidP="001D7340">
      <w:pPr>
        <w:pStyle w:val="ARTartustawynprozporzdzenia"/>
      </w:pPr>
      <w:r w:rsidRPr="001D7340">
        <w:t>1) sądownictwa;</w:t>
      </w:r>
    </w:p>
    <w:p w14:paraId="1B212DFC" w14:textId="77777777" w:rsidR="001D7340" w:rsidRPr="001D7340" w:rsidRDefault="001D7340" w:rsidP="001D7340">
      <w:pPr>
        <w:pStyle w:val="ARTartustawynprozporzdzenia"/>
      </w:pPr>
      <w:r w:rsidRPr="001D7340">
        <w:t>2) prokuratury, notariatu, adwokatury i radców prawnych, w zakresie wynikającym z   przepisów odrębnych;</w:t>
      </w:r>
    </w:p>
    <w:p w14:paraId="62EDEE97" w14:textId="77777777" w:rsidR="001D7340" w:rsidRPr="001D7340" w:rsidRDefault="001D7340" w:rsidP="001D7340">
      <w:pPr>
        <w:pStyle w:val="ARTartustawynprozporzdzenia"/>
      </w:pPr>
      <w:r w:rsidRPr="001D7340">
        <w:t>3) wykonywania kar oraz środków wychowawczych i środka poprawczego orzeczonego przez sądy oraz sprawy pomocy postpenitencjarnej;</w:t>
      </w:r>
    </w:p>
    <w:p w14:paraId="5CE71316" w14:textId="77777777" w:rsidR="001D7340" w:rsidRPr="001D7340" w:rsidRDefault="001D7340" w:rsidP="001D7340">
      <w:pPr>
        <w:pStyle w:val="ARTartustawynprozporzdzenia"/>
      </w:pPr>
      <w:r w:rsidRPr="001D7340">
        <w:t>4) tłumaczy przysięgłych;</w:t>
      </w:r>
    </w:p>
    <w:p w14:paraId="27D412FA" w14:textId="77777777" w:rsidR="001D7340" w:rsidRPr="001D7340" w:rsidRDefault="001D7340" w:rsidP="001D7340">
      <w:pPr>
        <w:pStyle w:val="ARTartustawynprozporzdzenia"/>
      </w:pPr>
      <w:r w:rsidRPr="001D7340">
        <w:t>5) nieodpłatnej pomocy prawnej oraz nieodpłatnego poradnictwa obywatelskiego, o   których mowa w ustawie z dnia 5 sierpnia 2015 r. o nieodpłatnej pomocy prawnej, nieodpłatnym poradnictwie obywatelskim oraz edukacji prawnej (Dz.U. z 2019 r. poz. 294 oraz z 2020 r. poz. 875 i 1086).</w:t>
      </w:r>
    </w:p>
    <w:p w14:paraId="0DE8CE73" w14:textId="77777777" w:rsidR="001D7340" w:rsidRPr="001D7340" w:rsidRDefault="001D7340" w:rsidP="001D7340">
      <w:pPr>
        <w:pStyle w:val="ARTartustawynprozporzdzenia"/>
      </w:pPr>
      <w:r w:rsidRPr="001D7340">
        <w:t>Z kolei zgodnie z art. 53j ustawy z dnia 18 grudnia 1998 r. o Instytucie Pamięci Narodowej – Komisji Ścigania Zbrodni przeciwko Narodowi Polskiemu (Dz.U. z 2021 r. poz. 177, dalej: ustawa o IPN), Instytut Pamięci prowadzi działalność związaną z upamiętnianiem historycznych wydarzeń, miejsc oraz postaci w dziejach walk i męczeństwa Narodu Polskiego, zarówno w  kraju, jak i za granicą, a także miejsc walk i męczeństwa innych narodów na terytorium Rzeczypospolitej Polskiej, w szczególności w zakresie m.in.: inicjowania opieki nad miejscami walk i męczeństwa oraz trwałego upamiętnienia faktów, wydarzeń i postaci związanych z tymi miejscami.</w:t>
      </w:r>
    </w:p>
    <w:p w14:paraId="65589463" w14:textId="65B0A26C" w:rsidR="001D7340" w:rsidRPr="001D7340" w:rsidRDefault="001D7340" w:rsidP="00CA0300">
      <w:pPr>
        <w:pStyle w:val="ARTartustawynprozporzdzenia"/>
      </w:pPr>
      <w:r w:rsidRPr="001D7340">
        <w:lastRenderedPageBreak/>
        <w:t xml:space="preserve">W związku z powyższym zasadne jest przekazanie Muzeum Żołnierzy Wyklętych i   Więźniów Politycznych PRL w Warszawie do dalszego prowadzenia Instytutowi Pamięci Narodowej w celu wykonywania ustawowych zadań własnych w zakresie działalności kulturalnej.  Z tego względu postuluje się w art. 1 pkt </w:t>
      </w:r>
      <w:r w:rsidR="00CA0300">
        <w:t>4</w:t>
      </w:r>
      <w:r w:rsidRPr="001D7340">
        <w:t xml:space="preserve"> dodanie w ustawie o IPN po rozdziale </w:t>
      </w:r>
      <w:r w:rsidR="00C937E7" w:rsidRPr="001D7340">
        <w:t>6</w:t>
      </w:r>
      <w:r w:rsidR="00C937E7">
        <w:t>c</w:t>
      </w:r>
      <w:r w:rsidRPr="001D7340">
        <w:t xml:space="preserve">. „Ochrona dobrego imienia Rzeczypospolitej Polskiej i Narodu Polskiego” rozdziału </w:t>
      </w:r>
      <w:r w:rsidR="00C937E7" w:rsidRPr="001D7340">
        <w:t>6</w:t>
      </w:r>
      <w:r w:rsidR="00C937E7">
        <w:t>d</w:t>
      </w:r>
      <w:r w:rsidRPr="001D7340">
        <w:t>. „Muzeum Żołnierzy Wyklętych i Więźniów Politycznych PRL w Warszawie.”, w którym szczegółowo uregulowano zasady prowadzenia przez Prezesa Instytutu Pamięci Narodowej Muzeum Żołnierzy Wyklętych i Więźniów Politycznych PRL w Warszawie, wskazując, iż: Organizatorem Muzeum jest Prezes Instytutu Pamięci Narodowej; Muzeum działa na podstawie ustawy o IPN, ustawy z dnia 25 października 1991 r. o organizowaniu i prowadzeniu działalności kulturalnej (Dz. U. z 2018 r. poz. 1983 oraz z 2019 r. poz. 115, 730, 1696 i 2020),</w:t>
      </w:r>
      <w:r w:rsidR="00CA0300">
        <w:t xml:space="preserve"> </w:t>
      </w:r>
      <w:r w:rsidRPr="001D7340">
        <w:t xml:space="preserve">ustawy z dnia 21 listopada 1996 r. o muzeach (Dz. U. z 2020 r. poz. 902) (z wyjątkiem art. 6 ust. 1, art. 8, art. 11, art. 23, art. 24, art. 27) oraz statutu Muzeum. </w:t>
      </w:r>
      <w:bookmarkStart w:id="1" w:name="_Hlk85702721"/>
      <w:r w:rsidRPr="001D7340">
        <w:t>Wyłączenie poszczególnych przepisów z ustawy o muzeach</w:t>
      </w:r>
      <w:r w:rsidR="008E47E6">
        <w:t xml:space="preserve"> oraz</w:t>
      </w:r>
      <w:r w:rsidRPr="001D7340">
        <w:t xml:space="preserve"> </w:t>
      </w:r>
      <w:r w:rsidR="008E47E6" w:rsidRPr="008E47E6">
        <w:t xml:space="preserve">ustawy o organizowaniu i prowadzeniu działalności kulturalnej </w:t>
      </w:r>
      <w:r w:rsidRPr="001D7340">
        <w:t>związane jest ze szczególnym reżimem prawnym, stosowanym tylko i wyłącznie w stosunku do Muzeum Żołnierzy Wyklętych i Więźniów Politycznych PRL w Warszawie jako instytucji kultury wyjątkowej rangi. Wprowadzenie szczególnych rozwiązań ustawowych o charakterze specjalnym w stosunku do Muzeum Żołnierzy Wyklętych i</w:t>
      </w:r>
      <w:r w:rsidR="00CA0300">
        <w:t> </w:t>
      </w:r>
      <w:r w:rsidRPr="001D7340">
        <w:t>Więźniów Politycznych PRL w Warszawie umożliwi sprawną realizację na określonym terenie konkretnie oznaczonego przedsięwzięcia, istotnego z punktu widzenia interesu publicznego. Treść i charakter rozwiązań projektowanej ustawy wpływają jednocześnie na zawężenie jej podmiotowego i przedmiotowego zakresu normowania.</w:t>
      </w:r>
      <w:bookmarkEnd w:id="1"/>
      <w:r w:rsidRPr="001D7340">
        <w:t xml:space="preserve"> Z tego względu, zasięg przewidywanych skutków prawnych wejścia w życie tej ustawy jest ograniczony.</w:t>
      </w:r>
    </w:p>
    <w:p w14:paraId="124177DA" w14:textId="77777777" w:rsidR="001D7340" w:rsidRPr="001D7340" w:rsidRDefault="001D7340" w:rsidP="001D7340">
      <w:pPr>
        <w:pStyle w:val="ARTartustawynprozporzdzenia"/>
      </w:pPr>
      <w:r w:rsidRPr="001D7340">
        <w:t xml:space="preserve">Celem projektowanej ustawy jest również usprawnienie przygotowania i realizacji inwestycji w zakresie budowy Muzeum Żołnierzy Wyklętych i Więźniów Politycznych PRL w Warszawie przy ul. Rakowieckiej 37. Ochrona oraz właściwe zagospodarowanie terenu byłego więzienia Ministerstwa Bezpieczeństwa Publicznego, które jest miejscem historycznym – jednym z tych, które są symbolem męczeństwa Polaków, którzy odważyli się walczyć o wolność swojego kraju po zakończeniu II wojny światowej, leży w interesie publicznym. Dawne więzienie mokotowskie jest związane z historią oporu po roku 1956 – było to miejsce uwięzienia wielu działaczy opozycji demokratycznej od lat 60. XX wieku. Ulokowanie siedziby Muzeum w historycznej przestrzeni przy ulicy Rakowieckiej 37 w Warszawie pozwoli m.in. na zachowanie i rewitalizację dawnego kompleksu więziennego jako przykładu </w:t>
      </w:r>
      <w:r w:rsidRPr="001D7340">
        <w:lastRenderedPageBreak/>
        <w:t>budownictwa z przełomu XIX i XX w. oraz zapewni ochronę i możliwość eksponowania pamiątek historycznych, które dzisiaj nie znajdują odpowiedniej opieki, trafiają do instytucji, w których nie mogą być odpowiednio prezentowane lub pozostają w zbiorach prywatnych.</w:t>
      </w:r>
    </w:p>
    <w:p w14:paraId="749FB085" w14:textId="77777777" w:rsidR="001D7340" w:rsidRPr="001D7340" w:rsidRDefault="001D7340" w:rsidP="001D7340">
      <w:pPr>
        <w:pStyle w:val="ARTartustawynprozporzdzenia"/>
      </w:pPr>
      <w:r w:rsidRPr="001D7340">
        <w:t>Inwestycja w przedmiocie budowy Muzeum Żołnierzy Wyklętych i Więźniów Politycznych PRL w Warszawie obejmie swoim zasięgiem nieruchomość oznaczoną numerem 31/2 w obrębie 1-01-10, o powierzchni 2,2189 ha, dla której Sąd Rejonowy dla Warszawy – Mokotowa w Warszawie, VII Wydział Ksiąg Wieczystych, prowadzi księgę wieczystą WA2M/00212389/0. Nieruchomość ta została wyodrębniona na podstawie decyzji nr 427/2018 z dnia 18 czerwca 2018 r. o podziale nieruchomości, wydanej przez prezydenta m. st. Warszawy.</w:t>
      </w:r>
    </w:p>
    <w:p w14:paraId="2D43E5B7" w14:textId="77777777" w:rsidR="001D7340" w:rsidRPr="001D7340" w:rsidRDefault="001D7340" w:rsidP="001D7340">
      <w:pPr>
        <w:pStyle w:val="ARTartustawynprozporzdzenia"/>
      </w:pPr>
      <w:r w:rsidRPr="001D7340">
        <w:t>Na kompleks muzealny będą składać się zarówno istniejące, zrewitalizowane budynki dawnego więzienia, jak i nowo powstały kompleks infrastruktury podziemnej. Na podstawie posiadanej obecnie dokumentacji łączna powierzchnia użytkowa Muzeum wyniesie ok. 32 000 m2. Obecnie na terenie kompleksu istnieje 11 wolnostojących obiektów. W ramach przewidywanych prac budowlanych planowane jest wyburzenie czterech z nich.</w:t>
      </w:r>
    </w:p>
    <w:p w14:paraId="20D059A6" w14:textId="48655C3D" w:rsidR="001D7340" w:rsidRPr="001D7340" w:rsidRDefault="001D7340" w:rsidP="001D7340">
      <w:pPr>
        <w:pStyle w:val="ARTartustawynprozporzdzenia"/>
      </w:pPr>
      <w:r w:rsidRPr="001D7340">
        <w:t xml:space="preserve">W art. </w:t>
      </w:r>
      <w:r w:rsidR="00264DF4">
        <w:t>3</w:t>
      </w:r>
      <w:r w:rsidRPr="001D7340">
        <w:t xml:space="preserve"> projektowanej ustawy wskazano, że inwestycje w zakresie budowy Muzeum Żołnierzy Wyklętych i Więźniów Politycznych PRL w Warszawie, zwane dalej także „inwestycjami”, są celem publicznym w rozumieniu ustawy z dnia 21 sierpnia 1997 r. o</w:t>
      </w:r>
      <w:r>
        <w:t> </w:t>
      </w:r>
      <w:r w:rsidRPr="001D7340">
        <w:t>gospodarce nieruchomościami. Należy wskazać, że wskazując w ustawie na cele publiczne, należy przede wszystkim mieć na względzie treść art. 21 ust. 2 Konstytucji RP, według którego wywłaszczenie jest dopuszczalne jedynie na cele publiczne i za słusznym odszkodowaniem. W</w:t>
      </w:r>
      <w:r>
        <w:t> </w:t>
      </w:r>
      <w:r w:rsidRPr="001D7340">
        <w:t xml:space="preserve">przypadku, możliwej konieczności dokonania wywłaszczania, należy określać cel publiczny, którego realizacji mają służyć przepisy o wywłaszczeniu. Taka kwalifikacja ustawowa ww. przedsięwzięcia jest uzasadniona regulacją art. 6 pkt 10 ustawy o gospodarce nieruchomościami, zgodnie z którą celami publicznymi w rozumieniu tej ustawy są także cele publiczne inne niż wymienione w art. 6 pkt 1-9d tego aktu prawnego, określone w odrębnych ustawach. Regulacja zawarta w art. 6 ustawy o gospodarce nieruchomościami nie określa kryteriów ani sposobów uznawania czegokolwiek za cel publiczny. Zawiera ona katalog (spis) różnych czynności, obiektów lub działań, które zalicza się do celów publicznych. Katalog ten jest zamknięty w ramach ustawy o gospodarce nieruchomościami (w tej ustawie nie mogą być w innym miejscu wprowadzane cele publiczne inne niż wymienione w art. 6), ale równocześnie otwarty, ponieważ z art. 6 pkt 10 powołanej ustawy wynika, że kolejne (inne) cele publiczne </w:t>
      </w:r>
      <w:r w:rsidRPr="001D7340">
        <w:lastRenderedPageBreak/>
        <w:t>mogą zostać określone w innych ustawach. Analizując brzmienie art. 6 ustawy o gospodarce nieruchomościami, a także innych, licznych tzw. specustaw, należy zauważyć, że celem publicznym są nie tyle budowle, urządzenia czy inne obiekty powstałe w wyniku realizacji inwestycji, ale o ich zakwalifikowaniu jako inwestycji celu publicznego decyduje przede wszystkim cel jakiemu te obiekty czy urządzenia powstałe w wyniku realizacji inwestycji służą. Przez ten pryzmat należy również oceniać budowle, które powstaną w wyniku realizacji inwestycji będącej przedmiotem projektowanej ustawy. Powstałe obiekty będą służyły ogółowi społeczeństwa.</w:t>
      </w:r>
    </w:p>
    <w:p w14:paraId="740C09AC" w14:textId="05705CFD" w:rsidR="001D7340" w:rsidRPr="001D7340" w:rsidRDefault="001D7340" w:rsidP="001D7340">
      <w:pPr>
        <w:pStyle w:val="ARTartustawynprozporzdzenia"/>
      </w:pPr>
      <w:r w:rsidRPr="001D7340">
        <w:t xml:space="preserve">Następnie, w ust. 2 art. </w:t>
      </w:r>
      <w:r w:rsidR="00264DF4">
        <w:t>3</w:t>
      </w:r>
      <w:r w:rsidRPr="001D7340">
        <w:t xml:space="preserve"> projektowanej ustawy wskazano, że obiekty powstałe w wyniku realizacji inwestycji zostaną przeznaczone na potrzeby Muzeum Żołnierzy Wyklętych i</w:t>
      </w:r>
      <w:r>
        <w:t> </w:t>
      </w:r>
      <w:r w:rsidRPr="001D7340">
        <w:t>Więźniów Politycznych PRL w Warszawie lub Instytutu Pamięci Narodowej. Warto zauważyć, że tak określone przeznaczenie budowli mających powstać w wyniku realizacji inwestycji kwalifikuje je do celów publicznych wskazanych w art. 6 pkt 6 ustawy o gospodarce nieruchomościami.</w:t>
      </w:r>
    </w:p>
    <w:p w14:paraId="0CDBF98F" w14:textId="63F2C247" w:rsidR="001D7340" w:rsidRPr="001D7340" w:rsidRDefault="001D7340" w:rsidP="001D7340">
      <w:pPr>
        <w:pStyle w:val="ARTartustawynprozporzdzenia"/>
      </w:pPr>
      <w:r w:rsidRPr="001D7340">
        <w:t xml:space="preserve">Przechodząc do dalszych norm zawartych w projekcie ustawy, należy wskazać, że zdanie 2 ust. 2 art. </w:t>
      </w:r>
      <w:r w:rsidR="00264DF4">
        <w:t>3</w:t>
      </w:r>
      <w:r w:rsidRPr="001D7340">
        <w:t xml:space="preserve"> projektowanej ustawy stanowi, że o szczegółowym przeznaczeniu obiektów decyduje Prezes Instytutu Pamięci Narodowej. Jest to oczywista konsekwencja uznania w</w:t>
      </w:r>
      <w:r>
        <w:t> </w:t>
      </w:r>
      <w:r w:rsidRPr="001D7340">
        <w:t xml:space="preserve">projektowanym art. 53r ustawy o IPN, że to Prezes IPN jest organizatorem Muzeum Żołnierzy Wyklętych i Więźniów Politycznych PRL w Warszawie. Ponadto, decydowanie przez Prezesa IPN o przeznaczeniu obiektów ma także związek z tym, że to właśnie Prezes IPN zostanie w myśl projektowanej nowelizacji art. 24 ust. 1 ustawy o IPN zobowiązany został do corocznego składania Sejmowi i Senatowi, raz w roku, informacji o działalności Muzeum Żołnierzy Wyklętych i Więźniów Politycznych PRL w Warszawie. Jak również należy uwzględnić to, że zgodnie z </w:t>
      </w:r>
      <w:r w:rsidR="00B50B31">
        <w:t>r</w:t>
      </w:r>
      <w:r w:rsidRPr="001D7340">
        <w:t>ozdział</w:t>
      </w:r>
      <w:r w:rsidR="00B50B31">
        <w:t>em</w:t>
      </w:r>
      <w:r w:rsidRPr="001D7340">
        <w:t xml:space="preserve"> 6</w:t>
      </w:r>
      <w:r w:rsidR="00B50B31">
        <w:t>d</w:t>
      </w:r>
      <w:r w:rsidRPr="001D7340">
        <w:t xml:space="preserve"> „Muzeum Żołnierzy Wyklętych i Więźniów Politycznych PRL w Warszawie”, właśnie Prezes IPN nadaje statut, czy wydaje decyzje odnośnie muzealiów.</w:t>
      </w:r>
    </w:p>
    <w:p w14:paraId="6E018FFB" w14:textId="5C29AFED" w:rsidR="001D7340" w:rsidRPr="001D7340" w:rsidRDefault="001D7340" w:rsidP="001D7340">
      <w:pPr>
        <w:pStyle w:val="ARTartustawynprozporzdzenia"/>
      </w:pPr>
      <w:r w:rsidRPr="001D7340">
        <w:t>Ponadto proponuje się, by w celu zapewnienia prawidłowego przebiegu budowy i</w:t>
      </w:r>
      <w:r>
        <w:t> </w:t>
      </w:r>
      <w:r w:rsidRPr="001D7340">
        <w:t>działania Muzeum Żołnierzy Wyklętych i Więźniów Politycznych PRL w Warszawie, Rada Ministrów w terminie 14 dni od wejścia w życie ustawy podjęła uchwałę w sprawie ustanowienia programu wieloletniego pod nazwą „Budowa Muzeum Żołnierzy Wyklętych i</w:t>
      </w:r>
      <w:r>
        <w:t> </w:t>
      </w:r>
      <w:r w:rsidRPr="001D7340">
        <w:t xml:space="preserve">Więźniów Politycznych PRL w Warszawie”. Wieloletni program zapewni warunki finansowe, organizacyjne i prawne umożliwiające budowę Muzeum, płynne finansowanie </w:t>
      </w:r>
      <w:r w:rsidRPr="001D7340">
        <w:lastRenderedPageBreak/>
        <w:t>inwestycji, a w przypadku ewentualnych trudności zmienienia harmonogramem wielkości środków na poszczególne lata. Ewentualne zmiany kosztów wykonania budynków i kosztów wystawy oraz czasu potrzebnego na ich realizację, w tym zorganizowanie wystawy stałej, powinny zostać uwzględnione w harmonogramie zawartym w uchwale Rady Ministrów wydanej na podstawie tego przepisu. Z tych powodów program wieloletni pod nazwą „Budowa Muzeum Żołnierzy Wyklętych i Więźniów Politycznych PRL w Warszawie” winien stanowić załącznik do projektowanej ustawy, co umożliwi także wydanie takiej uchwały we wskazanym w przepisie terminie 14 dni.</w:t>
      </w:r>
    </w:p>
    <w:p w14:paraId="4CFD7064" w14:textId="67CEC2C2" w:rsidR="001D7340" w:rsidRPr="001D7340" w:rsidRDefault="001D7340" w:rsidP="001D7340">
      <w:pPr>
        <w:pStyle w:val="ARTartustawynprozporzdzenia"/>
      </w:pPr>
      <w:r w:rsidRPr="001D7340">
        <w:t xml:space="preserve">Z powyższymi uwagami powiązana jest również proponowana w art. </w:t>
      </w:r>
      <w:r w:rsidR="00B50B31">
        <w:t>4</w:t>
      </w:r>
      <w:r w:rsidR="00B50B31" w:rsidRPr="001D7340">
        <w:t xml:space="preserve"> </w:t>
      </w:r>
      <w:r w:rsidRPr="001D7340">
        <w:t>norma przedłużająca okres obowiązywania uzyskanych przez Muzeum Żołnierzy Wyklętych i Więźniów Politycznych PRL w Warszawie pozwoleń, w tym pozwolenia na budowę. Nie można pominąć czynnika, jakim jest wystąpienie pandemii COVID-19, której ani czas trwania, ani ostateczne skutki nie są aktualnie możliwe do przewidzenia, co może znacząco wydłużyć okres realizacji całej inwestycji.</w:t>
      </w:r>
    </w:p>
    <w:p w14:paraId="31CD8EDC" w14:textId="70921A6D" w:rsidR="001D7340" w:rsidRPr="001D7340" w:rsidRDefault="001D7340" w:rsidP="001D7340">
      <w:pPr>
        <w:pStyle w:val="ARTartustawynprozporzdzenia"/>
      </w:pPr>
      <w:r w:rsidRPr="001D7340">
        <w:t xml:space="preserve">Natomiast proponowany w art. </w:t>
      </w:r>
      <w:r w:rsidR="00B50B31">
        <w:t>5</w:t>
      </w:r>
      <w:r w:rsidR="00B50B31" w:rsidRPr="001D7340">
        <w:t xml:space="preserve"> </w:t>
      </w:r>
      <w:r w:rsidRPr="001D7340">
        <w:t>trzydziestodniowy okres vacatio legis ma na celu odpowiednie przygotowanie się do przekazania przez Ministra Sprawiedliwości Prezesowi Instytutu Pamięci Muzeum Żołnierzy Wyklętych i Więźniów Politycznych PRL w Warszawie, do dalszego prowadzenia w celu wykonywania zadań własnych w zakresie działalności kulturalnej, jak również do uwzględnienia konieczności wydania uchwały Rady Ministrów w</w:t>
      </w:r>
      <w:r>
        <w:t> </w:t>
      </w:r>
      <w:r w:rsidRPr="001D7340">
        <w:t xml:space="preserve">zakresie planu wieloletniego. Taki okres vacatio legis sprawi, że w chwili wejścia w życie projektowanej ustawy, nie będzie zagrożony termin wskazany w art. </w:t>
      </w:r>
      <w:r w:rsidR="00264DF4">
        <w:t>2</w:t>
      </w:r>
      <w:r w:rsidRPr="001D7340">
        <w:t xml:space="preserve"> </w:t>
      </w:r>
      <w:r w:rsidR="00B50B31">
        <w:t>pkt</w:t>
      </w:r>
      <w:r w:rsidRPr="001D7340">
        <w:t xml:space="preserve"> 1 oraz art. </w:t>
      </w:r>
      <w:r w:rsidR="00264DF4">
        <w:t>3</w:t>
      </w:r>
      <w:r w:rsidRPr="001D7340">
        <w:t xml:space="preserve"> ust. 5 projektowanej ustawy.</w:t>
      </w:r>
    </w:p>
    <w:p w14:paraId="2C8ABB2D" w14:textId="7238131E" w:rsidR="00185461" w:rsidRPr="00185461" w:rsidRDefault="00185461" w:rsidP="00185461">
      <w:pPr>
        <w:pStyle w:val="ARTartustawynprozporzdzenia"/>
      </w:pPr>
      <w:r w:rsidRPr="00185461">
        <w:t>Wejście w życie proponowanych zmian nie spowoduje skutków finansowych dla</w:t>
      </w:r>
      <w:r w:rsidR="00676F5F">
        <w:t xml:space="preserve"> budżetu państwa oraz</w:t>
      </w:r>
      <w:r w:rsidRPr="00185461">
        <w:t xml:space="preserve"> budżetów jednostek samorządu terytorialnego. </w:t>
      </w:r>
    </w:p>
    <w:p w14:paraId="613B82FD" w14:textId="77777777" w:rsidR="00185461" w:rsidRPr="00185461" w:rsidRDefault="00185461" w:rsidP="00185461">
      <w:pPr>
        <w:pStyle w:val="ARTartustawynprozporzdzenia"/>
      </w:pPr>
      <w:r w:rsidRPr="00185461">
        <w:t>Projektowana ustawa pozostaje bez negatywnego wpływu na działalność mikroprzedsiębiorców oraz małych i średnich przedsiębiorców.</w:t>
      </w:r>
    </w:p>
    <w:p w14:paraId="1B2BA40B" w14:textId="431D155A" w:rsidR="001D7340" w:rsidRPr="007C457E" w:rsidRDefault="00185461" w:rsidP="00185461">
      <w:pPr>
        <w:pStyle w:val="ARTartustawynprozporzdzenia"/>
      </w:pPr>
      <w:r w:rsidRPr="00185461">
        <w:t>Projekt ustawy nie jest sprzeczny z prawem Unii Europejskiej oraz nie podlega opiniowaniu przez organy i instytucje Unii Europejskiej.</w:t>
      </w:r>
    </w:p>
    <w:p w14:paraId="4B3C1CAD" w14:textId="77777777" w:rsidR="00261A16" w:rsidRPr="007C457E" w:rsidRDefault="00261A16" w:rsidP="00DC0289">
      <w:pPr>
        <w:pStyle w:val="ARTartustawynprozporzdzenia"/>
      </w:pPr>
    </w:p>
    <w:sectPr w:rsidR="00261A16" w:rsidRPr="007C457E"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72C1D7" w14:textId="77777777" w:rsidR="001C3AFE" w:rsidRDefault="001C3AFE">
      <w:r>
        <w:separator/>
      </w:r>
    </w:p>
  </w:endnote>
  <w:endnote w:type="continuationSeparator" w:id="0">
    <w:p w14:paraId="7D59C65A" w14:textId="77777777" w:rsidR="001C3AFE" w:rsidRDefault="001C3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A34966" w14:textId="77777777" w:rsidR="001C3AFE" w:rsidRDefault="001C3AFE">
      <w:r>
        <w:separator/>
      </w:r>
    </w:p>
  </w:footnote>
  <w:footnote w:type="continuationSeparator" w:id="0">
    <w:p w14:paraId="3E7800BB" w14:textId="77777777" w:rsidR="001C3AFE" w:rsidRDefault="001C3A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63984C" w14:textId="77777777"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7A03F0">
      <w:rPr>
        <w:noProof/>
      </w:rPr>
      <w:t>6</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F54"/>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0984"/>
    <w:rsid w:val="00043495"/>
    <w:rsid w:val="00046A75"/>
    <w:rsid w:val="00047312"/>
    <w:rsid w:val="000508BD"/>
    <w:rsid w:val="000517AB"/>
    <w:rsid w:val="00052BAA"/>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A6173"/>
    <w:rsid w:val="000B298D"/>
    <w:rsid w:val="000B5B2D"/>
    <w:rsid w:val="000B5DCE"/>
    <w:rsid w:val="000C05BA"/>
    <w:rsid w:val="000C0E8F"/>
    <w:rsid w:val="000C4BC4"/>
    <w:rsid w:val="000D0110"/>
    <w:rsid w:val="000D2468"/>
    <w:rsid w:val="000D318A"/>
    <w:rsid w:val="000D6173"/>
    <w:rsid w:val="000D6F83"/>
    <w:rsid w:val="000E0129"/>
    <w:rsid w:val="000E25CC"/>
    <w:rsid w:val="000E3694"/>
    <w:rsid w:val="000E4893"/>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3974"/>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927"/>
    <w:rsid w:val="00180F2A"/>
    <w:rsid w:val="00184B91"/>
    <w:rsid w:val="00184D4A"/>
    <w:rsid w:val="00185461"/>
    <w:rsid w:val="00186EC1"/>
    <w:rsid w:val="00187CAB"/>
    <w:rsid w:val="00191E1F"/>
    <w:rsid w:val="0019473B"/>
    <w:rsid w:val="001952B1"/>
    <w:rsid w:val="00196D3C"/>
    <w:rsid w:val="00196E39"/>
    <w:rsid w:val="00197649"/>
    <w:rsid w:val="001A01FB"/>
    <w:rsid w:val="001A10E9"/>
    <w:rsid w:val="001A183D"/>
    <w:rsid w:val="001A2B65"/>
    <w:rsid w:val="001A3CD3"/>
    <w:rsid w:val="001A5BEF"/>
    <w:rsid w:val="001A7F15"/>
    <w:rsid w:val="001B342E"/>
    <w:rsid w:val="001C1832"/>
    <w:rsid w:val="001C188C"/>
    <w:rsid w:val="001C3AFE"/>
    <w:rsid w:val="001D1783"/>
    <w:rsid w:val="001D53CD"/>
    <w:rsid w:val="001D55A3"/>
    <w:rsid w:val="001D5AF5"/>
    <w:rsid w:val="001D7340"/>
    <w:rsid w:val="001E1E73"/>
    <w:rsid w:val="001E4E0C"/>
    <w:rsid w:val="001E526D"/>
    <w:rsid w:val="001E5655"/>
    <w:rsid w:val="001F1832"/>
    <w:rsid w:val="001F220F"/>
    <w:rsid w:val="001F25B3"/>
    <w:rsid w:val="001F6616"/>
    <w:rsid w:val="00202BD4"/>
    <w:rsid w:val="00204A97"/>
    <w:rsid w:val="002114EF"/>
    <w:rsid w:val="00211A6A"/>
    <w:rsid w:val="002166AD"/>
    <w:rsid w:val="00217871"/>
    <w:rsid w:val="00221ED8"/>
    <w:rsid w:val="002231EA"/>
    <w:rsid w:val="00223FDF"/>
    <w:rsid w:val="00226AD1"/>
    <w:rsid w:val="002279C0"/>
    <w:rsid w:val="0023727E"/>
    <w:rsid w:val="00242081"/>
    <w:rsid w:val="00243777"/>
    <w:rsid w:val="002441CD"/>
    <w:rsid w:val="002501A3"/>
    <w:rsid w:val="0025166C"/>
    <w:rsid w:val="002555D4"/>
    <w:rsid w:val="00255BF0"/>
    <w:rsid w:val="00261A16"/>
    <w:rsid w:val="00263522"/>
    <w:rsid w:val="00264DF4"/>
    <w:rsid w:val="00264EC6"/>
    <w:rsid w:val="00271013"/>
    <w:rsid w:val="00273FE4"/>
    <w:rsid w:val="00274526"/>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17763"/>
    <w:rsid w:val="00321080"/>
    <w:rsid w:val="00321366"/>
    <w:rsid w:val="00322D45"/>
    <w:rsid w:val="0032569A"/>
    <w:rsid w:val="00325A1F"/>
    <w:rsid w:val="003268F9"/>
    <w:rsid w:val="00330BAF"/>
    <w:rsid w:val="00334E3A"/>
    <w:rsid w:val="003361DD"/>
    <w:rsid w:val="00341A6A"/>
    <w:rsid w:val="00345B9C"/>
    <w:rsid w:val="00347232"/>
    <w:rsid w:val="00352DAE"/>
    <w:rsid w:val="00354EB9"/>
    <w:rsid w:val="003602AE"/>
    <w:rsid w:val="00360929"/>
    <w:rsid w:val="003646A3"/>
    <w:rsid w:val="003647D5"/>
    <w:rsid w:val="003654ED"/>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592D"/>
    <w:rsid w:val="003A60DC"/>
    <w:rsid w:val="003A6A46"/>
    <w:rsid w:val="003A7A63"/>
    <w:rsid w:val="003B000C"/>
    <w:rsid w:val="003B0F1D"/>
    <w:rsid w:val="003B233C"/>
    <w:rsid w:val="003B4A57"/>
    <w:rsid w:val="003C0AD9"/>
    <w:rsid w:val="003C0ED0"/>
    <w:rsid w:val="003C1D49"/>
    <w:rsid w:val="003C35C4"/>
    <w:rsid w:val="003D12C2"/>
    <w:rsid w:val="003D31B9"/>
    <w:rsid w:val="003D3787"/>
    <w:rsid w:val="003D3867"/>
    <w:rsid w:val="003D4601"/>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253C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1EAE"/>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299E"/>
    <w:rsid w:val="004E37E5"/>
    <w:rsid w:val="004E3FDB"/>
    <w:rsid w:val="004F1F4A"/>
    <w:rsid w:val="004F296D"/>
    <w:rsid w:val="004F508B"/>
    <w:rsid w:val="004F54EC"/>
    <w:rsid w:val="004F695F"/>
    <w:rsid w:val="004F6CA4"/>
    <w:rsid w:val="00500752"/>
    <w:rsid w:val="00501A50"/>
    <w:rsid w:val="0050222D"/>
    <w:rsid w:val="00503AF3"/>
    <w:rsid w:val="00505B97"/>
    <w:rsid w:val="0050696D"/>
    <w:rsid w:val="0051094B"/>
    <w:rsid w:val="005110D7"/>
    <w:rsid w:val="00511D99"/>
    <w:rsid w:val="005128D3"/>
    <w:rsid w:val="00513B9D"/>
    <w:rsid w:val="005147E8"/>
    <w:rsid w:val="005149FF"/>
    <w:rsid w:val="005158F2"/>
    <w:rsid w:val="0052182B"/>
    <w:rsid w:val="0052304C"/>
    <w:rsid w:val="00526DFC"/>
    <w:rsid w:val="00526F43"/>
    <w:rsid w:val="00527651"/>
    <w:rsid w:val="005363AB"/>
    <w:rsid w:val="00544EF4"/>
    <w:rsid w:val="0054593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631F"/>
    <w:rsid w:val="00597024"/>
    <w:rsid w:val="005A0274"/>
    <w:rsid w:val="005A095C"/>
    <w:rsid w:val="005A669D"/>
    <w:rsid w:val="005A75D8"/>
    <w:rsid w:val="005B0998"/>
    <w:rsid w:val="005B713E"/>
    <w:rsid w:val="005C03B6"/>
    <w:rsid w:val="005C3437"/>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212D"/>
    <w:rsid w:val="00615772"/>
    <w:rsid w:val="00621256"/>
    <w:rsid w:val="00621FCC"/>
    <w:rsid w:val="00622E4B"/>
    <w:rsid w:val="006333DA"/>
    <w:rsid w:val="00635134"/>
    <w:rsid w:val="006356E2"/>
    <w:rsid w:val="00642A65"/>
    <w:rsid w:val="00645DCE"/>
    <w:rsid w:val="006465AC"/>
    <w:rsid w:val="006465BF"/>
    <w:rsid w:val="00653B22"/>
    <w:rsid w:val="00656C15"/>
    <w:rsid w:val="00657BF4"/>
    <w:rsid w:val="006603FB"/>
    <w:rsid w:val="006608DF"/>
    <w:rsid w:val="006623AC"/>
    <w:rsid w:val="006678AF"/>
    <w:rsid w:val="006701EF"/>
    <w:rsid w:val="00673BA5"/>
    <w:rsid w:val="00676F5F"/>
    <w:rsid w:val="00680058"/>
    <w:rsid w:val="00681F9F"/>
    <w:rsid w:val="006840EA"/>
    <w:rsid w:val="006844E2"/>
    <w:rsid w:val="00685267"/>
    <w:rsid w:val="006872AE"/>
    <w:rsid w:val="00690082"/>
    <w:rsid w:val="00690252"/>
    <w:rsid w:val="006946BB"/>
    <w:rsid w:val="00696984"/>
    <w:rsid w:val="006969FA"/>
    <w:rsid w:val="006A35D5"/>
    <w:rsid w:val="006A64C9"/>
    <w:rsid w:val="006A748A"/>
    <w:rsid w:val="006C1C48"/>
    <w:rsid w:val="006C419E"/>
    <w:rsid w:val="006C4A31"/>
    <w:rsid w:val="006C5AC2"/>
    <w:rsid w:val="006C6AFB"/>
    <w:rsid w:val="006D2735"/>
    <w:rsid w:val="006D45B2"/>
    <w:rsid w:val="006E0FCC"/>
    <w:rsid w:val="006E1E96"/>
    <w:rsid w:val="006E3779"/>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878FE"/>
    <w:rsid w:val="00792207"/>
    <w:rsid w:val="00792B64"/>
    <w:rsid w:val="00792E29"/>
    <w:rsid w:val="0079379A"/>
    <w:rsid w:val="00794953"/>
    <w:rsid w:val="007A03F0"/>
    <w:rsid w:val="007A1F2F"/>
    <w:rsid w:val="007A2A5C"/>
    <w:rsid w:val="007A2F59"/>
    <w:rsid w:val="007A5150"/>
    <w:rsid w:val="007A5373"/>
    <w:rsid w:val="007A789F"/>
    <w:rsid w:val="007B0DA3"/>
    <w:rsid w:val="007B75BC"/>
    <w:rsid w:val="007C0BD6"/>
    <w:rsid w:val="007C0DB4"/>
    <w:rsid w:val="007C3806"/>
    <w:rsid w:val="007C457E"/>
    <w:rsid w:val="007C5BB7"/>
    <w:rsid w:val="007D07D5"/>
    <w:rsid w:val="007D1C64"/>
    <w:rsid w:val="007D32DD"/>
    <w:rsid w:val="007D6DCE"/>
    <w:rsid w:val="007D72C4"/>
    <w:rsid w:val="007E2CFE"/>
    <w:rsid w:val="007E59C9"/>
    <w:rsid w:val="007F0072"/>
    <w:rsid w:val="007F2EB6"/>
    <w:rsid w:val="007F4566"/>
    <w:rsid w:val="007F54C3"/>
    <w:rsid w:val="008010EA"/>
    <w:rsid w:val="00802949"/>
    <w:rsid w:val="0080301E"/>
    <w:rsid w:val="0080365F"/>
    <w:rsid w:val="00810D58"/>
    <w:rsid w:val="00812BE5"/>
    <w:rsid w:val="00814787"/>
    <w:rsid w:val="00817429"/>
    <w:rsid w:val="00821514"/>
    <w:rsid w:val="0082165E"/>
    <w:rsid w:val="00821E35"/>
    <w:rsid w:val="00824591"/>
    <w:rsid w:val="00824AED"/>
    <w:rsid w:val="0082696E"/>
    <w:rsid w:val="00827820"/>
    <w:rsid w:val="0083087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355C"/>
    <w:rsid w:val="008C4061"/>
    <w:rsid w:val="008C4229"/>
    <w:rsid w:val="008C5BE0"/>
    <w:rsid w:val="008C7233"/>
    <w:rsid w:val="008D2434"/>
    <w:rsid w:val="008E171D"/>
    <w:rsid w:val="008E226C"/>
    <w:rsid w:val="008E2785"/>
    <w:rsid w:val="008E47E6"/>
    <w:rsid w:val="008E74C7"/>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4329"/>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1B83"/>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481B"/>
    <w:rsid w:val="00A4685E"/>
    <w:rsid w:val="00A50CD4"/>
    <w:rsid w:val="00A51191"/>
    <w:rsid w:val="00A56D62"/>
    <w:rsid w:val="00A56F07"/>
    <w:rsid w:val="00A5762C"/>
    <w:rsid w:val="00A600FC"/>
    <w:rsid w:val="00A60BCA"/>
    <w:rsid w:val="00A638DA"/>
    <w:rsid w:val="00A65B41"/>
    <w:rsid w:val="00A65E00"/>
    <w:rsid w:val="00A66A78"/>
    <w:rsid w:val="00A71DFA"/>
    <w:rsid w:val="00A72F3F"/>
    <w:rsid w:val="00A73216"/>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1A95"/>
    <w:rsid w:val="00B13921"/>
    <w:rsid w:val="00B1528C"/>
    <w:rsid w:val="00B16ACD"/>
    <w:rsid w:val="00B21487"/>
    <w:rsid w:val="00B232D1"/>
    <w:rsid w:val="00B24DB5"/>
    <w:rsid w:val="00B31F9E"/>
    <w:rsid w:val="00B3268F"/>
    <w:rsid w:val="00B32C2C"/>
    <w:rsid w:val="00B33A1A"/>
    <w:rsid w:val="00B33E6C"/>
    <w:rsid w:val="00B36DE7"/>
    <w:rsid w:val="00B371CC"/>
    <w:rsid w:val="00B41CD9"/>
    <w:rsid w:val="00B427E6"/>
    <w:rsid w:val="00B428A6"/>
    <w:rsid w:val="00B43E1F"/>
    <w:rsid w:val="00B45FBC"/>
    <w:rsid w:val="00B50B31"/>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379F"/>
    <w:rsid w:val="00C260B1"/>
    <w:rsid w:val="00C26E56"/>
    <w:rsid w:val="00C31406"/>
    <w:rsid w:val="00C37194"/>
    <w:rsid w:val="00C40637"/>
    <w:rsid w:val="00C40F6C"/>
    <w:rsid w:val="00C44426"/>
    <w:rsid w:val="00C445F3"/>
    <w:rsid w:val="00C44E18"/>
    <w:rsid w:val="00C451F4"/>
    <w:rsid w:val="00C45EB1"/>
    <w:rsid w:val="00C54A3A"/>
    <w:rsid w:val="00C55566"/>
    <w:rsid w:val="00C56448"/>
    <w:rsid w:val="00C667BE"/>
    <w:rsid w:val="00C6766B"/>
    <w:rsid w:val="00C67AC8"/>
    <w:rsid w:val="00C72223"/>
    <w:rsid w:val="00C76417"/>
    <w:rsid w:val="00C7726F"/>
    <w:rsid w:val="00C823DA"/>
    <w:rsid w:val="00C8259F"/>
    <w:rsid w:val="00C82746"/>
    <w:rsid w:val="00C8312F"/>
    <w:rsid w:val="00C84C47"/>
    <w:rsid w:val="00C858A4"/>
    <w:rsid w:val="00C86AFA"/>
    <w:rsid w:val="00C87F63"/>
    <w:rsid w:val="00C937E7"/>
    <w:rsid w:val="00C97FBE"/>
    <w:rsid w:val="00CA0300"/>
    <w:rsid w:val="00CB18D0"/>
    <w:rsid w:val="00CB1C8A"/>
    <w:rsid w:val="00CB24F5"/>
    <w:rsid w:val="00CB2663"/>
    <w:rsid w:val="00CB3BBE"/>
    <w:rsid w:val="00CB59E9"/>
    <w:rsid w:val="00CC0D6A"/>
    <w:rsid w:val="00CC3831"/>
    <w:rsid w:val="00CC3E3D"/>
    <w:rsid w:val="00CC519B"/>
    <w:rsid w:val="00CD001A"/>
    <w:rsid w:val="00CD12C1"/>
    <w:rsid w:val="00CD214E"/>
    <w:rsid w:val="00CD46FA"/>
    <w:rsid w:val="00CD5973"/>
    <w:rsid w:val="00CD7833"/>
    <w:rsid w:val="00CE31A6"/>
    <w:rsid w:val="00CF09AA"/>
    <w:rsid w:val="00CF2D40"/>
    <w:rsid w:val="00CF4813"/>
    <w:rsid w:val="00CF5233"/>
    <w:rsid w:val="00D029B8"/>
    <w:rsid w:val="00D02F60"/>
    <w:rsid w:val="00D0464E"/>
    <w:rsid w:val="00D04A96"/>
    <w:rsid w:val="00D05ADA"/>
    <w:rsid w:val="00D07A7B"/>
    <w:rsid w:val="00D10E06"/>
    <w:rsid w:val="00D15197"/>
    <w:rsid w:val="00D16820"/>
    <w:rsid w:val="00D169C8"/>
    <w:rsid w:val="00D1793F"/>
    <w:rsid w:val="00D22AF5"/>
    <w:rsid w:val="00D235EA"/>
    <w:rsid w:val="00D247A9"/>
    <w:rsid w:val="00D32721"/>
    <w:rsid w:val="00D328DC"/>
    <w:rsid w:val="00D33387"/>
    <w:rsid w:val="00D402FB"/>
    <w:rsid w:val="00D46AEF"/>
    <w:rsid w:val="00D47D7A"/>
    <w:rsid w:val="00D50ABD"/>
    <w:rsid w:val="00D55290"/>
    <w:rsid w:val="00D57791"/>
    <w:rsid w:val="00D6046A"/>
    <w:rsid w:val="00D605C9"/>
    <w:rsid w:val="00D62870"/>
    <w:rsid w:val="00D655D9"/>
    <w:rsid w:val="00D65872"/>
    <w:rsid w:val="00D676F3"/>
    <w:rsid w:val="00D70EF5"/>
    <w:rsid w:val="00D71024"/>
    <w:rsid w:val="00D71A25"/>
    <w:rsid w:val="00D71FCF"/>
    <w:rsid w:val="00D72A54"/>
    <w:rsid w:val="00D72CC1"/>
    <w:rsid w:val="00D76EC9"/>
    <w:rsid w:val="00D774B5"/>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0289"/>
    <w:rsid w:val="00DC1C6B"/>
    <w:rsid w:val="00DC2C2E"/>
    <w:rsid w:val="00DC4AF0"/>
    <w:rsid w:val="00DC7886"/>
    <w:rsid w:val="00DD0CF2"/>
    <w:rsid w:val="00DE1554"/>
    <w:rsid w:val="00DE2901"/>
    <w:rsid w:val="00DE590F"/>
    <w:rsid w:val="00DE7DC1"/>
    <w:rsid w:val="00DF3F7E"/>
    <w:rsid w:val="00DF5DD3"/>
    <w:rsid w:val="00DF7648"/>
    <w:rsid w:val="00E00E29"/>
    <w:rsid w:val="00E02BAB"/>
    <w:rsid w:val="00E04CEB"/>
    <w:rsid w:val="00E060BC"/>
    <w:rsid w:val="00E11420"/>
    <w:rsid w:val="00E122EF"/>
    <w:rsid w:val="00E132FB"/>
    <w:rsid w:val="00E170B7"/>
    <w:rsid w:val="00E177DD"/>
    <w:rsid w:val="00E20900"/>
    <w:rsid w:val="00E20C7F"/>
    <w:rsid w:val="00E2396E"/>
    <w:rsid w:val="00E24728"/>
    <w:rsid w:val="00E270B0"/>
    <w:rsid w:val="00E276AC"/>
    <w:rsid w:val="00E34A35"/>
    <w:rsid w:val="00E37C2F"/>
    <w:rsid w:val="00E41C28"/>
    <w:rsid w:val="00E46308"/>
    <w:rsid w:val="00E51E17"/>
    <w:rsid w:val="00E52AB8"/>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218"/>
    <w:rsid w:val="00E96E3F"/>
    <w:rsid w:val="00EA270C"/>
    <w:rsid w:val="00EA4974"/>
    <w:rsid w:val="00EA532E"/>
    <w:rsid w:val="00EA57D4"/>
    <w:rsid w:val="00EB06D9"/>
    <w:rsid w:val="00EB192B"/>
    <w:rsid w:val="00EB19ED"/>
    <w:rsid w:val="00EB1CAB"/>
    <w:rsid w:val="00EB5750"/>
    <w:rsid w:val="00EC0AFB"/>
    <w:rsid w:val="00EC0F5A"/>
    <w:rsid w:val="00EC4265"/>
    <w:rsid w:val="00EC4CEB"/>
    <w:rsid w:val="00EC64F5"/>
    <w:rsid w:val="00EC659E"/>
    <w:rsid w:val="00EC6B46"/>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269E"/>
    <w:rsid w:val="00F43390"/>
    <w:rsid w:val="00F443B2"/>
    <w:rsid w:val="00F458D8"/>
    <w:rsid w:val="00F50237"/>
    <w:rsid w:val="00F53596"/>
    <w:rsid w:val="00F55BA8"/>
    <w:rsid w:val="00F55DB1"/>
    <w:rsid w:val="00F56ACA"/>
    <w:rsid w:val="00F600FE"/>
    <w:rsid w:val="00F62E4D"/>
    <w:rsid w:val="00F66B34"/>
    <w:rsid w:val="00F66CC8"/>
    <w:rsid w:val="00F675B9"/>
    <w:rsid w:val="00F711C9"/>
    <w:rsid w:val="00F74C59"/>
    <w:rsid w:val="00F75C3A"/>
    <w:rsid w:val="00F82E30"/>
    <w:rsid w:val="00F831CB"/>
    <w:rsid w:val="00F848A3"/>
    <w:rsid w:val="00F84ACF"/>
    <w:rsid w:val="00F85742"/>
    <w:rsid w:val="00F85BF8"/>
    <w:rsid w:val="00F86F54"/>
    <w:rsid w:val="00F871CE"/>
    <w:rsid w:val="00F87802"/>
    <w:rsid w:val="00F92C0A"/>
    <w:rsid w:val="00F9415B"/>
    <w:rsid w:val="00FA13C2"/>
    <w:rsid w:val="00FA7F91"/>
    <w:rsid w:val="00FB121C"/>
    <w:rsid w:val="00FB1CDD"/>
    <w:rsid w:val="00FB1FBF"/>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A3110E"/>
  <w15:docId w15:val="{58B2FC5C-4364-4145-B3D3-1035ECE87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96D3C"/>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s4470\AppData\Roaming\Microsoft\Templates\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F07B408-370E-4642-8575-BDABF6C82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6</Pages>
  <Words>2119</Words>
  <Characters>12717</Characters>
  <Application>Microsoft Office Word</Application>
  <DocSecurity>0</DocSecurity>
  <Lines>105</Lines>
  <Paragraphs>29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p r o j e k t</vt:lpstr>
    </vt:vector>
  </TitlesOfParts>
  <Manager/>
  <Company/>
  <LinksUpToDate>false</LinksUpToDate>
  <CharactersWithSpaces>14807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Grzegorz Molesztak</dc:creator>
  <cp:lastModifiedBy>Grzegorz Molesztak</cp:lastModifiedBy>
  <cp:revision>2</cp:revision>
  <cp:lastPrinted>2021-10-21T07:44:00Z</cp:lastPrinted>
  <dcterms:created xsi:type="dcterms:W3CDTF">2021-12-08T11:40:00Z</dcterms:created>
  <dcterms:modified xsi:type="dcterms:W3CDTF">2021-12-08T11:40:00Z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