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E0892" w14:textId="77777777" w:rsidR="005D50C0" w:rsidRPr="00524655" w:rsidRDefault="005D50C0" w:rsidP="005D50C0">
      <w:pPr>
        <w:spacing w:after="0" w:line="360" w:lineRule="auto"/>
        <w:jc w:val="right"/>
        <w:rPr>
          <w:rFonts w:ascii="Tahoma" w:hAnsi="Tahoma" w:cs="Tahoma"/>
          <w:sz w:val="24"/>
          <w:szCs w:val="24"/>
          <w:u w:val="single"/>
        </w:rPr>
      </w:pPr>
      <w:r w:rsidRPr="00524655">
        <w:rPr>
          <w:rFonts w:ascii="Tahoma" w:hAnsi="Tahoma" w:cs="Tahoma"/>
          <w:sz w:val="24"/>
          <w:szCs w:val="24"/>
          <w:u w:val="single"/>
        </w:rPr>
        <w:t>projekt</w:t>
      </w:r>
    </w:p>
    <w:p w14:paraId="189BA56E" w14:textId="77777777" w:rsidR="005D50C0" w:rsidRPr="00524655" w:rsidRDefault="005D50C0" w:rsidP="005D50C0">
      <w:pPr>
        <w:spacing w:after="0" w:line="360" w:lineRule="auto"/>
        <w:jc w:val="right"/>
        <w:rPr>
          <w:rFonts w:ascii="Tahoma" w:hAnsi="Tahoma" w:cs="Tahoma"/>
          <w:sz w:val="24"/>
          <w:szCs w:val="24"/>
          <w:u w:val="single"/>
        </w:rPr>
      </w:pPr>
    </w:p>
    <w:p w14:paraId="26261F04" w14:textId="7896EA24" w:rsidR="005D50C0" w:rsidRPr="00524655" w:rsidRDefault="005D50C0" w:rsidP="005D50C0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524655">
        <w:rPr>
          <w:rFonts w:ascii="Tahoma" w:hAnsi="Tahoma" w:cs="Tahoma"/>
          <w:b/>
          <w:bCs/>
          <w:sz w:val="24"/>
          <w:szCs w:val="24"/>
        </w:rPr>
        <w:t>U</w:t>
      </w:r>
      <w:r w:rsidR="00524655">
        <w:rPr>
          <w:rFonts w:ascii="Tahoma" w:hAnsi="Tahoma" w:cs="Tahoma"/>
          <w:b/>
          <w:bCs/>
          <w:sz w:val="24"/>
          <w:szCs w:val="24"/>
        </w:rPr>
        <w:t>stawa</w:t>
      </w:r>
    </w:p>
    <w:p w14:paraId="1F809CD2" w14:textId="77777777" w:rsidR="005D50C0" w:rsidRPr="00524655" w:rsidRDefault="005D50C0" w:rsidP="005D50C0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240CD8E4" w14:textId="4B07B314" w:rsidR="005D50C0" w:rsidRPr="00524655" w:rsidRDefault="005D50C0" w:rsidP="005D50C0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  <w:r w:rsidRPr="00524655">
        <w:rPr>
          <w:rFonts w:ascii="Tahoma" w:hAnsi="Tahoma" w:cs="Tahoma"/>
          <w:sz w:val="24"/>
          <w:szCs w:val="24"/>
        </w:rPr>
        <w:t>z dnia …. 202</w:t>
      </w:r>
      <w:r w:rsidR="0036062F" w:rsidRPr="00524655">
        <w:rPr>
          <w:rFonts w:ascii="Tahoma" w:hAnsi="Tahoma" w:cs="Tahoma"/>
          <w:sz w:val="24"/>
          <w:szCs w:val="24"/>
        </w:rPr>
        <w:t>1</w:t>
      </w:r>
      <w:r w:rsidRPr="00524655">
        <w:rPr>
          <w:rFonts w:ascii="Tahoma" w:hAnsi="Tahoma" w:cs="Tahoma"/>
          <w:sz w:val="24"/>
          <w:szCs w:val="24"/>
        </w:rPr>
        <w:t xml:space="preserve"> r.</w:t>
      </w:r>
    </w:p>
    <w:p w14:paraId="1BE969F0" w14:textId="77777777" w:rsidR="005D50C0" w:rsidRPr="00524655" w:rsidRDefault="005D50C0" w:rsidP="005D50C0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14:paraId="4B034578" w14:textId="3A6260F3" w:rsidR="005D50C0" w:rsidRPr="00524655" w:rsidRDefault="005D50C0" w:rsidP="00B20EBD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524655">
        <w:rPr>
          <w:rFonts w:ascii="Tahoma" w:hAnsi="Tahoma" w:cs="Tahoma"/>
          <w:b/>
          <w:bCs/>
          <w:sz w:val="24"/>
          <w:szCs w:val="24"/>
        </w:rPr>
        <w:t>o zmianie ustawy o emeryturach i rentach z Funduszu Ubezpieczeń Społecznych</w:t>
      </w:r>
    </w:p>
    <w:p w14:paraId="578CF03F" w14:textId="7969BEC2" w:rsidR="005D50C0" w:rsidRPr="00524655" w:rsidRDefault="005D50C0" w:rsidP="005D50C0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8C815E8" w14:textId="5EFD41D1" w:rsidR="009322E2" w:rsidRPr="00524655" w:rsidRDefault="009322E2" w:rsidP="005D50C0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4D2D547" w14:textId="77777777" w:rsidR="009322E2" w:rsidRPr="00524655" w:rsidRDefault="009322E2" w:rsidP="005D50C0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4E2BA712" w14:textId="1787EB28" w:rsidR="009322E2" w:rsidRPr="00524655" w:rsidRDefault="005D50C0" w:rsidP="0036062F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524655">
        <w:rPr>
          <w:rFonts w:ascii="Tahoma" w:hAnsi="Tahoma" w:cs="Tahoma"/>
          <w:b/>
          <w:bCs/>
        </w:rPr>
        <w:t xml:space="preserve">Art. 1. </w:t>
      </w:r>
      <w:r w:rsidRPr="00524655">
        <w:rPr>
          <w:rFonts w:ascii="Tahoma" w:hAnsi="Tahoma" w:cs="Tahoma"/>
          <w:color w:val="000000"/>
        </w:rPr>
        <w:t>W ustawie z dnia 17 grudnia 1998 r. o emeryturach i rentach z Funduszu Ubezpieczeń Społecznych (Dz. U. z 202</w:t>
      </w:r>
      <w:r w:rsidR="00D42BFF" w:rsidRPr="00524655">
        <w:rPr>
          <w:rFonts w:ascii="Tahoma" w:hAnsi="Tahoma" w:cs="Tahoma"/>
          <w:color w:val="000000"/>
        </w:rPr>
        <w:t>1</w:t>
      </w:r>
      <w:r w:rsidRPr="00524655">
        <w:rPr>
          <w:rFonts w:ascii="Tahoma" w:hAnsi="Tahoma" w:cs="Tahoma"/>
          <w:color w:val="000000"/>
        </w:rPr>
        <w:t xml:space="preserve"> r. poz. </w:t>
      </w:r>
      <w:r w:rsidR="00D42BFF" w:rsidRPr="00524655">
        <w:rPr>
          <w:rFonts w:ascii="Tahoma" w:hAnsi="Tahoma" w:cs="Tahoma"/>
          <w:color w:val="000000"/>
        </w:rPr>
        <w:t>291, 353</w:t>
      </w:r>
      <w:r w:rsidRPr="00524655">
        <w:rPr>
          <w:rFonts w:ascii="Tahoma" w:hAnsi="Tahoma" w:cs="Tahoma"/>
          <w:color w:val="000000"/>
        </w:rPr>
        <w:t xml:space="preserve">) </w:t>
      </w:r>
      <w:r w:rsidR="009322E2" w:rsidRPr="00524655">
        <w:rPr>
          <w:rFonts w:ascii="Tahoma" w:hAnsi="Tahoma" w:cs="Tahoma"/>
          <w:color w:val="000000"/>
        </w:rPr>
        <w:t>wprowadza się następujące zmiany:</w:t>
      </w:r>
    </w:p>
    <w:p w14:paraId="330950B2" w14:textId="2CC6BA33" w:rsidR="005D50C0" w:rsidRPr="00524655" w:rsidRDefault="009322E2" w:rsidP="00D42BFF">
      <w:pPr>
        <w:pStyle w:val="NormalnyWeb"/>
        <w:spacing w:before="0" w:beforeAutospacing="0" w:after="0" w:afterAutospacing="0" w:line="360" w:lineRule="auto"/>
        <w:ind w:left="851" w:hanging="284"/>
        <w:jc w:val="both"/>
        <w:rPr>
          <w:rFonts w:ascii="Tahoma" w:hAnsi="Tahoma" w:cs="Tahoma"/>
          <w:color w:val="000000"/>
        </w:rPr>
      </w:pPr>
      <w:r w:rsidRPr="00524655">
        <w:rPr>
          <w:rFonts w:ascii="Tahoma" w:hAnsi="Tahoma" w:cs="Tahoma"/>
          <w:color w:val="000000"/>
        </w:rPr>
        <w:t xml:space="preserve">1) </w:t>
      </w:r>
      <w:r w:rsidR="005D50C0" w:rsidRPr="00524655">
        <w:rPr>
          <w:rFonts w:ascii="Tahoma" w:hAnsi="Tahoma" w:cs="Tahoma"/>
          <w:color w:val="000000"/>
        </w:rPr>
        <w:t>w art. 87 po ust. 1a dodaje się ust. 1c</w:t>
      </w:r>
      <w:r w:rsidR="00C010D1" w:rsidRPr="00524655">
        <w:rPr>
          <w:rFonts w:ascii="Tahoma" w:hAnsi="Tahoma" w:cs="Tahoma"/>
          <w:color w:val="000000"/>
        </w:rPr>
        <w:t>–</w:t>
      </w:r>
      <w:r w:rsidR="00F664E3" w:rsidRPr="00524655">
        <w:rPr>
          <w:rFonts w:ascii="Tahoma" w:hAnsi="Tahoma" w:cs="Tahoma"/>
          <w:color w:val="000000"/>
        </w:rPr>
        <w:t>1</w:t>
      </w:r>
      <w:r w:rsidR="00643203" w:rsidRPr="00524655">
        <w:rPr>
          <w:rFonts w:ascii="Tahoma" w:hAnsi="Tahoma" w:cs="Tahoma"/>
          <w:color w:val="000000"/>
        </w:rPr>
        <w:t>e</w:t>
      </w:r>
      <w:r w:rsidR="005D50C0" w:rsidRPr="00524655">
        <w:rPr>
          <w:rFonts w:ascii="Tahoma" w:hAnsi="Tahoma" w:cs="Tahoma"/>
          <w:color w:val="000000"/>
        </w:rPr>
        <w:t xml:space="preserve"> w brzmieniu:</w:t>
      </w:r>
      <w:r w:rsidR="00D42BFF" w:rsidRPr="00524655">
        <w:rPr>
          <w:rFonts w:ascii="Tahoma" w:hAnsi="Tahoma" w:cs="Tahoma"/>
          <w:color w:val="000000"/>
        </w:rPr>
        <w:t xml:space="preserve"> </w:t>
      </w:r>
      <w:r w:rsidR="005D50C0" w:rsidRPr="00524655">
        <w:rPr>
          <w:rFonts w:ascii="Tahoma" w:hAnsi="Tahoma" w:cs="Tahoma"/>
          <w:color w:val="000000"/>
        </w:rPr>
        <w:t>„1c. Przy ustalaniu okresów składkowych i nieskładkowych, o których mowa ust. 1 pkt 1–2</w:t>
      </w:r>
      <w:r w:rsidR="00C010D1" w:rsidRPr="00524655">
        <w:rPr>
          <w:rFonts w:ascii="Tahoma" w:hAnsi="Tahoma" w:cs="Tahoma"/>
          <w:color w:val="000000"/>
        </w:rPr>
        <w:t>,</w:t>
      </w:r>
      <w:r w:rsidR="00B059A0" w:rsidRPr="00524655">
        <w:rPr>
          <w:rFonts w:ascii="Tahoma" w:hAnsi="Tahoma" w:cs="Tahoma"/>
          <w:color w:val="000000"/>
        </w:rPr>
        <w:t xml:space="preserve"> </w:t>
      </w:r>
      <w:r w:rsidR="005D50C0" w:rsidRPr="00524655">
        <w:rPr>
          <w:rFonts w:ascii="Tahoma" w:hAnsi="Tahoma" w:cs="Tahoma"/>
          <w:color w:val="000000"/>
        </w:rPr>
        <w:t xml:space="preserve">uwzględnia się również, traktując je jak okresy składkowe, okresy wykonywania pracy na podstawie umowy zlecenia albo innej umowy o świadczenie usług, do której zgodnie z Kodeksem cywilnym stosuje się przepisy dotyczące zlecenia, </w:t>
      </w:r>
      <w:r w:rsidR="00D5135C" w:rsidRPr="00524655">
        <w:rPr>
          <w:rFonts w:ascii="Tahoma" w:hAnsi="Tahoma" w:cs="Tahoma"/>
          <w:color w:val="000000"/>
        </w:rPr>
        <w:t xml:space="preserve">które nie są okresami wymienionymi </w:t>
      </w:r>
      <w:r w:rsidR="005D50C0" w:rsidRPr="00524655">
        <w:rPr>
          <w:rFonts w:ascii="Tahoma" w:hAnsi="Tahoma" w:cs="Tahoma"/>
          <w:color w:val="000000"/>
        </w:rPr>
        <w:t>w art. 5–7</w:t>
      </w:r>
      <w:r w:rsidR="00D5135C" w:rsidRPr="00524655">
        <w:rPr>
          <w:rFonts w:ascii="Tahoma" w:hAnsi="Tahoma" w:cs="Tahoma"/>
          <w:color w:val="000000"/>
        </w:rPr>
        <w:t xml:space="preserve">, </w:t>
      </w:r>
      <w:r w:rsidR="00D41C9B" w:rsidRPr="00524655">
        <w:rPr>
          <w:rFonts w:ascii="Tahoma" w:hAnsi="Tahoma" w:cs="Tahoma"/>
          <w:color w:val="000000"/>
        </w:rPr>
        <w:t>a w przypadkach, w których zostały one uwzględnione jako okresy składkowe – przy ich obliczaniu nie stosuje się ust. 3</w:t>
      </w:r>
      <w:r w:rsidR="00D42BFF" w:rsidRPr="00524655">
        <w:rPr>
          <w:rFonts w:ascii="Tahoma" w:hAnsi="Tahoma" w:cs="Tahoma"/>
          <w:color w:val="000000"/>
        </w:rPr>
        <w:t xml:space="preserve">, </w:t>
      </w:r>
      <w:r w:rsidR="005D50C0" w:rsidRPr="00524655">
        <w:rPr>
          <w:rFonts w:ascii="Tahoma" w:hAnsi="Tahoma" w:cs="Tahoma"/>
          <w:color w:val="000000"/>
        </w:rPr>
        <w:t>jeżeli okresy składkowe i nieskładkowe</w:t>
      </w:r>
      <w:r w:rsidR="00D41C9B" w:rsidRPr="00524655">
        <w:rPr>
          <w:rFonts w:ascii="Tahoma" w:hAnsi="Tahoma" w:cs="Tahoma"/>
          <w:color w:val="000000"/>
        </w:rPr>
        <w:t xml:space="preserve"> wymienione w art. 5–7 lub </w:t>
      </w:r>
      <w:r w:rsidR="00B059A0" w:rsidRPr="00524655">
        <w:rPr>
          <w:rFonts w:ascii="Tahoma" w:hAnsi="Tahoma" w:cs="Tahoma"/>
          <w:color w:val="000000"/>
        </w:rPr>
        <w:t xml:space="preserve">obliczone </w:t>
      </w:r>
      <w:r w:rsidR="00D41C9B" w:rsidRPr="00524655">
        <w:rPr>
          <w:rFonts w:ascii="Tahoma" w:hAnsi="Tahoma" w:cs="Tahoma"/>
          <w:color w:val="000000"/>
        </w:rPr>
        <w:t>z uwzględnieniem zasad przewidzianych w ust. 3</w:t>
      </w:r>
      <w:r w:rsidR="005D50C0" w:rsidRPr="00524655">
        <w:rPr>
          <w:rFonts w:ascii="Tahoma" w:hAnsi="Tahoma" w:cs="Tahoma"/>
          <w:color w:val="000000"/>
        </w:rPr>
        <w:t>, są krótsze od okresów wymaganych w ust. 1 pkt 1–2, w zakresie niezbędnym do uzupełnienia tych okresów</w:t>
      </w:r>
      <w:r w:rsidR="00B059A0" w:rsidRPr="00524655">
        <w:rPr>
          <w:rFonts w:ascii="Tahoma" w:hAnsi="Tahoma" w:cs="Tahoma"/>
          <w:color w:val="000000"/>
        </w:rPr>
        <w:t>.</w:t>
      </w:r>
      <w:r w:rsidR="006A69A7" w:rsidRPr="00524655">
        <w:rPr>
          <w:rFonts w:ascii="Tahoma" w:hAnsi="Tahoma" w:cs="Tahoma"/>
          <w:color w:val="000000"/>
        </w:rPr>
        <w:t xml:space="preserve"> </w:t>
      </w:r>
    </w:p>
    <w:p w14:paraId="53F1951C" w14:textId="779CF463" w:rsidR="00B26E58" w:rsidRPr="00524655" w:rsidRDefault="00F664E3" w:rsidP="00D42BFF">
      <w:pPr>
        <w:pStyle w:val="NormalnyWeb"/>
        <w:spacing w:before="0" w:beforeAutospacing="0" w:after="0" w:afterAutospacing="0" w:line="360" w:lineRule="auto"/>
        <w:ind w:left="851"/>
        <w:jc w:val="both"/>
        <w:rPr>
          <w:rFonts w:ascii="Tahoma" w:hAnsi="Tahoma" w:cs="Tahoma"/>
        </w:rPr>
      </w:pPr>
      <w:r w:rsidRPr="00524655">
        <w:rPr>
          <w:rFonts w:ascii="Tahoma" w:hAnsi="Tahoma" w:cs="Tahoma"/>
          <w:color w:val="000000"/>
        </w:rPr>
        <w:t xml:space="preserve">1d. </w:t>
      </w:r>
      <w:r w:rsidRPr="00524655">
        <w:rPr>
          <w:rFonts w:ascii="Tahoma" w:hAnsi="Tahoma" w:cs="Tahoma"/>
        </w:rPr>
        <w:t xml:space="preserve">Emeryt, któremu ustalono wysokość emerytury </w:t>
      </w:r>
      <w:r w:rsidR="00B26E58" w:rsidRPr="00524655">
        <w:rPr>
          <w:rFonts w:ascii="Tahoma" w:hAnsi="Tahoma" w:cs="Tahoma"/>
        </w:rPr>
        <w:t xml:space="preserve">przysługującej z Funduszu określonej w art. 26, łącznie z okresową emeryturą kapitałową, albo emerytury przysługującej z Funduszu określonej w art. 26, w kwocie niższej niż kwota, o której mowa w art. 85 ust. 2 i 3, i który nie nabył prawa do podwyższenia przewidzianego w ust. 1, może zgłosić organowi rentowemu w każdym czasie wniosek o podwyższenie sumy przysługujących mu świadczeń do tej kwoty z uwzględnieniem okresów </w:t>
      </w:r>
      <w:r w:rsidR="00B26E58" w:rsidRPr="00524655">
        <w:rPr>
          <w:rFonts w:ascii="Tahoma" w:hAnsi="Tahoma" w:cs="Tahoma"/>
          <w:color w:val="000000"/>
        </w:rPr>
        <w:t xml:space="preserve">wykonywania pracy na podstawie umowy zlecenia </w:t>
      </w:r>
      <w:r w:rsidR="00B26E58" w:rsidRPr="00524655">
        <w:rPr>
          <w:rFonts w:ascii="Tahoma" w:hAnsi="Tahoma" w:cs="Tahoma"/>
          <w:color w:val="000000"/>
        </w:rPr>
        <w:lastRenderedPageBreak/>
        <w:t xml:space="preserve">albo innej umowy o świadczenie usług, do której zgodnie z Kodeksem cywilnym stosuje się przepisy dotyczące zlecenia, </w:t>
      </w:r>
      <w:r w:rsidR="00DA446B" w:rsidRPr="00524655">
        <w:rPr>
          <w:rFonts w:ascii="Tahoma" w:hAnsi="Tahoma" w:cs="Tahoma"/>
          <w:color w:val="000000"/>
        </w:rPr>
        <w:t xml:space="preserve">na zasadach </w:t>
      </w:r>
      <w:r w:rsidR="00B26E58" w:rsidRPr="00524655">
        <w:rPr>
          <w:rFonts w:ascii="Tahoma" w:hAnsi="Tahoma" w:cs="Tahoma"/>
          <w:color w:val="000000"/>
        </w:rPr>
        <w:t>określonych w ust. 1</w:t>
      </w:r>
      <w:r w:rsidR="00DA446B" w:rsidRPr="00524655">
        <w:rPr>
          <w:rFonts w:ascii="Tahoma" w:hAnsi="Tahoma" w:cs="Tahoma"/>
          <w:color w:val="000000"/>
        </w:rPr>
        <w:t>e</w:t>
      </w:r>
      <w:r w:rsidR="00B26E58" w:rsidRPr="00524655">
        <w:rPr>
          <w:rFonts w:ascii="Tahoma" w:hAnsi="Tahoma" w:cs="Tahoma"/>
          <w:color w:val="000000"/>
        </w:rPr>
        <w:t>.</w:t>
      </w:r>
    </w:p>
    <w:p w14:paraId="3D463AB7" w14:textId="45CB74D0" w:rsidR="005D50C0" w:rsidRPr="00524655" w:rsidRDefault="00643203" w:rsidP="00D42BFF">
      <w:pPr>
        <w:pStyle w:val="NormalnyWeb"/>
        <w:spacing w:before="0" w:beforeAutospacing="0" w:after="0" w:afterAutospacing="0" w:line="360" w:lineRule="auto"/>
        <w:ind w:left="851"/>
        <w:jc w:val="both"/>
        <w:rPr>
          <w:rFonts w:ascii="Tahoma" w:hAnsi="Tahoma" w:cs="Tahoma"/>
        </w:rPr>
      </w:pPr>
      <w:r w:rsidRPr="00524655">
        <w:rPr>
          <w:rFonts w:ascii="Tahoma" w:hAnsi="Tahoma" w:cs="Tahoma"/>
          <w:color w:val="000000"/>
        </w:rPr>
        <w:t xml:space="preserve">1e. </w:t>
      </w:r>
      <w:r w:rsidR="00B26E58" w:rsidRPr="00524655">
        <w:rPr>
          <w:rFonts w:ascii="Tahoma" w:hAnsi="Tahoma" w:cs="Tahoma"/>
        </w:rPr>
        <w:t xml:space="preserve">Emerytura przysługująca z Funduszu określona w art. 26, łącznie z okresową emeryturą kapitałową, albo emerytura przysługująca z Funduszu określona w art. 26, podwyższona na zasadach </w:t>
      </w:r>
      <w:r w:rsidR="00B26E58" w:rsidRPr="00524655">
        <w:rPr>
          <w:rFonts w:ascii="Tahoma" w:hAnsi="Tahoma" w:cs="Tahoma"/>
          <w:color w:val="000000"/>
        </w:rPr>
        <w:t>przewidzianych w ust. 1c</w:t>
      </w:r>
      <w:r w:rsidR="00C010D1" w:rsidRPr="00524655">
        <w:rPr>
          <w:rFonts w:ascii="Tahoma" w:hAnsi="Tahoma" w:cs="Tahoma"/>
          <w:color w:val="000000"/>
        </w:rPr>
        <w:t>–</w:t>
      </w:r>
      <w:r w:rsidR="00B26E58" w:rsidRPr="00524655">
        <w:rPr>
          <w:rFonts w:ascii="Tahoma" w:hAnsi="Tahoma" w:cs="Tahoma"/>
          <w:color w:val="000000"/>
        </w:rPr>
        <w:t xml:space="preserve">1d przysługuje od miesiąca, w </w:t>
      </w:r>
      <w:r w:rsidR="00B26E58" w:rsidRPr="00524655">
        <w:rPr>
          <w:rFonts w:ascii="Tahoma" w:hAnsi="Tahoma" w:cs="Tahoma"/>
        </w:rPr>
        <w:t>którym zgłoszono wniosek.</w:t>
      </w:r>
      <w:r w:rsidR="009322E2" w:rsidRPr="00524655">
        <w:rPr>
          <w:rFonts w:ascii="Tahoma" w:hAnsi="Tahoma" w:cs="Tahoma"/>
        </w:rPr>
        <w:t>”;</w:t>
      </w:r>
    </w:p>
    <w:p w14:paraId="1AFB3601" w14:textId="119CDAA9" w:rsidR="0032454E" w:rsidRPr="00524655" w:rsidRDefault="009322E2" w:rsidP="00D42BFF">
      <w:pPr>
        <w:pStyle w:val="NormalnyWeb"/>
        <w:spacing w:before="0" w:beforeAutospacing="0" w:after="0" w:afterAutospacing="0" w:line="360" w:lineRule="auto"/>
        <w:ind w:left="851" w:hanging="283"/>
        <w:jc w:val="both"/>
        <w:rPr>
          <w:rFonts w:ascii="Tahoma" w:hAnsi="Tahoma" w:cs="Tahoma"/>
        </w:rPr>
      </w:pPr>
      <w:r w:rsidRPr="00524655">
        <w:rPr>
          <w:rFonts w:ascii="Tahoma" w:hAnsi="Tahoma" w:cs="Tahoma"/>
        </w:rPr>
        <w:t>2) w art. 117 po ust. 4a dodaje się ust. 6 w brzmieniu:</w:t>
      </w:r>
      <w:r w:rsidR="005C2F76" w:rsidRPr="00524655">
        <w:rPr>
          <w:rFonts w:ascii="Tahoma" w:hAnsi="Tahoma" w:cs="Tahoma"/>
        </w:rPr>
        <w:t xml:space="preserve"> </w:t>
      </w:r>
      <w:r w:rsidRPr="00524655">
        <w:rPr>
          <w:rFonts w:ascii="Tahoma" w:hAnsi="Tahoma" w:cs="Tahoma"/>
        </w:rPr>
        <w:t xml:space="preserve">„6. </w:t>
      </w:r>
      <w:r w:rsidR="0032454E" w:rsidRPr="00524655">
        <w:rPr>
          <w:rFonts w:ascii="Tahoma" w:hAnsi="Tahoma" w:cs="Tahoma"/>
        </w:rPr>
        <w:t xml:space="preserve">Okresy, o których mowa w art. </w:t>
      </w:r>
      <w:r w:rsidR="0032454E" w:rsidRPr="00524655">
        <w:rPr>
          <w:rFonts w:ascii="Tahoma" w:hAnsi="Tahoma" w:cs="Tahoma"/>
          <w:color w:val="000000"/>
        </w:rPr>
        <w:t xml:space="preserve">87 ust. 1c, </w:t>
      </w:r>
      <w:r w:rsidR="00DA446B" w:rsidRPr="00524655">
        <w:rPr>
          <w:rFonts w:ascii="Tahoma" w:hAnsi="Tahoma" w:cs="Tahoma"/>
          <w:color w:val="000000"/>
        </w:rPr>
        <w:t xml:space="preserve">jeśli nie zostały już ustalone przez organ rentowy, </w:t>
      </w:r>
      <w:r w:rsidR="0032454E" w:rsidRPr="00524655">
        <w:rPr>
          <w:rFonts w:ascii="Tahoma" w:hAnsi="Tahoma" w:cs="Tahoma"/>
        </w:rPr>
        <w:t xml:space="preserve">mogą być uwzględnione, jeżeli zostały udowodnione dokumentami, w tym w szczególności – umowami, wyciągami bankowymi, zaświadczeniami organów administracji skarbowej, zaświadczeniami zleceniodawców oraz pismami kierowanymi przez zleceniodawcę do zleceniobiorcy, bądź uznane orzeczeniem sądu.”. </w:t>
      </w:r>
    </w:p>
    <w:p w14:paraId="7BB7F680" w14:textId="77777777" w:rsidR="009322E2" w:rsidRPr="00524655" w:rsidRDefault="009322E2" w:rsidP="00B26E58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</w:p>
    <w:p w14:paraId="2E30D22B" w14:textId="6991FEE4" w:rsidR="005D50C0" w:rsidRPr="00524655" w:rsidRDefault="005D50C0" w:rsidP="00B20EBD">
      <w:pPr>
        <w:pStyle w:val="Nagwek2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524655">
        <w:rPr>
          <w:rFonts w:ascii="Tahoma" w:hAnsi="Tahoma" w:cs="Tahoma"/>
          <w:sz w:val="24"/>
          <w:szCs w:val="24"/>
        </w:rPr>
        <w:t>Art. 2</w:t>
      </w:r>
      <w:r w:rsidRPr="00524655">
        <w:rPr>
          <w:rFonts w:ascii="Tahoma" w:hAnsi="Tahoma" w:cs="Tahoma"/>
          <w:b w:val="0"/>
          <w:bCs w:val="0"/>
          <w:sz w:val="24"/>
          <w:szCs w:val="24"/>
        </w:rPr>
        <w:t>. Do wszczętych</w:t>
      </w:r>
      <w:r w:rsidR="00030E1D" w:rsidRPr="00524655">
        <w:rPr>
          <w:rFonts w:ascii="Tahoma" w:hAnsi="Tahoma" w:cs="Tahoma"/>
          <w:b w:val="0"/>
          <w:bCs w:val="0"/>
          <w:sz w:val="24"/>
          <w:szCs w:val="24"/>
        </w:rPr>
        <w:t xml:space="preserve">, </w:t>
      </w:r>
      <w:r w:rsidRPr="00524655">
        <w:rPr>
          <w:rFonts w:ascii="Tahoma" w:hAnsi="Tahoma" w:cs="Tahoma"/>
          <w:b w:val="0"/>
          <w:bCs w:val="0"/>
          <w:sz w:val="24"/>
          <w:szCs w:val="24"/>
        </w:rPr>
        <w:t xml:space="preserve">a niezakończonych </w:t>
      </w:r>
      <w:r w:rsidR="00030E1D" w:rsidRPr="00524655">
        <w:rPr>
          <w:rFonts w:ascii="Tahoma" w:hAnsi="Tahoma" w:cs="Tahoma"/>
          <w:b w:val="0"/>
          <w:bCs w:val="0"/>
          <w:sz w:val="24"/>
          <w:szCs w:val="24"/>
        </w:rPr>
        <w:t>przed wejściem w życi</w:t>
      </w:r>
      <w:r w:rsidR="000C329B" w:rsidRPr="00524655">
        <w:rPr>
          <w:rFonts w:ascii="Tahoma" w:hAnsi="Tahoma" w:cs="Tahoma"/>
          <w:b w:val="0"/>
          <w:bCs w:val="0"/>
          <w:sz w:val="24"/>
          <w:szCs w:val="24"/>
        </w:rPr>
        <w:t>e</w:t>
      </w:r>
      <w:r w:rsidR="00030E1D" w:rsidRPr="00524655">
        <w:rPr>
          <w:rFonts w:ascii="Tahoma" w:hAnsi="Tahoma" w:cs="Tahoma"/>
          <w:b w:val="0"/>
          <w:bCs w:val="0"/>
          <w:sz w:val="24"/>
          <w:szCs w:val="24"/>
        </w:rPr>
        <w:t xml:space="preserve"> ustawy </w:t>
      </w:r>
      <w:r w:rsidRPr="00524655">
        <w:rPr>
          <w:rFonts w:ascii="Tahoma" w:hAnsi="Tahoma" w:cs="Tahoma"/>
          <w:b w:val="0"/>
          <w:bCs w:val="0"/>
          <w:sz w:val="24"/>
          <w:szCs w:val="24"/>
        </w:rPr>
        <w:t>postępowań w sprawie</w:t>
      </w:r>
      <w:r w:rsidR="00030E1D" w:rsidRPr="00524655">
        <w:rPr>
          <w:rFonts w:ascii="Tahoma" w:hAnsi="Tahoma" w:cs="Tahoma"/>
          <w:b w:val="0"/>
          <w:bCs w:val="0"/>
          <w:sz w:val="24"/>
          <w:szCs w:val="24"/>
        </w:rPr>
        <w:t xml:space="preserve"> ustalenia prawa do emerytury i jej wysokości</w:t>
      </w:r>
      <w:r w:rsidRPr="00524655">
        <w:rPr>
          <w:rFonts w:ascii="Tahoma" w:hAnsi="Tahoma" w:cs="Tahoma"/>
          <w:b w:val="0"/>
          <w:bCs w:val="0"/>
          <w:sz w:val="24"/>
          <w:szCs w:val="24"/>
        </w:rPr>
        <w:t xml:space="preserve">, stosuje się przepisy niniejszej ustawy. </w:t>
      </w:r>
    </w:p>
    <w:p w14:paraId="6DC85B45" w14:textId="77777777" w:rsidR="00B20EBD" w:rsidRPr="00524655" w:rsidRDefault="00B20EBD" w:rsidP="00B20EBD">
      <w:pPr>
        <w:pStyle w:val="Nagwek2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 w:val="0"/>
          <w:bCs w:val="0"/>
          <w:sz w:val="24"/>
          <w:szCs w:val="24"/>
        </w:rPr>
      </w:pPr>
    </w:p>
    <w:p w14:paraId="21FB922A" w14:textId="429102D1" w:rsidR="005D50C0" w:rsidRPr="00524655" w:rsidRDefault="005D50C0" w:rsidP="005D50C0">
      <w:pPr>
        <w:pStyle w:val="Nagwek2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 w:val="0"/>
          <w:sz w:val="24"/>
          <w:szCs w:val="24"/>
        </w:rPr>
      </w:pPr>
      <w:r w:rsidRPr="00524655">
        <w:rPr>
          <w:rFonts w:ascii="Tahoma" w:hAnsi="Tahoma" w:cs="Tahoma"/>
          <w:sz w:val="24"/>
          <w:szCs w:val="24"/>
        </w:rPr>
        <w:t xml:space="preserve">Art. </w:t>
      </w:r>
      <w:r w:rsidR="009322E2" w:rsidRPr="00524655">
        <w:rPr>
          <w:rFonts w:ascii="Tahoma" w:hAnsi="Tahoma" w:cs="Tahoma"/>
          <w:sz w:val="24"/>
          <w:szCs w:val="24"/>
        </w:rPr>
        <w:t>3</w:t>
      </w:r>
      <w:r w:rsidRPr="00524655">
        <w:rPr>
          <w:rFonts w:ascii="Tahoma" w:hAnsi="Tahoma" w:cs="Tahoma"/>
          <w:b w:val="0"/>
          <w:sz w:val="24"/>
          <w:szCs w:val="24"/>
        </w:rPr>
        <w:t xml:space="preserve">. Ustawa wchodzi w życie </w:t>
      </w:r>
      <w:r w:rsidR="00F6363D" w:rsidRPr="00524655">
        <w:rPr>
          <w:rFonts w:ascii="Tahoma" w:hAnsi="Tahoma" w:cs="Tahoma"/>
          <w:b w:val="0"/>
          <w:sz w:val="24"/>
          <w:szCs w:val="24"/>
        </w:rPr>
        <w:t>po upływie</w:t>
      </w:r>
      <w:r w:rsidRPr="00524655">
        <w:rPr>
          <w:rFonts w:ascii="Tahoma" w:hAnsi="Tahoma" w:cs="Tahoma"/>
          <w:b w:val="0"/>
          <w:sz w:val="24"/>
          <w:szCs w:val="24"/>
        </w:rPr>
        <w:t xml:space="preserve"> </w:t>
      </w:r>
      <w:r w:rsidR="009322E2" w:rsidRPr="00524655">
        <w:rPr>
          <w:rFonts w:ascii="Tahoma" w:hAnsi="Tahoma" w:cs="Tahoma"/>
          <w:b w:val="0"/>
          <w:sz w:val="24"/>
          <w:szCs w:val="24"/>
        </w:rPr>
        <w:t>14 dni</w:t>
      </w:r>
      <w:r w:rsidRPr="00524655">
        <w:rPr>
          <w:rFonts w:ascii="Tahoma" w:hAnsi="Tahoma" w:cs="Tahoma"/>
          <w:b w:val="0"/>
          <w:sz w:val="24"/>
          <w:szCs w:val="24"/>
        </w:rPr>
        <w:t xml:space="preserve"> od dnia ogłoszenia. </w:t>
      </w:r>
    </w:p>
    <w:p w14:paraId="1E9B3A5A" w14:textId="77777777" w:rsidR="005D50C0" w:rsidRPr="00524655" w:rsidRDefault="005D50C0" w:rsidP="005D50C0">
      <w:pPr>
        <w:spacing w:after="0"/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5D50C0" w:rsidRPr="00524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A3B79"/>
    <w:multiLevelType w:val="multilevel"/>
    <w:tmpl w:val="BF4E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C0"/>
    <w:rsid w:val="00023F35"/>
    <w:rsid w:val="00030E1D"/>
    <w:rsid w:val="00055825"/>
    <w:rsid w:val="000A6328"/>
    <w:rsid w:val="000C329B"/>
    <w:rsid w:val="001C2A1F"/>
    <w:rsid w:val="001D666D"/>
    <w:rsid w:val="001F0A9F"/>
    <w:rsid w:val="003139BB"/>
    <w:rsid w:val="0032454E"/>
    <w:rsid w:val="0036062F"/>
    <w:rsid w:val="0037500F"/>
    <w:rsid w:val="0040008B"/>
    <w:rsid w:val="00422D34"/>
    <w:rsid w:val="00524655"/>
    <w:rsid w:val="0054731B"/>
    <w:rsid w:val="00573496"/>
    <w:rsid w:val="005C2F76"/>
    <w:rsid w:val="005D50C0"/>
    <w:rsid w:val="00641E2C"/>
    <w:rsid w:val="00643203"/>
    <w:rsid w:val="00663F4E"/>
    <w:rsid w:val="006A57B5"/>
    <w:rsid w:val="006A69A7"/>
    <w:rsid w:val="00703EC5"/>
    <w:rsid w:val="007316E4"/>
    <w:rsid w:val="008242DD"/>
    <w:rsid w:val="008C1CF0"/>
    <w:rsid w:val="008D3A21"/>
    <w:rsid w:val="008F7A1B"/>
    <w:rsid w:val="0091167E"/>
    <w:rsid w:val="009322E2"/>
    <w:rsid w:val="00951979"/>
    <w:rsid w:val="00982DF2"/>
    <w:rsid w:val="009A2BE1"/>
    <w:rsid w:val="009D032C"/>
    <w:rsid w:val="009D7898"/>
    <w:rsid w:val="009F7D63"/>
    <w:rsid w:val="00A019FB"/>
    <w:rsid w:val="00A40D7B"/>
    <w:rsid w:val="00A6489B"/>
    <w:rsid w:val="00A94D72"/>
    <w:rsid w:val="00AC665F"/>
    <w:rsid w:val="00AF5B2A"/>
    <w:rsid w:val="00B0269B"/>
    <w:rsid w:val="00B059A0"/>
    <w:rsid w:val="00B12345"/>
    <w:rsid w:val="00B20EBD"/>
    <w:rsid w:val="00B26E58"/>
    <w:rsid w:val="00B41EE4"/>
    <w:rsid w:val="00B7679B"/>
    <w:rsid w:val="00BD04F4"/>
    <w:rsid w:val="00C010D1"/>
    <w:rsid w:val="00C25A03"/>
    <w:rsid w:val="00CC6539"/>
    <w:rsid w:val="00CF4B03"/>
    <w:rsid w:val="00D069AC"/>
    <w:rsid w:val="00D3255E"/>
    <w:rsid w:val="00D41C9B"/>
    <w:rsid w:val="00D42BFF"/>
    <w:rsid w:val="00D5135C"/>
    <w:rsid w:val="00D95FDD"/>
    <w:rsid w:val="00DA2F30"/>
    <w:rsid w:val="00DA446B"/>
    <w:rsid w:val="00DB0B39"/>
    <w:rsid w:val="00DB539A"/>
    <w:rsid w:val="00DE5E14"/>
    <w:rsid w:val="00E26241"/>
    <w:rsid w:val="00E53B3E"/>
    <w:rsid w:val="00F02A77"/>
    <w:rsid w:val="00F30C50"/>
    <w:rsid w:val="00F6363D"/>
    <w:rsid w:val="00F664E3"/>
    <w:rsid w:val="00FC621F"/>
    <w:rsid w:val="00FE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4DFE"/>
  <w15:chartTrackingRefBased/>
  <w15:docId w15:val="{00E0917B-01DB-4255-BFB5-A37A950BE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50C0"/>
    <w:pPr>
      <w:spacing w:line="256" w:lineRule="auto"/>
    </w:p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5D50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D50C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5D5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2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Gajewski</dc:creator>
  <cp:keywords/>
  <dc:description/>
  <cp:lastModifiedBy>Grzegorz Molesztak</cp:lastModifiedBy>
  <cp:revision>4</cp:revision>
  <cp:lastPrinted>2021-12-08T16:10:00Z</cp:lastPrinted>
  <dcterms:created xsi:type="dcterms:W3CDTF">2021-04-21T10:36:00Z</dcterms:created>
  <dcterms:modified xsi:type="dcterms:W3CDTF">2021-12-08T16:10:00Z</dcterms:modified>
</cp:coreProperties>
</file>