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3B232" w14:textId="5B78994A" w:rsidR="005D50C0" w:rsidRPr="00524655" w:rsidRDefault="005D50C0" w:rsidP="005D50C0">
      <w:pPr>
        <w:spacing w:after="0"/>
        <w:ind w:firstLine="708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524655">
        <w:rPr>
          <w:rFonts w:ascii="Tahoma" w:hAnsi="Tahoma" w:cs="Tahoma"/>
          <w:b/>
          <w:sz w:val="24"/>
          <w:szCs w:val="24"/>
        </w:rPr>
        <w:t>UZASADNIENIE</w:t>
      </w:r>
    </w:p>
    <w:p w14:paraId="7BC7DBA3" w14:textId="77777777" w:rsidR="005D50C0" w:rsidRPr="00524655" w:rsidRDefault="005D50C0" w:rsidP="005D50C0">
      <w:pPr>
        <w:spacing w:after="0"/>
        <w:ind w:firstLine="708"/>
        <w:jc w:val="center"/>
        <w:rPr>
          <w:rFonts w:ascii="Tahoma" w:hAnsi="Tahoma" w:cs="Tahoma"/>
          <w:b/>
          <w:sz w:val="24"/>
          <w:szCs w:val="24"/>
        </w:rPr>
      </w:pPr>
    </w:p>
    <w:p w14:paraId="3D41F440" w14:textId="21BC5CFC" w:rsidR="005D50C0" w:rsidRPr="00524655" w:rsidRDefault="005D50C0" w:rsidP="005D50C0">
      <w:pPr>
        <w:spacing w:after="0"/>
        <w:ind w:firstLine="708"/>
        <w:jc w:val="center"/>
        <w:rPr>
          <w:rFonts w:ascii="Tahoma" w:hAnsi="Tahoma" w:cs="Tahoma"/>
          <w:b/>
          <w:sz w:val="24"/>
          <w:szCs w:val="24"/>
        </w:rPr>
      </w:pPr>
    </w:p>
    <w:p w14:paraId="6C2F6322" w14:textId="47BDA800" w:rsidR="00703EC5" w:rsidRPr="00524655" w:rsidRDefault="00703EC5" w:rsidP="00CF4B0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</w:rPr>
        <w:t xml:space="preserve">1. </w:t>
      </w:r>
      <w:r w:rsidRPr="00524655">
        <w:rPr>
          <w:rFonts w:ascii="Tahoma" w:hAnsi="Tahoma" w:cs="Tahoma"/>
          <w:b/>
          <w:bCs/>
          <w:color w:val="000000"/>
        </w:rPr>
        <w:t>Rzeczywisty stan w dziedzinie, która ma być unormowana</w:t>
      </w:r>
    </w:p>
    <w:p w14:paraId="70FAF733" w14:textId="01959F62" w:rsidR="00703EC5" w:rsidRPr="00524655" w:rsidRDefault="00703EC5" w:rsidP="00C010D1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24655">
        <w:rPr>
          <w:rFonts w:ascii="Tahoma" w:hAnsi="Tahoma" w:cs="Tahoma"/>
          <w:color w:val="000000"/>
          <w:sz w:val="24"/>
          <w:szCs w:val="24"/>
        </w:rPr>
        <w:t xml:space="preserve">W obowiązującym stanie prawnym, w odniesieniu do tzw. nowego systemu emerytalnego, formuła ustalenia wysokości emerytury oparta została na zasadzie adekwatności. Zakłada ona, że istnieje bezpośredni związek między wkładem, który ubezpieczony wniósł do systemu, a świadczeniami, które mu z tego systemu przysługują. Zasada </w:t>
      </w:r>
      <w:r w:rsidR="00C010D1" w:rsidRPr="00524655">
        <w:rPr>
          <w:rFonts w:ascii="Tahoma" w:hAnsi="Tahoma" w:cs="Tahoma"/>
          <w:color w:val="000000"/>
          <w:sz w:val="24"/>
          <w:szCs w:val="24"/>
        </w:rPr>
        <w:t xml:space="preserve">ta 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znajduje wyraz w treści art. 26 ust. 1 </w:t>
      </w:r>
      <w:r w:rsidR="00C010D1" w:rsidRPr="00524655">
        <w:rPr>
          <w:rFonts w:ascii="Tahoma" w:hAnsi="Tahoma" w:cs="Tahoma"/>
          <w:color w:val="000000"/>
          <w:sz w:val="24"/>
          <w:szCs w:val="24"/>
        </w:rPr>
        <w:t>ustawy z 17 grudnia 1998 r. o emeryturach i rentach z Funduszu Ubezpieczeń Społecznych (Dz.U. z 2020 r. poz. 53, z późn. zm., dalej: u.e.r.FUS)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, zgodnie z którym emerytura stanowi równowartość kwoty będącej wynikiem podzielenia sumy zwaloryzowanych składek na ubezpieczenie emerytalne, kapitału początkowego i środków zaewidencjonowanych na subkoncie przez średnie dalsze trwanie życia </w:t>
      </w:r>
      <w:r w:rsidRPr="00524655">
        <w:rPr>
          <w:rFonts w:ascii="Tahoma" w:hAnsi="Tahoma" w:cs="Tahoma"/>
          <w:sz w:val="24"/>
          <w:szCs w:val="24"/>
        </w:rPr>
        <w:t xml:space="preserve">dla osób w wieku równym wiekowi przejścia na emeryturę danego ubezpieczonego. W tym ujęciu dla </w:t>
      </w:r>
      <w:r w:rsidRPr="00524655">
        <w:rPr>
          <w:rFonts w:ascii="Tahoma" w:hAnsi="Tahoma" w:cs="Tahoma"/>
          <w:color w:val="000000"/>
          <w:sz w:val="24"/>
          <w:szCs w:val="24"/>
        </w:rPr>
        <w:t>wysokości emerytury w nowym systemie nie ma znaczenia staż ubezpieczeniowy, ale kwota zaewidencjonowanych na koncie prowadzonym przez Zakład Ubezpieczeń Społecznych składek oraz wiek, w którym ubezpieczony przejdzie na emeryturę. Zasada adekwatności ulega jednak korekcie zgodnie z zasadą solidarności społecznej. Zgodnie z art. 87 ust. 1 u.e.r.FUS, jeśli emerytura w nowym systemie jest niższa od emerytury minimalnej, emeryturę tę podwyższa się w taki sposób, aby nie była niższa od tej kwoty. Nie dotyczy to jednak wszystkich ubezpieczonych. Prawo do podwyższenia emerytury do emerytury minimalnej przysługuje wyłącznie ubezpieczonym, którzy spełnili dwie przesłanki: stażu ubezpieczeniowego (w przypadku mężczyzn okres składkowy i nieskładkowy wynoszący co najmniej 25 lat, w przypadku kobiet okres składkowy i nieskładkowy wynoszący co najmniej 20 lat) oraz wieku (w przypadku mężczyzn osiągnięcie wieku emerytalnego 65 lat, w przypadku kobiet – osiągnięcie wieku emerytalnego 60 lat) (art. 87 ust. 1 pkt 1</w:t>
      </w:r>
      <w:r w:rsidR="00C010D1" w:rsidRPr="00524655">
        <w:rPr>
          <w:rFonts w:ascii="Tahoma" w:hAnsi="Tahoma" w:cs="Tahoma"/>
          <w:color w:val="000000"/>
          <w:sz w:val="24"/>
          <w:szCs w:val="24"/>
        </w:rPr>
        <w:t>–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2 u.e.r.FUS). Staż ubezpieczeniowy wyrażony okresami składkowymi i nieskładkowymi stanowi więc gwarancję wypłaty emerytury w wysokości najniższego świadczenia (emerytury minimalnej), mimo że przy zastosowaniu formuły odwołującej się wyłącznie do zasady adekwatności wynikałaby kwota niższa (art. 87 ust. 1 u.e.r.FUS). Ma to taką konsekwencję, że kluczowe dla nabycia prawa do podwyższenia emerytury do emerytury minimalnej ma dokonana </w:t>
      </w:r>
      <w:r w:rsidRPr="00524655">
        <w:rPr>
          <w:rFonts w:ascii="Tahoma" w:hAnsi="Tahoma" w:cs="Tahoma"/>
          <w:color w:val="000000"/>
          <w:sz w:val="24"/>
          <w:szCs w:val="24"/>
        </w:rPr>
        <w:lastRenderedPageBreak/>
        <w:t xml:space="preserve">przez ustawodawcę kwalifikacja różnych okresów aktywności życiowej jako okresów składkowych i nieskładkowych oraz sposób ich obliczania. </w:t>
      </w:r>
    </w:p>
    <w:p w14:paraId="198B0350" w14:textId="77777777" w:rsidR="00A40D7B" w:rsidRPr="00524655" w:rsidRDefault="00A40D7B" w:rsidP="00703EC5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C3E5F35" w14:textId="668576F5" w:rsidR="00C010D1" w:rsidRPr="00524655" w:rsidRDefault="00703EC5" w:rsidP="00C010D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24655">
        <w:rPr>
          <w:rFonts w:ascii="Tahoma" w:hAnsi="Tahoma" w:cs="Tahoma"/>
          <w:color w:val="000000"/>
          <w:sz w:val="24"/>
          <w:szCs w:val="24"/>
        </w:rPr>
        <w:t xml:space="preserve">Regulacje dotyczące nabywania prawa do podwyższenia emerytury do emerytury minimalnej nabierają w ostatnich latach </w:t>
      </w:r>
      <w:r w:rsidR="000A6328" w:rsidRPr="00524655">
        <w:rPr>
          <w:rFonts w:ascii="Tahoma" w:hAnsi="Tahoma" w:cs="Tahoma"/>
          <w:color w:val="000000"/>
          <w:sz w:val="24"/>
          <w:szCs w:val="24"/>
        </w:rPr>
        <w:t>szczególnie istotnego znaczenia społecznego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. </w:t>
      </w:r>
      <w:r w:rsidR="000A6328" w:rsidRPr="00524655">
        <w:rPr>
          <w:rFonts w:ascii="Tahoma" w:hAnsi="Tahoma" w:cs="Tahoma"/>
          <w:color w:val="000000"/>
          <w:sz w:val="24"/>
          <w:szCs w:val="24"/>
        </w:rPr>
        <w:t xml:space="preserve">W 2020 r. </w:t>
      </w:r>
      <w:r w:rsidR="000A6328" w:rsidRPr="00524655">
        <w:rPr>
          <w:rFonts w:ascii="Tahoma" w:hAnsi="Tahoma" w:cs="Tahoma"/>
          <w:sz w:val="24"/>
          <w:szCs w:val="24"/>
        </w:rPr>
        <w:t xml:space="preserve">emeryturę niższą niż minimalna pobierało ponad 333,4 tys. emerytów. Stanowi to już 5,6 proc. emerytów pobierających świadczenia z Zakładu Ubezpieczeń Społecznych. Tymczasem w 2011 r. emeryturę niższą od minimalnej pobierało zaledwie 23,9 tys. osób. Oznacza to, że </w:t>
      </w:r>
      <w:r w:rsidR="006A57B5" w:rsidRPr="00524655">
        <w:rPr>
          <w:rFonts w:ascii="Tahoma" w:hAnsi="Tahoma" w:cs="Tahoma"/>
          <w:sz w:val="24"/>
          <w:szCs w:val="24"/>
        </w:rPr>
        <w:t>w ciągu dekady liczba emerytów, którzy nie nabyli prawa do podwyższenia emerytury do emerytury minimalnej, zwiększyła się kilkunastokrotnie. Przyczyny tego stanu rzeczy są zróżnicowane.</w:t>
      </w:r>
      <w:r w:rsidR="00C010D1" w:rsidRPr="00524655">
        <w:rPr>
          <w:rFonts w:ascii="Tahoma" w:hAnsi="Tahoma" w:cs="Tahoma"/>
          <w:sz w:val="24"/>
          <w:szCs w:val="24"/>
        </w:rPr>
        <w:t xml:space="preserve"> </w:t>
      </w:r>
      <w:r w:rsidR="006A57B5" w:rsidRPr="00524655">
        <w:rPr>
          <w:rFonts w:ascii="Tahoma" w:hAnsi="Tahoma" w:cs="Tahoma"/>
          <w:sz w:val="24"/>
          <w:szCs w:val="24"/>
        </w:rPr>
        <w:t xml:space="preserve">Można tu wskazać </w:t>
      </w:r>
      <w:r w:rsidR="0091167E" w:rsidRPr="00524655">
        <w:rPr>
          <w:rFonts w:ascii="Tahoma" w:hAnsi="Tahoma" w:cs="Tahoma"/>
          <w:sz w:val="24"/>
          <w:szCs w:val="24"/>
        </w:rPr>
        <w:t>m.in.</w:t>
      </w:r>
      <w:r w:rsidR="006A57B5" w:rsidRPr="00524655">
        <w:rPr>
          <w:rFonts w:ascii="Tahoma" w:hAnsi="Tahoma" w:cs="Tahoma"/>
          <w:sz w:val="24"/>
          <w:szCs w:val="24"/>
        </w:rPr>
        <w:t xml:space="preserve"> długotrwałą bierność zawodową, podejmowanie zatrudnienia na czarno, prac</w:t>
      </w:r>
      <w:r w:rsidR="00D3255E" w:rsidRPr="00524655">
        <w:rPr>
          <w:rFonts w:ascii="Tahoma" w:hAnsi="Tahoma" w:cs="Tahoma"/>
          <w:sz w:val="24"/>
          <w:szCs w:val="24"/>
        </w:rPr>
        <w:t>ę</w:t>
      </w:r>
      <w:r w:rsidR="006A57B5" w:rsidRPr="00524655">
        <w:rPr>
          <w:rFonts w:ascii="Tahoma" w:hAnsi="Tahoma" w:cs="Tahoma"/>
          <w:sz w:val="24"/>
          <w:szCs w:val="24"/>
        </w:rPr>
        <w:t xml:space="preserve"> w krajach, z którymi Polskę nie łączą umowy międzynarodowe dotyczące zabezpieczenia społecznego</w:t>
      </w:r>
      <w:r w:rsidR="00A40D7B" w:rsidRPr="00524655">
        <w:rPr>
          <w:rFonts w:ascii="Tahoma" w:hAnsi="Tahoma" w:cs="Tahoma"/>
          <w:sz w:val="24"/>
          <w:szCs w:val="24"/>
        </w:rPr>
        <w:t xml:space="preserve">, </w:t>
      </w:r>
      <w:r w:rsidR="00D3255E" w:rsidRPr="00524655">
        <w:rPr>
          <w:rFonts w:ascii="Tahoma" w:hAnsi="Tahoma" w:cs="Tahoma"/>
          <w:sz w:val="24"/>
          <w:szCs w:val="24"/>
        </w:rPr>
        <w:t>utrzymywanie się z dochodów z majątku</w:t>
      </w:r>
      <w:r w:rsidR="00A40D7B" w:rsidRPr="00524655">
        <w:rPr>
          <w:rFonts w:ascii="Tahoma" w:hAnsi="Tahoma" w:cs="Tahoma"/>
          <w:sz w:val="24"/>
          <w:szCs w:val="24"/>
        </w:rPr>
        <w:t xml:space="preserve">, a także </w:t>
      </w:r>
      <w:r w:rsidR="00D3255E" w:rsidRPr="00524655">
        <w:rPr>
          <w:rFonts w:ascii="Tahoma" w:hAnsi="Tahoma" w:cs="Tahoma"/>
          <w:sz w:val="24"/>
          <w:szCs w:val="24"/>
        </w:rPr>
        <w:t>podejmowanie pracy na podstawie umów cywilnoprawnych</w:t>
      </w:r>
      <w:r w:rsidR="00A40D7B" w:rsidRPr="00524655">
        <w:rPr>
          <w:rFonts w:ascii="Tahoma" w:hAnsi="Tahoma" w:cs="Tahoma"/>
          <w:sz w:val="24"/>
          <w:szCs w:val="24"/>
        </w:rPr>
        <w:t>, któr</w:t>
      </w:r>
      <w:r w:rsidR="00951979" w:rsidRPr="00524655">
        <w:rPr>
          <w:rFonts w:ascii="Tahoma" w:hAnsi="Tahoma" w:cs="Tahoma"/>
          <w:sz w:val="24"/>
          <w:szCs w:val="24"/>
        </w:rPr>
        <w:t>ych</w:t>
      </w:r>
      <w:r w:rsidR="00A40D7B" w:rsidRPr="00524655">
        <w:rPr>
          <w:rFonts w:ascii="Tahoma" w:hAnsi="Tahoma" w:cs="Tahoma"/>
          <w:sz w:val="24"/>
          <w:szCs w:val="24"/>
        </w:rPr>
        <w:t xml:space="preserve"> wykonywanie nie stanowi okresu składkowego ani nieskładkowego albo ma taki charakter, ale jest uwzględniane dla celów podwyższenia emerytury do kwoty emerytury minimalnej </w:t>
      </w:r>
      <w:r w:rsidR="0091167E" w:rsidRPr="00524655">
        <w:rPr>
          <w:rFonts w:ascii="Tahoma" w:hAnsi="Tahoma" w:cs="Tahoma"/>
          <w:sz w:val="24"/>
          <w:szCs w:val="24"/>
        </w:rPr>
        <w:t>na mniej korzystnych zasadach (art. 87 ust. 3 u.e.r.FUS).</w:t>
      </w:r>
      <w:r w:rsidR="00BD04F4" w:rsidRPr="00524655">
        <w:rPr>
          <w:rFonts w:ascii="Tahoma" w:hAnsi="Tahoma" w:cs="Tahoma"/>
          <w:sz w:val="24"/>
          <w:szCs w:val="24"/>
        </w:rPr>
        <w:t xml:space="preserve"> Jak można sądzić, ostatnia grupa przyczyn stanowi główny powód gwałtownego wzrostu liczby emerytów, którym nie przysługuje prawo do podwyższenia emerytury do emerytury minimalnej. </w:t>
      </w:r>
      <w:r w:rsidR="00055825" w:rsidRPr="00524655">
        <w:rPr>
          <w:rFonts w:ascii="Tahoma" w:hAnsi="Tahoma" w:cs="Tahoma"/>
          <w:sz w:val="24"/>
          <w:szCs w:val="24"/>
        </w:rPr>
        <w:t>W ostatnich latach bowiem na emeryturę przechodzą ubezpieczeni, których aktywność zawodowa w dużej części przypada na okres po 1990 r. Tymczasem jedną z istotnych,</w:t>
      </w:r>
      <w:r w:rsidR="003139BB" w:rsidRPr="00524655">
        <w:rPr>
          <w:rFonts w:ascii="Tahoma" w:hAnsi="Tahoma" w:cs="Tahoma"/>
          <w:sz w:val="24"/>
          <w:szCs w:val="24"/>
        </w:rPr>
        <w:t xml:space="preserve"> przypadających na ten </w:t>
      </w:r>
      <w:r w:rsidR="00C010D1" w:rsidRPr="00524655">
        <w:rPr>
          <w:rFonts w:ascii="Tahoma" w:hAnsi="Tahoma" w:cs="Tahoma"/>
          <w:sz w:val="24"/>
          <w:szCs w:val="24"/>
        </w:rPr>
        <w:t>czas</w:t>
      </w:r>
      <w:r w:rsidR="00055825" w:rsidRPr="00524655">
        <w:rPr>
          <w:rFonts w:ascii="Tahoma" w:hAnsi="Tahoma" w:cs="Tahoma"/>
          <w:sz w:val="24"/>
          <w:szCs w:val="24"/>
        </w:rPr>
        <w:t xml:space="preserve"> patologii polskiego rynku pracy było zatrudnianie </w:t>
      </w:r>
      <w:r w:rsidR="003139BB" w:rsidRPr="00524655">
        <w:rPr>
          <w:rFonts w:ascii="Tahoma" w:hAnsi="Tahoma" w:cs="Tahoma"/>
          <w:sz w:val="24"/>
          <w:szCs w:val="24"/>
        </w:rPr>
        <w:t>dużej części pracujących na umowy cywilnoprawne w warunkach, w których powinny zostać zawarte umowy o pracę, w celu obejścia przepisów prawa dotyczących obowiązków z zakresu ubezpieczeń społecznych. Dotyczy to w szczególności umów zlecenia</w:t>
      </w:r>
      <w:r w:rsidR="00B0269B" w:rsidRPr="00524655">
        <w:rPr>
          <w:rFonts w:ascii="Tahoma" w:hAnsi="Tahoma" w:cs="Tahoma"/>
          <w:sz w:val="24"/>
          <w:szCs w:val="24"/>
        </w:rPr>
        <w:t xml:space="preserve">. Należy tu zwrócić uwagę na dwie kwestie. Po pierwsze, </w:t>
      </w:r>
      <w:r w:rsidR="0054731B" w:rsidRPr="00524655">
        <w:rPr>
          <w:rFonts w:ascii="Tahoma" w:hAnsi="Tahoma" w:cs="Tahoma"/>
          <w:sz w:val="24"/>
          <w:szCs w:val="24"/>
        </w:rPr>
        <w:t>od</w:t>
      </w:r>
      <w:r w:rsidR="00B0269B" w:rsidRPr="00524655">
        <w:rPr>
          <w:rFonts w:ascii="Tahoma" w:hAnsi="Tahoma" w:cs="Tahoma"/>
          <w:sz w:val="24"/>
          <w:szCs w:val="24"/>
        </w:rPr>
        <w:t xml:space="preserve"> 1990 r. częściowo nie stanowiły one okresów ubezpieczenia i jako takie nie mogą być traktowane jako okresy składkow</w:t>
      </w:r>
      <w:r w:rsidR="0054731B" w:rsidRPr="00524655">
        <w:rPr>
          <w:rFonts w:ascii="Tahoma" w:hAnsi="Tahoma" w:cs="Tahoma"/>
          <w:sz w:val="24"/>
          <w:szCs w:val="24"/>
        </w:rPr>
        <w:t>e, a jednocześnie nie są okresami nieskładkowymi</w:t>
      </w:r>
      <w:r w:rsidR="00B0269B" w:rsidRPr="00524655">
        <w:rPr>
          <w:rFonts w:ascii="Tahoma" w:hAnsi="Tahoma" w:cs="Tahoma"/>
          <w:sz w:val="24"/>
          <w:szCs w:val="24"/>
        </w:rPr>
        <w:t xml:space="preserve">. Mowa tu w szczególności </w:t>
      </w:r>
      <w:r w:rsidR="00AC665F" w:rsidRPr="00524655">
        <w:rPr>
          <w:rFonts w:ascii="Tahoma" w:hAnsi="Tahoma" w:cs="Tahoma"/>
          <w:sz w:val="24"/>
          <w:szCs w:val="24"/>
        </w:rPr>
        <w:t xml:space="preserve">o </w:t>
      </w:r>
      <w:r w:rsidR="00663F4E" w:rsidRPr="00524655">
        <w:rPr>
          <w:rFonts w:ascii="Tahoma" w:hAnsi="Tahoma" w:cs="Tahoma"/>
          <w:sz w:val="24"/>
          <w:szCs w:val="24"/>
        </w:rPr>
        <w:t>okresach zatrudnienia na krótkoterminowych umowach zlecenia</w:t>
      </w:r>
      <w:r w:rsidR="00C010D1" w:rsidRPr="00524655">
        <w:rPr>
          <w:rFonts w:ascii="Tahoma" w:hAnsi="Tahoma" w:cs="Tahoma"/>
          <w:sz w:val="24"/>
          <w:szCs w:val="24"/>
        </w:rPr>
        <w:t xml:space="preserve"> (do 30 dni, do 14 dni)</w:t>
      </w:r>
      <w:r w:rsidR="00663F4E" w:rsidRPr="00524655">
        <w:rPr>
          <w:rFonts w:ascii="Tahoma" w:hAnsi="Tahoma" w:cs="Tahoma"/>
          <w:sz w:val="24"/>
          <w:szCs w:val="24"/>
        </w:rPr>
        <w:t xml:space="preserve">. </w:t>
      </w:r>
      <w:r w:rsidR="00C010D1" w:rsidRPr="00524655">
        <w:rPr>
          <w:rFonts w:ascii="Tahoma" w:hAnsi="Tahoma" w:cs="Tahoma"/>
          <w:sz w:val="24"/>
          <w:szCs w:val="24"/>
        </w:rPr>
        <w:t xml:space="preserve">Obecnie okresy te nie mają więc znaczenia dla nabycia prawa do podwyższenia emerytury do kwoty emerytury minimalnej. </w:t>
      </w:r>
      <w:r w:rsidR="0054731B" w:rsidRPr="00524655">
        <w:rPr>
          <w:rFonts w:ascii="Tahoma" w:hAnsi="Tahoma" w:cs="Tahoma"/>
          <w:sz w:val="24"/>
          <w:szCs w:val="24"/>
        </w:rPr>
        <w:t xml:space="preserve">Po drugie, </w:t>
      </w:r>
      <w:r w:rsidR="008242DD" w:rsidRPr="00524655">
        <w:rPr>
          <w:rFonts w:ascii="Tahoma" w:hAnsi="Tahoma" w:cs="Tahoma"/>
          <w:sz w:val="24"/>
          <w:szCs w:val="24"/>
        </w:rPr>
        <w:t>do 2016 r.</w:t>
      </w:r>
      <w:r w:rsidR="0054731B" w:rsidRPr="00524655">
        <w:rPr>
          <w:rFonts w:ascii="Tahoma" w:hAnsi="Tahoma" w:cs="Tahoma"/>
          <w:sz w:val="24"/>
          <w:szCs w:val="24"/>
        </w:rPr>
        <w:t xml:space="preserve"> z powodu regulacji </w:t>
      </w:r>
      <w:r w:rsidR="0054731B" w:rsidRPr="00524655">
        <w:rPr>
          <w:rFonts w:ascii="Tahoma" w:hAnsi="Tahoma" w:cs="Tahoma"/>
          <w:sz w:val="24"/>
          <w:szCs w:val="24"/>
        </w:rPr>
        <w:lastRenderedPageBreak/>
        <w:t>zbiegów tytułów do objęcia ubezpieczeni</w:t>
      </w:r>
      <w:r w:rsidR="00FC621F" w:rsidRPr="00524655">
        <w:rPr>
          <w:rFonts w:ascii="Tahoma" w:hAnsi="Tahoma" w:cs="Tahoma"/>
          <w:sz w:val="24"/>
          <w:szCs w:val="24"/>
        </w:rPr>
        <w:t xml:space="preserve">ami </w:t>
      </w:r>
      <w:r w:rsidR="0054731B" w:rsidRPr="00524655">
        <w:rPr>
          <w:rFonts w:ascii="Tahoma" w:hAnsi="Tahoma" w:cs="Tahoma"/>
          <w:sz w:val="24"/>
          <w:szCs w:val="24"/>
        </w:rPr>
        <w:t>społecznym</w:t>
      </w:r>
      <w:r w:rsidR="00FC621F" w:rsidRPr="00524655">
        <w:rPr>
          <w:rFonts w:ascii="Tahoma" w:hAnsi="Tahoma" w:cs="Tahoma"/>
          <w:sz w:val="24"/>
          <w:szCs w:val="24"/>
        </w:rPr>
        <w:t xml:space="preserve">i </w:t>
      </w:r>
      <w:r w:rsidR="008242DD" w:rsidRPr="00524655">
        <w:rPr>
          <w:rFonts w:ascii="Tahoma" w:hAnsi="Tahoma" w:cs="Tahoma"/>
          <w:sz w:val="24"/>
          <w:szCs w:val="24"/>
        </w:rPr>
        <w:t xml:space="preserve">występowała praktyka, w której tytułem do objęcia ubezpieczeniami społecznymi była jedna z kilku zawieranych umów zleceń z wynagrodzeniem poniżej kwoty minimalnego wynagrodzenia za pracę. </w:t>
      </w:r>
      <w:r w:rsidR="00C010D1" w:rsidRPr="00524655">
        <w:rPr>
          <w:rFonts w:ascii="Tahoma" w:hAnsi="Tahoma" w:cs="Tahoma"/>
          <w:sz w:val="24"/>
          <w:szCs w:val="24"/>
        </w:rPr>
        <w:t xml:space="preserve">Okresy te są więc uwzględniane przy obliczaniu stażu, o którym mowa w </w:t>
      </w:r>
      <w:r w:rsidR="00C010D1" w:rsidRPr="00524655">
        <w:rPr>
          <w:rFonts w:ascii="Tahoma" w:hAnsi="Tahoma" w:cs="Tahoma"/>
          <w:color w:val="000000"/>
          <w:sz w:val="24"/>
          <w:szCs w:val="24"/>
        </w:rPr>
        <w:t xml:space="preserve">art. 87 ust. 1 pkt 1–2 u.e.r.FUS, ale na niekorzystnych dla ubezpieczonego zasadach. </w:t>
      </w:r>
    </w:p>
    <w:p w14:paraId="1E5808DF" w14:textId="77777777" w:rsidR="00C010D1" w:rsidRPr="00524655" w:rsidRDefault="00C010D1" w:rsidP="00C010D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3A674C4B" w14:textId="1FDE729B" w:rsidR="006A57B5" w:rsidRPr="00524655" w:rsidRDefault="00FC621F" w:rsidP="00C010D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24655">
        <w:rPr>
          <w:rFonts w:ascii="Tahoma" w:hAnsi="Tahoma" w:cs="Tahoma"/>
          <w:sz w:val="24"/>
          <w:szCs w:val="24"/>
        </w:rPr>
        <w:t>Zjawiska te, choć stanowiły obejście przepisów prawa ubezpieczeń społecznych, były tolerowane przez organy władz publicznych</w:t>
      </w:r>
      <w:r w:rsidR="00CC6539" w:rsidRPr="00524655">
        <w:rPr>
          <w:rFonts w:ascii="Tahoma" w:hAnsi="Tahoma" w:cs="Tahoma"/>
          <w:sz w:val="24"/>
          <w:szCs w:val="24"/>
        </w:rPr>
        <w:t>. Obecnie zaś powodują one, że wielu emerytów nie nabyło, z powodu niespełnienia warunku odpowiedniej liczby okresów składkowych i nieskładkowych (</w:t>
      </w:r>
      <w:r w:rsidR="00C010D1" w:rsidRPr="00524655">
        <w:rPr>
          <w:rFonts w:ascii="Tahoma" w:hAnsi="Tahoma" w:cs="Tahoma"/>
          <w:color w:val="000000"/>
          <w:sz w:val="24"/>
          <w:szCs w:val="24"/>
        </w:rPr>
        <w:t>art. 87 ust. 1 pkt 1–2 u.e.r.FUS</w:t>
      </w:r>
      <w:r w:rsidR="00CC6539" w:rsidRPr="00524655">
        <w:rPr>
          <w:rFonts w:ascii="Tahoma" w:hAnsi="Tahoma" w:cs="Tahoma"/>
          <w:sz w:val="24"/>
          <w:szCs w:val="24"/>
        </w:rPr>
        <w:t xml:space="preserve">), prawo do podwyższenia przysługującej im emerytury do kwoty emerytury minimalnej. </w:t>
      </w:r>
    </w:p>
    <w:p w14:paraId="5247F42E" w14:textId="7A9F6D19" w:rsidR="00703EC5" w:rsidRPr="00524655" w:rsidRDefault="00703EC5" w:rsidP="005D50C0">
      <w:pPr>
        <w:spacing w:after="0"/>
        <w:ind w:firstLine="708"/>
        <w:jc w:val="center"/>
        <w:rPr>
          <w:rFonts w:ascii="Tahoma" w:hAnsi="Tahoma" w:cs="Tahoma"/>
          <w:b/>
          <w:sz w:val="24"/>
          <w:szCs w:val="24"/>
        </w:rPr>
      </w:pPr>
    </w:p>
    <w:p w14:paraId="27827DE5" w14:textId="51E2DB52" w:rsidR="00CC6539" w:rsidRPr="00524655" w:rsidRDefault="00703EC5" w:rsidP="00CF4B0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2</w:t>
      </w:r>
      <w:r w:rsidR="005D50C0" w:rsidRPr="00524655">
        <w:rPr>
          <w:rFonts w:ascii="Tahoma" w:hAnsi="Tahoma" w:cs="Tahoma"/>
          <w:b/>
          <w:bCs/>
          <w:color w:val="000000"/>
        </w:rPr>
        <w:t>. Cel i potrzeba wydania ustawy</w:t>
      </w:r>
    </w:p>
    <w:p w14:paraId="14E926C9" w14:textId="631A2ADF" w:rsidR="00CC6539" w:rsidRPr="00524655" w:rsidRDefault="00CC6539" w:rsidP="0037500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>Projektowana ustawa zmierza do poszerzenia grupy emerytów uprawnionych do podwyższenia przysługującej im emerytury do kwoty emerytury minimalnej. Dzięki temu zwiększone zostaną możliwości zaspokajania przez nich podstawowych potrzeb bytowych</w:t>
      </w:r>
      <w:r w:rsidR="00CF4B03" w:rsidRPr="00524655">
        <w:rPr>
          <w:rFonts w:ascii="Tahoma" w:hAnsi="Tahoma" w:cs="Tahoma"/>
          <w:color w:val="000000"/>
        </w:rPr>
        <w:t>, a zmniejszeniu ulegnie obciążenie, jakie wiąże się z pobieraniem przez tych emerytów świadczeń poniżej emerytury minimalnej</w:t>
      </w:r>
      <w:r w:rsidR="00C010D1" w:rsidRPr="00524655">
        <w:rPr>
          <w:rFonts w:ascii="Tahoma" w:hAnsi="Tahoma" w:cs="Tahoma"/>
          <w:color w:val="000000"/>
        </w:rPr>
        <w:t xml:space="preserve"> </w:t>
      </w:r>
      <w:r w:rsidR="00CF4B03" w:rsidRPr="00524655">
        <w:rPr>
          <w:rFonts w:ascii="Tahoma" w:hAnsi="Tahoma" w:cs="Tahoma"/>
          <w:color w:val="000000"/>
        </w:rPr>
        <w:t>dla ich rodzin oraz systemu pomocy społecznej. Projekt zmierza również do zniwelowania skutków błędnej polityki rynku pracy prowadzonej w okresie transformacji systemowej przez aparat władz publicznych, któr</w:t>
      </w:r>
      <w:r w:rsidR="0037500F" w:rsidRPr="00524655">
        <w:rPr>
          <w:rFonts w:ascii="Tahoma" w:hAnsi="Tahoma" w:cs="Tahoma"/>
          <w:color w:val="000000"/>
        </w:rPr>
        <w:t xml:space="preserve">a – obejmując tolerancję dla obchodzenia przepisów prawa ubezpieczeń społecznych – w rezultacie uniemożliwiła wielu emerytom nabycie prawa do podwyższenia przysługującej im emerytury do emerytury minimalnej. </w:t>
      </w:r>
    </w:p>
    <w:p w14:paraId="09BFAC7C" w14:textId="77777777" w:rsidR="005D50C0" w:rsidRPr="00524655" w:rsidRDefault="005D50C0" w:rsidP="005D50C0">
      <w:pPr>
        <w:spacing w:after="0"/>
        <w:jc w:val="both"/>
        <w:rPr>
          <w:rFonts w:ascii="Tahoma" w:hAnsi="Tahoma" w:cs="Tahoma"/>
          <w:color w:val="000000"/>
        </w:rPr>
      </w:pPr>
    </w:p>
    <w:p w14:paraId="1948B76A" w14:textId="4DC81FB7" w:rsidR="005D50C0" w:rsidRPr="00524655" w:rsidRDefault="005D50C0" w:rsidP="005D50C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3. Różnice między dotychczasowym a projektowanym stanem prawnym</w:t>
      </w:r>
    </w:p>
    <w:p w14:paraId="32B42932" w14:textId="28F6773D" w:rsidR="008F7A1B" w:rsidRPr="00524655" w:rsidRDefault="00F02A77" w:rsidP="008F7A1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524655">
        <w:rPr>
          <w:rFonts w:ascii="Tahoma" w:hAnsi="Tahoma" w:cs="Tahoma"/>
          <w:b/>
          <w:bCs/>
          <w:color w:val="000000"/>
        </w:rPr>
        <w:tab/>
      </w:r>
      <w:r w:rsidRPr="00524655">
        <w:rPr>
          <w:rFonts w:ascii="Tahoma" w:hAnsi="Tahoma" w:cs="Tahoma"/>
          <w:color w:val="000000"/>
        </w:rPr>
        <w:t>W obowiązującym stanie prawnym nie wszystkie, przebyte w przeszłości okresy wykonywania pracy na podstawie umowy zlecenia mają charakter okresów składkowych. Nie w każdym przypadku można je bowiem zakwalifikować jako okresy ubezpieczenia lub inne okresy składkowe wymienione w art. 5</w:t>
      </w:r>
      <w:r w:rsidR="0040008B" w:rsidRPr="00524655">
        <w:rPr>
          <w:rFonts w:ascii="Tahoma" w:hAnsi="Tahoma" w:cs="Tahoma"/>
          <w:color w:val="000000"/>
        </w:rPr>
        <w:t>–</w:t>
      </w:r>
      <w:r w:rsidRPr="00524655">
        <w:rPr>
          <w:rFonts w:ascii="Tahoma" w:hAnsi="Tahoma" w:cs="Tahoma"/>
          <w:color w:val="000000"/>
        </w:rPr>
        <w:t xml:space="preserve">7 u.e.r.FUS. Jednocześnie niektóre okresy wykonywania pracy na podstawie umowy zlecenia, które mają walor okresów składkowych, uwzględniane są </w:t>
      </w:r>
      <w:r w:rsidR="0040008B" w:rsidRPr="00524655">
        <w:rPr>
          <w:rFonts w:ascii="Tahoma" w:hAnsi="Tahoma" w:cs="Tahoma"/>
        </w:rPr>
        <w:t xml:space="preserve">dla celów podwyższenia emerytury do kwoty emerytury minimalnej w wymiarze niższym niż rzeczywiście przebyty (art. 87 </w:t>
      </w:r>
      <w:r w:rsidR="0040008B" w:rsidRPr="00524655">
        <w:rPr>
          <w:rFonts w:ascii="Tahoma" w:hAnsi="Tahoma" w:cs="Tahoma"/>
        </w:rPr>
        <w:lastRenderedPageBreak/>
        <w:t xml:space="preserve">ust. 3 u.e.r.FUS). Ten stan rzeczy znacznie utrudnia nabycie emerytom, którzy przebyli takie okresy, nabycie prawa do podwyższenia emerytury do kwoty emerytury minimalnej. </w:t>
      </w:r>
      <w:r w:rsidR="008F7A1B" w:rsidRPr="00524655">
        <w:rPr>
          <w:rFonts w:ascii="Tahoma" w:hAnsi="Tahoma" w:cs="Tahoma"/>
        </w:rPr>
        <w:t xml:space="preserve">Projektowana ustawa zmierza do rozwiązania tego problemu. </w:t>
      </w:r>
      <w:r w:rsidR="00A6489B" w:rsidRPr="00524655">
        <w:rPr>
          <w:rFonts w:ascii="Tahoma" w:hAnsi="Tahoma" w:cs="Tahoma"/>
        </w:rPr>
        <w:t xml:space="preserve">Opiera się ona na dwóch zasadniczych założeniach. </w:t>
      </w:r>
    </w:p>
    <w:p w14:paraId="5D6B55DB" w14:textId="784BFB84" w:rsidR="008F7A1B" w:rsidRPr="00524655" w:rsidRDefault="008F7A1B" w:rsidP="008F7A1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0D9977B6" w14:textId="6F283A3E" w:rsidR="00A6489B" w:rsidRPr="00524655" w:rsidRDefault="008F7A1B" w:rsidP="00A6489B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</w:rPr>
        <w:t xml:space="preserve">Po pierwsze, projekt zakłada, że wszystkie okresy wykonywania pracy na podstawie umowy </w:t>
      </w:r>
      <w:r w:rsidRPr="00524655">
        <w:rPr>
          <w:rFonts w:ascii="Tahoma" w:hAnsi="Tahoma" w:cs="Tahoma"/>
          <w:color w:val="000000"/>
        </w:rPr>
        <w:t xml:space="preserve">zlecenia albo innej umowy o świadczenie usług, do której zgodnie z Kodeksem cywilnym stosuje się przepisy dotyczące zlecenia, które nie są okresami wymienionymi w art. 5–7 u.e.r.FUS, będą miały – w celu ustalenia prawa do podwyższenia emerytury do kwoty emerytury minimalnej – walor okresów uzupełniających. </w:t>
      </w:r>
      <w:r w:rsidR="00A6489B" w:rsidRPr="00524655">
        <w:rPr>
          <w:rFonts w:ascii="Tahoma" w:hAnsi="Tahoma" w:cs="Tahoma"/>
          <w:color w:val="000000"/>
        </w:rPr>
        <w:t>Oznacza to, że zostaną one w tym celu potraktowane jak okresy składkowe w zakresie niezbędnym do uzupełnienia okresów uprawniających do nabycia prawa do podwyższenia emerytury do kwoty emerytury minimalnej, o których mowa w art. 87 ust. 1 pkt 1</w:t>
      </w:r>
      <w:r w:rsidR="00C010D1" w:rsidRPr="00524655">
        <w:rPr>
          <w:rFonts w:ascii="Tahoma" w:hAnsi="Tahoma" w:cs="Tahoma"/>
          <w:color w:val="000000"/>
        </w:rPr>
        <w:t>–</w:t>
      </w:r>
      <w:r w:rsidR="00A6489B" w:rsidRPr="00524655">
        <w:rPr>
          <w:rFonts w:ascii="Tahoma" w:hAnsi="Tahoma" w:cs="Tahoma"/>
          <w:color w:val="000000"/>
        </w:rPr>
        <w:t xml:space="preserve">2 u.e.r.FUS. </w:t>
      </w:r>
      <w:r w:rsidRPr="00524655">
        <w:rPr>
          <w:rFonts w:ascii="Tahoma" w:hAnsi="Tahoma" w:cs="Tahoma"/>
          <w:color w:val="000000"/>
        </w:rPr>
        <w:t>Konstrukcja okresów uzupełniających znana jest prawu ubezpieczeń społecznych. W aktualnym stanie prawnym do zalicza się do nich</w:t>
      </w:r>
      <w:r w:rsidR="00F30C50" w:rsidRPr="00524655">
        <w:rPr>
          <w:rFonts w:ascii="Tahoma" w:hAnsi="Tahoma" w:cs="Tahoma"/>
          <w:color w:val="000000"/>
        </w:rPr>
        <w:t xml:space="preserve"> </w:t>
      </w:r>
      <w:r w:rsidRPr="00524655">
        <w:rPr>
          <w:rFonts w:ascii="Tahoma" w:hAnsi="Tahoma" w:cs="Tahoma"/>
          <w:color w:val="000000"/>
        </w:rPr>
        <w:t xml:space="preserve">okresy: ubezpieczenia społecznego rolników, za które opłacono składki przewidziane w odrębnych przepisach; prowadzenia gospodarstwa rolnego po ukończeniu 16 roku życia – jeśli przypadały przed 1 lipca 1977 r. oraz pracy w gospodarstwie rolnym po ukończeniu 16 roku życia – jeśli przypadały przed 1 stycznia 1983 r. (art. 10 ust. 1 u.e.r.FUS). Okresom uzupełniającym – z wyjątkiem okresów ubezpieczenia społecznego rolników, za które opłacono składki przewidziane w odrębnych przepisach – można przypisać cztery zasadnicze cechy. Po pierwsze, okresy te nie mają charakteru ani okresów składkowych, ani okresów nieskładkowych. Nie zostały bowiem w ten sposób zakwalifikowane przez obowiązujące przepisy prawa. Po drugie, okresy te nie wiązały się z podleganiem ubezpieczeniom społecznym i obowiązkiem odprowadzania składek z tego tytułu. Aktywność, do której się one odwołują wprawdzie ma charakter ekonomiczny, ale w chwili jej podejmowania była </w:t>
      </w:r>
      <w:r w:rsidR="00F30C50" w:rsidRPr="00524655">
        <w:rPr>
          <w:rFonts w:ascii="Tahoma" w:hAnsi="Tahoma" w:cs="Tahoma"/>
          <w:color w:val="000000"/>
        </w:rPr>
        <w:t xml:space="preserve">ona </w:t>
      </w:r>
      <w:r w:rsidRPr="00524655">
        <w:rPr>
          <w:rFonts w:ascii="Tahoma" w:hAnsi="Tahoma" w:cs="Tahoma"/>
          <w:color w:val="000000"/>
        </w:rPr>
        <w:t xml:space="preserve">obojętna z punktu widzenia nabywania praw do świadczeń emerytalno-rentowych. Po trzecie, okresy te występowały powszechnie jako podstawowa aktywność ekonomiczna osób, które je przebyły, a składające się na nie czynności odpowiadały innym aktywnościom życiowym, które zostały zakwalifikowane jako okresy składkowe przez ustawodawcę. Po czwarte, nieuznanie tych okresów za okresy składkowe przez </w:t>
      </w:r>
      <w:r w:rsidRPr="00524655">
        <w:rPr>
          <w:rFonts w:ascii="Tahoma" w:hAnsi="Tahoma" w:cs="Tahoma"/>
          <w:color w:val="000000"/>
        </w:rPr>
        <w:lastRenderedPageBreak/>
        <w:t xml:space="preserve">ustawodawcę w przeszłości i niepowiązanie objętej nimi aktywności z tytułem do ubezpieczeń społecznych stanowi decyzję polityczną, która – z perspektywy czasu – jest oceniana jako błędna. </w:t>
      </w:r>
      <w:r w:rsidR="00FE32BC" w:rsidRPr="00524655">
        <w:rPr>
          <w:rFonts w:ascii="Tahoma" w:hAnsi="Tahoma" w:cs="Tahoma"/>
          <w:color w:val="000000"/>
        </w:rPr>
        <w:t xml:space="preserve">Charakterystyce tej odpowiadają również okresy wykonywania pracy na podstawie umowy zlecenia, które nie są okresami wymienionymi w art. 5–7 u.e.r.FUS. </w:t>
      </w:r>
      <w:r w:rsidR="00A6489B" w:rsidRPr="00524655">
        <w:rPr>
          <w:rFonts w:ascii="Tahoma" w:hAnsi="Tahoma" w:cs="Tahoma"/>
          <w:color w:val="000000"/>
        </w:rPr>
        <w:t xml:space="preserve">Przemawia to za posłużeniem się tą konstrukcją w regulacji nabycia prawa do podwyższenia emerytury do kwoty emerytury minimalnej. </w:t>
      </w:r>
    </w:p>
    <w:p w14:paraId="3D9B45FE" w14:textId="08D8F439" w:rsidR="00FE32BC" w:rsidRPr="00524655" w:rsidRDefault="00FE32BC" w:rsidP="008F7A1B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061DE51C" w14:textId="028F7F47" w:rsidR="00FE32BC" w:rsidRPr="00524655" w:rsidRDefault="00FE32BC" w:rsidP="00C25A0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 xml:space="preserve">Po drugie, projekt przewiduje, że </w:t>
      </w:r>
      <w:r w:rsidR="00A6489B" w:rsidRPr="00524655">
        <w:rPr>
          <w:rFonts w:ascii="Tahoma" w:hAnsi="Tahoma" w:cs="Tahoma"/>
          <w:color w:val="000000"/>
        </w:rPr>
        <w:t xml:space="preserve">do </w:t>
      </w:r>
      <w:r w:rsidR="00A6489B" w:rsidRPr="00524655">
        <w:rPr>
          <w:rFonts w:ascii="Tahoma" w:hAnsi="Tahoma" w:cs="Tahoma"/>
        </w:rPr>
        <w:t xml:space="preserve">okresów wykonywania pracy na podstawie umowy </w:t>
      </w:r>
      <w:r w:rsidR="00A6489B" w:rsidRPr="00524655">
        <w:rPr>
          <w:rFonts w:ascii="Tahoma" w:hAnsi="Tahoma" w:cs="Tahoma"/>
          <w:color w:val="000000"/>
        </w:rPr>
        <w:t>zlecenia albo innej umowy o świadczenie usług, do której zgodnie z Kodeksem cywilnym stosuje się przepisy dotyczące zlecenia, które zostały uwzględnione jako okresy składkowe, nie stosuje się przewidzianego w art. 87 ust. 3 u.e.r.FUS mechanizmu ich zmniejszania stosownie do kwoty wynagrodzenia osiąganego z tytułu tych umów</w:t>
      </w:r>
      <w:r w:rsidR="00F30C50" w:rsidRPr="00524655">
        <w:rPr>
          <w:rFonts w:ascii="Tahoma" w:hAnsi="Tahoma" w:cs="Tahoma"/>
          <w:color w:val="000000"/>
        </w:rPr>
        <w:t xml:space="preserve">, jeśli okresy składkowe i nieskładkowe wymienione w art. 5–7 lub obliczone z uwzględnieniem zasad przewidzianych w ust. 3, są krótsze od okresów wymaganych do nabycia prawa do podwyższenia emerytury do kwoty emerytury minimalnej. </w:t>
      </w:r>
      <w:r w:rsidR="00982DF2" w:rsidRPr="00524655">
        <w:rPr>
          <w:rFonts w:ascii="Tahoma" w:hAnsi="Tahoma" w:cs="Tahoma"/>
          <w:color w:val="000000"/>
        </w:rPr>
        <w:t xml:space="preserve">Projekt zakłada więc, że okresy te, które przypadły po </w:t>
      </w:r>
      <w:r w:rsidR="00C25A03" w:rsidRPr="00524655">
        <w:rPr>
          <w:rFonts w:ascii="Tahoma" w:hAnsi="Tahoma" w:cs="Tahoma"/>
          <w:color w:val="000000"/>
        </w:rPr>
        <w:t xml:space="preserve">1 stycznia 1999 r., </w:t>
      </w:r>
      <w:r w:rsidR="00982DF2" w:rsidRPr="00524655">
        <w:rPr>
          <w:rFonts w:ascii="Tahoma" w:hAnsi="Tahoma" w:cs="Tahoma"/>
          <w:color w:val="000000"/>
        </w:rPr>
        <w:t>dla celów ustalenia prawa do podwyższenia emerytury do emerytury minimalnej</w:t>
      </w:r>
      <w:r w:rsidR="00C25A03" w:rsidRPr="00524655">
        <w:rPr>
          <w:rFonts w:ascii="Tahoma" w:hAnsi="Tahoma" w:cs="Tahoma"/>
          <w:color w:val="000000"/>
        </w:rPr>
        <w:t>,</w:t>
      </w:r>
      <w:r w:rsidR="00982DF2" w:rsidRPr="00524655">
        <w:rPr>
          <w:rFonts w:ascii="Tahoma" w:hAnsi="Tahoma" w:cs="Tahoma"/>
          <w:color w:val="000000"/>
        </w:rPr>
        <w:t xml:space="preserve"> będą uwzględniane </w:t>
      </w:r>
      <w:r w:rsidR="00C25A03" w:rsidRPr="00524655">
        <w:rPr>
          <w:rFonts w:ascii="Tahoma" w:hAnsi="Tahoma" w:cs="Tahoma"/>
          <w:color w:val="000000"/>
        </w:rPr>
        <w:t xml:space="preserve">w taki sam sposób jak okresy przebyte przed tą datą. </w:t>
      </w:r>
    </w:p>
    <w:p w14:paraId="3319CFFB" w14:textId="004CA921" w:rsidR="001F0A9F" w:rsidRPr="00524655" w:rsidRDefault="001F0A9F" w:rsidP="00F30C5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1AE0F9F5" w14:textId="11D948ED" w:rsidR="008F7A1B" w:rsidRPr="00524655" w:rsidRDefault="001F0A9F" w:rsidP="001D666D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524655">
        <w:rPr>
          <w:rFonts w:ascii="Tahoma" w:hAnsi="Tahoma" w:cs="Tahoma"/>
          <w:color w:val="000000"/>
        </w:rPr>
        <w:t xml:space="preserve">Projektowana ustawa określa także dowody, za pomocą których organ rentowy ustala okresy </w:t>
      </w:r>
      <w:r w:rsidRPr="00524655">
        <w:rPr>
          <w:rFonts w:ascii="Tahoma" w:hAnsi="Tahoma" w:cs="Tahoma"/>
        </w:rPr>
        <w:t xml:space="preserve">wykonywania pracy na podstawie umowy </w:t>
      </w:r>
      <w:r w:rsidRPr="00524655">
        <w:rPr>
          <w:rFonts w:ascii="Tahoma" w:hAnsi="Tahoma" w:cs="Tahoma"/>
          <w:color w:val="000000"/>
        </w:rPr>
        <w:t xml:space="preserve">zlecenia albo innej umowy o świadczenie usług, do której zgodnie z Kodeksem cywilnym stosuje się przepisy dotyczące zlecenia, które nie są okresami wymienionymi w art. 5–7 u.e.r.FUS. Są to dokumenty, </w:t>
      </w:r>
      <w:r w:rsidRPr="00524655">
        <w:rPr>
          <w:rFonts w:ascii="Tahoma" w:hAnsi="Tahoma" w:cs="Tahoma"/>
        </w:rPr>
        <w:t xml:space="preserve">w tym w szczególności – umowy, wyciągi bankowe, zaświadczenia organów administracji skarbowej, zaświadczenia zleceniodawców oraz pisma kierowane przez zleceniodawcę do zleceniobiorcy. </w:t>
      </w:r>
      <w:r w:rsidR="00C25A03" w:rsidRPr="00524655">
        <w:rPr>
          <w:rFonts w:ascii="Tahoma" w:hAnsi="Tahoma" w:cs="Tahoma"/>
        </w:rPr>
        <w:t xml:space="preserve">Regulacja ta odpowiada podstawowym zasadom rządzącym postępowaniem dowodowym w postępowaniu o świadczenia emerytalno-rentowe, tj. zasadzie zamkniętego katalogu dowodów i zasadzie preferencji dla dowodu z dokumentu. </w:t>
      </w:r>
    </w:p>
    <w:p w14:paraId="1BB06B58" w14:textId="77777777" w:rsidR="00C25A03" w:rsidRPr="00524655" w:rsidRDefault="00C25A03" w:rsidP="001D666D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0209BE4E" w14:textId="280E6B70" w:rsidR="005D50C0" w:rsidRPr="00524655" w:rsidRDefault="005D50C0" w:rsidP="005D50C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4. Przewidywane skutki społeczne, gospodarcze, finansowe i prawne</w:t>
      </w:r>
    </w:p>
    <w:p w14:paraId="5F1957E3" w14:textId="0DD6738D" w:rsidR="009A2BE1" w:rsidRPr="00524655" w:rsidRDefault="005D50C0" w:rsidP="009A2BE1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24655">
        <w:rPr>
          <w:rFonts w:ascii="Tahoma" w:hAnsi="Tahoma" w:cs="Tahoma"/>
          <w:color w:val="000000"/>
          <w:sz w:val="24"/>
          <w:szCs w:val="24"/>
        </w:rPr>
        <w:lastRenderedPageBreak/>
        <w:t>Projektowana ustawa wywoła pożądane skutk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>i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 społeczne. Będzie ona bowiem prowadzić d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>o zwiększenia możliwości zaspokajania przez emerytów podstawowych potrzeb bytowych</w:t>
      </w:r>
      <w:r w:rsidR="00C25A03" w:rsidRPr="00524655">
        <w:rPr>
          <w:rFonts w:ascii="Tahoma" w:hAnsi="Tahoma" w:cs="Tahoma"/>
          <w:color w:val="000000"/>
          <w:sz w:val="24"/>
          <w:szCs w:val="24"/>
        </w:rPr>
        <w:t xml:space="preserve">. W </w:t>
      </w:r>
      <w:r w:rsidR="00DA2F30" w:rsidRPr="00524655">
        <w:rPr>
          <w:rFonts w:ascii="Tahoma" w:hAnsi="Tahoma" w:cs="Tahoma"/>
          <w:color w:val="000000"/>
          <w:sz w:val="24"/>
          <w:szCs w:val="24"/>
        </w:rPr>
        <w:t xml:space="preserve">rezultacie </w:t>
      </w:r>
      <w:r w:rsidR="00C25A03" w:rsidRPr="00524655">
        <w:rPr>
          <w:rFonts w:ascii="Tahoma" w:hAnsi="Tahoma" w:cs="Tahoma"/>
          <w:color w:val="000000"/>
          <w:sz w:val="24"/>
          <w:szCs w:val="24"/>
        </w:rPr>
        <w:t>pozwoli ona zmniejszyć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 xml:space="preserve"> obciążeni</w:t>
      </w:r>
      <w:r w:rsidR="00DA2F30" w:rsidRPr="00524655">
        <w:rPr>
          <w:rFonts w:ascii="Tahoma" w:hAnsi="Tahoma" w:cs="Tahoma"/>
          <w:color w:val="000000"/>
          <w:sz w:val="24"/>
          <w:szCs w:val="24"/>
        </w:rPr>
        <w:t>a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>, jakie wiąż</w:t>
      </w:r>
      <w:r w:rsidR="00C25A03" w:rsidRPr="00524655">
        <w:rPr>
          <w:rFonts w:ascii="Tahoma" w:hAnsi="Tahoma" w:cs="Tahoma"/>
          <w:color w:val="000000"/>
          <w:sz w:val="24"/>
          <w:szCs w:val="24"/>
        </w:rPr>
        <w:t>ą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 xml:space="preserve"> się z pobieraniem przez </w:t>
      </w:r>
      <w:r w:rsidR="00DA2F30" w:rsidRPr="00524655">
        <w:rPr>
          <w:rFonts w:ascii="Tahoma" w:hAnsi="Tahoma" w:cs="Tahoma"/>
          <w:color w:val="000000"/>
          <w:sz w:val="24"/>
          <w:szCs w:val="24"/>
        </w:rPr>
        <w:t>nich</w:t>
      </w:r>
      <w:r w:rsidR="009A2BE1" w:rsidRPr="00524655">
        <w:rPr>
          <w:rFonts w:ascii="Tahoma" w:hAnsi="Tahoma" w:cs="Tahoma"/>
          <w:color w:val="000000"/>
          <w:sz w:val="24"/>
          <w:szCs w:val="24"/>
        </w:rPr>
        <w:t xml:space="preserve"> świadczeń poniżej emerytury minimalnej dla ich rodzin oraz systemu pomocy społecznej.</w:t>
      </w:r>
      <w:r w:rsidR="00DA2F30" w:rsidRPr="00524655">
        <w:rPr>
          <w:rFonts w:ascii="Tahoma" w:hAnsi="Tahoma" w:cs="Tahoma"/>
          <w:color w:val="000000"/>
          <w:sz w:val="24"/>
          <w:szCs w:val="24"/>
        </w:rPr>
        <w:t xml:space="preserve"> Wejście w życie projektu będzie także skutkować wzrostem zaufania do państwa i stanowionego przez nie prawa. Ograniczy ono bowiem poczucie krzywdy, jakie może odczuwać część emerytów nieposiadających prawa do emerytury minimalnej. W wielu przypadkach przyczyną tego stanu rzeczy była wadliwa polityka rynku pracy, która obejmowała daleko idącą tolerancję na obchodzenie przepisów prawa ubezpieczeń społecznych. </w:t>
      </w:r>
    </w:p>
    <w:p w14:paraId="73A74087" w14:textId="72636D61" w:rsidR="00F30C50" w:rsidRPr="00524655" w:rsidRDefault="00F30C50" w:rsidP="005D50C0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B6829A2" w14:textId="339DD329" w:rsidR="00F30C50" w:rsidRPr="00524655" w:rsidRDefault="00F30C50" w:rsidP="005D50C0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24655">
        <w:rPr>
          <w:rFonts w:ascii="Tahoma" w:hAnsi="Tahoma" w:cs="Tahoma"/>
          <w:color w:val="000000"/>
          <w:sz w:val="24"/>
          <w:szCs w:val="24"/>
        </w:rPr>
        <w:t xml:space="preserve">Projekt nie będzie miał wpływu na siły podaży i popytu na żadnym rynku. Jego wejście w życie nie będzie się również wiązać ze zmianami </w:t>
      </w:r>
      <w:r w:rsidR="00DA2F30" w:rsidRPr="00524655">
        <w:rPr>
          <w:rFonts w:ascii="Tahoma" w:hAnsi="Tahoma" w:cs="Tahoma"/>
          <w:color w:val="000000"/>
          <w:sz w:val="24"/>
          <w:szCs w:val="24"/>
        </w:rPr>
        <w:t xml:space="preserve">w </w:t>
      </w:r>
      <w:r w:rsidRPr="00524655">
        <w:rPr>
          <w:rFonts w:ascii="Tahoma" w:hAnsi="Tahoma" w:cs="Tahoma"/>
          <w:color w:val="000000"/>
          <w:sz w:val="24"/>
          <w:szCs w:val="24"/>
        </w:rPr>
        <w:t xml:space="preserve">warunkach podejmowania i wykonywania działalności gospodarczej przez przedsiębiorców. </w:t>
      </w:r>
    </w:p>
    <w:p w14:paraId="1A412AD5" w14:textId="5114E1E7" w:rsidR="00F30C50" w:rsidRPr="00524655" w:rsidRDefault="00F30C50" w:rsidP="005D50C0">
      <w:pPr>
        <w:spacing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B47A5AD" w14:textId="3D96477F" w:rsidR="00951979" w:rsidRPr="00524655" w:rsidRDefault="00F30C50" w:rsidP="009A2BE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24655">
        <w:rPr>
          <w:rFonts w:ascii="Tahoma" w:hAnsi="Tahoma" w:cs="Tahoma"/>
          <w:color w:val="000000"/>
          <w:sz w:val="24"/>
          <w:szCs w:val="24"/>
        </w:rPr>
        <w:t xml:space="preserve">Wejście w życie projektowanej ustawy spowoduje wzrost wydatków z budżetu państwa. Zgodnie z art. 87 ust. 2 u.e.r.FUS podwyższenie emerytury do kwoty emerytury minimalnej podlega refundacji </w:t>
      </w:r>
      <w:r w:rsidRPr="00524655">
        <w:rPr>
          <w:rFonts w:ascii="Tahoma" w:hAnsi="Tahoma" w:cs="Tahoma"/>
          <w:sz w:val="24"/>
          <w:szCs w:val="24"/>
        </w:rPr>
        <w:t>z budżetu państwa. Projekt zmierza zaś do poszerzenia grupy emerytów uprawnionych do takiego podwyższenia. Precyzyjne określenie w</w:t>
      </w:r>
      <w:r w:rsidR="009D7898" w:rsidRPr="00524655">
        <w:rPr>
          <w:rFonts w:ascii="Tahoma" w:hAnsi="Tahoma" w:cs="Tahoma"/>
          <w:sz w:val="24"/>
          <w:szCs w:val="24"/>
        </w:rPr>
        <w:t xml:space="preserve">ielkości wzrostu wydatków z budżetu państwa z tego tytułu nie jest możliwe. Uzależnione jest ono bowiem od liczby osób nabywających prawo do emerytury w wysokości mniejszej niż emerytura minimalna, liczby osób pobierających takie świadczenia, a przede wszystkim – liczby emerytów, którym rozwiązania przewidziane projektowaną ustawą umożliwiłyby </w:t>
      </w:r>
      <w:r w:rsidR="009A2BE1" w:rsidRPr="00524655">
        <w:rPr>
          <w:rFonts w:ascii="Tahoma" w:hAnsi="Tahoma" w:cs="Tahoma"/>
          <w:sz w:val="24"/>
          <w:szCs w:val="24"/>
        </w:rPr>
        <w:t xml:space="preserve">nabycie prawa do podwyższenia emerytury do kwoty emerytury minimalnej. Wartość ta może być indywidualnie zróżnicowana. </w:t>
      </w:r>
      <w:r w:rsidR="00951979" w:rsidRPr="00524655">
        <w:rPr>
          <w:rFonts w:ascii="Tahoma" w:hAnsi="Tahoma" w:cs="Tahoma"/>
          <w:sz w:val="24"/>
          <w:szCs w:val="24"/>
        </w:rPr>
        <w:t xml:space="preserve">W 2020 r. uprawnionych do podwyższenia emerytury do kwoty minimalnej było 228,8 tysięcy emerytów. Refundacja z budżetu państwa na ten cel wyniosła w tym roku 188,7 mln zł. Z pewną ostrożnością można szacować, że projektowane zmiany spowodują wzrost liczby osób uprawnionych do podwyższenia emerytury do kwoty minimalnej o ok. 1/3. </w:t>
      </w:r>
      <w:r w:rsidR="00B7679B" w:rsidRPr="00524655">
        <w:rPr>
          <w:rFonts w:ascii="Tahoma" w:hAnsi="Tahoma" w:cs="Tahoma"/>
          <w:sz w:val="24"/>
          <w:szCs w:val="24"/>
        </w:rPr>
        <w:t>Oznacza to</w:t>
      </w:r>
      <w:r w:rsidR="00951979" w:rsidRPr="00524655">
        <w:rPr>
          <w:rFonts w:ascii="Tahoma" w:hAnsi="Tahoma" w:cs="Tahoma"/>
          <w:sz w:val="24"/>
          <w:szCs w:val="24"/>
        </w:rPr>
        <w:t xml:space="preserve">, że kwota refundacji z budżetu państwa na podwyższenie emerytur do kwoty minimalnej </w:t>
      </w:r>
      <w:r w:rsidR="00E26241" w:rsidRPr="00524655">
        <w:rPr>
          <w:rFonts w:ascii="Tahoma" w:hAnsi="Tahoma" w:cs="Tahoma"/>
          <w:sz w:val="24"/>
          <w:szCs w:val="24"/>
        </w:rPr>
        <w:t>wzro</w:t>
      </w:r>
      <w:r w:rsidR="00B7679B" w:rsidRPr="00524655">
        <w:rPr>
          <w:rFonts w:ascii="Tahoma" w:hAnsi="Tahoma" w:cs="Tahoma"/>
          <w:sz w:val="24"/>
          <w:szCs w:val="24"/>
        </w:rPr>
        <w:t>słaby</w:t>
      </w:r>
      <w:r w:rsidR="00E26241" w:rsidRPr="00524655">
        <w:rPr>
          <w:rFonts w:ascii="Tahoma" w:hAnsi="Tahoma" w:cs="Tahoma"/>
          <w:sz w:val="24"/>
          <w:szCs w:val="24"/>
        </w:rPr>
        <w:t xml:space="preserve"> do ok. 245 mln, czyli o 56 mln zł</w:t>
      </w:r>
      <w:r w:rsidR="00B7679B" w:rsidRPr="00524655">
        <w:rPr>
          <w:rFonts w:ascii="Tahoma" w:hAnsi="Tahoma" w:cs="Tahoma"/>
          <w:sz w:val="24"/>
          <w:szCs w:val="24"/>
        </w:rPr>
        <w:t xml:space="preserve"> w skali roku. </w:t>
      </w:r>
    </w:p>
    <w:p w14:paraId="645729E9" w14:textId="77777777" w:rsidR="005D50C0" w:rsidRPr="00524655" w:rsidRDefault="005D50C0" w:rsidP="005D50C0">
      <w:pPr>
        <w:spacing w:after="0"/>
        <w:jc w:val="both"/>
        <w:rPr>
          <w:rFonts w:ascii="Tahoma" w:hAnsi="Tahoma" w:cs="Tahoma"/>
          <w:color w:val="000000"/>
        </w:rPr>
      </w:pPr>
    </w:p>
    <w:p w14:paraId="7EEFB804" w14:textId="77777777" w:rsidR="005D50C0" w:rsidRPr="00524655" w:rsidRDefault="005D50C0" w:rsidP="005D50C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5. Źródła finansowania</w:t>
      </w:r>
    </w:p>
    <w:p w14:paraId="0E4D325D" w14:textId="62F257ED" w:rsidR="005D50C0" w:rsidRPr="00524655" w:rsidRDefault="008C1CF0" w:rsidP="00BD04F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524655">
        <w:rPr>
          <w:rFonts w:ascii="Tahoma" w:hAnsi="Tahoma" w:cs="Tahoma"/>
          <w:color w:val="000000"/>
        </w:rPr>
        <w:t xml:space="preserve">Zgodnie z art. 87 ust. 2 u.e.r.FUS podwyższenie emerytury do kwoty emerytury minimalnej </w:t>
      </w:r>
      <w:r w:rsidR="00BD04F4" w:rsidRPr="00524655">
        <w:rPr>
          <w:rFonts w:ascii="Tahoma" w:hAnsi="Tahoma" w:cs="Tahoma"/>
          <w:color w:val="000000"/>
        </w:rPr>
        <w:t xml:space="preserve">podlega refundacji </w:t>
      </w:r>
      <w:r w:rsidR="00BD04F4" w:rsidRPr="00524655">
        <w:rPr>
          <w:rFonts w:ascii="Tahoma" w:hAnsi="Tahoma" w:cs="Tahoma"/>
        </w:rPr>
        <w:t xml:space="preserve">z budżetu państwa. Źródłem finansowania rozwiązań przewidzianych w projektowanej ustawie będzie więc budżet państwa </w:t>
      </w:r>
      <w:r w:rsidR="00F30C50" w:rsidRPr="00524655">
        <w:rPr>
          <w:rFonts w:ascii="Tahoma" w:hAnsi="Tahoma" w:cs="Tahoma"/>
        </w:rPr>
        <w:t>(</w:t>
      </w:r>
      <w:r w:rsidR="00BD04F4" w:rsidRPr="00524655">
        <w:rPr>
          <w:rFonts w:ascii="Tahoma" w:hAnsi="Tahoma" w:cs="Tahoma"/>
        </w:rPr>
        <w:t xml:space="preserve">część budżetowa 44 </w:t>
      </w:r>
      <w:r w:rsidR="00F30C50" w:rsidRPr="00524655">
        <w:rPr>
          <w:rFonts w:ascii="Tahoma" w:hAnsi="Tahoma" w:cs="Tahoma"/>
        </w:rPr>
        <w:t xml:space="preserve">– </w:t>
      </w:r>
      <w:r w:rsidR="00BD04F4" w:rsidRPr="00524655">
        <w:rPr>
          <w:rFonts w:ascii="Tahoma" w:hAnsi="Tahoma" w:cs="Tahoma"/>
        </w:rPr>
        <w:t>Zabezpieczenie społeczne</w:t>
      </w:r>
      <w:r w:rsidR="00F30C50" w:rsidRPr="00524655">
        <w:rPr>
          <w:rFonts w:ascii="Tahoma" w:hAnsi="Tahoma" w:cs="Tahoma"/>
        </w:rPr>
        <w:t>)</w:t>
      </w:r>
      <w:r w:rsidR="001D666D" w:rsidRPr="00524655">
        <w:rPr>
          <w:rFonts w:ascii="Tahoma" w:hAnsi="Tahoma" w:cs="Tahoma"/>
        </w:rPr>
        <w:t>.</w:t>
      </w:r>
    </w:p>
    <w:p w14:paraId="5E30D83D" w14:textId="6105B5E1" w:rsidR="001D666D" w:rsidRPr="00524655" w:rsidRDefault="001D666D" w:rsidP="00BD04F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6D79A0A6" w14:textId="555070F3" w:rsidR="005D50C0" w:rsidRPr="00524655" w:rsidRDefault="005D50C0" w:rsidP="008D3A21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 xml:space="preserve">6. Założenia podstawowych aktów wykonawczych </w:t>
      </w:r>
    </w:p>
    <w:p w14:paraId="5CED3F6B" w14:textId="14913F57" w:rsidR="0036062F" w:rsidRPr="00524655" w:rsidRDefault="005D50C0" w:rsidP="00BD04F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>Projekt nie przewiduje upoważnień do wydania aktów wykonawczych</w:t>
      </w:r>
      <w:r w:rsidR="00BD04F4" w:rsidRPr="00524655">
        <w:rPr>
          <w:rFonts w:ascii="Tahoma" w:hAnsi="Tahoma" w:cs="Tahoma"/>
          <w:color w:val="000000"/>
        </w:rPr>
        <w:t xml:space="preserve">. </w:t>
      </w:r>
    </w:p>
    <w:p w14:paraId="34C763BC" w14:textId="77777777" w:rsidR="005D50C0" w:rsidRPr="00524655" w:rsidRDefault="005D50C0" w:rsidP="005D50C0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b/>
          <w:bCs/>
          <w:color w:val="000000"/>
        </w:rPr>
      </w:pPr>
    </w:p>
    <w:p w14:paraId="11F3F437" w14:textId="0A0A0581" w:rsidR="005D50C0" w:rsidRPr="00524655" w:rsidRDefault="005D50C0" w:rsidP="008D3A21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7. Oświadczenie o zgodności projektu ustawy z prawem Unii Europejskiej albo oświadczenie, że przedmiot projektowanej regulacji nie jest objęty prawem Unii Europejskiej</w:t>
      </w:r>
    </w:p>
    <w:p w14:paraId="51280D65" w14:textId="6DF9148B" w:rsidR="00D069AC" w:rsidRPr="00524655" w:rsidRDefault="005D50C0" w:rsidP="0036062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 xml:space="preserve">Przedmiot projektowanej regulacji nie jest objęty prawem Unii Europejskiej. </w:t>
      </w:r>
    </w:p>
    <w:p w14:paraId="07960213" w14:textId="20DA43D5" w:rsidR="0091167E" w:rsidRPr="00524655" w:rsidRDefault="0091167E" w:rsidP="0036062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0AA7C96B" w14:textId="3D81D691" w:rsidR="008C1CF0" w:rsidRPr="00524655" w:rsidRDefault="0091167E" w:rsidP="008D3A21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524655">
        <w:rPr>
          <w:rFonts w:ascii="Tahoma" w:hAnsi="Tahoma" w:cs="Tahoma"/>
          <w:b/>
          <w:bCs/>
          <w:color w:val="000000"/>
        </w:rPr>
        <w:t>8. Konsultacje społeczne</w:t>
      </w:r>
    </w:p>
    <w:p w14:paraId="1F3CBCAE" w14:textId="7B580A8B" w:rsidR="0091167E" w:rsidRPr="00524655" w:rsidRDefault="008C1CF0" w:rsidP="00DA2F3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>Projekt nie został poddany konsultacjom społecznym.</w:t>
      </w:r>
    </w:p>
    <w:sectPr w:rsidR="0091167E" w:rsidRPr="005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A3B79"/>
    <w:multiLevelType w:val="multilevel"/>
    <w:tmpl w:val="BF4E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C0"/>
    <w:rsid w:val="00023F35"/>
    <w:rsid w:val="00030E1D"/>
    <w:rsid w:val="00055825"/>
    <w:rsid w:val="000A6328"/>
    <w:rsid w:val="000C329B"/>
    <w:rsid w:val="00146A70"/>
    <w:rsid w:val="001C2A1F"/>
    <w:rsid w:val="001D666D"/>
    <w:rsid w:val="001F0A9F"/>
    <w:rsid w:val="003139BB"/>
    <w:rsid w:val="0032454E"/>
    <w:rsid w:val="0036062F"/>
    <w:rsid w:val="0037500F"/>
    <w:rsid w:val="0040008B"/>
    <w:rsid w:val="00422D34"/>
    <w:rsid w:val="00524655"/>
    <w:rsid w:val="0054731B"/>
    <w:rsid w:val="00573496"/>
    <w:rsid w:val="005C2F76"/>
    <w:rsid w:val="005D50C0"/>
    <w:rsid w:val="00641E2C"/>
    <w:rsid w:val="00643203"/>
    <w:rsid w:val="00663F4E"/>
    <w:rsid w:val="006A57B5"/>
    <w:rsid w:val="006A69A7"/>
    <w:rsid w:val="00703EC5"/>
    <w:rsid w:val="007316E4"/>
    <w:rsid w:val="008242DD"/>
    <w:rsid w:val="008C1CF0"/>
    <w:rsid w:val="008D3A21"/>
    <w:rsid w:val="008F7A1B"/>
    <w:rsid w:val="0091167E"/>
    <w:rsid w:val="009322E2"/>
    <w:rsid w:val="00951979"/>
    <w:rsid w:val="00982DF2"/>
    <w:rsid w:val="009A2BE1"/>
    <w:rsid w:val="009D032C"/>
    <w:rsid w:val="009D7898"/>
    <w:rsid w:val="009F7D63"/>
    <w:rsid w:val="00A019FB"/>
    <w:rsid w:val="00A40D7B"/>
    <w:rsid w:val="00A6489B"/>
    <w:rsid w:val="00AC665F"/>
    <w:rsid w:val="00AF5B2A"/>
    <w:rsid w:val="00B0269B"/>
    <w:rsid w:val="00B059A0"/>
    <w:rsid w:val="00B12345"/>
    <w:rsid w:val="00B20EBD"/>
    <w:rsid w:val="00B26E58"/>
    <w:rsid w:val="00B41EE4"/>
    <w:rsid w:val="00B7679B"/>
    <w:rsid w:val="00BD04F4"/>
    <w:rsid w:val="00C010D1"/>
    <w:rsid w:val="00C25A03"/>
    <w:rsid w:val="00CC6539"/>
    <w:rsid w:val="00CF4B03"/>
    <w:rsid w:val="00D069AC"/>
    <w:rsid w:val="00D3255E"/>
    <w:rsid w:val="00D41C9B"/>
    <w:rsid w:val="00D42BFF"/>
    <w:rsid w:val="00D5135C"/>
    <w:rsid w:val="00D95FDD"/>
    <w:rsid w:val="00DA2F30"/>
    <w:rsid w:val="00DA446B"/>
    <w:rsid w:val="00DB0B39"/>
    <w:rsid w:val="00DB539A"/>
    <w:rsid w:val="00DE5E14"/>
    <w:rsid w:val="00E26241"/>
    <w:rsid w:val="00E53B3E"/>
    <w:rsid w:val="00F02A77"/>
    <w:rsid w:val="00F30C50"/>
    <w:rsid w:val="00F6363D"/>
    <w:rsid w:val="00F664E3"/>
    <w:rsid w:val="00FC621F"/>
    <w:rsid w:val="00F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4DFE"/>
  <w15:chartTrackingRefBased/>
  <w15:docId w15:val="{00E0917B-01DB-4255-BFB5-A37A950B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50C0"/>
    <w:pPr>
      <w:spacing w:line="256" w:lineRule="auto"/>
    </w:p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0C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5D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2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2076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3</cp:revision>
  <dcterms:created xsi:type="dcterms:W3CDTF">2021-04-21T10:36:00Z</dcterms:created>
  <dcterms:modified xsi:type="dcterms:W3CDTF">2021-12-08T16:11:00Z</dcterms:modified>
</cp:coreProperties>
</file>