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CFA99B" w14:textId="436E8140" w:rsidR="008F1F7E" w:rsidRPr="00585C34" w:rsidRDefault="00374B8F" w:rsidP="00F57A19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5C34">
        <w:rPr>
          <w:rFonts w:ascii="Tahoma" w:hAnsi="Tahoma" w:cs="Tahoma"/>
          <w:b/>
          <w:bCs/>
          <w:sz w:val="24"/>
          <w:szCs w:val="24"/>
        </w:rPr>
        <w:t>Uzasadnienie</w:t>
      </w:r>
    </w:p>
    <w:p w14:paraId="5B48680E" w14:textId="77777777" w:rsidR="0082781E" w:rsidRPr="00D60FC2" w:rsidRDefault="0082781E" w:rsidP="00270578">
      <w:pPr>
        <w:spacing w:after="0" w:line="360" w:lineRule="auto"/>
        <w:jc w:val="center"/>
        <w:rPr>
          <w:rFonts w:ascii="Tahoma" w:hAnsi="Tahoma" w:cs="Tahoma"/>
          <w:sz w:val="24"/>
          <w:szCs w:val="24"/>
          <w:u w:val="single"/>
        </w:rPr>
      </w:pPr>
    </w:p>
    <w:p w14:paraId="607F7D04" w14:textId="4DAF5360" w:rsidR="00D60FC2" w:rsidRPr="001124DD" w:rsidRDefault="00D60FC2" w:rsidP="00270578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270578">
        <w:rPr>
          <w:rFonts w:ascii="Tahoma" w:hAnsi="Tahoma" w:cs="Tahoma"/>
          <w:sz w:val="24"/>
          <w:szCs w:val="24"/>
        </w:rPr>
        <w:t xml:space="preserve">Projekt ustawy o zmianie ustawy – Prawo energetyczne ma na celu umożliwienie ustalania cen rynkowych paliwa gazowego w postaci gazu ziemnego zaazotowanego. Ze względu bowiem na swój lokalny charakter ograniczony miejscami jego wydobycia, rynek ten jest podatny na nadużywanie pozycji dominującej przez przedsiębiorstwa zajmujące się jego wydobyciem, w szczególności w zakresie niekonkurencyjnego trybu ustalania ceny tego paliwa. W konsekwencji ze względu na konieczność ochrony odbiorców końcowych w gospodarstwach domowych, którzy zmuszeni są korzystać </w:t>
      </w:r>
      <w:r w:rsidR="00A144A5">
        <w:rPr>
          <w:rFonts w:ascii="Tahoma" w:hAnsi="Tahoma" w:cs="Tahoma"/>
          <w:sz w:val="24"/>
          <w:szCs w:val="24"/>
        </w:rPr>
        <w:br/>
      </w:r>
      <w:r w:rsidRPr="00270578">
        <w:rPr>
          <w:rFonts w:ascii="Tahoma" w:hAnsi="Tahoma" w:cs="Tahoma"/>
          <w:sz w:val="24"/>
          <w:szCs w:val="24"/>
        </w:rPr>
        <w:t xml:space="preserve">z lokalnych dostaw gazu ziemnego zaazotowanego niezbędne jest wprowadzenia takich rozwiązań prawnych, które umożliwią ustalenie rynkowej wartości tego rodzaju paliwa gazowego, który stanowi odrębny rynek od regulowanego ogólnokrajowego rynku </w:t>
      </w:r>
      <w:r w:rsidRPr="001124DD">
        <w:rPr>
          <w:rFonts w:ascii="Tahoma" w:hAnsi="Tahoma" w:cs="Tahoma"/>
          <w:sz w:val="24"/>
          <w:szCs w:val="24"/>
        </w:rPr>
        <w:t>gazu ziemnego wysokometanowego.</w:t>
      </w:r>
    </w:p>
    <w:p w14:paraId="15EBFF23" w14:textId="5C120792" w:rsidR="00D60FC2" w:rsidRPr="001124DD" w:rsidRDefault="00D60FC2" w:rsidP="00270578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1124DD">
        <w:rPr>
          <w:rFonts w:ascii="Tahoma" w:hAnsi="Tahoma" w:cs="Tahoma"/>
          <w:sz w:val="24"/>
          <w:szCs w:val="24"/>
        </w:rPr>
        <w:t xml:space="preserve">W tym zakresie proponuje się wprowadzenia dwóch komplementarnych </w:t>
      </w:r>
      <w:r w:rsidR="00A144A5">
        <w:rPr>
          <w:rFonts w:ascii="Tahoma" w:hAnsi="Tahoma" w:cs="Tahoma"/>
          <w:sz w:val="24"/>
          <w:szCs w:val="24"/>
        </w:rPr>
        <w:br/>
      </w:r>
      <w:r w:rsidRPr="001124DD">
        <w:rPr>
          <w:rFonts w:ascii="Tahoma" w:hAnsi="Tahoma" w:cs="Tahoma"/>
          <w:sz w:val="24"/>
          <w:szCs w:val="24"/>
        </w:rPr>
        <w:t xml:space="preserve">i uzupełniających się rozwiązań prawnych. Pierwsze z nich polega na objęciu obligiem giełdowym określonej ilości wydobywanego gazu zimnego zaazotowanego tak, aby obrót tym paliwem w przeważającej części był dokonywany w ramach transparentnych zasad giełdowych (za pośrednictwem TGE), a nie w ramach niejawnych dla uczestników rynku bilateralnych umów typu OTC (rynek hurtowy pozagiełdowy, ang. </w:t>
      </w:r>
      <w:r w:rsidRPr="001124DD">
        <w:rPr>
          <w:rFonts w:ascii="Tahoma" w:hAnsi="Tahoma" w:cs="Tahoma"/>
          <w:i/>
          <w:sz w:val="24"/>
          <w:szCs w:val="24"/>
        </w:rPr>
        <w:t>over the counter</w:t>
      </w:r>
      <w:r w:rsidRPr="001124DD">
        <w:rPr>
          <w:rFonts w:ascii="Tahoma" w:hAnsi="Tahoma" w:cs="Tahoma"/>
          <w:sz w:val="24"/>
          <w:szCs w:val="24"/>
        </w:rPr>
        <w:t xml:space="preserve">). Wykorzystanie mechanizmu obliga giełdowego w zakresie części wydobywanego gazu ziemnego zaazotowanego w znaczny sposób ograniczy możliwość różnicowania warunków handlowych w stosunku do przedsiębiorstw energetycznych zajmujących się obrotem tym paliwem, które są powiązane  kapitałowo bądź nie </w:t>
      </w:r>
      <w:r w:rsidR="00A144A5">
        <w:rPr>
          <w:rFonts w:ascii="Tahoma" w:hAnsi="Tahoma" w:cs="Tahoma"/>
          <w:sz w:val="24"/>
          <w:szCs w:val="24"/>
        </w:rPr>
        <w:br/>
      </w:r>
      <w:r w:rsidRPr="001124DD">
        <w:rPr>
          <w:rFonts w:ascii="Tahoma" w:hAnsi="Tahoma" w:cs="Tahoma"/>
          <w:sz w:val="24"/>
          <w:szCs w:val="24"/>
        </w:rPr>
        <w:t>z przedsiębiorstwem zajmującym się jego wydobyciem na terytorium  Rzeczpospolitej Polskiej.</w:t>
      </w:r>
    </w:p>
    <w:p w14:paraId="19A79EC9" w14:textId="0C0C1A9A" w:rsidR="00D60FC2" w:rsidRPr="001124DD" w:rsidRDefault="00D60FC2" w:rsidP="00270578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1124DD">
        <w:rPr>
          <w:rFonts w:ascii="Tahoma" w:hAnsi="Tahoma" w:cs="Tahoma"/>
          <w:sz w:val="24"/>
          <w:szCs w:val="24"/>
        </w:rPr>
        <w:t xml:space="preserve">Uzupełniająco, w stosunku do pozostałej części wydobywanego gazu zimnego zaazotowanego proponuje się, aby przedsiębiorstwu zintegrowanemu pionowo, </w:t>
      </w:r>
      <w:r w:rsidR="00A144A5">
        <w:rPr>
          <w:rFonts w:ascii="Tahoma" w:hAnsi="Tahoma" w:cs="Tahoma"/>
          <w:sz w:val="24"/>
          <w:szCs w:val="24"/>
        </w:rPr>
        <w:br/>
      </w:r>
      <w:r w:rsidRPr="001124DD">
        <w:rPr>
          <w:rFonts w:ascii="Tahoma" w:hAnsi="Tahoma" w:cs="Tahoma"/>
          <w:sz w:val="24"/>
          <w:szCs w:val="24"/>
        </w:rPr>
        <w:t xml:space="preserve">o którym mowa w art. 9d ust. 7 pkt 3, umożliwić administracyjne ustalenie ceny zakupu gazu zimnego zaazotowanego na rynku hurtowym tożsamej z ceną uzyskiwaną przez spółkę obrotu powiązaną kapitałowo z przedsiębiorstwem zajmującym się wydobyciem tego gazu. Ze względu bowiem na konieczność ochrony odbiorców końcowych </w:t>
      </w:r>
      <w:r w:rsidR="00A144A5">
        <w:rPr>
          <w:rFonts w:ascii="Tahoma" w:hAnsi="Tahoma" w:cs="Tahoma"/>
          <w:sz w:val="24"/>
          <w:szCs w:val="24"/>
        </w:rPr>
        <w:br/>
      </w:r>
      <w:r w:rsidRPr="001124DD">
        <w:rPr>
          <w:rFonts w:ascii="Tahoma" w:hAnsi="Tahoma" w:cs="Tahoma"/>
          <w:sz w:val="24"/>
          <w:szCs w:val="24"/>
        </w:rPr>
        <w:lastRenderedPageBreak/>
        <w:t>w gospodarstwa domowych, których potrzeby energetyczne ze względu na lokalne uwarunkowania techniczne zaspokajane są przez mniejsze przedsiębiorstwa, a więc takie, które mają mniej niż sto tysięcy odbiorców przyłączonych do systemu dystrybucyjnego gazowego wchodzącego w skład tego przedsiębiorstwa oraz których sprzedaż paliw gazowych w ciągu roku nie przekracza 150 mln m</w:t>
      </w:r>
      <w:r w:rsidRPr="001124DD">
        <w:rPr>
          <w:rFonts w:ascii="Tahoma" w:hAnsi="Tahoma" w:cs="Tahoma"/>
          <w:sz w:val="24"/>
          <w:szCs w:val="24"/>
          <w:vertAlign w:val="superscript"/>
        </w:rPr>
        <w:t>3</w:t>
      </w:r>
      <w:r w:rsidRPr="001124DD">
        <w:rPr>
          <w:rFonts w:ascii="Tahoma" w:hAnsi="Tahoma" w:cs="Tahoma"/>
          <w:sz w:val="24"/>
          <w:szCs w:val="24"/>
        </w:rPr>
        <w:t xml:space="preserve">, należy doprowadzić do sytuacji, w której cena nabycia gazu zimnego zaazotowanego na rynku hurtowym powinna być na porównywalnym poziomie dla wszystkich uczestników rynku. Chodzi więc o wprowadzenie mechanizmu o charakterze administracyjnoprawnym, który </w:t>
      </w:r>
      <w:r w:rsidR="00A144A5">
        <w:rPr>
          <w:rFonts w:ascii="Tahoma" w:hAnsi="Tahoma" w:cs="Tahoma"/>
          <w:sz w:val="24"/>
          <w:szCs w:val="24"/>
        </w:rPr>
        <w:br/>
      </w:r>
      <w:r w:rsidRPr="001124DD">
        <w:rPr>
          <w:rFonts w:ascii="Tahoma" w:hAnsi="Tahoma" w:cs="Tahoma"/>
          <w:sz w:val="24"/>
          <w:szCs w:val="24"/>
        </w:rPr>
        <w:t xml:space="preserve">na wniosek przedsiębiorstwu zintegrowanemu pionowo, o którym mowa w art. 9d </w:t>
      </w:r>
      <w:r w:rsidR="00A144A5">
        <w:rPr>
          <w:rFonts w:ascii="Tahoma" w:hAnsi="Tahoma" w:cs="Tahoma"/>
          <w:sz w:val="24"/>
          <w:szCs w:val="24"/>
        </w:rPr>
        <w:br/>
      </w:r>
      <w:r w:rsidRPr="001124DD">
        <w:rPr>
          <w:rFonts w:ascii="Tahoma" w:hAnsi="Tahoma" w:cs="Tahoma"/>
          <w:sz w:val="24"/>
          <w:szCs w:val="24"/>
        </w:rPr>
        <w:t xml:space="preserve">ust. 7 pkt 3 umożliwi zastosowanie ceny sprzedaży gazu zimnego zaazotowanego na porównywalnym poziomie </w:t>
      </w:r>
    </w:p>
    <w:p w14:paraId="4E8339EB" w14:textId="68BBEDA3" w:rsidR="00D60FC2" w:rsidRPr="001124DD" w:rsidRDefault="00D60FC2" w:rsidP="00270578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1124DD">
        <w:rPr>
          <w:rFonts w:ascii="Tahoma" w:hAnsi="Tahoma" w:cs="Tahoma"/>
          <w:sz w:val="24"/>
          <w:szCs w:val="24"/>
        </w:rPr>
        <w:t>Poziom ten będzie wskazywany przez Prezesa URE na podstawie danych uzyskanych w trakcie zatwierdzania taryfy d</w:t>
      </w:r>
      <w:r w:rsidR="00001D94" w:rsidRPr="001124DD">
        <w:rPr>
          <w:rFonts w:ascii="Tahoma" w:hAnsi="Tahoma" w:cs="Tahoma"/>
          <w:sz w:val="24"/>
          <w:szCs w:val="24"/>
        </w:rPr>
        <w:t>la</w:t>
      </w:r>
      <w:r w:rsidRPr="001124DD">
        <w:rPr>
          <w:rFonts w:ascii="Tahoma" w:hAnsi="Tahoma" w:cs="Tahoma"/>
          <w:sz w:val="24"/>
          <w:szCs w:val="24"/>
        </w:rPr>
        <w:t xml:space="preserve"> poszczególnych rodzajów gazu zimnego zaazotowanego dla przedsiębiorstwa innego niż wskazane w art. 9d ust. 7 pkt 3, a więc tego, które jest powiązane kapitałowo z przedsiębiorstwem wydobywającym poszczególne rodzaje gazu zimnego zaazotowanego. </w:t>
      </w:r>
    </w:p>
    <w:p w14:paraId="1B51CF5B" w14:textId="0C986A9F" w:rsidR="00D60FC2" w:rsidRPr="001124DD" w:rsidRDefault="00D60FC2" w:rsidP="00270578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1124DD">
        <w:rPr>
          <w:rFonts w:ascii="Tahoma" w:hAnsi="Tahoma" w:cs="Tahoma"/>
          <w:sz w:val="24"/>
          <w:szCs w:val="24"/>
        </w:rPr>
        <w:t xml:space="preserve">W konsekwencji konkurencja przedsiębiorstw energetycznych zajmujących się obrotem gazem ziemnym zaazotowanym będzie dotyczyła wszelkich pozostałych uzasadnionych kosztów prowadzenia działalności gospodarczej. </w:t>
      </w:r>
    </w:p>
    <w:p w14:paraId="00C00B35" w14:textId="627AAF31" w:rsidR="00D60FC2" w:rsidRPr="001124DD" w:rsidRDefault="00D60FC2" w:rsidP="00D60FC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415F78" w14:textId="61BB9FB4" w:rsidR="00001D94" w:rsidRPr="001124DD" w:rsidRDefault="00D60FC2" w:rsidP="00D60FC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1124DD">
        <w:rPr>
          <w:rFonts w:ascii="Tahoma" w:hAnsi="Tahoma" w:cs="Tahoma"/>
          <w:sz w:val="24"/>
          <w:szCs w:val="24"/>
        </w:rPr>
        <w:t xml:space="preserve">Wejście w życie projektowanych przepisów </w:t>
      </w:r>
      <w:r w:rsidR="00270578" w:rsidRPr="001124DD">
        <w:rPr>
          <w:rFonts w:ascii="Tahoma" w:hAnsi="Tahoma" w:cs="Tahoma"/>
          <w:sz w:val="24"/>
          <w:szCs w:val="24"/>
        </w:rPr>
        <w:t xml:space="preserve">będzie miało pozytywne skutki społeczne ponieważ przyczyni się do </w:t>
      </w:r>
      <w:r w:rsidR="003D3B33" w:rsidRPr="001124DD">
        <w:rPr>
          <w:rFonts w:ascii="Tahoma" w:hAnsi="Tahoma" w:cs="Tahoma"/>
          <w:sz w:val="24"/>
          <w:szCs w:val="24"/>
        </w:rPr>
        <w:t xml:space="preserve">ustalenia jednolitych cen </w:t>
      </w:r>
      <w:r w:rsidR="00270578" w:rsidRPr="001124DD">
        <w:rPr>
          <w:rFonts w:ascii="Tahoma" w:hAnsi="Tahoma" w:cs="Tahoma"/>
          <w:sz w:val="24"/>
          <w:szCs w:val="24"/>
        </w:rPr>
        <w:t>gazu</w:t>
      </w:r>
      <w:r w:rsidR="003D3B33" w:rsidRPr="001124DD">
        <w:rPr>
          <w:rFonts w:ascii="Tahoma" w:hAnsi="Tahoma" w:cs="Tahoma"/>
          <w:sz w:val="24"/>
          <w:szCs w:val="24"/>
        </w:rPr>
        <w:t xml:space="preserve"> </w:t>
      </w:r>
      <w:r w:rsidR="001124DD" w:rsidRPr="001124DD">
        <w:rPr>
          <w:rFonts w:ascii="Tahoma" w:hAnsi="Tahoma" w:cs="Tahoma"/>
          <w:sz w:val="24"/>
          <w:szCs w:val="24"/>
        </w:rPr>
        <w:t>dla gospodarstw</w:t>
      </w:r>
      <w:r w:rsidR="00001D94" w:rsidRPr="001124DD">
        <w:rPr>
          <w:rFonts w:ascii="Tahoma" w:hAnsi="Tahoma" w:cs="Tahoma"/>
          <w:sz w:val="24"/>
          <w:szCs w:val="24"/>
        </w:rPr>
        <w:t xml:space="preserve"> domow</w:t>
      </w:r>
      <w:r w:rsidR="001124DD" w:rsidRPr="001124DD">
        <w:rPr>
          <w:rFonts w:ascii="Tahoma" w:hAnsi="Tahoma" w:cs="Tahoma"/>
          <w:sz w:val="24"/>
          <w:szCs w:val="24"/>
        </w:rPr>
        <w:t>ych</w:t>
      </w:r>
      <w:r w:rsidR="00001D94" w:rsidRPr="001124DD">
        <w:rPr>
          <w:rFonts w:ascii="Tahoma" w:hAnsi="Tahoma" w:cs="Tahoma"/>
          <w:sz w:val="24"/>
          <w:szCs w:val="24"/>
        </w:rPr>
        <w:t xml:space="preserve"> będące odbiorcami końcowymi gazu zmiennego zaazotowaneg</w:t>
      </w:r>
      <w:r w:rsidR="00585C34" w:rsidRPr="001124DD">
        <w:rPr>
          <w:rFonts w:ascii="Tahoma" w:hAnsi="Tahoma" w:cs="Tahoma"/>
          <w:sz w:val="24"/>
          <w:szCs w:val="24"/>
        </w:rPr>
        <w:t>o</w:t>
      </w:r>
      <w:r w:rsidR="006838AA" w:rsidRPr="006838AA">
        <w:rPr>
          <w:rFonts w:ascii="Tahoma" w:hAnsi="Tahoma" w:cs="Tahoma"/>
          <w:sz w:val="24"/>
          <w:szCs w:val="24"/>
        </w:rPr>
        <w:t xml:space="preserve"> </w:t>
      </w:r>
      <w:r w:rsidR="006838AA" w:rsidRPr="001124DD">
        <w:rPr>
          <w:rFonts w:ascii="Tahoma" w:hAnsi="Tahoma" w:cs="Tahoma"/>
          <w:sz w:val="24"/>
          <w:szCs w:val="24"/>
        </w:rPr>
        <w:t>na terytorium RP</w:t>
      </w:r>
      <w:r w:rsidR="001124DD" w:rsidRPr="001124DD">
        <w:rPr>
          <w:rFonts w:ascii="Tahoma" w:hAnsi="Tahoma" w:cs="Tahoma"/>
          <w:sz w:val="24"/>
          <w:szCs w:val="24"/>
        </w:rPr>
        <w:t>.</w:t>
      </w:r>
    </w:p>
    <w:p w14:paraId="3A5B36CD" w14:textId="59E1FCE2" w:rsidR="00D60FC2" w:rsidRPr="001124DD" w:rsidRDefault="00A144A5" w:rsidP="00D60FC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Wejście w życie projektu ustawy będzie miało wpływ na budżet państwa z</w:t>
      </w:r>
      <w:r w:rsidR="00D60FC2" w:rsidRPr="001124DD">
        <w:rPr>
          <w:rFonts w:ascii="Tahoma" w:hAnsi="Tahoma" w:cs="Tahoma"/>
          <w:sz w:val="24"/>
          <w:szCs w:val="24"/>
        </w:rPr>
        <w:t xml:space="preserve"> uwagi na niższe przychody z podatku VAT. Przy założeniu, że cena gazu zaazotowanego zostanie ustalona na poziomie 11 gr/kWh szacunkowe skutki finansowe wyniosą ok 100 mln zł rocznie. </w:t>
      </w:r>
    </w:p>
    <w:p w14:paraId="6A9A7E6E" w14:textId="16CF5DCD" w:rsidR="00D60FC2" w:rsidRPr="001124DD" w:rsidRDefault="00D60FC2" w:rsidP="001124DD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1124DD">
        <w:rPr>
          <w:rFonts w:ascii="Tahoma" w:hAnsi="Tahoma" w:cs="Tahoma"/>
          <w:sz w:val="24"/>
          <w:szCs w:val="24"/>
        </w:rPr>
        <w:t>Przyjęcie zaproponowanych w projekcie zmian nie doprowadzi do stanu niezgodności prawa krajowego z prawem wspólnotowym</w:t>
      </w:r>
      <w:r w:rsidR="001124DD" w:rsidRPr="001124DD">
        <w:rPr>
          <w:rFonts w:ascii="Tahoma" w:hAnsi="Tahoma" w:cs="Tahoma"/>
          <w:sz w:val="24"/>
          <w:szCs w:val="24"/>
        </w:rPr>
        <w:t>.</w:t>
      </w:r>
    </w:p>
    <w:sectPr w:rsidR="00D60FC2" w:rsidRPr="001124D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DAE55C" w14:textId="77777777" w:rsidR="00042C2D" w:rsidRDefault="00042C2D" w:rsidP="008F1F7E">
      <w:pPr>
        <w:spacing w:after="0" w:line="240" w:lineRule="auto"/>
      </w:pPr>
      <w:r>
        <w:separator/>
      </w:r>
    </w:p>
  </w:endnote>
  <w:endnote w:type="continuationSeparator" w:id="0">
    <w:p w14:paraId="0080700D" w14:textId="77777777" w:rsidR="00042C2D" w:rsidRDefault="00042C2D" w:rsidP="008F1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1065753"/>
      <w:docPartObj>
        <w:docPartGallery w:val="Page Numbers (Bottom of Page)"/>
        <w:docPartUnique/>
      </w:docPartObj>
    </w:sdtPr>
    <w:sdtEndPr/>
    <w:sdtContent>
      <w:p w14:paraId="7BE7680D" w14:textId="0BC82DB5" w:rsidR="00AF4636" w:rsidRDefault="002956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04C">
          <w:rPr>
            <w:noProof/>
          </w:rPr>
          <w:t>2</w:t>
        </w:r>
        <w:r>
          <w:fldChar w:fldCharType="end"/>
        </w:r>
      </w:p>
    </w:sdtContent>
  </w:sdt>
  <w:p w14:paraId="778FBDFE" w14:textId="77777777" w:rsidR="00AF4636" w:rsidRDefault="00042C2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5DC1ED" w14:textId="77777777" w:rsidR="00042C2D" w:rsidRDefault="00042C2D" w:rsidP="008F1F7E">
      <w:pPr>
        <w:spacing w:after="0" w:line="240" w:lineRule="auto"/>
      </w:pPr>
      <w:r>
        <w:separator/>
      </w:r>
    </w:p>
  </w:footnote>
  <w:footnote w:type="continuationSeparator" w:id="0">
    <w:p w14:paraId="63D4B676" w14:textId="77777777" w:rsidR="00042C2D" w:rsidRDefault="00042C2D" w:rsidP="008F1F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B8F"/>
    <w:rsid w:val="00001D94"/>
    <w:rsid w:val="00042C2D"/>
    <w:rsid w:val="00067556"/>
    <w:rsid w:val="001124DD"/>
    <w:rsid w:val="001304F7"/>
    <w:rsid w:val="00270578"/>
    <w:rsid w:val="0029143C"/>
    <w:rsid w:val="002956FA"/>
    <w:rsid w:val="002B2C8D"/>
    <w:rsid w:val="00374B8F"/>
    <w:rsid w:val="003D3B33"/>
    <w:rsid w:val="003E0046"/>
    <w:rsid w:val="003E7E51"/>
    <w:rsid w:val="003F05B7"/>
    <w:rsid w:val="003F738E"/>
    <w:rsid w:val="00426951"/>
    <w:rsid w:val="00453808"/>
    <w:rsid w:val="004660B5"/>
    <w:rsid w:val="004870A0"/>
    <w:rsid w:val="00487ED7"/>
    <w:rsid w:val="004A2C8B"/>
    <w:rsid w:val="005039A1"/>
    <w:rsid w:val="0056280F"/>
    <w:rsid w:val="00585C34"/>
    <w:rsid w:val="00613F0D"/>
    <w:rsid w:val="00683160"/>
    <w:rsid w:val="006838AA"/>
    <w:rsid w:val="006B5515"/>
    <w:rsid w:val="00734BB4"/>
    <w:rsid w:val="00751259"/>
    <w:rsid w:val="0076604C"/>
    <w:rsid w:val="00767CD2"/>
    <w:rsid w:val="00783589"/>
    <w:rsid w:val="007A33D2"/>
    <w:rsid w:val="007D263F"/>
    <w:rsid w:val="0082781E"/>
    <w:rsid w:val="008653AB"/>
    <w:rsid w:val="008F11B9"/>
    <w:rsid w:val="008F1F7E"/>
    <w:rsid w:val="009A7435"/>
    <w:rsid w:val="00A144A5"/>
    <w:rsid w:val="00B440B9"/>
    <w:rsid w:val="00B760D8"/>
    <w:rsid w:val="00C56BCA"/>
    <w:rsid w:val="00C955D4"/>
    <w:rsid w:val="00CB1865"/>
    <w:rsid w:val="00CB3A38"/>
    <w:rsid w:val="00D60FC2"/>
    <w:rsid w:val="00D64D1B"/>
    <w:rsid w:val="00E333BE"/>
    <w:rsid w:val="00EE7BE9"/>
    <w:rsid w:val="00F5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52271"/>
  <w15:chartTrackingRefBased/>
  <w15:docId w15:val="{F3F91996-503A-44B6-91B3-B497099E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4B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74B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74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74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4B8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1F7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1F7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F1F7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38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38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38A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38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38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Grzegorz Molesztak</cp:lastModifiedBy>
  <cp:revision>3</cp:revision>
  <dcterms:created xsi:type="dcterms:W3CDTF">2021-10-28T17:19:00Z</dcterms:created>
  <dcterms:modified xsi:type="dcterms:W3CDTF">2021-12-14T10:11:00Z</dcterms:modified>
</cp:coreProperties>
</file>