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E7DB29" w14:textId="77777777" w:rsidR="00987D7F" w:rsidRDefault="00987D7F" w:rsidP="00987D7F">
      <w:pPr>
        <w:suppressAutoHyphens/>
        <w:spacing w:after="0" w:line="240" w:lineRule="auto"/>
        <w:ind w:firstLine="360"/>
        <w:jc w:val="center"/>
        <w:rPr>
          <w:rFonts w:ascii="Times New Roman" w:hAnsi="Times New Roman"/>
          <w:b/>
          <w:sz w:val="24"/>
          <w:szCs w:val="24"/>
        </w:rPr>
      </w:pPr>
      <w:r w:rsidRPr="00EC4786">
        <w:rPr>
          <w:rFonts w:ascii="Times New Roman" w:hAnsi="Times New Roman"/>
          <w:sz w:val="24"/>
          <w:szCs w:val="24"/>
        </w:rPr>
        <w:t>UZASADNIENIE</w:t>
      </w:r>
    </w:p>
    <w:p w14:paraId="004D0736" w14:textId="1F544ED9" w:rsidR="00FE100F" w:rsidRDefault="00FE100F" w:rsidP="00EC4786">
      <w:pPr>
        <w:spacing w:before="240"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75AC6">
        <w:rPr>
          <w:rFonts w:ascii="Times New Roman" w:hAnsi="Times New Roman"/>
          <w:sz w:val="24"/>
          <w:szCs w:val="24"/>
        </w:rPr>
        <w:t>Pro</w:t>
      </w:r>
      <w:r w:rsidR="00D11DE5">
        <w:rPr>
          <w:rFonts w:ascii="Times New Roman" w:hAnsi="Times New Roman"/>
          <w:sz w:val="24"/>
          <w:szCs w:val="24"/>
        </w:rPr>
        <w:t>jektowane</w:t>
      </w:r>
      <w:r w:rsidRPr="00C75AC6">
        <w:rPr>
          <w:rFonts w:ascii="Times New Roman" w:hAnsi="Times New Roman"/>
          <w:sz w:val="24"/>
          <w:szCs w:val="24"/>
        </w:rPr>
        <w:t xml:space="preserve"> zmiany </w:t>
      </w:r>
      <w:r w:rsidR="008672E8">
        <w:rPr>
          <w:rFonts w:ascii="Times New Roman" w:hAnsi="Times New Roman"/>
          <w:sz w:val="24"/>
          <w:szCs w:val="24"/>
        </w:rPr>
        <w:t xml:space="preserve">w ustawie z </w:t>
      </w:r>
      <w:r w:rsidR="008672E8" w:rsidRPr="008672E8">
        <w:rPr>
          <w:rFonts w:ascii="Times New Roman" w:hAnsi="Times New Roman"/>
          <w:sz w:val="24"/>
          <w:szCs w:val="24"/>
        </w:rPr>
        <w:t>dnia</w:t>
      </w:r>
      <w:r w:rsidRPr="008672E8">
        <w:rPr>
          <w:rFonts w:ascii="Times New Roman" w:hAnsi="Times New Roman"/>
          <w:sz w:val="24"/>
          <w:szCs w:val="24"/>
        </w:rPr>
        <w:t xml:space="preserve"> </w:t>
      </w:r>
      <w:r w:rsidR="008672E8" w:rsidRPr="008672E8">
        <w:rPr>
          <w:rFonts w:ascii="Times New Roman" w:hAnsi="Times New Roman"/>
          <w:sz w:val="24"/>
          <w:szCs w:val="24"/>
        </w:rPr>
        <w:t xml:space="preserve">9 maja 2018 r. </w:t>
      </w:r>
      <w:r w:rsidR="008672E8" w:rsidRPr="00292B80">
        <w:rPr>
          <w:rFonts w:ascii="Times New Roman" w:hAnsi="Times New Roman"/>
          <w:sz w:val="24"/>
          <w:szCs w:val="24"/>
        </w:rPr>
        <w:t>o przetwarzaniu danych dotyczących przelotu pasażera</w:t>
      </w:r>
      <w:r w:rsidR="008672E8" w:rsidRPr="003E426B">
        <w:rPr>
          <w:rFonts w:ascii="Times New Roman" w:hAnsi="Times New Roman"/>
          <w:i/>
          <w:sz w:val="24"/>
          <w:szCs w:val="24"/>
        </w:rPr>
        <w:t xml:space="preserve"> </w:t>
      </w:r>
      <w:r w:rsidR="008672E8" w:rsidRPr="008672E8">
        <w:rPr>
          <w:rFonts w:ascii="Times New Roman" w:hAnsi="Times New Roman"/>
          <w:sz w:val="24"/>
          <w:szCs w:val="24"/>
        </w:rPr>
        <w:t>(Dz. U. z 2019 r. poz. 1783)</w:t>
      </w:r>
      <w:r w:rsidR="003F738F">
        <w:rPr>
          <w:rFonts w:ascii="Times New Roman" w:hAnsi="Times New Roman"/>
          <w:sz w:val="24"/>
          <w:szCs w:val="24"/>
        </w:rPr>
        <w:t>, zwanej</w:t>
      </w:r>
      <w:r w:rsidR="007B3C2F">
        <w:rPr>
          <w:rFonts w:ascii="Times New Roman" w:hAnsi="Times New Roman"/>
          <w:sz w:val="24"/>
          <w:szCs w:val="24"/>
        </w:rPr>
        <w:t xml:space="preserve"> dalej „ustawą”, </w:t>
      </w:r>
      <w:r w:rsidRPr="008672E8">
        <w:rPr>
          <w:rFonts w:ascii="Times New Roman" w:hAnsi="Times New Roman"/>
          <w:sz w:val="24"/>
          <w:szCs w:val="24"/>
        </w:rPr>
        <w:t>poz</w:t>
      </w:r>
      <w:r>
        <w:rPr>
          <w:rFonts w:ascii="Times New Roman" w:hAnsi="Times New Roman"/>
          <w:sz w:val="24"/>
          <w:szCs w:val="24"/>
        </w:rPr>
        <w:t>wolą na</w:t>
      </w:r>
      <w:r w:rsidRPr="00C75AC6">
        <w:rPr>
          <w:rFonts w:ascii="Times New Roman" w:hAnsi="Times New Roman"/>
          <w:sz w:val="24"/>
          <w:szCs w:val="24"/>
        </w:rPr>
        <w:t xml:space="preserve"> odciążenie branży lotniczej, która z uwagi na utrzymującą się pandemię wirusa SARS-CoV-2 i przyjętą z tego </w:t>
      </w:r>
      <w:r w:rsidR="00106E30">
        <w:rPr>
          <w:rFonts w:ascii="Times New Roman" w:hAnsi="Times New Roman"/>
          <w:sz w:val="24"/>
          <w:szCs w:val="24"/>
        </w:rPr>
        <w:t>powodu</w:t>
      </w:r>
      <w:r w:rsidRPr="00C75AC6">
        <w:rPr>
          <w:rFonts w:ascii="Times New Roman" w:hAnsi="Times New Roman"/>
          <w:sz w:val="24"/>
          <w:szCs w:val="24"/>
        </w:rPr>
        <w:t xml:space="preserve"> na całym świecie politykę obostrzeń, znajduje się w bardzo trudnej sytuacji finansowej. </w:t>
      </w:r>
    </w:p>
    <w:p w14:paraId="553D42C9" w14:textId="0CB82454" w:rsidR="00D239D7" w:rsidRPr="00C305E1" w:rsidRDefault="008C6E5A" w:rsidP="00D239D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FF52ED">
        <w:rPr>
          <w:rFonts w:ascii="Times New Roman" w:hAnsi="Times New Roman"/>
          <w:sz w:val="24"/>
          <w:szCs w:val="24"/>
        </w:rPr>
        <w:t xml:space="preserve">Międzynarodowe Zrzeszenie Przewoźników IATA oszacowało, że linie lotnicze w 2020 r. mogły ponieść straty </w:t>
      </w:r>
      <w:r w:rsidRPr="00C305E1">
        <w:rPr>
          <w:rFonts w:ascii="Times New Roman" w:hAnsi="Times New Roman"/>
          <w:sz w:val="24"/>
          <w:szCs w:val="24"/>
        </w:rPr>
        <w:t>sięgające</w:t>
      </w:r>
      <w:r w:rsidR="00570695" w:rsidRPr="00570695">
        <w:rPr>
          <w:rFonts w:ascii="Times New Roman" w:hAnsi="Times New Roman"/>
          <w:sz w:val="24"/>
          <w:szCs w:val="24"/>
        </w:rPr>
        <w:t xml:space="preserve"> nawet</w:t>
      </w:r>
      <w:r w:rsidRPr="00C305E1">
        <w:rPr>
          <w:rFonts w:ascii="Times New Roman" w:hAnsi="Times New Roman"/>
          <w:sz w:val="24"/>
          <w:szCs w:val="24"/>
        </w:rPr>
        <w:t xml:space="preserve"> 84,3 mln USD. Powyższe może prowadzić do problemów z utrzymaniem płynności finansowej oraz upadłości niektórych przewoźników lotniczych. Ze względu na zaistniałe okoliczności IATA apeluje o pomoc dla linii lotniczych na wielu płaszczyznach, w tym przez zawieszenie nakładania administracyjnych kar pieniężnych wynikających z niedopełnienia ustawowych obowiązków przekazywania danych PNR.</w:t>
      </w:r>
    </w:p>
    <w:p w14:paraId="0A07484F" w14:textId="53474688" w:rsidR="006856F2" w:rsidRPr="00C305E1" w:rsidRDefault="00D239D7" w:rsidP="006856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305E1">
        <w:rPr>
          <w:rFonts w:ascii="Times New Roman" w:hAnsi="Times New Roman"/>
          <w:sz w:val="24"/>
          <w:szCs w:val="24"/>
        </w:rPr>
        <w:t>Ustawa ma zastosowanie do przewoźników wykonujących loty pasażerskie, podczas których następuje przekroczenie granicy państwowej, a start albo lądowanie statku powietrznego następuje na terytorium Rzeczypospolitej Polskiej</w:t>
      </w:r>
      <w:r w:rsidR="008A44FB" w:rsidRPr="00C305E1">
        <w:rPr>
          <w:rFonts w:ascii="Times New Roman" w:hAnsi="Times New Roman"/>
          <w:sz w:val="24"/>
          <w:szCs w:val="24"/>
        </w:rPr>
        <w:t>, tym samym</w:t>
      </w:r>
      <w:r w:rsidRPr="00C305E1">
        <w:rPr>
          <w:rFonts w:ascii="Times New Roman" w:hAnsi="Times New Roman"/>
          <w:sz w:val="24"/>
          <w:szCs w:val="24"/>
        </w:rPr>
        <w:t xml:space="preserve"> implementuje </w:t>
      </w:r>
      <w:r w:rsidR="006856F2" w:rsidRPr="00C305E1">
        <w:rPr>
          <w:rFonts w:ascii="Times New Roman" w:hAnsi="Times New Roman"/>
          <w:sz w:val="24"/>
          <w:szCs w:val="24"/>
        </w:rPr>
        <w:t xml:space="preserve">do prawa krajowego dyrektywę </w:t>
      </w:r>
      <w:r w:rsidR="00570695">
        <w:rPr>
          <w:rFonts w:ascii="Times New Roman" w:hAnsi="Times New Roman"/>
          <w:sz w:val="24"/>
          <w:szCs w:val="24"/>
        </w:rPr>
        <w:t>Parlamentu Europejskiego i Rady (</w:t>
      </w:r>
      <w:r w:rsidR="006856F2" w:rsidRPr="00C305E1">
        <w:rPr>
          <w:rFonts w:ascii="Times New Roman" w:hAnsi="Times New Roman"/>
          <w:sz w:val="24"/>
          <w:szCs w:val="24"/>
        </w:rPr>
        <w:t>UE</w:t>
      </w:r>
      <w:r w:rsidR="00570695">
        <w:rPr>
          <w:rFonts w:ascii="Times New Roman" w:hAnsi="Times New Roman"/>
          <w:sz w:val="24"/>
          <w:szCs w:val="24"/>
        </w:rPr>
        <w:t>)</w:t>
      </w:r>
      <w:r w:rsidR="006856F2" w:rsidRPr="00C305E1">
        <w:rPr>
          <w:rFonts w:ascii="Times New Roman" w:hAnsi="Times New Roman"/>
          <w:sz w:val="24"/>
          <w:szCs w:val="24"/>
        </w:rPr>
        <w:t xml:space="preserve"> 2016/681 z dnia 27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="006856F2" w:rsidRPr="00C305E1">
        <w:rPr>
          <w:rFonts w:ascii="Times New Roman" w:hAnsi="Times New Roman"/>
          <w:sz w:val="24"/>
          <w:szCs w:val="24"/>
        </w:rPr>
        <w:t xml:space="preserve">kwietnia 2016 r. </w:t>
      </w:r>
      <w:r w:rsidR="006856F2" w:rsidRPr="00292B80">
        <w:rPr>
          <w:rFonts w:ascii="Times New Roman" w:hAnsi="Times New Roman"/>
          <w:sz w:val="24"/>
          <w:szCs w:val="24"/>
        </w:rPr>
        <w:t xml:space="preserve">w sprawie wykorzystywania danych dotyczących przelotu pasażera (danych PNR) w celu zapobiegania przestępstwom terrorystycznym i poważnej przestępczości, ich wykrywania, prowadzenia postępowań przygotowawczych w ich sprawie i ich ścigania </w:t>
      </w:r>
      <w:r w:rsidR="006856F2" w:rsidRPr="00C305E1">
        <w:rPr>
          <w:rFonts w:ascii="Times New Roman" w:hAnsi="Times New Roman"/>
          <w:sz w:val="24"/>
          <w:szCs w:val="24"/>
        </w:rPr>
        <w:t>(Dz. U</w:t>
      </w:r>
      <w:r w:rsidR="00E86073">
        <w:rPr>
          <w:rFonts w:ascii="Times New Roman" w:hAnsi="Times New Roman"/>
          <w:sz w:val="24"/>
          <w:szCs w:val="24"/>
        </w:rPr>
        <w:t>rz</w:t>
      </w:r>
      <w:r w:rsidR="006856F2" w:rsidRPr="00C305E1">
        <w:rPr>
          <w:rFonts w:ascii="Times New Roman" w:hAnsi="Times New Roman"/>
          <w:sz w:val="24"/>
          <w:szCs w:val="24"/>
        </w:rPr>
        <w:t>.</w:t>
      </w:r>
      <w:r w:rsidR="00CE2533">
        <w:rPr>
          <w:rFonts w:ascii="Times New Roman" w:hAnsi="Times New Roman"/>
          <w:sz w:val="24"/>
          <w:szCs w:val="24"/>
        </w:rPr>
        <w:t xml:space="preserve"> UE </w:t>
      </w:r>
      <w:r w:rsidR="006856F2" w:rsidRPr="00C305E1">
        <w:rPr>
          <w:rFonts w:ascii="Times New Roman" w:hAnsi="Times New Roman"/>
          <w:sz w:val="24"/>
          <w:szCs w:val="24"/>
        </w:rPr>
        <w:t>L</w:t>
      </w:r>
      <w:r w:rsidR="00CE2533">
        <w:rPr>
          <w:rFonts w:ascii="Times New Roman" w:hAnsi="Times New Roman"/>
          <w:sz w:val="24"/>
          <w:szCs w:val="24"/>
        </w:rPr>
        <w:t xml:space="preserve"> </w:t>
      </w:r>
      <w:r w:rsidR="006856F2" w:rsidRPr="00C305E1">
        <w:rPr>
          <w:rFonts w:ascii="Times New Roman" w:hAnsi="Times New Roman"/>
          <w:sz w:val="24"/>
          <w:szCs w:val="24"/>
        </w:rPr>
        <w:t>119</w:t>
      </w:r>
      <w:r w:rsidR="00CE2533">
        <w:rPr>
          <w:rFonts w:ascii="Times New Roman" w:hAnsi="Times New Roman"/>
          <w:sz w:val="24"/>
          <w:szCs w:val="24"/>
        </w:rPr>
        <w:t xml:space="preserve"> z 04.05.2016, str</w:t>
      </w:r>
      <w:r w:rsidR="006856F2" w:rsidRPr="00C305E1">
        <w:rPr>
          <w:rFonts w:ascii="Times New Roman" w:hAnsi="Times New Roman"/>
          <w:sz w:val="24"/>
          <w:szCs w:val="24"/>
        </w:rPr>
        <w:t>.</w:t>
      </w:r>
      <w:r w:rsidR="0014632A">
        <w:rPr>
          <w:rFonts w:ascii="Times New Roman" w:hAnsi="Times New Roman"/>
          <w:sz w:val="24"/>
          <w:szCs w:val="24"/>
        </w:rPr>
        <w:t xml:space="preserve"> </w:t>
      </w:r>
      <w:r w:rsidR="006856F2" w:rsidRPr="00C305E1">
        <w:rPr>
          <w:rFonts w:ascii="Times New Roman" w:hAnsi="Times New Roman"/>
          <w:sz w:val="24"/>
          <w:szCs w:val="24"/>
        </w:rPr>
        <w:t>132), zwaną dalej „dyrektywą”. Zgodnie z wymogami dyrektywy</w:t>
      </w:r>
      <w:r w:rsidR="002F3680" w:rsidRPr="00C305E1">
        <w:rPr>
          <w:rFonts w:ascii="Times New Roman" w:hAnsi="Times New Roman"/>
          <w:sz w:val="24"/>
          <w:szCs w:val="24"/>
        </w:rPr>
        <w:t>,</w:t>
      </w:r>
      <w:r w:rsidR="006856F2" w:rsidRPr="00C305E1">
        <w:rPr>
          <w:rFonts w:ascii="Times New Roman" w:hAnsi="Times New Roman"/>
          <w:sz w:val="24"/>
          <w:szCs w:val="24"/>
        </w:rPr>
        <w:t xml:space="preserve"> polski ustawodawca zabezpieczył wykonywanie przez przewoźników lotniczych obowiązków związanych z przekazywaniem danych dotyczących przelotu pasażera (dane PNR) do Krajowej Jednostki do spraw Informacji o Pasażerach (JIP) systemem administra</w:t>
      </w:r>
      <w:r w:rsidR="0011706D">
        <w:rPr>
          <w:rFonts w:ascii="Times New Roman" w:hAnsi="Times New Roman"/>
          <w:sz w:val="24"/>
          <w:szCs w:val="24"/>
        </w:rPr>
        <w:t>cyjnych kar pieniężnych, które – zgodnie z ustawą –</w:t>
      </w:r>
      <w:r w:rsidR="006856F2" w:rsidRPr="00C305E1">
        <w:rPr>
          <w:rFonts w:ascii="Times New Roman" w:hAnsi="Times New Roman"/>
          <w:sz w:val="24"/>
          <w:szCs w:val="24"/>
        </w:rPr>
        <w:t xml:space="preserve"> nakłada na przewoźnika Komendant Główny Straży Granicznej. Jednocześnie</w:t>
      </w:r>
      <w:r w:rsidR="001E0C76">
        <w:rPr>
          <w:rFonts w:ascii="Times New Roman" w:hAnsi="Times New Roman"/>
          <w:sz w:val="24"/>
          <w:szCs w:val="24"/>
        </w:rPr>
        <w:t>,</w:t>
      </w:r>
      <w:r w:rsidR="006856F2" w:rsidRPr="00C305E1">
        <w:rPr>
          <w:rFonts w:ascii="Times New Roman" w:hAnsi="Times New Roman"/>
          <w:sz w:val="24"/>
          <w:szCs w:val="24"/>
        </w:rPr>
        <w:t xml:space="preserve"> zgodnie z art. 76 ustawy, w terminie 6 miesięcy od dnia jej wejścia w życie przepis art. 64, opisujący naruszenie obowiązku przekazywania danych PNR</w:t>
      </w:r>
      <w:r w:rsidR="001E0C76">
        <w:rPr>
          <w:rFonts w:ascii="Times New Roman" w:hAnsi="Times New Roman"/>
          <w:sz w:val="24"/>
          <w:szCs w:val="24"/>
        </w:rPr>
        <w:t>,</w:t>
      </w:r>
      <w:r w:rsidR="006856F2" w:rsidRPr="00C305E1">
        <w:rPr>
          <w:rFonts w:ascii="Times New Roman" w:hAnsi="Times New Roman"/>
          <w:sz w:val="24"/>
          <w:szCs w:val="24"/>
        </w:rPr>
        <w:t xml:space="preserve"> nie miał zastosowania do przewoźnika lotniczego, który podjął działania mające na celu zapewnienie warunków technicznych umożliwiających sprawne i skuteczne przekazywanie przez niego danych PNR do JIP i w terminie 14 dni od dnia wejścia w życie ustawy wystąpił pisemnie do Komendanta Głównego Straży Granicznej o wpisanie na listę przewoźników lotniczych dostosowujących się do przekazywania </w:t>
      </w:r>
      <w:r w:rsidR="006856F2" w:rsidRPr="00C305E1">
        <w:rPr>
          <w:rFonts w:ascii="Times New Roman" w:hAnsi="Times New Roman"/>
          <w:sz w:val="24"/>
          <w:szCs w:val="24"/>
        </w:rPr>
        <w:lastRenderedPageBreak/>
        <w:t>danych PNR do JIP. Z takiej możliwości skorzystała jedynie część przewoźników (38 przewoźników lotniczych). Pozostali</w:t>
      </w:r>
      <w:r w:rsidR="001E0C76">
        <w:rPr>
          <w:rFonts w:ascii="Times New Roman" w:hAnsi="Times New Roman"/>
          <w:sz w:val="24"/>
          <w:szCs w:val="24"/>
        </w:rPr>
        <w:t>,</w:t>
      </w:r>
      <w:r w:rsidR="006856F2" w:rsidRPr="00C305E1">
        <w:rPr>
          <w:rFonts w:ascii="Times New Roman" w:hAnsi="Times New Roman"/>
          <w:sz w:val="24"/>
          <w:szCs w:val="24"/>
        </w:rPr>
        <w:t xml:space="preserve"> niedopełniając formalności związanych z dokonaniem zgłoszenia w 14-dniowym terminie</w:t>
      </w:r>
      <w:r w:rsidR="001E0C76">
        <w:rPr>
          <w:rFonts w:ascii="Times New Roman" w:hAnsi="Times New Roman"/>
          <w:sz w:val="24"/>
          <w:szCs w:val="24"/>
        </w:rPr>
        <w:t>,</w:t>
      </w:r>
      <w:r w:rsidR="006856F2" w:rsidRPr="00C305E1">
        <w:rPr>
          <w:rFonts w:ascii="Times New Roman" w:hAnsi="Times New Roman"/>
          <w:sz w:val="24"/>
          <w:szCs w:val="24"/>
        </w:rPr>
        <w:t xml:space="preserve"> byli zobligowani do przekazywania danych PNR od dnia wejścia w życie ustawy. </w:t>
      </w:r>
    </w:p>
    <w:p w14:paraId="6E69833A" w14:textId="5FF9A748" w:rsidR="00D239D7" w:rsidRPr="00C305E1" w:rsidRDefault="006856F2" w:rsidP="006856F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305E1">
        <w:rPr>
          <w:rFonts w:ascii="Times New Roman" w:hAnsi="Times New Roman"/>
          <w:sz w:val="24"/>
          <w:szCs w:val="24"/>
        </w:rPr>
        <w:t>Przewoźnicy lotniczy, którzy często wykonują operacje lotnicze w wielu krajach</w:t>
      </w:r>
      <w:r w:rsidR="006E3122">
        <w:rPr>
          <w:rFonts w:ascii="Times New Roman" w:hAnsi="Times New Roman"/>
          <w:sz w:val="24"/>
          <w:szCs w:val="24"/>
        </w:rPr>
        <w:t>,</w:t>
      </w:r>
      <w:r w:rsidRPr="00C305E1">
        <w:rPr>
          <w:rFonts w:ascii="Times New Roman" w:hAnsi="Times New Roman"/>
          <w:sz w:val="24"/>
          <w:szCs w:val="24"/>
        </w:rPr>
        <w:t xml:space="preserve"> musieli wykonać czynności dostosowania technicznego do przekazywania danych PNR w tyc</w:t>
      </w:r>
      <w:r w:rsidR="002F3680" w:rsidRPr="00C305E1">
        <w:rPr>
          <w:rFonts w:ascii="Times New Roman" w:hAnsi="Times New Roman"/>
          <w:sz w:val="24"/>
          <w:szCs w:val="24"/>
        </w:rPr>
        <w:t>h krajach, w tym we wszystkich państwach c</w:t>
      </w:r>
      <w:r w:rsidRPr="00C305E1">
        <w:rPr>
          <w:rFonts w:ascii="Times New Roman" w:hAnsi="Times New Roman"/>
          <w:sz w:val="24"/>
          <w:szCs w:val="24"/>
        </w:rPr>
        <w:t>złonkowskich UE. Dodatkowo należy podkreślić, że zarówno przewoźnicy lotniczy, jak i każde z państw stosuj</w:t>
      </w:r>
      <w:r w:rsidR="0014632A">
        <w:rPr>
          <w:rFonts w:ascii="Times New Roman" w:hAnsi="Times New Roman"/>
          <w:sz w:val="24"/>
          <w:szCs w:val="24"/>
        </w:rPr>
        <w:t>ą</w:t>
      </w:r>
      <w:r w:rsidRPr="00C305E1">
        <w:rPr>
          <w:rFonts w:ascii="Times New Roman" w:hAnsi="Times New Roman"/>
          <w:sz w:val="24"/>
          <w:szCs w:val="24"/>
        </w:rPr>
        <w:t xml:space="preserve"> inne rozwiązania teleinformatyczne, co dodatkowo wydłuża i komplikuje proces podłączania.</w:t>
      </w:r>
    </w:p>
    <w:p w14:paraId="1674A253" w14:textId="0E3D30B7" w:rsidR="00D239D7" w:rsidRPr="00C305E1" w:rsidRDefault="001E0C76" w:rsidP="00D239D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Obecnie</w:t>
      </w:r>
      <w:r w:rsidR="00D239D7" w:rsidRPr="00C305E1">
        <w:rPr>
          <w:rFonts w:ascii="Times New Roman" w:hAnsi="Times New Roman"/>
          <w:sz w:val="24"/>
          <w:szCs w:val="24"/>
        </w:rPr>
        <w:t xml:space="preserve"> Pols</w:t>
      </w:r>
      <w:r w:rsidR="002F3680" w:rsidRPr="00C305E1">
        <w:rPr>
          <w:rFonts w:ascii="Times New Roman" w:hAnsi="Times New Roman"/>
          <w:sz w:val="24"/>
          <w:szCs w:val="24"/>
        </w:rPr>
        <w:t>ka jest jednym z liderów wśród państw c</w:t>
      </w:r>
      <w:r w:rsidR="00D239D7" w:rsidRPr="00C305E1">
        <w:rPr>
          <w:rFonts w:ascii="Times New Roman" w:hAnsi="Times New Roman"/>
          <w:sz w:val="24"/>
          <w:szCs w:val="24"/>
        </w:rPr>
        <w:t>złonkowskich</w:t>
      </w:r>
      <w:r w:rsidR="006E3122">
        <w:rPr>
          <w:rFonts w:ascii="Times New Roman" w:hAnsi="Times New Roman"/>
          <w:sz w:val="24"/>
          <w:szCs w:val="24"/>
        </w:rPr>
        <w:t xml:space="preserve"> UE</w:t>
      </w:r>
      <w:r w:rsidR="00D239D7" w:rsidRPr="00C305E1">
        <w:rPr>
          <w:rFonts w:ascii="Times New Roman" w:hAnsi="Times New Roman"/>
          <w:sz w:val="24"/>
          <w:szCs w:val="24"/>
        </w:rPr>
        <w:t>, zarówno jeśli chodzi o liczbę przewoźników przekazujących dane PNR do JIP, jak i procent pasażerów, których dane trafiają do bazy. Oznacza to, że do Krajowego Systemu Informatycznego PNR (Passenger Name Record) podłączonych jest 152 przewoźników lotniczych, którzy przewożą 99% pasażerów w Polsce. Patrząc z tej perspektywy</w:t>
      </w:r>
      <w:r>
        <w:rPr>
          <w:rFonts w:ascii="Times New Roman" w:hAnsi="Times New Roman"/>
          <w:sz w:val="24"/>
          <w:szCs w:val="24"/>
        </w:rPr>
        <w:t>,</w:t>
      </w:r>
      <w:r w:rsidR="00D239D7" w:rsidRPr="00C305E1">
        <w:rPr>
          <w:rFonts w:ascii="Times New Roman" w:hAnsi="Times New Roman"/>
          <w:sz w:val="24"/>
          <w:szCs w:val="24"/>
        </w:rPr>
        <w:t xml:space="preserve"> można stwierdzić, że dyscyplinująca funkcja systemu grożących prz</w:t>
      </w:r>
      <w:r w:rsidR="00106FCE">
        <w:rPr>
          <w:rFonts w:ascii="Times New Roman" w:hAnsi="Times New Roman"/>
          <w:sz w:val="24"/>
          <w:szCs w:val="24"/>
        </w:rPr>
        <w:t>ewoźnikom lotniczym kar pieniężny</w:t>
      </w:r>
      <w:r w:rsidR="00D239D7" w:rsidRPr="00C305E1">
        <w:rPr>
          <w:rFonts w:ascii="Times New Roman" w:hAnsi="Times New Roman"/>
          <w:sz w:val="24"/>
          <w:szCs w:val="24"/>
        </w:rPr>
        <w:t xml:space="preserve">ch została w przypadku Polski w istotnym stopniu osiągnięta. </w:t>
      </w:r>
    </w:p>
    <w:p w14:paraId="1B5D6F1E" w14:textId="5C828D1C" w:rsidR="00D239D7" w:rsidRPr="00C305E1" w:rsidRDefault="00D239D7" w:rsidP="00D239D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305E1">
        <w:rPr>
          <w:rFonts w:ascii="Times New Roman" w:hAnsi="Times New Roman"/>
          <w:sz w:val="24"/>
          <w:szCs w:val="24"/>
        </w:rPr>
        <w:t>Jednocześnie od 29 maja 2018 r. (od dnia wejścia w życie ustawy) wstępnie zidentyfikowano 109 897 lotów, w przypadku których przewoźnicy lotniczy nie wykonali obowiązku przekazania danych PNR do JIP. Oznacza to, że dopuścili się oni naruszeń określonych w art. 64 ustawy, które podlegają administracyjnej karze pieniężnej w wysokości 20 000 zł. W rezultacie suma kar grożących przewoźnikom za wyżej wskazany okres wynosi już co najmniej 2 197 000 000 zł. Kwoty te mogą</w:t>
      </w:r>
      <w:r w:rsidR="00075BA9">
        <w:rPr>
          <w:rFonts w:ascii="Times New Roman" w:hAnsi="Times New Roman"/>
          <w:sz w:val="24"/>
          <w:szCs w:val="24"/>
        </w:rPr>
        <w:t xml:space="preserve"> być jeszcze wyższe, ponieważ – </w:t>
      </w:r>
      <w:r w:rsidRPr="00C305E1">
        <w:rPr>
          <w:rFonts w:ascii="Times New Roman" w:hAnsi="Times New Roman"/>
          <w:sz w:val="24"/>
          <w:szCs w:val="24"/>
        </w:rPr>
        <w:t>co do zasady – przewoźnicy lotniczy, a w szczególności przewoźnicy wykonujący loty rejsowe, powinni przekazać dane PNR do JIP dwukrotnie, między 48</w:t>
      </w:r>
      <w:r w:rsidR="006E3122">
        <w:rPr>
          <w:rFonts w:ascii="Times New Roman" w:hAnsi="Times New Roman"/>
          <w:sz w:val="24"/>
          <w:szCs w:val="24"/>
        </w:rPr>
        <w:t>.</w:t>
      </w:r>
      <w:r w:rsidRPr="00C305E1">
        <w:rPr>
          <w:rFonts w:ascii="Times New Roman" w:hAnsi="Times New Roman"/>
          <w:sz w:val="24"/>
          <w:szCs w:val="24"/>
        </w:rPr>
        <w:t xml:space="preserve"> a 24</w:t>
      </w:r>
      <w:r w:rsidR="006E3122">
        <w:rPr>
          <w:rFonts w:ascii="Times New Roman" w:hAnsi="Times New Roman"/>
          <w:sz w:val="24"/>
          <w:szCs w:val="24"/>
        </w:rPr>
        <w:t>.</w:t>
      </w:r>
      <w:r w:rsidRPr="00C305E1">
        <w:rPr>
          <w:rFonts w:ascii="Times New Roman" w:hAnsi="Times New Roman"/>
          <w:sz w:val="24"/>
          <w:szCs w:val="24"/>
        </w:rPr>
        <w:t xml:space="preserve"> godziną przed planowanym rozpoczęciem lotu PNR, jak i po zakończeniu odprawy biletowo-bagażowej i wejściu pasażerów na pokład statku powietrznego, kiedy nie mogą już go opuścić przed jego startem, a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Pr="00C305E1">
        <w:rPr>
          <w:rFonts w:ascii="Times New Roman" w:hAnsi="Times New Roman"/>
          <w:sz w:val="24"/>
          <w:szCs w:val="24"/>
        </w:rPr>
        <w:t>inni pasażerowie nie mogą wejść na pokład. Przedstawione wyżej sumy grożących kar nie obejmują kwot administracyjnych kar pieniężnych</w:t>
      </w:r>
      <w:r w:rsidR="006E3122">
        <w:rPr>
          <w:rFonts w:ascii="Times New Roman" w:hAnsi="Times New Roman"/>
          <w:sz w:val="24"/>
          <w:szCs w:val="24"/>
        </w:rPr>
        <w:t>,</w:t>
      </w:r>
      <w:r w:rsidRPr="00C305E1">
        <w:rPr>
          <w:rFonts w:ascii="Times New Roman" w:hAnsi="Times New Roman"/>
          <w:sz w:val="24"/>
          <w:szCs w:val="24"/>
        </w:rPr>
        <w:t xml:space="preserve"> jakie grożą przewoźnikom za naruszenie obowiązków wynikających z art. 10 ustawy.</w:t>
      </w:r>
    </w:p>
    <w:p w14:paraId="61EC07FD" w14:textId="176C4098" w:rsidR="009A5E4D" w:rsidRPr="00C305E1" w:rsidRDefault="00317D82" w:rsidP="00D239D7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305E1">
        <w:rPr>
          <w:rFonts w:ascii="Times New Roman" w:hAnsi="Times New Roman"/>
          <w:sz w:val="24"/>
          <w:szCs w:val="24"/>
        </w:rPr>
        <w:t xml:space="preserve">Zgodnie z art. 14 dyrektywy państwa członkowskie </w:t>
      </w:r>
      <w:r w:rsidR="006E3122">
        <w:rPr>
          <w:rFonts w:ascii="Times New Roman" w:hAnsi="Times New Roman"/>
          <w:sz w:val="24"/>
          <w:szCs w:val="24"/>
        </w:rPr>
        <w:t xml:space="preserve">UE </w:t>
      </w:r>
      <w:r w:rsidRPr="00C305E1">
        <w:rPr>
          <w:rFonts w:ascii="Times New Roman" w:hAnsi="Times New Roman"/>
          <w:sz w:val="24"/>
          <w:szCs w:val="24"/>
        </w:rPr>
        <w:t xml:space="preserve">zostały obowiązane do ustanowienia przepisów dotyczących sankcji za naruszenie </w:t>
      </w:r>
      <w:r w:rsidR="009A5E4D" w:rsidRPr="00C305E1">
        <w:rPr>
          <w:rFonts w:ascii="Times New Roman" w:hAnsi="Times New Roman"/>
          <w:sz w:val="24"/>
          <w:szCs w:val="24"/>
        </w:rPr>
        <w:t>przyjętych dyrektywą regulacji, w</w:t>
      </w:r>
      <w:r w:rsidRPr="00C305E1">
        <w:rPr>
          <w:rFonts w:ascii="Times New Roman" w:hAnsi="Times New Roman"/>
          <w:sz w:val="24"/>
          <w:szCs w:val="24"/>
        </w:rPr>
        <w:t xml:space="preserve"> </w:t>
      </w:r>
      <w:r w:rsidR="009A5E4D" w:rsidRPr="00C305E1">
        <w:rPr>
          <w:rFonts w:ascii="Times New Roman" w:hAnsi="Times New Roman"/>
          <w:sz w:val="24"/>
          <w:szCs w:val="24"/>
        </w:rPr>
        <w:t>tym ustanowi</w:t>
      </w:r>
      <w:r w:rsidR="006A11B2" w:rsidRPr="00C305E1">
        <w:rPr>
          <w:rFonts w:ascii="Times New Roman" w:hAnsi="Times New Roman"/>
          <w:sz w:val="24"/>
          <w:szCs w:val="24"/>
        </w:rPr>
        <w:t>enia</w:t>
      </w:r>
      <w:r w:rsidRPr="00C305E1">
        <w:rPr>
          <w:rFonts w:ascii="Times New Roman" w:hAnsi="Times New Roman"/>
          <w:sz w:val="24"/>
          <w:szCs w:val="24"/>
        </w:rPr>
        <w:t xml:space="preserve"> przepis</w:t>
      </w:r>
      <w:r w:rsidR="006A11B2" w:rsidRPr="00C305E1">
        <w:rPr>
          <w:rFonts w:ascii="Times New Roman" w:hAnsi="Times New Roman"/>
          <w:sz w:val="24"/>
          <w:szCs w:val="24"/>
        </w:rPr>
        <w:t>ów</w:t>
      </w:r>
      <w:r w:rsidRPr="00C305E1">
        <w:rPr>
          <w:rFonts w:ascii="Times New Roman" w:hAnsi="Times New Roman"/>
          <w:sz w:val="24"/>
          <w:szCs w:val="24"/>
        </w:rPr>
        <w:t xml:space="preserve"> </w:t>
      </w:r>
      <w:r w:rsidR="009A5E4D" w:rsidRPr="00C305E1">
        <w:rPr>
          <w:rFonts w:ascii="Times New Roman" w:hAnsi="Times New Roman"/>
          <w:sz w:val="24"/>
          <w:szCs w:val="24"/>
        </w:rPr>
        <w:t>sankcyjn</w:t>
      </w:r>
      <w:r w:rsidR="006A11B2" w:rsidRPr="00C305E1">
        <w:rPr>
          <w:rFonts w:ascii="Times New Roman" w:hAnsi="Times New Roman"/>
          <w:sz w:val="24"/>
          <w:szCs w:val="24"/>
        </w:rPr>
        <w:t>ych</w:t>
      </w:r>
      <w:r w:rsidRPr="00C305E1">
        <w:rPr>
          <w:rFonts w:ascii="Times New Roman" w:hAnsi="Times New Roman"/>
          <w:sz w:val="24"/>
          <w:szCs w:val="24"/>
        </w:rPr>
        <w:t xml:space="preserve"> w stosunku do przewoźników, </w:t>
      </w:r>
      <w:r w:rsidRPr="00C305E1">
        <w:rPr>
          <w:rFonts w:ascii="Times New Roman" w:hAnsi="Times New Roman"/>
          <w:sz w:val="24"/>
          <w:szCs w:val="24"/>
        </w:rPr>
        <w:lastRenderedPageBreak/>
        <w:t xml:space="preserve">którzy nie przekazują danych </w:t>
      </w:r>
      <w:r w:rsidR="009A5E4D" w:rsidRPr="00C305E1">
        <w:rPr>
          <w:rFonts w:ascii="Times New Roman" w:hAnsi="Times New Roman"/>
          <w:sz w:val="24"/>
          <w:szCs w:val="24"/>
        </w:rPr>
        <w:t>PNR</w:t>
      </w:r>
      <w:r w:rsidRPr="00C305E1">
        <w:rPr>
          <w:rFonts w:ascii="Times New Roman" w:hAnsi="Times New Roman"/>
          <w:sz w:val="24"/>
          <w:szCs w:val="24"/>
        </w:rPr>
        <w:t xml:space="preserve"> lub nie przekazują </w:t>
      </w:r>
      <w:r w:rsidR="006A11B2" w:rsidRPr="00C305E1">
        <w:rPr>
          <w:rFonts w:ascii="Times New Roman" w:hAnsi="Times New Roman"/>
          <w:sz w:val="24"/>
          <w:szCs w:val="24"/>
        </w:rPr>
        <w:t>ich</w:t>
      </w:r>
      <w:r w:rsidRPr="00C305E1">
        <w:rPr>
          <w:rFonts w:ascii="Times New Roman" w:hAnsi="Times New Roman"/>
          <w:sz w:val="24"/>
          <w:szCs w:val="24"/>
        </w:rPr>
        <w:t xml:space="preserve"> w wymaganym formacie.</w:t>
      </w:r>
      <w:r w:rsidR="009A5E4D" w:rsidRPr="00C305E1">
        <w:rPr>
          <w:rFonts w:ascii="Times New Roman" w:hAnsi="Times New Roman"/>
          <w:sz w:val="24"/>
          <w:szCs w:val="24"/>
        </w:rPr>
        <w:t xml:space="preserve"> W świetle dyrektywy sankcje te powinny być skuteczne, proporcjonalne i odstraszające.</w:t>
      </w:r>
    </w:p>
    <w:p w14:paraId="477CD562" w14:textId="6D040F61" w:rsidR="00D239D7" w:rsidRPr="00C305E1" w:rsidRDefault="00EB0BB0" w:rsidP="0055016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305E1">
        <w:rPr>
          <w:rFonts w:ascii="Times New Roman" w:hAnsi="Times New Roman"/>
          <w:sz w:val="24"/>
          <w:szCs w:val="24"/>
        </w:rPr>
        <w:t xml:space="preserve">W obecnej sytuacji pandemicznej system egzekwowania kar finansowych przestaje </w:t>
      </w:r>
      <w:r w:rsidR="009A5E4D" w:rsidRPr="00C305E1">
        <w:rPr>
          <w:rFonts w:ascii="Times New Roman" w:hAnsi="Times New Roman"/>
          <w:sz w:val="24"/>
          <w:szCs w:val="24"/>
        </w:rPr>
        <w:t xml:space="preserve">jednak </w:t>
      </w:r>
      <w:r w:rsidRPr="00C305E1">
        <w:rPr>
          <w:rFonts w:ascii="Times New Roman" w:hAnsi="Times New Roman"/>
          <w:sz w:val="24"/>
          <w:szCs w:val="24"/>
        </w:rPr>
        <w:t>pełnić dotychczasow</w:t>
      </w:r>
      <w:r w:rsidR="005F0EDF">
        <w:rPr>
          <w:rFonts w:ascii="Times New Roman" w:hAnsi="Times New Roman"/>
          <w:sz w:val="24"/>
          <w:szCs w:val="24"/>
        </w:rPr>
        <w:t>ą</w:t>
      </w:r>
      <w:r w:rsidRPr="00C305E1">
        <w:rPr>
          <w:rFonts w:ascii="Times New Roman" w:hAnsi="Times New Roman"/>
          <w:sz w:val="24"/>
          <w:szCs w:val="24"/>
        </w:rPr>
        <w:t xml:space="preserve"> funkcj</w:t>
      </w:r>
      <w:r w:rsidR="005F0EDF">
        <w:rPr>
          <w:rFonts w:ascii="Times New Roman" w:hAnsi="Times New Roman"/>
          <w:sz w:val="24"/>
          <w:szCs w:val="24"/>
        </w:rPr>
        <w:t>ę</w:t>
      </w:r>
      <w:r w:rsidRPr="00C305E1">
        <w:rPr>
          <w:rFonts w:ascii="Times New Roman" w:hAnsi="Times New Roman"/>
          <w:sz w:val="24"/>
          <w:szCs w:val="24"/>
        </w:rPr>
        <w:t xml:space="preserve"> dyscyplinując</w:t>
      </w:r>
      <w:r w:rsidR="005F0EDF">
        <w:rPr>
          <w:rFonts w:ascii="Times New Roman" w:hAnsi="Times New Roman"/>
          <w:sz w:val="24"/>
          <w:szCs w:val="24"/>
        </w:rPr>
        <w:t>ą</w:t>
      </w:r>
      <w:r w:rsidRPr="00C305E1">
        <w:rPr>
          <w:rFonts w:ascii="Times New Roman" w:hAnsi="Times New Roman"/>
          <w:sz w:val="24"/>
          <w:szCs w:val="24"/>
        </w:rPr>
        <w:t xml:space="preserve"> przewoźników lotniczych, a staje się – w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Pr="00C305E1">
        <w:rPr>
          <w:rFonts w:ascii="Times New Roman" w:hAnsi="Times New Roman"/>
          <w:sz w:val="24"/>
          <w:szCs w:val="24"/>
        </w:rPr>
        <w:t>sposób zupełnie niezamierzony – czynnikiem znacznie utrudniającym utrzymanie funkcjonowania przedsiębiorstw lotniczych, które już bez tych sankcji mają istotne trudności z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Pr="00C305E1">
        <w:rPr>
          <w:rFonts w:ascii="Times New Roman" w:hAnsi="Times New Roman"/>
          <w:sz w:val="24"/>
          <w:szCs w:val="24"/>
        </w:rPr>
        <w:t>kontynuowaniem i utrzymaniem swojej działalności.</w:t>
      </w:r>
    </w:p>
    <w:p w14:paraId="7733011C" w14:textId="5AE93891" w:rsidR="00565E9D" w:rsidRPr="00C305E1" w:rsidRDefault="00565E9D" w:rsidP="00565E9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305E1">
        <w:rPr>
          <w:rFonts w:ascii="Times New Roman" w:hAnsi="Times New Roman"/>
          <w:sz w:val="24"/>
          <w:szCs w:val="24"/>
        </w:rPr>
        <w:t>Należy podkreślić, że naruszenia te zostały popełnione w początkowym okresie uruchamiania systemu przetwarzania danych dotyczących przelotów pasażerów i nie mają obecnie żadnego wpływu na bezpieczeństwo ruchu lotniczego i pasażerskiego, a cel dyrektywy</w:t>
      </w:r>
      <w:r w:rsidR="00BC31DF">
        <w:rPr>
          <w:rFonts w:ascii="Times New Roman" w:hAnsi="Times New Roman"/>
          <w:sz w:val="24"/>
          <w:szCs w:val="24"/>
        </w:rPr>
        <w:t>,</w:t>
      </w:r>
      <w:r w:rsidRPr="00C305E1">
        <w:rPr>
          <w:rFonts w:ascii="Times New Roman" w:hAnsi="Times New Roman"/>
          <w:sz w:val="24"/>
          <w:szCs w:val="24"/>
        </w:rPr>
        <w:t xml:space="preserve"> jakim jest zapewnienie bezpieczeństwa ogólnego, ochrona życia i bezpieczeństwa osób oraz stworzenie ram prawnych służących ochronie danych PNR w związku z ich przetwarzaniem przez właściwe organy, został osiągnięty.</w:t>
      </w:r>
    </w:p>
    <w:p w14:paraId="1DD24B89" w14:textId="2EF6BD65" w:rsidR="008C6E5A" w:rsidRPr="00C305E1" w:rsidRDefault="008C6E5A" w:rsidP="00F82A8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305E1">
        <w:rPr>
          <w:rFonts w:ascii="Times New Roman" w:hAnsi="Times New Roman"/>
          <w:sz w:val="24"/>
          <w:szCs w:val="24"/>
        </w:rPr>
        <w:t xml:space="preserve">W związku z tym </w:t>
      </w:r>
      <w:r w:rsidR="005F0EDF" w:rsidRPr="005F0EDF">
        <w:rPr>
          <w:rFonts w:ascii="Times New Roman" w:hAnsi="Times New Roman"/>
          <w:sz w:val="24"/>
          <w:szCs w:val="24"/>
        </w:rPr>
        <w:t xml:space="preserve">jest </w:t>
      </w:r>
      <w:r w:rsidRPr="00C305E1">
        <w:rPr>
          <w:rFonts w:ascii="Times New Roman" w:hAnsi="Times New Roman"/>
          <w:sz w:val="24"/>
          <w:szCs w:val="24"/>
        </w:rPr>
        <w:t>zasadn</w:t>
      </w:r>
      <w:r w:rsidR="006E3122">
        <w:rPr>
          <w:rFonts w:ascii="Times New Roman" w:hAnsi="Times New Roman"/>
          <w:sz w:val="24"/>
          <w:szCs w:val="24"/>
        </w:rPr>
        <w:t>e</w:t>
      </w:r>
      <w:r w:rsidRPr="00C305E1">
        <w:rPr>
          <w:rFonts w:ascii="Times New Roman" w:hAnsi="Times New Roman"/>
          <w:sz w:val="24"/>
          <w:szCs w:val="24"/>
        </w:rPr>
        <w:t xml:space="preserve"> uwzględnienie postulatu branży lotniczej i wprowadzenie uregulowań zmierzających do ograniczenia negatywnych skutków finansowych dla przewoźników lotniczych wynikających z grożących im kar za naruszenie obowiązków związanych z przekazywaniem danych PNR</w:t>
      </w:r>
      <w:r w:rsidR="00673E32" w:rsidRPr="00C305E1">
        <w:rPr>
          <w:rFonts w:ascii="Times New Roman" w:hAnsi="Times New Roman"/>
          <w:sz w:val="24"/>
          <w:szCs w:val="24"/>
        </w:rPr>
        <w:t xml:space="preserve"> na podstawie polskiego prawodawstwa</w:t>
      </w:r>
      <w:r w:rsidR="00F66958" w:rsidRPr="00C305E1">
        <w:rPr>
          <w:rFonts w:ascii="Times New Roman" w:hAnsi="Times New Roman"/>
          <w:sz w:val="24"/>
          <w:szCs w:val="24"/>
        </w:rPr>
        <w:t>.</w:t>
      </w:r>
      <w:r w:rsidRPr="00C305E1">
        <w:rPr>
          <w:rFonts w:ascii="Times New Roman" w:hAnsi="Times New Roman"/>
          <w:sz w:val="24"/>
          <w:szCs w:val="24"/>
        </w:rPr>
        <w:t xml:space="preserve"> </w:t>
      </w:r>
    </w:p>
    <w:p w14:paraId="4A4CB65B" w14:textId="6FFAEDD6" w:rsidR="003F33F1" w:rsidRPr="00C305E1" w:rsidRDefault="00673E32" w:rsidP="00F82A8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305E1">
        <w:rPr>
          <w:rFonts w:ascii="Times New Roman" w:hAnsi="Times New Roman"/>
          <w:sz w:val="24"/>
          <w:szCs w:val="24"/>
        </w:rPr>
        <w:t>Podkreślenia wymaga, że większość państw członkowskich UE w ogóle nie egzekwuje obowiązku przekazywania danych PNR przez nakładanie kar finansowych, stosując w tym zakresie inne rozwiązania</w:t>
      </w:r>
      <w:r w:rsidR="00BA0B39">
        <w:rPr>
          <w:rFonts w:ascii="Times New Roman" w:hAnsi="Times New Roman"/>
          <w:sz w:val="24"/>
          <w:szCs w:val="24"/>
        </w:rPr>
        <w:t>,</w:t>
      </w:r>
      <w:r w:rsidRPr="00C305E1">
        <w:rPr>
          <w:rFonts w:ascii="Times New Roman" w:hAnsi="Times New Roman"/>
          <w:sz w:val="24"/>
          <w:szCs w:val="24"/>
        </w:rPr>
        <w:t xml:space="preserve"> np. wyłącznie pouczenia lub czyni to</w:t>
      </w:r>
      <w:r w:rsidR="00075BA9">
        <w:rPr>
          <w:rFonts w:ascii="Times New Roman" w:hAnsi="Times New Roman"/>
          <w:sz w:val="24"/>
          <w:szCs w:val="24"/>
        </w:rPr>
        <w:t>,</w:t>
      </w:r>
      <w:r w:rsidRPr="00C305E1">
        <w:rPr>
          <w:rFonts w:ascii="Times New Roman" w:hAnsi="Times New Roman"/>
          <w:sz w:val="24"/>
          <w:szCs w:val="24"/>
        </w:rPr>
        <w:t xml:space="preserve"> ale w znacznie ograniczonym zakresie</w:t>
      </w:r>
      <w:r w:rsidR="008A44FB" w:rsidRPr="00C305E1">
        <w:rPr>
          <w:rFonts w:ascii="Times New Roman" w:hAnsi="Times New Roman"/>
          <w:sz w:val="24"/>
          <w:szCs w:val="24"/>
        </w:rPr>
        <w:t>. W tym kontekście istotny pozostaje również fakt, że – co do zasady – państwa członkowskie UE nie formułują problemów w obszarze egzekwowania naruszeń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="002F3680" w:rsidRPr="00C305E1">
        <w:rPr>
          <w:rFonts w:ascii="Times New Roman" w:hAnsi="Times New Roman"/>
          <w:sz w:val="24"/>
          <w:szCs w:val="24"/>
        </w:rPr>
        <w:t>dyrektywy, a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="002F3680" w:rsidRPr="00C305E1">
        <w:rPr>
          <w:rFonts w:ascii="Times New Roman" w:hAnsi="Times New Roman"/>
          <w:sz w:val="24"/>
          <w:szCs w:val="24"/>
        </w:rPr>
        <w:t>Komisja Europejska</w:t>
      </w:r>
      <w:r w:rsidR="008A44FB" w:rsidRPr="00C305E1">
        <w:rPr>
          <w:rFonts w:ascii="Times New Roman" w:hAnsi="Times New Roman"/>
          <w:sz w:val="24"/>
          <w:szCs w:val="24"/>
        </w:rPr>
        <w:t xml:space="preserve"> </w:t>
      </w:r>
      <w:r w:rsidR="00081ADC" w:rsidRPr="00C305E1">
        <w:rPr>
          <w:rFonts w:ascii="Times New Roman" w:hAnsi="Times New Roman"/>
          <w:sz w:val="24"/>
          <w:szCs w:val="24"/>
        </w:rPr>
        <w:t xml:space="preserve">do chwili obecnej </w:t>
      </w:r>
      <w:r w:rsidR="00A11CF0" w:rsidRPr="00C305E1">
        <w:rPr>
          <w:rFonts w:ascii="Times New Roman" w:hAnsi="Times New Roman"/>
          <w:sz w:val="24"/>
          <w:szCs w:val="24"/>
        </w:rPr>
        <w:t xml:space="preserve">nie przedstawiła </w:t>
      </w:r>
      <w:r w:rsidR="003F33F1" w:rsidRPr="00C305E1">
        <w:rPr>
          <w:rFonts w:ascii="Times New Roman" w:hAnsi="Times New Roman"/>
          <w:sz w:val="24"/>
          <w:szCs w:val="24"/>
        </w:rPr>
        <w:t>stanowiska</w:t>
      </w:r>
      <w:r w:rsidR="00A11CF0" w:rsidRPr="00C305E1">
        <w:rPr>
          <w:rFonts w:ascii="Times New Roman" w:hAnsi="Times New Roman"/>
          <w:sz w:val="24"/>
          <w:szCs w:val="24"/>
        </w:rPr>
        <w:t xml:space="preserve"> </w:t>
      </w:r>
      <w:r w:rsidR="002F3680" w:rsidRPr="00C305E1">
        <w:rPr>
          <w:rFonts w:ascii="Times New Roman" w:hAnsi="Times New Roman"/>
          <w:sz w:val="24"/>
          <w:szCs w:val="24"/>
        </w:rPr>
        <w:t>w tej sprawie</w:t>
      </w:r>
      <w:r w:rsidR="003F33F1" w:rsidRPr="00C305E1">
        <w:rPr>
          <w:rFonts w:ascii="Times New Roman" w:hAnsi="Times New Roman"/>
          <w:sz w:val="24"/>
          <w:szCs w:val="24"/>
        </w:rPr>
        <w:t xml:space="preserve">. W związku z tym, </w:t>
      </w:r>
      <w:r w:rsidR="00D714C9" w:rsidRPr="00C305E1">
        <w:rPr>
          <w:rFonts w:ascii="Times New Roman" w:hAnsi="Times New Roman"/>
          <w:sz w:val="24"/>
          <w:szCs w:val="24"/>
        </w:rPr>
        <w:t>jak również</w:t>
      </w:r>
      <w:r w:rsidR="003F33F1" w:rsidRPr="00C305E1">
        <w:rPr>
          <w:rFonts w:ascii="Times New Roman" w:hAnsi="Times New Roman"/>
          <w:sz w:val="24"/>
          <w:szCs w:val="24"/>
        </w:rPr>
        <w:t xml:space="preserve"> mając na względzie </w:t>
      </w:r>
      <w:r w:rsidR="00D714C9" w:rsidRPr="00C305E1">
        <w:rPr>
          <w:rFonts w:ascii="Times New Roman" w:hAnsi="Times New Roman"/>
          <w:sz w:val="24"/>
          <w:szCs w:val="24"/>
        </w:rPr>
        <w:t xml:space="preserve">obecną sytuację kryzysową w branży lotniczej, podejście poszczególnych państw członkowskich UE do przedmiotowej sprawy pozostaje zróżnicowane i w dużym stopniu zależne od przyjętych krajowych unormowań. </w:t>
      </w:r>
    </w:p>
    <w:p w14:paraId="13ED02EA" w14:textId="76A56D0B" w:rsidR="00550166" w:rsidRDefault="002F3680" w:rsidP="00F82A8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C305E1">
        <w:rPr>
          <w:rFonts w:ascii="Times New Roman" w:hAnsi="Times New Roman"/>
          <w:sz w:val="24"/>
          <w:szCs w:val="24"/>
        </w:rPr>
        <w:t>Mając powyższe na uwadze</w:t>
      </w:r>
      <w:r w:rsidR="006E3122">
        <w:rPr>
          <w:rFonts w:ascii="Times New Roman" w:hAnsi="Times New Roman"/>
          <w:sz w:val="24"/>
          <w:szCs w:val="24"/>
        </w:rPr>
        <w:t>,</w:t>
      </w:r>
      <w:r w:rsidR="00F66958" w:rsidRPr="00C305E1">
        <w:rPr>
          <w:rFonts w:ascii="Times New Roman" w:hAnsi="Times New Roman"/>
          <w:sz w:val="24"/>
          <w:szCs w:val="24"/>
        </w:rPr>
        <w:t xml:space="preserve"> w ocenie projektodawcy</w:t>
      </w:r>
      <w:r w:rsidR="006E3122">
        <w:rPr>
          <w:rFonts w:ascii="Times New Roman" w:hAnsi="Times New Roman"/>
          <w:sz w:val="24"/>
          <w:szCs w:val="24"/>
        </w:rPr>
        <w:t>,</w:t>
      </w:r>
      <w:r w:rsidR="00F66958" w:rsidRPr="00C305E1">
        <w:rPr>
          <w:rFonts w:ascii="Times New Roman" w:hAnsi="Times New Roman"/>
          <w:sz w:val="24"/>
          <w:szCs w:val="24"/>
        </w:rPr>
        <w:t xml:space="preserve"> zachodzi uzasadniona potrzeba pilnego podjęcia prac legislacyjnych mających na celu wprowadzenie niezbędnych zmian w ustawie o przetwarzaniu danych dotyczących przelotu pasażera, które ustanowią ramy prawne umożliwiające rozłożenie w dłuższym czasie nakładanie </w:t>
      </w:r>
      <w:r w:rsidR="00081624" w:rsidRPr="00C305E1">
        <w:rPr>
          <w:rFonts w:ascii="Times New Roman" w:hAnsi="Times New Roman"/>
          <w:sz w:val="24"/>
          <w:szCs w:val="24"/>
        </w:rPr>
        <w:t xml:space="preserve">na przewoźników lotniczych </w:t>
      </w:r>
      <w:r w:rsidR="00F66958" w:rsidRPr="00C305E1">
        <w:rPr>
          <w:rFonts w:ascii="Times New Roman" w:hAnsi="Times New Roman"/>
          <w:sz w:val="24"/>
          <w:szCs w:val="24"/>
        </w:rPr>
        <w:t xml:space="preserve">przedmiotowych kar </w:t>
      </w:r>
      <w:r w:rsidR="00081624" w:rsidRPr="00C305E1">
        <w:rPr>
          <w:rFonts w:ascii="Times New Roman" w:hAnsi="Times New Roman"/>
          <w:sz w:val="24"/>
          <w:szCs w:val="24"/>
        </w:rPr>
        <w:t xml:space="preserve">finansowych </w:t>
      </w:r>
      <w:r w:rsidR="00F66958" w:rsidRPr="00C305E1">
        <w:rPr>
          <w:rFonts w:ascii="Times New Roman" w:hAnsi="Times New Roman"/>
          <w:sz w:val="24"/>
          <w:szCs w:val="24"/>
        </w:rPr>
        <w:t>oraz ogranicz</w:t>
      </w:r>
      <w:r w:rsidR="00081624" w:rsidRPr="00C305E1">
        <w:rPr>
          <w:rFonts w:ascii="Times New Roman" w:hAnsi="Times New Roman"/>
          <w:sz w:val="24"/>
          <w:szCs w:val="24"/>
        </w:rPr>
        <w:t>ą</w:t>
      </w:r>
      <w:r w:rsidR="00F66958" w:rsidRPr="00C305E1">
        <w:rPr>
          <w:rFonts w:ascii="Times New Roman" w:hAnsi="Times New Roman"/>
          <w:sz w:val="24"/>
          <w:szCs w:val="24"/>
        </w:rPr>
        <w:t xml:space="preserve"> </w:t>
      </w:r>
      <w:r w:rsidR="00081624" w:rsidRPr="00C305E1">
        <w:rPr>
          <w:rFonts w:ascii="Times New Roman" w:hAnsi="Times New Roman"/>
          <w:sz w:val="24"/>
          <w:szCs w:val="24"/>
        </w:rPr>
        <w:t xml:space="preserve">istniejące w tym zakresie </w:t>
      </w:r>
      <w:r w:rsidR="00F66958" w:rsidRPr="00C305E1">
        <w:rPr>
          <w:rFonts w:ascii="Times New Roman" w:hAnsi="Times New Roman"/>
          <w:sz w:val="24"/>
          <w:szCs w:val="24"/>
        </w:rPr>
        <w:t>obowiązk</w:t>
      </w:r>
      <w:r w:rsidR="00081624" w:rsidRPr="00C305E1">
        <w:rPr>
          <w:rFonts w:ascii="Times New Roman" w:hAnsi="Times New Roman"/>
          <w:sz w:val="24"/>
          <w:szCs w:val="24"/>
        </w:rPr>
        <w:t>i</w:t>
      </w:r>
      <w:r w:rsidR="00F66958" w:rsidRPr="00C305E1">
        <w:rPr>
          <w:rFonts w:ascii="Times New Roman" w:hAnsi="Times New Roman"/>
          <w:sz w:val="24"/>
          <w:szCs w:val="24"/>
        </w:rPr>
        <w:t xml:space="preserve"> administracyjn</w:t>
      </w:r>
      <w:r w:rsidR="00081624" w:rsidRPr="00C305E1">
        <w:rPr>
          <w:rFonts w:ascii="Times New Roman" w:hAnsi="Times New Roman"/>
          <w:sz w:val="24"/>
          <w:szCs w:val="24"/>
        </w:rPr>
        <w:t>e</w:t>
      </w:r>
      <w:r w:rsidR="00F66958" w:rsidRPr="00C305E1">
        <w:rPr>
          <w:rFonts w:ascii="Times New Roman" w:hAnsi="Times New Roman"/>
          <w:sz w:val="24"/>
          <w:szCs w:val="24"/>
        </w:rPr>
        <w:t xml:space="preserve"> przez skumulowanie prowadzonych postępowań.</w:t>
      </w:r>
    </w:p>
    <w:p w14:paraId="2C4124D5" w14:textId="241770B3" w:rsidR="00106FCE" w:rsidRDefault="00106FCE" w:rsidP="00F82A82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106FCE">
        <w:rPr>
          <w:rFonts w:ascii="Times New Roman" w:hAnsi="Times New Roman"/>
          <w:sz w:val="24"/>
          <w:szCs w:val="24"/>
        </w:rPr>
        <w:lastRenderedPageBreak/>
        <w:t xml:space="preserve">Propozycja uchylenia art. 70 ustawy ma na celu wprowadzenie po wejściu </w:t>
      </w:r>
      <w:r w:rsidR="005771B4" w:rsidRPr="00106FCE">
        <w:rPr>
          <w:rFonts w:ascii="Times New Roman" w:hAnsi="Times New Roman"/>
          <w:sz w:val="24"/>
          <w:szCs w:val="24"/>
        </w:rPr>
        <w:t xml:space="preserve">w życie </w:t>
      </w:r>
      <w:r w:rsidRPr="00106FCE">
        <w:rPr>
          <w:rFonts w:ascii="Times New Roman" w:hAnsi="Times New Roman"/>
          <w:sz w:val="24"/>
          <w:szCs w:val="24"/>
        </w:rPr>
        <w:t>projektowanej ustawy okresu przedawnienia wynikającego z ogólnych zasad</w:t>
      </w:r>
      <w:r w:rsidR="0039258A">
        <w:rPr>
          <w:rFonts w:ascii="Times New Roman" w:hAnsi="Times New Roman"/>
          <w:sz w:val="24"/>
          <w:szCs w:val="24"/>
        </w:rPr>
        <w:t>,</w:t>
      </w:r>
      <w:r w:rsidRPr="00106FCE">
        <w:rPr>
          <w:rFonts w:ascii="Times New Roman" w:hAnsi="Times New Roman"/>
          <w:sz w:val="24"/>
          <w:szCs w:val="24"/>
        </w:rPr>
        <w:t xml:space="preserve"> tj. z przepisu art. 189g § 1 Kodeksu postępowania administracyjnego</w:t>
      </w:r>
      <w:r w:rsidR="00017BEE">
        <w:rPr>
          <w:rFonts w:ascii="Times New Roman" w:hAnsi="Times New Roman"/>
          <w:sz w:val="24"/>
          <w:szCs w:val="24"/>
        </w:rPr>
        <w:t xml:space="preserve"> (Dz. U. z 2021 r. poz.</w:t>
      </w:r>
      <w:r w:rsidR="0011706D">
        <w:rPr>
          <w:rFonts w:ascii="Times New Roman" w:hAnsi="Times New Roman"/>
          <w:sz w:val="24"/>
          <w:szCs w:val="24"/>
        </w:rPr>
        <w:t xml:space="preserve"> </w:t>
      </w:r>
      <w:r w:rsidR="00017BEE">
        <w:rPr>
          <w:rFonts w:ascii="Times New Roman" w:hAnsi="Times New Roman"/>
          <w:sz w:val="24"/>
          <w:szCs w:val="24"/>
        </w:rPr>
        <w:t>735, z p</w:t>
      </w:r>
      <w:r w:rsidR="005F0EDF">
        <w:rPr>
          <w:rFonts w:ascii="Times New Roman" w:hAnsi="Times New Roman"/>
          <w:sz w:val="24"/>
          <w:szCs w:val="24"/>
        </w:rPr>
        <w:t>óźn.</w:t>
      </w:r>
      <w:r w:rsidR="006E3122">
        <w:rPr>
          <w:rFonts w:ascii="Times New Roman" w:hAnsi="Times New Roman"/>
          <w:sz w:val="24"/>
          <w:szCs w:val="24"/>
        </w:rPr>
        <w:t xml:space="preserve"> </w:t>
      </w:r>
      <w:r w:rsidR="005F0EDF">
        <w:rPr>
          <w:rFonts w:ascii="Times New Roman" w:hAnsi="Times New Roman"/>
          <w:sz w:val="24"/>
          <w:szCs w:val="24"/>
        </w:rPr>
        <w:t>zm.)</w:t>
      </w:r>
      <w:r>
        <w:rPr>
          <w:rFonts w:ascii="Times New Roman" w:hAnsi="Times New Roman"/>
          <w:sz w:val="24"/>
          <w:szCs w:val="24"/>
        </w:rPr>
        <w:t xml:space="preserve">. </w:t>
      </w:r>
      <w:r w:rsidRPr="00106FCE">
        <w:rPr>
          <w:rFonts w:ascii="Times New Roman" w:hAnsi="Times New Roman"/>
          <w:sz w:val="24"/>
          <w:szCs w:val="24"/>
        </w:rPr>
        <w:t>Tym samym określono, że okresy przedawnienia będą ustalane w oparciu o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Pr="00106FCE">
        <w:rPr>
          <w:rFonts w:ascii="Times New Roman" w:hAnsi="Times New Roman"/>
          <w:sz w:val="24"/>
          <w:szCs w:val="24"/>
        </w:rPr>
        <w:t>przepisy, które będą obowiązywały w dniu przedawnienia naruszenia. Proponowana zmiana zabezpieczy prawidłowy tok postępowań, w szczególności w przypadku spraw szczególnie skomplikowanych, przede wszystkim rozłoży w czasie obciążenia finansowe wynikające z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Pr="00106FCE">
        <w:rPr>
          <w:rFonts w:ascii="Times New Roman" w:hAnsi="Times New Roman"/>
          <w:sz w:val="24"/>
          <w:szCs w:val="24"/>
        </w:rPr>
        <w:t>nakładania administracyjnych kar pieniężnych na przewoźników lotniczych, którzy dopuścili się znacznej liczby naruszeń.</w:t>
      </w:r>
    </w:p>
    <w:p w14:paraId="39D48BEA" w14:textId="40FEBD3D" w:rsidR="00DD2B3F" w:rsidRPr="00DD2B3F" w:rsidRDefault="00DD2B3F" w:rsidP="00EE20A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Proponowane rozwiązanie nie stanowi naruszenia </w:t>
      </w:r>
      <w:r w:rsidRPr="00DD2B3F">
        <w:rPr>
          <w:rFonts w:ascii="Times New Roman" w:hAnsi="Times New Roman"/>
          <w:sz w:val="24"/>
          <w:szCs w:val="24"/>
        </w:rPr>
        <w:t xml:space="preserve">zasady </w:t>
      </w:r>
      <w:r w:rsidRPr="00DD2B3F">
        <w:rPr>
          <w:rFonts w:ascii="Times New Roman" w:hAnsi="Times New Roman"/>
          <w:i/>
          <w:sz w:val="24"/>
          <w:szCs w:val="24"/>
        </w:rPr>
        <w:t>lex retro non agit</w:t>
      </w:r>
      <w:r w:rsidRPr="00DD2B3F">
        <w:rPr>
          <w:rFonts w:ascii="Times New Roman" w:hAnsi="Times New Roman"/>
          <w:sz w:val="24"/>
          <w:szCs w:val="24"/>
        </w:rPr>
        <w:t>, gdyż z mocą wsteczną przepis ten wydłuża okres przedawnienia za naruszenia, o których mowa w art. 64 i art. 66 ustawy</w:t>
      </w:r>
      <w:r>
        <w:rPr>
          <w:rFonts w:ascii="Times New Roman" w:hAnsi="Times New Roman"/>
          <w:sz w:val="24"/>
          <w:szCs w:val="24"/>
        </w:rPr>
        <w:t>.</w:t>
      </w:r>
      <w:r w:rsidRPr="00DD2B3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</w:t>
      </w:r>
      <w:r w:rsidRPr="00DD2B3F">
        <w:rPr>
          <w:rFonts w:ascii="Times New Roman" w:hAnsi="Times New Roman"/>
          <w:sz w:val="24"/>
          <w:szCs w:val="24"/>
        </w:rPr>
        <w:t xml:space="preserve">ydłużenie okresu przedawnienia nie wiąże się z </w:t>
      </w:r>
      <w:r>
        <w:rPr>
          <w:rFonts w:ascii="Times New Roman" w:hAnsi="Times New Roman"/>
          <w:sz w:val="24"/>
          <w:szCs w:val="24"/>
        </w:rPr>
        <w:t xml:space="preserve">kolei z </w:t>
      </w:r>
      <w:r w:rsidRPr="00DD2B3F">
        <w:rPr>
          <w:rFonts w:ascii="Times New Roman" w:hAnsi="Times New Roman"/>
          <w:sz w:val="24"/>
          <w:szCs w:val="24"/>
        </w:rPr>
        <w:t xml:space="preserve">naruszeniem praw nabytych oraz ochroną zaufania co do uregulowań dotyczących podstawy zastosowania kary. Trybunał Konstytucyjny w wyroku z dnia 25 maja 2004 r. (sygn. akt SK 44/03) stwierdził, że </w:t>
      </w:r>
      <w:r w:rsidRPr="008D33D6">
        <w:rPr>
          <w:rFonts w:ascii="Times New Roman" w:hAnsi="Times New Roman"/>
          <w:i/>
          <w:sz w:val="24"/>
          <w:szCs w:val="24"/>
        </w:rPr>
        <w:t>„Zmiana długości okresów przedawnienia nie wpływa ani na sam fakt karania, ani też na wysokość możliwej do wymierzenia kary. Regulacje przewidujące przedawnienie nie mają charakteru gwarancyjnego, nie są ustanawiane z uwagi na sprawcę czynu zabronionego, lecz cel karania. Retroaktywnie działające przedłużenie okresów przedawnienia podlega ocenie w świetle zasady państwa prawnego, nie jest jednak związane z naruszeniem praw nabytych ani ochroną zaufania w zakresie regulacji określających karalność czynu zabronionego”</w:t>
      </w:r>
      <w:r w:rsidRPr="00DD2B3F">
        <w:rPr>
          <w:rFonts w:ascii="Times New Roman" w:hAnsi="Times New Roman"/>
          <w:sz w:val="24"/>
          <w:szCs w:val="24"/>
        </w:rPr>
        <w:t>. Należy podkreślić, że pr</w:t>
      </w:r>
      <w:r w:rsidR="006E3122">
        <w:rPr>
          <w:rFonts w:ascii="Times New Roman" w:hAnsi="Times New Roman"/>
          <w:sz w:val="24"/>
          <w:szCs w:val="24"/>
        </w:rPr>
        <w:t>oponowane rozwiązanie</w:t>
      </w:r>
      <w:r w:rsidRPr="00DD2B3F">
        <w:rPr>
          <w:rFonts w:ascii="Times New Roman" w:hAnsi="Times New Roman"/>
          <w:sz w:val="24"/>
          <w:szCs w:val="24"/>
        </w:rPr>
        <w:t xml:space="preserve"> nie naruszy </w:t>
      </w:r>
      <w:r w:rsidR="006E3122" w:rsidRPr="00DD2B3F">
        <w:rPr>
          <w:rFonts w:ascii="Times New Roman" w:hAnsi="Times New Roman"/>
          <w:sz w:val="24"/>
          <w:szCs w:val="24"/>
        </w:rPr>
        <w:t xml:space="preserve">zasad </w:t>
      </w:r>
      <w:r w:rsidRPr="00DD2B3F">
        <w:rPr>
          <w:rFonts w:ascii="Times New Roman" w:hAnsi="Times New Roman"/>
          <w:sz w:val="24"/>
          <w:szCs w:val="24"/>
        </w:rPr>
        <w:t>konstytucyjnych oraz nie będzie stał</w:t>
      </w:r>
      <w:r w:rsidR="006E3122">
        <w:rPr>
          <w:rFonts w:ascii="Times New Roman" w:hAnsi="Times New Roman"/>
          <w:sz w:val="24"/>
          <w:szCs w:val="24"/>
        </w:rPr>
        <w:t>o</w:t>
      </w:r>
      <w:r w:rsidRPr="00DD2B3F">
        <w:rPr>
          <w:rFonts w:ascii="Times New Roman" w:hAnsi="Times New Roman"/>
          <w:sz w:val="24"/>
          <w:szCs w:val="24"/>
        </w:rPr>
        <w:t xml:space="preserve"> w konflikcie z normą wynikającą z art. 189c </w:t>
      </w:r>
      <w:r w:rsidR="008D33D6" w:rsidRPr="00106FCE">
        <w:rPr>
          <w:rFonts w:ascii="Times New Roman" w:hAnsi="Times New Roman"/>
          <w:sz w:val="24"/>
          <w:szCs w:val="24"/>
        </w:rPr>
        <w:t>Kodeksu postępowania administracyjnego</w:t>
      </w:r>
      <w:r w:rsidRPr="00DD2B3F">
        <w:rPr>
          <w:rFonts w:ascii="Times New Roman" w:hAnsi="Times New Roman"/>
          <w:sz w:val="24"/>
          <w:szCs w:val="24"/>
        </w:rPr>
        <w:t xml:space="preserve"> p</w:t>
      </w:r>
      <w:r w:rsidR="0011706D">
        <w:rPr>
          <w:rFonts w:ascii="Times New Roman" w:hAnsi="Times New Roman"/>
          <w:sz w:val="24"/>
          <w:szCs w:val="24"/>
        </w:rPr>
        <w:t>rzewidującą</w:t>
      </w:r>
      <w:r w:rsidRPr="00DD2B3F">
        <w:rPr>
          <w:rFonts w:ascii="Times New Roman" w:hAnsi="Times New Roman"/>
          <w:sz w:val="24"/>
          <w:szCs w:val="24"/>
        </w:rPr>
        <w:t xml:space="preserve"> stosowanie ustawy względniejszej dla strony. Zgodnie bowiem z orzecznictwem Trybunału Konstytucyjnego ustawodawca </w:t>
      </w:r>
      <w:r w:rsidR="00E9077C" w:rsidRPr="00E9077C">
        <w:rPr>
          <w:rFonts w:ascii="Times New Roman" w:hAnsi="Times New Roman"/>
          <w:sz w:val="24"/>
          <w:szCs w:val="24"/>
        </w:rPr>
        <w:t xml:space="preserve">jest </w:t>
      </w:r>
      <w:r w:rsidRPr="00DD2B3F">
        <w:rPr>
          <w:rFonts w:ascii="Times New Roman" w:hAnsi="Times New Roman"/>
          <w:sz w:val="24"/>
          <w:szCs w:val="24"/>
        </w:rPr>
        <w:t xml:space="preserve">władny ograniczyć nakaz stosowania ustawy względniejszej i przyjąć wyłączność stosowania ustawy nowej. </w:t>
      </w:r>
      <w:r w:rsidR="004679BF">
        <w:rPr>
          <w:rFonts w:ascii="Times New Roman" w:hAnsi="Times New Roman"/>
          <w:sz w:val="24"/>
          <w:szCs w:val="24"/>
        </w:rPr>
        <w:t>M</w:t>
      </w:r>
      <w:r w:rsidR="004679BF" w:rsidRPr="00DD2B3F">
        <w:rPr>
          <w:rFonts w:ascii="Times New Roman" w:hAnsi="Times New Roman"/>
          <w:sz w:val="24"/>
          <w:szCs w:val="24"/>
        </w:rPr>
        <w:t>oże</w:t>
      </w:r>
      <w:r w:rsidRPr="00DD2B3F">
        <w:rPr>
          <w:rFonts w:ascii="Times New Roman" w:hAnsi="Times New Roman"/>
          <w:sz w:val="24"/>
          <w:szCs w:val="24"/>
        </w:rPr>
        <w:t xml:space="preserve"> </w:t>
      </w:r>
      <w:r w:rsidR="004679BF" w:rsidRPr="00DD2B3F">
        <w:rPr>
          <w:rFonts w:ascii="Times New Roman" w:hAnsi="Times New Roman"/>
          <w:sz w:val="24"/>
          <w:szCs w:val="24"/>
        </w:rPr>
        <w:t xml:space="preserve">to jednak </w:t>
      </w:r>
      <w:r w:rsidR="004679BF">
        <w:rPr>
          <w:rFonts w:ascii="Times New Roman" w:hAnsi="Times New Roman"/>
          <w:sz w:val="24"/>
          <w:szCs w:val="24"/>
        </w:rPr>
        <w:t>u</w:t>
      </w:r>
      <w:r w:rsidR="004679BF" w:rsidRPr="00DD2B3F">
        <w:rPr>
          <w:rFonts w:ascii="Times New Roman" w:hAnsi="Times New Roman"/>
          <w:sz w:val="24"/>
          <w:szCs w:val="24"/>
        </w:rPr>
        <w:t xml:space="preserve">czynić </w:t>
      </w:r>
      <w:r w:rsidRPr="00DD2B3F">
        <w:rPr>
          <w:rFonts w:ascii="Times New Roman" w:hAnsi="Times New Roman"/>
          <w:sz w:val="24"/>
          <w:szCs w:val="24"/>
        </w:rPr>
        <w:t>tylko na mocy ustawy. W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Pr="00DD2B3F">
        <w:rPr>
          <w:rFonts w:ascii="Times New Roman" w:hAnsi="Times New Roman"/>
          <w:sz w:val="24"/>
          <w:szCs w:val="24"/>
        </w:rPr>
        <w:t xml:space="preserve">przeciwnym razie </w:t>
      </w:r>
      <w:r w:rsidR="004679BF" w:rsidRPr="00DD2B3F">
        <w:rPr>
          <w:rFonts w:ascii="Times New Roman" w:hAnsi="Times New Roman"/>
          <w:sz w:val="24"/>
          <w:szCs w:val="24"/>
        </w:rPr>
        <w:t xml:space="preserve">będzie </w:t>
      </w:r>
      <w:r w:rsidRPr="00DD2B3F">
        <w:rPr>
          <w:rFonts w:ascii="Times New Roman" w:hAnsi="Times New Roman"/>
          <w:sz w:val="24"/>
          <w:szCs w:val="24"/>
        </w:rPr>
        <w:t xml:space="preserve">obowiązywać domniemanie rozstrzygania kolizji ustaw w myśl zasady wyrażonej w art. 189c </w:t>
      </w:r>
      <w:r w:rsidR="008D33D6" w:rsidRPr="00106FCE">
        <w:rPr>
          <w:rFonts w:ascii="Times New Roman" w:hAnsi="Times New Roman"/>
          <w:sz w:val="24"/>
          <w:szCs w:val="24"/>
        </w:rPr>
        <w:t>Kodeksu postępowania administracyjnego</w:t>
      </w:r>
      <w:r w:rsidRPr="00DD2B3F">
        <w:rPr>
          <w:rFonts w:ascii="Times New Roman" w:hAnsi="Times New Roman"/>
          <w:sz w:val="24"/>
          <w:szCs w:val="24"/>
        </w:rPr>
        <w:t>. Z kolei w wyroku z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Pr="00DD2B3F">
        <w:rPr>
          <w:rFonts w:ascii="Times New Roman" w:hAnsi="Times New Roman"/>
          <w:sz w:val="24"/>
          <w:szCs w:val="24"/>
        </w:rPr>
        <w:t>dnia 15 października 2008 r. (sygn. akt P 32/06, OTK 2008, nr 8A, poz. 138) Trybunał Konstytucyjny</w:t>
      </w:r>
      <w:r w:rsidR="004679BF">
        <w:rPr>
          <w:rFonts w:ascii="Times New Roman" w:hAnsi="Times New Roman"/>
          <w:sz w:val="24"/>
          <w:szCs w:val="24"/>
        </w:rPr>
        <w:t>,</w:t>
      </w:r>
      <w:r w:rsidRPr="00DD2B3F">
        <w:rPr>
          <w:rFonts w:ascii="Times New Roman" w:hAnsi="Times New Roman"/>
          <w:sz w:val="24"/>
          <w:szCs w:val="24"/>
        </w:rPr>
        <w:t xml:space="preserve"> rozpatrując kwestię instytucji przedawnienia</w:t>
      </w:r>
      <w:r w:rsidR="004679BF">
        <w:rPr>
          <w:rFonts w:ascii="Times New Roman" w:hAnsi="Times New Roman"/>
          <w:sz w:val="24"/>
          <w:szCs w:val="24"/>
        </w:rPr>
        <w:t>,</w:t>
      </w:r>
      <w:r w:rsidRPr="00DD2B3F">
        <w:rPr>
          <w:rFonts w:ascii="Times New Roman" w:hAnsi="Times New Roman"/>
          <w:sz w:val="24"/>
          <w:szCs w:val="24"/>
        </w:rPr>
        <w:t xml:space="preserve"> wskaz</w:t>
      </w:r>
      <w:r w:rsidR="00E9077C">
        <w:rPr>
          <w:rFonts w:ascii="Times New Roman" w:hAnsi="Times New Roman"/>
          <w:sz w:val="24"/>
          <w:szCs w:val="24"/>
        </w:rPr>
        <w:t>ał</w:t>
      </w:r>
      <w:r w:rsidRPr="00DD2B3F">
        <w:rPr>
          <w:rFonts w:ascii="Times New Roman" w:hAnsi="Times New Roman"/>
          <w:sz w:val="24"/>
          <w:szCs w:val="24"/>
        </w:rPr>
        <w:t xml:space="preserve">, że </w:t>
      </w:r>
      <w:r w:rsidRPr="008D33D6">
        <w:rPr>
          <w:rFonts w:ascii="Times New Roman" w:hAnsi="Times New Roman"/>
          <w:i/>
          <w:sz w:val="24"/>
          <w:szCs w:val="24"/>
        </w:rPr>
        <w:t xml:space="preserve">„Skoro zatem Konstytucja nie formułuje ani konieczności istnienia tej instytucji, ani też nie zakazuje jej wprowadzania – decyzja, jak ukształtować instytucję przedawnienia i czy w ogóle wprowadzać ją do systemu </w:t>
      </w:r>
      <w:r w:rsidRPr="008D33D6">
        <w:rPr>
          <w:rFonts w:ascii="Times New Roman" w:hAnsi="Times New Roman"/>
          <w:i/>
          <w:sz w:val="24"/>
          <w:szCs w:val="24"/>
        </w:rPr>
        <w:lastRenderedPageBreak/>
        <w:t>prawnego, należy do ustawodawcy”</w:t>
      </w:r>
      <w:r w:rsidRPr="00DD2B3F">
        <w:rPr>
          <w:rFonts w:ascii="Times New Roman" w:hAnsi="Times New Roman"/>
          <w:sz w:val="24"/>
          <w:szCs w:val="24"/>
        </w:rPr>
        <w:t xml:space="preserve">. Europejski Trybunał Praw Człowieka, analizując przedmiotową kwestię na gruncie art. 7 ust. 1 Konwencji </w:t>
      </w:r>
      <w:r w:rsidRPr="004679BF">
        <w:rPr>
          <w:rFonts w:ascii="Times New Roman" w:hAnsi="Times New Roman"/>
          <w:sz w:val="24"/>
          <w:szCs w:val="24"/>
        </w:rPr>
        <w:t xml:space="preserve">o Ochronie Praw Człowieka i Podstawowych Wolności </w:t>
      </w:r>
      <w:r w:rsidRPr="00DD2B3F">
        <w:rPr>
          <w:rFonts w:ascii="Times New Roman" w:hAnsi="Times New Roman"/>
          <w:sz w:val="24"/>
          <w:szCs w:val="24"/>
        </w:rPr>
        <w:t xml:space="preserve">w wyroku w sprawie Coëme i </w:t>
      </w:r>
      <w:r w:rsidR="006E3122">
        <w:rPr>
          <w:rFonts w:ascii="Times New Roman" w:hAnsi="Times New Roman"/>
          <w:sz w:val="24"/>
          <w:szCs w:val="24"/>
        </w:rPr>
        <w:t>i</w:t>
      </w:r>
      <w:r w:rsidRPr="00DD2B3F">
        <w:rPr>
          <w:rFonts w:ascii="Times New Roman" w:hAnsi="Times New Roman"/>
          <w:sz w:val="24"/>
          <w:szCs w:val="24"/>
        </w:rPr>
        <w:t>nni przeciwko Belgii (</w:t>
      </w:r>
      <w:r w:rsidR="004679BF">
        <w:rPr>
          <w:rFonts w:ascii="Times New Roman" w:hAnsi="Times New Roman"/>
          <w:sz w:val="24"/>
          <w:szCs w:val="24"/>
        </w:rPr>
        <w:t>w</w:t>
      </w:r>
      <w:r w:rsidRPr="00DD2B3F">
        <w:rPr>
          <w:rFonts w:ascii="Times New Roman" w:hAnsi="Times New Roman"/>
          <w:sz w:val="24"/>
          <w:szCs w:val="24"/>
        </w:rPr>
        <w:t>yrok ETPC z dnia 22 czerwca 2000 r., s</w:t>
      </w:r>
      <w:r w:rsidR="006E3122">
        <w:rPr>
          <w:rFonts w:ascii="Times New Roman" w:hAnsi="Times New Roman"/>
          <w:sz w:val="24"/>
          <w:szCs w:val="24"/>
        </w:rPr>
        <w:t>kargi nr</w:t>
      </w:r>
      <w:r w:rsidRPr="00DD2B3F">
        <w:rPr>
          <w:rFonts w:ascii="Times New Roman" w:hAnsi="Times New Roman"/>
          <w:sz w:val="24"/>
          <w:szCs w:val="24"/>
        </w:rPr>
        <w:t xml:space="preserve"> 32492/96, 32547/96, 32548/96, 33209/96 i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Pr="00DD2B3F">
        <w:rPr>
          <w:rFonts w:ascii="Times New Roman" w:hAnsi="Times New Roman"/>
          <w:sz w:val="24"/>
          <w:szCs w:val="24"/>
        </w:rPr>
        <w:t>33210/96)</w:t>
      </w:r>
      <w:r w:rsidR="004679BF">
        <w:rPr>
          <w:rFonts w:ascii="Times New Roman" w:hAnsi="Times New Roman"/>
          <w:sz w:val="24"/>
          <w:szCs w:val="24"/>
        </w:rPr>
        <w:t>,</w:t>
      </w:r>
      <w:r w:rsidRPr="00DD2B3F">
        <w:rPr>
          <w:rFonts w:ascii="Times New Roman" w:hAnsi="Times New Roman"/>
          <w:sz w:val="24"/>
          <w:szCs w:val="24"/>
        </w:rPr>
        <w:t xml:space="preserve"> stwierdził, że przedłużenie okresu przedawnienia już po popełnieniu czynu karalnego nie narusza zakazu retroaktywności. Stanowisko doktryny w tym zakresie </w:t>
      </w:r>
      <w:r w:rsidR="006E3122">
        <w:rPr>
          <w:rFonts w:ascii="Times New Roman" w:hAnsi="Times New Roman"/>
          <w:sz w:val="24"/>
          <w:szCs w:val="24"/>
        </w:rPr>
        <w:t xml:space="preserve">również </w:t>
      </w:r>
      <w:r w:rsidRPr="00DD2B3F">
        <w:rPr>
          <w:rFonts w:ascii="Times New Roman" w:hAnsi="Times New Roman"/>
          <w:sz w:val="24"/>
          <w:szCs w:val="24"/>
        </w:rPr>
        <w:t xml:space="preserve">wskazuje, że </w:t>
      </w:r>
      <w:r w:rsidRPr="008D33D6">
        <w:rPr>
          <w:rFonts w:ascii="Times New Roman" w:hAnsi="Times New Roman"/>
          <w:i/>
          <w:sz w:val="24"/>
          <w:szCs w:val="24"/>
        </w:rPr>
        <w:t xml:space="preserve">„ustawodawca, przedłużając terminy przedawnienia, nie dokonuje przewartościowania naganności czynów, lecz weryfikuje swą ocenę co do dalszej potrzeby ich karania. Decyzja ustawodawcy określająca okresy przedawnienia ma w zakresie tej oceny charakter prognostyczny i można ją zmienić ze względu na zachodzące zmiany społeczne” </w:t>
      </w:r>
      <w:r w:rsidRPr="00DD2B3F">
        <w:rPr>
          <w:rFonts w:ascii="Times New Roman" w:hAnsi="Times New Roman"/>
          <w:sz w:val="24"/>
          <w:szCs w:val="24"/>
        </w:rPr>
        <w:t xml:space="preserve">(W. Wróbel, </w:t>
      </w:r>
      <w:r w:rsidRPr="00C67753">
        <w:rPr>
          <w:rFonts w:ascii="Times New Roman" w:hAnsi="Times New Roman"/>
          <w:i/>
          <w:sz w:val="24"/>
          <w:szCs w:val="24"/>
        </w:rPr>
        <w:t>Zmiana normatywna i zasady intertemporalne w prawie karnym</w:t>
      </w:r>
      <w:r w:rsidRPr="00DD2B3F">
        <w:rPr>
          <w:rFonts w:ascii="Times New Roman" w:hAnsi="Times New Roman"/>
          <w:sz w:val="24"/>
          <w:szCs w:val="24"/>
        </w:rPr>
        <w:t xml:space="preserve">, Warszawa 2003, s. 538). Ponadto stwierdza się, że </w:t>
      </w:r>
      <w:r w:rsidRPr="008D33D6">
        <w:rPr>
          <w:rFonts w:ascii="Times New Roman" w:hAnsi="Times New Roman"/>
          <w:i/>
          <w:sz w:val="24"/>
          <w:szCs w:val="24"/>
        </w:rPr>
        <w:t>„nastąpienie w przyszłości przedawnienia karalności nie jest dla sprawcy przestępstwa ekspektatywą i z terminu przedawnienia, dopóki przedawnienie nie nastąpi, nie wynikają dla sprawcy żadne prawa”</w:t>
      </w:r>
      <w:r w:rsidRPr="00DD2B3F">
        <w:rPr>
          <w:rFonts w:ascii="Times New Roman" w:hAnsi="Times New Roman"/>
          <w:sz w:val="24"/>
          <w:szCs w:val="24"/>
        </w:rPr>
        <w:t xml:space="preserve"> (A. Zoll</w:t>
      </w:r>
      <w:r w:rsidR="006E3122">
        <w:rPr>
          <w:rFonts w:ascii="Times New Roman" w:hAnsi="Times New Roman"/>
          <w:sz w:val="24"/>
          <w:szCs w:val="24"/>
        </w:rPr>
        <w:t>,</w:t>
      </w:r>
      <w:r w:rsidRPr="00DD2B3F">
        <w:rPr>
          <w:rFonts w:ascii="Times New Roman" w:hAnsi="Times New Roman"/>
          <w:sz w:val="24"/>
          <w:szCs w:val="24"/>
        </w:rPr>
        <w:t xml:space="preserve"> </w:t>
      </w:r>
      <w:r w:rsidRPr="00C67753">
        <w:rPr>
          <w:rFonts w:ascii="Times New Roman" w:hAnsi="Times New Roman"/>
          <w:i/>
          <w:sz w:val="24"/>
          <w:szCs w:val="24"/>
        </w:rPr>
        <w:t>Kodeks karny. Część ogólna. Komentarz</w:t>
      </w:r>
      <w:r w:rsidRPr="00DD2B3F">
        <w:rPr>
          <w:rFonts w:ascii="Times New Roman" w:hAnsi="Times New Roman"/>
          <w:sz w:val="24"/>
          <w:szCs w:val="24"/>
        </w:rPr>
        <w:t>, Warszawa 2012, s. 1096).</w:t>
      </w:r>
    </w:p>
    <w:p w14:paraId="51D24F64" w14:textId="537FEEB4" w:rsidR="00DD2B3F" w:rsidRPr="00C305E1" w:rsidRDefault="00DD2B3F" w:rsidP="00EE20A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DD2B3F">
        <w:rPr>
          <w:rFonts w:ascii="Times New Roman" w:hAnsi="Times New Roman"/>
          <w:sz w:val="24"/>
          <w:szCs w:val="24"/>
        </w:rPr>
        <w:t>Powyższe stanowiska co prawda dotyczą zmian w zakresie terminów przedawnienia w przepisach karnych, jednakże z uwagi na zbieżny charakter tej instytucji przedawnienia oraz jej cel znajdują</w:t>
      </w:r>
      <w:r w:rsidR="0043569B">
        <w:rPr>
          <w:rFonts w:ascii="Times New Roman" w:hAnsi="Times New Roman"/>
          <w:sz w:val="24"/>
          <w:szCs w:val="24"/>
        </w:rPr>
        <w:t>,</w:t>
      </w:r>
      <w:r w:rsidRPr="00DD2B3F">
        <w:rPr>
          <w:rFonts w:ascii="Times New Roman" w:hAnsi="Times New Roman"/>
          <w:sz w:val="24"/>
          <w:szCs w:val="24"/>
        </w:rPr>
        <w:t xml:space="preserve"> w opinii projektodawcy</w:t>
      </w:r>
      <w:r w:rsidR="0043569B">
        <w:rPr>
          <w:rFonts w:ascii="Times New Roman" w:hAnsi="Times New Roman"/>
          <w:sz w:val="24"/>
          <w:szCs w:val="24"/>
        </w:rPr>
        <w:t>,</w:t>
      </w:r>
      <w:r w:rsidRPr="00DD2B3F">
        <w:rPr>
          <w:rFonts w:ascii="Times New Roman" w:hAnsi="Times New Roman"/>
          <w:sz w:val="24"/>
          <w:szCs w:val="24"/>
        </w:rPr>
        <w:t xml:space="preserve"> zastosowanie w przedmiotowej kwestii. Należy podkreślić, że projekt zakłada jedynie wprowadzenie okresu przedawnienia wynikającego z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Pr="00DD2B3F">
        <w:rPr>
          <w:rFonts w:ascii="Times New Roman" w:hAnsi="Times New Roman"/>
          <w:sz w:val="24"/>
          <w:szCs w:val="24"/>
        </w:rPr>
        <w:t>ogólnych zasad, tj. z przepisu art. 189g § 1</w:t>
      </w:r>
      <w:r w:rsidR="008D33D6" w:rsidRPr="008D33D6">
        <w:rPr>
          <w:rFonts w:ascii="Times New Roman" w:hAnsi="Times New Roman"/>
          <w:sz w:val="24"/>
          <w:szCs w:val="24"/>
        </w:rPr>
        <w:t xml:space="preserve"> </w:t>
      </w:r>
      <w:r w:rsidR="008D33D6" w:rsidRPr="00106FCE">
        <w:rPr>
          <w:rFonts w:ascii="Times New Roman" w:hAnsi="Times New Roman"/>
          <w:sz w:val="24"/>
          <w:szCs w:val="24"/>
        </w:rPr>
        <w:t>Kodeksu postępowania administracyjnego</w:t>
      </w:r>
      <w:r w:rsidRPr="00DD2B3F">
        <w:rPr>
          <w:rFonts w:ascii="Times New Roman" w:hAnsi="Times New Roman"/>
          <w:sz w:val="24"/>
          <w:szCs w:val="24"/>
        </w:rPr>
        <w:t>. Proponowana zmiana ma zatem charakter proceduralny, który umożliwi stronom skuteczne działanie również</w:t>
      </w:r>
      <w:r w:rsidR="008D33D6">
        <w:rPr>
          <w:rFonts w:ascii="Times New Roman" w:hAnsi="Times New Roman"/>
          <w:sz w:val="24"/>
          <w:szCs w:val="24"/>
        </w:rPr>
        <w:t xml:space="preserve"> </w:t>
      </w:r>
      <w:r w:rsidRPr="00DD2B3F">
        <w:rPr>
          <w:rFonts w:ascii="Times New Roman" w:hAnsi="Times New Roman"/>
          <w:sz w:val="24"/>
          <w:szCs w:val="24"/>
        </w:rPr>
        <w:t>w dochodzeniu sw</w:t>
      </w:r>
      <w:r w:rsidR="00FE0E42">
        <w:rPr>
          <w:rFonts w:ascii="Times New Roman" w:hAnsi="Times New Roman"/>
          <w:sz w:val="24"/>
          <w:szCs w:val="24"/>
        </w:rPr>
        <w:t>oi</w:t>
      </w:r>
      <w:r w:rsidRPr="00DD2B3F">
        <w:rPr>
          <w:rFonts w:ascii="Times New Roman" w:hAnsi="Times New Roman"/>
          <w:sz w:val="24"/>
          <w:szCs w:val="24"/>
        </w:rPr>
        <w:t>ch praw przed wymiarem sprawiedliwości. Jednocześnie</w:t>
      </w:r>
      <w:r w:rsidR="00654384">
        <w:rPr>
          <w:rFonts w:ascii="Times New Roman" w:hAnsi="Times New Roman"/>
          <w:sz w:val="24"/>
          <w:szCs w:val="24"/>
        </w:rPr>
        <w:t xml:space="preserve"> </w:t>
      </w:r>
      <w:r w:rsidRPr="00DD2B3F">
        <w:rPr>
          <w:rFonts w:ascii="Times New Roman" w:hAnsi="Times New Roman"/>
          <w:sz w:val="24"/>
          <w:szCs w:val="24"/>
        </w:rPr>
        <w:t>wydłużenie okresu przedawnienia rozłoży w czasie obciążenia finansowe nałożone na przewoźników lotniczych, które w przeciwnym przypadku będą podlegały kumulatywnej egzekucji, tym samym negatywnie odbijając się na kondycji finansowej branży lotniczej.</w:t>
      </w:r>
    </w:p>
    <w:p w14:paraId="5BB904A4" w14:textId="426B8BE6" w:rsidR="009F5F89" w:rsidRPr="00A3767A" w:rsidRDefault="00106FCE" w:rsidP="007910D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</w:t>
      </w:r>
      <w:r w:rsidR="002F3680" w:rsidRPr="00C305E1">
        <w:rPr>
          <w:rFonts w:ascii="Times New Roman" w:hAnsi="Times New Roman"/>
          <w:sz w:val="24"/>
          <w:szCs w:val="24"/>
        </w:rPr>
        <w:t>elem</w:t>
      </w:r>
      <w:r w:rsidR="009F5F89" w:rsidRPr="00C305E1">
        <w:rPr>
          <w:rFonts w:ascii="Times New Roman" w:hAnsi="Times New Roman"/>
          <w:sz w:val="24"/>
          <w:szCs w:val="24"/>
        </w:rPr>
        <w:t xml:space="preserve"> </w:t>
      </w:r>
      <w:r w:rsidR="00106E30" w:rsidRPr="00C305E1">
        <w:rPr>
          <w:rFonts w:ascii="Times New Roman" w:hAnsi="Times New Roman"/>
          <w:sz w:val="24"/>
          <w:szCs w:val="24"/>
        </w:rPr>
        <w:t xml:space="preserve">projektowanych </w:t>
      </w:r>
      <w:r w:rsidR="009F5F89" w:rsidRPr="00C305E1">
        <w:rPr>
          <w:rFonts w:ascii="Times New Roman" w:hAnsi="Times New Roman"/>
          <w:sz w:val="24"/>
          <w:szCs w:val="24"/>
        </w:rPr>
        <w:t>zmian w art. 67</w:t>
      </w:r>
      <w:r w:rsidR="00A3767A" w:rsidRPr="00C305E1">
        <w:rPr>
          <w:rFonts w:ascii="Times New Roman" w:hAnsi="Times New Roman"/>
          <w:sz w:val="24"/>
          <w:szCs w:val="24"/>
        </w:rPr>
        <w:t xml:space="preserve"> ust. 1 i 2</w:t>
      </w:r>
      <w:r w:rsidR="009F5F89" w:rsidRPr="00C305E1">
        <w:rPr>
          <w:rFonts w:ascii="Times New Roman" w:hAnsi="Times New Roman"/>
          <w:sz w:val="24"/>
          <w:szCs w:val="24"/>
        </w:rPr>
        <w:t xml:space="preserve"> ustawy jest wprowadzenie możliwości nakładania </w:t>
      </w:r>
      <w:r w:rsidR="004A4E1D" w:rsidRPr="00C305E1">
        <w:rPr>
          <w:rFonts w:ascii="Times New Roman" w:hAnsi="Times New Roman"/>
          <w:sz w:val="24"/>
          <w:szCs w:val="24"/>
        </w:rPr>
        <w:t xml:space="preserve">administracyjnych </w:t>
      </w:r>
      <w:r w:rsidR="009F5F89" w:rsidRPr="00C305E1">
        <w:rPr>
          <w:rFonts w:ascii="Times New Roman" w:hAnsi="Times New Roman"/>
          <w:sz w:val="24"/>
          <w:szCs w:val="24"/>
        </w:rPr>
        <w:t xml:space="preserve">kar </w:t>
      </w:r>
      <w:r w:rsidR="004A4E1D" w:rsidRPr="00C305E1">
        <w:rPr>
          <w:rFonts w:ascii="Times New Roman" w:hAnsi="Times New Roman"/>
          <w:sz w:val="24"/>
          <w:szCs w:val="24"/>
        </w:rPr>
        <w:t xml:space="preserve">pieniężnych </w:t>
      </w:r>
      <w:r w:rsidR="009F5F89" w:rsidRPr="00C305E1">
        <w:rPr>
          <w:rFonts w:ascii="Times New Roman" w:hAnsi="Times New Roman"/>
          <w:sz w:val="24"/>
          <w:szCs w:val="24"/>
        </w:rPr>
        <w:t xml:space="preserve">nie tylko przez Komendanta Głównego Straży Granicznej, ale także przez komendanta oddziału Straży </w:t>
      </w:r>
      <w:r w:rsidR="009F5F89" w:rsidRPr="00A3767A">
        <w:rPr>
          <w:rFonts w:ascii="Times New Roman" w:hAnsi="Times New Roman"/>
          <w:sz w:val="24"/>
          <w:szCs w:val="24"/>
        </w:rPr>
        <w:t>Granicznej</w:t>
      </w:r>
      <w:r w:rsidR="00630696">
        <w:rPr>
          <w:rFonts w:ascii="Times New Roman" w:hAnsi="Times New Roman"/>
          <w:sz w:val="24"/>
          <w:szCs w:val="24"/>
        </w:rPr>
        <w:t>, co</w:t>
      </w:r>
      <w:r w:rsidR="00A3767A" w:rsidRPr="00A3767A">
        <w:rPr>
          <w:rFonts w:ascii="Times New Roman" w:hAnsi="Times New Roman"/>
          <w:sz w:val="24"/>
          <w:szCs w:val="24"/>
        </w:rPr>
        <w:t xml:space="preserve"> uelastyczni w ramach </w:t>
      </w:r>
      <w:r w:rsidR="00CA4CB2">
        <w:rPr>
          <w:rFonts w:ascii="Times New Roman" w:hAnsi="Times New Roman"/>
          <w:sz w:val="24"/>
          <w:szCs w:val="24"/>
        </w:rPr>
        <w:t xml:space="preserve">Straży Granicznej </w:t>
      </w:r>
      <w:r w:rsidR="00A3767A">
        <w:rPr>
          <w:rFonts w:ascii="Times New Roman" w:hAnsi="Times New Roman"/>
          <w:sz w:val="24"/>
          <w:szCs w:val="24"/>
        </w:rPr>
        <w:t xml:space="preserve">wykonywanie zadań w tym zakresie. Wprowadzenie takiej możliwości </w:t>
      </w:r>
      <w:r w:rsidR="00DA58FA">
        <w:rPr>
          <w:rFonts w:ascii="Times New Roman" w:hAnsi="Times New Roman"/>
          <w:sz w:val="24"/>
          <w:szCs w:val="24"/>
        </w:rPr>
        <w:t>będzie</w:t>
      </w:r>
      <w:r w:rsidR="00A3767A">
        <w:rPr>
          <w:rFonts w:ascii="Times New Roman" w:hAnsi="Times New Roman"/>
          <w:sz w:val="24"/>
          <w:szCs w:val="24"/>
        </w:rPr>
        <w:t xml:space="preserve"> szczególnie istotne </w:t>
      </w:r>
      <w:r w:rsidR="00DA58FA">
        <w:rPr>
          <w:rFonts w:ascii="Times New Roman" w:hAnsi="Times New Roman"/>
          <w:sz w:val="24"/>
          <w:szCs w:val="24"/>
        </w:rPr>
        <w:t xml:space="preserve">w przypadku wystąpienia w krótkim czasie znacznej </w:t>
      </w:r>
      <w:r w:rsidR="006E3122">
        <w:rPr>
          <w:rFonts w:ascii="Times New Roman" w:hAnsi="Times New Roman"/>
          <w:sz w:val="24"/>
          <w:szCs w:val="24"/>
        </w:rPr>
        <w:t xml:space="preserve">liczby </w:t>
      </w:r>
      <w:r w:rsidR="00DA58FA">
        <w:rPr>
          <w:rFonts w:ascii="Times New Roman" w:hAnsi="Times New Roman"/>
          <w:sz w:val="24"/>
          <w:szCs w:val="24"/>
        </w:rPr>
        <w:t>naruszeń.</w:t>
      </w:r>
      <w:r w:rsidR="00A3767A">
        <w:rPr>
          <w:rFonts w:ascii="Times New Roman" w:hAnsi="Times New Roman"/>
          <w:sz w:val="24"/>
          <w:szCs w:val="24"/>
        </w:rPr>
        <w:t xml:space="preserve"> </w:t>
      </w:r>
    </w:p>
    <w:p w14:paraId="63F3EAEE" w14:textId="3561A8A1" w:rsidR="00DA58FA" w:rsidRDefault="009F5F89" w:rsidP="007910D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3767A">
        <w:rPr>
          <w:rFonts w:ascii="Times New Roman" w:hAnsi="Times New Roman"/>
          <w:sz w:val="24"/>
          <w:szCs w:val="24"/>
        </w:rPr>
        <w:lastRenderedPageBreak/>
        <w:t xml:space="preserve">Zgodnie z projektowanym art. 67 ust. 3 </w:t>
      </w:r>
      <w:r w:rsidR="00AA0B54">
        <w:rPr>
          <w:rFonts w:ascii="Times New Roman" w:hAnsi="Times New Roman"/>
          <w:sz w:val="24"/>
          <w:szCs w:val="24"/>
        </w:rPr>
        <w:t xml:space="preserve">ustawy </w:t>
      </w:r>
      <w:r w:rsidRPr="00A3767A">
        <w:rPr>
          <w:rFonts w:ascii="Times New Roman" w:hAnsi="Times New Roman"/>
          <w:sz w:val="24"/>
          <w:szCs w:val="24"/>
        </w:rPr>
        <w:t xml:space="preserve">od decyzji wydanej przez Komendanta Głównego Straży Granicznej albo komendanta oddziału Straży Granicznej będzie służył wniosek o ponowne rozpatrzenie sprawy. </w:t>
      </w:r>
      <w:r w:rsidR="00DA58FA">
        <w:rPr>
          <w:rFonts w:ascii="Times New Roman" w:hAnsi="Times New Roman"/>
          <w:sz w:val="24"/>
          <w:szCs w:val="24"/>
        </w:rPr>
        <w:t xml:space="preserve">Przedmiotowa </w:t>
      </w:r>
      <w:r w:rsidR="004A4E1D">
        <w:rPr>
          <w:rFonts w:ascii="Times New Roman" w:hAnsi="Times New Roman"/>
          <w:sz w:val="24"/>
          <w:szCs w:val="24"/>
        </w:rPr>
        <w:t>propozycja</w:t>
      </w:r>
      <w:r w:rsidR="00DA58FA">
        <w:rPr>
          <w:rFonts w:ascii="Times New Roman" w:hAnsi="Times New Roman"/>
          <w:sz w:val="24"/>
          <w:szCs w:val="24"/>
        </w:rPr>
        <w:t xml:space="preserve"> </w:t>
      </w:r>
      <w:r w:rsidR="004A4E1D">
        <w:rPr>
          <w:rFonts w:ascii="Times New Roman" w:hAnsi="Times New Roman"/>
          <w:sz w:val="24"/>
          <w:szCs w:val="24"/>
        </w:rPr>
        <w:t xml:space="preserve">jest konsekwencją </w:t>
      </w:r>
      <w:r w:rsidR="00DA58FA">
        <w:rPr>
          <w:rFonts w:ascii="Times New Roman" w:hAnsi="Times New Roman"/>
          <w:sz w:val="24"/>
          <w:szCs w:val="24"/>
        </w:rPr>
        <w:t>zmiany, którą wprowadza projektowany ust. 2 art. 67</w:t>
      </w:r>
      <w:r w:rsidR="00AA0B54" w:rsidRPr="00AA0B54">
        <w:rPr>
          <w:rFonts w:ascii="Times New Roman" w:hAnsi="Times New Roman"/>
          <w:sz w:val="24"/>
          <w:szCs w:val="24"/>
        </w:rPr>
        <w:t xml:space="preserve"> </w:t>
      </w:r>
      <w:r w:rsidR="00AA0B54">
        <w:rPr>
          <w:rFonts w:ascii="Times New Roman" w:hAnsi="Times New Roman"/>
          <w:sz w:val="24"/>
          <w:szCs w:val="24"/>
        </w:rPr>
        <w:t>ustaw</w:t>
      </w:r>
      <w:r w:rsidR="006C1373">
        <w:rPr>
          <w:rFonts w:ascii="Times New Roman" w:hAnsi="Times New Roman"/>
          <w:sz w:val="24"/>
          <w:szCs w:val="24"/>
        </w:rPr>
        <w:t>y</w:t>
      </w:r>
      <w:r w:rsidR="00DA58FA">
        <w:rPr>
          <w:rFonts w:ascii="Times New Roman" w:hAnsi="Times New Roman"/>
          <w:sz w:val="24"/>
          <w:szCs w:val="24"/>
        </w:rPr>
        <w:t xml:space="preserve">, polegającej </w:t>
      </w:r>
      <w:r w:rsidR="004A4E1D">
        <w:rPr>
          <w:rFonts w:ascii="Times New Roman" w:hAnsi="Times New Roman"/>
          <w:sz w:val="24"/>
          <w:szCs w:val="24"/>
        </w:rPr>
        <w:t xml:space="preserve">na nadaniu uprawnień do nakładania na przewoźników lotniczych administracyjnych kar pieniężnych również komendantom oddziałów Straży Granicznej. </w:t>
      </w:r>
    </w:p>
    <w:p w14:paraId="7DA4E52E" w14:textId="4A77C9D2" w:rsidR="00BD4563" w:rsidRDefault="004A4E1D" w:rsidP="00C5000A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Celem</w:t>
      </w:r>
      <w:r w:rsidR="009F5F89" w:rsidRPr="00A3767A">
        <w:rPr>
          <w:rFonts w:ascii="Times New Roman" w:hAnsi="Times New Roman"/>
          <w:sz w:val="24"/>
          <w:szCs w:val="24"/>
        </w:rPr>
        <w:t xml:space="preserve"> projektowanych przepisów art. 67 ust. 4 i 5 </w:t>
      </w:r>
      <w:r w:rsidR="00AA0B54">
        <w:rPr>
          <w:rFonts w:ascii="Times New Roman" w:hAnsi="Times New Roman"/>
          <w:sz w:val="24"/>
          <w:szCs w:val="24"/>
        </w:rPr>
        <w:t xml:space="preserve">ustawy </w:t>
      </w:r>
      <w:r>
        <w:rPr>
          <w:rFonts w:ascii="Times New Roman" w:hAnsi="Times New Roman"/>
          <w:sz w:val="24"/>
          <w:szCs w:val="24"/>
        </w:rPr>
        <w:t xml:space="preserve">jest </w:t>
      </w:r>
      <w:r w:rsidR="009F5F89" w:rsidRPr="00A3767A">
        <w:rPr>
          <w:rFonts w:ascii="Times New Roman" w:hAnsi="Times New Roman"/>
          <w:sz w:val="24"/>
          <w:szCs w:val="24"/>
        </w:rPr>
        <w:t xml:space="preserve">umożliwienie objęcia jednym postępowaniem więcej niż jednego naruszenia i wydania jednej decyzji w odniesieniu do </w:t>
      </w:r>
      <w:r>
        <w:rPr>
          <w:rFonts w:ascii="Times New Roman" w:hAnsi="Times New Roman"/>
          <w:sz w:val="24"/>
          <w:szCs w:val="24"/>
        </w:rPr>
        <w:t>wielu naruszeń</w:t>
      </w:r>
      <w:r w:rsidR="009F5F89" w:rsidRPr="00A3767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Zmiana ta usprawni prowadzenie postępowań wobec tego samego przewoźnika, który dopuścił się wielu naruszeń. </w:t>
      </w:r>
      <w:r w:rsidR="00BD4563">
        <w:rPr>
          <w:rFonts w:ascii="Times New Roman" w:hAnsi="Times New Roman"/>
          <w:sz w:val="24"/>
          <w:szCs w:val="24"/>
        </w:rPr>
        <w:t>N</w:t>
      </w:r>
      <w:r w:rsidR="00BD4563" w:rsidRPr="00BD4563">
        <w:rPr>
          <w:rFonts w:ascii="Times New Roman" w:hAnsi="Times New Roman"/>
          <w:sz w:val="24"/>
          <w:szCs w:val="24"/>
        </w:rPr>
        <w:t xml:space="preserve">ależy zauważyć, że </w:t>
      </w:r>
      <w:r w:rsidR="00BD4563">
        <w:rPr>
          <w:rFonts w:ascii="Times New Roman" w:hAnsi="Times New Roman"/>
          <w:sz w:val="24"/>
          <w:szCs w:val="24"/>
        </w:rPr>
        <w:t xml:space="preserve">naruszenia </w:t>
      </w:r>
      <w:r w:rsidR="00BD4563" w:rsidRPr="00BD4563">
        <w:rPr>
          <w:rFonts w:ascii="Times New Roman" w:hAnsi="Times New Roman"/>
          <w:sz w:val="24"/>
          <w:szCs w:val="24"/>
        </w:rPr>
        <w:t xml:space="preserve">popełnione przez przewoźników lotniczych </w:t>
      </w:r>
      <w:r w:rsidR="00BD4563">
        <w:rPr>
          <w:rFonts w:ascii="Times New Roman" w:hAnsi="Times New Roman"/>
          <w:sz w:val="24"/>
          <w:szCs w:val="24"/>
        </w:rPr>
        <w:t xml:space="preserve">zostały popełnione </w:t>
      </w:r>
      <w:r w:rsidR="00BD4563" w:rsidRPr="00BD4563">
        <w:rPr>
          <w:rFonts w:ascii="Times New Roman" w:hAnsi="Times New Roman"/>
          <w:sz w:val="24"/>
          <w:szCs w:val="24"/>
        </w:rPr>
        <w:t>w początkowym okresie uruchamiania systemu przetwarzania danych PNR i polegały na nieterminowym podłączeniu się do Krajowego Systemu Informatycznego PNR. W związku z tym proponowane w projekcie rozwiązanie polegające na objęciu jednym postępowaniem więcej niż jednego naruszenia i wydania w tej sprawie jednej decyzji usprawni prowadzenie tych postępowań, jak również ograniczy ich koszty, bez wpływu na poziom rzetelności obowiązujących procedur.</w:t>
      </w:r>
    </w:p>
    <w:p w14:paraId="38CA7FB1" w14:textId="56F6818C" w:rsidR="00DD2B3F" w:rsidRDefault="00BD4563" w:rsidP="007910D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</w:t>
      </w:r>
      <w:r w:rsidRPr="00BD4563">
        <w:rPr>
          <w:rFonts w:ascii="Times New Roman" w:hAnsi="Times New Roman"/>
          <w:sz w:val="24"/>
          <w:szCs w:val="24"/>
        </w:rPr>
        <w:t xml:space="preserve">oncentracja materiału dowodowego w jednym postępowaniu oraz brak konieczności ich powielania w zbieżnych postępowaniach </w:t>
      </w:r>
      <w:r w:rsidR="006C1373" w:rsidRPr="00BD4563">
        <w:rPr>
          <w:rFonts w:ascii="Times New Roman" w:hAnsi="Times New Roman"/>
          <w:sz w:val="24"/>
          <w:szCs w:val="24"/>
        </w:rPr>
        <w:t xml:space="preserve">może </w:t>
      </w:r>
      <w:r w:rsidRPr="00BD4563">
        <w:rPr>
          <w:rFonts w:ascii="Times New Roman" w:hAnsi="Times New Roman"/>
          <w:sz w:val="24"/>
          <w:szCs w:val="24"/>
        </w:rPr>
        <w:t>stanowić bezpośrednią realizację zasady szybkości i prostoty postępow</w:t>
      </w:r>
      <w:r>
        <w:rPr>
          <w:rFonts w:ascii="Times New Roman" w:hAnsi="Times New Roman"/>
          <w:sz w:val="24"/>
          <w:szCs w:val="24"/>
        </w:rPr>
        <w:t xml:space="preserve">ania określonej w art. 12 </w:t>
      </w:r>
      <w:r w:rsidR="008D33D6" w:rsidRPr="00106FCE">
        <w:rPr>
          <w:rFonts w:ascii="Times New Roman" w:hAnsi="Times New Roman"/>
          <w:sz w:val="24"/>
          <w:szCs w:val="24"/>
        </w:rPr>
        <w:t>Kodeksu postępowania administracyjnego</w:t>
      </w:r>
      <w:r>
        <w:rPr>
          <w:rFonts w:ascii="Times New Roman" w:hAnsi="Times New Roman"/>
          <w:sz w:val="24"/>
          <w:szCs w:val="24"/>
        </w:rPr>
        <w:t>.</w:t>
      </w:r>
      <w:r w:rsidRPr="00BD4563">
        <w:rPr>
          <w:rFonts w:ascii="Times New Roman" w:hAnsi="Times New Roman"/>
          <w:sz w:val="24"/>
          <w:szCs w:val="24"/>
        </w:rPr>
        <w:t xml:space="preserve"> </w:t>
      </w:r>
      <w:r w:rsidR="00DD2B3F" w:rsidRPr="00DD2B3F">
        <w:rPr>
          <w:rFonts w:ascii="Times New Roman" w:hAnsi="Times New Roman"/>
          <w:sz w:val="24"/>
          <w:szCs w:val="24"/>
        </w:rPr>
        <w:t>Możliwość kumulowania w ramach jednego postępowania wielu naruszeń ograniczy w ocenie projektodawcy ok. dwudziestokrotnie liczbę spraw, które trafią do sądów administracyjnych</w:t>
      </w:r>
      <w:r w:rsidR="00C440E6">
        <w:rPr>
          <w:rFonts w:ascii="Times New Roman" w:hAnsi="Times New Roman"/>
          <w:sz w:val="24"/>
          <w:szCs w:val="24"/>
        </w:rPr>
        <w:t>,</w:t>
      </w:r>
      <w:r w:rsidR="00DD2B3F" w:rsidRPr="00DD2B3F">
        <w:rPr>
          <w:rFonts w:ascii="Times New Roman" w:hAnsi="Times New Roman"/>
          <w:sz w:val="24"/>
          <w:szCs w:val="24"/>
        </w:rPr>
        <w:t xml:space="preserve"> przyjmując, że w ramach jednego postępowania </w:t>
      </w:r>
      <w:r w:rsidR="00C440E6" w:rsidRPr="00DD2B3F">
        <w:rPr>
          <w:rFonts w:ascii="Times New Roman" w:hAnsi="Times New Roman"/>
          <w:sz w:val="24"/>
          <w:szCs w:val="24"/>
        </w:rPr>
        <w:t xml:space="preserve">zostanie </w:t>
      </w:r>
      <w:r w:rsidR="00DD2B3F" w:rsidRPr="00DD2B3F">
        <w:rPr>
          <w:rFonts w:ascii="Times New Roman" w:hAnsi="Times New Roman"/>
          <w:sz w:val="24"/>
          <w:szCs w:val="24"/>
        </w:rPr>
        <w:t>objętych średnio 20 lotów</w:t>
      </w:r>
      <w:r w:rsidR="00C440E6">
        <w:rPr>
          <w:rFonts w:ascii="Times New Roman" w:hAnsi="Times New Roman"/>
          <w:sz w:val="24"/>
          <w:szCs w:val="24"/>
        </w:rPr>
        <w:t>,</w:t>
      </w:r>
      <w:r w:rsidR="00DD2B3F" w:rsidRPr="00DD2B3F">
        <w:rPr>
          <w:rFonts w:ascii="Times New Roman" w:hAnsi="Times New Roman"/>
          <w:sz w:val="24"/>
          <w:szCs w:val="24"/>
        </w:rPr>
        <w:t xml:space="preserve"> w związku z którymi doszło do naruszeń. Zatem biorąc pod uwagę, że za okres do marca 2021 r. </w:t>
      </w:r>
      <w:r w:rsidR="00C440E6" w:rsidRPr="00DD2B3F">
        <w:rPr>
          <w:rFonts w:ascii="Times New Roman" w:hAnsi="Times New Roman"/>
          <w:sz w:val="24"/>
          <w:szCs w:val="24"/>
        </w:rPr>
        <w:t xml:space="preserve">zostało </w:t>
      </w:r>
      <w:r w:rsidR="00DD2B3F" w:rsidRPr="00DD2B3F">
        <w:rPr>
          <w:rFonts w:ascii="Times New Roman" w:hAnsi="Times New Roman"/>
          <w:sz w:val="24"/>
          <w:szCs w:val="24"/>
        </w:rPr>
        <w:t>stwierdzonych około 100 000 lotów, które mogą wygenerować sprawy w sądach administracyjnych oraz możliwość kumulowania postępowań, którą przewiduje projekt ustawy, do sądów może trafić nie ok. 100 000 spraw</w:t>
      </w:r>
      <w:r w:rsidR="007445D0">
        <w:rPr>
          <w:rFonts w:ascii="Times New Roman" w:hAnsi="Times New Roman"/>
          <w:sz w:val="24"/>
          <w:szCs w:val="24"/>
        </w:rPr>
        <w:t>,</w:t>
      </w:r>
      <w:r w:rsidR="00DD2B3F" w:rsidRPr="00DD2B3F">
        <w:rPr>
          <w:rFonts w:ascii="Times New Roman" w:hAnsi="Times New Roman"/>
          <w:sz w:val="24"/>
          <w:szCs w:val="24"/>
        </w:rPr>
        <w:t xml:space="preserve"> tylko maksymalnie ok. 5000 spraw, przy czym spraw, które mogą trafić do innego sądu niż Wojewódzki Sąd Administracyjny w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="00DD2B3F" w:rsidRPr="00DD2B3F">
        <w:rPr>
          <w:rFonts w:ascii="Times New Roman" w:hAnsi="Times New Roman"/>
          <w:sz w:val="24"/>
          <w:szCs w:val="24"/>
        </w:rPr>
        <w:t xml:space="preserve">Warszawie będzie maksymalnie ok. 2500, tj. po ok. 312 spraw do każdego z niżej wymienionych sądów: Wojewódzki </w:t>
      </w:r>
      <w:r w:rsidR="008D33D6">
        <w:rPr>
          <w:rFonts w:ascii="Times New Roman" w:hAnsi="Times New Roman"/>
          <w:sz w:val="24"/>
          <w:szCs w:val="24"/>
        </w:rPr>
        <w:t xml:space="preserve">Sąd Administracyjny w Gdańsku, </w:t>
      </w:r>
      <w:r w:rsidR="00DD2B3F" w:rsidRPr="00DD2B3F">
        <w:rPr>
          <w:rFonts w:ascii="Times New Roman" w:hAnsi="Times New Roman"/>
          <w:sz w:val="24"/>
          <w:szCs w:val="24"/>
        </w:rPr>
        <w:t xml:space="preserve">Wojewódzki Sąd Administracyjny w Olsztynie, Wojewódzki Sąd Administracyjny w Lublinie, Wojewódzki Sąd Administracyjny w Rzeszowie, Wojewódzki Sąd Administracyjny w Krakowie, Wojewódzki Sąd </w:t>
      </w:r>
      <w:r w:rsidR="00DD2B3F" w:rsidRPr="00DD2B3F">
        <w:rPr>
          <w:rFonts w:ascii="Times New Roman" w:hAnsi="Times New Roman"/>
          <w:sz w:val="24"/>
          <w:szCs w:val="24"/>
        </w:rPr>
        <w:lastRenderedPageBreak/>
        <w:t>Administracyjny w Gliwicach, Wojewódzki Sąd Administracyjny w Gorzowie Wielkopolskim, Wojewódzki Sąd Administracyjny w Białymstoku (przy założeniu, że każda sprawa trafi do</w:t>
      </w:r>
      <w:r w:rsidR="008D33D6">
        <w:rPr>
          <w:rFonts w:ascii="Times New Roman" w:hAnsi="Times New Roman"/>
          <w:sz w:val="24"/>
          <w:szCs w:val="24"/>
        </w:rPr>
        <w:t xml:space="preserve"> sądu</w:t>
      </w:r>
      <w:r w:rsidR="00DD2B3F" w:rsidRPr="00DD2B3F">
        <w:rPr>
          <w:rFonts w:ascii="Times New Roman" w:hAnsi="Times New Roman"/>
          <w:sz w:val="24"/>
          <w:szCs w:val="24"/>
        </w:rPr>
        <w:t>).</w:t>
      </w:r>
    </w:p>
    <w:p w14:paraId="1F88A71F" w14:textId="49D4C9FA" w:rsidR="009F5F89" w:rsidRPr="00A3767A" w:rsidRDefault="00BD4563" w:rsidP="00BD4563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Prowadzenie w takich przypadkach postępowania administracyjnego obejmującego wiele naruszeń ograniczy również koszty</w:t>
      </w:r>
      <w:r w:rsidR="00E9077C">
        <w:rPr>
          <w:rFonts w:ascii="Times New Roman" w:hAnsi="Times New Roman"/>
          <w:sz w:val="24"/>
          <w:szCs w:val="24"/>
        </w:rPr>
        <w:t xml:space="preserve"> ponoszone przez</w:t>
      </w:r>
      <w:r>
        <w:rPr>
          <w:rFonts w:ascii="Times New Roman" w:hAnsi="Times New Roman"/>
          <w:sz w:val="24"/>
          <w:szCs w:val="24"/>
        </w:rPr>
        <w:t xml:space="preserve"> strony postępowania </w:t>
      </w:r>
      <w:r w:rsidR="008D33D6">
        <w:rPr>
          <w:rFonts w:ascii="Times New Roman" w:hAnsi="Times New Roman"/>
          <w:sz w:val="24"/>
          <w:szCs w:val="24"/>
        </w:rPr>
        <w:t>(np. w</w:t>
      </w:r>
      <w:r>
        <w:rPr>
          <w:rFonts w:ascii="Times New Roman" w:hAnsi="Times New Roman"/>
          <w:sz w:val="24"/>
          <w:szCs w:val="24"/>
        </w:rPr>
        <w:t xml:space="preserve"> zakresie kosztów związanych z korzystaniem z pomocy pełnomocnika, koszty korespondencji), jak i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="009C16B1">
        <w:rPr>
          <w:rFonts w:ascii="Times New Roman" w:hAnsi="Times New Roman"/>
          <w:sz w:val="24"/>
          <w:szCs w:val="24"/>
        </w:rPr>
        <w:t xml:space="preserve">koszty </w:t>
      </w:r>
      <w:r>
        <w:rPr>
          <w:rFonts w:ascii="Times New Roman" w:hAnsi="Times New Roman"/>
          <w:sz w:val="24"/>
          <w:szCs w:val="24"/>
        </w:rPr>
        <w:t>organu prowadzącego postępowanie (np. w zakresie kosztów związanych z doręczaniem pism procesowych, ograniczenia liczby funkcjonariuszy prowadzących postępowania administracyjne</w:t>
      </w:r>
      <w:r w:rsidR="008D33D6">
        <w:rPr>
          <w:rFonts w:ascii="Times New Roman" w:hAnsi="Times New Roman"/>
          <w:sz w:val="24"/>
          <w:szCs w:val="24"/>
        </w:rPr>
        <w:t>)</w:t>
      </w:r>
      <w:r>
        <w:rPr>
          <w:rFonts w:ascii="Times New Roman" w:hAnsi="Times New Roman"/>
          <w:sz w:val="24"/>
          <w:szCs w:val="24"/>
        </w:rPr>
        <w:t>.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="004A4E1D">
        <w:rPr>
          <w:rFonts w:ascii="Times New Roman" w:hAnsi="Times New Roman"/>
          <w:sz w:val="24"/>
          <w:szCs w:val="24"/>
        </w:rPr>
        <w:t xml:space="preserve"> </w:t>
      </w:r>
    </w:p>
    <w:p w14:paraId="453E7470" w14:textId="0B0D806B" w:rsidR="00EF77F3" w:rsidRDefault="00EF77F3" w:rsidP="00843923">
      <w:pPr>
        <w:suppressAutoHyphens/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/>
          <w:sz w:val="24"/>
          <w:szCs w:val="24"/>
          <w:lang w:eastAsia="pl-PL"/>
        </w:rPr>
        <w:t>Proponuje się wejście w</w:t>
      </w:r>
      <w:r w:rsidR="00061D3D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życie projektowanych zmian </w:t>
      </w:r>
      <w:r w:rsidR="00061D3D">
        <w:rPr>
          <w:rFonts w:ascii="Times New Roman" w:eastAsia="Times New Roman" w:hAnsi="Times New Roman"/>
          <w:sz w:val="24"/>
          <w:szCs w:val="24"/>
          <w:lang w:eastAsia="pl-PL"/>
        </w:rPr>
        <w:t>z dniem</w:t>
      </w:r>
      <w:r w:rsidRPr="00EF77F3">
        <w:rPr>
          <w:rFonts w:ascii="Times New Roman" w:eastAsia="Times New Roman" w:hAnsi="Times New Roman"/>
          <w:sz w:val="24"/>
          <w:szCs w:val="24"/>
          <w:lang w:eastAsia="pl-PL"/>
        </w:rPr>
        <w:t xml:space="preserve"> następującym po dniu ogłoszenia</w:t>
      </w:r>
      <w:r>
        <w:rPr>
          <w:rFonts w:ascii="Times New Roman" w:eastAsia="Times New Roman" w:hAnsi="Times New Roman"/>
          <w:sz w:val="24"/>
          <w:szCs w:val="24"/>
          <w:lang w:eastAsia="pl-PL"/>
        </w:rPr>
        <w:t xml:space="preserve">. </w:t>
      </w:r>
      <w:r w:rsidR="005F2137">
        <w:rPr>
          <w:rFonts w:ascii="Times New Roman" w:eastAsia="Times New Roman" w:hAnsi="Times New Roman"/>
          <w:sz w:val="24"/>
          <w:szCs w:val="24"/>
          <w:lang w:eastAsia="pl-PL"/>
        </w:rPr>
        <w:t xml:space="preserve">Projekt nie przewiduje wprowadzenia zmian, które wymagałyby dostosowania </w:t>
      </w:r>
      <w:r w:rsidR="00C23E32">
        <w:rPr>
          <w:rFonts w:ascii="Times New Roman" w:eastAsia="Times New Roman" w:hAnsi="Times New Roman"/>
          <w:sz w:val="24"/>
          <w:szCs w:val="24"/>
          <w:lang w:eastAsia="pl-PL"/>
        </w:rPr>
        <w:t>istniejących rozwiązań technicznych w zakresie przekazywania danych PNR. Nie propo</w:t>
      </w:r>
      <w:r w:rsidR="00564D3F">
        <w:rPr>
          <w:rFonts w:ascii="Times New Roman" w:eastAsia="Times New Roman" w:hAnsi="Times New Roman"/>
          <w:sz w:val="24"/>
          <w:szCs w:val="24"/>
          <w:lang w:eastAsia="pl-PL"/>
        </w:rPr>
        <w:t>nuje się również żadnych zmian, które w jakikolwiek sposób mogłyby rzutować</w:t>
      </w:r>
      <w:r w:rsidR="00C23E32">
        <w:rPr>
          <w:rFonts w:ascii="Times New Roman" w:eastAsia="Times New Roman" w:hAnsi="Times New Roman"/>
          <w:sz w:val="24"/>
          <w:szCs w:val="24"/>
          <w:lang w:eastAsia="pl-PL"/>
        </w:rPr>
        <w:t xml:space="preserve"> na konieczność modyfikacji </w:t>
      </w:r>
      <w:r w:rsidR="005A33F3">
        <w:rPr>
          <w:rFonts w:ascii="Times New Roman" w:eastAsia="Times New Roman" w:hAnsi="Times New Roman"/>
          <w:sz w:val="24"/>
          <w:szCs w:val="24"/>
          <w:lang w:eastAsia="pl-PL"/>
        </w:rPr>
        <w:t xml:space="preserve">dotychczasowego </w:t>
      </w:r>
      <w:r w:rsidR="00C23E32">
        <w:rPr>
          <w:rFonts w:ascii="Times New Roman" w:eastAsia="Times New Roman" w:hAnsi="Times New Roman"/>
          <w:sz w:val="24"/>
          <w:szCs w:val="24"/>
          <w:lang w:eastAsia="pl-PL"/>
        </w:rPr>
        <w:t>sposobu postępowania przez przewoźników lotniczych. W</w:t>
      </w:r>
      <w:r w:rsidR="007610EC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C23E32">
        <w:rPr>
          <w:rFonts w:ascii="Times New Roman" w:eastAsia="Times New Roman" w:hAnsi="Times New Roman"/>
          <w:sz w:val="24"/>
          <w:szCs w:val="24"/>
          <w:lang w:eastAsia="pl-PL"/>
        </w:rPr>
        <w:t xml:space="preserve">związku z tym </w:t>
      </w:r>
      <w:r w:rsidR="009C16B1">
        <w:rPr>
          <w:rFonts w:ascii="Times New Roman" w:eastAsia="Times New Roman" w:hAnsi="Times New Roman"/>
          <w:sz w:val="24"/>
          <w:szCs w:val="24"/>
          <w:lang w:eastAsia="pl-PL"/>
        </w:rPr>
        <w:t xml:space="preserve">jest </w:t>
      </w:r>
      <w:r w:rsidR="00C23E32">
        <w:rPr>
          <w:rFonts w:ascii="Times New Roman" w:eastAsia="Times New Roman" w:hAnsi="Times New Roman"/>
          <w:sz w:val="24"/>
          <w:szCs w:val="24"/>
          <w:lang w:eastAsia="pl-PL"/>
        </w:rPr>
        <w:t>zasadne</w:t>
      </w:r>
      <w:r w:rsidR="003D066D">
        <w:rPr>
          <w:rFonts w:ascii="Times New Roman" w:eastAsia="Times New Roman" w:hAnsi="Times New Roman"/>
          <w:sz w:val="24"/>
          <w:szCs w:val="24"/>
          <w:lang w:eastAsia="pl-PL"/>
        </w:rPr>
        <w:t>,</w:t>
      </w:r>
      <w:r w:rsidR="00C23E32">
        <w:rPr>
          <w:rFonts w:ascii="Times New Roman" w:eastAsia="Times New Roman" w:hAnsi="Times New Roman"/>
          <w:sz w:val="24"/>
          <w:szCs w:val="24"/>
          <w:lang w:eastAsia="pl-PL"/>
        </w:rPr>
        <w:t xml:space="preserve"> aby</w:t>
      </w:r>
      <w:r w:rsidR="005F2137">
        <w:rPr>
          <w:rFonts w:ascii="Times New Roman" w:eastAsia="Times New Roman" w:hAnsi="Times New Roman"/>
          <w:sz w:val="24"/>
          <w:szCs w:val="24"/>
          <w:lang w:eastAsia="pl-PL"/>
        </w:rPr>
        <w:t xml:space="preserve"> </w:t>
      </w:r>
      <w:r w:rsidR="00564D3F">
        <w:rPr>
          <w:rFonts w:ascii="Times New Roman" w:eastAsia="Times New Roman" w:hAnsi="Times New Roman"/>
          <w:sz w:val="24"/>
          <w:szCs w:val="24"/>
          <w:lang w:eastAsia="pl-PL"/>
        </w:rPr>
        <w:t>p</w:t>
      </w:r>
      <w:r w:rsidR="00061D3D">
        <w:rPr>
          <w:rFonts w:ascii="Times New Roman" w:eastAsia="Times New Roman" w:hAnsi="Times New Roman"/>
          <w:sz w:val="24"/>
          <w:szCs w:val="24"/>
          <w:lang w:eastAsia="pl-PL"/>
        </w:rPr>
        <w:t xml:space="preserve">rojektowana </w:t>
      </w:r>
      <w:r w:rsidR="00061D3D">
        <w:rPr>
          <w:rFonts w:ascii="Times New Roman" w:hAnsi="Times New Roman"/>
          <w:sz w:val="24"/>
          <w:szCs w:val="24"/>
        </w:rPr>
        <w:t xml:space="preserve">ustawa </w:t>
      </w:r>
      <w:r w:rsidR="00564D3F">
        <w:rPr>
          <w:rFonts w:ascii="Times New Roman" w:hAnsi="Times New Roman"/>
          <w:sz w:val="24"/>
          <w:szCs w:val="24"/>
        </w:rPr>
        <w:t>weszła</w:t>
      </w:r>
      <w:r w:rsidR="00061D3D" w:rsidRPr="00C21030">
        <w:rPr>
          <w:rFonts w:ascii="Times New Roman" w:hAnsi="Times New Roman"/>
          <w:sz w:val="24"/>
          <w:szCs w:val="24"/>
        </w:rPr>
        <w:t xml:space="preserve"> w życie jak najszybciej</w:t>
      </w:r>
      <w:r w:rsidR="005A33F3">
        <w:rPr>
          <w:rFonts w:ascii="Times New Roman" w:hAnsi="Times New Roman"/>
          <w:sz w:val="24"/>
          <w:szCs w:val="24"/>
        </w:rPr>
        <w:t xml:space="preserve">. </w:t>
      </w:r>
      <w:r w:rsidR="00564D3F">
        <w:rPr>
          <w:rFonts w:ascii="Times New Roman" w:hAnsi="Times New Roman"/>
          <w:sz w:val="24"/>
          <w:szCs w:val="24"/>
        </w:rPr>
        <w:t xml:space="preserve">Wydłużenie w czasie </w:t>
      </w:r>
      <w:r w:rsidR="00564D3F" w:rsidRPr="00564D3F">
        <w:rPr>
          <w:rFonts w:ascii="Times New Roman" w:hAnsi="Times New Roman"/>
          <w:sz w:val="24"/>
          <w:szCs w:val="24"/>
        </w:rPr>
        <w:t>obciąże</w:t>
      </w:r>
      <w:r w:rsidR="00564D3F">
        <w:rPr>
          <w:rFonts w:ascii="Times New Roman" w:hAnsi="Times New Roman"/>
          <w:sz w:val="24"/>
          <w:szCs w:val="24"/>
        </w:rPr>
        <w:t>ń</w:t>
      </w:r>
      <w:r w:rsidR="00564D3F" w:rsidRPr="00564D3F">
        <w:rPr>
          <w:rFonts w:ascii="Times New Roman" w:hAnsi="Times New Roman"/>
          <w:sz w:val="24"/>
          <w:szCs w:val="24"/>
        </w:rPr>
        <w:t xml:space="preserve"> finansow</w:t>
      </w:r>
      <w:r w:rsidR="005A33F3">
        <w:rPr>
          <w:rFonts w:ascii="Times New Roman" w:hAnsi="Times New Roman"/>
          <w:sz w:val="24"/>
          <w:szCs w:val="24"/>
        </w:rPr>
        <w:t>ych</w:t>
      </w:r>
      <w:r w:rsidR="00564D3F">
        <w:rPr>
          <w:rFonts w:ascii="Times New Roman" w:hAnsi="Times New Roman"/>
          <w:sz w:val="24"/>
          <w:szCs w:val="24"/>
        </w:rPr>
        <w:t xml:space="preserve"> nakładanych </w:t>
      </w:r>
      <w:r w:rsidR="00564D3F" w:rsidRPr="00564D3F">
        <w:rPr>
          <w:rFonts w:ascii="Times New Roman" w:hAnsi="Times New Roman"/>
          <w:sz w:val="24"/>
          <w:szCs w:val="24"/>
        </w:rPr>
        <w:t xml:space="preserve">na przewoźników lotniczych, które </w:t>
      </w:r>
      <w:r w:rsidR="005A33F3">
        <w:rPr>
          <w:rFonts w:ascii="Times New Roman" w:hAnsi="Times New Roman"/>
          <w:sz w:val="24"/>
          <w:szCs w:val="24"/>
        </w:rPr>
        <w:t>obecnie</w:t>
      </w:r>
      <w:r w:rsidR="00564D3F" w:rsidRPr="00564D3F">
        <w:rPr>
          <w:rFonts w:ascii="Times New Roman" w:hAnsi="Times New Roman"/>
          <w:sz w:val="24"/>
          <w:szCs w:val="24"/>
        </w:rPr>
        <w:t xml:space="preserve"> podlega</w:t>
      </w:r>
      <w:r w:rsidR="005A33F3">
        <w:rPr>
          <w:rFonts w:ascii="Times New Roman" w:hAnsi="Times New Roman"/>
          <w:sz w:val="24"/>
          <w:szCs w:val="24"/>
        </w:rPr>
        <w:t>ją</w:t>
      </w:r>
      <w:r w:rsidR="00564D3F" w:rsidRPr="00564D3F">
        <w:rPr>
          <w:rFonts w:ascii="Times New Roman" w:hAnsi="Times New Roman"/>
          <w:sz w:val="24"/>
          <w:szCs w:val="24"/>
        </w:rPr>
        <w:t xml:space="preserve"> kumulatywnej egzekucji</w:t>
      </w:r>
      <w:r w:rsidR="00564D3F">
        <w:rPr>
          <w:rFonts w:ascii="Times New Roman" w:hAnsi="Times New Roman"/>
          <w:sz w:val="24"/>
          <w:szCs w:val="24"/>
        </w:rPr>
        <w:t xml:space="preserve">, </w:t>
      </w:r>
      <w:r w:rsidR="005A33F3">
        <w:rPr>
          <w:rFonts w:ascii="Times New Roman" w:hAnsi="Times New Roman"/>
          <w:sz w:val="24"/>
          <w:szCs w:val="24"/>
        </w:rPr>
        <w:t xml:space="preserve">pozytywnie odbije się na kondycji finansowej branży lotniczej, co </w:t>
      </w:r>
      <w:r w:rsidR="005A33F3" w:rsidRPr="005A33F3">
        <w:rPr>
          <w:rFonts w:ascii="Times New Roman" w:hAnsi="Times New Roman"/>
          <w:sz w:val="24"/>
          <w:szCs w:val="24"/>
        </w:rPr>
        <w:t>ze względu na sytuację epidemiczną i wynikającą z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="005A33F3" w:rsidRPr="005A33F3">
        <w:rPr>
          <w:rFonts w:ascii="Times New Roman" w:hAnsi="Times New Roman"/>
          <w:sz w:val="24"/>
          <w:szCs w:val="24"/>
        </w:rPr>
        <w:t xml:space="preserve">niej bardzo trudną sytuację finansową </w:t>
      </w:r>
      <w:r w:rsidR="005A33F3">
        <w:rPr>
          <w:rFonts w:ascii="Times New Roman" w:hAnsi="Times New Roman"/>
          <w:sz w:val="24"/>
          <w:szCs w:val="24"/>
        </w:rPr>
        <w:t>branży lotniczej powinno nastąpić jak najszybciej.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="00CC0E05" w:rsidRPr="00C21030">
        <w:rPr>
          <w:rFonts w:ascii="Times New Roman" w:hAnsi="Times New Roman"/>
          <w:sz w:val="24"/>
          <w:szCs w:val="24"/>
        </w:rPr>
        <w:t>Z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="00061D3D" w:rsidRPr="00C21030">
        <w:rPr>
          <w:rFonts w:ascii="Times New Roman" w:hAnsi="Times New Roman"/>
          <w:sz w:val="24"/>
          <w:szCs w:val="24"/>
        </w:rPr>
        <w:t>tych też powodów w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="00061D3D" w:rsidRPr="00C21030">
        <w:rPr>
          <w:rFonts w:ascii="Times New Roman" w:hAnsi="Times New Roman"/>
          <w:sz w:val="24"/>
          <w:szCs w:val="24"/>
        </w:rPr>
        <w:t>przedmiotowym przypadku pozostaje uzasadnion</w:t>
      </w:r>
      <w:r w:rsidR="0043569B">
        <w:rPr>
          <w:rFonts w:ascii="Times New Roman" w:hAnsi="Times New Roman"/>
          <w:sz w:val="24"/>
          <w:szCs w:val="24"/>
        </w:rPr>
        <w:t>e</w:t>
      </w:r>
      <w:r w:rsidR="00061D3D" w:rsidRPr="00C21030">
        <w:rPr>
          <w:rFonts w:ascii="Times New Roman" w:hAnsi="Times New Roman"/>
          <w:sz w:val="24"/>
          <w:szCs w:val="24"/>
        </w:rPr>
        <w:t xml:space="preserve"> skorzystanie </w:t>
      </w:r>
      <w:r w:rsidR="00CC0E05" w:rsidRPr="00C21030">
        <w:rPr>
          <w:rFonts w:ascii="Times New Roman" w:hAnsi="Times New Roman"/>
          <w:sz w:val="24"/>
          <w:szCs w:val="24"/>
        </w:rPr>
        <w:t>z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="00061D3D" w:rsidRPr="00C21030">
        <w:rPr>
          <w:rFonts w:ascii="Times New Roman" w:hAnsi="Times New Roman"/>
          <w:sz w:val="24"/>
          <w:szCs w:val="24"/>
        </w:rPr>
        <w:t>możliwości skrócenia wskazanego terminu, przewidzianej w art. 4 ust. 2 ustawy z dnia 20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="00061D3D" w:rsidRPr="00C21030">
        <w:rPr>
          <w:rFonts w:ascii="Times New Roman" w:hAnsi="Times New Roman"/>
          <w:sz w:val="24"/>
          <w:szCs w:val="24"/>
        </w:rPr>
        <w:t xml:space="preserve">lipca 2000 r. </w:t>
      </w:r>
      <w:r w:rsidR="00061D3D" w:rsidRPr="009C16B1">
        <w:rPr>
          <w:rFonts w:ascii="Times New Roman" w:hAnsi="Times New Roman"/>
          <w:sz w:val="24"/>
          <w:szCs w:val="24"/>
        </w:rPr>
        <w:t xml:space="preserve">o ogłaszaniu aktów normatywnych i niektórych innych aktów prawnych </w:t>
      </w:r>
      <w:r w:rsidR="00061D3D" w:rsidRPr="00C21030">
        <w:rPr>
          <w:rFonts w:ascii="Times New Roman" w:hAnsi="Times New Roman"/>
          <w:sz w:val="24"/>
          <w:szCs w:val="24"/>
        </w:rPr>
        <w:t>(Dz.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="00061D3D" w:rsidRPr="00C21030">
        <w:rPr>
          <w:rFonts w:ascii="Times New Roman" w:hAnsi="Times New Roman"/>
          <w:sz w:val="24"/>
          <w:szCs w:val="24"/>
        </w:rPr>
        <w:t xml:space="preserve">U. z </w:t>
      </w:r>
      <w:r w:rsidR="00CC0E05" w:rsidRPr="00C21030">
        <w:rPr>
          <w:rFonts w:ascii="Times New Roman" w:hAnsi="Times New Roman"/>
          <w:sz w:val="24"/>
          <w:szCs w:val="24"/>
        </w:rPr>
        <w:t>2019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 w:rsidR="00061D3D" w:rsidRPr="00C21030">
        <w:rPr>
          <w:rFonts w:ascii="Times New Roman" w:hAnsi="Times New Roman"/>
          <w:sz w:val="24"/>
          <w:szCs w:val="24"/>
        </w:rPr>
        <w:t>r. poz. 1461).</w:t>
      </w:r>
      <w:r w:rsidR="00AA18A5">
        <w:rPr>
          <w:rFonts w:ascii="Times New Roman" w:hAnsi="Times New Roman"/>
          <w:sz w:val="24"/>
          <w:szCs w:val="24"/>
        </w:rPr>
        <w:t xml:space="preserve"> </w:t>
      </w:r>
      <w:r w:rsidR="00AA18A5" w:rsidRPr="007B3C2F">
        <w:rPr>
          <w:rFonts w:ascii="Times New Roman" w:hAnsi="Times New Roman"/>
          <w:sz w:val="24"/>
          <w:szCs w:val="24"/>
        </w:rPr>
        <w:t>Ważny interes państwa wymaga natychmiastowego wejścia w życie aktu normatywnego i zasady demokratycznego państwa prawnego nie stoją temu na przeszkodzie .</w:t>
      </w:r>
    </w:p>
    <w:p w14:paraId="0CDC9556" w14:textId="59A0B153" w:rsidR="00A93A7E" w:rsidRPr="00A93A7E" w:rsidRDefault="00A93A7E" w:rsidP="00CB1D4E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93A7E">
        <w:rPr>
          <w:rFonts w:ascii="Times New Roman" w:hAnsi="Times New Roman"/>
          <w:sz w:val="24"/>
          <w:szCs w:val="24"/>
        </w:rPr>
        <w:t xml:space="preserve">Projektowane </w:t>
      </w:r>
      <w:r>
        <w:rPr>
          <w:rFonts w:ascii="Times New Roman" w:hAnsi="Times New Roman"/>
          <w:sz w:val="24"/>
          <w:szCs w:val="24"/>
        </w:rPr>
        <w:t xml:space="preserve">zmiany odnoszą się do przepisów objętych </w:t>
      </w:r>
      <w:r w:rsidRPr="00A93A7E">
        <w:rPr>
          <w:rFonts w:ascii="Times New Roman" w:hAnsi="Times New Roman"/>
          <w:sz w:val="24"/>
          <w:szCs w:val="24"/>
        </w:rPr>
        <w:t xml:space="preserve">prawem Unii Europejskiej, </w:t>
      </w:r>
      <w:r>
        <w:rPr>
          <w:rFonts w:ascii="Times New Roman" w:hAnsi="Times New Roman"/>
          <w:sz w:val="24"/>
          <w:szCs w:val="24"/>
        </w:rPr>
        <w:t>gdyż dotyczą ustawy</w:t>
      </w:r>
      <w:r w:rsidR="003D066D">
        <w:rPr>
          <w:rFonts w:ascii="Times New Roman" w:hAnsi="Times New Roman"/>
          <w:sz w:val="24"/>
          <w:szCs w:val="24"/>
        </w:rPr>
        <w:t xml:space="preserve"> z </w:t>
      </w:r>
      <w:r w:rsidR="003D066D" w:rsidRPr="008672E8">
        <w:rPr>
          <w:rFonts w:ascii="Times New Roman" w:hAnsi="Times New Roman"/>
          <w:sz w:val="24"/>
          <w:szCs w:val="24"/>
        </w:rPr>
        <w:t xml:space="preserve">dnia </w:t>
      </w:r>
      <w:r w:rsidR="003D066D">
        <w:rPr>
          <w:rFonts w:ascii="Times New Roman" w:hAnsi="Times New Roman"/>
          <w:sz w:val="24"/>
          <w:szCs w:val="24"/>
        </w:rPr>
        <w:t>9 maja 2018 r.</w:t>
      </w:r>
      <w:r w:rsidRPr="00A93A7E">
        <w:rPr>
          <w:rFonts w:ascii="Times New Roman" w:hAnsi="Times New Roman"/>
          <w:sz w:val="24"/>
          <w:szCs w:val="24"/>
        </w:rPr>
        <w:t xml:space="preserve"> </w:t>
      </w:r>
      <w:r w:rsidRPr="00292B80">
        <w:rPr>
          <w:rFonts w:ascii="Times New Roman" w:hAnsi="Times New Roman"/>
          <w:sz w:val="24"/>
          <w:szCs w:val="24"/>
        </w:rPr>
        <w:t>o przetwarzaniu danych dotyczących przelotu pasażera</w:t>
      </w:r>
      <w:r w:rsidRPr="00A93A7E">
        <w:rPr>
          <w:rFonts w:ascii="Times New Roman" w:hAnsi="Times New Roman"/>
          <w:sz w:val="24"/>
          <w:szCs w:val="24"/>
        </w:rPr>
        <w:t xml:space="preserve">, które wprowadzają rozwiązania ustanowione przez dyrektywę Parlamentu Europejskiego i Rady (UE) 2016/681 z dnia 27 kwietnia 2016 r. </w:t>
      </w:r>
      <w:r w:rsidRPr="00292B80">
        <w:rPr>
          <w:rFonts w:ascii="Times New Roman" w:hAnsi="Times New Roman"/>
          <w:sz w:val="24"/>
          <w:szCs w:val="24"/>
        </w:rPr>
        <w:t xml:space="preserve">w sprawie wykorzystywania danych dotyczących przelotu pasażera (danych PNR) w celu zapobiegania przestępstwom terrorystycznym i poważnej przestępczości, ich wykrywania, prowadzenia postępowań przygotowawczych w ich sprawie i ich ścigania. </w:t>
      </w:r>
      <w:r>
        <w:rPr>
          <w:rFonts w:ascii="Times New Roman" w:hAnsi="Times New Roman"/>
          <w:sz w:val="24"/>
          <w:szCs w:val="24"/>
        </w:rPr>
        <w:t xml:space="preserve">Mając jednak na uwadze zakres proponowanych zmian oraz fakt, że </w:t>
      </w:r>
      <w:r w:rsidR="00CB1D4E">
        <w:rPr>
          <w:rFonts w:ascii="Times New Roman" w:hAnsi="Times New Roman"/>
          <w:sz w:val="24"/>
          <w:szCs w:val="24"/>
        </w:rPr>
        <w:t xml:space="preserve">zmiany te </w:t>
      </w:r>
      <w:r>
        <w:rPr>
          <w:rFonts w:ascii="Times New Roman" w:hAnsi="Times New Roman"/>
          <w:sz w:val="24"/>
          <w:szCs w:val="24"/>
        </w:rPr>
        <w:t>nie</w:t>
      </w:r>
      <w:r w:rsidR="00777F0D">
        <w:rPr>
          <w:rFonts w:ascii="Times New Roman" w:hAnsi="Times New Roman"/>
          <w:sz w:val="24"/>
          <w:szCs w:val="24"/>
        </w:rPr>
        <w:t xml:space="preserve"> będą </w:t>
      </w:r>
      <w:r w:rsidR="00777F0D">
        <w:rPr>
          <w:rFonts w:ascii="Times New Roman" w:hAnsi="Times New Roman"/>
          <w:sz w:val="24"/>
          <w:szCs w:val="24"/>
        </w:rPr>
        <w:lastRenderedPageBreak/>
        <w:t xml:space="preserve">rzutowały na dotychczas przyjęte rozwiązania legislacyjne w tym przedmiocie, a tym samym </w:t>
      </w:r>
      <w:r w:rsidR="00CB1D4E">
        <w:rPr>
          <w:rFonts w:ascii="Times New Roman" w:hAnsi="Times New Roman"/>
          <w:sz w:val="24"/>
          <w:szCs w:val="24"/>
        </w:rPr>
        <w:t xml:space="preserve">na </w:t>
      </w:r>
      <w:r w:rsidR="00CB1D4E" w:rsidRPr="00CB1D4E">
        <w:rPr>
          <w:rFonts w:ascii="Times New Roman" w:hAnsi="Times New Roman"/>
          <w:sz w:val="24"/>
          <w:szCs w:val="24"/>
        </w:rPr>
        <w:t>cel dyrektywy</w:t>
      </w:r>
      <w:r w:rsidR="000F0EDC">
        <w:rPr>
          <w:rFonts w:ascii="Times New Roman" w:hAnsi="Times New Roman"/>
          <w:sz w:val="24"/>
          <w:szCs w:val="24"/>
        </w:rPr>
        <w:t>,</w:t>
      </w:r>
      <w:r w:rsidR="00CB1D4E" w:rsidRPr="00CB1D4E">
        <w:rPr>
          <w:rFonts w:ascii="Times New Roman" w:hAnsi="Times New Roman"/>
          <w:sz w:val="24"/>
          <w:szCs w:val="24"/>
        </w:rPr>
        <w:t xml:space="preserve"> </w:t>
      </w:r>
      <w:r w:rsidR="00CB1D4E">
        <w:rPr>
          <w:rFonts w:ascii="Times New Roman" w:hAnsi="Times New Roman"/>
          <w:sz w:val="24"/>
          <w:szCs w:val="24"/>
        </w:rPr>
        <w:t>projekt</w:t>
      </w:r>
      <w:r w:rsidRPr="00A93A7E">
        <w:rPr>
          <w:rFonts w:ascii="Times New Roman" w:hAnsi="Times New Roman"/>
          <w:sz w:val="24"/>
          <w:szCs w:val="24"/>
        </w:rPr>
        <w:t xml:space="preserve"> nie wymaga przedstawienia właściwym organom Unii Europejskiej, w tym Europejskiemu Bankowi Centralnemu, w celu uzyskania opinii, dokonania powiadomienia, konsultacji </w:t>
      </w:r>
      <w:r w:rsidR="00E9077C">
        <w:rPr>
          <w:rFonts w:ascii="Times New Roman" w:hAnsi="Times New Roman"/>
          <w:sz w:val="24"/>
          <w:szCs w:val="24"/>
        </w:rPr>
        <w:t>albo</w:t>
      </w:r>
      <w:r w:rsidRPr="00A93A7E">
        <w:rPr>
          <w:rFonts w:ascii="Times New Roman" w:hAnsi="Times New Roman"/>
          <w:sz w:val="24"/>
          <w:szCs w:val="24"/>
        </w:rPr>
        <w:t xml:space="preserve"> uzgodnienia.</w:t>
      </w:r>
    </w:p>
    <w:p w14:paraId="0559AB49" w14:textId="461BE950" w:rsidR="00A93A7E" w:rsidRPr="00A93A7E" w:rsidRDefault="00A93A7E" w:rsidP="00A93A7E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93A7E">
        <w:rPr>
          <w:rFonts w:ascii="Times New Roman" w:hAnsi="Times New Roman"/>
          <w:sz w:val="24"/>
          <w:szCs w:val="24"/>
        </w:rPr>
        <w:t xml:space="preserve">Projekt nie podlega </w:t>
      </w:r>
      <w:r w:rsidR="00CB1D4E">
        <w:rPr>
          <w:rFonts w:ascii="Times New Roman" w:hAnsi="Times New Roman"/>
          <w:sz w:val="24"/>
          <w:szCs w:val="24"/>
        </w:rPr>
        <w:t xml:space="preserve">również </w:t>
      </w:r>
      <w:r w:rsidRPr="00A93A7E">
        <w:rPr>
          <w:rFonts w:ascii="Times New Roman" w:hAnsi="Times New Roman"/>
          <w:sz w:val="24"/>
          <w:szCs w:val="24"/>
        </w:rPr>
        <w:t>procedurze notyfikacji w rozumieniu przepisów rozporządzenia Rady Ministrów z dnia 23 grudnia 2002 r. w sprawie sposobu funkcjonowania krajowego systemu notyfikacji nor</w:t>
      </w:r>
      <w:r w:rsidR="00292B80">
        <w:rPr>
          <w:rFonts w:ascii="Times New Roman" w:hAnsi="Times New Roman"/>
          <w:sz w:val="24"/>
          <w:szCs w:val="24"/>
        </w:rPr>
        <w:t>m i aktów prawnych (Dz. U. poz. </w:t>
      </w:r>
      <w:r w:rsidRPr="00A93A7E">
        <w:rPr>
          <w:rFonts w:ascii="Times New Roman" w:hAnsi="Times New Roman"/>
          <w:sz w:val="24"/>
          <w:szCs w:val="24"/>
        </w:rPr>
        <w:t xml:space="preserve">2039 oraz z 2004 r. poz. 597). </w:t>
      </w:r>
    </w:p>
    <w:p w14:paraId="76470AA8" w14:textId="77777777" w:rsidR="008D5499" w:rsidRPr="008D5499" w:rsidRDefault="008D5499" w:rsidP="008D5499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</w:t>
      </w:r>
      <w:r w:rsidRPr="001040E2">
        <w:rPr>
          <w:rFonts w:ascii="Times New Roman" w:hAnsi="Times New Roman"/>
          <w:sz w:val="24"/>
          <w:szCs w:val="24"/>
        </w:rPr>
        <w:t>rojekt ustawy nie jest sprzeczny z prawem Unii Europejskiej</w:t>
      </w:r>
      <w:r>
        <w:rPr>
          <w:rFonts w:ascii="Times New Roman" w:hAnsi="Times New Roman"/>
          <w:sz w:val="24"/>
          <w:szCs w:val="24"/>
        </w:rPr>
        <w:t>.</w:t>
      </w:r>
      <w:bookmarkStart w:id="0" w:name="_GoBack"/>
      <w:bookmarkEnd w:id="0"/>
    </w:p>
    <w:p w14:paraId="5C0CB4FB" w14:textId="4C4481AA" w:rsidR="00A93A7E" w:rsidRPr="00A93A7E" w:rsidRDefault="00A93A7E" w:rsidP="00A93A7E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 w:rsidRPr="00A93A7E">
        <w:rPr>
          <w:rFonts w:ascii="Times New Roman" w:hAnsi="Times New Roman"/>
          <w:sz w:val="24"/>
          <w:szCs w:val="24"/>
        </w:rPr>
        <w:t xml:space="preserve">Stosownie do wymogów art. 5 ustawy z dnia 7 lipca 2005 r. </w:t>
      </w:r>
      <w:r w:rsidRPr="00292B80">
        <w:rPr>
          <w:rFonts w:ascii="Times New Roman" w:hAnsi="Times New Roman"/>
          <w:sz w:val="24"/>
          <w:szCs w:val="24"/>
        </w:rPr>
        <w:t xml:space="preserve">o działalności lobbingowej w procesie stanowienia prawa </w:t>
      </w:r>
      <w:r w:rsidRPr="00A93A7E">
        <w:rPr>
          <w:rFonts w:ascii="Times New Roman" w:hAnsi="Times New Roman"/>
          <w:sz w:val="24"/>
          <w:szCs w:val="24"/>
        </w:rPr>
        <w:t>(Dz. U. z 2017 r. poz. 248) projekt ustawy zostanie udostępniony w portalu GOV.PL na stronie podmiotowej Ministra Spraw Wewnętrznych i Administracji. Ponadto</w:t>
      </w:r>
      <w:r w:rsidR="000F0EDC">
        <w:rPr>
          <w:rFonts w:ascii="Times New Roman" w:hAnsi="Times New Roman"/>
          <w:sz w:val="24"/>
          <w:szCs w:val="24"/>
        </w:rPr>
        <w:t>,</w:t>
      </w:r>
      <w:r w:rsidRPr="00A93A7E">
        <w:rPr>
          <w:rFonts w:ascii="Times New Roman" w:hAnsi="Times New Roman"/>
          <w:sz w:val="24"/>
          <w:szCs w:val="24"/>
        </w:rPr>
        <w:t xml:space="preserve"> zgodnie z § 52 ust. 1 uchwały nr 190 Rady Ministrów z</w:t>
      </w:r>
      <w:r w:rsidR="00292B80">
        <w:rPr>
          <w:rFonts w:ascii="Times New Roman" w:hAnsi="Times New Roman"/>
          <w:sz w:val="24"/>
          <w:szCs w:val="24"/>
        </w:rPr>
        <w:t xml:space="preserve"> dnia 29 </w:t>
      </w:r>
      <w:r w:rsidR="003D066D">
        <w:rPr>
          <w:rFonts w:ascii="Times New Roman" w:hAnsi="Times New Roman"/>
          <w:sz w:val="24"/>
          <w:szCs w:val="24"/>
        </w:rPr>
        <w:t xml:space="preserve">października 2013 r. – </w:t>
      </w:r>
      <w:r w:rsidRPr="00292B80">
        <w:rPr>
          <w:rFonts w:ascii="Times New Roman" w:hAnsi="Times New Roman"/>
          <w:sz w:val="24"/>
          <w:szCs w:val="24"/>
        </w:rPr>
        <w:t>Regulamin pracy Rady Ministrów</w:t>
      </w:r>
      <w:r w:rsidR="00292B80">
        <w:rPr>
          <w:rFonts w:ascii="Times New Roman" w:hAnsi="Times New Roman"/>
          <w:sz w:val="24"/>
          <w:szCs w:val="24"/>
        </w:rPr>
        <w:t xml:space="preserve"> (M.P. z 2016 r. poz. 1006, z </w:t>
      </w:r>
      <w:r w:rsidRPr="00A93A7E">
        <w:rPr>
          <w:rFonts w:ascii="Times New Roman" w:hAnsi="Times New Roman"/>
          <w:sz w:val="24"/>
          <w:szCs w:val="24"/>
        </w:rPr>
        <w:t>późn. zm.)</w:t>
      </w:r>
      <w:r w:rsidR="000F0EDC">
        <w:rPr>
          <w:rFonts w:ascii="Times New Roman" w:hAnsi="Times New Roman"/>
          <w:sz w:val="24"/>
          <w:szCs w:val="24"/>
        </w:rPr>
        <w:t>,</w:t>
      </w:r>
      <w:r w:rsidRPr="00A93A7E">
        <w:rPr>
          <w:rFonts w:ascii="Times New Roman" w:hAnsi="Times New Roman"/>
          <w:sz w:val="24"/>
          <w:szCs w:val="24"/>
        </w:rPr>
        <w:t xml:space="preserve"> projekt zosta</w:t>
      </w:r>
      <w:r w:rsidR="007D3ED5">
        <w:rPr>
          <w:rFonts w:ascii="Times New Roman" w:hAnsi="Times New Roman"/>
          <w:sz w:val="24"/>
          <w:szCs w:val="24"/>
        </w:rPr>
        <w:t>ł</w:t>
      </w:r>
      <w:r w:rsidRPr="00A93A7E">
        <w:rPr>
          <w:rFonts w:ascii="Times New Roman" w:hAnsi="Times New Roman"/>
          <w:sz w:val="24"/>
          <w:szCs w:val="24"/>
        </w:rPr>
        <w:t xml:space="preserve"> zamieszczony w Biuletynie Informacji Publicznej na stronie podmiotowej Rządowego Centrum Legislacji w serwisie Rządowy Proces Legislacyjny.</w:t>
      </w:r>
    </w:p>
    <w:p w14:paraId="0EF791DE" w14:textId="5188B4BC" w:rsidR="00E136A5" w:rsidRDefault="00075BA9" w:rsidP="003D066D">
      <w:pPr>
        <w:suppressAutoHyphens/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Projekt nie podlegał dokonaniu oceny OSR przez koordynatora OSR w trybie </w:t>
      </w:r>
      <w:r w:rsidR="00A93A7E" w:rsidRPr="00A93A7E">
        <w:rPr>
          <w:rFonts w:ascii="Times New Roman" w:hAnsi="Times New Roman"/>
          <w:sz w:val="24"/>
          <w:szCs w:val="24"/>
        </w:rPr>
        <w:t>§ 32 ust.</w:t>
      </w:r>
      <w:r w:rsidR="007610E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2 </w:t>
      </w:r>
      <w:r w:rsidR="008B046C">
        <w:rPr>
          <w:rFonts w:ascii="Times New Roman" w:hAnsi="Times New Roman"/>
          <w:sz w:val="24"/>
          <w:szCs w:val="24"/>
        </w:rPr>
        <w:t xml:space="preserve">uchwały </w:t>
      </w:r>
      <w:r w:rsidR="008B046C" w:rsidRPr="00A93A7E">
        <w:rPr>
          <w:rFonts w:ascii="Times New Roman" w:hAnsi="Times New Roman"/>
          <w:sz w:val="24"/>
          <w:szCs w:val="24"/>
        </w:rPr>
        <w:t>nr 190 Rady Ministrów z</w:t>
      </w:r>
      <w:r w:rsidR="008B046C">
        <w:rPr>
          <w:rFonts w:ascii="Times New Roman" w:hAnsi="Times New Roman"/>
          <w:sz w:val="24"/>
          <w:szCs w:val="24"/>
        </w:rPr>
        <w:t xml:space="preserve"> dnia 29 października 2013 r. – </w:t>
      </w:r>
      <w:r w:rsidR="007445D0" w:rsidRPr="00292B80">
        <w:rPr>
          <w:rFonts w:ascii="Times New Roman" w:hAnsi="Times New Roman"/>
          <w:sz w:val="24"/>
          <w:szCs w:val="24"/>
        </w:rPr>
        <w:t>Regulamin pracy Rady Ministrów</w:t>
      </w:r>
      <w:r w:rsidRPr="00292B80">
        <w:rPr>
          <w:rFonts w:ascii="Times New Roman" w:hAnsi="Times New Roman"/>
          <w:sz w:val="24"/>
          <w:szCs w:val="24"/>
        </w:rPr>
        <w:t>.</w:t>
      </w:r>
    </w:p>
    <w:p w14:paraId="048A79E0" w14:textId="6626B6FE" w:rsidR="008D5499" w:rsidRPr="008D5499" w:rsidRDefault="008D5499" w:rsidP="008D5499">
      <w:pPr>
        <w:suppressAutoHyphens/>
        <w:spacing w:after="0" w:line="360" w:lineRule="auto"/>
        <w:jc w:val="both"/>
        <w:rPr>
          <w:rFonts w:ascii="Times New Roman" w:hAnsi="Times New Roman"/>
          <w:sz w:val="2"/>
          <w:szCs w:val="2"/>
        </w:rPr>
      </w:pPr>
    </w:p>
    <w:sectPr w:rsidR="008D5499" w:rsidRPr="008D5499" w:rsidSect="00EC4786">
      <w:footerReference w:type="default" r:id="rId7"/>
      <w:pgSz w:w="11906" w:h="16838"/>
      <w:pgMar w:top="1588" w:right="1418" w:bottom="1418" w:left="1985" w:header="709" w:footer="709" w:gutter="0"/>
      <w:cols w:space="708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29D35054" w16cid:durableId="2543F2B4"/>
  <w16cid:commentId w16cid:paraId="14323A7A" w16cid:durableId="2543F2B5"/>
  <w16cid:commentId w16cid:paraId="662E4BA1" w16cid:durableId="2543F2B6"/>
  <w16cid:commentId w16cid:paraId="77FF1302" w16cid:durableId="2543F2B7"/>
  <w16cid:commentId w16cid:paraId="4A9579FC" w16cid:durableId="2543F2B8"/>
  <w16cid:commentId w16cid:paraId="13758292" w16cid:durableId="2543F2B9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50A93C" w14:textId="77777777" w:rsidR="00996209" w:rsidRDefault="00996209" w:rsidP="007610EC">
      <w:pPr>
        <w:spacing w:after="0" w:line="240" w:lineRule="auto"/>
      </w:pPr>
      <w:r>
        <w:separator/>
      </w:r>
    </w:p>
  </w:endnote>
  <w:endnote w:type="continuationSeparator" w:id="0">
    <w:p w14:paraId="1F996512" w14:textId="77777777" w:rsidR="00996209" w:rsidRDefault="00996209" w:rsidP="007610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47960983"/>
      <w:docPartObj>
        <w:docPartGallery w:val="Page Numbers (Bottom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14:paraId="253203C9" w14:textId="0C078F3B" w:rsidR="007610EC" w:rsidRPr="00292B80" w:rsidRDefault="007610EC" w:rsidP="00EC4786">
        <w:pPr>
          <w:pStyle w:val="Stopka"/>
          <w:jc w:val="center"/>
          <w:rPr>
            <w:rFonts w:ascii="Times New Roman" w:hAnsi="Times New Roman"/>
            <w:sz w:val="24"/>
            <w:szCs w:val="24"/>
          </w:rPr>
        </w:pPr>
        <w:r w:rsidRPr="00EC4786">
          <w:rPr>
            <w:rFonts w:ascii="Times New Roman" w:hAnsi="Times New Roman"/>
            <w:sz w:val="24"/>
            <w:szCs w:val="24"/>
          </w:rPr>
          <w:fldChar w:fldCharType="begin"/>
        </w:r>
        <w:r w:rsidRPr="00EC4786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EC4786">
          <w:rPr>
            <w:rFonts w:ascii="Times New Roman" w:hAnsi="Times New Roman"/>
            <w:sz w:val="24"/>
            <w:szCs w:val="24"/>
          </w:rPr>
          <w:fldChar w:fldCharType="separate"/>
        </w:r>
        <w:r w:rsidR="00C67753">
          <w:rPr>
            <w:rFonts w:ascii="Times New Roman" w:hAnsi="Times New Roman"/>
            <w:noProof/>
            <w:sz w:val="24"/>
            <w:szCs w:val="24"/>
          </w:rPr>
          <w:t>8</w:t>
        </w:r>
        <w:r w:rsidRPr="00EC4786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022AB2" w14:textId="77777777" w:rsidR="00996209" w:rsidRDefault="00996209" w:rsidP="007610EC">
      <w:pPr>
        <w:spacing w:after="0" w:line="240" w:lineRule="auto"/>
      </w:pPr>
      <w:r>
        <w:separator/>
      </w:r>
    </w:p>
  </w:footnote>
  <w:footnote w:type="continuationSeparator" w:id="0">
    <w:p w14:paraId="3DECBBDB" w14:textId="77777777" w:rsidR="00996209" w:rsidRDefault="00996209" w:rsidP="007610E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7D7F"/>
    <w:rsid w:val="00017BEE"/>
    <w:rsid w:val="00035E4D"/>
    <w:rsid w:val="00061D3D"/>
    <w:rsid w:val="00075BA9"/>
    <w:rsid w:val="00081624"/>
    <w:rsid w:val="00081ADC"/>
    <w:rsid w:val="000A5C99"/>
    <w:rsid w:val="000E4A2B"/>
    <w:rsid w:val="000F0ADD"/>
    <w:rsid w:val="000F0EDC"/>
    <w:rsid w:val="000F7E65"/>
    <w:rsid w:val="001039D4"/>
    <w:rsid w:val="00106E30"/>
    <w:rsid w:val="00106FCE"/>
    <w:rsid w:val="0011706D"/>
    <w:rsid w:val="0014632A"/>
    <w:rsid w:val="001718C4"/>
    <w:rsid w:val="00187B6C"/>
    <w:rsid w:val="001B5215"/>
    <w:rsid w:val="001D0408"/>
    <w:rsid w:val="001E0C76"/>
    <w:rsid w:val="00221E9B"/>
    <w:rsid w:val="00292B80"/>
    <w:rsid w:val="002F3680"/>
    <w:rsid w:val="00317D82"/>
    <w:rsid w:val="003418C5"/>
    <w:rsid w:val="00363B1B"/>
    <w:rsid w:val="0039258A"/>
    <w:rsid w:val="003D066D"/>
    <w:rsid w:val="003E426B"/>
    <w:rsid w:val="003F33F1"/>
    <w:rsid w:val="003F738F"/>
    <w:rsid w:val="0040606B"/>
    <w:rsid w:val="00413957"/>
    <w:rsid w:val="00420C17"/>
    <w:rsid w:val="00421D9D"/>
    <w:rsid w:val="0043569B"/>
    <w:rsid w:val="004679BF"/>
    <w:rsid w:val="0048255D"/>
    <w:rsid w:val="004A4E1D"/>
    <w:rsid w:val="004B08FF"/>
    <w:rsid w:val="00507A50"/>
    <w:rsid w:val="00516369"/>
    <w:rsid w:val="00550166"/>
    <w:rsid w:val="00556D96"/>
    <w:rsid w:val="00564D3F"/>
    <w:rsid w:val="00565E9D"/>
    <w:rsid w:val="00570695"/>
    <w:rsid w:val="005771B4"/>
    <w:rsid w:val="005A33F3"/>
    <w:rsid w:val="005C59C3"/>
    <w:rsid w:val="005F0EDF"/>
    <w:rsid w:val="005F2137"/>
    <w:rsid w:val="00630696"/>
    <w:rsid w:val="00651BDD"/>
    <w:rsid w:val="00654384"/>
    <w:rsid w:val="00673E32"/>
    <w:rsid w:val="00682D0A"/>
    <w:rsid w:val="006856F2"/>
    <w:rsid w:val="006950BC"/>
    <w:rsid w:val="006A11B2"/>
    <w:rsid w:val="006C1373"/>
    <w:rsid w:val="006E3122"/>
    <w:rsid w:val="006F611F"/>
    <w:rsid w:val="007445D0"/>
    <w:rsid w:val="007610EC"/>
    <w:rsid w:val="00777F0D"/>
    <w:rsid w:val="007910D5"/>
    <w:rsid w:val="00792B20"/>
    <w:rsid w:val="007A5B16"/>
    <w:rsid w:val="007B3C2F"/>
    <w:rsid w:val="007D3ED5"/>
    <w:rsid w:val="00843923"/>
    <w:rsid w:val="008548B3"/>
    <w:rsid w:val="008672E8"/>
    <w:rsid w:val="008A44FB"/>
    <w:rsid w:val="008B046C"/>
    <w:rsid w:val="008C6E5A"/>
    <w:rsid w:val="008D33D6"/>
    <w:rsid w:val="008D5499"/>
    <w:rsid w:val="008E535D"/>
    <w:rsid w:val="00921C13"/>
    <w:rsid w:val="00931CEB"/>
    <w:rsid w:val="009520E2"/>
    <w:rsid w:val="00987D7F"/>
    <w:rsid w:val="00996209"/>
    <w:rsid w:val="009A5E4D"/>
    <w:rsid w:val="009C16B1"/>
    <w:rsid w:val="009F5F89"/>
    <w:rsid w:val="00A11CF0"/>
    <w:rsid w:val="00A13433"/>
    <w:rsid w:val="00A3767A"/>
    <w:rsid w:val="00A73827"/>
    <w:rsid w:val="00A85D61"/>
    <w:rsid w:val="00A93A7E"/>
    <w:rsid w:val="00A96A92"/>
    <w:rsid w:val="00AA0B54"/>
    <w:rsid w:val="00AA18A5"/>
    <w:rsid w:val="00B33A53"/>
    <w:rsid w:val="00BA0B39"/>
    <w:rsid w:val="00BC31DF"/>
    <w:rsid w:val="00BD4563"/>
    <w:rsid w:val="00C23E32"/>
    <w:rsid w:val="00C305E1"/>
    <w:rsid w:val="00C440E6"/>
    <w:rsid w:val="00C5000A"/>
    <w:rsid w:val="00C60BC4"/>
    <w:rsid w:val="00C67753"/>
    <w:rsid w:val="00CA4CB2"/>
    <w:rsid w:val="00CB1D4E"/>
    <w:rsid w:val="00CC0E05"/>
    <w:rsid w:val="00CD247E"/>
    <w:rsid w:val="00CE2533"/>
    <w:rsid w:val="00CF459F"/>
    <w:rsid w:val="00D11DE5"/>
    <w:rsid w:val="00D239D7"/>
    <w:rsid w:val="00D46ECE"/>
    <w:rsid w:val="00D714C9"/>
    <w:rsid w:val="00DA58FA"/>
    <w:rsid w:val="00DD2B3F"/>
    <w:rsid w:val="00E03D1F"/>
    <w:rsid w:val="00E07F8B"/>
    <w:rsid w:val="00E136A5"/>
    <w:rsid w:val="00E179E9"/>
    <w:rsid w:val="00E40CC9"/>
    <w:rsid w:val="00E86073"/>
    <w:rsid w:val="00E9077C"/>
    <w:rsid w:val="00E93213"/>
    <w:rsid w:val="00EB0BB0"/>
    <w:rsid w:val="00EC4786"/>
    <w:rsid w:val="00ED025C"/>
    <w:rsid w:val="00EE20AA"/>
    <w:rsid w:val="00EF77F3"/>
    <w:rsid w:val="00F02045"/>
    <w:rsid w:val="00F1499B"/>
    <w:rsid w:val="00F66958"/>
    <w:rsid w:val="00F82A82"/>
    <w:rsid w:val="00FB200A"/>
    <w:rsid w:val="00FE0E42"/>
    <w:rsid w:val="00FE10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E6D10A"/>
  <w15:docId w15:val="{43895312-0896-460D-AD68-E90E836BB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987D7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682D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82D0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82D0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82D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82D0A"/>
    <w:rPr>
      <w:rFonts w:ascii="Calibri" w:eastAsia="Calibri" w:hAnsi="Calibri" w:cs="Times New Roman"/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82D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82D0A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61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610E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7610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610E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6CEB2E-79C3-45C3-BB10-FA27C5BF18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2761</Words>
  <Characters>16571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19294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Andrzejewska Monika</dc:creator>
  <cp:lastModifiedBy>Wójcik Aleksandra</cp:lastModifiedBy>
  <cp:revision>3</cp:revision>
  <cp:lastPrinted>2021-11-26T14:30:00Z</cp:lastPrinted>
  <dcterms:created xsi:type="dcterms:W3CDTF">2021-12-13T14:27:00Z</dcterms:created>
  <dcterms:modified xsi:type="dcterms:W3CDTF">2021-12-13T14:31:00Z</dcterms:modified>
</cp:coreProperties>
</file>