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279" w:rsidRPr="007E0ED1" w:rsidRDefault="00684A29" w:rsidP="007E0ED1">
      <w:pPr>
        <w:spacing w:before="120" w:line="360" w:lineRule="auto"/>
        <w:jc w:val="center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</w:rPr>
        <w:t>UZASADNIENIE</w:t>
      </w:r>
    </w:p>
    <w:p w:rsidR="00332279" w:rsidRPr="007E0ED1" w:rsidRDefault="00684A29" w:rsidP="007E0ED1">
      <w:pPr>
        <w:numPr>
          <w:ilvl w:val="0"/>
          <w:numId w:val="1"/>
        </w:num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b/>
        </w:rPr>
        <w:t xml:space="preserve">Potrzeba i cel związania Rzeczypospolitej Polskiej Porozumieniem </w:t>
      </w:r>
    </w:p>
    <w:p w:rsidR="00332279" w:rsidRPr="007E0ED1" w:rsidRDefault="00684A29" w:rsidP="007E0ED1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sz w:val="24"/>
          <w:szCs w:val="24"/>
        </w:rPr>
        <w:t xml:space="preserve">Traktaty inwestycyjne zawarte między państwami członkowskimi Unii Europejskiej (umowy o popieraniu i ochronie inwestycji, dalej jako „umowy intra-EU BIT”) zapewniają inwestorowi i jego inwestycjom z państwa – Strony umowy na terytorium państwa – drugiej Strony umowy ochronę oraz możliwość dochodzenia roszczeń przed międzynarodowym trybunałem inwestycyjnym (arbitrażowym). </w:t>
      </w:r>
    </w:p>
    <w:p w:rsidR="00332279" w:rsidRPr="007E0ED1" w:rsidRDefault="00684A29" w:rsidP="007E0ED1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ED1">
        <w:rPr>
          <w:rFonts w:ascii="Times New Roman" w:hAnsi="Times New Roman" w:cs="Times New Roman"/>
          <w:sz w:val="24"/>
          <w:szCs w:val="24"/>
        </w:rPr>
        <w:t>Obowiązywanie tych umów jest kwestionowane przez Komisję Europejską z uwagi na ich niezgodność z prawem UE. Komisja Europejska wszczęła formalne postępowania ws. niezgodności tych umów z prawem UE przeciwko Austrii, Niderlandom, Słowacji, Szwecji, Rumunii, Finlandii i Wielkiej Brytanii, natomiast przeciwko pozostałym państwom członkowskim, w tym przeciwko R</w:t>
      </w:r>
      <w:r w:rsidR="00606ED4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7E0ED1">
        <w:rPr>
          <w:rFonts w:ascii="Times New Roman" w:hAnsi="Times New Roman" w:cs="Times New Roman"/>
          <w:sz w:val="24"/>
          <w:szCs w:val="24"/>
        </w:rPr>
        <w:t>P</w:t>
      </w:r>
      <w:r w:rsidR="00606ED4">
        <w:rPr>
          <w:rFonts w:ascii="Times New Roman" w:hAnsi="Times New Roman" w:cs="Times New Roman"/>
          <w:sz w:val="24"/>
          <w:szCs w:val="24"/>
        </w:rPr>
        <w:t>olskiej</w:t>
      </w:r>
      <w:r w:rsidRPr="007E0ED1">
        <w:rPr>
          <w:rFonts w:ascii="Times New Roman" w:hAnsi="Times New Roman" w:cs="Times New Roman"/>
          <w:sz w:val="24"/>
          <w:szCs w:val="24"/>
        </w:rPr>
        <w:t xml:space="preserve">, prowadziła nieformalne postępowania (tzw. EU Pilot) i rozważa obecnie wszczęcie formalnych postępowań. </w:t>
      </w:r>
    </w:p>
    <w:p w:rsidR="00332279" w:rsidRPr="007E0ED1" w:rsidRDefault="00684A29" w:rsidP="007E0ED1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sz w:val="24"/>
          <w:szCs w:val="24"/>
        </w:rPr>
        <w:t>W ramach EU Pilot Komisja Europejska zgłaszała poważne obawy, że umowy intra-EU BIT jako takie, a także ich poszczególne postanowienia pokrywają się z</w:t>
      </w:r>
      <w:r w:rsidR="00024396">
        <w:rPr>
          <w:rFonts w:ascii="Times New Roman" w:hAnsi="Times New Roman" w:cs="Times New Roman"/>
          <w:sz w:val="24"/>
          <w:szCs w:val="24"/>
        </w:rPr>
        <w:t> </w:t>
      </w:r>
      <w:r w:rsidRPr="007E0ED1">
        <w:rPr>
          <w:rFonts w:ascii="Times New Roman" w:hAnsi="Times New Roman" w:cs="Times New Roman"/>
          <w:sz w:val="24"/>
          <w:szCs w:val="24"/>
        </w:rPr>
        <w:t xml:space="preserve">postanowieniami Traktatu o funkcjonowaniu Unii Europejskiej lub mogą być z nimi sprzeczne. Wskazywała, w szczególności, na zasady swobody przepływu kapitału, swobody przedsiębiorczości i swobody świadczenia usług oraz na podstawowe zasady prawa UE, takie jak: zasada nadrzędności, jedności, skuteczności i pewności prawa UE. Komisja Europejska podkreślała również sprzeczność z prawem UE postanowień umów intra-EU BIT odnoszących się do kwestii rozstrzygania sporów inwestycyjnych. Co istotne, Trybunał Sprawiedliwości UE (dalej jako „TSUE”) stwierdził w wyroku wydanym </w:t>
      </w:r>
      <w:r w:rsidR="0070085D" w:rsidRPr="007E0ED1">
        <w:rPr>
          <w:rFonts w:ascii="Times New Roman" w:hAnsi="Times New Roman" w:cs="Times New Roman"/>
          <w:sz w:val="24"/>
          <w:szCs w:val="24"/>
        </w:rPr>
        <w:t>w</w:t>
      </w:r>
      <w:r w:rsidR="0070085D">
        <w:rPr>
          <w:rFonts w:ascii="Times New Roman" w:hAnsi="Times New Roman" w:cs="Times New Roman"/>
          <w:sz w:val="24"/>
          <w:szCs w:val="24"/>
        </w:rPr>
        <w:t> </w:t>
      </w:r>
      <w:r w:rsidRPr="007E0ED1">
        <w:rPr>
          <w:rFonts w:ascii="Times New Roman" w:hAnsi="Times New Roman" w:cs="Times New Roman"/>
          <w:sz w:val="24"/>
          <w:szCs w:val="24"/>
        </w:rPr>
        <w:t xml:space="preserve">dniu 6 marca 2018 r. w sprawie Achmea B.V. przeciwko Republice Słowacji (C-284/16, dalej jako „orzeczenie TSUE ws. Achmea”), że klauzule arbitrażowe inwestor – państwo zawarte w umowach intra-EU BIT są niezgodne </w:t>
      </w:r>
      <w:r w:rsidR="00024396" w:rsidRPr="007E0ED1">
        <w:rPr>
          <w:rFonts w:ascii="Times New Roman" w:hAnsi="Times New Roman" w:cs="Times New Roman"/>
          <w:sz w:val="24"/>
          <w:szCs w:val="24"/>
        </w:rPr>
        <w:t>z</w:t>
      </w:r>
      <w:r w:rsidR="00024396">
        <w:rPr>
          <w:rFonts w:ascii="Times New Roman" w:hAnsi="Times New Roman" w:cs="Times New Roman"/>
          <w:sz w:val="24"/>
          <w:szCs w:val="24"/>
        </w:rPr>
        <w:t> </w:t>
      </w:r>
      <w:r w:rsidRPr="007E0ED1">
        <w:rPr>
          <w:rFonts w:ascii="Times New Roman" w:hAnsi="Times New Roman" w:cs="Times New Roman"/>
          <w:sz w:val="24"/>
          <w:szCs w:val="24"/>
        </w:rPr>
        <w:t xml:space="preserve">prawem UE, gdyż naruszają autonomię prawa UE (TSUE nie odnosił się do przepisów materialnych umów intra-EU BIT). Polska przystąpiła do ww. postępowania i przedstawiła w nim stanowisko wskazujące na sprzeczność umów intra-EU BIT </w:t>
      </w:r>
      <w:r w:rsidR="00024396" w:rsidRPr="007E0ED1">
        <w:rPr>
          <w:rFonts w:ascii="Times New Roman" w:hAnsi="Times New Roman" w:cs="Times New Roman"/>
          <w:sz w:val="24"/>
          <w:szCs w:val="24"/>
        </w:rPr>
        <w:t>z</w:t>
      </w:r>
      <w:r w:rsidR="00024396">
        <w:rPr>
          <w:rFonts w:ascii="Times New Roman" w:hAnsi="Times New Roman" w:cs="Times New Roman"/>
          <w:sz w:val="24"/>
          <w:szCs w:val="24"/>
        </w:rPr>
        <w:t> </w:t>
      </w:r>
      <w:r w:rsidRPr="007E0ED1">
        <w:rPr>
          <w:rFonts w:ascii="Times New Roman" w:hAnsi="Times New Roman" w:cs="Times New Roman"/>
          <w:sz w:val="24"/>
          <w:szCs w:val="24"/>
        </w:rPr>
        <w:t>prawem unijnym. Stanowisko zbliżone do RP zajęła Komisja Europejska oraz wiele państw z regionu i spoza niego.</w:t>
      </w:r>
    </w:p>
    <w:p w:rsidR="00332279" w:rsidRPr="007E0ED1" w:rsidRDefault="00684A29" w:rsidP="007E0ED1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0ED1">
        <w:rPr>
          <w:rFonts w:ascii="Times New Roman" w:hAnsi="Times New Roman" w:cs="Times New Roman"/>
          <w:sz w:val="24"/>
          <w:szCs w:val="24"/>
        </w:rPr>
        <w:lastRenderedPageBreak/>
        <w:t xml:space="preserve">Stanowisko RP wobec umów intra-EU BIT zostało przyjęte przez Komitet do Spraw Europejskich w dniu 3 czerwca 2011 r. Zgodnie z nim umowy intra-EU BIT powinny zostać wypowiedziane przez wszystkie państwa członkowskie UE, a najlepszym rozwiązaniem dla RP byłoby jednoczesne podjęcie przez wszystkie państwa członkowskie UE wspólnej decyzji o rozwiązaniu umów intra-EU BIT za obopólną zgodą na mocy Konwencji wiedeńskiej o </w:t>
      </w:r>
      <w:r w:rsidR="000E567C">
        <w:rPr>
          <w:rFonts w:ascii="Times New Roman" w:hAnsi="Times New Roman" w:cs="Times New Roman"/>
          <w:sz w:val="24"/>
          <w:szCs w:val="24"/>
        </w:rPr>
        <w:t>P</w:t>
      </w:r>
      <w:r w:rsidRPr="007E0ED1">
        <w:rPr>
          <w:rFonts w:ascii="Times New Roman" w:hAnsi="Times New Roman" w:cs="Times New Roman"/>
          <w:sz w:val="24"/>
          <w:szCs w:val="24"/>
        </w:rPr>
        <w:t xml:space="preserve">rawie </w:t>
      </w:r>
      <w:r w:rsidR="000E567C">
        <w:rPr>
          <w:rFonts w:ascii="Times New Roman" w:hAnsi="Times New Roman" w:cs="Times New Roman"/>
          <w:sz w:val="24"/>
          <w:szCs w:val="24"/>
        </w:rPr>
        <w:t>T</w:t>
      </w:r>
      <w:r w:rsidRPr="007E0ED1">
        <w:rPr>
          <w:rFonts w:ascii="Times New Roman" w:hAnsi="Times New Roman" w:cs="Times New Roman"/>
          <w:sz w:val="24"/>
          <w:szCs w:val="24"/>
        </w:rPr>
        <w:t>raktatów sporządzonej w Wiedniu dnia 23 maja 1969 r. (Dz. U. z 1990 r. poz. 439). Alternatywnie, w przypadku braku możliwości osiągnięcia wśród państw członkowskich UE takiej jednomyślności</w:t>
      </w:r>
      <w:r w:rsidR="00BC4DEE">
        <w:rPr>
          <w:rFonts w:ascii="Times New Roman" w:hAnsi="Times New Roman" w:cs="Times New Roman"/>
          <w:sz w:val="24"/>
          <w:szCs w:val="24"/>
        </w:rPr>
        <w:t>,</w:t>
      </w:r>
      <w:r w:rsidRPr="007E0ED1">
        <w:rPr>
          <w:rFonts w:ascii="Times New Roman" w:hAnsi="Times New Roman" w:cs="Times New Roman"/>
          <w:sz w:val="24"/>
          <w:szCs w:val="24"/>
        </w:rPr>
        <w:t xml:space="preserve"> R</w:t>
      </w:r>
      <w:r w:rsidR="00BC4DEE">
        <w:rPr>
          <w:rFonts w:ascii="Times New Roman" w:hAnsi="Times New Roman" w:cs="Times New Roman"/>
          <w:sz w:val="24"/>
          <w:szCs w:val="24"/>
        </w:rPr>
        <w:t xml:space="preserve">zeczpospolita </w:t>
      </w:r>
      <w:r w:rsidRPr="007E0ED1">
        <w:rPr>
          <w:rFonts w:ascii="Times New Roman" w:hAnsi="Times New Roman" w:cs="Times New Roman"/>
          <w:sz w:val="24"/>
          <w:szCs w:val="24"/>
        </w:rPr>
        <w:t>P</w:t>
      </w:r>
      <w:r w:rsidR="00BC4DEE">
        <w:rPr>
          <w:rFonts w:ascii="Times New Roman" w:hAnsi="Times New Roman" w:cs="Times New Roman"/>
          <w:sz w:val="24"/>
          <w:szCs w:val="24"/>
        </w:rPr>
        <w:t>olska</w:t>
      </w:r>
      <w:r w:rsidRPr="007E0ED1">
        <w:rPr>
          <w:rFonts w:ascii="Times New Roman" w:hAnsi="Times New Roman" w:cs="Times New Roman"/>
          <w:sz w:val="24"/>
          <w:szCs w:val="24"/>
        </w:rPr>
        <w:t xml:space="preserve">, zgodnie z powyższym stanowiskiem, powinna rozwiązać umowy intra-EU BIT albo przez ich wypowiedzenie na warunkach określonych w tych umowach, albo na podstawie porozumienia stron.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color w:val="000000"/>
        </w:rPr>
        <w:t xml:space="preserve">Z uwagi na brak konsensusu państw członkowskich UE co do celowości i sposobu rozwiązania umów intra-EU BIT, przed wydaniem orzeczenia TSUE w sprawie Achmea, RP przystąpiła do realizacji opcji rozwiązania umów na podstawie porozumień dwustronnych przewidujących rezygnację z klauzul przedłużonego obowiązywania umowy lub też przez ich wypowiedzenie, w przypadku gdy dane państwo członkowskie UE nie było zainteresowane rozwiązaniem umowy przez zawarcie dwustronnego porozumienia.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color w:val="000000"/>
        </w:rPr>
        <w:t xml:space="preserve">W związku z tym, że Republika Finlandii nie była zainteresowana rozwiązaniem z RP, za porozumieniem stron, </w:t>
      </w:r>
      <w:r w:rsidRPr="00BA5D95">
        <w:rPr>
          <w:rFonts w:ascii="Times New Roman" w:hAnsi="Times New Roman" w:cs="Times New Roman"/>
          <w:color w:val="000000"/>
        </w:rPr>
        <w:t>Umowy między Rządem Rzeczypospolitej Polskiej a Rządem Republiki Finlandii o popieraniu i ochronie inwestycji,</w:t>
      </w:r>
      <w:r w:rsidRPr="00BA5D95">
        <w:rPr>
          <w:rFonts w:ascii="Times New Roman" w:hAnsi="Times New Roman" w:cs="Times New Roman"/>
          <w:b/>
          <w:color w:val="000000"/>
        </w:rPr>
        <w:t xml:space="preserve"> </w:t>
      </w:r>
      <w:r w:rsidRPr="00BA5D95">
        <w:rPr>
          <w:rFonts w:ascii="Times New Roman" w:hAnsi="Times New Roman" w:cs="Times New Roman"/>
          <w:color w:val="000000"/>
        </w:rPr>
        <w:t>sporządzonej w Helsinkach dnia 25 listopada 1996 r. (Dz. U. z 1998 r. poz. 342), dalej jako „Umo</w:t>
      </w:r>
      <w:r w:rsidRPr="007E0ED1">
        <w:rPr>
          <w:rFonts w:ascii="Times New Roman" w:hAnsi="Times New Roman" w:cs="Times New Roman"/>
          <w:color w:val="000000"/>
        </w:rPr>
        <w:t>wa”, RP wypowiedziała Umowę ze skutkiem od dnia 16 października 2019 r.</w:t>
      </w:r>
      <w:r w:rsidRPr="007E0ED1">
        <w:rPr>
          <w:rStyle w:val="Zakotwiczenieprzypisudolnego"/>
          <w:rFonts w:ascii="Times New Roman" w:hAnsi="Times New Roman" w:cs="Times New Roman"/>
          <w:color w:val="000000"/>
        </w:rPr>
        <w:footnoteReference w:id="2"/>
      </w:r>
      <w:r w:rsidR="00043C84" w:rsidRPr="007E0ED1">
        <w:rPr>
          <w:rFonts w:ascii="Times New Roman" w:hAnsi="Times New Roman" w:cs="Times New Roman"/>
          <w:color w:val="000000"/>
          <w:vertAlign w:val="superscript"/>
        </w:rPr>
        <w:t>)</w:t>
      </w:r>
      <w:r w:rsidRPr="007E0ED1">
        <w:rPr>
          <w:rFonts w:ascii="Times New Roman" w:hAnsi="Times New Roman" w:cs="Times New Roman"/>
          <w:color w:val="000000"/>
        </w:rPr>
        <w:t xml:space="preserve">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bookmarkStart w:id="0" w:name="__DdeLink__578_271021031"/>
      <w:r w:rsidRPr="00BA5D95">
        <w:rPr>
          <w:rFonts w:ascii="Times New Roman" w:hAnsi="Times New Roman" w:cs="Times New Roman"/>
          <w:color w:val="000000"/>
        </w:rPr>
        <w:t>Na podstawie art. 11 ust. 3 Umowy inwestycje dokonane przed</w:t>
      </w:r>
      <w:r w:rsidR="00A1725F" w:rsidRPr="00BA5D95">
        <w:rPr>
          <w:rFonts w:ascii="Times New Roman" w:hAnsi="Times New Roman" w:cs="Times New Roman"/>
          <w:color w:val="000000"/>
        </w:rPr>
        <w:t xml:space="preserve"> dniem</w:t>
      </w:r>
      <w:r w:rsidRPr="00BA5D95">
        <w:rPr>
          <w:rFonts w:ascii="Times New Roman" w:hAnsi="Times New Roman" w:cs="Times New Roman"/>
          <w:color w:val="000000"/>
        </w:rPr>
        <w:t xml:space="preserve"> wejści</w:t>
      </w:r>
      <w:r w:rsidR="00A1725F" w:rsidRPr="00BA5D95">
        <w:rPr>
          <w:rFonts w:ascii="Times New Roman" w:hAnsi="Times New Roman" w:cs="Times New Roman"/>
          <w:color w:val="000000"/>
        </w:rPr>
        <w:t>a</w:t>
      </w:r>
      <w:r w:rsidRPr="00BA5D95">
        <w:rPr>
          <w:rFonts w:ascii="Times New Roman" w:hAnsi="Times New Roman" w:cs="Times New Roman"/>
          <w:color w:val="000000"/>
        </w:rPr>
        <w:t xml:space="preserve"> w życie wypowiedzenia Umowy będą chronione na mocy tej Umowy przez dwadzieścia lat od czasu wygaśnięcia Umowy. </w:t>
      </w:r>
      <w:r w:rsidRPr="007E0ED1">
        <w:rPr>
          <w:rFonts w:ascii="Times New Roman" w:hAnsi="Times New Roman" w:cs="Times New Roman"/>
          <w:color w:val="000000"/>
        </w:rPr>
        <w:t>Wypowiadając Umowę</w:t>
      </w:r>
      <w:r w:rsidR="006148D8" w:rsidRPr="007E0ED1">
        <w:rPr>
          <w:rFonts w:ascii="Times New Roman" w:hAnsi="Times New Roman" w:cs="Times New Roman"/>
          <w:color w:val="000000"/>
        </w:rPr>
        <w:t>,</w:t>
      </w:r>
      <w:r w:rsidRPr="007E0ED1">
        <w:rPr>
          <w:rFonts w:ascii="Times New Roman" w:hAnsi="Times New Roman" w:cs="Times New Roman"/>
          <w:color w:val="000000"/>
        </w:rPr>
        <w:t xml:space="preserve"> RP złożyła jednak deklarację, zgodnie z którą trybunały arbitrażowe ukonstytuowane na podstawie Umowy nie mają </w:t>
      </w:r>
      <w:r w:rsidRPr="007E0ED1">
        <w:rPr>
          <w:rFonts w:ascii="Times New Roman" w:hAnsi="Times New Roman" w:cs="Times New Roman"/>
          <w:color w:val="000000"/>
        </w:rPr>
        <w:lastRenderedPageBreak/>
        <w:t xml:space="preserve">jurysdykcji do rozpatrywania sporów inwestor – państwo z uwagi na brak ważnej zgody na arbitraż Stron Umowy. </w:t>
      </w:r>
      <w:bookmarkEnd w:id="0"/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  <w:color w:val="000000"/>
        </w:rPr>
        <w:t xml:space="preserve">Jednocześnie RP, zgodnie z deklaracją w uzasadnieniu do wypowiedzenia Umowy, kontynuowała konsultacje z Republiką Finlandii mające na celu doprowadzenie do rozwiązania Umowy, łącznie z klauzulą przedłużonego obowiązywania </w:t>
      </w:r>
      <w:r w:rsidR="00606ED4">
        <w:rPr>
          <w:rFonts w:ascii="Times New Roman" w:hAnsi="Times New Roman" w:cs="Times New Roman"/>
          <w:color w:val="000000"/>
        </w:rPr>
        <w:t>U</w:t>
      </w:r>
      <w:r w:rsidRPr="00BA5D95">
        <w:rPr>
          <w:rFonts w:ascii="Times New Roman" w:hAnsi="Times New Roman" w:cs="Times New Roman"/>
          <w:color w:val="000000"/>
        </w:rPr>
        <w:t xml:space="preserve">mowy. Działania takie zostały podjęte na forum unijnym w związku z ówczesną gotowością wszystkich państw do rozwiązania umów intra-EU BIT na podstawie traktatu plurilateralnego. Prace nad traktatem trwały od listopada 2018 r. do października 2019 r. na forum specjalnie w tym celu powołanej Grupy eksperckiej do spraw rozwiązania umów intra-EU BIT oraz na poziomie stałych przedstawicieli RP przy UE w Brukseli (Komisja Europejska pełniła w nich rolę pomocniczą). Wynikiem tych prac jest Porozumienie </w:t>
      </w:r>
      <w:r w:rsidRPr="00BA5D95">
        <w:rPr>
          <w:rFonts w:ascii="Times New Roman" w:hAnsi="Times New Roman" w:cs="Times New Roman"/>
          <w:color w:val="000000"/>
          <w:szCs w:val="26"/>
        </w:rPr>
        <w:t xml:space="preserve">o wygaśnięciu </w:t>
      </w:r>
      <w:r w:rsidR="00E80039" w:rsidRPr="00BA5D95">
        <w:rPr>
          <w:rFonts w:ascii="Times New Roman" w:hAnsi="Times New Roman" w:cs="Times New Roman"/>
          <w:color w:val="000000"/>
          <w:szCs w:val="26"/>
        </w:rPr>
        <w:t>D</w:t>
      </w:r>
      <w:r w:rsidRPr="00BA5D95">
        <w:rPr>
          <w:rFonts w:ascii="Times New Roman" w:hAnsi="Times New Roman" w:cs="Times New Roman"/>
          <w:color w:val="000000"/>
          <w:szCs w:val="26"/>
        </w:rPr>
        <w:t xml:space="preserve">wustronnych </w:t>
      </w:r>
      <w:r w:rsidR="00E80039" w:rsidRPr="00BA5D95">
        <w:rPr>
          <w:rFonts w:ascii="Times New Roman" w:hAnsi="Times New Roman" w:cs="Times New Roman"/>
          <w:color w:val="000000"/>
          <w:szCs w:val="26"/>
        </w:rPr>
        <w:t>T</w:t>
      </w:r>
      <w:r w:rsidRPr="00BA5D95">
        <w:rPr>
          <w:rFonts w:ascii="Times New Roman" w:hAnsi="Times New Roman" w:cs="Times New Roman"/>
          <w:color w:val="000000"/>
          <w:szCs w:val="26"/>
        </w:rPr>
        <w:t xml:space="preserve">raktatów </w:t>
      </w:r>
      <w:r w:rsidR="00E80039" w:rsidRPr="00BA5D95">
        <w:rPr>
          <w:rFonts w:ascii="Times New Roman" w:hAnsi="Times New Roman" w:cs="Times New Roman"/>
          <w:color w:val="000000"/>
          <w:szCs w:val="26"/>
        </w:rPr>
        <w:t>I</w:t>
      </w:r>
      <w:r w:rsidRPr="00BA5D95">
        <w:rPr>
          <w:rFonts w:ascii="Times New Roman" w:hAnsi="Times New Roman" w:cs="Times New Roman"/>
          <w:color w:val="000000"/>
          <w:szCs w:val="26"/>
        </w:rPr>
        <w:t>nwestycyjnych między państwami członkowskimi Unii Europejskiej</w:t>
      </w:r>
      <w:r w:rsidRPr="00BA5D95">
        <w:rPr>
          <w:rFonts w:ascii="Times New Roman" w:hAnsi="Times New Roman" w:cs="Times New Roman"/>
          <w:color w:val="000000"/>
        </w:rPr>
        <w:t xml:space="preserve">, które zostało podpisane w dniu 5 maja 2020 r. w Brukseli (Dz. Urz. UE L 169 z </w:t>
      </w:r>
      <w:r w:rsidR="006148D8" w:rsidRPr="00BA5D95">
        <w:rPr>
          <w:rFonts w:ascii="Times New Roman" w:hAnsi="Times New Roman" w:cs="Times New Roman"/>
          <w:color w:val="000000"/>
        </w:rPr>
        <w:t>29.05.</w:t>
      </w:r>
      <w:r w:rsidRPr="00BA5D95">
        <w:rPr>
          <w:rFonts w:ascii="Times New Roman" w:hAnsi="Times New Roman" w:cs="Times New Roman"/>
          <w:color w:val="000000"/>
        </w:rPr>
        <w:t>2020</w:t>
      </w:r>
      <w:r w:rsidR="006148D8" w:rsidRPr="00BA5D95">
        <w:rPr>
          <w:rFonts w:ascii="Times New Roman" w:hAnsi="Times New Roman" w:cs="Times New Roman"/>
          <w:color w:val="000000"/>
        </w:rPr>
        <w:t>, str. 1</w:t>
      </w:r>
      <w:r w:rsidRPr="00BA5D95">
        <w:rPr>
          <w:rFonts w:ascii="Times New Roman" w:hAnsi="Times New Roman" w:cs="Times New Roman"/>
          <w:color w:val="000000"/>
        </w:rPr>
        <w:t>) przez dwadzieścia trzy państw</w:t>
      </w:r>
      <w:r w:rsidR="006148D8" w:rsidRPr="00BA5D95">
        <w:rPr>
          <w:rFonts w:ascii="Times New Roman" w:hAnsi="Times New Roman" w:cs="Times New Roman"/>
          <w:color w:val="000000"/>
        </w:rPr>
        <w:t>a</w:t>
      </w:r>
      <w:r w:rsidRPr="00BA5D95">
        <w:rPr>
          <w:rFonts w:ascii="Times New Roman" w:hAnsi="Times New Roman" w:cs="Times New Roman"/>
          <w:color w:val="000000"/>
        </w:rPr>
        <w:t xml:space="preserve"> członkowskie. Ostatecznie Austria, Finlandia, Irlandia, Szwecja i Wielka Brytania, które uczestniczyły w pracach nad ww. traktatem, nie zdecydowały się na jego podpisanie.  </w:t>
      </w:r>
    </w:p>
    <w:p w:rsidR="00332279" w:rsidRPr="007E0ED1" w:rsidRDefault="00684A29" w:rsidP="007E0ED1">
      <w:p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  <w:b/>
          <w:color w:val="000000"/>
          <w:szCs w:val="26"/>
        </w:rPr>
        <w:t>2.</w:t>
      </w:r>
      <w:r w:rsidR="00043C84">
        <w:rPr>
          <w:rFonts w:ascii="Times New Roman" w:hAnsi="Times New Roman" w:cs="Times New Roman"/>
          <w:b/>
          <w:color w:val="000000"/>
          <w:szCs w:val="26"/>
        </w:rPr>
        <w:tab/>
      </w:r>
      <w:r w:rsidRPr="00BA5D95">
        <w:rPr>
          <w:rFonts w:ascii="Times New Roman" w:hAnsi="Times New Roman" w:cs="Times New Roman"/>
          <w:b/>
          <w:color w:val="000000"/>
          <w:szCs w:val="26"/>
        </w:rPr>
        <w:t>Treść Porozumienia</w:t>
      </w:r>
      <w:bookmarkStart w:id="1" w:name="__DdeLink__120_3247322178"/>
      <w:bookmarkEnd w:id="1"/>
    </w:p>
    <w:p w:rsidR="00C95736" w:rsidRPr="00BA5D95" w:rsidRDefault="00684A29" w:rsidP="007E0ED1">
      <w:pPr>
        <w:spacing w:before="120" w:line="360" w:lineRule="auto"/>
        <w:jc w:val="both"/>
        <w:rPr>
          <w:rFonts w:ascii="Times New Roman" w:eastAsia="Garamond" w:hAnsi="Times New Roman" w:cs="Times New Roman"/>
          <w:color w:val="000000"/>
        </w:rPr>
      </w:pPr>
      <w:r w:rsidRPr="00BA5D95">
        <w:rPr>
          <w:rFonts w:ascii="Times New Roman" w:hAnsi="Times New Roman" w:cs="Times New Roman"/>
          <w:color w:val="000000"/>
        </w:rPr>
        <w:t xml:space="preserve">W dniu 23 lipca 2020 r. Ministerstwo Spraw Zagranicznych Republiki Finlandii zwróciło się do Ambasady RP w Helsinkach z propozycją zawarcia </w:t>
      </w:r>
      <w:r w:rsidRPr="00BA5D95">
        <w:rPr>
          <w:rFonts w:ascii="Times New Roman" w:hAnsi="Times New Roman" w:cs="Times New Roman"/>
          <w:color w:val="000000"/>
          <w:szCs w:val="26"/>
        </w:rPr>
        <w:t xml:space="preserve">Porozumienia </w:t>
      </w:r>
      <w:r w:rsidRPr="00BA5D95">
        <w:rPr>
          <w:rFonts w:ascii="Times New Roman" w:hAnsi="Times New Roman" w:cs="Times New Roman"/>
          <w:color w:val="000000"/>
        </w:rPr>
        <w:t xml:space="preserve">między Rządem Rzeczypospolitej Polskiej a Rządem Republiki Finlandii o skutkach prawnych wygaśnięcia Umowy między Rządem Rzeczypospolitej Polskiej a Rządem Republiki Finlandii o popieraniu i ochronie inwestycji, </w:t>
      </w:r>
      <w:r w:rsidRPr="00BA5D95">
        <w:rPr>
          <w:rFonts w:ascii="Times New Roman" w:hAnsi="Times New Roman" w:cs="Times New Roman"/>
          <w:color w:val="000000"/>
          <w:szCs w:val="26"/>
        </w:rPr>
        <w:t>w formie wymiany not (dalej jako „Porozumienie”). Zgodnie z propozycją</w:t>
      </w:r>
      <w:r w:rsidR="007A7F83" w:rsidRPr="00BA5D95">
        <w:rPr>
          <w:rFonts w:ascii="Times New Roman" w:hAnsi="Times New Roman" w:cs="Times New Roman"/>
          <w:color w:val="000000"/>
          <w:szCs w:val="26"/>
        </w:rPr>
        <w:t>,</w:t>
      </w:r>
      <w:r w:rsidRPr="00BA5D95">
        <w:rPr>
          <w:rFonts w:ascii="Times New Roman" w:hAnsi="Times New Roman" w:cs="Times New Roman"/>
          <w:color w:val="000000"/>
          <w:szCs w:val="26"/>
        </w:rPr>
        <w:t xml:space="preserve"> </w:t>
      </w:r>
      <w:r w:rsidRPr="00BA5D95">
        <w:rPr>
          <w:rFonts w:ascii="Times New Roman" w:hAnsi="Times New Roman" w:cs="Times New Roman"/>
        </w:rPr>
        <w:t xml:space="preserve">Strony Porozumienia zgadzają się, że artykuł 11 ust. 3 </w:t>
      </w:r>
      <w:r w:rsidRPr="00BA5D95">
        <w:rPr>
          <w:rFonts w:ascii="Times New Roman" w:hAnsi="Times New Roman" w:cs="Times New Roman"/>
          <w:color w:val="000000"/>
        </w:rPr>
        <w:t>Umow</w:t>
      </w:r>
      <w:r w:rsidR="0091258F" w:rsidRPr="00BA5D95">
        <w:rPr>
          <w:rFonts w:ascii="Times New Roman" w:hAnsi="Times New Roman" w:cs="Times New Roman"/>
          <w:color w:val="000000"/>
        </w:rPr>
        <w:t>y</w:t>
      </w:r>
      <w:r w:rsidRPr="00BA5D95">
        <w:rPr>
          <w:rFonts w:ascii="Times New Roman" w:hAnsi="Times New Roman" w:cs="Times New Roman"/>
          <w:color w:val="000000"/>
        </w:rPr>
        <w:t xml:space="preserve"> wygasa</w:t>
      </w:r>
      <w:r w:rsidR="007A7F83" w:rsidRPr="00BA5D95">
        <w:rPr>
          <w:rFonts w:ascii="Times New Roman" w:hAnsi="Times New Roman" w:cs="Times New Roman"/>
          <w:color w:val="000000"/>
        </w:rPr>
        <w:t>,</w:t>
      </w:r>
      <w:r w:rsidRPr="00BA5D95">
        <w:rPr>
          <w:rFonts w:ascii="Times New Roman" w:hAnsi="Times New Roman" w:cs="Times New Roman"/>
          <w:color w:val="000000"/>
        </w:rPr>
        <w:t xml:space="preserve"> a zatem nie </w:t>
      </w:r>
      <w:r w:rsidRPr="00BA5D95">
        <w:rPr>
          <w:rFonts w:ascii="Times New Roman" w:eastAsia="Garamond" w:hAnsi="Times New Roman" w:cs="Times New Roman"/>
          <w:color w:val="000000"/>
        </w:rPr>
        <w:t xml:space="preserve">wywołuje skutków prawnych. </w:t>
      </w:r>
      <w:r w:rsidR="00C95736" w:rsidRPr="00BA5D95">
        <w:rPr>
          <w:rFonts w:ascii="Times New Roman" w:eastAsia="Garamond" w:hAnsi="Times New Roman" w:cs="Times New Roman"/>
          <w:color w:val="000000"/>
        </w:rPr>
        <w:t xml:space="preserve">W dniu </w:t>
      </w:r>
      <w:r w:rsidR="00024396" w:rsidRPr="00BA5D95">
        <w:rPr>
          <w:rFonts w:ascii="Times New Roman" w:eastAsia="Garamond" w:hAnsi="Times New Roman" w:cs="Times New Roman"/>
          <w:color w:val="000000"/>
        </w:rPr>
        <w:t>12</w:t>
      </w:r>
      <w:r w:rsidR="00024396">
        <w:rPr>
          <w:rFonts w:ascii="Times New Roman" w:eastAsia="Garamond" w:hAnsi="Times New Roman" w:cs="Times New Roman"/>
          <w:color w:val="000000"/>
        </w:rPr>
        <w:t> </w:t>
      </w:r>
      <w:r w:rsidR="00C95736" w:rsidRPr="00BA5D95">
        <w:rPr>
          <w:rFonts w:ascii="Times New Roman" w:eastAsia="Garamond" w:hAnsi="Times New Roman" w:cs="Times New Roman"/>
          <w:color w:val="000000"/>
        </w:rPr>
        <w:t>lipca 2021 r. Ambasada RP w Helsinkach przekazała Ministerstwu Spraw Zagranicznych Finlandii, że Rząd RP zgadza się na zawarcie niniejszego Porozumienia.</w:t>
      </w:r>
    </w:p>
    <w:p w:rsidR="00332279" w:rsidRPr="007E0ED1" w:rsidRDefault="00684A29" w:rsidP="007E0ED1">
      <w:p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BA5D95">
        <w:rPr>
          <w:rFonts w:ascii="Times New Roman" w:eastAsia="Garamond" w:hAnsi="Times New Roman" w:cs="Times New Roman"/>
          <w:b/>
          <w:color w:val="000000"/>
          <w:szCs w:val="26"/>
        </w:rPr>
        <w:t>3.</w:t>
      </w:r>
      <w:r w:rsidR="00043C84">
        <w:rPr>
          <w:rFonts w:ascii="Times New Roman" w:eastAsia="Garamond" w:hAnsi="Times New Roman" w:cs="Times New Roman"/>
          <w:b/>
          <w:color w:val="000000"/>
          <w:szCs w:val="26"/>
        </w:rPr>
        <w:tab/>
      </w:r>
      <w:bookmarkStart w:id="2" w:name="__DdeLink__120_324732217811"/>
      <w:r w:rsidRPr="00BA5D95">
        <w:rPr>
          <w:rFonts w:ascii="Times New Roman" w:eastAsia="Garamond" w:hAnsi="Times New Roman" w:cs="Times New Roman"/>
          <w:b/>
          <w:color w:val="000000"/>
          <w:szCs w:val="26"/>
        </w:rPr>
        <w:t>Dotychczasowy a projektowany stan prawny</w:t>
      </w:r>
      <w:bookmarkEnd w:id="2"/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eastAsia="Garamond" w:hAnsi="Times New Roman" w:cs="Times New Roman"/>
          <w:color w:val="000000"/>
        </w:rPr>
        <w:t xml:space="preserve">Jak zostało już wspomniane w pkt 1 </w:t>
      </w:r>
      <w:r w:rsidR="00D445D2" w:rsidRPr="00BA5D95">
        <w:rPr>
          <w:rFonts w:ascii="Times New Roman" w:eastAsia="Garamond" w:hAnsi="Times New Roman" w:cs="Times New Roman"/>
          <w:color w:val="000000"/>
        </w:rPr>
        <w:t>u</w:t>
      </w:r>
      <w:r w:rsidRPr="00BA5D95">
        <w:rPr>
          <w:rFonts w:ascii="Times New Roman" w:eastAsia="Garamond" w:hAnsi="Times New Roman" w:cs="Times New Roman"/>
          <w:color w:val="000000"/>
        </w:rPr>
        <w:t>zasadnienia</w:t>
      </w:r>
      <w:r w:rsidR="007A7F83" w:rsidRPr="00BA5D95">
        <w:rPr>
          <w:rFonts w:ascii="Times New Roman" w:eastAsia="Garamond" w:hAnsi="Times New Roman" w:cs="Times New Roman"/>
          <w:color w:val="000000"/>
        </w:rPr>
        <w:t>,</w:t>
      </w:r>
      <w:r w:rsidRPr="00BA5D95">
        <w:rPr>
          <w:rFonts w:ascii="Times New Roman" w:eastAsia="Garamond" w:hAnsi="Times New Roman" w:cs="Times New Roman"/>
          <w:color w:val="000000"/>
        </w:rPr>
        <w:t xml:space="preserve"> na podstawie art. 11 ust. 3 Umowy</w:t>
      </w:r>
      <w:r w:rsidR="004909FA">
        <w:rPr>
          <w:rFonts w:ascii="Times New Roman" w:eastAsia="Garamond" w:hAnsi="Times New Roman" w:cs="Times New Roman"/>
          <w:color w:val="000000"/>
        </w:rPr>
        <w:t>,</w:t>
      </w:r>
      <w:r w:rsidRPr="00BA5D95">
        <w:rPr>
          <w:rFonts w:ascii="Times New Roman" w:eastAsia="Garamond" w:hAnsi="Times New Roman" w:cs="Times New Roman"/>
          <w:color w:val="000000"/>
        </w:rPr>
        <w:t xml:space="preserve"> inwestycje dokonane przed </w:t>
      </w:r>
      <w:r w:rsidR="00937A6B" w:rsidRPr="00BA5D95">
        <w:rPr>
          <w:rFonts w:ascii="Times New Roman" w:eastAsia="Garamond" w:hAnsi="Times New Roman" w:cs="Times New Roman"/>
          <w:color w:val="000000"/>
        </w:rPr>
        <w:t xml:space="preserve">dniem </w:t>
      </w:r>
      <w:r w:rsidRPr="00BA5D95">
        <w:rPr>
          <w:rFonts w:ascii="Times New Roman" w:eastAsia="Garamond" w:hAnsi="Times New Roman" w:cs="Times New Roman"/>
          <w:color w:val="000000"/>
        </w:rPr>
        <w:t>wejści</w:t>
      </w:r>
      <w:r w:rsidR="00937A6B" w:rsidRPr="00BA5D95">
        <w:rPr>
          <w:rFonts w:ascii="Times New Roman" w:eastAsia="Garamond" w:hAnsi="Times New Roman" w:cs="Times New Roman"/>
          <w:color w:val="000000"/>
        </w:rPr>
        <w:t>a</w:t>
      </w:r>
      <w:r w:rsidRPr="00BA5D95">
        <w:rPr>
          <w:rFonts w:ascii="Times New Roman" w:eastAsia="Garamond" w:hAnsi="Times New Roman" w:cs="Times New Roman"/>
          <w:color w:val="000000"/>
        </w:rPr>
        <w:t xml:space="preserve"> w życie wypowiedzenia Umowy, tj. przed </w:t>
      </w:r>
      <w:r w:rsidR="00024396" w:rsidRPr="00BA5D95">
        <w:rPr>
          <w:rFonts w:ascii="Times New Roman" w:eastAsia="Garamond" w:hAnsi="Times New Roman" w:cs="Times New Roman"/>
          <w:color w:val="000000"/>
        </w:rPr>
        <w:t>16</w:t>
      </w:r>
      <w:r w:rsidR="00024396">
        <w:rPr>
          <w:rFonts w:ascii="Times New Roman" w:eastAsia="Garamond" w:hAnsi="Times New Roman" w:cs="Times New Roman"/>
          <w:color w:val="000000"/>
        </w:rPr>
        <w:t> </w:t>
      </w:r>
      <w:r w:rsidRPr="00BA5D95">
        <w:rPr>
          <w:rFonts w:ascii="Times New Roman" w:eastAsia="Garamond" w:hAnsi="Times New Roman" w:cs="Times New Roman"/>
          <w:color w:val="000000"/>
        </w:rPr>
        <w:t xml:space="preserve">października 2019 r., są chronione na mocy Umowy przez dwadzieścia lat od czasu wygaśnięcia Umowy (patrz też deklaracja RP, o której mowa w pkt 1 </w:t>
      </w:r>
      <w:r w:rsidR="00D445D2" w:rsidRPr="00BA5D95">
        <w:rPr>
          <w:rFonts w:ascii="Times New Roman" w:eastAsia="Garamond" w:hAnsi="Times New Roman" w:cs="Times New Roman"/>
          <w:color w:val="000000"/>
        </w:rPr>
        <w:t>u</w:t>
      </w:r>
      <w:r w:rsidRPr="00BA5D95">
        <w:rPr>
          <w:rFonts w:ascii="Times New Roman" w:eastAsia="Garamond" w:hAnsi="Times New Roman" w:cs="Times New Roman"/>
          <w:color w:val="000000"/>
        </w:rPr>
        <w:t xml:space="preserve">zasadnienia, </w:t>
      </w:r>
      <w:r w:rsidRPr="00BA5D95">
        <w:rPr>
          <w:rFonts w:ascii="Times New Roman" w:eastAsia="Garamond" w:hAnsi="Times New Roman" w:cs="Times New Roman"/>
          <w:color w:val="000000"/>
        </w:rPr>
        <w:lastRenderedPageBreak/>
        <w:t xml:space="preserve">zgodnie z którą trybunały arbitrażowe ukonstytuowane na podstawie Umowy nie mają jurysdykcji do rozpatrywania sporów inwestor – państwo z uwagi na brak ważnej zgody na arbitraż Stron Umowy). Na mocy Porozumienia ochrona ta wygasa wraz z wejściem w życie Porozumienia.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eastAsia="Garamond" w:hAnsi="Times New Roman" w:cs="Times New Roman"/>
          <w:color w:val="000000"/>
        </w:rPr>
        <w:t xml:space="preserve">Porozumienie wejdzie w życie dziewięćdziesiąt dni po dacie otrzymania późniejszej noty potwierdzającej zakończenie procedur wewnętrznych niezbędnych do wejścia </w:t>
      </w:r>
      <w:r w:rsidR="00024396" w:rsidRPr="00BA5D95">
        <w:rPr>
          <w:rFonts w:ascii="Times New Roman" w:eastAsia="Garamond" w:hAnsi="Times New Roman" w:cs="Times New Roman"/>
          <w:color w:val="000000"/>
        </w:rPr>
        <w:t>w</w:t>
      </w:r>
      <w:r w:rsidR="00024396">
        <w:rPr>
          <w:rFonts w:ascii="Times New Roman" w:eastAsia="Garamond" w:hAnsi="Times New Roman" w:cs="Times New Roman"/>
          <w:color w:val="000000"/>
        </w:rPr>
        <w:t> </w:t>
      </w:r>
      <w:r w:rsidRPr="00BA5D95">
        <w:rPr>
          <w:rFonts w:ascii="Times New Roman" w:eastAsia="Garamond" w:hAnsi="Times New Roman" w:cs="Times New Roman"/>
          <w:color w:val="000000"/>
        </w:rPr>
        <w:t xml:space="preserve">życie niniejszego Porozumienia.  </w:t>
      </w:r>
    </w:p>
    <w:p w:rsidR="00332279" w:rsidRPr="007E0ED1" w:rsidRDefault="00684A29" w:rsidP="007E0ED1">
      <w:p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b/>
        </w:rPr>
        <w:t>4.</w:t>
      </w:r>
      <w:r w:rsidR="00043C84">
        <w:rPr>
          <w:rFonts w:ascii="Times New Roman" w:hAnsi="Times New Roman" w:cs="Times New Roman"/>
          <w:b/>
        </w:rPr>
        <w:tab/>
      </w:r>
      <w:r w:rsidRPr="007E0ED1">
        <w:rPr>
          <w:rFonts w:ascii="Times New Roman" w:hAnsi="Times New Roman" w:cs="Times New Roman"/>
          <w:b/>
        </w:rPr>
        <w:t>Przewidywane skutki społeczne, gospodarcze, finansowe, polityczne i prawne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</w:rPr>
        <w:t xml:space="preserve">Zawarcie Porozumienia nie będzie miało konsekwencji politycznych. Państwa członkowskie UE, w tym RP, jak i Republika Finlandii, zostały wezwane przez Komisję Europejską do zakończenia obowiązywania umów intra-EU BIT, łącznie z klauzulami przedłużonego obowiązywania umów. W związku z niepodpisaniem przez Republikę Finlandii Porozumienia o </w:t>
      </w:r>
      <w:r w:rsidRPr="007E0ED1">
        <w:rPr>
          <w:rFonts w:ascii="Times New Roman" w:hAnsi="Times New Roman" w:cs="Times New Roman"/>
          <w:szCs w:val="26"/>
        </w:rPr>
        <w:t>wygaśnięciu dwustronnych traktatów inwestycyjnych między państwami członkowskimi Unii Europejskiej (patrz pkt 1)</w:t>
      </w:r>
      <w:r w:rsidR="004909FA">
        <w:rPr>
          <w:rFonts w:ascii="Times New Roman" w:hAnsi="Times New Roman" w:cs="Times New Roman"/>
          <w:szCs w:val="26"/>
        </w:rPr>
        <w:t>,</w:t>
      </w:r>
      <w:r w:rsidRPr="007E0ED1">
        <w:rPr>
          <w:rFonts w:ascii="Times New Roman" w:hAnsi="Times New Roman" w:cs="Times New Roman"/>
          <w:szCs w:val="26"/>
        </w:rPr>
        <w:t xml:space="preserve"> </w:t>
      </w:r>
      <w:r w:rsidRPr="007E0ED1">
        <w:rPr>
          <w:rFonts w:ascii="Times New Roman" w:hAnsi="Times New Roman" w:cs="Times New Roman"/>
        </w:rPr>
        <w:t xml:space="preserve">a także niepodejmowaniem działań mających na celu dwustronne rozwiązanie umów intra-EU BIT za porozumieniem stron, Komisja Europejska zapowiedziała wyciągnięcie konsekwencji wobec tego państwa członkowskiego i w maju 2020 r. rozpoczęła przeciwko Republice Finlandii procedurę ws. naruszenia prawa. 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</w:rPr>
        <w:t xml:space="preserve">Zawarcie Porozumienia nie będzie miało negatywnych skutków społecznych, wręcz przeciwnie, należy oczekiwać, że zostanie ono życzliwie przyjęte z uwagi na publiczną krytykę w Polsce umów intra-EU BIT i międzynarodowego arbitrażu inwestycyjnego.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</w:rPr>
        <w:t xml:space="preserve">Zawarcie Porozumienia nie powinno wpłynąć na stosunki gospodarcze między RP </w:t>
      </w:r>
      <w:r w:rsidR="0070085D" w:rsidRPr="007E0ED1">
        <w:rPr>
          <w:rFonts w:ascii="Times New Roman" w:hAnsi="Times New Roman" w:cs="Times New Roman"/>
        </w:rPr>
        <w:t>a</w:t>
      </w:r>
      <w:r w:rsidR="0070085D">
        <w:rPr>
          <w:rFonts w:ascii="Times New Roman" w:hAnsi="Times New Roman" w:cs="Times New Roman"/>
        </w:rPr>
        <w:t> </w:t>
      </w:r>
      <w:r w:rsidRPr="007E0ED1">
        <w:rPr>
          <w:rFonts w:ascii="Times New Roman" w:hAnsi="Times New Roman" w:cs="Times New Roman"/>
        </w:rPr>
        <w:t xml:space="preserve">Republiką Finlandii. Umowę zawarto w czasie, kiedy RP nie była członkiem UE, </w:t>
      </w:r>
      <w:r w:rsidR="00024396" w:rsidRPr="007E0ED1">
        <w:rPr>
          <w:rFonts w:ascii="Times New Roman" w:hAnsi="Times New Roman" w:cs="Times New Roman"/>
        </w:rPr>
        <w:t>a</w:t>
      </w:r>
      <w:r w:rsidR="00024396">
        <w:rPr>
          <w:rFonts w:ascii="Times New Roman" w:hAnsi="Times New Roman" w:cs="Times New Roman"/>
        </w:rPr>
        <w:t> </w:t>
      </w:r>
      <w:r w:rsidRPr="007E0ED1">
        <w:rPr>
          <w:rFonts w:ascii="Times New Roman" w:hAnsi="Times New Roman" w:cs="Times New Roman"/>
        </w:rPr>
        <w:t xml:space="preserve">ww. Umowa miała na celu przyciągnięcie inwestycji fińskich do Polski. Obecnie poziom prawodawstwa oraz dostęp do powszechnego sądownictwa w RP dają inwestorom zagranicznym gwarancję ochrony inwestycji z możliwością dochodzenia swoich praw na drodze sądowej. 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  <w:color w:val="000000"/>
        </w:rPr>
        <w:t xml:space="preserve">Z informacji posiadanych przez Ministerstwo Rozwoju </w:t>
      </w:r>
      <w:r w:rsidR="00C95736" w:rsidRPr="00BA5D95">
        <w:rPr>
          <w:rFonts w:ascii="Times New Roman" w:hAnsi="Times New Roman" w:cs="Times New Roman"/>
          <w:color w:val="000000"/>
        </w:rPr>
        <w:t xml:space="preserve">i Technologii </w:t>
      </w:r>
      <w:r w:rsidRPr="00BA5D95">
        <w:rPr>
          <w:rFonts w:ascii="Times New Roman" w:hAnsi="Times New Roman" w:cs="Times New Roman"/>
          <w:color w:val="000000"/>
        </w:rPr>
        <w:t>wynika, że zarówno polscy jak i fińscy inwestorzy nie kierowali, na podstawie Umowy, roszczeń do międzynarodowych trybunałów arbitrażowych przeciwko, odpowiednio, Republice Finlandii i RP.</w:t>
      </w:r>
      <w:r w:rsidR="00D445D2" w:rsidRPr="007E0ED1">
        <w:rPr>
          <w:rFonts w:ascii="Times New Roman" w:hAnsi="Times New Roman" w:cs="Times New Roman"/>
        </w:rPr>
        <w:t xml:space="preserve"> </w:t>
      </w:r>
      <w:r w:rsidRPr="007E0ED1">
        <w:rPr>
          <w:rFonts w:ascii="Times New Roman" w:hAnsi="Times New Roman" w:cs="Times New Roman"/>
        </w:rPr>
        <w:t xml:space="preserve">Zgodnie z deklaracją złożoną przez RP przy wypowiedzeniu Umowy </w:t>
      </w:r>
      <w:r w:rsidRPr="007E0ED1">
        <w:rPr>
          <w:rFonts w:ascii="Times New Roman" w:hAnsi="Times New Roman" w:cs="Times New Roman"/>
          <w:color w:val="000000"/>
        </w:rPr>
        <w:t xml:space="preserve">trybunały arbitrażowe ukonstytuowane na podstawie Umowy nie mają jurysdykcji do </w:t>
      </w:r>
      <w:r w:rsidRPr="007E0ED1">
        <w:rPr>
          <w:rFonts w:ascii="Times New Roman" w:hAnsi="Times New Roman" w:cs="Times New Roman"/>
          <w:color w:val="000000"/>
        </w:rPr>
        <w:lastRenderedPageBreak/>
        <w:t xml:space="preserve">rozpatrywania sporów inwestor – państwo z uwagi na brak ważnej zgody na arbitraż Stron Umowy (patrz pkt 1). </w:t>
      </w:r>
    </w:p>
    <w:p w:rsidR="00C95736" w:rsidRPr="00BA5D95" w:rsidRDefault="00C95736" w:rsidP="007E0ED1">
      <w:pPr>
        <w:spacing w:before="120" w:line="360" w:lineRule="auto"/>
        <w:jc w:val="both"/>
        <w:rPr>
          <w:rFonts w:ascii="Times New Roman" w:eastAsia="Times New Roman" w:hAnsi="Times New Roman" w:cs="Times New Roman"/>
        </w:rPr>
      </w:pPr>
      <w:r w:rsidRPr="00BA5D95">
        <w:rPr>
          <w:rFonts w:ascii="Times New Roman" w:hAnsi="Times New Roman" w:cs="Times New Roman"/>
        </w:rPr>
        <w:t xml:space="preserve">Według NBP bezpośrednie inwestycje fińskie w </w:t>
      </w:r>
      <w:r w:rsidR="00BA4F83" w:rsidRPr="00BA5D95">
        <w:rPr>
          <w:rFonts w:ascii="Times New Roman" w:hAnsi="Times New Roman" w:cs="Times New Roman"/>
        </w:rPr>
        <w:t>RP</w:t>
      </w:r>
      <w:r w:rsidRPr="00BA5D95">
        <w:rPr>
          <w:rFonts w:ascii="Times New Roman" w:hAnsi="Times New Roman" w:cs="Times New Roman"/>
        </w:rPr>
        <w:t xml:space="preserve"> pod koniec 2019 r. osiągnęły wartość 1 452,1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 (odnotowano wzrost wartości w stosunku do roku poprzedniego </w:t>
      </w:r>
      <w:r w:rsidR="0070085D" w:rsidRPr="00BA5D95">
        <w:rPr>
          <w:rFonts w:ascii="Times New Roman" w:hAnsi="Times New Roman" w:cs="Times New Roman"/>
        </w:rPr>
        <w:t>o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>139,</w:t>
      </w:r>
      <w:r w:rsidR="0070085D" w:rsidRPr="00BA5D95">
        <w:rPr>
          <w:rFonts w:ascii="Times New Roman" w:hAnsi="Times New Roman" w:cs="Times New Roman"/>
        </w:rPr>
        <w:t>5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). Finlandia zajmuje 19 pozycję wśród krajów inwestujących w RP </w:t>
      </w:r>
      <w:r w:rsidR="0070085D" w:rsidRPr="00BA5D95">
        <w:rPr>
          <w:rFonts w:ascii="Times New Roman" w:hAnsi="Times New Roman" w:cs="Times New Roman"/>
        </w:rPr>
        <w:t>z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udziałem ok. 0,69% w inwestycjach bezpośrednich ogółem. </w:t>
      </w:r>
      <w:r w:rsidR="00024396" w:rsidRPr="00BA5D95">
        <w:rPr>
          <w:rFonts w:ascii="Times New Roman" w:hAnsi="Times New Roman" w:cs="Times New Roman"/>
        </w:rPr>
        <w:t>W</w:t>
      </w:r>
      <w:r w:rsidR="00024396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2019 r. napłynęły do </w:t>
      </w:r>
      <w:r w:rsidR="00681C67" w:rsidRPr="00BA5D95">
        <w:rPr>
          <w:rFonts w:ascii="Times New Roman" w:hAnsi="Times New Roman" w:cs="Times New Roman"/>
        </w:rPr>
        <w:t>RP</w:t>
      </w:r>
      <w:r w:rsidRPr="00BA5D95">
        <w:rPr>
          <w:rFonts w:ascii="Times New Roman" w:hAnsi="Times New Roman" w:cs="Times New Roman"/>
        </w:rPr>
        <w:t xml:space="preserve"> inwestycje fińskie o</w:t>
      </w:r>
      <w:r w:rsidR="00BA5D95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 xml:space="preserve">wartości 211,6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>. Reinwestowano zyski w</w:t>
      </w:r>
      <w:r w:rsidR="00BA5D95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>wysokości 133,</w:t>
      </w:r>
      <w:r w:rsidR="0070085D" w:rsidRPr="00BA5D95">
        <w:rPr>
          <w:rFonts w:ascii="Times New Roman" w:hAnsi="Times New Roman" w:cs="Times New Roman"/>
        </w:rPr>
        <w:t>9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>.</w:t>
      </w:r>
    </w:p>
    <w:p w:rsidR="00C95736" w:rsidRPr="00BA5D95" w:rsidRDefault="00C95736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</w:rPr>
        <w:t>Według danych GUS, pod koniec 2019 r.</w:t>
      </w:r>
      <w:r w:rsidR="004909FA">
        <w:rPr>
          <w:rFonts w:ascii="Times New Roman" w:hAnsi="Times New Roman" w:cs="Times New Roman"/>
        </w:rPr>
        <w:t>,</w:t>
      </w:r>
      <w:r w:rsidRPr="00BA5D95">
        <w:rPr>
          <w:rFonts w:ascii="Times New Roman" w:hAnsi="Times New Roman" w:cs="Times New Roman"/>
        </w:rPr>
        <w:t xml:space="preserve"> w </w:t>
      </w:r>
      <w:r w:rsidR="00681C67" w:rsidRPr="00BA5D95">
        <w:rPr>
          <w:rFonts w:ascii="Times New Roman" w:hAnsi="Times New Roman" w:cs="Times New Roman"/>
        </w:rPr>
        <w:t>RP</w:t>
      </w:r>
      <w:r w:rsidRPr="00BA5D95">
        <w:rPr>
          <w:rFonts w:ascii="Times New Roman" w:hAnsi="Times New Roman" w:cs="Times New Roman"/>
        </w:rPr>
        <w:t xml:space="preserve"> zarejestrowanych było 246 podmiotów z udziałem kapitału fińskiego, w tym 122 zatrudniających powyżej 9 osób. Udziały kapitałowe inwestorów fińskich wyniosły 2</w:t>
      </w:r>
      <w:r w:rsidR="007C7EB7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 xml:space="preserve">098,1 mln </w:t>
      </w:r>
      <w:r w:rsidR="00606ED4">
        <w:rPr>
          <w:rFonts w:ascii="Times New Roman" w:hAnsi="Times New Roman" w:cs="Times New Roman"/>
        </w:rPr>
        <w:t>zł</w:t>
      </w:r>
      <w:r w:rsidRPr="00BA5D95">
        <w:rPr>
          <w:rFonts w:ascii="Times New Roman" w:hAnsi="Times New Roman" w:cs="Times New Roman"/>
        </w:rPr>
        <w:t>, co stanowiło 1% udziałów zagranicznych inwestorów ogółem. Kapitał fiński w</w:t>
      </w:r>
      <w:r w:rsidR="007C7EB7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 xml:space="preserve">44 spółkach przekraczał 1 mln </w:t>
      </w:r>
      <w:r w:rsidR="0007573D">
        <w:rPr>
          <w:rFonts w:ascii="Times New Roman" w:hAnsi="Times New Roman" w:cs="Times New Roman"/>
        </w:rPr>
        <w:t>dolarów amerykańskich</w:t>
      </w:r>
      <w:r w:rsidRPr="00BA5D95">
        <w:rPr>
          <w:rFonts w:ascii="Times New Roman" w:hAnsi="Times New Roman" w:cs="Times New Roman"/>
        </w:rPr>
        <w:t>. Łącznie firmy fińskie zatrudniały w 2018 r. ok. 25,8 tys. pracowników (brak nowszych danych).</w:t>
      </w:r>
    </w:p>
    <w:p w:rsidR="00C95736" w:rsidRPr="00BA5D95" w:rsidRDefault="00C95736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</w:rPr>
        <w:t>P</w:t>
      </w:r>
      <w:r w:rsidR="00D445D2" w:rsidRPr="00BA5D95">
        <w:rPr>
          <w:rFonts w:ascii="Times New Roman" w:hAnsi="Times New Roman" w:cs="Times New Roman"/>
        </w:rPr>
        <w:t>olska Agencja Inwestycji i Handlu</w:t>
      </w:r>
      <w:r w:rsidR="0070085D">
        <w:rPr>
          <w:rFonts w:ascii="Times New Roman" w:hAnsi="Times New Roman" w:cs="Times New Roman"/>
        </w:rPr>
        <w:t>,</w:t>
      </w:r>
      <w:r w:rsidRPr="00BA5D95">
        <w:rPr>
          <w:rFonts w:ascii="Times New Roman" w:hAnsi="Times New Roman" w:cs="Times New Roman"/>
        </w:rPr>
        <w:t xml:space="preserve"> w</w:t>
      </w:r>
      <w:r w:rsidR="007C7EB7" w:rsidRPr="00BA5D95">
        <w:rPr>
          <w:rFonts w:ascii="Times New Roman" w:hAnsi="Times New Roman" w:cs="Times New Roman"/>
        </w:rPr>
        <w:t>edłu</w:t>
      </w:r>
      <w:r w:rsidRPr="00BA5D95">
        <w:rPr>
          <w:rFonts w:ascii="Times New Roman" w:hAnsi="Times New Roman" w:cs="Times New Roman"/>
        </w:rPr>
        <w:t>g stanu na początek 2019 r.</w:t>
      </w:r>
      <w:r w:rsidR="0070085D">
        <w:rPr>
          <w:rFonts w:ascii="Times New Roman" w:hAnsi="Times New Roman" w:cs="Times New Roman"/>
        </w:rPr>
        <w:t>,</w:t>
      </w:r>
      <w:r w:rsidRPr="00BA5D95">
        <w:rPr>
          <w:rFonts w:ascii="Times New Roman" w:hAnsi="Times New Roman" w:cs="Times New Roman"/>
        </w:rPr>
        <w:t xml:space="preserve"> odnotowała </w:t>
      </w:r>
      <w:r w:rsidR="0070085D" w:rsidRPr="00BA5D95">
        <w:rPr>
          <w:rFonts w:ascii="Times New Roman" w:hAnsi="Times New Roman" w:cs="Times New Roman"/>
        </w:rPr>
        <w:t>54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dużych inwestorów fińskich. W </w:t>
      </w:r>
      <w:r w:rsidR="00681C67" w:rsidRPr="00BA5D95">
        <w:rPr>
          <w:rFonts w:ascii="Times New Roman" w:hAnsi="Times New Roman" w:cs="Times New Roman"/>
        </w:rPr>
        <w:t>RP</w:t>
      </w:r>
      <w:r w:rsidRPr="00BA5D95">
        <w:rPr>
          <w:rFonts w:ascii="Times New Roman" w:hAnsi="Times New Roman" w:cs="Times New Roman"/>
        </w:rPr>
        <w:t xml:space="preserve"> jest obecnych ponadto szereg znaczących spółek fińskich nieujętych na tej liście, m.in. Eltel Network </w:t>
      </w:r>
      <w:r w:rsidR="007C7EB7" w:rsidRPr="00043C84">
        <w:rPr>
          <w:rFonts w:ascii="Times New Roman" w:hAnsi="Times New Roman" w:cs="Times New Roman"/>
        </w:rPr>
        <w:t>(</w:t>
      </w:r>
      <w:r w:rsidRPr="00043C84">
        <w:rPr>
          <w:rFonts w:ascii="Times New Roman" w:hAnsi="Times New Roman" w:cs="Times New Roman"/>
        </w:rPr>
        <w:t xml:space="preserve">koncern międzynarodowy </w:t>
      </w:r>
      <w:r w:rsidR="00024396" w:rsidRPr="00043C84">
        <w:rPr>
          <w:rFonts w:ascii="Times New Roman" w:hAnsi="Times New Roman" w:cs="Times New Roman"/>
        </w:rPr>
        <w:t>z</w:t>
      </w:r>
      <w:r w:rsidR="00024396">
        <w:rPr>
          <w:rFonts w:ascii="Times New Roman" w:hAnsi="Times New Roman" w:cs="Times New Roman"/>
        </w:rPr>
        <w:t> </w:t>
      </w:r>
      <w:r w:rsidRPr="00043C84">
        <w:rPr>
          <w:rFonts w:ascii="Times New Roman" w:hAnsi="Times New Roman" w:cs="Times New Roman"/>
        </w:rPr>
        <w:t xml:space="preserve">siedzibą w Finlandii, przewodzi w budowie sieci telekomunikacyjnych </w:t>
      </w:r>
      <w:r w:rsidR="00024396" w:rsidRPr="00043C84">
        <w:rPr>
          <w:rFonts w:ascii="Times New Roman" w:hAnsi="Times New Roman" w:cs="Times New Roman"/>
        </w:rPr>
        <w:t>i</w:t>
      </w:r>
      <w:r w:rsidR="00024396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>energetycznych, kontroluje 20% rynku instalacji sieci telekomunikacyjnych</w:t>
      </w:r>
      <w:r w:rsidR="007C7EB7" w:rsidRPr="00BA5D95">
        <w:rPr>
          <w:rFonts w:ascii="Times New Roman" w:hAnsi="Times New Roman" w:cs="Times New Roman"/>
        </w:rPr>
        <w:t>)</w:t>
      </w:r>
      <w:r w:rsidRPr="00BA5D95">
        <w:rPr>
          <w:rFonts w:ascii="Times New Roman" w:hAnsi="Times New Roman" w:cs="Times New Roman"/>
        </w:rPr>
        <w:t xml:space="preserve">, czy Huhtamäki – koncern działający w branży opakowań, posiada na Śląsku 2 fabryki. Do największych inwestorów fińskich należy koncern energetyczny Fortum, który prowadzi swoją działalność w </w:t>
      </w:r>
      <w:r w:rsidR="00681C67" w:rsidRPr="00BA5D95">
        <w:rPr>
          <w:rFonts w:ascii="Times New Roman" w:hAnsi="Times New Roman" w:cs="Times New Roman"/>
        </w:rPr>
        <w:t>RP</w:t>
      </w:r>
      <w:r w:rsidRPr="00BA5D95">
        <w:rPr>
          <w:rFonts w:ascii="Times New Roman" w:hAnsi="Times New Roman" w:cs="Times New Roman"/>
        </w:rPr>
        <w:t xml:space="preserve"> od 2003 r. </w:t>
      </w:r>
      <w:r w:rsidR="007C7EB7" w:rsidRPr="00BA5D95">
        <w:rPr>
          <w:rFonts w:ascii="Times New Roman" w:hAnsi="Times New Roman" w:cs="Times New Roman"/>
        </w:rPr>
        <w:t>J</w:t>
      </w:r>
      <w:r w:rsidRPr="00BA5D95">
        <w:rPr>
          <w:rFonts w:ascii="Times New Roman" w:hAnsi="Times New Roman" w:cs="Times New Roman"/>
        </w:rPr>
        <w:t>est właścicielem trzech elektrociepłowni zlokalizowanych w Częstochowie, Zabrzu i</w:t>
      </w:r>
      <w:r w:rsidR="007C7EB7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 xml:space="preserve">Bytomiu. Fortum posiada również ponad 800 km sieci ciepłowniczych, dostarczających ciepło do mieszkańców Częstochowy, Płocka </w:t>
      </w:r>
      <w:r w:rsidR="0070085D" w:rsidRPr="00BA5D95">
        <w:rPr>
          <w:rFonts w:ascii="Times New Roman" w:hAnsi="Times New Roman" w:cs="Times New Roman"/>
        </w:rPr>
        <w:t>i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Wrocławia. W 2016 r. Fortum przejęło spółkę Grupa Duon S.A. i rozpoczęło działalność na polskim rynku detalicznej sprzedaży energii elektrycznej i gazu. W maju 2013 r. fińsko-szwedzki koncern Stora Enso otworzył w Ostrołęce nowoczesny zakład produkcyjny papieru opakowaniowego za 420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. </w:t>
      </w:r>
      <w:r w:rsidR="007C7EB7" w:rsidRPr="00BA5D95">
        <w:rPr>
          <w:rFonts w:ascii="Times New Roman" w:hAnsi="Times New Roman" w:cs="Times New Roman"/>
        </w:rPr>
        <w:t xml:space="preserve">Stora Enso w RP posiada </w:t>
      </w:r>
      <w:r w:rsidR="0070085D" w:rsidRPr="00BA5D95">
        <w:rPr>
          <w:rFonts w:ascii="Times New Roman" w:hAnsi="Times New Roman" w:cs="Times New Roman"/>
        </w:rPr>
        <w:t>4</w:t>
      </w:r>
      <w:r w:rsidR="0070085D">
        <w:rPr>
          <w:rFonts w:ascii="Times New Roman" w:hAnsi="Times New Roman" w:cs="Times New Roman"/>
        </w:rPr>
        <w:t> </w:t>
      </w:r>
      <w:r w:rsidR="007C7EB7" w:rsidRPr="00BA5D95">
        <w:rPr>
          <w:rFonts w:ascii="Times New Roman" w:hAnsi="Times New Roman" w:cs="Times New Roman"/>
        </w:rPr>
        <w:t xml:space="preserve">zakłady: w Ostrołęce, Tychach, Łodzi i w Mosinie koło Poznania. </w:t>
      </w:r>
      <w:r w:rsidRPr="00BA5D95">
        <w:rPr>
          <w:rFonts w:ascii="Times New Roman" w:hAnsi="Times New Roman" w:cs="Times New Roman"/>
        </w:rPr>
        <w:t xml:space="preserve">W październiku </w:t>
      </w:r>
      <w:r w:rsidR="0070085D" w:rsidRPr="00BA5D95">
        <w:rPr>
          <w:rFonts w:ascii="Times New Roman" w:hAnsi="Times New Roman" w:cs="Times New Roman"/>
        </w:rPr>
        <w:t>2013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r. uruchomiono nową linię produkcyjną koncernu papierniczego Metsä Tissue </w:t>
      </w:r>
      <w:r w:rsidR="0070085D" w:rsidRPr="00BA5D95">
        <w:rPr>
          <w:rFonts w:ascii="Times New Roman" w:hAnsi="Times New Roman" w:cs="Times New Roman"/>
        </w:rPr>
        <w:t>w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 xml:space="preserve">Krapkowicach, wartość tej inwestycji wyniosła ok. 60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. </w:t>
      </w:r>
    </w:p>
    <w:p w:rsidR="00C95736" w:rsidRPr="00BA5D95" w:rsidRDefault="00C95736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</w:rPr>
        <w:lastRenderedPageBreak/>
        <w:t xml:space="preserve">Dotychczas niewielkie polskie inwestycje bezpośrednie w Republice Finlandii zostały znacząco powiększone w 2011 r. do kwoty 162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 przez inwestycję spółki </w:t>
      </w:r>
      <w:r w:rsidR="0070085D">
        <w:rPr>
          <w:rFonts w:ascii="Times New Roman" w:hAnsi="Times New Roman" w:cs="Times New Roman"/>
        </w:rPr>
        <w:br/>
      </w:r>
      <w:r w:rsidRPr="00BA5D95">
        <w:rPr>
          <w:rFonts w:ascii="Times New Roman" w:hAnsi="Times New Roman" w:cs="Times New Roman"/>
        </w:rPr>
        <w:t xml:space="preserve">Can-Pack S.A. </w:t>
      </w:r>
      <w:r w:rsidR="00681C67" w:rsidRPr="00BA5D95">
        <w:rPr>
          <w:rFonts w:ascii="Times New Roman" w:hAnsi="Times New Roman" w:cs="Times New Roman"/>
        </w:rPr>
        <w:t>(</w:t>
      </w:r>
      <w:r w:rsidRPr="00BA5D95">
        <w:rPr>
          <w:rFonts w:ascii="Times New Roman" w:hAnsi="Times New Roman" w:cs="Times New Roman"/>
        </w:rPr>
        <w:t xml:space="preserve">zarejestrowanej w </w:t>
      </w:r>
      <w:r w:rsidR="00681C67" w:rsidRPr="00BA5D95">
        <w:rPr>
          <w:rFonts w:ascii="Times New Roman" w:hAnsi="Times New Roman" w:cs="Times New Roman"/>
        </w:rPr>
        <w:t>RP)</w:t>
      </w:r>
      <w:r w:rsidRPr="00BA5D95">
        <w:rPr>
          <w:rFonts w:ascii="Times New Roman" w:hAnsi="Times New Roman" w:cs="Times New Roman"/>
        </w:rPr>
        <w:t xml:space="preserve"> w</w:t>
      </w:r>
      <w:r w:rsidR="007C7EB7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>miejscowości Hämeenlinna</w:t>
      </w:r>
      <w:r w:rsidR="007C7EB7" w:rsidRPr="00BA5D95">
        <w:rPr>
          <w:rFonts w:ascii="Times New Roman" w:hAnsi="Times New Roman" w:cs="Times New Roman"/>
        </w:rPr>
        <w:t xml:space="preserve">. </w:t>
      </w:r>
      <w:r w:rsidRPr="00BA5D95">
        <w:rPr>
          <w:rFonts w:ascii="Times New Roman" w:hAnsi="Times New Roman" w:cs="Times New Roman"/>
        </w:rPr>
        <w:t xml:space="preserve">Fabryka </w:t>
      </w:r>
      <w:r w:rsidR="0070085D" w:rsidRPr="00BA5D95">
        <w:rPr>
          <w:rFonts w:ascii="Times New Roman" w:hAnsi="Times New Roman" w:cs="Times New Roman"/>
        </w:rPr>
        <w:t>w</w:t>
      </w:r>
      <w:r w:rsidR="0070085D">
        <w:rPr>
          <w:rFonts w:ascii="Times New Roman" w:hAnsi="Times New Roman" w:cs="Times New Roman"/>
        </w:rPr>
        <w:t> </w:t>
      </w:r>
      <w:r w:rsidRPr="00BA5D95">
        <w:rPr>
          <w:rFonts w:ascii="Times New Roman" w:hAnsi="Times New Roman" w:cs="Times New Roman"/>
        </w:rPr>
        <w:t>Hämeenlinna</w:t>
      </w:r>
      <w:r w:rsidR="0070085D">
        <w:rPr>
          <w:rFonts w:ascii="Times New Roman" w:hAnsi="Times New Roman" w:cs="Times New Roman"/>
        </w:rPr>
        <w:t>,</w:t>
      </w:r>
      <w:r w:rsidRPr="00BA5D95">
        <w:rPr>
          <w:rFonts w:ascii="Times New Roman" w:hAnsi="Times New Roman" w:cs="Times New Roman"/>
        </w:rPr>
        <w:t xml:space="preserve"> o</w:t>
      </w:r>
      <w:r w:rsidR="007C7EB7" w:rsidRPr="00BA5D95">
        <w:rPr>
          <w:rFonts w:ascii="Times New Roman" w:hAnsi="Times New Roman" w:cs="Times New Roman"/>
        </w:rPr>
        <w:t xml:space="preserve"> </w:t>
      </w:r>
      <w:r w:rsidRPr="00BA5D95">
        <w:rPr>
          <w:rFonts w:ascii="Times New Roman" w:hAnsi="Times New Roman" w:cs="Times New Roman"/>
        </w:rPr>
        <w:t>docelowej zdolności produkcyjnej 1,8 mld puszek do napojów</w:t>
      </w:r>
      <w:r w:rsidR="0070085D">
        <w:rPr>
          <w:rFonts w:ascii="Times New Roman" w:hAnsi="Times New Roman" w:cs="Times New Roman"/>
        </w:rPr>
        <w:t>,</w:t>
      </w:r>
      <w:r w:rsidRPr="00BA5D95">
        <w:rPr>
          <w:rFonts w:ascii="Times New Roman" w:hAnsi="Times New Roman" w:cs="Times New Roman"/>
        </w:rPr>
        <w:t xml:space="preserve"> podjęła produkcję pod koniec marca 2012 r. </w:t>
      </w:r>
    </w:p>
    <w:p w:rsidR="00332279" w:rsidRPr="007E0ED1" w:rsidRDefault="00C95736" w:rsidP="007E0ED1">
      <w:pPr>
        <w:pStyle w:val="Tekstpodstawowy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BA5D95">
        <w:rPr>
          <w:rFonts w:ascii="Times New Roman" w:hAnsi="Times New Roman" w:cs="Times New Roman"/>
        </w:rPr>
        <w:t>W</w:t>
      </w:r>
      <w:r w:rsidR="007C7EB7" w:rsidRPr="00BA5D95">
        <w:rPr>
          <w:rFonts w:ascii="Times New Roman" w:hAnsi="Times New Roman" w:cs="Times New Roman"/>
        </w:rPr>
        <w:t>edług NBP w</w:t>
      </w:r>
      <w:r w:rsidRPr="00BA5D95">
        <w:rPr>
          <w:rFonts w:ascii="Times New Roman" w:hAnsi="Times New Roman" w:cs="Times New Roman"/>
        </w:rPr>
        <w:t xml:space="preserve"> 2019 r. do Finlandii napłynęły polskie inwestycje o wartości 77 mln </w:t>
      </w:r>
      <w:r w:rsidR="00137A40">
        <w:rPr>
          <w:rFonts w:ascii="Times New Roman" w:hAnsi="Times New Roman" w:cs="Times New Roman"/>
        </w:rPr>
        <w:t>euro</w:t>
      </w:r>
      <w:r w:rsidRPr="00BA5D95">
        <w:rPr>
          <w:rFonts w:ascii="Times New Roman" w:hAnsi="Times New Roman" w:cs="Times New Roman"/>
        </w:rPr>
        <w:t xml:space="preserve">, a pod koniec roku stan polskich inwestycji bezpośrednich wynosił 172,3 mln </w:t>
      </w:r>
      <w:r w:rsidR="00137A40">
        <w:rPr>
          <w:rFonts w:ascii="Times New Roman" w:hAnsi="Times New Roman" w:cs="Times New Roman"/>
        </w:rPr>
        <w:t>euro</w:t>
      </w:r>
      <w:r w:rsidR="007C7EB7" w:rsidRPr="00BA5D95">
        <w:rPr>
          <w:rFonts w:ascii="Times New Roman" w:hAnsi="Times New Roman" w:cs="Times New Roman"/>
        </w:rPr>
        <w:t xml:space="preserve">. </w:t>
      </w:r>
      <w:r w:rsidR="00684A29" w:rsidRPr="007E0ED1">
        <w:rPr>
          <w:rFonts w:ascii="Times New Roman" w:hAnsi="Times New Roman" w:cs="Times New Roman"/>
        </w:rPr>
        <w:t xml:space="preserve">Zawarcie Porozumienia </w:t>
      </w:r>
      <w:r w:rsidR="00684A29" w:rsidRPr="00BA5D95">
        <w:rPr>
          <w:rFonts w:ascii="Times New Roman" w:hAnsi="Times New Roman" w:cs="Times New Roman"/>
          <w:color w:val="000000"/>
        </w:rPr>
        <w:t>nie naruszy polskiego porządku prawnego</w:t>
      </w:r>
      <w:r w:rsidR="00684A29" w:rsidRPr="007E0ED1">
        <w:rPr>
          <w:rFonts w:ascii="Times New Roman" w:hAnsi="Times New Roman" w:cs="Times New Roman"/>
          <w:color w:val="000000"/>
        </w:rPr>
        <w:t xml:space="preserve"> </w:t>
      </w:r>
      <w:r w:rsidR="007B3509" w:rsidRPr="00BA5D95">
        <w:rPr>
          <w:rFonts w:ascii="Times New Roman" w:hAnsi="Times New Roman" w:cs="Times New Roman"/>
          <w:color w:val="000000"/>
        </w:rPr>
        <w:t>i</w:t>
      </w:r>
      <w:r w:rsidR="007B3509">
        <w:rPr>
          <w:rFonts w:ascii="Times New Roman" w:hAnsi="Times New Roman" w:cs="Times New Roman"/>
          <w:color w:val="000000"/>
        </w:rPr>
        <w:t> </w:t>
      </w:r>
      <w:r w:rsidR="00684A29" w:rsidRPr="00BA5D95">
        <w:rPr>
          <w:rFonts w:ascii="Times New Roman" w:hAnsi="Times New Roman" w:cs="Times New Roman"/>
          <w:color w:val="000000"/>
        </w:rPr>
        <w:t>doprowadzi do usunięcia niezgodności z prawem UE klauzuli przedłużonego obowiązywania Umowy.</w:t>
      </w:r>
    </w:p>
    <w:p w:rsidR="00332279" w:rsidRPr="007E0ED1" w:rsidRDefault="00684A29" w:rsidP="007E0ED1">
      <w:p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  <w:b/>
        </w:rPr>
        <w:t>5.</w:t>
      </w:r>
      <w:r w:rsidR="00043C84">
        <w:rPr>
          <w:rFonts w:ascii="Times New Roman" w:hAnsi="Times New Roman" w:cs="Times New Roman"/>
          <w:b/>
        </w:rPr>
        <w:tab/>
      </w:r>
      <w:r w:rsidRPr="007E0ED1">
        <w:rPr>
          <w:rFonts w:ascii="Times New Roman" w:hAnsi="Times New Roman" w:cs="Times New Roman"/>
          <w:b/>
        </w:rPr>
        <w:t>Tryb związania Rzeczypospolitej Polskiej Porozumieniem</w:t>
      </w:r>
    </w:p>
    <w:p w:rsidR="00332279" w:rsidRPr="007E0ED1" w:rsidRDefault="00684A29" w:rsidP="007E0ED1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E0ED1">
        <w:rPr>
          <w:rFonts w:ascii="Times New Roman" w:hAnsi="Times New Roman" w:cs="Times New Roman"/>
        </w:rPr>
        <w:t xml:space="preserve">Porozumienie posiada rangę umowy międzypaństwowej. Rozwiązywane umowy </w:t>
      </w:r>
      <w:r w:rsidR="0070085D">
        <w:rPr>
          <w:rFonts w:ascii="Times New Roman" w:hAnsi="Times New Roman" w:cs="Times New Roman"/>
        </w:rPr>
        <w:br/>
      </w:r>
      <w:r w:rsidRPr="007E0ED1">
        <w:rPr>
          <w:rFonts w:ascii="Times New Roman" w:hAnsi="Times New Roman" w:cs="Times New Roman"/>
        </w:rPr>
        <w:t xml:space="preserve">intra-EU BIT są traktowane w polskim porządku prawnym jako umowy ratyfikowane za uprzednią zgodą wyrażoną w ustawie, stosownie do art. 241 ust. 1 ustawy z dnia </w:t>
      </w:r>
      <w:r w:rsidR="0070085D" w:rsidRPr="007E0ED1">
        <w:rPr>
          <w:rFonts w:ascii="Times New Roman" w:hAnsi="Times New Roman" w:cs="Times New Roman"/>
        </w:rPr>
        <w:t>2</w:t>
      </w:r>
      <w:r w:rsidR="0070085D">
        <w:rPr>
          <w:rFonts w:ascii="Times New Roman" w:hAnsi="Times New Roman" w:cs="Times New Roman"/>
        </w:rPr>
        <w:t> </w:t>
      </w:r>
      <w:r w:rsidRPr="007E0ED1">
        <w:rPr>
          <w:rFonts w:ascii="Times New Roman" w:hAnsi="Times New Roman" w:cs="Times New Roman"/>
        </w:rPr>
        <w:t xml:space="preserve">kwietnia 1997 r. </w:t>
      </w:r>
      <w:r w:rsidR="00BA5D95" w:rsidRPr="007E0ED1">
        <w:rPr>
          <w:rFonts w:ascii="Times New Roman" w:hAnsi="Times New Roman" w:cs="Times New Roman"/>
        </w:rPr>
        <w:t>–</w:t>
      </w:r>
      <w:r w:rsidRPr="007E0ED1">
        <w:rPr>
          <w:rFonts w:ascii="Times New Roman" w:hAnsi="Times New Roman" w:cs="Times New Roman"/>
        </w:rPr>
        <w:t xml:space="preserve"> Konstytucja Rzeczypospolitej Polskiej (Dz. U. poz. 483, z późn. zm.). Dlatego też związanie R</w:t>
      </w:r>
      <w:r w:rsidR="00606ED4">
        <w:rPr>
          <w:rFonts w:ascii="Times New Roman" w:hAnsi="Times New Roman" w:cs="Times New Roman"/>
        </w:rPr>
        <w:t xml:space="preserve">zeczypospolitej </w:t>
      </w:r>
      <w:r w:rsidRPr="007E0ED1">
        <w:rPr>
          <w:rFonts w:ascii="Times New Roman" w:hAnsi="Times New Roman" w:cs="Times New Roman"/>
        </w:rPr>
        <w:t>P</w:t>
      </w:r>
      <w:r w:rsidR="00606ED4">
        <w:rPr>
          <w:rFonts w:ascii="Times New Roman" w:hAnsi="Times New Roman" w:cs="Times New Roman"/>
        </w:rPr>
        <w:t>olskiej</w:t>
      </w:r>
      <w:r w:rsidRPr="007E0ED1">
        <w:rPr>
          <w:rFonts w:ascii="Times New Roman" w:hAnsi="Times New Roman" w:cs="Times New Roman"/>
        </w:rPr>
        <w:t xml:space="preserve"> Porozumieniem nastąpi również za uprzednią zgodą wyrażoną w ustawie, tym bardziej że Porozumienie dotyczy wolności, praw i obowiązków obywatelskich, spraw uregulowanych w ustawie lub </w:t>
      </w:r>
      <w:r w:rsidR="00024396" w:rsidRPr="007E0ED1">
        <w:rPr>
          <w:rFonts w:ascii="Times New Roman" w:hAnsi="Times New Roman" w:cs="Times New Roman"/>
        </w:rPr>
        <w:t>w</w:t>
      </w:r>
      <w:r w:rsidR="00024396">
        <w:rPr>
          <w:rFonts w:ascii="Times New Roman" w:hAnsi="Times New Roman" w:cs="Times New Roman"/>
        </w:rPr>
        <w:t> </w:t>
      </w:r>
      <w:r w:rsidRPr="007E0ED1">
        <w:rPr>
          <w:rFonts w:ascii="Times New Roman" w:hAnsi="Times New Roman" w:cs="Times New Roman"/>
        </w:rPr>
        <w:t xml:space="preserve">których Konstytucja RP wymaga ustawy (zasady prowadzenia działalności gospodarczej, ochrona prawa własności, kwestia wywłaszczenia oraz odszkodowania </w:t>
      </w:r>
      <w:bookmarkStart w:id="3" w:name="_GoBack"/>
      <w:bookmarkEnd w:id="3"/>
      <w:r w:rsidR="00024396" w:rsidRPr="007E0ED1">
        <w:rPr>
          <w:rFonts w:ascii="Times New Roman" w:hAnsi="Times New Roman" w:cs="Times New Roman"/>
        </w:rPr>
        <w:t>w</w:t>
      </w:r>
      <w:r w:rsidR="00024396">
        <w:rPr>
          <w:rFonts w:ascii="Times New Roman" w:hAnsi="Times New Roman" w:cs="Times New Roman"/>
        </w:rPr>
        <w:t> </w:t>
      </w:r>
      <w:r w:rsidRPr="007E0ED1">
        <w:rPr>
          <w:rFonts w:ascii="Times New Roman" w:hAnsi="Times New Roman" w:cs="Times New Roman"/>
        </w:rPr>
        <w:t>tym zakresie), a więc spraw, o których mowa w art. 89 ust. 1 pkt 2 i 5 Konstytucji RP.</w:t>
      </w:r>
    </w:p>
    <w:sectPr w:rsidR="00332279" w:rsidRPr="007E0ED1" w:rsidSect="007E0ED1">
      <w:footerReference w:type="default" r:id="rId8"/>
      <w:pgSz w:w="11906" w:h="16838"/>
      <w:pgMar w:top="1588" w:right="1418" w:bottom="1418" w:left="1985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A4" w:rsidRDefault="00B10AA4">
      <w:r>
        <w:separator/>
      </w:r>
    </w:p>
  </w:endnote>
  <w:endnote w:type="continuationSeparator" w:id="0">
    <w:p w:rsidR="00B10AA4" w:rsidRDefault="00B10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;Calibr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panose1 w:val="00000000000000000000"/>
    <w:charset w:val="8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6845998"/>
      <w:docPartObj>
        <w:docPartGallery w:val="Page Numbers (Bottom of Page)"/>
        <w:docPartUnique/>
      </w:docPartObj>
    </w:sdtPr>
    <w:sdtEndPr/>
    <w:sdtContent>
      <w:p w:rsidR="00332279" w:rsidRDefault="00BA5D95" w:rsidP="007E0ED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39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A4" w:rsidRDefault="00B10AA4" w:rsidP="00BA5D95">
      <w:r>
        <w:separator/>
      </w:r>
    </w:p>
  </w:footnote>
  <w:footnote w:type="continuationSeparator" w:id="0">
    <w:p w:rsidR="00B10AA4" w:rsidRDefault="00B10AA4">
      <w:r>
        <w:continuationSeparator/>
      </w:r>
    </w:p>
  </w:footnote>
  <w:footnote w:type="continuationNotice" w:id="1">
    <w:p w:rsidR="00B10AA4" w:rsidRDefault="00B10AA4"/>
  </w:footnote>
  <w:footnote w:id="2">
    <w:p w:rsidR="00332279" w:rsidRDefault="00684A29" w:rsidP="00043C84">
      <w:pPr>
        <w:ind w:left="284" w:hanging="284"/>
        <w:jc w:val="both"/>
      </w:pPr>
      <w:r>
        <w:rPr>
          <w:rStyle w:val="Znakiprzypiswdolnych"/>
        </w:rPr>
        <w:footnoteRef/>
      </w:r>
      <w:r w:rsidR="00043C84" w:rsidRPr="007E0ED1">
        <w:rPr>
          <w:rFonts w:ascii="Times New Roman" w:hAnsi="Times New Roman"/>
          <w:color w:val="000000"/>
          <w:sz w:val="20"/>
          <w:szCs w:val="20"/>
          <w:vertAlign w:val="superscript"/>
        </w:rPr>
        <w:t>)</w:t>
      </w:r>
      <w:r w:rsidR="00043C84"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Dokument wypowiedzenia przez Rzeczpospolitą Polską Umowy </w:t>
      </w:r>
      <w:r>
        <w:rPr>
          <w:rFonts w:ascii="Times New Roman" w:hAnsi="Times New Roman" w:cs="Arial"/>
          <w:color w:val="000000"/>
          <w:sz w:val="20"/>
          <w:szCs w:val="20"/>
        </w:rPr>
        <w:t xml:space="preserve">między Rządem Rzeczypospolitej Polskiej a Rządem Republiki Finlandii o popieraniu i ochronie inwestycji, </w:t>
      </w:r>
      <w:r>
        <w:rPr>
          <w:rFonts w:ascii="Times New Roman" w:hAnsi="Times New Roman"/>
          <w:color w:val="000000"/>
          <w:sz w:val="20"/>
          <w:szCs w:val="20"/>
        </w:rPr>
        <w:t xml:space="preserve">sporządzonej w Helsinkach dnia 25 listopada 1996 r. (Dz. U. z 2019 r. poz. 937); oświadczenie rządowe z dnia </w:t>
      </w:r>
      <w:r w:rsidR="005209DB">
        <w:rPr>
          <w:rFonts w:ascii="Times New Roman" w:hAnsi="Times New Roman"/>
          <w:color w:val="000000"/>
          <w:sz w:val="20"/>
          <w:szCs w:val="20"/>
        </w:rPr>
        <w:t>9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209DB">
        <w:rPr>
          <w:rFonts w:ascii="Times New Roman" w:hAnsi="Times New Roman"/>
          <w:color w:val="000000"/>
          <w:sz w:val="20"/>
          <w:szCs w:val="20"/>
        </w:rPr>
        <w:t xml:space="preserve">kwietnia </w:t>
      </w:r>
      <w:r>
        <w:rPr>
          <w:rFonts w:ascii="Times New Roman" w:hAnsi="Times New Roman"/>
          <w:color w:val="000000"/>
          <w:sz w:val="20"/>
          <w:szCs w:val="20"/>
        </w:rPr>
        <w:t xml:space="preserve"> 2019 r. w sprawie wypowiedzenia przez Rzeczpospolitą Polską Umowy </w:t>
      </w:r>
      <w:r>
        <w:rPr>
          <w:rFonts w:ascii="Times New Roman" w:hAnsi="Times New Roman" w:cs="Arial"/>
          <w:color w:val="000000"/>
          <w:sz w:val="20"/>
          <w:szCs w:val="20"/>
        </w:rPr>
        <w:t xml:space="preserve">między Rządem Rzeczypospolitej Polskiej a Rządem Republiki Finlandii o popieraniu i ochronie inwestycji, </w:t>
      </w:r>
      <w:r>
        <w:rPr>
          <w:rFonts w:ascii="Times New Roman" w:hAnsi="Times New Roman"/>
          <w:color w:val="000000"/>
          <w:sz w:val="20"/>
          <w:szCs w:val="20"/>
        </w:rPr>
        <w:t xml:space="preserve">sporządzonej w Helsinkach dnia 25 listopada 1996 r. (Dz. U. z 2019 r. poz. 938).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08D1"/>
    <w:multiLevelType w:val="multilevel"/>
    <w:tmpl w:val="BCFA43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227027"/>
    <w:multiLevelType w:val="multilevel"/>
    <w:tmpl w:val="B9D01A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79"/>
    <w:rsid w:val="00024396"/>
    <w:rsid w:val="00043C84"/>
    <w:rsid w:val="0007573D"/>
    <w:rsid w:val="00083A11"/>
    <w:rsid w:val="000A01A4"/>
    <w:rsid w:val="000E567C"/>
    <w:rsid w:val="00137A40"/>
    <w:rsid w:val="002A2672"/>
    <w:rsid w:val="002A31DD"/>
    <w:rsid w:val="002A44CA"/>
    <w:rsid w:val="002B0466"/>
    <w:rsid w:val="00332279"/>
    <w:rsid w:val="003422CB"/>
    <w:rsid w:val="00363772"/>
    <w:rsid w:val="00407CB7"/>
    <w:rsid w:val="00420663"/>
    <w:rsid w:val="00466B7D"/>
    <w:rsid w:val="00471DC6"/>
    <w:rsid w:val="004909FA"/>
    <w:rsid w:val="004D777C"/>
    <w:rsid w:val="005209DB"/>
    <w:rsid w:val="00544B8F"/>
    <w:rsid w:val="005467B7"/>
    <w:rsid w:val="005502F9"/>
    <w:rsid w:val="00606ED4"/>
    <w:rsid w:val="006148D8"/>
    <w:rsid w:val="006665A3"/>
    <w:rsid w:val="00681C67"/>
    <w:rsid w:val="00684A29"/>
    <w:rsid w:val="006C0EBB"/>
    <w:rsid w:val="006F5749"/>
    <w:rsid w:val="0070085D"/>
    <w:rsid w:val="007217D4"/>
    <w:rsid w:val="007A7F83"/>
    <w:rsid w:val="007B3509"/>
    <w:rsid w:val="007C7EB7"/>
    <w:rsid w:val="007E0ED1"/>
    <w:rsid w:val="00876E89"/>
    <w:rsid w:val="008B45CF"/>
    <w:rsid w:val="0091258F"/>
    <w:rsid w:val="009173E0"/>
    <w:rsid w:val="00937A6B"/>
    <w:rsid w:val="00A03BD8"/>
    <w:rsid w:val="00A1725F"/>
    <w:rsid w:val="00A45472"/>
    <w:rsid w:val="00B10AA4"/>
    <w:rsid w:val="00B46FE9"/>
    <w:rsid w:val="00B70422"/>
    <w:rsid w:val="00B74D1B"/>
    <w:rsid w:val="00BA4F83"/>
    <w:rsid w:val="00BA5D95"/>
    <w:rsid w:val="00BC4DEE"/>
    <w:rsid w:val="00C12AAE"/>
    <w:rsid w:val="00C92F10"/>
    <w:rsid w:val="00C95736"/>
    <w:rsid w:val="00CE4DC9"/>
    <w:rsid w:val="00CF2211"/>
    <w:rsid w:val="00D445D2"/>
    <w:rsid w:val="00D72F1F"/>
    <w:rsid w:val="00DC256B"/>
    <w:rsid w:val="00E25F35"/>
    <w:rsid w:val="00E2789A"/>
    <w:rsid w:val="00E80039"/>
    <w:rsid w:val="00E812E6"/>
    <w:rsid w:val="00F46DC3"/>
    <w:rsid w:val="00F77260"/>
    <w:rsid w:val="00FC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A6E88"/>
  <w15:docId w15:val="{18854CA2-AF1B-4F9C-A909-E9DE6D64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Times New Roman;Times New Roman" w:eastAsia="Times New Roman;Times New Roman" w:hAnsi="Times New Roman;Times New Roman" w:cs="Times New Roman;Times New Roman"/>
      <w:kern w:val="0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omylnaczcionkaakapitu2">
    <w:name w:val="Domyślna czcionka akapitu2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0">
    <w:name w:val="WW8Num3z0"/>
    <w:qFormat/>
    <w:rPr>
      <w:rFonts w:ascii="Times New Roman;Times New Roman" w:eastAsia="Times New Roman;Times New Roman" w:hAnsi="Times New Roman;Times New Roman" w:cs="Times New Roman;Times New Roman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Domylnaczcionkaakapitu1">
    <w:name w:val="Domyślna czcionka 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umerstron">
    <w:name w:val="Numer stron"/>
    <w:basedOn w:val="Domylnaczcionkaakapitu1"/>
  </w:style>
  <w:style w:type="character" w:customStyle="1" w:styleId="h1">
    <w:name w:val="h1"/>
    <w:basedOn w:val="Domylnaczcionkaakapitu1"/>
    <w:qFormat/>
  </w:style>
  <w:style w:type="character" w:customStyle="1" w:styleId="trescpismaZnak">
    <w:name w:val="tresc.pisma Znak"/>
    <w:qFormat/>
    <w:rPr>
      <w:rFonts w:eastAsia="Calibri;Calibri"/>
      <w:sz w:val="24"/>
      <w:szCs w:val="24"/>
      <w:lang w:val="en-US" w:bidi="ar-SA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1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rzypisukocowegoZnak">
    <w:name w:val="Tekst przypisu końcowego Znak"/>
    <w:basedOn w:val="Domylnaczcionkaakapitu1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  <w:rPr>
      <w:lang w:eastAsia="zh-C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457C1"/>
    <w:rPr>
      <w:sz w:val="16"/>
      <w:szCs w:val="16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semiHidden/>
    <w:qFormat/>
    <w:rsid w:val="002457C1"/>
    <w:rPr>
      <w:rFonts w:ascii="Times New Roman;Times New Roman" w:eastAsia="Times New Roman;Times New Roman" w:hAnsi="Times New Roman;Times New Roman" w:cs="Times New Roman;Times New Roman"/>
      <w:szCs w:val="20"/>
      <w:lang w:bidi="ar-SA"/>
    </w:rPr>
  </w:style>
  <w:style w:type="character" w:customStyle="1" w:styleId="Znakinumeracji">
    <w:name w:val="Znaki numeracji"/>
    <w:qFormat/>
  </w:style>
  <w:style w:type="character" w:customStyle="1" w:styleId="TekstdymkaZnak">
    <w:name w:val="Tekst dymka Znak"/>
    <w:basedOn w:val="Domylnaczcionkaakapitu"/>
    <w:qFormat/>
    <w:rPr>
      <w:rFonts w:ascii="Tahoma" w:hAnsi="Tahoma"/>
      <w:sz w:val="16"/>
      <w:szCs w:val="14"/>
    </w:rPr>
  </w:style>
  <w:style w:type="character" w:customStyle="1" w:styleId="StopkaZnak">
    <w:name w:val="Stopka Znak"/>
    <w:basedOn w:val="Domylnaczcionkaakapitu"/>
    <w:uiPriority w:val="99"/>
    <w:qFormat/>
    <w:rPr>
      <w:sz w:val="24"/>
      <w:szCs w:val="24"/>
      <w:lang w:val="pl-PL" w:eastAsia="pl-PL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rescpisma">
    <w:name w:val="tresc.pisma"/>
    <w:basedOn w:val="Normalny"/>
    <w:qFormat/>
    <w:pPr>
      <w:spacing w:line="360" w:lineRule="auto"/>
      <w:ind w:firstLine="709"/>
      <w:jc w:val="both"/>
    </w:pPr>
    <w:rPr>
      <w:rFonts w:eastAsia="Calibri;Calibri"/>
      <w:lang w:val="en-US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qFormat/>
    <w:pPr>
      <w:spacing w:after="120" w:line="480" w:lineRule="auto"/>
    </w:pPr>
  </w:style>
  <w:style w:type="paragraph" w:customStyle="1" w:styleId="Default">
    <w:name w:val="Default"/>
    <w:qFormat/>
    <w:pPr>
      <w:suppressAutoHyphens/>
    </w:pPr>
    <w:rPr>
      <w:rFonts w:ascii="Times New Roman;Times New Roman" w:eastAsia="Times New Roman;Times New Roman" w:hAnsi="Times New Roman;Times New Roman" w:cs="Times New Roman;Times New Roman"/>
      <w:color w:val="000000"/>
      <w:kern w:val="0"/>
      <w:sz w:val="24"/>
      <w:lang w:bidi="ar-SA"/>
    </w:rPr>
  </w:style>
  <w:style w:type="paragraph" w:styleId="NormalnyWeb">
    <w:name w:val="Normal (Web)"/>
    <w:basedOn w:val="Normalny"/>
    <w:qFormat/>
    <w:pPr>
      <w:spacing w:before="280" w:after="280"/>
    </w:pPr>
    <w:rPr>
      <w:rFonts w:eastAsia="Calibri;Calibri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Poprawka">
    <w:name w:val="Revision"/>
    <w:qFormat/>
    <w:pPr>
      <w:suppressAutoHyphens/>
    </w:pPr>
    <w:rPr>
      <w:rFonts w:ascii="Times New Roman;Times New Roman" w:eastAsia="Times New Roman;Times New Roman" w:hAnsi="Times New Roman;Times New Roman" w:cs="Times New Roman;Times New Roman"/>
      <w:kern w:val="0"/>
      <w:sz w:val="24"/>
      <w:lang w:bidi="ar-SA"/>
    </w:rPr>
  </w:style>
  <w:style w:type="paragraph" w:customStyle="1" w:styleId="Zawartoramki">
    <w:name w:val="Zawartość ramki"/>
    <w:basedOn w:val="Normalny"/>
    <w:qFormat/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styleId="Tekstkomentarza">
    <w:name w:val="annotation text"/>
    <w:basedOn w:val="Normalny"/>
    <w:link w:val="TekstkomentarzaZnak2"/>
    <w:uiPriority w:val="99"/>
    <w:semiHidden/>
    <w:unhideWhenUsed/>
    <w:qFormat/>
    <w:rsid w:val="002457C1"/>
    <w:rPr>
      <w:sz w:val="20"/>
      <w:szCs w:val="20"/>
    </w:r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SimSun, 宋体" w:hAnsi="Times New Roman" w:cs="Times New Roman"/>
      <w:sz w:val="24"/>
    </w:r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Odwoanieprzypisudolnego">
    <w:name w:val="footnote reference"/>
    <w:basedOn w:val="Domylnaczcionkaakapitu"/>
    <w:uiPriority w:val="99"/>
    <w:semiHidden/>
    <w:unhideWhenUsed/>
    <w:rsid w:val="00BA5D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2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E3707-4E66-4429-8453-A15B75988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1824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[projekt]</vt:lpstr>
    </vt:vector>
  </TitlesOfParts>
  <Company>HP</Company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[projekt]</dc:title>
  <dc:creator>Kolibabska Marta</dc:creator>
  <cp:lastModifiedBy>Rybkowska Bożena</cp:lastModifiedBy>
  <cp:revision>12</cp:revision>
  <cp:lastPrinted>1995-11-21T17:41:00Z</cp:lastPrinted>
  <dcterms:created xsi:type="dcterms:W3CDTF">2021-12-15T11:08:00Z</dcterms:created>
  <dcterms:modified xsi:type="dcterms:W3CDTF">2021-12-17T08:58:00Z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