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1B2" w:rsidRPr="00157ADD" w:rsidRDefault="008E7822" w:rsidP="00157ADD">
      <w:pPr>
        <w:spacing w:before="120" w:line="360" w:lineRule="auto"/>
        <w:jc w:val="center"/>
        <w:rPr>
          <w:rFonts w:ascii="Times New Roman" w:hAnsi="Times New Roman" w:cs="Times New Roman"/>
        </w:rPr>
      </w:pPr>
      <w:r w:rsidRPr="00157ADD">
        <w:rPr>
          <w:rFonts w:ascii="Times New Roman" w:hAnsi="Times New Roman" w:cs="Times New Roman"/>
        </w:rPr>
        <w:t>UZASADNIENIE</w:t>
      </w:r>
    </w:p>
    <w:p w:rsidR="002D41B2" w:rsidRPr="00C30D75" w:rsidRDefault="002D41B2" w:rsidP="00157ADD">
      <w:pPr>
        <w:spacing w:before="120" w:line="360" w:lineRule="auto"/>
        <w:jc w:val="center"/>
        <w:rPr>
          <w:rFonts w:ascii="Times New Roman" w:hAnsi="Times New Roman" w:cs="Times New Roman"/>
          <w:b/>
          <w:szCs w:val="26"/>
        </w:rPr>
      </w:pPr>
    </w:p>
    <w:p w:rsidR="002D41B2" w:rsidRPr="00C30D75" w:rsidRDefault="008E7822" w:rsidP="00157ADD">
      <w:pPr>
        <w:numPr>
          <w:ilvl w:val="0"/>
          <w:numId w:val="1"/>
        </w:numPr>
        <w:spacing w:before="12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b/>
        </w:rPr>
        <w:t xml:space="preserve">Potrzeba i cel związania Rzeczypospolitej Polskiej Porozumieniem </w:t>
      </w:r>
    </w:p>
    <w:p w:rsidR="002D41B2" w:rsidRPr="00C30D75" w:rsidRDefault="008E7822" w:rsidP="00157ADD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sz w:val="24"/>
          <w:szCs w:val="24"/>
        </w:rPr>
        <w:t>Traktaty inwestycyjne zawarte między państwami członkowskimi Unii Europejskiej (umowy o popieraniu i ochronie inwestycji, dalej jako „umowy intra-EU BIT”) zapewniają inwestorowi i jego inwestycjom z państwa – Strony umowy na terytorium państwa – drugiej Strony umowy ochronę oraz możliwość dochodzenia roszczeń przed</w:t>
      </w:r>
      <w:r w:rsidR="00157ADD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 xml:space="preserve">międzynarodowym trybunałem inwestycyjnym (arbitrażowym). </w:t>
      </w:r>
    </w:p>
    <w:p w:rsidR="002D41B2" w:rsidRPr="00C30D75" w:rsidRDefault="008E7822" w:rsidP="00157ADD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0D75">
        <w:rPr>
          <w:rFonts w:ascii="Times New Roman" w:hAnsi="Times New Roman" w:cs="Times New Roman"/>
          <w:sz w:val="24"/>
          <w:szCs w:val="24"/>
        </w:rPr>
        <w:t>Obowiązywanie tych umów jest kwestionowane przez Komisję Europejską z uwagi na</w:t>
      </w:r>
      <w:r w:rsidR="00157ADD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ich niezgodność z prawem UE. Komisja Europejska wszczęła formalne postępowania ws. niezgodności tych umów z prawem UE przeciwko Austrii, Niderlandom, Słowacji, Szwecji,</w:t>
      </w:r>
      <w:r w:rsidR="00A6649B">
        <w:rPr>
          <w:rFonts w:ascii="Times New Roman" w:hAnsi="Times New Roman" w:cs="Times New Roman"/>
          <w:sz w:val="24"/>
          <w:szCs w:val="24"/>
        </w:rPr>
        <w:t xml:space="preserve"> </w:t>
      </w:r>
      <w:r w:rsidRPr="00C30D75">
        <w:rPr>
          <w:rFonts w:ascii="Times New Roman" w:hAnsi="Times New Roman" w:cs="Times New Roman"/>
          <w:sz w:val="24"/>
          <w:szCs w:val="24"/>
        </w:rPr>
        <w:t xml:space="preserve">Rumunii, Finlandii i Wielkiej Brytanii, natomiast przeciwko pozostałym państwom członkowskim, w tym przeciwko RP, prowadziła nieformalne postępowania (tzw. EU Pilot) i rozważa obecnie wszczęcie formalnych postępowań. </w:t>
      </w:r>
    </w:p>
    <w:p w:rsidR="002D41B2" w:rsidRPr="00C30D75" w:rsidRDefault="008E7822" w:rsidP="00157ADD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sz w:val="24"/>
          <w:szCs w:val="24"/>
        </w:rPr>
        <w:t>W ramach EU Pilot Komisja Europejska zgłaszała poważne obawy, że umowy intra-EU BIT jako takie, a także ich poszczególne postanowienia pokrywają się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z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postanowieniami Traktatu o funkcjonowaniu Unii Europejskiej lub mogą być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z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nimi sprzeczne. Wskazywała, w szczególności, na zasady swobody przepływu kapitału, swobody przedsiębiorczości i swobody świadczenia usług oraz na podstawowe zasady prawa UE, takie jak: zasada nadrzędności, jedności, skuteczności i pewności prawa UE. Komisja Europejska podkreślała również sprzeczność z prawem UE postanowień umów intra-EU BIT odnoszących się do kwestii rozstrzygania sporów inwestycyjnych. Co istotne, Trybunał Sprawiedliwości UE (dalej jako „TSUE”) stwierdził w wyroku wydanym</w:t>
      </w:r>
      <w:r w:rsidR="00157ADD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w</w:t>
      </w:r>
      <w:r w:rsidR="00157ADD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dniu 6 marca 2018 r. w sprawie Achmea B.V. przeciwko Republice Słowacji (C-284/16, dalej jako „orzeczenie TSUE ws. Achmea”), że klauzule arbitrażowe inwestor – państwo zawarte w umowach intra-EU BIT są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niezgodne z prawem UE, gdyż naruszają autonomię prawa UE (TSUE nie odnosił się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do przepisów materialnych umów intra-EU BIT). Polska przystąpiła do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ww.</w:t>
      </w:r>
      <w:r w:rsidR="00B9276E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postępowania i przedstawiła w nim stanowisko wskazujące na sprzeczność umów intra-EU BIT z prawem unijnym. Stanowisko zbliżone do RP zajęła Komisja Europejska oraz wiele państw z regionu i spoza niego.</w:t>
      </w:r>
    </w:p>
    <w:p w:rsidR="002D41B2" w:rsidRPr="00C30D75" w:rsidRDefault="008E7822" w:rsidP="00157ADD">
      <w:pPr>
        <w:pStyle w:val="Tekstpodstawowywcity31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30D75">
        <w:rPr>
          <w:rFonts w:ascii="Times New Roman" w:hAnsi="Times New Roman" w:cs="Times New Roman"/>
          <w:sz w:val="24"/>
          <w:szCs w:val="24"/>
        </w:rPr>
        <w:lastRenderedPageBreak/>
        <w:t xml:space="preserve">Stanowisko RP wobec umów intra-EU BIT zostało przyjęte przez Komitet do Spraw Europejskich w dniu 3 czerwca 2011 r. Zgodnie z nim umowy intra-EU BIT powinny zostać wypowiedziane przez wszystkie państwa członkowskie UE, a najlepszym rozwiązaniem dla RP byłoby jednoczesne podjęcie przez wszystkie państwa członkowskie UE wspólnej decyzji o rozwiązaniu umów intra-EU BIT za obopólną zgodą na mocy Konwencji </w:t>
      </w:r>
      <w:r w:rsidR="00F8281C">
        <w:rPr>
          <w:rFonts w:ascii="Times New Roman" w:hAnsi="Times New Roman" w:cs="Times New Roman"/>
          <w:sz w:val="24"/>
          <w:szCs w:val="24"/>
        </w:rPr>
        <w:t>W</w:t>
      </w:r>
      <w:r w:rsidRPr="00C30D75">
        <w:rPr>
          <w:rFonts w:ascii="Times New Roman" w:hAnsi="Times New Roman" w:cs="Times New Roman"/>
          <w:sz w:val="24"/>
          <w:szCs w:val="24"/>
        </w:rPr>
        <w:t xml:space="preserve">iedeńskiej o </w:t>
      </w:r>
      <w:r w:rsidR="00F8281C">
        <w:rPr>
          <w:rFonts w:ascii="Times New Roman" w:hAnsi="Times New Roman" w:cs="Times New Roman"/>
          <w:sz w:val="24"/>
          <w:szCs w:val="24"/>
        </w:rPr>
        <w:t>P</w:t>
      </w:r>
      <w:r w:rsidRPr="00C30D75">
        <w:rPr>
          <w:rFonts w:ascii="Times New Roman" w:hAnsi="Times New Roman" w:cs="Times New Roman"/>
          <w:sz w:val="24"/>
          <w:szCs w:val="24"/>
        </w:rPr>
        <w:t xml:space="preserve">rawie </w:t>
      </w:r>
      <w:r w:rsidR="00F8281C">
        <w:rPr>
          <w:rFonts w:ascii="Times New Roman" w:hAnsi="Times New Roman" w:cs="Times New Roman"/>
          <w:sz w:val="24"/>
          <w:szCs w:val="24"/>
        </w:rPr>
        <w:t>T</w:t>
      </w:r>
      <w:r w:rsidRPr="00C30D75">
        <w:rPr>
          <w:rFonts w:ascii="Times New Roman" w:hAnsi="Times New Roman" w:cs="Times New Roman"/>
          <w:sz w:val="24"/>
          <w:szCs w:val="24"/>
        </w:rPr>
        <w:t>raktatów, sporządzonej w Wiedniu dnia 23</w:t>
      </w:r>
      <w:r w:rsidR="00157ADD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maja 1969 r. (Dz. U. z 1990 r. poz. 439). Alternatywnie, w przypadku braku możliwości osiągnięcia wśród państw członkowskich UE takiej jednomyślności RP, zgodnie z powyższym stanowiskiem, powinna rozwiązać umowy intra-EU BIT albo</w:t>
      </w:r>
      <w:r w:rsidR="00157ADD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przez ich wypowiedzenie na warunkach określonych w tych umowach, albo</w:t>
      </w:r>
      <w:r w:rsidR="00157ADD">
        <w:rPr>
          <w:rFonts w:ascii="Times New Roman" w:hAnsi="Times New Roman" w:cs="Times New Roman"/>
          <w:sz w:val="24"/>
          <w:szCs w:val="24"/>
        </w:rPr>
        <w:t> </w:t>
      </w:r>
      <w:r w:rsidRPr="00C30D75">
        <w:rPr>
          <w:rFonts w:ascii="Times New Roman" w:hAnsi="Times New Roman" w:cs="Times New Roman"/>
          <w:sz w:val="24"/>
          <w:szCs w:val="24"/>
        </w:rPr>
        <w:t>na</w:t>
      </w:r>
      <w:r w:rsidR="00157ADD">
        <w:t> </w:t>
      </w:r>
      <w:r w:rsidRPr="00C30D75">
        <w:rPr>
          <w:rFonts w:ascii="Times New Roman" w:hAnsi="Times New Roman" w:cs="Times New Roman"/>
          <w:sz w:val="24"/>
          <w:szCs w:val="24"/>
        </w:rPr>
        <w:t xml:space="preserve">podstawie porozumienia stron. 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color w:val="000000"/>
        </w:rPr>
        <w:t>Z uwagi na brak konsensusu państw członkowskich UE co do celowości i sposobu rozwiązania umów intra-EU BIT, przed wydaniem orzeczenia TSUE w sprawie Achmea, RP przystąpiła do realizacji opcji rozwiązania umów na podstawie porozumień dwustronnych przewidujących rezygnację z klauzul przedłużonego obowiązywania umowy lub też przez ich wypowiedzenie, w przypadku gdy dane państwo członkowskie UE nie było zainteresowane rozwiązaniem umowy przez</w:t>
      </w:r>
      <w:r w:rsidR="00B9276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 xml:space="preserve">zawarcie dwustronnego porozumienia. 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color w:val="000000"/>
        </w:rPr>
        <w:t>W związku z tym, że Szwecja nie była zainteresowana rozwiązaniem z RP, za</w:t>
      </w:r>
      <w:r w:rsidR="007F568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porozumieniem stron, Umowy między Rządem Polskiej Rzeczypospolitej Ludowej a</w:t>
      </w:r>
      <w:r w:rsidR="007F568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Rządem Królestwa Szwecji w sprawie popierania i wzajemnej ochrony inwestycji, sporządzonej w Warszawie dnia 13 października 1989 r. (Dz. U. z 1990 r. poz. 218), dalej jako „Umowa”, RP wypowiedziała Umowę ze skutkiem od dnia 16 października 2019</w:t>
      </w:r>
      <w:r w:rsidR="00A6649B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r.</w:t>
      </w:r>
      <w:r w:rsidRPr="00C30D75">
        <w:rPr>
          <w:rStyle w:val="Zakotwiczenieprzypisudolnego"/>
          <w:rFonts w:ascii="Times New Roman" w:hAnsi="Times New Roman" w:cs="Times New Roman"/>
          <w:color w:val="000000"/>
        </w:rPr>
        <w:footnoteReference w:id="1"/>
      </w:r>
      <w:r w:rsidR="00A6649B">
        <w:rPr>
          <w:rFonts w:ascii="Times New Roman" w:hAnsi="Times New Roman" w:cs="Times New Roman"/>
          <w:color w:val="000000"/>
          <w:vertAlign w:val="superscript"/>
        </w:rPr>
        <w:t>)</w:t>
      </w:r>
      <w:r w:rsidRPr="00C30D75">
        <w:rPr>
          <w:rFonts w:ascii="Times New Roman" w:hAnsi="Times New Roman" w:cs="Times New Roman"/>
          <w:color w:val="000000"/>
        </w:rPr>
        <w:t xml:space="preserve"> 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bookmarkStart w:id="0" w:name="__DdeLink__578_271021031"/>
      <w:r w:rsidRPr="00C30D75">
        <w:rPr>
          <w:rFonts w:ascii="Times New Roman" w:hAnsi="Times New Roman" w:cs="Times New Roman"/>
          <w:color w:val="000000"/>
        </w:rPr>
        <w:t xml:space="preserve">Na podstawie art. 11 ust. 3 Umowy inwestycje dokonane przed </w:t>
      </w:r>
      <w:r w:rsidR="00DC154E">
        <w:rPr>
          <w:rFonts w:ascii="Times New Roman" w:hAnsi="Times New Roman" w:cs="Times New Roman"/>
          <w:color w:val="000000"/>
        </w:rPr>
        <w:t>dniem wejścia</w:t>
      </w:r>
      <w:r w:rsidR="00DC154E" w:rsidRPr="00C30D75">
        <w:rPr>
          <w:rFonts w:ascii="Times New Roman" w:hAnsi="Times New Roman" w:cs="Times New Roman"/>
          <w:color w:val="000000"/>
        </w:rPr>
        <w:t xml:space="preserve"> </w:t>
      </w:r>
      <w:r w:rsidRPr="00C30D75">
        <w:rPr>
          <w:rFonts w:ascii="Times New Roman" w:hAnsi="Times New Roman" w:cs="Times New Roman"/>
          <w:color w:val="000000"/>
        </w:rPr>
        <w:t>w życie wypowiedzenia Umowy będą chronione na mocy tej Umowy przez dwadzieścia lat od</w:t>
      </w:r>
      <w:r w:rsidR="007F568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czasu wygaśnięcia Umowy. Wypowiadając Umowę</w:t>
      </w:r>
      <w:r w:rsidR="00DC154E">
        <w:rPr>
          <w:rFonts w:ascii="Times New Roman" w:hAnsi="Times New Roman" w:cs="Times New Roman"/>
          <w:color w:val="000000"/>
        </w:rPr>
        <w:t>,</w:t>
      </w:r>
      <w:r w:rsidRPr="00C30D75">
        <w:rPr>
          <w:rFonts w:ascii="Times New Roman" w:hAnsi="Times New Roman" w:cs="Times New Roman"/>
          <w:color w:val="000000"/>
        </w:rPr>
        <w:t xml:space="preserve"> RP złożyła jednak deklarację, zgodnie z którą trybunały arbitrażowe ukonstytuowane na podstawie Umowy nie mają </w:t>
      </w:r>
      <w:r w:rsidRPr="00C30D75">
        <w:rPr>
          <w:rFonts w:ascii="Times New Roman" w:hAnsi="Times New Roman" w:cs="Times New Roman"/>
          <w:color w:val="000000"/>
        </w:rPr>
        <w:lastRenderedPageBreak/>
        <w:t xml:space="preserve">jurysdykcji do rozpatrywania sporów inwestor – państwo z uwagi na brak ważnej zgody na arbitraż Stron Umowy. </w:t>
      </w:r>
      <w:bookmarkEnd w:id="0"/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color w:val="000000"/>
        </w:rPr>
        <w:t>Jednocześnie RP, zgodnie z deklaracją w uzasadnieniu do wypowiedzenia Umowy, kontynuowała konsultacje ze Szwecją mające na celu doprowadzenie do rozwiązania Umowy, łącznie z klauzulą przedłużonego obowiązywania umowy. Działania takie zostały podjęte na forum unijnym w związku z ówczesną gotowością wszystkich państw do rozwiązania umów intra-EU BIT na podstawie traktatu plurilateralnego. Prace nad</w:t>
      </w:r>
      <w:r w:rsidR="007F568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traktatem trwały od listopada 2018 r. do października 2019 r. na</w:t>
      </w:r>
      <w:r w:rsidR="00B9276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forum</w:t>
      </w:r>
      <w:r w:rsidR="00B9276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specjalnie w</w:t>
      </w:r>
      <w:r w:rsidR="007F568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tym celu powołanej Grupy eksperckiej do spraw rozwiązania umów intra-EU BIT oraz</w:t>
      </w:r>
      <w:r w:rsidR="007F568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na poziomie stałych przedstawicieli RP przy UE w Brukseli (Komisja Europejska pełniła w nich rolę pomocniczą). Wynikiem tych prac jest</w:t>
      </w:r>
      <w:r w:rsidR="00B9276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 xml:space="preserve">Porozumienie </w:t>
      </w:r>
      <w:r w:rsidRPr="00C30D75">
        <w:rPr>
          <w:rFonts w:ascii="Times New Roman" w:hAnsi="Times New Roman" w:cs="Times New Roman"/>
          <w:color w:val="000000"/>
          <w:szCs w:val="26"/>
        </w:rPr>
        <w:t xml:space="preserve">o wygaśnięciu </w:t>
      </w:r>
      <w:r w:rsidR="00BC3E67">
        <w:rPr>
          <w:rFonts w:ascii="Times New Roman" w:hAnsi="Times New Roman" w:cs="Times New Roman"/>
          <w:color w:val="000000"/>
          <w:szCs w:val="26"/>
        </w:rPr>
        <w:t>D</w:t>
      </w:r>
      <w:r w:rsidRPr="00C30D75">
        <w:rPr>
          <w:rFonts w:ascii="Times New Roman" w:hAnsi="Times New Roman" w:cs="Times New Roman"/>
          <w:color w:val="000000"/>
          <w:szCs w:val="26"/>
        </w:rPr>
        <w:t xml:space="preserve">wustronnych </w:t>
      </w:r>
      <w:r w:rsidR="00BC3E67">
        <w:rPr>
          <w:rFonts w:ascii="Times New Roman" w:hAnsi="Times New Roman" w:cs="Times New Roman"/>
          <w:color w:val="000000"/>
          <w:szCs w:val="26"/>
        </w:rPr>
        <w:t>T</w:t>
      </w:r>
      <w:r w:rsidRPr="00C30D75">
        <w:rPr>
          <w:rFonts w:ascii="Times New Roman" w:hAnsi="Times New Roman" w:cs="Times New Roman"/>
          <w:color w:val="000000"/>
          <w:szCs w:val="26"/>
        </w:rPr>
        <w:t xml:space="preserve">raktatów </w:t>
      </w:r>
      <w:r w:rsidR="00BC3E67">
        <w:rPr>
          <w:rFonts w:ascii="Times New Roman" w:hAnsi="Times New Roman" w:cs="Times New Roman"/>
          <w:color w:val="000000"/>
          <w:szCs w:val="26"/>
        </w:rPr>
        <w:t>I</w:t>
      </w:r>
      <w:r w:rsidRPr="00C30D75">
        <w:rPr>
          <w:rFonts w:ascii="Times New Roman" w:hAnsi="Times New Roman" w:cs="Times New Roman"/>
          <w:color w:val="000000"/>
          <w:szCs w:val="26"/>
        </w:rPr>
        <w:t>nwestycyjnych między państwami członkowskimi Unii Europejskiej</w:t>
      </w:r>
      <w:r w:rsidRPr="00C30D75">
        <w:rPr>
          <w:rFonts w:ascii="Times New Roman" w:hAnsi="Times New Roman" w:cs="Times New Roman"/>
          <w:color w:val="000000"/>
        </w:rPr>
        <w:t>, które zostało podpisane w dniu 5 maja 2020 r. w Brukseli (Dz. Urz. UE L 169 z 29</w:t>
      </w:r>
      <w:r w:rsidR="00BC3E67">
        <w:rPr>
          <w:rFonts w:ascii="Times New Roman" w:hAnsi="Times New Roman" w:cs="Times New Roman"/>
          <w:color w:val="000000"/>
        </w:rPr>
        <w:t>.05.</w:t>
      </w:r>
      <w:r w:rsidRPr="00C30D75">
        <w:rPr>
          <w:rFonts w:ascii="Times New Roman" w:hAnsi="Times New Roman" w:cs="Times New Roman"/>
          <w:color w:val="000000"/>
        </w:rPr>
        <w:t>2020</w:t>
      </w:r>
      <w:r w:rsidR="00BC3E67">
        <w:rPr>
          <w:rFonts w:ascii="Times New Roman" w:hAnsi="Times New Roman" w:cs="Times New Roman"/>
          <w:color w:val="000000"/>
        </w:rPr>
        <w:t>, str. 1</w:t>
      </w:r>
      <w:r w:rsidRPr="00C30D75">
        <w:rPr>
          <w:rFonts w:ascii="Times New Roman" w:hAnsi="Times New Roman" w:cs="Times New Roman"/>
          <w:color w:val="000000"/>
        </w:rPr>
        <w:t>) przez dwadzieścia trzy państw</w:t>
      </w:r>
      <w:r w:rsidR="00CF24DA">
        <w:rPr>
          <w:rFonts w:ascii="Times New Roman" w:hAnsi="Times New Roman" w:cs="Times New Roman"/>
          <w:color w:val="000000"/>
        </w:rPr>
        <w:t>a</w:t>
      </w:r>
      <w:r w:rsidRPr="00C30D75">
        <w:rPr>
          <w:rFonts w:ascii="Times New Roman" w:hAnsi="Times New Roman" w:cs="Times New Roman"/>
          <w:color w:val="000000"/>
        </w:rPr>
        <w:t xml:space="preserve"> członkowskie. Ostatecznie Austria, Finlandia, Irlandia, Szwecja i Wielka Brytania, które uczestniczyły w pracach nad ww. traktatem, nie zdecydowały się</w:t>
      </w:r>
      <w:r w:rsidR="00B9276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na</w:t>
      </w:r>
      <w:r w:rsidR="00B9276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jego podpisanie. Szwecja poinformowała, że</w:t>
      </w:r>
      <w:r w:rsidR="007F568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przystąpi do rozwiązywania umów intra-EU BIT za porozumieniem stron, w</w:t>
      </w:r>
      <w:r w:rsidR="00BC3E67">
        <w:rPr>
          <w:rFonts w:ascii="Times New Roman" w:hAnsi="Times New Roman" w:cs="Times New Roman"/>
          <w:color w:val="000000"/>
        </w:rPr>
        <w:t xml:space="preserve"> </w:t>
      </w:r>
      <w:r w:rsidRPr="00C30D75">
        <w:rPr>
          <w:rFonts w:ascii="Times New Roman" w:hAnsi="Times New Roman" w:cs="Times New Roman"/>
          <w:color w:val="000000"/>
        </w:rPr>
        <w:t>tym</w:t>
      </w:r>
      <w:r w:rsidR="00BC3E67">
        <w:rPr>
          <w:rFonts w:ascii="Times New Roman" w:hAnsi="Times New Roman" w:cs="Times New Roman"/>
          <w:color w:val="000000"/>
        </w:rPr>
        <w:t xml:space="preserve"> </w:t>
      </w:r>
      <w:r w:rsidRPr="00C30D75">
        <w:rPr>
          <w:rFonts w:ascii="Times New Roman" w:hAnsi="Times New Roman" w:cs="Times New Roman"/>
          <w:color w:val="000000"/>
        </w:rPr>
        <w:t xml:space="preserve">łącznie z klauzulą przedłużonego obowiązywania umowy. </w:t>
      </w:r>
    </w:p>
    <w:p w:rsidR="002D41B2" w:rsidRPr="00C30D75" w:rsidRDefault="008E7822" w:rsidP="00157ADD">
      <w:pPr>
        <w:spacing w:before="24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b/>
          <w:color w:val="000000"/>
          <w:szCs w:val="26"/>
        </w:rPr>
        <w:t>2. Treść Porozumienia</w:t>
      </w:r>
    </w:p>
    <w:p w:rsidR="002D41B2" w:rsidRDefault="008E7822" w:rsidP="00157ADD">
      <w:pPr>
        <w:spacing w:before="120" w:line="360" w:lineRule="auto"/>
        <w:jc w:val="both"/>
        <w:rPr>
          <w:rFonts w:ascii="Times New Roman" w:eastAsia="Garamond" w:hAnsi="Times New Roman" w:cs="Times New Roman"/>
          <w:color w:val="000000"/>
        </w:rPr>
      </w:pPr>
      <w:r w:rsidRPr="00C30D75">
        <w:rPr>
          <w:rFonts w:ascii="Times New Roman" w:hAnsi="Times New Roman" w:cs="Times New Roman"/>
          <w:color w:val="000000"/>
          <w:szCs w:val="26"/>
        </w:rPr>
        <w:t>W dniu 18 czerwca 2020 r. Ministerstwo Spraw Zagranicznych Szwecji zwróciło się</w:t>
      </w:r>
      <w:r w:rsidR="008F27DC">
        <w:rPr>
          <w:rFonts w:ascii="Times New Roman" w:hAnsi="Times New Roman" w:cs="Times New Roman"/>
          <w:color w:val="000000"/>
          <w:szCs w:val="26"/>
        </w:rPr>
        <w:t> </w:t>
      </w:r>
      <w:r w:rsidRPr="00C30D75">
        <w:rPr>
          <w:rFonts w:ascii="Times New Roman" w:hAnsi="Times New Roman" w:cs="Times New Roman"/>
          <w:color w:val="000000"/>
          <w:szCs w:val="26"/>
        </w:rPr>
        <w:t>do</w:t>
      </w:r>
      <w:r w:rsidR="008F27DC">
        <w:rPr>
          <w:rFonts w:ascii="Times New Roman" w:hAnsi="Times New Roman" w:cs="Times New Roman"/>
          <w:color w:val="000000"/>
          <w:szCs w:val="26"/>
        </w:rPr>
        <w:t> </w:t>
      </w:r>
      <w:r w:rsidRPr="00C30D75">
        <w:rPr>
          <w:rFonts w:ascii="Times New Roman" w:hAnsi="Times New Roman" w:cs="Times New Roman"/>
          <w:color w:val="000000"/>
          <w:szCs w:val="26"/>
        </w:rPr>
        <w:t xml:space="preserve">Ambasady RP w Sztokholmie z propozycją zawarcia Porozumienia między Rządem Rzeczypospolitej Polskiej a Rządem Szwecji o skutkach prawnych wygaśnięcia Umowy między Rządem Polskiej Rzeczypospolitej Ludowej a Rządem Królestwa Szwecji w sprawie popierania i wzajemnej ochrony inwestycji, w formie wymiany not (dalej jako „Porozumienie”). Zgodnie z propozycją </w:t>
      </w:r>
      <w:r w:rsidRPr="00C30D75">
        <w:rPr>
          <w:rFonts w:ascii="Times New Roman" w:hAnsi="Times New Roman" w:cs="Times New Roman"/>
          <w:color w:val="000000"/>
        </w:rPr>
        <w:t>Strony Porozumienia zgadzają się, że</w:t>
      </w:r>
      <w:r w:rsidR="008F27DC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artykuł 11 ust. 3 Umow</w:t>
      </w:r>
      <w:r w:rsidR="0074637F" w:rsidRPr="00C30D75">
        <w:rPr>
          <w:rFonts w:ascii="Times New Roman" w:hAnsi="Times New Roman" w:cs="Times New Roman"/>
          <w:color w:val="000000"/>
        </w:rPr>
        <w:t>y</w:t>
      </w:r>
      <w:r w:rsidRPr="00C30D75">
        <w:rPr>
          <w:rFonts w:ascii="Times New Roman" w:hAnsi="Times New Roman" w:cs="Times New Roman"/>
          <w:color w:val="000000"/>
        </w:rPr>
        <w:t xml:space="preserve"> wygasa</w:t>
      </w:r>
      <w:r w:rsidR="0074637F" w:rsidRPr="00C30D75">
        <w:rPr>
          <w:rFonts w:ascii="Times New Roman" w:hAnsi="Times New Roman" w:cs="Times New Roman"/>
          <w:color w:val="000000"/>
        </w:rPr>
        <w:t>,</w:t>
      </w:r>
      <w:r w:rsidRPr="00C30D75">
        <w:rPr>
          <w:rFonts w:ascii="Times New Roman" w:hAnsi="Times New Roman" w:cs="Times New Roman"/>
          <w:color w:val="000000"/>
        </w:rPr>
        <w:t xml:space="preserve"> a zatem nie </w:t>
      </w:r>
      <w:r w:rsidRPr="00C30D75">
        <w:rPr>
          <w:rFonts w:ascii="Times New Roman" w:eastAsia="Garamond" w:hAnsi="Times New Roman" w:cs="Times New Roman"/>
          <w:color w:val="000000"/>
        </w:rPr>
        <w:t>wywołuje skutków prawnych.</w:t>
      </w:r>
      <w:r w:rsidR="00E06988" w:rsidRPr="00C30D75">
        <w:rPr>
          <w:rFonts w:ascii="Times New Roman" w:eastAsia="Garamond" w:hAnsi="Times New Roman" w:cs="Times New Roman"/>
          <w:color w:val="000000"/>
        </w:rPr>
        <w:t xml:space="preserve"> </w:t>
      </w:r>
      <w:r w:rsidR="00856925" w:rsidRPr="00C30D75">
        <w:rPr>
          <w:rFonts w:ascii="Times New Roman" w:eastAsia="Garamond" w:hAnsi="Times New Roman" w:cs="Times New Roman"/>
          <w:color w:val="000000"/>
        </w:rPr>
        <w:t>W dniu 8</w:t>
      </w:r>
      <w:r w:rsidR="008F27DC">
        <w:rPr>
          <w:rFonts w:ascii="Times New Roman" w:eastAsia="Garamond" w:hAnsi="Times New Roman" w:cs="Times New Roman"/>
          <w:color w:val="000000"/>
        </w:rPr>
        <w:t> </w:t>
      </w:r>
      <w:r w:rsidR="00856925" w:rsidRPr="00C30D75">
        <w:rPr>
          <w:rFonts w:ascii="Times New Roman" w:eastAsia="Garamond" w:hAnsi="Times New Roman" w:cs="Times New Roman"/>
          <w:color w:val="000000"/>
        </w:rPr>
        <w:t>lipca 2021 r. Ambasada RP w Sztokholmie przekazała Ministerstwu Spraw Zagranicznych Szwecji, że Rząd RP zgadza się na zawarcie niniejszego Porozumienia.</w:t>
      </w:r>
    </w:p>
    <w:p w:rsidR="00B00448" w:rsidRPr="00C30D75" w:rsidRDefault="00B00448" w:rsidP="00157ADD">
      <w:pPr>
        <w:spacing w:before="120" w:line="360" w:lineRule="auto"/>
        <w:jc w:val="both"/>
        <w:rPr>
          <w:rFonts w:ascii="Times New Roman" w:eastAsia="Garamond" w:hAnsi="Times New Roman" w:cs="Times New Roman"/>
          <w:color w:val="000000"/>
        </w:rPr>
      </w:pPr>
    </w:p>
    <w:p w:rsidR="002D41B2" w:rsidRPr="00C30D75" w:rsidRDefault="008E7822" w:rsidP="00157ADD">
      <w:pPr>
        <w:spacing w:before="24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b/>
          <w:color w:val="000000"/>
          <w:szCs w:val="26"/>
        </w:rPr>
        <w:lastRenderedPageBreak/>
        <w:t xml:space="preserve">3. </w:t>
      </w:r>
      <w:bookmarkStart w:id="1" w:name="__DdeLink__120_3247322178"/>
      <w:r w:rsidRPr="00C30D75">
        <w:rPr>
          <w:rFonts w:ascii="Times New Roman" w:hAnsi="Times New Roman" w:cs="Times New Roman"/>
          <w:b/>
          <w:color w:val="000000"/>
          <w:szCs w:val="26"/>
        </w:rPr>
        <w:t>Dotychczasowy a projektowany stan prawny</w:t>
      </w:r>
      <w:bookmarkEnd w:id="1"/>
    </w:p>
    <w:p w:rsidR="00943573" w:rsidRPr="00C30D75" w:rsidRDefault="008E7822" w:rsidP="00157ADD">
      <w:pPr>
        <w:spacing w:before="120" w:line="36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C30D75">
        <w:rPr>
          <w:rFonts w:ascii="Times New Roman" w:eastAsia="Garamond" w:hAnsi="Times New Roman" w:cs="Times New Roman"/>
          <w:color w:val="000000"/>
        </w:rPr>
        <w:t xml:space="preserve">Jak zostało już wspomniane w pkt 1 </w:t>
      </w:r>
      <w:r w:rsidR="00CF24DA">
        <w:rPr>
          <w:rFonts w:ascii="Times New Roman" w:eastAsia="Garamond" w:hAnsi="Times New Roman" w:cs="Times New Roman"/>
          <w:color w:val="000000"/>
        </w:rPr>
        <w:t>u</w:t>
      </w:r>
      <w:r w:rsidRPr="00C30D75">
        <w:rPr>
          <w:rFonts w:ascii="Times New Roman" w:eastAsia="Garamond" w:hAnsi="Times New Roman" w:cs="Times New Roman"/>
          <w:color w:val="000000"/>
        </w:rPr>
        <w:t>zasadnienia</w:t>
      </w:r>
      <w:r w:rsidR="00677437" w:rsidRPr="00C30D75">
        <w:rPr>
          <w:rFonts w:ascii="Times New Roman" w:eastAsia="Garamond" w:hAnsi="Times New Roman" w:cs="Times New Roman"/>
          <w:color w:val="000000"/>
        </w:rPr>
        <w:t>,</w:t>
      </w:r>
      <w:r w:rsidRPr="00C30D75">
        <w:rPr>
          <w:rFonts w:ascii="Times New Roman" w:eastAsia="Garamond" w:hAnsi="Times New Roman" w:cs="Times New Roman"/>
          <w:color w:val="000000"/>
        </w:rPr>
        <w:t xml:space="preserve"> na podstawie art. 11 ust. 3 Umowy inwestycje dokonane przed </w:t>
      </w:r>
      <w:r w:rsidR="00CF24DA">
        <w:rPr>
          <w:rFonts w:ascii="Times New Roman" w:eastAsia="Garamond" w:hAnsi="Times New Roman" w:cs="Times New Roman"/>
          <w:color w:val="000000"/>
        </w:rPr>
        <w:t xml:space="preserve">dniem </w:t>
      </w:r>
      <w:r w:rsidRPr="00C30D75">
        <w:rPr>
          <w:rFonts w:ascii="Times New Roman" w:eastAsia="Garamond" w:hAnsi="Times New Roman" w:cs="Times New Roman"/>
          <w:color w:val="000000"/>
        </w:rPr>
        <w:t>wejści</w:t>
      </w:r>
      <w:r w:rsidR="00CF24DA">
        <w:rPr>
          <w:rFonts w:ascii="Times New Roman" w:eastAsia="Garamond" w:hAnsi="Times New Roman" w:cs="Times New Roman"/>
          <w:color w:val="000000"/>
        </w:rPr>
        <w:t>a</w:t>
      </w:r>
      <w:r w:rsidRPr="00C30D75">
        <w:rPr>
          <w:rFonts w:ascii="Times New Roman" w:eastAsia="Garamond" w:hAnsi="Times New Roman" w:cs="Times New Roman"/>
          <w:color w:val="000000"/>
        </w:rPr>
        <w:t xml:space="preserve"> w życie wypowiedzenia Umowy, tj. przed 16</w:t>
      </w:r>
      <w:r w:rsidR="00E578CA">
        <w:rPr>
          <w:rFonts w:ascii="Times New Roman" w:eastAsia="Garamond" w:hAnsi="Times New Roman" w:cs="Times New Roman"/>
          <w:color w:val="000000"/>
        </w:rPr>
        <w:t> </w:t>
      </w:r>
      <w:r w:rsidRPr="00C30D75">
        <w:rPr>
          <w:rFonts w:ascii="Times New Roman" w:eastAsia="Garamond" w:hAnsi="Times New Roman" w:cs="Times New Roman"/>
          <w:color w:val="000000"/>
        </w:rPr>
        <w:t xml:space="preserve">października 2019 r., są chronione na mocy Umowy przez dwadzieścia lat od czasu wygaśnięcia Umowy (patrz też deklaracja RP, o której mowa w pkt 1 </w:t>
      </w:r>
      <w:r w:rsidR="00CF24DA">
        <w:rPr>
          <w:rFonts w:ascii="Times New Roman" w:eastAsia="Garamond" w:hAnsi="Times New Roman" w:cs="Times New Roman"/>
          <w:color w:val="000000"/>
        </w:rPr>
        <w:t>u</w:t>
      </w:r>
      <w:r w:rsidRPr="00C30D75">
        <w:rPr>
          <w:rFonts w:ascii="Times New Roman" w:eastAsia="Garamond" w:hAnsi="Times New Roman" w:cs="Times New Roman"/>
          <w:color w:val="000000"/>
        </w:rPr>
        <w:t>zasadnienia, zgodnie z którą trybunały arbitrażowe ukonstytuowane na podstawie Umowy nie mają jurysdykcji do rozpatrywania sporów inwestor – państwo z uwagi na brak ważnej zgody na arbitraż Stron Umowy). Na mocy Porozumienia ochrona ta wygasa wraz z wejściem w życie Porozumienia. Porozumienie wejdzie w życie trzy miesiące po otrzymaniu przez</w:t>
      </w:r>
      <w:r w:rsidR="00E578CA">
        <w:rPr>
          <w:rFonts w:ascii="Times New Roman" w:eastAsia="Garamond" w:hAnsi="Times New Roman" w:cs="Times New Roman"/>
          <w:color w:val="000000"/>
        </w:rPr>
        <w:t> </w:t>
      </w:r>
      <w:r w:rsidRPr="00C30D75">
        <w:rPr>
          <w:rFonts w:ascii="Times New Roman" w:eastAsia="Garamond" w:hAnsi="Times New Roman" w:cs="Times New Roman"/>
          <w:color w:val="000000"/>
        </w:rPr>
        <w:t>Szwecję notyfikacji Rządu Rzeczypospolitej Polskiej o zakończeniu odpowiednich procedur wewnętrznych</w:t>
      </w:r>
      <w:r w:rsidR="00943573" w:rsidRPr="00C30D75">
        <w:rPr>
          <w:rFonts w:ascii="Times New Roman" w:eastAsia="Garamond" w:hAnsi="Times New Roman" w:cs="Times New Roman"/>
          <w:color w:val="000000"/>
        </w:rPr>
        <w:t xml:space="preserve"> </w:t>
      </w:r>
      <w:r w:rsidR="00943573" w:rsidRPr="00C30D75">
        <w:rPr>
          <w:rFonts w:ascii="Times New Roman" w:eastAsia="Calibri" w:hAnsi="Times New Roman" w:cs="Times New Roman"/>
          <w:color w:val="000000"/>
          <w:lang w:eastAsia="en-US"/>
        </w:rPr>
        <w:t>(Szwecja przeprowadziła już odpowiednie procedury wewnętrzne</w:t>
      </w:r>
      <w:r w:rsidR="00225A2F" w:rsidRPr="00C30D75">
        <w:rPr>
          <w:rFonts w:ascii="Times New Roman" w:eastAsia="Calibri" w:hAnsi="Times New Roman" w:cs="Times New Roman"/>
          <w:color w:val="000000"/>
          <w:lang w:eastAsia="en-US"/>
        </w:rPr>
        <w:t>,</w:t>
      </w:r>
      <w:r w:rsidR="00943573" w:rsidRPr="00C30D75">
        <w:rPr>
          <w:rFonts w:ascii="Times New Roman" w:eastAsia="Calibri" w:hAnsi="Times New Roman" w:cs="Times New Roman"/>
          <w:color w:val="000000"/>
          <w:lang w:eastAsia="en-US"/>
        </w:rPr>
        <w:t xml:space="preserve"> o czym poinformowała stronę polską).</w:t>
      </w:r>
      <w:r w:rsidR="00A6649B">
        <w:rPr>
          <w:rFonts w:ascii="Times New Roman" w:eastAsia="Calibri" w:hAnsi="Times New Roman" w:cs="Times New Roman"/>
          <w:color w:val="000000"/>
          <w:lang w:eastAsia="en-US"/>
        </w:rPr>
        <w:t xml:space="preserve"> </w:t>
      </w:r>
    </w:p>
    <w:p w:rsidR="002D41B2" w:rsidRPr="00C30D75" w:rsidRDefault="008E7822" w:rsidP="00157ADD">
      <w:pPr>
        <w:spacing w:before="240" w:line="360" w:lineRule="auto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b/>
        </w:rPr>
        <w:t>4. Przewidywane skutki społeczne, gospodarcze, finansowe, polityczne i prawne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>Zawarcie Porozumienia nie będzie miało konsekwencji politycznych. Państwa członkowskie UE, w tym RP, jak i Szwecja, zostały wezwane przez Komisję Europejską do zakończenia obowiązywania umów intra-EU BIT, łącznie z klauzulami przedłużonego obowiązywania umów. W związku z niepodpisaniem przez Szwecję Porozumienia o</w:t>
      </w:r>
      <w:r w:rsidR="00E578CA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  <w:szCs w:val="26"/>
        </w:rPr>
        <w:t xml:space="preserve">wygaśnięciu dwustronnych traktatów inwestycyjnych między państwami członkowskimi Unii Europejskiej (patrz pkt 1) </w:t>
      </w:r>
      <w:r w:rsidRPr="00C30D75">
        <w:rPr>
          <w:rFonts w:ascii="Times New Roman" w:hAnsi="Times New Roman" w:cs="Times New Roman"/>
        </w:rPr>
        <w:t>Komisja Europejska zapowiedziała wyciągnięcie konsekwencji wobec tego państwa członkowskiego (trwa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 xml:space="preserve">procedura naruszenia prawa wobec Szwecji). 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 xml:space="preserve">Zawarcie Porozumienia nie będzie miało negatywnych skutków społecznych, wręcz przeciwnie, należy oczekiwać, że zostanie ono życzliwie przyjęte z uwagi na publiczną krytykę w Polsce umów intra-EU BIT i międzynarodowego arbitrażu inwestycyjnego. 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>Zawarcie Porozumienia nie powinno wpłynąć na stosunki gospodarcze między RP a</w:t>
      </w:r>
      <w:r w:rsidR="00E578CA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Szwecją. Umowę zawarto w czasie, kiedy RP nie była członkiem UE, a ww. Umowa miała na celu przyciągnięcie inwestycji szwedzkich do Polski. Obecnie poziom prawodawstwa oraz dostęp do powszechnego sądownictwa w RP dają inwestorom zagranicznym gwarancję ochrony inwestycji z możliwością dochodzenia swoich praw na</w:t>
      </w:r>
      <w:r w:rsidR="00E578CA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 xml:space="preserve">drodze sądowej. 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color w:val="000000"/>
        </w:rPr>
        <w:lastRenderedPageBreak/>
        <w:t xml:space="preserve">Z informacji posiadanych przez Ministerstwo Rozwoju </w:t>
      </w:r>
      <w:r w:rsidR="00E06988" w:rsidRPr="00C30D75">
        <w:rPr>
          <w:rFonts w:ascii="Times New Roman" w:hAnsi="Times New Roman" w:cs="Times New Roman"/>
          <w:color w:val="000000"/>
        </w:rPr>
        <w:t xml:space="preserve">i Technologii </w:t>
      </w:r>
      <w:r w:rsidRPr="00C30D75">
        <w:rPr>
          <w:rFonts w:ascii="Times New Roman" w:hAnsi="Times New Roman" w:cs="Times New Roman"/>
          <w:color w:val="000000"/>
        </w:rPr>
        <w:t>wynika, że</w:t>
      </w:r>
      <w:r w:rsidR="00B9276E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zarówno polscy jak i szwedzcy inwestorzy nie kierowali, na podstawie Umowy, roszczeń do</w:t>
      </w:r>
      <w:r w:rsidR="00E578CA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międzynarodowych trybunałów arbitrażowych przeciwko, odpowiednio, Szwecji i</w:t>
      </w:r>
      <w:r w:rsidR="00E578CA">
        <w:t> </w:t>
      </w:r>
      <w:r w:rsidRPr="00C30D75">
        <w:rPr>
          <w:rFonts w:ascii="Times New Roman" w:hAnsi="Times New Roman" w:cs="Times New Roman"/>
          <w:color w:val="000000"/>
        </w:rPr>
        <w:t>RP.</w:t>
      </w:r>
      <w:r w:rsidRPr="00C30D75">
        <w:rPr>
          <w:rFonts w:ascii="Times New Roman" w:hAnsi="Times New Roman" w:cs="Times New Roman"/>
        </w:rPr>
        <w:t xml:space="preserve"> Zgodnie z deklaracją złożoną przez RP przy wypowiedzeniu Umowy </w:t>
      </w:r>
      <w:r w:rsidRPr="00C30D75">
        <w:rPr>
          <w:rFonts w:ascii="Times New Roman" w:hAnsi="Times New Roman" w:cs="Times New Roman"/>
          <w:color w:val="000000"/>
        </w:rPr>
        <w:t>trybunały arbitrażowe ukonstytuowane na podstawie Umowy nie mają jurysdykcji do</w:t>
      </w:r>
      <w:r w:rsidR="00E578CA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 xml:space="preserve">rozpatrywania sporów inwestor – państwo z uwagi na brak ważnej zgody na arbitraż Stron Umowy (patrz pkt 1). </w:t>
      </w:r>
    </w:p>
    <w:p w:rsidR="003F5358" w:rsidRPr="00C30D75" w:rsidRDefault="003F5358" w:rsidP="00157ADD">
      <w:pPr>
        <w:pStyle w:val="NormalnyWeb"/>
        <w:shd w:val="clear" w:color="FFFFFF" w:fill="FFFFFF"/>
        <w:spacing w:before="120" w:after="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>Według danych G</w:t>
      </w:r>
      <w:r w:rsidR="00622468">
        <w:rPr>
          <w:rFonts w:ascii="Times New Roman" w:hAnsi="Times New Roman" w:cs="Times New Roman"/>
        </w:rPr>
        <w:t>US</w:t>
      </w:r>
      <w:r w:rsidRPr="00C30D75">
        <w:rPr>
          <w:rFonts w:ascii="Times New Roman" w:hAnsi="Times New Roman" w:cs="Times New Roman"/>
        </w:rPr>
        <w:t xml:space="preserve"> pod koniec 2019 r. w </w:t>
      </w:r>
      <w:r w:rsidR="008E7E63">
        <w:rPr>
          <w:rFonts w:ascii="Times New Roman" w:hAnsi="Times New Roman" w:cs="Times New Roman"/>
        </w:rPr>
        <w:t>RP</w:t>
      </w:r>
      <w:r w:rsidRPr="00C30D75">
        <w:rPr>
          <w:rFonts w:ascii="Times New Roman" w:hAnsi="Times New Roman" w:cs="Times New Roman"/>
        </w:rPr>
        <w:t xml:space="preserve"> zarejestrowano 770 spółek z udziałem kapitału szwedzkiego. W tej liczbie 364 spółek zatrudniało więcej niż 9 osób. Łączne zatrudnienie w tych spółkach wynosiło ok. 64 tys. pracowników (stan na koniec 2018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r.). Udziały kapitałowe inwestorów szwedzkich wynosiły 5014 mln PLN, co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stanowiło 2,4% podstawowego kapitału zagranicznego ogółem, w</w:t>
      </w:r>
      <w:r w:rsidR="00A35F35" w:rsidRPr="00C30D75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>tym udział kapitału zagranicznego 79</w:t>
      </w:r>
      <w:r w:rsidR="00B824C6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spółek o kapitale powyżej 1 mln USD wynosił 4</w:t>
      </w:r>
      <w:r w:rsidR="00A35F35" w:rsidRPr="00C30D75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 xml:space="preserve">835 mln PLN. </w:t>
      </w:r>
    </w:p>
    <w:p w:rsidR="003F5358" w:rsidRPr="00C30D75" w:rsidRDefault="003F5358" w:rsidP="00157ADD">
      <w:pPr>
        <w:pStyle w:val="NormalnyWeb"/>
        <w:shd w:val="clear" w:color="FFFFFF" w:fill="FFFFFF"/>
        <w:spacing w:before="120" w:after="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 xml:space="preserve">Łączna wartość szwedzkich bezpośrednich inwestycji w </w:t>
      </w:r>
      <w:r w:rsidR="00622468">
        <w:rPr>
          <w:rFonts w:ascii="Times New Roman" w:hAnsi="Times New Roman" w:cs="Times New Roman"/>
        </w:rPr>
        <w:t>RP</w:t>
      </w:r>
      <w:r w:rsidRPr="00C30D75">
        <w:rPr>
          <w:rFonts w:ascii="Times New Roman" w:hAnsi="Times New Roman" w:cs="Times New Roman"/>
        </w:rPr>
        <w:t xml:space="preserve"> na koniec 2019 r</w:t>
      </w:r>
      <w:r w:rsidR="00A35F35" w:rsidRPr="00C30D75">
        <w:rPr>
          <w:rFonts w:ascii="Times New Roman" w:hAnsi="Times New Roman" w:cs="Times New Roman"/>
        </w:rPr>
        <w:t>. w</w:t>
      </w:r>
      <w:r w:rsidRPr="00C30D75">
        <w:rPr>
          <w:rFonts w:ascii="Times New Roman" w:hAnsi="Times New Roman" w:cs="Times New Roman"/>
        </w:rPr>
        <w:t>edług N</w:t>
      </w:r>
      <w:r w:rsidR="00622468">
        <w:rPr>
          <w:rFonts w:ascii="Times New Roman" w:hAnsi="Times New Roman" w:cs="Times New Roman"/>
        </w:rPr>
        <w:t>BP</w:t>
      </w:r>
      <w:r w:rsidRPr="00C30D75">
        <w:rPr>
          <w:rFonts w:ascii="Times New Roman" w:hAnsi="Times New Roman" w:cs="Times New Roman"/>
        </w:rPr>
        <w:t xml:space="preserve"> wynosiła 3</w:t>
      </w:r>
      <w:r w:rsidR="00A35F35" w:rsidRPr="00C30D75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>775,6 mln EUR (odnotowano wzrost wartości o 271,9 mln EUR względem roku poprzedniego). Szwecja w 2019 r. była 14</w:t>
      </w:r>
      <w:r w:rsidR="00A4675B">
        <w:rPr>
          <w:rFonts w:ascii="Times New Roman" w:hAnsi="Times New Roman" w:cs="Times New Roman"/>
        </w:rPr>
        <w:t>.</w:t>
      </w:r>
      <w:r w:rsidRPr="00C30D75">
        <w:rPr>
          <w:rFonts w:ascii="Times New Roman" w:hAnsi="Times New Roman" w:cs="Times New Roman"/>
        </w:rPr>
        <w:t xml:space="preserve"> inwestorem w </w:t>
      </w:r>
      <w:r w:rsidR="008E7E63">
        <w:rPr>
          <w:rFonts w:ascii="Times New Roman" w:hAnsi="Times New Roman" w:cs="Times New Roman"/>
        </w:rPr>
        <w:t>RP</w:t>
      </w:r>
      <w:r w:rsidRPr="00C30D75">
        <w:rPr>
          <w:rFonts w:ascii="Times New Roman" w:hAnsi="Times New Roman" w:cs="Times New Roman"/>
        </w:rPr>
        <w:t xml:space="preserve"> z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udziałem w</w:t>
      </w:r>
      <w:r w:rsidR="00A35F35" w:rsidRPr="00C30D75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>inwestycjach bezpośrednich ogółem ok. 1,8</w:t>
      </w:r>
      <w:r w:rsidR="00A6649B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>%. Dochody spółek szwedzkich szacowano na420 mln EUR, z czego reinwestowane zyski stanowiły 297,5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mln EUR.</w:t>
      </w:r>
    </w:p>
    <w:p w:rsidR="003F5358" w:rsidRPr="00C30D75" w:rsidRDefault="003F5358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 xml:space="preserve">Polska Agencja Inwestycji i Handlu odnotowała na początku 2019 r. 112 dużych inwestorów zarejestrowanych w Szwecji inwestujących w </w:t>
      </w:r>
      <w:r w:rsidR="00622468">
        <w:rPr>
          <w:rFonts w:ascii="Times New Roman" w:hAnsi="Times New Roman" w:cs="Times New Roman"/>
        </w:rPr>
        <w:t>RP</w:t>
      </w:r>
      <w:r w:rsidRPr="00C30D75">
        <w:rPr>
          <w:rFonts w:ascii="Times New Roman" w:hAnsi="Times New Roman" w:cs="Times New Roman"/>
        </w:rPr>
        <w:t xml:space="preserve">. Znaczący szwedzcy inwestorzy bezpośredni w </w:t>
      </w:r>
      <w:r w:rsidR="008E7E63">
        <w:rPr>
          <w:rFonts w:ascii="Times New Roman" w:hAnsi="Times New Roman" w:cs="Times New Roman"/>
        </w:rPr>
        <w:t>RP</w:t>
      </w:r>
      <w:r w:rsidRPr="00C30D75">
        <w:rPr>
          <w:rFonts w:ascii="Times New Roman" w:hAnsi="Times New Roman" w:cs="Times New Roman"/>
        </w:rPr>
        <w:t xml:space="preserve"> to m.in.: IKEA (szwedzka firma zarejestrowana w</w:t>
      </w:r>
      <w:r w:rsidR="00B824C6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Szwajcarii), Telia AB, Nordea Bank AB, Skanska Kraft AB, Arctic Paper AB, Svenska Handelsbanken (bankowość korporacyjna), Volvo AB, NCC AB, Skandinavska Enskilda Banken AB (SEB), SKF, Sandvik AB, Scania AB. Ostatnio w</w:t>
      </w:r>
      <w:r w:rsidR="00B9276E">
        <w:rPr>
          <w:rFonts w:ascii="Times New Roman" w:hAnsi="Times New Roman" w:cs="Times New Roman"/>
        </w:rPr>
        <w:t> </w:t>
      </w:r>
      <w:r w:rsidR="00622468">
        <w:rPr>
          <w:rFonts w:ascii="Times New Roman" w:hAnsi="Times New Roman" w:cs="Times New Roman"/>
        </w:rPr>
        <w:t>RP</w:t>
      </w:r>
      <w:r w:rsidRPr="00C30D75">
        <w:rPr>
          <w:rFonts w:ascii="Times New Roman" w:hAnsi="Times New Roman" w:cs="Times New Roman"/>
        </w:rPr>
        <w:t xml:space="preserve"> rozwija działalność inwestycyjną Grupa Electrolux, największy w świecie producent sprzętu AGD, która zainwestowała ok. 132 mln </w:t>
      </w:r>
      <w:r w:rsidR="00A35F35" w:rsidRPr="00C30D75">
        <w:rPr>
          <w:rFonts w:ascii="Times New Roman" w:hAnsi="Times New Roman" w:cs="Times New Roman"/>
        </w:rPr>
        <w:t xml:space="preserve">EUR </w:t>
      </w:r>
      <w:r w:rsidRPr="00C30D75">
        <w:rPr>
          <w:rFonts w:ascii="Times New Roman" w:hAnsi="Times New Roman" w:cs="Times New Roman"/>
        </w:rPr>
        <w:t>i</w:t>
      </w:r>
      <w:r w:rsidR="00A35F35" w:rsidRPr="00C30D75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>zatrudnia ok.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3000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pracowników. IKEA zwiększyła swoje inwestycje (w sierpniu 2010 r. rozpoczęła budowę nowoczesnej fabryki paneli, tartaku i</w:t>
      </w:r>
      <w:r w:rsidR="00A6649B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>lakierni w gminie Orla o</w:t>
      </w:r>
      <w:r w:rsidR="00B9276E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łącznej wartości ok. 340 mln EUR). Na</w:t>
      </w:r>
      <w:r w:rsidR="00A35F35" w:rsidRPr="00C30D75">
        <w:rPr>
          <w:rFonts w:ascii="Times New Roman" w:hAnsi="Times New Roman" w:cs="Times New Roman"/>
        </w:rPr>
        <w:t xml:space="preserve"> </w:t>
      </w:r>
      <w:r w:rsidRPr="00C30D75">
        <w:rPr>
          <w:rFonts w:ascii="Times New Roman" w:hAnsi="Times New Roman" w:cs="Times New Roman"/>
        </w:rPr>
        <w:t xml:space="preserve">Warszawskiej Giełdzie Papierów </w:t>
      </w:r>
      <w:r w:rsidRPr="00C30D75">
        <w:rPr>
          <w:rFonts w:ascii="Times New Roman" w:hAnsi="Times New Roman" w:cs="Times New Roman"/>
        </w:rPr>
        <w:lastRenderedPageBreak/>
        <w:t>Wartościowych jest notowana jedna spółka szwedzka Reinhold Europe A.B. zajmująca się zarządzaniem nieruchomościami.</w:t>
      </w:r>
    </w:p>
    <w:p w:rsidR="003F5358" w:rsidRPr="00C30D75" w:rsidRDefault="00A35F35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>Według N</w:t>
      </w:r>
      <w:r w:rsidR="00622468">
        <w:rPr>
          <w:rFonts w:ascii="Times New Roman" w:hAnsi="Times New Roman" w:cs="Times New Roman"/>
        </w:rPr>
        <w:t>BP</w:t>
      </w:r>
      <w:r w:rsidRPr="00C30D75">
        <w:rPr>
          <w:rFonts w:ascii="Times New Roman" w:hAnsi="Times New Roman" w:cs="Times New Roman"/>
        </w:rPr>
        <w:t xml:space="preserve"> ł</w:t>
      </w:r>
      <w:r w:rsidR="003F5358" w:rsidRPr="00C30D75">
        <w:rPr>
          <w:rFonts w:ascii="Times New Roman" w:hAnsi="Times New Roman" w:cs="Times New Roman"/>
        </w:rPr>
        <w:t>ączna wartość zainwestowanych w Szwecji polskich kapitałó</w:t>
      </w:r>
      <w:r w:rsidRPr="00C30D75">
        <w:rPr>
          <w:rFonts w:ascii="Times New Roman" w:hAnsi="Times New Roman" w:cs="Times New Roman"/>
        </w:rPr>
        <w:t>w bezpośrednich pod koniec 2019 r</w:t>
      </w:r>
      <w:r w:rsidR="003F5358" w:rsidRPr="00C30D75">
        <w:rPr>
          <w:rFonts w:ascii="Times New Roman" w:hAnsi="Times New Roman" w:cs="Times New Roman"/>
        </w:rPr>
        <w:t>. była ujemna i wynosiła –</w:t>
      </w:r>
      <w:r w:rsidR="003F5358" w:rsidRPr="00C30D75">
        <w:rPr>
          <w:rFonts w:ascii="Times New Roman" w:hAnsi="Times New Roman" w:cs="Times New Roman"/>
          <w:color w:val="000000"/>
        </w:rPr>
        <w:t>2</w:t>
      </w:r>
      <w:r w:rsidR="00A6649B">
        <w:rPr>
          <w:rFonts w:ascii="Times New Roman" w:hAnsi="Times New Roman" w:cs="Times New Roman"/>
          <w:color w:val="000000"/>
        </w:rPr>
        <w:t> </w:t>
      </w:r>
      <w:r w:rsidR="003F5358" w:rsidRPr="00C30D75">
        <w:rPr>
          <w:rFonts w:ascii="Times New Roman" w:hAnsi="Times New Roman" w:cs="Times New Roman"/>
          <w:color w:val="000000"/>
        </w:rPr>
        <w:t xml:space="preserve">290,5 </w:t>
      </w:r>
      <w:r w:rsidR="003F5358" w:rsidRPr="00C30D75">
        <w:rPr>
          <w:rFonts w:ascii="Times New Roman" w:hAnsi="Times New Roman" w:cs="Times New Roman"/>
        </w:rPr>
        <w:t>mln EUR</w:t>
      </w:r>
      <w:r w:rsidR="003F5358" w:rsidRPr="00C30D75">
        <w:rPr>
          <w:rStyle w:val="Odwoanieprzypisudolnego"/>
          <w:rFonts w:ascii="Times New Roman" w:hAnsi="Times New Roman" w:cs="Times New Roman"/>
        </w:rPr>
        <w:footnoteReference w:id="2"/>
      </w:r>
      <w:r w:rsidR="00A6649B">
        <w:rPr>
          <w:rFonts w:ascii="Times New Roman" w:hAnsi="Times New Roman" w:cs="Times New Roman"/>
          <w:vertAlign w:val="superscript"/>
        </w:rPr>
        <w:t>)</w:t>
      </w:r>
      <w:r w:rsidR="003F5358" w:rsidRPr="00C30D75">
        <w:rPr>
          <w:rFonts w:ascii="Times New Roman" w:hAnsi="Times New Roman" w:cs="Times New Roman"/>
        </w:rPr>
        <w:t>. W</w:t>
      </w:r>
      <w:r w:rsidR="00B824C6">
        <w:rPr>
          <w:rFonts w:ascii="Times New Roman" w:hAnsi="Times New Roman" w:cs="Times New Roman"/>
        </w:rPr>
        <w:t> </w:t>
      </w:r>
      <w:r w:rsidR="003F5358" w:rsidRPr="00C30D75">
        <w:rPr>
          <w:rFonts w:ascii="Times New Roman" w:hAnsi="Times New Roman" w:cs="Times New Roman"/>
        </w:rPr>
        <w:t>październiku 2013 roku 100 proc. praw do szwedzkiej marki Duka (sieć sklepów z</w:t>
      </w:r>
      <w:r w:rsidR="00B824C6">
        <w:rPr>
          <w:rFonts w:ascii="Times New Roman" w:hAnsi="Times New Roman" w:cs="Times New Roman"/>
        </w:rPr>
        <w:t> </w:t>
      </w:r>
      <w:r w:rsidR="003F5358" w:rsidRPr="00C30D75">
        <w:rPr>
          <w:rFonts w:ascii="Times New Roman" w:hAnsi="Times New Roman" w:cs="Times New Roman"/>
        </w:rPr>
        <w:t>artykułami do wyposażenia wnętrz) w zakupiła polska Grupa Grass.</w:t>
      </w:r>
    </w:p>
    <w:p w:rsidR="002D41B2" w:rsidRPr="00C30D75" w:rsidRDefault="008E7822" w:rsidP="00157ADD">
      <w:pPr>
        <w:pStyle w:val="Tekstpodstawowy"/>
        <w:spacing w:before="120" w:after="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 xml:space="preserve">Zawarcie Porozumienia </w:t>
      </w:r>
      <w:r w:rsidRPr="00C30D75">
        <w:rPr>
          <w:rFonts w:ascii="Times New Roman" w:hAnsi="Times New Roman" w:cs="Times New Roman"/>
          <w:color w:val="000000"/>
        </w:rPr>
        <w:t>nie naruszy polskiego porządku prawnego i doprowadzi do</w:t>
      </w:r>
      <w:r w:rsidR="00B824C6">
        <w:rPr>
          <w:rFonts w:ascii="Times New Roman" w:hAnsi="Times New Roman" w:cs="Times New Roman"/>
          <w:color w:val="000000"/>
        </w:rPr>
        <w:t> </w:t>
      </w:r>
      <w:r w:rsidRPr="00C30D75">
        <w:rPr>
          <w:rFonts w:ascii="Times New Roman" w:hAnsi="Times New Roman" w:cs="Times New Roman"/>
          <w:color w:val="000000"/>
        </w:rPr>
        <w:t>usunięcia niezgodności z prawem UE klauzuli przedłużonego obowiązywania Umowy.</w:t>
      </w:r>
      <w:r w:rsidR="00A6649B">
        <w:rPr>
          <w:rFonts w:ascii="Times New Roman" w:hAnsi="Times New Roman" w:cs="Times New Roman"/>
          <w:color w:val="000000"/>
        </w:rPr>
        <w:t xml:space="preserve"> </w:t>
      </w:r>
    </w:p>
    <w:p w:rsidR="002D41B2" w:rsidRPr="00C30D75" w:rsidRDefault="008E7822" w:rsidP="00157ADD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  <w:b/>
        </w:rPr>
        <w:t>5. Tryb związania Rzeczypospolitej Polskiej Porozumieniem</w:t>
      </w:r>
    </w:p>
    <w:p w:rsidR="002D41B2" w:rsidRPr="00C30D75" w:rsidRDefault="008E7822" w:rsidP="00157ADD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0D75">
        <w:rPr>
          <w:rFonts w:ascii="Times New Roman" w:hAnsi="Times New Roman" w:cs="Times New Roman"/>
        </w:rPr>
        <w:t>Porozumienie posiada rangę umowy międzypaństwowej. Rozwiązywane umowy intra-EU BIT są traktowane w polskim porządku prawnym jako umowy ratyfikowane za</w:t>
      </w:r>
      <w:r w:rsidR="00B824C6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uprzednią zgodą wyrażoną w ustawie, stosownie do art. 241 ust. 1 ustawy z dnia 2</w:t>
      </w:r>
      <w:r w:rsidR="00B824C6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 xml:space="preserve">kwietnia 1997 r. </w:t>
      </w:r>
      <w:r w:rsidR="00A6649B">
        <w:rPr>
          <w:rFonts w:ascii="Times New Roman" w:hAnsi="Times New Roman" w:cs="Times New Roman"/>
        </w:rPr>
        <w:t>–</w:t>
      </w:r>
      <w:r w:rsidRPr="00C30D75">
        <w:rPr>
          <w:rFonts w:ascii="Times New Roman" w:hAnsi="Times New Roman" w:cs="Times New Roman"/>
        </w:rPr>
        <w:t xml:space="preserve"> Konstytucja Rzeczypospolitej Polskiej (Dz. U. poz. 483, z</w:t>
      </w:r>
      <w:r w:rsidR="00B824C6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późn.</w:t>
      </w:r>
      <w:r w:rsidR="00B824C6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zm.). Dlatego też związanie RP Porozumieniem nastąpi również za uprzednią zgodą wyrażoną w ustawie, tym bardziej że Porozumienie dotyczy wolności, praw i</w:t>
      </w:r>
      <w:r w:rsidR="00B824C6">
        <w:rPr>
          <w:rFonts w:ascii="Times New Roman" w:hAnsi="Times New Roman" w:cs="Times New Roman"/>
        </w:rPr>
        <w:t> </w:t>
      </w:r>
      <w:r w:rsidRPr="00C30D75">
        <w:rPr>
          <w:rFonts w:ascii="Times New Roman" w:hAnsi="Times New Roman" w:cs="Times New Roman"/>
        </w:rPr>
        <w:t>obowiązków obywatelskich, spraw uregulowanych w ustawie lub w których Konstytucja RP wymaga ustawy (zasady prowadzenia działalności gospodarczej, ochrona prawa własności, kwestia wywłaszczenia oraz odszkodowania w tym zakresie), a więc spraw, o których mowa w art. 89 ust. 1 pkt 2 i 5 Konstytucji RP.</w:t>
      </w:r>
    </w:p>
    <w:sectPr w:rsidR="002D41B2" w:rsidRPr="00C30D75" w:rsidSect="00157ADD">
      <w:footerReference w:type="default" r:id="rId8"/>
      <w:pgSz w:w="11906" w:h="16838" w:code="9"/>
      <w:pgMar w:top="1588" w:right="1418" w:bottom="1418" w:left="1985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F5F" w:rsidRDefault="003C6F5F">
      <w:r>
        <w:separator/>
      </w:r>
    </w:p>
  </w:endnote>
  <w:endnote w:type="continuationSeparator" w:id="0">
    <w:p w:rsidR="003C6F5F" w:rsidRDefault="003C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;Calibr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, 宋体">
    <w:panose1 w:val="00000000000000000000"/>
    <w:charset w:val="8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1B2" w:rsidRDefault="008E7822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5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0010" cy="178435"/>
              <wp:effectExtent l="0" t="0" r="0" b="0"/>
              <wp:wrapSquare wrapText="largest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" cy="17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D41B2" w:rsidRDefault="008E7822">
                          <w:pPr>
                            <w:pStyle w:val="Stopka"/>
                          </w:pPr>
                          <w:r>
                            <w:rPr>
                              <w:rStyle w:val="Numerstron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stron"/>
                            </w:rPr>
                            <w:instrText>PAGE</w:instrText>
                          </w:r>
                          <w:r>
                            <w:rPr>
                              <w:rStyle w:val="Numerstron"/>
                            </w:rPr>
                            <w:fldChar w:fldCharType="separate"/>
                          </w:r>
                          <w:r w:rsidR="006A68CE">
                            <w:rPr>
                              <w:rStyle w:val="Numerstron"/>
                              <w:noProof/>
                            </w:rPr>
                            <w:t>6</w:t>
                          </w:r>
                          <w:r>
                            <w:rPr>
                              <w:rStyle w:val="Numerstron"/>
                            </w:rPr>
                            <w:fldChar w:fldCharType="end"/>
                          </w:r>
                        </w:p>
                      </w:txbxContent>
                    </wps:txbx>
                    <wps:bodyPr lIns="6480" tIns="6480" rIns="6480" bIns="648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amka1" o:spid="_x0000_s1026" style="position:absolute;margin-left:0;margin-top:.05pt;width:6.3pt;height:14.05pt;z-index:-50331647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" filled="f" stroked="f">
              <v:textbox inset=".18mm,.18mm,.18mm,.18mm">
                <w:txbxContent>
                  <w:p w:rsidR="002D41B2" w:rsidRDefault="008E7822">
                    <w:pPr>
                      <w:pStyle w:val="Stopka"/>
                    </w:pPr>
                    <w:r>
                      <w:rPr>
                        <w:rStyle w:val="Numerstron"/>
                        <w:color w:val="000000"/>
                      </w:rPr>
                      <w:fldChar w:fldCharType="begin"/>
                    </w:r>
                    <w:r>
                      <w:rPr>
                        <w:rStyle w:val="Numerstron"/>
                      </w:rPr>
                      <w:instrText>PAGE</w:instrText>
                    </w:r>
                    <w:r>
                      <w:rPr>
                        <w:rStyle w:val="Numerstron"/>
                      </w:rPr>
                      <w:fldChar w:fldCharType="separate"/>
                    </w:r>
                    <w:r w:rsidR="006A68CE">
                      <w:rPr>
                        <w:rStyle w:val="Numerstron"/>
                        <w:noProof/>
                      </w:rPr>
                      <w:t>6</w:t>
                    </w:r>
                    <w:r>
                      <w:rPr>
                        <w:rStyle w:val="Numerstron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F5F" w:rsidRDefault="003C6F5F" w:rsidP="009E7E7C">
      <w:pPr>
        <w:overflowPunct/>
      </w:pPr>
      <w:r w:rsidRPr="009E7E7C">
        <w:separator/>
      </w:r>
    </w:p>
  </w:footnote>
  <w:footnote w:type="continuationSeparator" w:id="0">
    <w:p w:rsidR="003C6F5F" w:rsidRDefault="003C6F5F">
      <w:r>
        <w:continuationSeparator/>
      </w:r>
    </w:p>
  </w:footnote>
  <w:footnote w:id="1">
    <w:p w:rsidR="002D41B2" w:rsidRPr="00157ADD" w:rsidRDefault="008E7822" w:rsidP="00A6649B">
      <w:pPr>
        <w:ind w:left="284" w:hanging="284"/>
        <w:jc w:val="both"/>
        <w:rPr>
          <w:sz w:val="20"/>
          <w:szCs w:val="20"/>
        </w:rPr>
      </w:pPr>
      <w:r w:rsidRPr="00A6649B">
        <w:rPr>
          <w:rStyle w:val="Znakiprzypiswdolnych"/>
          <w:sz w:val="20"/>
          <w:szCs w:val="20"/>
        </w:rPr>
        <w:footnoteRef/>
      </w:r>
      <w:r w:rsidR="00A6649B" w:rsidRPr="00157ADD">
        <w:rPr>
          <w:color w:val="000000"/>
          <w:sz w:val="20"/>
          <w:szCs w:val="20"/>
          <w:vertAlign w:val="superscript"/>
        </w:rPr>
        <w:t>)</w:t>
      </w:r>
      <w:r w:rsidR="00A6649B" w:rsidRPr="00157ADD">
        <w:rPr>
          <w:color w:val="000000"/>
          <w:sz w:val="20"/>
          <w:szCs w:val="20"/>
        </w:rPr>
        <w:t xml:space="preserve"> </w:t>
      </w:r>
      <w:r w:rsidR="00A6649B" w:rsidRPr="00157ADD">
        <w:rPr>
          <w:color w:val="000000"/>
          <w:sz w:val="20"/>
          <w:szCs w:val="20"/>
        </w:rPr>
        <w:tab/>
      </w:r>
      <w:r w:rsidRPr="00157ADD">
        <w:rPr>
          <w:color w:val="000000"/>
          <w:sz w:val="20"/>
          <w:szCs w:val="20"/>
        </w:rPr>
        <w:t>Dokument wypowiedzenia przez Rzeczpospolitą Polską Umowy między Rządem Polskiej Rzeczypospolitej Ludowej a Rządem Królestwa Szwecji w sprawie popierania i wzajemnej ochrony inwestycji, sporządzonej w Warszawie dnia 13 października 1989 r. (Dz. U. z 2019 r. poz. 764); oświadczenie rządowe z dnia 22 marca 2019 r. w sprawie wypowiedzenia przez Rzeczpospolitą Polską Umowy między Rządem Polskiej Rzeczypospolitej Ludowej a Rządem Królestwa Szwecji w</w:t>
      </w:r>
      <w:r w:rsidR="00B9276E">
        <w:rPr>
          <w:color w:val="000000"/>
          <w:sz w:val="20"/>
          <w:szCs w:val="20"/>
        </w:rPr>
        <w:t> </w:t>
      </w:r>
      <w:r w:rsidRPr="00157ADD">
        <w:rPr>
          <w:color w:val="000000"/>
          <w:sz w:val="20"/>
          <w:szCs w:val="20"/>
        </w:rPr>
        <w:t>sprawie popierania i wzajemnej ochrony inwestycji, sporządzonej w Warszawie dnia 13</w:t>
      </w:r>
      <w:r w:rsidR="00B9276E">
        <w:rPr>
          <w:color w:val="000000"/>
          <w:sz w:val="20"/>
          <w:szCs w:val="20"/>
        </w:rPr>
        <w:t> </w:t>
      </w:r>
      <w:r w:rsidRPr="00157ADD">
        <w:rPr>
          <w:color w:val="000000"/>
          <w:sz w:val="20"/>
          <w:szCs w:val="20"/>
        </w:rPr>
        <w:t>października 1989 r. (Dz. U. z 2019 r. poz. 765).</w:t>
      </w:r>
      <w:r w:rsidRPr="00A6649B">
        <w:rPr>
          <w:color w:val="000000"/>
          <w:sz w:val="20"/>
          <w:szCs w:val="20"/>
        </w:rPr>
        <w:t xml:space="preserve"> </w:t>
      </w:r>
    </w:p>
  </w:footnote>
  <w:footnote w:id="2">
    <w:p w:rsidR="003F5358" w:rsidRPr="00157ADD" w:rsidRDefault="003F5358" w:rsidP="00A6649B">
      <w:pPr>
        <w:ind w:left="284" w:hanging="284"/>
        <w:jc w:val="both"/>
        <w:rPr>
          <w:rFonts w:ascii="Times New Roman" w:hAnsi="Times New Roman" w:cs="Times New Roman"/>
          <w:sz w:val="20"/>
          <w:szCs w:val="16"/>
        </w:rPr>
      </w:pPr>
      <w:r w:rsidRPr="00157ADD">
        <w:rPr>
          <w:rStyle w:val="Odwoanieprzypisudolnego"/>
          <w:rFonts w:ascii="Times New Roman" w:hAnsi="Times New Roman" w:cs="Times New Roman"/>
          <w:sz w:val="20"/>
          <w:szCs w:val="16"/>
        </w:rPr>
        <w:footnoteRef/>
      </w:r>
      <w:r w:rsidR="00A6649B">
        <w:rPr>
          <w:rFonts w:ascii="Times New Roman" w:hAnsi="Times New Roman" w:cs="Times New Roman"/>
          <w:sz w:val="20"/>
          <w:szCs w:val="16"/>
          <w:vertAlign w:val="superscript"/>
        </w:rPr>
        <w:t>)</w:t>
      </w:r>
      <w:r w:rsidRPr="00157ADD">
        <w:rPr>
          <w:rFonts w:ascii="Times New Roman" w:hAnsi="Times New Roman" w:cs="Times New Roman"/>
          <w:sz w:val="20"/>
          <w:szCs w:val="16"/>
        </w:rPr>
        <w:t xml:space="preserve"> </w:t>
      </w:r>
      <w:r w:rsidR="00A6649B">
        <w:rPr>
          <w:rFonts w:ascii="Times New Roman" w:hAnsi="Times New Roman" w:cs="Times New Roman"/>
          <w:sz w:val="20"/>
          <w:szCs w:val="16"/>
        </w:rPr>
        <w:tab/>
      </w:r>
      <w:r w:rsidR="00A35F35" w:rsidRPr="00157ADD">
        <w:rPr>
          <w:rFonts w:ascii="Times New Roman" w:hAnsi="Times New Roman" w:cs="Times New Roman"/>
          <w:sz w:val="20"/>
          <w:szCs w:val="16"/>
        </w:rPr>
        <w:t>Jest to konsekwencja zastosowania standardu statystyki inwestycji zagranicznych, według którego przeniesiono z zagranicznych inwestycji bezpośrednich w Polsce do polskich inwestycji bezpośrednich za granicą pasywa innych podmiotów w grupie, które są kontrolowane przez</w:t>
      </w:r>
      <w:r w:rsidR="006A68CE">
        <w:rPr>
          <w:rFonts w:ascii="Times New Roman" w:hAnsi="Times New Roman" w:cs="Times New Roman"/>
          <w:sz w:val="20"/>
          <w:szCs w:val="16"/>
        </w:rPr>
        <w:t> </w:t>
      </w:r>
      <w:r w:rsidR="00A35F35" w:rsidRPr="00157ADD">
        <w:rPr>
          <w:rFonts w:ascii="Times New Roman" w:hAnsi="Times New Roman" w:cs="Times New Roman"/>
          <w:sz w:val="20"/>
          <w:szCs w:val="16"/>
        </w:rPr>
        <w:t xml:space="preserve">rezydentów. W związku </w:t>
      </w:r>
      <w:r w:rsidR="00D9682F">
        <w:rPr>
          <w:rFonts w:ascii="Times New Roman" w:hAnsi="Times New Roman" w:cs="Times New Roman"/>
          <w:sz w:val="20"/>
          <w:szCs w:val="16"/>
        </w:rPr>
        <w:t>z </w:t>
      </w:r>
      <w:r w:rsidR="00A35F35" w:rsidRPr="00157ADD">
        <w:rPr>
          <w:rFonts w:ascii="Times New Roman" w:hAnsi="Times New Roman" w:cs="Times New Roman"/>
          <w:sz w:val="20"/>
          <w:szCs w:val="16"/>
        </w:rPr>
        <w:t>tym inwestycje podmiotów dominujących rezydujących w Szwecji w</w:t>
      </w:r>
      <w:r w:rsidR="006A68CE">
        <w:rPr>
          <w:rFonts w:ascii="Times New Roman" w:hAnsi="Times New Roman" w:cs="Times New Roman"/>
          <w:sz w:val="20"/>
          <w:szCs w:val="16"/>
        </w:rPr>
        <w:t> </w:t>
      </w:r>
      <w:bookmarkStart w:id="2" w:name="_GoBack"/>
      <w:bookmarkEnd w:id="2"/>
      <w:r w:rsidR="00A35F35" w:rsidRPr="00157ADD">
        <w:rPr>
          <w:rFonts w:ascii="Times New Roman" w:hAnsi="Times New Roman" w:cs="Times New Roman"/>
          <w:sz w:val="20"/>
          <w:szCs w:val="16"/>
        </w:rPr>
        <w:t>polskie spółki-córki są</w:t>
      </w:r>
      <w:r w:rsidR="00D9682F">
        <w:rPr>
          <w:rFonts w:ascii="Times New Roman" w:hAnsi="Times New Roman" w:cs="Times New Roman"/>
          <w:sz w:val="20"/>
          <w:szCs w:val="16"/>
        </w:rPr>
        <w:t> </w:t>
      </w:r>
      <w:r w:rsidR="00A35F35" w:rsidRPr="00157ADD">
        <w:rPr>
          <w:rFonts w:ascii="Times New Roman" w:hAnsi="Times New Roman" w:cs="Times New Roman"/>
          <w:sz w:val="20"/>
          <w:szCs w:val="16"/>
        </w:rPr>
        <w:t>traktowane jako polskie inwestycje bezpośrednie ze znakiem ujemnym.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458BB"/>
    <w:multiLevelType w:val="multilevel"/>
    <w:tmpl w:val="7EBA44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3D55295"/>
    <w:multiLevelType w:val="multilevel"/>
    <w:tmpl w:val="E2F8BE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B2"/>
    <w:rsid w:val="00086A31"/>
    <w:rsid w:val="00157ADD"/>
    <w:rsid w:val="00225A2F"/>
    <w:rsid w:val="00283FC4"/>
    <w:rsid w:val="002D0819"/>
    <w:rsid w:val="002D41B2"/>
    <w:rsid w:val="002F7F73"/>
    <w:rsid w:val="00377D24"/>
    <w:rsid w:val="003C6F5F"/>
    <w:rsid w:val="003F5358"/>
    <w:rsid w:val="003F7B67"/>
    <w:rsid w:val="004F22C5"/>
    <w:rsid w:val="00510D29"/>
    <w:rsid w:val="00535041"/>
    <w:rsid w:val="00567848"/>
    <w:rsid w:val="005C3187"/>
    <w:rsid w:val="00602B2C"/>
    <w:rsid w:val="00622468"/>
    <w:rsid w:val="00677437"/>
    <w:rsid w:val="006A68CE"/>
    <w:rsid w:val="007373A7"/>
    <w:rsid w:val="0074637F"/>
    <w:rsid w:val="007B3D61"/>
    <w:rsid w:val="007D323F"/>
    <w:rsid w:val="007D6BB2"/>
    <w:rsid w:val="007F568E"/>
    <w:rsid w:val="0082425D"/>
    <w:rsid w:val="00856925"/>
    <w:rsid w:val="00890141"/>
    <w:rsid w:val="008B543E"/>
    <w:rsid w:val="008E7822"/>
    <w:rsid w:val="008E7E63"/>
    <w:rsid w:val="008F2418"/>
    <w:rsid w:val="008F27DC"/>
    <w:rsid w:val="00911EB1"/>
    <w:rsid w:val="00943573"/>
    <w:rsid w:val="009E7E7C"/>
    <w:rsid w:val="00A35F35"/>
    <w:rsid w:val="00A4675B"/>
    <w:rsid w:val="00A6649B"/>
    <w:rsid w:val="00AD2BAB"/>
    <w:rsid w:val="00AD7D9C"/>
    <w:rsid w:val="00B00448"/>
    <w:rsid w:val="00B6178A"/>
    <w:rsid w:val="00B824C6"/>
    <w:rsid w:val="00B9276E"/>
    <w:rsid w:val="00BC3E67"/>
    <w:rsid w:val="00C03E95"/>
    <w:rsid w:val="00C30D75"/>
    <w:rsid w:val="00C57725"/>
    <w:rsid w:val="00C96F73"/>
    <w:rsid w:val="00CB47D6"/>
    <w:rsid w:val="00CF24DA"/>
    <w:rsid w:val="00D3639E"/>
    <w:rsid w:val="00D7479E"/>
    <w:rsid w:val="00D90B5A"/>
    <w:rsid w:val="00D9682F"/>
    <w:rsid w:val="00DA76BF"/>
    <w:rsid w:val="00DC154E"/>
    <w:rsid w:val="00DD39F3"/>
    <w:rsid w:val="00DF1DF3"/>
    <w:rsid w:val="00E06988"/>
    <w:rsid w:val="00E578CA"/>
    <w:rsid w:val="00F610F4"/>
    <w:rsid w:val="00F63A8C"/>
    <w:rsid w:val="00F8281C"/>
    <w:rsid w:val="00F91AFE"/>
    <w:rsid w:val="00FD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952D"/>
  <w15:docId w15:val="{337B4730-DEDF-4C63-B151-4D230091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overflowPunct w:val="0"/>
    </w:pPr>
    <w:rPr>
      <w:rFonts w:ascii="Times New Roman;Times New Roman" w:eastAsia="Times New Roman;Times New Roman" w:hAnsi="Times New Roman;Times New Roman" w:cs="Times New Roman;Times New Roman"/>
      <w:kern w:val="0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Domylnaczcionkaakapitu2">
    <w:name w:val="Domyślna czcionka akapitu2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0">
    <w:name w:val="WW8Num3z0"/>
    <w:qFormat/>
    <w:rPr>
      <w:rFonts w:ascii="Times New Roman;Times New Roman" w:eastAsia="Times New Roman;Times New Roman" w:hAnsi="Times New Roman;Times New Roman" w:cs="Times New Roman;Times New Roman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Domylnaczcionkaakapitu1">
    <w:name w:val="Domyślna czcionka akapitu1"/>
    <w:qFormat/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umerstron">
    <w:name w:val="Numer stron"/>
    <w:basedOn w:val="Domylnaczcionkaakapitu1"/>
  </w:style>
  <w:style w:type="character" w:customStyle="1" w:styleId="h1">
    <w:name w:val="h1"/>
    <w:basedOn w:val="Domylnaczcionkaakapitu1"/>
    <w:qFormat/>
  </w:style>
  <w:style w:type="character" w:customStyle="1" w:styleId="trescpismaZnak">
    <w:name w:val="tresc.pisma Znak"/>
    <w:qFormat/>
    <w:rPr>
      <w:rFonts w:eastAsia="Calibri;Calibri"/>
      <w:sz w:val="24"/>
      <w:szCs w:val="24"/>
      <w:lang w:val="en-US" w:bidi="ar-SA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1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rzypisukocowegoZnak">
    <w:name w:val="Tekst przypisu końcowego Znak"/>
    <w:basedOn w:val="Domylnaczcionkaakapitu1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Odwoanieprzypisudolnego1">
    <w:name w:val="Odwołanie przypisu dolnego1"/>
    <w:qFormat/>
    <w:rPr>
      <w:vertAlign w:val="superscript"/>
    </w:rPr>
  </w:style>
  <w:style w:type="character" w:customStyle="1" w:styleId="Odwoanieprzypisukocowego1">
    <w:name w:val="Odwołanie przypisu końcowego1"/>
    <w:qFormat/>
    <w:rPr>
      <w:vertAlign w:val="superscript"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TekstkomentarzaZnak1">
    <w:name w:val="Tekst komentarza Znak1"/>
    <w:qFormat/>
    <w:rPr>
      <w:lang w:eastAsia="zh-C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457C1"/>
    <w:rPr>
      <w:sz w:val="16"/>
      <w:szCs w:val="16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semiHidden/>
    <w:qFormat/>
    <w:rsid w:val="002457C1"/>
    <w:rPr>
      <w:rFonts w:ascii="Times New Roman;Times New Roman" w:eastAsia="Times New Roman;Times New Roman" w:hAnsi="Times New Roman;Times New Roman" w:cs="Times New Roman;Times New Roman"/>
      <w:szCs w:val="20"/>
      <w:lang w:bidi="ar-SA"/>
    </w:rPr>
  </w:style>
  <w:style w:type="character" w:styleId="Numerstrony">
    <w:name w:val="page number"/>
    <w:basedOn w:val="Domylnaczcionkaakapitu"/>
    <w:qFormat/>
  </w:style>
  <w:style w:type="character" w:styleId="Pogrubienie">
    <w:name w:val="Strong"/>
    <w:qFormat/>
    <w:rPr>
      <w:b/>
      <w:bCs/>
    </w:rPr>
  </w:style>
  <w:style w:type="character" w:customStyle="1" w:styleId="StopkaZnak">
    <w:name w:val="Stopka Znak"/>
    <w:basedOn w:val="Domylnaczcionkaakapitu"/>
    <w:qFormat/>
    <w:rPr>
      <w:sz w:val="24"/>
      <w:szCs w:val="24"/>
      <w:lang w:val="pl-PL" w:eastAsia="pl-PL"/>
    </w:rPr>
  </w:style>
  <w:style w:type="character" w:customStyle="1" w:styleId="TekstdymkaZnak">
    <w:name w:val="Tekst dymka Znak"/>
    <w:basedOn w:val="Domylnaczcionkaakapitu"/>
    <w:qFormat/>
    <w:rPr>
      <w:rFonts w:ascii="Tahoma" w:hAnsi="Tahoma"/>
      <w:sz w:val="16"/>
      <w:szCs w:val="14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rescpisma">
    <w:name w:val="tresc.pisma"/>
    <w:basedOn w:val="Normalny"/>
    <w:qFormat/>
    <w:pPr>
      <w:spacing w:line="360" w:lineRule="auto"/>
      <w:ind w:firstLine="709"/>
      <w:jc w:val="both"/>
    </w:pPr>
    <w:rPr>
      <w:rFonts w:eastAsia="Calibri;Calibri"/>
      <w:lang w:val="en-US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qFormat/>
    <w:pPr>
      <w:spacing w:after="120" w:line="480" w:lineRule="auto"/>
    </w:pPr>
  </w:style>
  <w:style w:type="paragraph" w:customStyle="1" w:styleId="Default">
    <w:name w:val="Default"/>
    <w:qFormat/>
    <w:pPr>
      <w:suppressAutoHyphens/>
      <w:overflowPunct w:val="0"/>
    </w:pPr>
    <w:rPr>
      <w:rFonts w:ascii="Times New Roman;Times New Roman" w:eastAsia="Times New Roman;Times New Roman" w:hAnsi="Times New Roman;Times New Roman" w:cs="Times New Roman;Times New Roman"/>
      <w:color w:val="000000"/>
      <w:kern w:val="0"/>
      <w:sz w:val="24"/>
      <w:lang w:bidi="ar-SA"/>
    </w:rPr>
  </w:style>
  <w:style w:type="paragraph" w:styleId="NormalnyWeb">
    <w:name w:val="Normal (Web)"/>
    <w:basedOn w:val="Normalny"/>
    <w:uiPriority w:val="99"/>
    <w:qFormat/>
    <w:pPr>
      <w:spacing w:before="280" w:after="280"/>
    </w:pPr>
    <w:rPr>
      <w:rFonts w:eastAsia="Calibri;Calibri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Poprawka">
    <w:name w:val="Revision"/>
    <w:qFormat/>
    <w:pPr>
      <w:suppressAutoHyphens/>
      <w:overflowPunct w:val="0"/>
    </w:pPr>
    <w:rPr>
      <w:rFonts w:ascii="Times New Roman;Times New Roman" w:eastAsia="Times New Roman;Times New Roman" w:hAnsi="Times New Roman;Times New Roman" w:cs="Times New Roman;Times New Roman"/>
      <w:kern w:val="0"/>
      <w:sz w:val="24"/>
      <w:lang w:bidi="ar-SA"/>
    </w:rPr>
  </w:style>
  <w:style w:type="paragraph" w:customStyle="1" w:styleId="Zawartoramki">
    <w:name w:val="Zawartość ramki"/>
    <w:basedOn w:val="Normalny"/>
    <w:qFormat/>
  </w:style>
  <w:style w:type="paragraph" w:customStyle="1" w:styleId="Tekstkomentarza2">
    <w:name w:val="Tekst komentarza2"/>
    <w:basedOn w:val="Normalny"/>
    <w:qFormat/>
    <w:rPr>
      <w:sz w:val="20"/>
      <w:szCs w:val="20"/>
    </w:rPr>
  </w:style>
  <w:style w:type="paragraph" w:styleId="Tekstkomentarza">
    <w:name w:val="annotation text"/>
    <w:basedOn w:val="Normalny"/>
    <w:link w:val="TekstkomentarzaZnak2"/>
    <w:uiPriority w:val="99"/>
    <w:semiHidden/>
    <w:unhideWhenUsed/>
    <w:qFormat/>
    <w:rsid w:val="002457C1"/>
    <w:rPr>
      <w:sz w:val="20"/>
      <w:szCs w:val="20"/>
    </w:rPr>
  </w:style>
  <w:style w:type="paragraph" w:styleId="Mapadokumentu">
    <w:name w:val="Document Map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SimSun, 宋体" w:hAnsi="Times New Roman" w:cs="Times New Roman"/>
      <w:sz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Odwoanieprzypisudolnego">
    <w:name w:val="footnote reference"/>
    <w:rsid w:val="003F53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F1A58-2090-4F60-8AB2-36619DB01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1727</Words>
  <Characters>10362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[projekt]</vt:lpstr>
    </vt:vector>
  </TitlesOfParts>
  <Company>HP</Company>
  <LinksUpToDate>false</LinksUpToDate>
  <CharactersWithSpaces>12065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[projekt]</dc:title>
  <dc:creator>Kolibabska Marta</dc:creator>
  <cp:lastModifiedBy>Sabiniewicz Marcin</cp:lastModifiedBy>
  <cp:revision>6</cp:revision>
  <cp:lastPrinted>1995-11-21T17:41:00Z</cp:lastPrinted>
  <dcterms:created xsi:type="dcterms:W3CDTF">2021-12-16T14:04:00Z</dcterms:created>
  <dcterms:modified xsi:type="dcterms:W3CDTF">2021-12-17T13:01:00Z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