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1197C" w14:textId="77777777" w:rsidR="006D271C" w:rsidRPr="000F3624" w:rsidRDefault="006D271C" w:rsidP="000F3624">
      <w:pPr>
        <w:pStyle w:val="ARTartustawynprozporzdzenia"/>
        <w:spacing w:before="0" w:after="240"/>
        <w:jc w:val="center"/>
        <w:rPr>
          <w:rStyle w:val="Ppogrubienie"/>
          <w:rFonts w:ascii="Times New Roman" w:hAnsi="Times New Roman"/>
          <w:b w:val="0"/>
          <w:szCs w:val="24"/>
        </w:rPr>
      </w:pPr>
      <w:bookmarkStart w:id="0" w:name="_GoBack"/>
      <w:bookmarkEnd w:id="0"/>
      <w:r w:rsidRPr="000F3624">
        <w:rPr>
          <w:rStyle w:val="Ppogrubienie"/>
          <w:rFonts w:ascii="Times New Roman" w:hAnsi="Times New Roman"/>
          <w:b w:val="0"/>
          <w:szCs w:val="24"/>
        </w:rPr>
        <w:t>UZASADNIENIE</w:t>
      </w:r>
    </w:p>
    <w:p w14:paraId="78146259" w14:textId="4E0FB432" w:rsidR="00464282" w:rsidRPr="006B629D" w:rsidRDefault="00464282" w:rsidP="009A0275">
      <w:pPr>
        <w:pStyle w:val="ARTartustawynprozporzdzenia"/>
        <w:ind w:firstLine="0"/>
        <w:rPr>
          <w:rStyle w:val="Ppogrubienie"/>
          <w:rFonts w:ascii="Times New Roman" w:hAnsi="Times New Roman"/>
          <w:bCs/>
          <w:szCs w:val="24"/>
        </w:rPr>
      </w:pPr>
      <w:r w:rsidRPr="006B629D">
        <w:rPr>
          <w:rStyle w:val="Ppogrubienie"/>
          <w:rFonts w:ascii="Times New Roman" w:hAnsi="Times New Roman"/>
          <w:bCs/>
          <w:szCs w:val="24"/>
        </w:rPr>
        <w:t>Potrzeba i cel uchwalenia ustawy</w:t>
      </w:r>
    </w:p>
    <w:p w14:paraId="410DEE23" w14:textId="69E021AC" w:rsidR="00464282" w:rsidRPr="006B629D" w:rsidRDefault="00464282" w:rsidP="009A0275">
      <w:pPr>
        <w:pStyle w:val="ARTartustawynprozporzdzenia"/>
        <w:ind w:firstLine="0"/>
        <w:rPr>
          <w:rStyle w:val="Ppogrubienie"/>
          <w:rFonts w:ascii="Times New Roman" w:hAnsi="Times New Roman"/>
          <w:b w:val="0"/>
          <w:bCs/>
          <w:szCs w:val="24"/>
        </w:rPr>
      </w:pPr>
      <w:r w:rsidRPr="006B629D">
        <w:rPr>
          <w:rStyle w:val="Ppogrubienie"/>
          <w:rFonts w:ascii="Times New Roman" w:hAnsi="Times New Roman"/>
          <w:b w:val="0"/>
          <w:bCs/>
          <w:szCs w:val="24"/>
        </w:rPr>
        <w:t xml:space="preserve">Od początku 2021 roku trwa ożywienie gospodarek światowych po kolejnych falach pandemii. Powrót gospodarek wielu krajów na ścieżkę rozwoju przełożył się na wzrost popytu na wszystkie paliwa, w tym na gaz ziemny, w szczególności w rejonach uzależnionych od dostaw gazu z zagranicy, tzn. Europie i Azji. Ze względu na zwiększony popyt na gaz w Europie i Azji </w:t>
      </w:r>
      <w:r w:rsidR="000048B7">
        <w:rPr>
          <w:rStyle w:val="Ppogrubienie"/>
          <w:rFonts w:ascii="Times New Roman" w:hAnsi="Times New Roman"/>
          <w:b w:val="0"/>
          <w:bCs/>
          <w:szCs w:val="24"/>
        </w:rPr>
        <w:t>oraz</w:t>
      </w:r>
      <w:r w:rsidR="000048B7" w:rsidRPr="006B629D">
        <w:rPr>
          <w:rStyle w:val="Ppogrubienie"/>
          <w:rFonts w:ascii="Times New Roman" w:hAnsi="Times New Roman"/>
          <w:b w:val="0"/>
          <w:bCs/>
          <w:szCs w:val="24"/>
        </w:rPr>
        <w:t xml:space="preserve"> </w:t>
      </w:r>
      <w:r w:rsidRPr="006B629D">
        <w:rPr>
          <w:rStyle w:val="Ppogrubienie"/>
          <w:rFonts w:ascii="Times New Roman" w:hAnsi="Times New Roman"/>
          <w:b w:val="0"/>
          <w:bCs/>
          <w:szCs w:val="24"/>
        </w:rPr>
        <w:t>jednoczesną obniżoną podaż błękitnego paliwa ze strony głównych dostawców, przede wszystkim z Rosji, ceny gazu ziemnego na giełdach światowych, jak i europejskich, w tym na polskiej Towarowej Giełdzie Energii odnotowują drastyczny, bezprecedensowy wzrost. Na ekstremalnie wysoki poziom cen gazu w Unii Europejskiej wpływa w dużej mierze strategia rosyjskiego Gazpromu polegająca na wstrzymaniu dostaw spotowych do państw Unii Europejskiej, rezygnacji z wykorzystania wolnych mocy istniejących tras tranzytowych (</w:t>
      </w:r>
      <w:r w:rsidR="00E653CC">
        <w:rPr>
          <w:rStyle w:val="Ppogrubienie"/>
          <w:rFonts w:ascii="Times New Roman" w:hAnsi="Times New Roman"/>
          <w:b w:val="0"/>
          <w:bCs/>
          <w:szCs w:val="24"/>
        </w:rPr>
        <w:t>G</w:t>
      </w:r>
      <w:r w:rsidRPr="006B629D">
        <w:rPr>
          <w:rStyle w:val="Ppogrubienie"/>
          <w:rFonts w:ascii="Times New Roman" w:hAnsi="Times New Roman"/>
          <w:b w:val="0"/>
          <w:bCs/>
          <w:szCs w:val="24"/>
        </w:rPr>
        <w:t xml:space="preserve">azociąg </w:t>
      </w:r>
      <w:r w:rsidR="00E653CC">
        <w:rPr>
          <w:rStyle w:val="Ppogrubienie"/>
          <w:rFonts w:ascii="Times New Roman" w:hAnsi="Times New Roman"/>
          <w:b w:val="0"/>
          <w:bCs/>
          <w:szCs w:val="24"/>
        </w:rPr>
        <w:t>J</w:t>
      </w:r>
      <w:r w:rsidRPr="006B629D">
        <w:rPr>
          <w:rStyle w:val="Ppogrubienie"/>
          <w:rFonts w:ascii="Times New Roman" w:hAnsi="Times New Roman"/>
          <w:b w:val="0"/>
          <w:bCs/>
          <w:szCs w:val="24"/>
        </w:rPr>
        <w:t xml:space="preserve">amalski, </w:t>
      </w:r>
      <w:r w:rsidR="00E653CC">
        <w:rPr>
          <w:rStyle w:val="Ppogrubienie"/>
          <w:rFonts w:ascii="Times New Roman" w:hAnsi="Times New Roman"/>
          <w:b w:val="0"/>
          <w:bCs/>
          <w:szCs w:val="24"/>
        </w:rPr>
        <w:t>G</w:t>
      </w:r>
      <w:r w:rsidRPr="006B629D">
        <w:rPr>
          <w:rStyle w:val="Ppogrubienie"/>
          <w:rFonts w:ascii="Times New Roman" w:hAnsi="Times New Roman"/>
          <w:b w:val="0"/>
          <w:bCs/>
          <w:szCs w:val="24"/>
        </w:rPr>
        <w:t xml:space="preserve">azociąg </w:t>
      </w:r>
      <w:r w:rsidR="00E653CC">
        <w:rPr>
          <w:rStyle w:val="Ppogrubienie"/>
          <w:rFonts w:ascii="Times New Roman" w:hAnsi="Times New Roman"/>
          <w:b w:val="0"/>
          <w:bCs/>
          <w:szCs w:val="24"/>
        </w:rPr>
        <w:t>B</w:t>
      </w:r>
      <w:r w:rsidRPr="006B629D">
        <w:rPr>
          <w:rStyle w:val="Ppogrubienie"/>
          <w:rFonts w:ascii="Times New Roman" w:hAnsi="Times New Roman"/>
          <w:b w:val="0"/>
          <w:bCs/>
          <w:szCs w:val="24"/>
        </w:rPr>
        <w:t xml:space="preserve">raterstwo), a także wytłoczeniu magazynów Gazpromu w Unii Europejskiej bez odbudowania poziomu zapasów przed sezonem zimowym. Wyjątkowość obecnej sytuacji i trudny do określenia horyzont czasowy zaburzeń na rynkach energetycznych i gazowych Unii Europejskiej powodują, że nie tylko </w:t>
      </w:r>
      <w:r w:rsidR="00B93B0D">
        <w:rPr>
          <w:rStyle w:val="Ppogrubienie"/>
          <w:rFonts w:ascii="Times New Roman" w:hAnsi="Times New Roman"/>
          <w:b w:val="0"/>
          <w:bCs/>
          <w:szCs w:val="24"/>
        </w:rPr>
        <w:t xml:space="preserve">w </w:t>
      </w:r>
      <w:r w:rsidRPr="006B629D">
        <w:rPr>
          <w:rStyle w:val="Ppogrubienie"/>
          <w:rFonts w:ascii="Times New Roman" w:hAnsi="Times New Roman"/>
          <w:b w:val="0"/>
          <w:bCs/>
          <w:szCs w:val="24"/>
        </w:rPr>
        <w:t>obecnym sezonie grzewczym, ale również na okres wiosenny i letni 2022 roku ceny gazu pozostają na bardzo wysokim poziomie, co oznacza duże prawdopodobieństwo ponownych istotnych wzrostów cen zimą roku 2022 i utrzymania się ich w kolejnych latach. Biorąc pod uwagę powyższe, nie jest możliwe prognozowanie momentu zakończenia trwającego kryzysu oraz wielkości i skali bezpośrednich oraz pośrednich skutków społeczno-gospodarczych, które od początku sezonu grzewczego 2021/2022 odczuwają zarówno przedsiębiorcy, gospodarstwa domowe, mieszkańcy budynków wielolokalowych</w:t>
      </w:r>
      <w:r w:rsidR="00B93B0D">
        <w:rPr>
          <w:rStyle w:val="Ppogrubienie"/>
          <w:rFonts w:ascii="Times New Roman" w:hAnsi="Times New Roman"/>
          <w:b w:val="0"/>
          <w:bCs/>
          <w:szCs w:val="24"/>
        </w:rPr>
        <w:t>,</w:t>
      </w:r>
      <w:r w:rsidRPr="006B629D">
        <w:rPr>
          <w:rStyle w:val="Ppogrubienie"/>
          <w:rFonts w:ascii="Times New Roman" w:hAnsi="Times New Roman"/>
          <w:b w:val="0"/>
          <w:bCs/>
          <w:szCs w:val="24"/>
        </w:rPr>
        <w:t xml:space="preserve"> jak i pozostali odbiorcy gazu, w szczególności odbiorcy wrażliwi</w:t>
      </w:r>
      <w:r w:rsidR="00E653CC">
        <w:rPr>
          <w:rStyle w:val="Ppogrubienie"/>
          <w:rFonts w:ascii="Times New Roman" w:hAnsi="Times New Roman"/>
          <w:b w:val="0"/>
          <w:bCs/>
          <w:szCs w:val="24"/>
        </w:rPr>
        <w:t>,</w:t>
      </w:r>
      <w:r w:rsidR="00EE3033">
        <w:rPr>
          <w:rStyle w:val="Ppogrubienie"/>
          <w:rFonts w:ascii="Times New Roman" w:hAnsi="Times New Roman"/>
          <w:b w:val="0"/>
          <w:bCs/>
          <w:szCs w:val="24"/>
        </w:rPr>
        <w:t xml:space="preserve"> tj.: </w:t>
      </w:r>
      <w:r w:rsidRPr="006B629D">
        <w:rPr>
          <w:rStyle w:val="Ppogrubienie"/>
          <w:rFonts w:ascii="Times New Roman" w:hAnsi="Times New Roman"/>
          <w:b w:val="0"/>
          <w:bCs/>
          <w:szCs w:val="24"/>
        </w:rPr>
        <w:t>szpitale, szkoły, przedszkola, żłobki, czy instytucje kultury.</w:t>
      </w:r>
    </w:p>
    <w:p w14:paraId="6F3B713A" w14:textId="2E00D7CA" w:rsidR="006D271C" w:rsidRPr="006B629D" w:rsidRDefault="006D271C" w:rsidP="009A0275">
      <w:pPr>
        <w:pStyle w:val="ARTartustawynprozporzdzenia"/>
        <w:ind w:firstLine="0"/>
        <w:rPr>
          <w:rStyle w:val="Ppogrubienie"/>
          <w:rFonts w:ascii="Times New Roman" w:hAnsi="Times New Roman"/>
          <w:b w:val="0"/>
          <w:bCs/>
          <w:szCs w:val="24"/>
        </w:rPr>
      </w:pPr>
      <w:r w:rsidRPr="006B629D">
        <w:rPr>
          <w:rStyle w:val="Ppogrubienie"/>
          <w:rFonts w:ascii="Times New Roman" w:hAnsi="Times New Roman"/>
          <w:b w:val="0"/>
          <w:bCs/>
          <w:szCs w:val="24"/>
        </w:rPr>
        <w:t xml:space="preserve">Zapasy obowiązkowe gazu ziemnego stanowią jeden z kluczowych środków przeciwdziałania kryzysowi na rynku gazu ziemnego, w szczególności na wypadek nadzwyczajnych zakłóceń </w:t>
      </w:r>
      <w:r w:rsidR="007B06F8">
        <w:rPr>
          <w:rStyle w:val="Ppogrubienie"/>
          <w:rFonts w:ascii="Times New Roman" w:hAnsi="Times New Roman"/>
          <w:b w:val="0"/>
          <w:bCs/>
          <w:szCs w:val="24"/>
        </w:rPr>
        <w:br/>
      </w:r>
      <w:r w:rsidRPr="006B629D">
        <w:rPr>
          <w:rStyle w:val="Ppogrubienie"/>
          <w:rFonts w:ascii="Times New Roman" w:hAnsi="Times New Roman"/>
          <w:b w:val="0"/>
          <w:bCs/>
          <w:szCs w:val="24"/>
        </w:rPr>
        <w:t>w dostawach tego surowca lub niekorzystnych warunków pogodowych. Historycznie, zapasy obowiązkowe pozwoliły na uchronienie najbardziej wrażliwych odbiorców gazu ziemnego, jakimi są odbiorcy będący gospodarstwami domowymi, przed ograniczeniami w dostawach, co potwierdziło skuteczność stosowanego środka. Umożliwienie państwowej osobie prawnej</w:t>
      </w:r>
      <w:r w:rsidR="00597337" w:rsidRPr="006B629D">
        <w:rPr>
          <w:rStyle w:val="Ppogrubienie"/>
          <w:rFonts w:ascii="Times New Roman" w:hAnsi="Times New Roman"/>
          <w:b w:val="0"/>
          <w:bCs/>
          <w:szCs w:val="24"/>
        </w:rPr>
        <w:t>,</w:t>
      </w:r>
      <w:r w:rsidRPr="006B629D">
        <w:rPr>
          <w:rStyle w:val="Ppogrubienie"/>
          <w:rFonts w:ascii="Times New Roman" w:hAnsi="Times New Roman"/>
          <w:b w:val="0"/>
          <w:bCs/>
          <w:szCs w:val="24"/>
        </w:rPr>
        <w:t xml:space="preserve"> jaką jest Rządowa Agencja Rezerw </w:t>
      </w:r>
      <w:r w:rsidR="00392D75">
        <w:rPr>
          <w:rStyle w:val="Ppogrubienie"/>
          <w:rFonts w:ascii="Times New Roman" w:hAnsi="Times New Roman"/>
          <w:b w:val="0"/>
          <w:bCs/>
          <w:szCs w:val="24"/>
        </w:rPr>
        <w:t>Strategicznych</w:t>
      </w:r>
      <w:r w:rsidR="00597337" w:rsidRPr="006B629D">
        <w:rPr>
          <w:rStyle w:val="Ppogrubienie"/>
          <w:rFonts w:ascii="Times New Roman" w:hAnsi="Times New Roman"/>
          <w:b w:val="0"/>
          <w:bCs/>
          <w:szCs w:val="24"/>
        </w:rPr>
        <w:t>,</w:t>
      </w:r>
      <w:r w:rsidRPr="006B629D">
        <w:rPr>
          <w:rStyle w:val="Ppogrubienie"/>
          <w:rFonts w:ascii="Times New Roman" w:hAnsi="Times New Roman"/>
          <w:b w:val="0"/>
          <w:bCs/>
          <w:szCs w:val="24"/>
        </w:rPr>
        <w:t xml:space="preserve"> odpłatnego przejęcia </w:t>
      </w:r>
      <w:r w:rsidR="00597337" w:rsidRPr="006B629D">
        <w:rPr>
          <w:rStyle w:val="Ppogrubienie"/>
          <w:rFonts w:ascii="Times New Roman" w:hAnsi="Times New Roman"/>
          <w:b w:val="0"/>
          <w:bCs/>
          <w:szCs w:val="24"/>
        </w:rPr>
        <w:t xml:space="preserve">części obowiązków związanych z </w:t>
      </w:r>
      <w:r w:rsidR="00597337" w:rsidRPr="006B629D">
        <w:rPr>
          <w:rStyle w:val="Ppogrubienie"/>
          <w:rFonts w:ascii="Times New Roman" w:hAnsi="Times New Roman"/>
          <w:b w:val="0"/>
          <w:bCs/>
          <w:szCs w:val="24"/>
        </w:rPr>
        <w:lastRenderedPageBreak/>
        <w:t xml:space="preserve">utrzymywaniem zapasów obowiązkowych gazu </w:t>
      </w:r>
      <w:r w:rsidRPr="006B629D">
        <w:rPr>
          <w:rStyle w:val="Ppogrubienie"/>
          <w:rFonts w:ascii="Times New Roman" w:hAnsi="Times New Roman"/>
          <w:b w:val="0"/>
          <w:bCs/>
          <w:szCs w:val="24"/>
        </w:rPr>
        <w:t>ziemnego gwarantuje zwiększenie nadzoru państwa nad tymi zapasami, a tym samym zwiększ</w:t>
      </w:r>
      <w:r w:rsidR="00E653CC">
        <w:rPr>
          <w:rStyle w:val="Ppogrubienie"/>
          <w:rFonts w:ascii="Times New Roman" w:hAnsi="Times New Roman"/>
          <w:b w:val="0"/>
          <w:bCs/>
          <w:szCs w:val="24"/>
        </w:rPr>
        <w:t>enie</w:t>
      </w:r>
      <w:r w:rsidRPr="006B629D">
        <w:rPr>
          <w:rStyle w:val="Ppogrubienie"/>
          <w:rFonts w:ascii="Times New Roman" w:hAnsi="Times New Roman"/>
          <w:b w:val="0"/>
          <w:bCs/>
          <w:szCs w:val="24"/>
        </w:rPr>
        <w:t xml:space="preserve"> realn</w:t>
      </w:r>
      <w:r w:rsidR="00E653CC">
        <w:rPr>
          <w:rStyle w:val="Ppogrubienie"/>
          <w:rFonts w:ascii="Times New Roman" w:hAnsi="Times New Roman"/>
          <w:b w:val="0"/>
          <w:bCs/>
          <w:szCs w:val="24"/>
        </w:rPr>
        <w:t>ych</w:t>
      </w:r>
      <w:r w:rsidRPr="006B629D">
        <w:rPr>
          <w:rStyle w:val="Ppogrubienie"/>
          <w:rFonts w:ascii="Times New Roman" w:hAnsi="Times New Roman"/>
          <w:b w:val="0"/>
          <w:bCs/>
          <w:szCs w:val="24"/>
        </w:rPr>
        <w:t xml:space="preserve"> możliwości podejmowania działań na wypadek sytuacji nadzwyczajnej. </w:t>
      </w:r>
    </w:p>
    <w:p w14:paraId="7780FB03" w14:textId="60749D95" w:rsidR="00464282" w:rsidRPr="006B629D" w:rsidRDefault="006D271C" w:rsidP="009A0275">
      <w:pPr>
        <w:pStyle w:val="ARTartustawynprozporzdzenia"/>
        <w:ind w:firstLine="0"/>
        <w:rPr>
          <w:rFonts w:ascii="Times New Roman" w:hAnsi="Times New Roman" w:cs="Times New Roman"/>
          <w:szCs w:val="24"/>
        </w:rPr>
      </w:pPr>
      <w:r w:rsidRPr="006B629D">
        <w:rPr>
          <w:rFonts w:ascii="Times New Roman" w:hAnsi="Times New Roman" w:cs="Times New Roman"/>
          <w:szCs w:val="24"/>
        </w:rPr>
        <w:t>Historycznie wysokie ceny paliwa gazowego na giełdach europejskich stanowi</w:t>
      </w:r>
      <w:r w:rsidR="00B93B0D">
        <w:rPr>
          <w:rFonts w:ascii="Times New Roman" w:hAnsi="Times New Roman" w:cs="Times New Roman"/>
          <w:szCs w:val="24"/>
        </w:rPr>
        <w:t>ą</w:t>
      </w:r>
      <w:r w:rsidRPr="006B629D">
        <w:rPr>
          <w:rFonts w:ascii="Times New Roman" w:hAnsi="Times New Roman" w:cs="Times New Roman"/>
          <w:szCs w:val="24"/>
        </w:rPr>
        <w:t xml:space="preserve"> zagrożenie dla bezpieczeństwa dostaw gazu ziemnego do europejskich odbiorców. Dzięki wprowadzonemu w Polsce obowiązkowi utrzymywania zapasów</w:t>
      </w:r>
      <w:r w:rsidR="00597337" w:rsidRPr="006B629D">
        <w:rPr>
          <w:rFonts w:ascii="Times New Roman" w:hAnsi="Times New Roman" w:cs="Times New Roman"/>
          <w:szCs w:val="24"/>
        </w:rPr>
        <w:t xml:space="preserve"> obowiązkowych</w:t>
      </w:r>
      <w:r w:rsidRPr="006B629D">
        <w:rPr>
          <w:rFonts w:ascii="Times New Roman" w:hAnsi="Times New Roman" w:cs="Times New Roman"/>
          <w:szCs w:val="24"/>
        </w:rPr>
        <w:t xml:space="preserve"> gazu ziemnego przez podmioty zajmujące się obrotem z zagranicą</w:t>
      </w:r>
      <w:r w:rsidR="00597337" w:rsidRPr="006B629D">
        <w:rPr>
          <w:rFonts w:ascii="Times New Roman" w:hAnsi="Times New Roman" w:cs="Times New Roman"/>
          <w:szCs w:val="24"/>
        </w:rPr>
        <w:t xml:space="preserve"> oraz przywożące gaz z zagranicy</w:t>
      </w:r>
      <w:r w:rsidRPr="006B629D">
        <w:rPr>
          <w:rFonts w:ascii="Times New Roman" w:hAnsi="Times New Roman" w:cs="Times New Roman"/>
          <w:szCs w:val="24"/>
        </w:rPr>
        <w:t>, Polska dysponuje znaczącymi zapasami na wypadek sytuacji nadzwyczajnej. Ograniczona podaż paliwa gazowego na rynku stanowi jednak istotne ryzyko uzasadniające zwiększenie nadzoru państwa nad zapasami</w:t>
      </w:r>
      <w:r w:rsidR="00597337" w:rsidRPr="006B629D">
        <w:rPr>
          <w:rFonts w:ascii="Times New Roman" w:hAnsi="Times New Roman" w:cs="Times New Roman"/>
          <w:szCs w:val="24"/>
        </w:rPr>
        <w:t xml:space="preserve"> obowiązkowymi</w:t>
      </w:r>
      <w:r w:rsidRPr="006B629D">
        <w:rPr>
          <w:rFonts w:ascii="Times New Roman" w:hAnsi="Times New Roman" w:cs="Times New Roman"/>
          <w:szCs w:val="24"/>
        </w:rPr>
        <w:t xml:space="preserve">. Zmiany przewidziane w projekcie mają przede wszystkim na celu realizację obowiązku państwa jakim jest zapewnienie dostępu do usługi powszechnej </w:t>
      </w:r>
      <w:r w:rsidR="00E653CC">
        <w:rPr>
          <w:rFonts w:ascii="Times New Roman" w:hAnsi="Times New Roman" w:cs="Times New Roman"/>
          <w:szCs w:val="24"/>
        </w:rPr>
        <w:t>obejmującej</w:t>
      </w:r>
      <w:r w:rsidR="000D2B72">
        <w:rPr>
          <w:rFonts w:ascii="Times New Roman" w:hAnsi="Times New Roman" w:cs="Times New Roman"/>
          <w:szCs w:val="24"/>
        </w:rPr>
        <w:t xml:space="preserve"> </w:t>
      </w:r>
      <w:r w:rsidRPr="006B629D">
        <w:rPr>
          <w:rFonts w:ascii="Times New Roman" w:hAnsi="Times New Roman" w:cs="Times New Roman"/>
          <w:szCs w:val="24"/>
        </w:rPr>
        <w:t>stałe oraz bezpieczne dostawy gazu do odbiorców. Szczególna sytuacja rynkowa sprawiła, że koniecznym stało się zmodyfikowanie funkcjonujących dotychczas ram prawnych celem zapewnieni</w:t>
      </w:r>
      <w:r w:rsidR="00E653CC">
        <w:rPr>
          <w:rFonts w:ascii="Times New Roman" w:hAnsi="Times New Roman" w:cs="Times New Roman"/>
          <w:szCs w:val="24"/>
        </w:rPr>
        <w:t>a</w:t>
      </w:r>
      <w:r w:rsidRPr="006B629D">
        <w:rPr>
          <w:rFonts w:ascii="Times New Roman" w:hAnsi="Times New Roman" w:cs="Times New Roman"/>
          <w:szCs w:val="24"/>
        </w:rPr>
        <w:t xml:space="preserve"> płynnego funkcjonowania krajowego rynku. </w:t>
      </w:r>
    </w:p>
    <w:p w14:paraId="02C7D99B" w14:textId="1F7FD5E8" w:rsidR="00464282" w:rsidRPr="006B629D" w:rsidRDefault="00464282" w:rsidP="009A0275">
      <w:pPr>
        <w:pStyle w:val="ARTartustawynprozporzdzenia"/>
        <w:ind w:firstLine="0"/>
        <w:rPr>
          <w:rStyle w:val="Ppogrubienie"/>
          <w:rFonts w:ascii="Times New Roman" w:hAnsi="Times New Roman"/>
          <w:b w:val="0"/>
          <w:bCs/>
          <w:szCs w:val="24"/>
        </w:rPr>
      </w:pPr>
      <w:r w:rsidRPr="006B629D">
        <w:rPr>
          <w:rStyle w:val="Ppogrubienie"/>
          <w:rFonts w:ascii="Times New Roman" w:hAnsi="Times New Roman"/>
          <w:b w:val="0"/>
          <w:bCs/>
          <w:szCs w:val="24"/>
        </w:rPr>
        <w:t>Równocześnie w celu zminimalizowania podwyżek cen paliwa gazowego dla najbardziej wrażliwych odbiorców, a także w celu zwiększenia bezpieczeństwa energetycznego państwa przez zagwarantowanie ciągłości dostaw gazu ziemnego do odbiorców oraz zapewnienia odpowiedniego poziomu płynności spółkom gazowym w celu terminowego regulowania zobowiązań związanych z zapewnianiem płynności na rynku giełdowym, ciągłością dostaw energii lub pozostawaniem w gotowości do świadczenia usług sprzedawcy z urzędu paliwa gazowego, istnieje konieczność wprowadzenia szczególnych rozwiązań osłonowych, umożliwiających podejmowanie działań minimalizujących negatywne skutki społeczno-gospodarcze związane z nagłym, gwałtownym wzrostem cen błękitnego surowca na rynku.</w:t>
      </w:r>
    </w:p>
    <w:p w14:paraId="47F3B18D" w14:textId="25F0187B" w:rsidR="00464282" w:rsidRPr="006B629D" w:rsidRDefault="00464282" w:rsidP="009A0275">
      <w:pPr>
        <w:pStyle w:val="ARTartustawynprozporzdzenia"/>
        <w:ind w:firstLine="0"/>
        <w:rPr>
          <w:rStyle w:val="Ppogrubienie"/>
          <w:rFonts w:ascii="Times New Roman" w:hAnsi="Times New Roman"/>
          <w:b w:val="0"/>
          <w:bCs/>
          <w:szCs w:val="24"/>
        </w:rPr>
      </w:pPr>
      <w:r w:rsidRPr="006B629D">
        <w:rPr>
          <w:rStyle w:val="Ppogrubienie"/>
          <w:rFonts w:ascii="Times New Roman" w:hAnsi="Times New Roman"/>
          <w:b w:val="0"/>
          <w:bCs/>
          <w:szCs w:val="24"/>
        </w:rPr>
        <w:t>Przedkładany projekt ustawy pozwoli na uruchomienie nadzwyczajnych instrumentów zwiększających bezpieczeństwo energetyczne Polski, a w perspektywie krótkoterminowej wspierających gospodarstwa domowe, mieszkańców budynków wielolokalowych</w:t>
      </w:r>
      <w:r w:rsidR="00C101FD">
        <w:rPr>
          <w:rStyle w:val="Ppogrubienie"/>
          <w:rFonts w:ascii="Times New Roman" w:hAnsi="Times New Roman"/>
          <w:b w:val="0"/>
          <w:bCs/>
          <w:szCs w:val="24"/>
        </w:rPr>
        <w:t>,</w:t>
      </w:r>
      <w:r w:rsidRPr="006B629D">
        <w:rPr>
          <w:rStyle w:val="Ppogrubienie"/>
          <w:rFonts w:ascii="Times New Roman" w:hAnsi="Times New Roman"/>
          <w:b w:val="0"/>
          <w:bCs/>
          <w:szCs w:val="24"/>
        </w:rPr>
        <w:t xml:space="preserve"> jak i </w:t>
      </w:r>
      <w:r w:rsidR="00FF05DB" w:rsidRPr="006B629D">
        <w:rPr>
          <w:rStyle w:val="Ppogrubienie"/>
          <w:rFonts w:ascii="Times New Roman" w:hAnsi="Times New Roman"/>
          <w:b w:val="0"/>
          <w:bCs/>
          <w:szCs w:val="24"/>
        </w:rPr>
        <w:t>niektórych</w:t>
      </w:r>
      <w:r w:rsidRPr="006B629D">
        <w:rPr>
          <w:rStyle w:val="Ppogrubienie"/>
          <w:rFonts w:ascii="Times New Roman" w:hAnsi="Times New Roman"/>
          <w:b w:val="0"/>
          <w:bCs/>
          <w:szCs w:val="24"/>
        </w:rPr>
        <w:t xml:space="preserve"> odbiorców wrażliwych.</w:t>
      </w:r>
    </w:p>
    <w:p w14:paraId="4E5AC363" w14:textId="5F116532" w:rsidR="00573594" w:rsidRPr="006B629D" w:rsidRDefault="00573594" w:rsidP="009A0275">
      <w:pPr>
        <w:pStyle w:val="ARTartustawynprozporzdzenia"/>
        <w:ind w:firstLine="0"/>
        <w:rPr>
          <w:rFonts w:ascii="Times New Roman" w:hAnsi="Times New Roman" w:cs="Times New Roman"/>
          <w:bCs/>
          <w:szCs w:val="24"/>
        </w:rPr>
      </w:pPr>
      <w:r w:rsidRPr="006B629D">
        <w:rPr>
          <w:rStyle w:val="Ppogrubienie"/>
          <w:rFonts w:ascii="Times New Roman" w:hAnsi="Times New Roman"/>
          <w:b w:val="0"/>
          <w:bCs/>
          <w:szCs w:val="24"/>
        </w:rPr>
        <w:t>Zap</w:t>
      </w:r>
      <w:r w:rsidR="007B06F8">
        <w:rPr>
          <w:rStyle w:val="Ppogrubienie"/>
          <w:rFonts w:ascii="Times New Roman" w:hAnsi="Times New Roman"/>
          <w:b w:val="0"/>
          <w:bCs/>
          <w:szCs w:val="24"/>
        </w:rPr>
        <w:t>roponowane rozwiązania wynikają</w:t>
      </w:r>
      <w:r w:rsidRPr="006B629D">
        <w:rPr>
          <w:rStyle w:val="Ppogrubienie"/>
          <w:rFonts w:ascii="Times New Roman" w:hAnsi="Times New Roman"/>
          <w:b w:val="0"/>
          <w:bCs/>
          <w:szCs w:val="24"/>
        </w:rPr>
        <w:t xml:space="preserve"> </w:t>
      </w:r>
      <w:r w:rsidR="00687B54" w:rsidRPr="006B629D">
        <w:rPr>
          <w:rStyle w:val="Ppogrubienie"/>
          <w:rFonts w:ascii="Times New Roman" w:hAnsi="Times New Roman"/>
          <w:b w:val="0"/>
          <w:bCs/>
          <w:szCs w:val="24"/>
        </w:rPr>
        <w:t xml:space="preserve">w szczególności </w:t>
      </w:r>
      <w:r w:rsidRPr="006B629D">
        <w:rPr>
          <w:rStyle w:val="Ppogrubienie"/>
          <w:rFonts w:ascii="Times New Roman" w:hAnsi="Times New Roman"/>
          <w:b w:val="0"/>
          <w:bCs/>
          <w:szCs w:val="24"/>
        </w:rPr>
        <w:t xml:space="preserve">z prac prowadzonych przez Zespół do spraw bezpieczeństwa energetycznego państwa działający przy Ministrze właściwym do spraw energii na podstawie zarządzenia Ministra Klimatu </w:t>
      </w:r>
      <w:r w:rsidR="00503E56">
        <w:rPr>
          <w:rStyle w:val="Ppogrubienie"/>
          <w:rFonts w:ascii="Times New Roman" w:hAnsi="Times New Roman"/>
          <w:b w:val="0"/>
          <w:bCs/>
          <w:szCs w:val="24"/>
        </w:rPr>
        <w:t xml:space="preserve">z </w:t>
      </w:r>
      <w:r w:rsidRPr="006B629D">
        <w:rPr>
          <w:rFonts w:ascii="Times New Roman" w:hAnsi="Times New Roman" w:cs="Times New Roman"/>
          <w:bCs/>
          <w:szCs w:val="24"/>
        </w:rPr>
        <w:t xml:space="preserve">dnia 26 marca 2020 r. </w:t>
      </w:r>
      <w:r w:rsidRPr="006B629D">
        <w:rPr>
          <w:rFonts w:ascii="Times New Roman" w:hAnsi="Times New Roman" w:cs="Times New Roman"/>
          <w:bCs/>
          <w:i/>
          <w:iCs/>
          <w:szCs w:val="24"/>
        </w:rPr>
        <w:t>w sprawie powołania Zespołu do spraw zapewnienia bezpieczeństwa energetycznego państwa</w:t>
      </w:r>
      <w:r w:rsidRPr="006B629D">
        <w:rPr>
          <w:rFonts w:ascii="Times New Roman" w:hAnsi="Times New Roman" w:cs="Times New Roman"/>
          <w:bCs/>
          <w:szCs w:val="24"/>
        </w:rPr>
        <w:t xml:space="preserve"> (</w:t>
      </w:r>
      <w:r w:rsidR="00687B54" w:rsidRPr="006B629D">
        <w:rPr>
          <w:rFonts w:ascii="Times New Roman" w:hAnsi="Times New Roman" w:cs="Times New Roman"/>
          <w:bCs/>
          <w:szCs w:val="24"/>
        </w:rPr>
        <w:t>Dz.</w:t>
      </w:r>
      <w:r w:rsidR="00C101FD">
        <w:rPr>
          <w:rFonts w:ascii="Times New Roman" w:hAnsi="Times New Roman" w:cs="Times New Roman"/>
          <w:bCs/>
          <w:szCs w:val="24"/>
        </w:rPr>
        <w:t xml:space="preserve"> </w:t>
      </w:r>
      <w:r w:rsidR="00687B54" w:rsidRPr="006B629D">
        <w:rPr>
          <w:rFonts w:ascii="Times New Roman" w:hAnsi="Times New Roman" w:cs="Times New Roman"/>
          <w:bCs/>
          <w:szCs w:val="24"/>
        </w:rPr>
        <w:t>Urz.</w:t>
      </w:r>
      <w:r w:rsidR="00C101FD">
        <w:rPr>
          <w:rFonts w:ascii="Times New Roman" w:hAnsi="Times New Roman" w:cs="Times New Roman"/>
          <w:bCs/>
          <w:szCs w:val="24"/>
        </w:rPr>
        <w:t xml:space="preserve"> </w:t>
      </w:r>
      <w:r w:rsidR="00687B54" w:rsidRPr="006B629D">
        <w:rPr>
          <w:rFonts w:ascii="Times New Roman" w:hAnsi="Times New Roman" w:cs="Times New Roman"/>
          <w:bCs/>
          <w:szCs w:val="24"/>
        </w:rPr>
        <w:t>MK</w:t>
      </w:r>
      <w:r w:rsidR="00C101FD">
        <w:rPr>
          <w:rFonts w:ascii="Times New Roman" w:hAnsi="Times New Roman" w:cs="Times New Roman"/>
          <w:bCs/>
          <w:szCs w:val="24"/>
        </w:rPr>
        <w:t xml:space="preserve"> poz. </w:t>
      </w:r>
      <w:r w:rsidR="00687B54" w:rsidRPr="006B629D">
        <w:rPr>
          <w:rFonts w:ascii="Times New Roman" w:hAnsi="Times New Roman" w:cs="Times New Roman"/>
          <w:bCs/>
          <w:szCs w:val="24"/>
        </w:rPr>
        <w:t>18)</w:t>
      </w:r>
      <w:r w:rsidR="00C101FD">
        <w:rPr>
          <w:rFonts w:ascii="Times New Roman" w:hAnsi="Times New Roman" w:cs="Times New Roman"/>
          <w:bCs/>
          <w:szCs w:val="24"/>
        </w:rPr>
        <w:t>.</w:t>
      </w:r>
    </w:p>
    <w:p w14:paraId="4E515D9D" w14:textId="77777777" w:rsidR="00FF05DB" w:rsidRPr="006B629D" w:rsidRDefault="00FF05DB" w:rsidP="009A0275">
      <w:pPr>
        <w:pStyle w:val="ARTartustawynprozporzdzenia"/>
        <w:ind w:firstLine="0"/>
        <w:rPr>
          <w:rStyle w:val="Ppogrubienie"/>
          <w:rFonts w:ascii="Times New Roman" w:hAnsi="Times New Roman"/>
          <w:b w:val="0"/>
          <w:bCs/>
          <w:szCs w:val="24"/>
        </w:rPr>
      </w:pPr>
    </w:p>
    <w:p w14:paraId="2871B89E" w14:textId="0F22F090" w:rsidR="00607A21" w:rsidRPr="006B629D" w:rsidRDefault="00607A21" w:rsidP="00151BB4">
      <w:pPr>
        <w:pStyle w:val="ARTartustawynprozporzdzenia"/>
        <w:numPr>
          <w:ilvl w:val="0"/>
          <w:numId w:val="1"/>
        </w:numPr>
        <w:spacing w:before="0" w:after="240"/>
        <w:rPr>
          <w:rFonts w:ascii="Times New Roman" w:hAnsi="Times New Roman" w:cs="Times New Roman"/>
          <w:b/>
          <w:szCs w:val="24"/>
        </w:rPr>
      </w:pPr>
      <w:r w:rsidRPr="006B629D">
        <w:rPr>
          <w:rFonts w:ascii="Times New Roman" w:hAnsi="Times New Roman" w:cs="Times New Roman"/>
          <w:b/>
          <w:szCs w:val="24"/>
        </w:rPr>
        <w:t>Wprowadzenie mechanizmu rekompensat (</w:t>
      </w:r>
      <w:r w:rsidR="00151BB4" w:rsidRPr="00151BB4">
        <w:rPr>
          <w:rFonts w:ascii="Times New Roman" w:hAnsi="Times New Roman" w:cs="Times New Roman"/>
          <w:b/>
          <w:szCs w:val="24"/>
        </w:rPr>
        <w:t xml:space="preserve">zmiana ustawy </w:t>
      </w:r>
      <w:r w:rsidRPr="006B629D">
        <w:rPr>
          <w:rFonts w:ascii="Times New Roman" w:hAnsi="Times New Roman" w:cs="Times New Roman"/>
          <w:b/>
          <w:szCs w:val="24"/>
        </w:rPr>
        <w:t xml:space="preserve">z dnia 10 kwietnia </w:t>
      </w:r>
      <w:r w:rsidR="006B629D" w:rsidRPr="006B629D">
        <w:rPr>
          <w:rFonts w:ascii="Times New Roman" w:hAnsi="Times New Roman" w:cs="Times New Roman"/>
          <w:b/>
          <w:szCs w:val="24"/>
        </w:rPr>
        <w:br/>
      </w:r>
      <w:r w:rsidRPr="006B629D">
        <w:rPr>
          <w:rFonts w:ascii="Times New Roman" w:hAnsi="Times New Roman" w:cs="Times New Roman"/>
          <w:b/>
          <w:szCs w:val="24"/>
        </w:rPr>
        <w:t xml:space="preserve">1997 r. </w:t>
      </w:r>
      <w:r w:rsidR="000D2B72">
        <w:rPr>
          <w:rFonts w:ascii="Times New Roman" w:hAnsi="Times New Roman" w:cs="Times New Roman"/>
          <w:b/>
          <w:szCs w:val="24"/>
        </w:rPr>
        <w:t>–</w:t>
      </w:r>
      <w:r w:rsidRPr="006B629D">
        <w:rPr>
          <w:rFonts w:ascii="Times New Roman" w:hAnsi="Times New Roman" w:cs="Times New Roman"/>
          <w:b/>
          <w:szCs w:val="24"/>
        </w:rPr>
        <w:t xml:space="preserve"> Prawo energetyczne</w:t>
      </w:r>
      <w:r w:rsidR="006B629D" w:rsidRPr="006B629D">
        <w:rPr>
          <w:rFonts w:ascii="Times New Roman" w:hAnsi="Times New Roman" w:cs="Times New Roman"/>
          <w:b/>
          <w:szCs w:val="24"/>
        </w:rPr>
        <w:t xml:space="preserve"> oraz przepisy przejściowe)</w:t>
      </w:r>
    </w:p>
    <w:p w14:paraId="603261DB" w14:textId="64EDCBDA" w:rsidR="00607A21" w:rsidRPr="006B629D" w:rsidRDefault="006B629D" w:rsidP="009A0275">
      <w:pPr>
        <w:pStyle w:val="ARTartustawynprozporzdzenia"/>
        <w:spacing w:before="0" w:after="240"/>
        <w:ind w:left="142" w:firstLine="0"/>
        <w:rPr>
          <w:rFonts w:ascii="Times New Roman" w:hAnsi="Times New Roman" w:cs="Times New Roman"/>
          <w:bCs/>
          <w:szCs w:val="24"/>
        </w:rPr>
      </w:pPr>
      <w:r w:rsidRPr="006B629D">
        <w:rPr>
          <w:rFonts w:ascii="Times New Roman" w:hAnsi="Times New Roman" w:cs="Times New Roman"/>
          <w:bCs/>
          <w:szCs w:val="24"/>
        </w:rPr>
        <w:t>Ustawodawca</w:t>
      </w:r>
      <w:r w:rsidR="00C101FD">
        <w:rPr>
          <w:rFonts w:ascii="Times New Roman" w:hAnsi="Times New Roman" w:cs="Times New Roman"/>
          <w:bCs/>
          <w:szCs w:val="24"/>
        </w:rPr>
        <w:t>,</w:t>
      </w:r>
      <w:r w:rsidRPr="006B629D">
        <w:rPr>
          <w:rFonts w:ascii="Times New Roman" w:hAnsi="Times New Roman" w:cs="Times New Roman"/>
          <w:bCs/>
          <w:szCs w:val="24"/>
        </w:rPr>
        <w:t xml:space="preserve"> w celu ochrony odbiorców w gospodarstwach domowych przed skokowym wzrostem cen gazu ziemnego</w:t>
      </w:r>
      <w:r w:rsidR="00C101FD">
        <w:rPr>
          <w:rFonts w:ascii="Times New Roman" w:hAnsi="Times New Roman" w:cs="Times New Roman"/>
          <w:bCs/>
          <w:szCs w:val="24"/>
        </w:rPr>
        <w:t>,</w:t>
      </w:r>
      <w:r w:rsidRPr="006B629D">
        <w:rPr>
          <w:rFonts w:ascii="Times New Roman" w:hAnsi="Times New Roman" w:cs="Times New Roman"/>
          <w:bCs/>
          <w:szCs w:val="24"/>
        </w:rPr>
        <w:t xml:space="preserve"> zdecydował się na wprowadzenie </w:t>
      </w:r>
      <w:r w:rsidR="009B779A">
        <w:rPr>
          <w:rFonts w:ascii="Times New Roman" w:hAnsi="Times New Roman" w:cs="Times New Roman"/>
          <w:bCs/>
          <w:szCs w:val="24"/>
        </w:rPr>
        <w:t>w grudniu 2021 r</w:t>
      </w:r>
      <w:r w:rsidR="00C101FD">
        <w:rPr>
          <w:rFonts w:ascii="Times New Roman" w:hAnsi="Times New Roman" w:cs="Times New Roman"/>
          <w:bCs/>
          <w:szCs w:val="24"/>
        </w:rPr>
        <w:t>oku</w:t>
      </w:r>
      <w:r w:rsidR="009B779A">
        <w:rPr>
          <w:rFonts w:ascii="Times New Roman" w:hAnsi="Times New Roman" w:cs="Times New Roman"/>
          <w:bCs/>
          <w:szCs w:val="24"/>
        </w:rPr>
        <w:t xml:space="preserve"> </w:t>
      </w:r>
      <w:r w:rsidRPr="006B629D">
        <w:rPr>
          <w:rFonts w:ascii="Times New Roman" w:hAnsi="Times New Roman" w:cs="Times New Roman"/>
          <w:bCs/>
          <w:szCs w:val="24"/>
        </w:rPr>
        <w:t xml:space="preserve">do ustawy </w:t>
      </w:r>
      <w:r w:rsidR="00C101FD">
        <w:rPr>
          <w:rFonts w:ascii="Times New Roman" w:hAnsi="Times New Roman" w:cs="Times New Roman"/>
          <w:bCs/>
          <w:szCs w:val="24"/>
        </w:rPr>
        <w:t xml:space="preserve">z dnia 10 kwietnia 1997 r. </w:t>
      </w:r>
      <w:r w:rsidRPr="006B629D">
        <w:rPr>
          <w:rFonts w:ascii="Times New Roman" w:hAnsi="Times New Roman" w:cs="Times New Roman"/>
          <w:bCs/>
          <w:szCs w:val="24"/>
        </w:rPr>
        <w:t>– Prawo energetyczne</w:t>
      </w:r>
      <w:r w:rsidR="00C101FD">
        <w:rPr>
          <w:rFonts w:ascii="Times New Roman" w:hAnsi="Times New Roman" w:cs="Times New Roman"/>
          <w:bCs/>
          <w:szCs w:val="24"/>
        </w:rPr>
        <w:t xml:space="preserve"> </w:t>
      </w:r>
      <w:r w:rsidR="00C101FD">
        <w:t>(Dz. U. z 2021 r. poz. 716, z późn. zm.)</w:t>
      </w:r>
      <w:r w:rsidR="00810A0A">
        <w:t>, zwanej dalej „</w:t>
      </w:r>
      <w:r w:rsidR="00810A0A">
        <w:rPr>
          <w:rFonts w:ascii="Times New Roman" w:eastAsia="Calibri" w:hAnsi="Times New Roman" w:cs="Times New Roman"/>
          <w:szCs w:val="24"/>
        </w:rPr>
        <w:t>ustawą</w:t>
      </w:r>
      <w:r w:rsidR="00810A0A" w:rsidRPr="006B629D">
        <w:rPr>
          <w:rFonts w:ascii="Times New Roman" w:eastAsia="Calibri" w:hAnsi="Times New Roman" w:cs="Times New Roman"/>
          <w:szCs w:val="24"/>
        </w:rPr>
        <w:t xml:space="preserve"> – Prawo energetyczne</w:t>
      </w:r>
      <w:r w:rsidR="00810A0A">
        <w:rPr>
          <w:rFonts w:ascii="Times New Roman" w:eastAsia="Calibri" w:hAnsi="Times New Roman" w:cs="Times New Roman"/>
          <w:szCs w:val="24"/>
        </w:rPr>
        <w:t>”,</w:t>
      </w:r>
      <w:r w:rsidRPr="006B629D">
        <w:rPr>
          <w:rFonts w:ascii="Times New Roman" w:hAnsi="Times New Roman" w:cs="Times New Roman"/>
          <w:bCs/>
          <w:szCs w:val="24"/>
        </w:rPr>
        <w:t xml:space="preserve"> mechanizmu rozłożenia w czasie wzrostu cen taryfowych gazu ziemnego (art. 62f ). Zdarzenia mające miejsce po wejściu w życie ustawy (ustalenie taryfy dla gospodarstw domowych w trybie art. 62f przez wyłącznie jednego sprzedawcę gazu oraz istotne wzrosty cen gazu ziemnego na krzywej cenowej dla 2022 roku) wskazują na konieczność podjęcia dalszych działań zmierzających do ochrony odbiorców gazu ziemnego szczególnie narażonych na skutki wzrostu cen gazu ziemnego oraz uwzględnienie faktu ochrony tych podmiotów w sytuacji ekonomicznej przedsiębiorstw energetycznych prowadzących działalność w zakresie obrotu paliwami gazowymi. Dlatego też projektowany mechanizm zakłada realizację celu w postaci ochrony odbiorców w gospodarstwach domowych oraz odbiorców realizujących zadania z zakresu użyteczności publicznej przy jednoczesnym wprowadzeniu rekompensat dla sprzedawców gazu prowadzących sprzedaży do odbiorców taryfowych.</w:t>
      </w:r>
    </w:p>
    <w:p w14:paraId="6E199D68" w14:textId="77777777" w:rsidR="006B629D" w:rsidRPr="006B629D" w:rsidRDefault="006B629D" w:rsidP="009A0275">
      <w:pPr>
        <w:spacing w:after="160" w:line="360" w:lineRule="auto"/>
        <w:ind w:left="720"/>
        <w:contextualSpacing/>
        <w:jc w:val="both"/>
        <w:rPr>
          <w:rFonts w:ascii="Times New Roman" w:eastAsia="Calibri" w:hAnsi="Times New Roman" w:cs="Times New Roman"/>
          <w:b/>
          <w:sz w:val="24"/>
          <w:szCs w:val="24"/>
        </w:rPr>
      </w:pPr>
      <w:r w:rsidRPr="006B629D">
        <w:rPr>
          <w:rFonts w:ascii="Times New Roman" w:eastAsia="Calibri" w:hAnsi="Times New Roman" w:cs="Times New Roman"/>
          <w:b/>
          <w:sz w:val="24"/>
          <w:szCs w:val="24"/>
        </w:rPr>
        <w:t>Proponowane mechanizmy prawne</w:t>
      </w:r>
    </w:p>
    <w:p w14:paraId="67B89FCE" w14:textId="77777777"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Projektowane rozwiązania zakładają:</w:t>
      </w:r>
    </w:p>
    <w:p w14:paraId="30D799F2" w14:textId="4FB701A9" w:rsidR="006B629D" w:rsidRPr="006B629D" w:rsidRDefault="006B629D" w:rsidP="009A0275">
      <w:pPr>
        <w:numPr>
          <w:ilvl w:val="0"/>
          <w:numId w:val="19"/>
        </w:numPr>
        <w:spacing w:after="160" w:line="360" w:lineRule="auto"/>
        <w:contextualSpacing/>
        <w:jc w:val="both"/>
        <w:rPr>
          <w:rFonts w:ascii="Times New Roman" w:eastAsia="Calibri" w:hAnsi="Times New Roman" w:cs="Times New Roman"/>
          <w:sz w:val="24"/>
          <w:szCs w:val="24"/>
        </w:rPr>
      </w:pPr>
      <w:r w:rsidRPr="006B629D">
        <w:rPr>
          <w:rFonts w:ascii="Times New Roman" w:eastAsia="Calibri" w:hAnsi="Times New Roman" w:cs="Times New Roman"/>
          <w:b/>
          <w:sz w:val="24"/>
          <w:szCs w:val="24"/>
        </w:rPr>
        <w:t>rozszerzenie katalogu podmiotów objętych ochroną taryfową</w:t>
      </w:r>
      <w:r w:rsidRPr="006B629D">
        <w:rPr>
          <w:rFonts w:ascii="Times New Roman" w:eastAsia="Calibri" w:hAnsi="Times New Roman" w:cs="Times New Roman"/>
          <w:sz w:val="24"/>
          <w:szCs w:val="24"/>
        </w:rPr>
        <w:t xml:space="preserve"> do 31 grudnia 2023</w:t>
      </w:r>
      <w:r w:rsidR="004E3A9F">
        <w:rPr>
          <w:rFonts w:ascii="Times New Roman" w:eastAsia="Calibri" w:hAnsi="Times New Roman" w:cs="Times New Roman"/>
          <w:sz w:val="24"/>
          <w:szCs w:val="24"/>
        </w:rPr>
        <w:t xml:space="preserve"> r.</w:t>
      </w:r>
      <w:r w:rsidRPr="006B629D">
        <w:rPr>
          <w:rFonts w:ascii="Times New Roman" w:eastAsia="Calibri" w:hAnsi="Times New Roman" w:cs="Times New Roman"/>
          <w:sz w:val="24"/>
          <w:szCs w:val="24"/>
        </w:rPr>
        <w:t xml:space="preserve"> (art. 62b ustawy – Prawo energetyczne) o niektóre kategorie odbiorców będących podmiotami realizującymi zadania z zakresu użyteczności publicznej (m.in. szpitale, szkoły, żłobki, przedszkola, noclegownie itp.),</w:t>
      </w:r>
    </w:p>
    <w:p w14:paraId="5A39B945" w14:textId="0D407670" w:rsidR="006B629D" w:rsidRPr="006B629D" w:rsidRDefault="006B629D" w:rsidP="009A0275">
      <w:pPr>
        <w:numPr>
          <w:ilvl w:val="0"/>
          <w:numId w:val="19"/>
        </w:numPr>
        <w:spacing w:after="160" w:line="360" w:lineRule="auto"/>
        <w:contextualSpacing/>
        <w:jc w:val="both"/>
        <w:rPr>
          <w:rFonts w:ascii="Times New Roman" w:eastAsia="Calibri" w:hAnsi="Times New Roman" w:cs="Times New Roman"/>
          <w:sz w:val="24"/>
          <w:szCs w:val="24"/>
        </w:rPr>
      </w:pPr>
      <w:r w:rsidRPr="006B629D">
        <w:rPr>
          <w:rFonts w:ascii="Times New Roman" w:eastAsia="Calibri" w:hAnsi="Times New Roman" w:cs="Times New Roman"/>
          <w:b/>
          <w:sz w:val="24"/>
          <w:szCs w:val="24"/>
        </w:rPr>
        <w:t>wprowadzenie mechanizmu rekompensat dla sprzedawców gazu ziemnego</w:t>
      </w:r>
      <w:r w:rsidRPr="006B629D">
        <w:rPr>
          <w:rFonts w:ascii="Times New Roman" w:eastAsia="Calibri" w:hAnsi="Times New Roman" w:cs="Times New Roman"/>
          <w:sz w:val="24"/>
          <w:szCs w:val="24"/>
        </w:rPr>
        <w:t xml:space="preserve"> do odbiorców taryfowych, który służyłby zrekompensowaniu skutków zamrożenia cen dla </w:t>
      </w:r>
      <w:r w:rsidR="00B93B0D">
        <w:rPr>
          <w:rFonts w:ascii="Times New Roman" w:eastAsia="Calibri" w:hAnsi="Times New Roman" w:cs="Times New Roman"/>
          <w:sz w:val="24"/>
          <w:szCs w:val="24"/>
        </w:rPr>
        <w:t>rozszerzonego</w:t>
      </w:r>
      <w:r w:rsidRPr="006B629D">
        <w:rPr>
          <w:rFonts w:ascii="Times New Roman" w:eastAsia="Calibri" w:hAnsi="Times New Roman" w:cs="Times New Roman"/>
          <w:sz w:val="24"/>
          <w:szCs w:val="24"/>
        </w:rPr>
        <w:t xml:space="preserve"> katalogu odbiorców taryfowych, </w:t>
      </w:r>
    </w:p>
    <w:p w14:paraId="73857C88" w14:textId="1770A809" w:rsidR="006B629D" w:rsidRPr="006B629D" w:rsidRDefault="006B629D" w:rsidP="009A0275">
      <w:pPr>
        <w:numPr>
          <w:ilvl w:val="0"/>
          <w:numId w:val="19"/>
        </w:numPr>
        <w:spacing w:after="160" w:line="360" w:lineRule="auto"/>
        <w:contextualSpacing/>
        <w:jc w:val="both"/>
        <w:rPr>
          <w:rFonts w:ascii="Times New Roman" w:eastAsia="Calibri" w:hAnsi="Times New Roman" w:cs="Times New Roman"/>
          <w:sz w:val="24"/>
          <w:szCs w:val="24"/>
        </w:rPr>
      </w:pPr>
      <w:r w:rsidRPr="006B629D">
        <w:rPr>
          <w:rFonts w:ascii="Times New Roman" w:eastAsia="Calibri" w:hAnsi="Times New Roman" w:cs="Times New Roman"/>
          <w:b/>
          <w:sz w:val="24"/>
          <w:szCs w:val="24"/>
        </w:rPr>
        <w:lastRenderedPageBreak/>
        <w:t>potwierdzenie</w:t>
      </w:r>
      <w:r w:rsidRPr="00C570CE">
        <w:rPr>
          <w:rFonts w:ascii="Times New Roman" w:eastAsia="Calibri" w:hAnsi="Times New Roman" w:cs="Times New Roman"/>
          <w:sz w:val="24"/>
          <w:szCs w:val="24"/>
          <w:vertAlign w:val="superscript"/>
        </w:rPr>
        <w:footnoteReference w:id="1"/>
      </w:r>
      <w:r w:rsidR="00DF5611" w:rsidRPr="00C570CE">
        <w:rPr>
          <w:rFonts w:ascii="Times New Roman" w:eastAsia="Calibri" w:hAnsi="Times New Roman" w:cs="Times New Roman"/>
          <w:sz w:val="24"/>
          <w:szCs w:val="24"/>
          <w:vertAlign w:val="superscript"/>
        </w:rPr>
        <w:t>)</w:t>
      </w:r>
      <w:r w:rsidRPr="006B629D">
        <w:rPr>
          <w:rFonts w:ascii="Times New Roman" w:eastAsia="Calibri" w:hAnsi="Times New Roman" w:cs="Times New Roman"/>
          <w:b/>
          <w:sz w:val="24"/>
          <w:szCs w:val="24"/>
        </w:rPr>
        <w:t xml:space="preserve"> i podkreślenie w treści przepisów prawa konieczności ochrony taryfowej odbiorców gazu ziemnego w budynkach wielolokalowych</w:t>
      </w:r>
      <w:r w:rsidRPr="006B629D">
        <w:rPr>
          <w:rFonts w:ascii="Times New Roman" w:eastAsia="Calibri" w:hAnsi="Times New Roman" w:cs="Times New Roman"/>
          <w:sz w:val="24"/>
          <w:szCs w:val="24"/>
        </w:rPr>
        <w:t xml:space="preserve">, którzy nie zawarli indywidualnych umów kompleksowych lub umów zakupu gazu ziemnego </w:t>
      </w:r>
      <w:r w:rsidR="009B779A">
        <w:rPr>
          <w:rFonts w:ascii="Times New Roman" w:eastAsia="Calibri" w:hAnsi="Times New Roman" w:cs="Times New Roman"/>
          <w:sz w:val="24"/>
          <w:szCs w:val="24"/>
        </w:rPr>
        <w:br/>
      </w:r>
      <w:r w:rsidRPr="006B629D">
        <w:rPr>
          <w:rFonts w:ascii="Times New Roman" w:eastAsia="Calibri" w:hAnsi="Times New Roman" w:cs="Times New Roman"/>
          <w:sz w:val="24"/>
          <w:szCs w:val="24"/>
        </w:rPr>
        <w:t>z pr</w:t>
      </w:r>
      <w:r w:rsidR="009B779A">
        <w:rPr>
          <w:rFonts w:ascii="Times New Roman" w:eastAsia="Calibri" w:hAnsi="Times New Roman" w:cs="Times New Roman"/>
          <w:sz w:val="24"/>
          <w:szCs w:val="24"/>
        </w:rPr>
        <w:t>zedsiębiorstwami energetycznymi.</w:t>
      </w:r>
    </w:p>
    <w:p w14:paraId="63075FE5" w14:textId="0D5D4217"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br/>
        <w:t>W zakresie propozycji potwierdzenia w treści przepisów prawa faktu objęcia ochroną taryfową odbiorców gazu ziemnego w budynkach wielolokalowych</w:t>
      </w:r>
      <w:r w:rsidR="00DF5611">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podkreślenia wymaga, że intencją projektodawcy jest jednoznaczne podkreślenie konieczności prowadzenia rozliczeń na podstawie taryf zatwierdzanych przez Prezesa U</w:t>
      </w:r>
      <w:r w:rsidR="00DF5611">
        <w:rPr>
          <w:rFonts w:ascii="Times New Roman" w:eastAsia="Calibri" w:hAnsi="Times New Roman" w:cs="Times New Roman"/>
          <w:sz w:val="24"/>
          <w:szCs w:val="24"/>
        </w:rPr>
        <w:t xml:space="preserve">rzędu </w:t>
      </w:r>
      <w:r w:rsidRPr="006B629D">
        <w:rPr>
          <w:rFonts w:ascii="Times New Roman" w:eastAsia="Calibri" w:hAnsi="Times New Roman" w:cs="Times New Roman"/>
          <w:sz w:val="24"/>
          <w:szCs w:val="24"/>
        </w:rPr>
        <w:t>R</w:t>
      </w:r>
      <w:r w:rsidR="00DF5611">
        <w:rPr>
          <w:rFonts w:ascii="Times New Roman" w:eastAsia="Calibri" w:hAnsi="Times New Roman" w:cs="Times New Roman"/>
          <w:sz w:val="24"/>
          <w:szCs w:val="24"/>
        </w:rPr>
        <w:t xml:space="preserve">egulacji </w:t>
      </w:r>
      <w:r w:rsidRPr="006B629D">
        <w:rPr>
          <w:rFonts w:ascii="Times New Roman" w:eastAsia="Calibri" w:hAnsi="Times New Roman" w:cs="Times New Roman"/>
          <w:sz w:val="24"/>
          <w:szCs w:val="24"/>
        </w:rPr>
        <w:t>E</w:t>
      </w:r>
      <w:r w:rsidR="00DF5611">
        <w:rPr>
          <w:rFonts w:ascii="Times New Roman" w:eastAsia="Calibri" w:hAnsi="Times New Roman" w:cs="Times New Roman"/>
          <w:sz w:val="24"/>
          <w:szCs w:val="24"/>
        </w:rPr>
        <w:t>nergetyki (URE)</w:t>
      </w:r>
      <w:r w:rsidRPr="006B629D">
        <w:rPr>
          <w:rFonts w:ascii="Times New Roman" w:eastAsia="Calibri" w:hAnsi="Times New Roman" w:cs="Times New Roman"/>
          <w:sz w:val="24"/>
          <w:szCs w:val="24"/>
        </w:rPr>
        <w:t xml:space="preserve"> </w:t>
      </w:r>
      <w:r w:rsidR="00E751DD">
        <w:rPr>
          <w:rFonts w:ascii="Times New Roman" w:eastAsia="Calibri" w:hAnsi="Times New Roman" w:cs="Times New Roman"/>
          <w:sz w:val="24"/>
          <w:szCs w:val="24"/>
        </w:rPr>
        <w:br/>
      </w:r>
      <w:r w:rsidRPr="006B629D">
        <w:rPr>
          <w:rFonts w:ascii="Times New Roman" w:eastAsia="Calibri" w:hAnsi="Times New Roman" w:cs="Times New Roman"/>
          <w:sz w:val="24"/>
          <w:szCs w:val="24"/>
        </w:rPr>
        <w:t>w odniesieniu do sytuacji, w których zużycie gazu związane jest z zaspakajaniem potrzeb mieszkaniowych. Ze względu na wielość możliwych stanów faktycznych i prawnych</w:t>
      </w:r>
      <w:r w:rsidR="00DF5611">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projekt ustawy nie statuuje katalogu zamkniętego tego typu odbiorców</w:t>
      </w:r>
      <w:r w:rsidR="00DF5611">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kładąc nacisk na cel zużycia paliwa gazowego. Prawidłowemu prowadzeniu rozliczeń z tego typu odbiorcami służyć będzie proponowany w projekcie mechanizm oświadczeń, umożliwiający nie tylko identyfikację odbiorców podlegających rozliczeniom taryfowym, ale również określenie części paliwa gazowego zużywanego na cele objęte ochroną taryfową oraz wyłączone spod administracyjnej kontroli cen. Określenie szacunkowej części paliwa gazowego ma być dokonywane przez odbiorcę</w:t>
      </w:r>
      <w:r w:rsidR="00DF5611">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zgodnie z zasadami określonymi w art. 45a ustawy – Prawo energetyczne lub z uwzględnieniem powierzchni lokali mieszkalnych i użytkowych, charakteru prowadzonej w nich działalności oraz posiadanych danych historycznych. Określenie w oświadczeniu zużycia paliwa gazowego na potrzeby nie objęte ochroną w sposób rażąco sprzeczny z tymi wytycznymi wiąże się z odpowiedzialnością wobec sprzedawcy paliw gazowych.</w:t>
      </w:r>
    </w:p>
    <w:p w14:paraId="2CF6C303" w14:textId="228B9BB5"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W odniesieniu do odbiorców paliw gazowych będących wspólnotami mieszkaniowymi, </w:t>
      </w:r>
      <w:r w:rsidR="009B779A">
        <w:rPr>
          <w:rFonts w:ascii="Times New Roman" w:eastAsia="Calibri" w:hAnsi="Times New Roman" w:cs="Times New Roman"/>
          <w:sz w:val="24"/>
          <w:szCs w:val="24"/>
        </w:rPr>
        <w:br/>
      </w:r>
      <w:r w:rsidRPr="006B629D">
        <w:rPr>
          <w:rFonts w:ascii="Times New Roman" w:eastAsia="Calibri" w:hAnsi="Times New Roman" w:cs="Times New Roman"/>
          <w:sz w:val="24"/>
          <w:szCs w:val="24"/>
        </w:rPr>
        <w:t xml:space="preserve">o których mowa w ustawie z dnia 24 czerwca 1994 r. o własności lokali (Dz. U. z 2021 r. poz. 1048), albo spółdzielniami mieszkaniowymi, o których mowa w ustawie z dnia 15 grudnia </w:t>
      </w:r>
      <w:r w:rsidR="004E3A9F">
        <w:rPr>
          <w:rFonts w:ascii="Times New Roman" w:eastAsia="Calibri" w:hAnsi="Times New Roman" w:cs="Times New Roman"/>
          <w:sz w:val="24"/>
          <w:szCs w:val="24"/>
        </w:rPr>
        <w:br/>
      </w:r>
      <w:r w:rsidRPr="006B629D">
        <w:rPr>
          <w:rFonts w:ascii="Times New Roman" w:eastAsia="Calibri" w:hAnsi="Times New Roman" w:cs="Times New Roman"/>
          <w:sz w:val="24"/>
          <w:szCs w:val="24"/>
        </w:rPr>
        <w:t>2000 r. o spółdzielniach mieszkaniowych (Dz. U. z 2021 r. poz. 1208)</w:t>
      </w:r>
      <w:r w:rsidR="001904FE">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projektowana ustawa zakłada automatyzm w zastosowaniu ochrony taryfowej. Zostaną one objęte tą ochroną niezależnie od złożenia oświadczenia dotyczącego części paliwa gazowego zużywanego na potrzeby odbiorców, którym ta </w:t>
      </w:r>
      <w:r w:rsidRPr="006B629D">
        <w:rPr>
          <w:rFonts w:ascii="Times New Roman" w:eastAsia="Calibri" w:hAnsi="Times New Roman" w:cs="Times New Roman"/>
          <w:sz w:val="24"/>
          <w:szCs w:val="24"/>
        </w:rPr>
        <w:lastRenderedPageBreak/>
        <w:t>ochrona przysługuje. Intencją projektodawcy jest bowiem zapewnienie ochrony gospodarstwom domowym również w przypadku zaniechań po stronie zarządców wspólnot lub spółdzielni, do których należą lokale mieszkalne. W celu zapewnienia właściwej informacji sprzedawcy gazu, co do części paliwa gazowego, które powinno być objęte taryfą, na zarządzających wspólnotami i spółdzielniami mieszkaniowymi będzie jednocześnie ciążył obowiązek złożenia takiego oświadczenia, lecz jego niedochowanie nie będzie miało negatywnych konsekwencji dla mieszkańców, a jedynie dla osób odpowiedzialnych za niewykonanie obowiązku. Dlatego niezłożenie oświadczenia przez ww. podmioty będzie wiązało się z odpowiedzialnością cywilną i karną.</w:t>
      </w:r>
    </w:p>
    <w:p w14:paraId="11A4165F" w14:textId="77777777"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W projekcie proponuje się rozszerzenie ochrony taryfowej na następujące podmioty: </w:t>
      </w:r>
    </w:p>
    <w:p w14:paraId="5EFAEA8A" w14:textId="384DA5FD"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podmioty </w:t>
      </w:r>
      <w:r w:rsidR="00937C24">
        <w:rPr>
          <w:rFonts w:ascii="Times New Roman" w:eastAsia="Calibri" w:hAnsi="Times New Roman" w:cs="Times New Roman"/>
          <w:sz w:val="24"/>
          <w:szCs w:val="24"/>
        </w:rPr>
        <w:t xml:space="preserve">udzielające </w:t>
      </w:r>
      <w:r w:rsidRPr="006B629D">
        <w:rPr>
          <w:rFonts w:ascii="Times New Roman" w:eastAsia="Calibri" w:hAnsi="Times New Roman" w:cs="Times New Roman"/>
          <w:sz w:val="24"/>
          <w:szCs w:val="24"/>
        </w:rPr>
        <w:t>świadcze</w:t>
      </w:r>
      <w:r w:rsidR="00937C24">
        <w:rPr>
          <w:rFonts w:ascii="Times New Roman" w:eastAsia="Calibri" w:hAnsi="Times New Roman" w:cs="Times New Roman"/>
          <w:sz w:val="24"/>
          <w:szCs w:val="24"/>
        </w:rPr>
        <w:t>ń</w:t>
      </w:r>
      <w:r w:rsidRPr="006B629D">
        <w:rPr>
          <w:rFonts w:ascii="Times New Roman" w:eastAsia="Calibri" w:hAnsi="Times New Roman" w:cs="Times New Roman"/>
          <w:sz w:val="24"/>
          <w:szCs w:val="24"/>
        </w:rPr>
        <w:t xml:space="preserve"> opieki </w:t>
      </w:r>
      <w:r w:rsidR="00FB6010">
        <w:rPr>
          <w:rFonts w:ascii="Times New Roman" w:eastAsia="Calibri" w:hAnsi="Times New Roman" w:cs="Times New Roman"/>
          <w:sz w:val="24"/>
          <w:szCs w:val="24"/>
        </w:rPr>
        <w:t>zdrowotnej finansowanych ze środków publicznych</w:t>
      </w:r>
      <w:r w:rsidRPr="006B629D">
        <w:rPr>
          <w:rFonts w:ascii="Times New Roman" w:eastAsia="Calibri" w:hAnsi="Times New Roman" w:cs="Times New Roman"/>
          <w:sz w:val="24"/>
          <w:szCs w:val="24"/>
        </w:rPr>
        <w:t>,</w:t>
      </w:r>
    </w:p>
    <w:p w14:paraId="5B049A88" w14:textId="5B872905"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jednostki organizacyjne pomocy społecznej w rozumieniu art. 6 pkt 5 ustawy z dnia </w:t>
      </w:r>
      <w:r w:rsidR="004E3A9F">
        <w:rPr>
          <w:rFonts w:ascii="Times New Roman" w:eastAsia="Calibri" w:hAnsi="Times New Roman" w:cs="Times New Roman"/>
          <w:sz w:val="24"/>
          <w:szCs w:val="24"/>
        </w:rPr>
        <w:br/>
      </w:r>
      <w:r w:rsidRPr="006B629D">
        <w:rPr>
          <w:rFonts w:ascii="Times New Roman" w:eastAsia="Calibri" w:hAnsi="Times New Roman" w:cs="Times New Roman"/>
          <w:sz w:val="24"/>
          <w:szCs w:val="24"/>
        </w:rPr>
        <w:t>12 marca 2004 r. o pomocy społecznej</w:t>
      </w:r>
      <w:r w:rsidR="001904FE">
        <w:rPr>
          <w:rFonts w:ascii="Times New Roman" w:eastAsia="Calibri" w:hAnsi="Times New Roman" w:cs="Times New Roman"/>
          <w:sz w:val="24"/>
          <w:szCs w:val="24"/>
        </w:rPr>
        <w:t xml:space="preserve"> </w:t>
      </w:r>
      <w:r w:rsidR="001904FE" w:rsidRPr="00B849A2">
        <w:rPr>
          <w:rFonts w:ascii="Times New Roman" w:hAnsi="Times New Roman" w:cs="Times New Roman"/>
          <w:sz w:val="24"/>
          <w:szCs w:val="24"/>
        </w:rPr>
        <w:t>(Dz. U. z 2021 r. poz. 2268</w:t>
      </w:r>
      <w:r w:rsidR="001904FE" w:rsidRPr="001904FE">
        <w:rPr>
          <w:rFonts w:ascii="Times New Roman" w:hAnsi="Times New Roman" w:cs="Times New Roman"/>
          <w:sz w:val="24"/>
          <w:szCs w:val="24"/>
        </w:rPr>
        <w:t>, z późn. zm.</w:t>
      </w:r>
      <w:r w:rsidR="001904FE" w:rsidRPr="00B849A2">
        <w:rPr>
          <w:rFonts w:ascii="Times New Roman" w:hAnsi="Times New Roman" w:cs="Times New Roman"/>
          <w:sz w:val="24"/>
          <w:szCs w:val="24"/>
        </w:rPr>
        <w:t>)</w:t>
      </w:r>
      <w:r w:rsidRPr="006B629D">
        <w:rPr>
          <w:rFonts w:ascii="Times New Roman" w:eastAsia="Calibri" w:hAnsi="Times New Roman" w:cs="Times New Roman"/>
          <w:sz w:val="24"/>
          <w:szCs w:val="24"/>
        </w:rPr>
        <w:t>,</w:t>
      </w:r>
    </w:p>
    <w:p w14:paraId="5AA92A8C" w14:textId="77777777"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noclegownie i ogrzewalnie, o których mowa w art. 48a ust. 3 i 4 ustawy z dnia 12 marca 2004 r. o pomocy społecznej, </w:t>
      </w:r>
    </w:p>
    <w:p w14:paraId="26D22037" w14:textId="7827B306"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jednostki organizacyjne wspierania rodziny i systemu pieczy zastępczej w rozumieniu art. 2 ust. 3 ustawy z dnia 9 czerwca 2011 r. o wspieraniu rodziny i systemie pieczy zastępczej</w:t>
      </w:r>
      <w:r w:rsidR="001904FE">
        <w:rPr>
          <w:rFonts w:ascii="Times New Roman" w:eastAsia="Calibri" w:hAnsi="Times New Roman" w:cs="Times New Roman"/>
          <w:sz w:val="24"/>
          <w:szCs w:val="24"/>
        </w:rPr>
        <w:t xml:space="preserve"> </w:t>
      </w:r>
      <w:r w:rsidR="001904FE" w:rsidRPr="00B849A2">
        <w:rPr>
          <w:rFonts w:ascii="Times New Roman" w:hAnsi="Times New Roman" w:cs="Times New Roman"/>
          <w:sz w:val="24"/>
          <w:szCs w:val="24"/>
        </w:rPr>
        <w:t>(Dz. U. z 2020 r. poz. 821, z późn. zm.)</w:t>
      </w:r>
      <w:r w:rsidRPr="006B629D">
        <w:rPr>
          <w:rFonts w:ascii="Times New Roman" w:eastAsia="Calibri" w:hAnsi="Times New Roman" w:cs="Times New Roman"/>
          <w:sz w:val="24"/>
          <w:szCs w:val="24"/>
        </w:rPr>
        <w:t>,</w:t>
      </w:r>
    </w:p>
    <w:p w14:paraId="662AB246" w14:textId="136D6D5B"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podmioty systemu oświaty, o których mowa w art. 2 ustawy z dnia 14 grudnia 2016 r. </w:t>
      </w:r>
      <w:r w:rsidR="000D2B72">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Prawo oświatowe</w:t>
      </w:r>
      <w:r w:rsidR="001904FE">
        <w:rPr>
          <w:rFonts w:ascii="Times New Roman" w:eastAsia="Calibri" w:hAnsi="Times New Roman" w:cs="Times New Roman"/>
          <w:sz w:val="24"/>
          <w:szCs w:val="24"/>
        </w:rPr>
        <w:t xml:space="preserve"> (Dz. U. z 2021 r. poz. 1082)</w:t>
      </w:r>
      <w:r w:rsidRPr="006B629D">
        <w:rPr>
          <w:rFonts w:ascii="Times New Roman" w:eastAsia="Calibri" w:hAnsi="Times New Roman" w:cs="Times New Roman"/>
          <w:sz w:val="24"/>
          <w:szCs w:val="24"/>
        </w:rPr>
        <w:t>,</w:t>
      </w:r>
    </w:p>
    <w:p w14:paraId="0F060E89" w14:textId="013FC422"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uczelnie w rozumieniu art. 9 ustawy z dnia 20 lipca 2018 r. Prawo o szkolnictwie wyższym i nauce (Dz. U. z 2021 r. poz. 478, </w:t>
      </w:r>
      <w:r w:rsidR="001904FE">
        <w:rPr>
          <w:rFonts w:ascii="Times New Roman" w:eastAsia="Calibri" w:hAnsi="Times New Roman" w:cs="Times New Roman"/>
          <w:sz w:val="24"/>
          <w:szCs w:val="24"/>
        </w:rPr>
        <w:t>z późn. zm.</w:t>
      </w:r>
      <w:r w:rsidRPr="006B629D">
        <w:rPr>
          <w:rFonts w:ascii="Times New Roman" w:eastAsia="Calibri" w:hAnsi="Times New Roman" w:cs="Times New Roman"/>
          <w:sz w:val="24"/>
          <w:szCs w:val="24"/>
        </w:rPr>
        <w:t>),</w:t>
      </w:r>
    </w:p>
    <w:p w14:paraId="76684ED8" w14:textId="25D452E9"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podmioty prowadzące żłobki i kluby dziecięce, o których mowa w ustawie z dnia </w:t>
      </w:r>
      <w:r w:rsidR="004E3A9F">
        <w:rPr>
          <w:rFonts w:ascii="Times New Roman" w:eastAsia="Calibri" w:hAnsi="Times New Roman" w:cs="Times New Roman"/>
          <w:sz w:val="24"/>
          <w:szCs w:val="24"/>
        </w:rPr>
        <w:br/>
      </w:r>
      <w:r w:rsidRPr="006B629D">
        <w:rPr>
          <w:rFonts w:ascii="Times New Roman" w:eastAsia="Calibri" w:hAnsi="Times New Roman" w:cs="Times New Roman"/>
          <w:sz w:val="24"/>
          <w:szCs w:val="24"/>
        </w:rPr>
        <w:t>4 lutego 2011 r. o opiece nad dziećmi w wieku do lat 3 (Dz. U. z 2021 r. poz. 75),</w:t>
      </w:r>
    </w:p>
    <w:p w14:paraId="1AA5B3B3" w14:textId="77777777"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kościoły i inne związki wyznaniowe, o których mowa w ustawie z dnia 17 maja 1989 r. o gwarancjach wolności sumienia i wyznania (Dz. U. z 2017 r. poz. 1153),</w:t>
      </w:r>
    </w:p>
    <w:p w14:paraId="61EB9DFC" w14:textId="77777777"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podmioty prowadzące działalność kulturalną w rozumieniu art. 1 ust. 1 ustawy z dnia 25 października 1991 r. o organizowaniu i prowadzeniu działalności kulturalnej (Dz. U. z 2020 r. poz. 194),</w:t>
      </w:r>
    </w:p>
    <w:p w14:paraId="2718C316" w14:textId="34C7AC7C" w:rsidR="006B629D" w:rsidRP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podmioty prowadzące działalność archiwalną, o której mowa w</w:t>
      </w:r>
      <w:r w:rsidR="000D2B72">
        <w:rPr>
          <w:rFonts w:ascii="Times New Roman" w:eastAsia="Calibri" w:hAnsi="Times New Roman" w:cs="Times New Roman"/>
          <w:sz w:val="24"/>
          <w:szCs w:val="24"/>
        </w:rPr>
        <w:t xml:space="preserve"> </w:t>
      </w:r>
      <w:r w:rsidRPr="006B629D">
        <w:rPr>
          <w:rFonts w:ascii="Times New Roman" w:eastAsia="Calibri" w:hAnsi="Times New Roman" w:cs="Times New Roman"/>
          <w:sz w:val="24"/>
          <w:szCs w:val="24"/>
        </w:rPr>
        <w:t>art. 22 ustawy z dnia 14 lipca 1983 r. o narodowym zasobie archiwalnym i archiwach (Dz. U. z 2020 r. poz. 164),</w:t>
      </w:r>
    </w:p>
    <w:p w14:paraId="7C00E41A" w14:textId="4DA4842A" w:rsidR="006B629D" w:rsidRDefault="006B629D" w:rsidP="009A0275">
      <w:pPr>
        <w:numPr>
          <w:ilvl w:val="1"/>
          <w:numId w:val="10"/>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lastRenderedPageBreak/>
        <w:t xml:space="preserve">ochotnicze straże pożarne w rozumieniu art. 1 ust. 1 ustawy z dnia 17 grudnia 2021 r. </w:t>
      </w:r>
      <w:r w:rsidR="004E3A9F">
        <w:rPr>
          <w:rFonts w:ascii="Times New Roman" w:eastAsia="Calibri" w:hAnsi="Times New Roman" w:cs="Times New Roman"/>
          <w:sz w:val="24"/>
          <w:szCs w:val="24"/>
        </w:rPr>
        <w:br/>
      </w:r>
      <w:r w:rsidRPr="006B629D">
        <w:rPr>
          <w:rFonts w:ascii="Times New Roman" w:eastAsia="Calibri" w:hAnsi="Times New Roman" w:cs="Times New Roman"/>
          <w:sz w:val="24"/>
          <w:szCs w:val="24"/>
        </w:rPr>
        <w:t>o ochotniczych strażach pożarnych (Dz. U.</w:t>
      </w:r>
      <w:r w:rsidR="000D2B72">
        <w:rPr>
          <w:rFonts w:ascii="Times New Roman" w:eastAsia="Calibri" w:hAnsi="Times New Roman" w:cs="Times New Roman"/>
          <w:sz w:val="24"/>
          <w:szCs w:val="24"/>
        </w:rPr>
        <w:t xml:space="preserve"> </w:t>
      </w:r>
      <w:r w:rsidRPr="006B629D">
        <w:rPr>
          <w:rFonts w:ascii="Times New Roman" w:eastAsia="Calibri" w:hAnsi="Times New Roman" w:cs="Times New Roman"/>
          <w:sz w:val="24"/>
          <w:szCs w:val="24"/>
        </w:rPr>
        <w:t>poz. 2490).</w:t>
      </w:r>
    </w:p>
    <w:p w14:paraId="7CA9D739" w14:textId="77777777" w:rsidR="00E979D0" w:rsidRPr="006B629D" w:rsidRDefault="00E979D0" w:rsidP="00E979D0">
      <w:pPr>
        <w:spacing w:after="160" w:line="360" w:lineRule="auto"/>
        <w:ind w:left="363"/>
        <w:contextualSpacing/>
        <w:jc w:val="both"/>
        <w:rPr>
          <w:rFonts w:ascii="Times New Roman" w:eastAsia="Calibri" w:hAnsi="Times New Roman" w:cs="Times New Roman"/>
          <w:sz w:val="24"/>
          <w:szCs w:val="24"/>
        </w:rPr>
      </w:pPr>
    </w:p>
    <w:p w14:paraId="493BB3BA" w14:textId="762207C3"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Rozszerzenie ochrony taryfowej uzasadnione jest szczególnymi zadaniami realizowanymi przez ww</w:t>
      </w:r>
      <w:r w:rsidR="00523533">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podmioty oraz szczególnie dotkliwymi skutkami wzrostu cen gazu ziemnego dla możliwości realizacji zadań z zakresu użyteczności publicznej. W celu uzyskania ochrony taryfowej konieczne będzie jednak złożenie przez te podmioty oświadczenia dotyczącego określeni</w:t>
      </w:r>
      <w:r w:rsidR="00523533">
        <w:rPr>
          <w:rFonts w:ascii="Times New Roman" w:eastAsia="Calibri" w:hAnsi="Times New Roman" w:cs="Times New Roman"/>
          <w:sz w:val="24"/>
          <w:szCs w:val="24"/>
        </w:rPr>
        <w:t>a</w:t>
      </w:r>
      <w:r w:rsidRPr="006B629D">
        <w:rPr>
          <w:rFonts w:ascii="Times New Roman" w:eastAsia="Calibri" w:hAnsi="Times New Roman" w:cs="Times New Roman"/>
          <w:sz w:val="24"/>
          <w:szCs w:val="24"/>
        </w:rPr>
        <w:t xml:space="preserve"> </w:t>
      </w:r>
      <w:r w:rsidR="001E78F2">
        <w:rPr>
          <w:rFonts w:ascii="Times New Roman" w:eastAsia="Calibri" w:hAnsi="Times New Roman" w:cs="Times New Roman"/>
          <w:sz w:val="24"/>
          <w:szCs w:val="24"/>
        </w:rPr>
        <w:t xml:space="preserve">szacowanej </w:t>
      </w:r>
      <w:r w:rsidRPr="006B629D">
        <w:rPr>
          <w:rFonts w:ascii="Times New Roman" w:eastAsia="Calibri" w:hAnsi="Times New Roman" w:cs="Times New Roman"/>
          <w:sz w:val="24"/>
          <w:szCs w:val="24"/>
        </w:rPr>
        <w:t xml:space="preserve">części paliwa gazowego </w:t>
      </w:r>
      <w:r w:rsidR="001E78F2" w:rsidRPr="006B629D">
        <w:rPr>
          <w:rFonts w:ascii="Times New Roman" w:eastAsia="Calibri" w:hAnsi="Times New Roman" w:cs="Times New Roman"/>
          <w:sz w:val="24"/>
          <w:szCs w:val="24"/>
        </w:rPr>
        <w:t>zużywane</w:t>
      </w:r>
      <w:r w:rsidR="001E78F2">
        <w:rPr>
          <w:rFonts w:ascii="Times New Roman" w:eastAsia="Calibri" w:hAnsi="Times New Roman" w:cs="Times New Roman"/>
          <w:sz w:val="24"/>
          <w:szCs w:val="24"/>
        </w:rPr>
        <w:t xml:space="preserve">j </w:t>
      </w:r>
      <w:r w:rsidRPr="006B629D">
        <w:rPr>
          <w:rFonts w:ascii="Times New Roman" w:eastAsia="Calibri" w:hAnsi="Times New Roman" w:cs="Times New Roman"/>
          <w:sz w:val="24"/>
          <w:szCs w:val="24"/>
        </w:rPr>
        <w:t>na cele objęte ochroną taryfową oraz wyłączone</w:t>
      </w:r>
      <w:r w:rsidR="001E78F2">
        <w:rPr>
          <w:rFonts w:ascii="Times New Roman" w:eastAsia="Calibri" w:hAnsi="Times New Roman" w:cs="Times New Roman"/>
          <w:sz w:val="24"/>
          <w:szCs w:val="24"/>
        </w:rPr>
        <w:t>j</w:t>
      </w:r>
      <w:r w:rsidRPr="006B629D">
        <w:rPr>
          <w:rFonts w:ascii="Times New Roman" w:eastAsia="Calibri" w:hAnsi="Times New Roman" w:cs="Times New Roman"/>
          <w:sz w:val="24"/>
          <w:szCs w:val="24"/>
        </w:rPr>
        <w:t xml:space="preserve"> spod administracyjnej kontroli cen.</w:t>
      </w:r>
    </w:p>
    <w:p w14:paraId="126AD132" w14:textId="379A79A3"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W przypadku podmiotów, które z mocy ustawy, umowy lub innego tytułu prawnego są uprawnione lub zobowiązane do zapewnienia paliwa gazowego w lokalach mieszkalnych</w:t>
      </w:r>
      <w:r w:rsidR="001E78F2">
        <w:rPr>
          <w:rFonts w:ascii="Times New Roman" w:eastAsia="Calibri" w:hAnsi="Times New Roman" w:cs="Times New Roman"/>
          <w:sz w:val="24"/>
          <w:szCs w:val="24"/>
        </w:rPr>
        <w:t xml:space="preserve"> </w:t>
      </w:r>
      <w:r w:rsidRPr="006B629D">
        <w:rPr>
          <w:rFonts w:ascii="Times New Roman" w:eastAsia="Calibri" w:hAnsi="Times New Roman" w:cs="Times New Roman"/>
          <w:sz w:val="24"/>
          <w:szCs w:val="24"/>
        </w:rPr>
        <w:t xml:space="preserve">na potrzeby zużycia przez gospodarstwa domowe, w lokalach podmiotów użyteczności publicznej wymienionych powyżej, w zakresie w jakim zużywają paliwo gazowe na potrzeby związane </w:t>
      </w:r>
      <w:r w:rsidR="001E78F2">
        <w:rPr>
          <w:rFonts w:ascii="Times New Roman" w:eastAsia="Calibri" w:hAnsi="Times New Roman" w:cs="Times New Roman"/>
          <w:sz w:val="24"/>
          <w:szCs w:val="24"/>
        </w:rPr>
        <w:t xml:space="preserve">z ich działalnością </w:t>
      </w:r>
      <w:r w:rsidRPr="006B629D">
        <w:rPr>
          <w:rFonts w:ascii="Times New Roman" w:eastAsia="Calibri" w:hAnsi="Times New Roman" w:cs="Times New Roman"/>
          <w:sz w:val="24"/>
          <w:szCs w:val="24"/>
        </w:rPr>
        <w:t xml:space="preserve">lub do lokalnej produkcji ciepła zużywanego w gospodarstwach domowych znajdujących się w budynkach wielolokalowych lub lokalach podmiotów użyteczności publicznej, ochrona taryfowa </w:t>
      </w:r>
      <w:r w:rsidR="001E78F2" w:rsidRPr="006B629D">
        <w:rPr>
          <w:rFonts w:ascii="Times New Roman" w:eastAsia="Calibri" w:hAnsi="Times New Roman" w:cs="Times New Roman"/>
          <w:sz w:val="24"/>
          <w:szCs w:val="24"/>
        </w:rPr>
        <w:t xml:space="preserve">będzie </w:t>
      </w:r>
      <w:r w:rsidRPr="006B629D">
        <w:rPr>
          <w:rFonts w:ascii="Times New Roman" w:eastAsia="Calibri" w:hAnsi="Times New Roman" w:cs="Times New Roman"/>
          <w:sz w:val="24"/>
          <w:szCs w:val="24"/>
        </w:rPr>
        <w:t>również uzależniona od złożenia oświadczenia.</w:t>
      </w:r>
      <w:r w:rsidR="0031594A" w:rsidRPr="0031594A">
        <w:t xml:space="preserve"> </w:t>
      </w:r>
      <w:r w:rsidR="0031594A" w:rsidRPr="0031594A">
        <w:rPr>
          <w:rFonts w:ascii="Times New Roman" w:eastAsia="Calibri" w:hAnsi="Times New Roman" w:cs="Times New Roman"/>
          <w:sz w:val="24"/>
          <w:szCs w:val="24"/>
        </w:rPr>
        <w:t>Przy czym przez lokalną produkcję nie należy rozumieć wytwarzani</w:t>
      </w:r>
      <w:r w:rsidR="001E78F2">
        <w:rPr>
          <w:rFonts w:ascii="Times New Roman" w:eastAsia="Calibri" w:hAnsi="Times New Roman" w:cs="Times New Roman"/>
          <w:sz w:val="24"/>
          <w:szCs w:val="24"/>
        </w:rPr>
        <w:t>e</w:t>
      </w:r>
      <w:r w:rsidR="0031594A" w:rsidRPr="0031594A">
        <w:rPr>
          <w:rFonts w:ascii="Times New Roman" w:eastAsia="Calibri" w:hAnsi="Times New Roman" w:cs="Times New Roman"/>
          <w:sz w:val="24"/>
          <w:szCs w:val="24"/>
        </w:rPr>
        <w:t xml:space="preserve"> ciepła w ciepłowniach i elektrociepłowniach </w:t>
      </w:r>
      <w:r w:rsidR="00B93B0D">
        <w:rPr>
          <w:rFonts w:ascii="Times New Roman" w:eastAsia="Calibri" w:hAnsi="Times New Roman" w:cs="Times New Roman"/>
          <w:sz w:val="24"/>
          <w:szCs w:val="24"/>
        </w:rPr>
        <w:t>na potrzeby sieci c</w:t>
      </w:r>
      <w:r w:rsidR="00B93B0D" w:rsidRPr="00194521">
        <w:rPr>
          <w:rFonts w:ascii="Times New Roman" w:eastAsia="Calibri" w:hAnsi="Times New Roman" w:cs="Times New Roman"/>
          <w:sz w:val="24"/>
          <w:szCs w:val="24"/>
        </w:rPr>
        <w:t>iepłowniczej, jak również w ramach niezależnie prowadzonej działalności gospodarczej.</w:t>
      </w:r>
    </w:p>
    <w:p w14:paraId="0140C46C" w14:textId="77B5891D" w:rsidR="0088404B" w:rsidRDefault="0088404B" w:rsidP="009A0275">
      <w:pPr>
        <w:spacing w:after="160" w:line="360" w:lineRule="auto"/>
        <w:jc w:val="both"/>
        <w:rPr>
          <w:rFonts w:ascii="Times New Roman" w:eastAsia="Calibri" w:hAnsi="Times New Roman" w:cs="Times New Roman"/>
          <w:sz w:val="24"/>
          <w:szCs w:val="24"/>
        </w:rPr>
      </w:pPr>
      <w:r w:rsidRPr="0088404B">
        <w:rPr>
          <w:rFonts w:ascii="Times New Roman" w:eastAsia="Calibri" w:hAnsi="Times New Roman" w:cs="Times New Roman"/>
          <w:sz w:val="24"/>
          <w:szCs w:val="24"/>
        </w:rPr>
        <w:t>W sytuacjach, w których odbiorca byłby zobowiązany do złożenia zarówno oświadczenia jako uprawniony lub zobowiązany do zapewnienia paliwa gazowego dla innych podmiotów, jak i jako podmiot chroniony we własnym imieniu, należy uznać, że wykonanie pierwszego obowiązku czyni ten drugi bezprzedmiotowym. Zatem wystarczające będzie złożenie jedynie oświadczenia jako odbiorca zapewniający paliwo innym podmiotom, w którym wskazane zostaną części paliwa gazowego przeznaczone na zużycie własne</w:t>
      </w:r>
      <w:r w:rsidR="00810A0A">
        <w:rPr>
          <w:rFonts w:ascii="Times New Roman" w:eastAsia="Calibri" w:hAnsi="Times New Roman" w:cs="Times New Roman"/>
          <w:sz w:val="24"/>
          <w:szCs w:val="24"/>
        </w:rPr>
        <w:t>,</w:t>
      </w:r>
      <w:r w:rsidRPr="0088404B">
        <w:rPr>
          <w:rFonts w:ascii="Times New Roman" w:eastAsia="Calibri" w:hAnsi="Times New Roman" w:cs="Times New Roman"/>
          <w:sz w:val="24"/>
          <w:szCs w:val="24"/>
        </w:rPr>
        <w:t xml:space="preserve"> jako podmiotu chronionego, zużycie innych podmiotów chronionych oraz zużycie niepodlegające ochronie.</w:t>
      </w:r>
    </w:p>
    <w:p w14:paraId="26E830D9" w14:textId="127601DA"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Ww. oświadczenia powinny być składane przed zawarciem ze sprzedawcą paliw gazowych umowy sprzedaży paliwa gazowego lub umowy kompleksowej. W odniesieniu do umów obowiązujących w dniu wejścia w życie projektowanej ustawy przewidziano 45-dniowy termin na złożenie tego oświadczenia w celu uzyskania ceny odpowiadającej taryfie z mocą od 1 stycznia 2022 r.</w:t>
      </w:r>
    </w:p>
    <w:p w14:paraId="7C639925" w14:textId="5431D393" w:rsidR="00810A0A"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Oświadczenia składane są pod rygorem odpowiedzialności karnej za składanie fałszywych oświadczeń. </w:t>
      </w:r>
    </w:p>
    <w:p w14:paraId="34A6CBD3" w14:textId="168E7DE7" w:rsidR="006B629D" w:rsidRPr="006B629D" w:rsidRDefault="00810A0A" w:rsidP="009A0275">
      <w:pPr>
        <w:spacing w:after="16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W</w:t>
      </w:r>
      <w:r w:rsidR="006B629D" w:rsidRPr="006B629D">
        <w:rPr>
          <w:rFonts w:ascii="Times New Roman" w:eastAsia="Calibri" w:hAnsi="Times New Roman" w:cs="Times New Roman"/>
          <w:sz w:val="24"/>
          <w:szCs w:val="24"/>
        </w:rPr>
        <w:t xml:space="preserve">zory </w:t>
      </w:r>
      <w:r>
        <w:rPr>
          <w:rFonts w:ascii="Times New Roman" w:eastAsia="Calibri" w:hAnsi="Times New Roman" w:cs="Times New Roman"/>
          <w:sz w:val="24"/>
          <w:szCs w:val="24"/>
        </w:rPr>
        <w:t xml:space="preserve">oświadczeń </w:t>
      </w:r>
      <w:r w:rsidR="006B629D" w:rsidRPr="006B629D">
        <w:rPr>
          <w:rFonts w:ascii="Times New Roman" w:eastAsia="Calibri" w:hAnsi="Times New Roman" w:cs="Times New Roman"/>
          <w:sz w:val="24"/>
          <w:szCs w:val="24"/>
        </w:rPr>
        <w:t>określi minister właściwy do spraw energii, w drodze rozporządzenia, mając na względzie zapewnienie przejrzystości i komunikatywności tych oświadczeń oraz potrzebę ujednolicenia ich formy.</w:t>
      </w:r>
    </w:p>
    <w:p w14:paraId="7DE63311" w14:textId="7380D60A" w:rsidR="006B629D" w:rsidRPr="006B629D" w:rsidRDefault="006B629D" w:rsidP="000F3624">
      <w:pPr>
        <w:keepNext/>
        <w:keepLines/>
        <w:spacing w:after="160" w:line="360" w:lineRule="auto"/>
        <w:ind w:left="720"/>
        <w:contextualSpacing/>
        <w:jc w:val="both"/>
        <w:rPr>
          <w:rFonts w:ascii="Times New Roman" w:eastAsia="Calibri" w:hAnsi="Times New Roman" w:cs="Times New Roman"/>
          <w:b/>
          <w:sz w:val="24"/>
          <w:szCs w:val="24"/>
        </w:rPr>
      </w:pPr>
      <w:r w:rsidRPr="006B629D">
        <w:rPr>
          <w:rFonts w:ascii="Times New Roman" w:eastAsia="Calibri" w:hAnsi="Times New Roman" w:cs="Times New Roman"/>
          <w:b/>
          <w:sz w:val="24"/>
          <w:szCs w:val="24"/>
        </w:rPr>
        <w:t>Opis mechanizmu zamrożenia cen</w:t>
      </w:r>
    </w:p>
    <w:p w14:paraId="03421614" w14:textId="443011E5"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W projekcie przewidziano zamrożenie cen paliw gazowych na poziomie cen zawartych </w:t>
      </w:r>
      <w:r w:rsidR="004E3A9F">
        <w:rPr>
          <w:rFonts w:ascii="Times New Roman" w:eastAsia="Calibri" w:hAnsi="Times New Roman" w:cs="Times New Roman"/>
          <w:sz w:val="24"/>
          <w:szCs w:val="24"/>
        </w:rPr>
        <w:br/>
      </w:r>
      <w:r w:rsidRPr="006B629D">
        <w:rPr>
          <w:rFonts w:ascii="Times New Roman" w:eastAsia="Calibri" w:hAnsi="Times New Roman" w:cs="Times New Roman"/>
          <w:sz w:val="24"/>
          <w:szCs w:val="24"/>
        </w:rPr>
        <w:t xml:space="preserve">w taryfie sprzedawcy z urzędu (art. 62c ust. 1 ustawy – Prawo energetyczne), ustalonej na podstawie 62f ustawy – Prawo energetyczne na okres od 1 stycznia do 31 grudnia 2022 r. Jednocześnie cena ta ma charakter ceny maksymalnej, co oznacza, że </w:t>
      </w:r>
      <w:r w:rsidR="00B93B0D">
        <w:rPr>
          <w:rFonts w:ascii="Times New Roman" w:eastAsia="Calibri" w:hAnsi="Times New Roman" w:cs="Times New Roman"/>
          <w:sz w:val="24"/>
          <w:szCs w:val="24"/>
        </w:rPr>
        <w:t>wobec</w:t>
      </w:r>
      <w:r w:rsidR="00B93B0D" w:rsidRPr="006B629D">
        <w:rPr>
          <w:rFonts w:ascii="Times New Roman" w:eastAsia="Calibri" w:hAnsi="Times New Roman" w:cs="Times New Roman"/>
          <w:sz w:val="24"/>
          <w:szCs w:val="24"/>
        </w:rPr>
        <w:t xml:space="preserve"> </w:t>
      </w:r>
      <w:r w:rsidRPr="006B629D">
        <w:rPr>
          <w:rFonts w:ascii="Times New Roman" w:eastAsia="Calibri" w:hAnsi="Times New Roman" w:cs="Times New Roman"/>
          <w:sz w:val="24"/>
          <w:szCs w:val="24"/>
        </w:rPr>
        <w:t>odbiorc</w:t>
      </w:r>
      <w:r w:rsidR="00B93B0D">
        <w:rPr>
          <w:rFonts w:ascii="Times New Roman" w:eastAsia="Calibri" w:hAnsi="Times New Roman" w:cs="Times New Roman"/>
          <w:sz w:val="24"/>
          <w:szCs w:val="24"/>
        </w:rPr>
        <w:t>ów</w:t>
      </w:r>
      <w:r w:rsidRPr="006B629D">
        <w:rPr>
          <w:rFonts w:ascii="Times New Roman" w:eastAsia="Calibri" w:hAnsi="Times New Roman" w:cs="Times New Roman"/>
          <w:sz w:val="24"/>
          <w:szCs w:val="24"/>
        </w:rPr>
        <w:t xml:space="preserve">, którzy wcześniej zawarli umowę z dostawcą, przewidującą niższą cenę, stosuje się tą niższą cenę do czasu wygaśnięcia umowy. Również w przypadku, gdyby w trakcie 2022 roku doszło do obniżek cen i przedsiębiorcy zaczęliby oferować ceny niższe niż w taryfie sprzedawcy </w:t>
      </w:r>
      <w:r w:rsidR="00E751DD">
        <w:rPr>
          <w:rFonts w:ascii="Times New Roman" w:eastAsia="Calibri" w:hAnsi="Times New Roman" w:cs="Times New Roman"/>
          <w:sz w:val="24"/>
          <w:szCs w:val="24"/>
        </w:rPr>
        <w:br/>
      </w:r>
      <w:r w:rsidRPr="006B629D">
        <w:rPr>
          <w:rFonts w:ascii="Times New Roman" w:eastAsia="Calibri" w:hAnsi="Times New Roman" w:cs="Times New Roman"/>
          <w:sz w:val="24"/>
          <w:szCs w:val="24"/>
        </w:rPr>
        <w:t>z urzędu, to zastosowanie będą miały te niższe ceny.</w:t>
      </w:r>
    </w:p>
    <w:p w14:paraId="1955BD55" w14:textId="6B205850"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Jednocześnie projektowane rozwiązania wykluczają możliwość podwyższenia cen i stawek taryfowych paliwa gazowego w 2022 roku. Sprzedawcy gazu, którzy nie zastosują się obowiązku stosowania zamrożonych cen i stawek, będą podlegać karze pieniężnej w wysokości nie niższej niż 1 mln zł i nie wyższej niż 15% przychodu ukaranego przedsiębiorstwa</w:t>
      </w:r>
      <w:r w:rsidR="00810A0A">
        <w:rPr>
          <w:rFonts w:ascii="Times New Roman" w:eastAsia="Calibri" w:hAnsi="Times New Roman" w:cs="Times New Roman"/>
          <w:sz w:val="24"/>
          <w:szCs w:val="24"/>
        </w:rPr>
        <w:t>.</w:t>
      </w:r>
    </w:p>
    <w:p w14:paraId="094D24F9" w14:textId="510AC168" w:rsidR="006B629D" w:rsidRPr="006B629D" w:rsidRDefault="006B629D" w:rsidP="009A0275">
      <w:pPr>
        <w:spacing w:after="160" w:line="360" w:lineRule="auto"/>
        <w:ind w:left="720"/>
        <w:contextualSpacing/>
        <w:jc w:val="both"/>
        <w:rPr>
          <w:rFonts w:ascii="Times New Roman" w:eastAsia="Calibri" w:hAnsi="Times New Roman" w:cs="Times New Roman"/>
          <w:sz w:val="24"/>
          <w:szCs w:val="24"/>
        </w:rPr>
      </w:pPr>
      <w:r w:rsidRPr="006B629D">
        <w:rPr>
          <w:rFonts w:ascii="Times New Roman" w:eastAsia="Calibri" w:hAnsi="Times New Roman" w:cs="Times New Roman"/>
          <w:b/>
          <w:sz w:val="24"/>
          <w:szCs w:val="24"/>
        </w:rPr>
        <w:t>System rekompensat</w:t>
      </w:r>
    </w:p>
    <w:p w14:paraId="6F902CAF" w14:textId="30A036A5"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W związku z zastosowaniem przez przedsiębiorstwo energetyczne mechanizmu rozłożenia </w:t>
      </w:r>
      <w:r w:rsidR="004E3A9F">
        <w:rPr>
          <w:rFonts w:ascii="Times New Roman" w:eastAsia="Calibri" w:hAnsi="Times New Roman" w:cs="Times New Roman"/>
          <w:sz w:val="24"/>
          <w:szCs w:val="24"/>
        </w:rPr>
        <w:br/>
      </w:r>
      <w:r w:rsidRPr="006B629D">
        <w:rPr>
          <w:rFonts w:ascii="Times New Roman" w:eastAsia="Calibri" w:hAnsi="Times New Roman" w:cs="Times New Roman"/>
          <w:sz w:val="24"/>
          <w:szCs w:val="24"/>
        </w:rPr>
        <w:t>w czasie wzrostu cen taryfowych gazu ziemnego</w:t>
      </w:r>
      <w:r w:rsidR="004C112D">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w przypadku odbiorców w gospodarstwach domowych (art. 62f</w:t>
      </w:r>
      <w:r w:rsidR="004C112D">
        <w:rPr>
          <w:rFonts w:ascii="Times New Roman" w:eastAsia="Calibri" w:hAnsi="Times New Roman" w:cs="Times New Roman"/>
          <w:sz w:val="24"/>
          <w:szCs w:val="24"/>
        </w:rPr>
        <w:t xml:space="preserve"> </w:t>
      </w:r>
      <w:r w:rsidR="004C112D" w:rsidRPr="006B629D">
        <w:rPr>
          <w:rFonts w:ascii="Times New Roman" w:eastAsia="Calibri" w:hAnsi="Times New Roman" w:cs="Times New Roman"/>
          <w:sz w:val="24"/>
          <w:szCs w:val="24"/>
        </w:rPr>
        <w:t>ustawy – Prawo energetyczne</w:t>
      </w:r>
      <w:r w:rsidRPr="006B629D">
        <w:rPr>
          <w:rFonts w:ascii="Times New Roman" w:eastAsia="Calibri" w:hAnsi="Times New Roman" w:cs="Times New Roman"/>
          <w:sz w:val="24"/>
          <w:szCs w:val="24"/>
        </w:rPr>
        <w:t>)</w:t>
      </w:r>
      <w:r w:rsidR="004C112D">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projektodawca przewidział w tym zakresie rekompensatę przysługującą przedsiębiorstwu energetycznemu za każdy miesiąc kalendarzowy począwszy od dnia wprowadzenia przez podmiot uprawniony do stosowania taryfy skalkulowanej na zasadach określonych w art. 62f</w:t>
      </w:r>
      <w:r w:rsidR="004C112D">
        <w:rPr>
          <w:rFonts w:ascii="Times New Roman" w:eastAsia="Calibri" w:hAnsi="Times New Roman" w:cs="Times New Roman"/>
          <w:sz w:val="24"/>
          <w:szCs w:val="24"/>
        </w:rPr>
        <w:t xml:space="preserve"> ww. ustawy</w:t>
      </w:r>
      <w:r w:rsidRPr="006B629D">
        <w:rPr>
          <w:rFonts w:ascii="Times New Roman" w:eastAsia="Calibri" w:hAnsi="Times New Roman" w:cs="Times New Roman"/>
          <w:sz w:val="24"/>
          <w:szCs w:val="24"/>
        </w:rPr>
        <w:t xml:space="preserve">. </w:t>
      </w:r>
    </w:p>
    <w:p w14:paraId="090F39AD" w14:textId="77777777"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Rekompensata składa się z dwóch komponentów: </w:t>
      </w:r>
    </w:p>
    <w:p w14:paraId="28245E51" w14:textId="770F372C" w:rsidR="006B629D" w:rsidRPr="006B629D" w:rsidRDefault="006B629D" w:rsidP="009A0275">
      <w:pPr>
        <w:numPr>
          <w:ilvl w:val="0"/>
          <w:numId w:val="12"/>
        </w:numPr>
        <w:shd w:val="clear" w:color="auto" w:fill="FFFFFF"/>
        <w:spacing w:before="120" w:after="0" w:line="360" w:lineRule="auto"/>
        <w:ind w:left="1134" w:hanging="567"/>
        <w:contextualSpacing/>
        <w:jc w:val="both"/>
        <w:rPr>
          <w:rFonts w:ascii="Times New Roman" w:eastAsia="Times New Roman" w:hAnsi="Times New Roman" w:cs="Times New Roman"/>
          <w:sz w:val="24"/>
          <w:szCs w:val="24"/>
          <w:lang w:eastAsia="pl-PL"/>
        </w:rPr>
      </w:pPr>
      <w:r w:rsidRPr="006B629D">
        <w:rPr>
          <w:rFonts w:ascii="Times New Roman" w:eastAsia="Times New Roman" w:hAnsi="Times New Roman" w:cs="Times New Roman"/>
          <w:sz w:val="24"/>
          <w:szCs w:val="24"/>
          <w:lang w:eastAsia="pl-PL"/>
        </w:rPr>
        <w:t xml:space="preserve">faktycznych kosztów zakupu paliwa gazowego poniesionych dla dostaw na poczet odbiorców w gospodarstwach domowych w miesiącu poprzedzającym miesiąc złożenia wniosku o wypłatę rekompensaty, pomniejszonych o koszty uzasadnione w kosztach przyjętych do kalkulacji taryfy zgodnie z art. 62f </w:t>
      </w:r>
      <w:r w:rsidR="004C112D">
        <w:rPr>
          <w:rFonts w:ascii="Times New Roman" w:eastAsia="Times New Roman" w:hAnsi="Times New Roman" w:cs="Times New Roman"/>
          <w:sz w:val="24"/>
          <w:szCs w:val="24"/>
          <w:lang w:eastAsia="pl-PL"/>
        </w:rPr>
        <w:t xml:space="preserve">ww. ustawy </w:t>
      </w:r>
      <w:r w:rsidRPr="006B629D">
        <w:rPr>
          <w:rFonts w:ascii="Times New Roman" w:eastAsia="Times New Roman" w:hAnsi="Times New Roman" w:cs="Times New Roman"/>
          <w:sz w:val="24"/>
          <w:szCs w:val="24"/>
          <w:lang w:eastAsia="pl-PL"/>
        </w:rPr>
        <w:t xml:space="preserve">oraz </w:t>
      </w:r>
      <w:r w:rsidR="00E751DD">
        <w:rPr>
          <w:rFonts w:ascii="Times New Roman" w:eastAsia="Times New Roman" w:hAnsi="Times New Roman" w:cs="Times New Roman"/>
          <w:sz w:val="24"/>
          <w:szCs w:val="24"/>
          <w:lang w:eastAsia="pl-PL"/>
        </w:rPr>
        <w:br/>
      </w:r>
      <w:r w:rsidRPr="006B629D">
        <w:rPr>
          <w:rFonts w:ascii="Times New Roman" w:eastAsia="Times New Roman" w:hAnsi="Times New Roman" w:cs="Times New Roman"/>
          <w:sz w:val="24"/>
          <w:szCs w:val="24"/>
          <w:lang w:eastAsia="pl-PL"/>
        </w:rPr>
        <w:lastRenderedPageBreak/>
        <w:t>o kwotę zaliczki na poczet rekompensaty, ustalonej zgodnie z pkt. 2, a która została wypłacona podmiotowi uprawnionemu na poczet miesiąca poprzedzającego miesiąc złożenia wniosku o rekompensatę,</w:t>
      </w:r>
    </w:p>
    <w:p w14:paraId="1643134F" w14:textId="0F9755EB" w:rsidR="006B629D" w:rsidRPr="006B629D" w:rsidRDefault="006B629D" w:rsidP="009A0275">
      <w:pPr>
        <w:numPr>
          <w:ilvl w:val="0"/>
          <w:numId w:val="12"/>
        </w:numPr>
        <w:shd w:val="clear" w:color="auto" w:fill="FFFFFF"/>
        <w:spacing w:before="120" w:after="0" w:line="360" w:lineRule="auto"/>
        <w:ind w:left="1134" w:hanging="567"/>
        <w:contextualSpacing/>
        <w:jc w:val="both"/>
        <w:rPr>
          <w:rFonts w:ascii="Times New Roman" w:eastAsia="Times New Roman" w:hAnsi="Times New Roman" w:cs="Times New Roman"/>
          <w:sz w:val="24"/>
          <w:szCs w:val="24"/>
          <w:lang w:eastAsia="pl-PL"/>
        </w:rPr>
      </w:pPr>
      <w:r w:rsidRPr="006B629D">
        <w:rPr>
          <w:rFonts w:ascii="Times New Roman" w:eastAsia="Times New Roman" w:hAnsi="Times New Roman" w:cs="Times New Roman"/>
          <w:sz w:val="24"/>
          <w:szCs w:val="24"/>
          <w:lang w:eastAsia="pl-PL"/>
        </w:rPr>
        <w:t xml:space="preserve">zaliczki na poczet rekompensaty należnej za miesiąc następujący po miesiącu złożenia wniosku o wypłatę rekompensaty, w kwocie stanowiącej różnicę pomiędzy kosztami planowanymi do poniesienia przez podmiot uprawniony </w:t>
      </w:r>
      <w:r w:rsidR="004E3A9F">
        <w:rPr>
          <w:rFonts w:ascii="Times New Roman" w:eastAsia="Times New Roman" w:hAnsi="Times New Roman" w:cs="Times New Roman"/>
          <w:sz w:val="24"/>
          <w:szCs w:val="24"/>
          <w:lang w:eastAsia="pl-PL"/>
        </w:rPr>
        <w:br/>
      </w:r>
      <w:r w:rsidRPr="006B629D">
        <w:rPr>
          <w:rFonts w:ascii="Times New Roman" w:eastAsia="Times New Roman" w:hAnsi="Times New Roman" w:cs="Times New Roman"/>
          <w:sz w:val="24"/>
          <w:szCs w:val="24"/>
          <w:lang w:eastAsia="pl-PL"/>
        </w:rPr>
        <w:t xml:space="preserve">w miesiącu następującym po miesiącu złożenia wniosku o wypłatę rekompensaty </w:t>
      </w:r>
      <w:r w:rsidR="004E3A9F">
        <w:rPr>
          <w:rFonts w:ascii="Times New Roman" w:eastAsia="Times New Roman" w:hAnsi="Times New Roman" w:cs="Times New Roman"/>
          <w:sz w:val="24"/>
          <w:szCs w:val="24"/>
          <w:lang w:eastAsia="pl-PL"/>
        </w:rPr>
        <w:br/>
      </w:r>
      <w:r w:rsidRPr="006B629D">
        <w:rPr>
          <w:rFonts w:ascii="Times New Roman" w:eastAsia="Times New Roman" w:hAnsi="Times New Roman" w:cs="Times New Roman"/>
          <w:sz w:val="24"/>
          <w:szCs w:val="24"/>
          <w:lang w:eastAsia="pl-PL"/>
        </w:rPr>
        <w:t xml:space="preserve">a kosztami uzasadnionymi w kosztach przyjętych do kalkulacji taryfy zgodnie </w:t>
      </w:r>
      <w:r w:rsidR="00E751DD">
        <w:rPr>
          <w:rFonts w:ascii="Times New Roman" w:eastAsia="Times New Roman" w:hAnsi="Times New Roman" w:cs="Times New Roman"/>
          <w:sz w:val="24"/>
          <w:szCs w:val="24"/>
          <w:lang w:eastAsia="pl-PL"/>
        </w:rPr>
        <w:br/>
      </w:r>
      <w:r w:rsidRPr="006B629D">
        <w:rPr>
          <w:rFonts w:ascii="Times New Roman" w:eastAsia="Times New Roman" w:hAnsi="Times New Roman" w:cs="Times New Roman"/>
          <w:sz w:val="24"/>
          <w:szCs w:val="24"/>
          <w:lang w:eastAsia="pl-PL"/>
        </w:rPr>
        <w:t xml:space="preserve">z art. </w:t>
      </w:r>
      <w:r w:rsidRPr="006B629D">
        <w:rPr>
          <w:rFonts w:ascii="Times New Roman" w:eastAsia="Calibri" w:hAnsi="Times New Roman" w:cs="Times New Roman"/>
          <w:sz w:val="24"/>
          <w:szCs w:val="24"/>
        </w:rPr>
        <w:t>62f</w:t>
      </w:r>
      <w:r w:rsidR="004C112D">
        <w:rPr>
          <w:rFonts w:ascii="Times New Roman" w:eastAsia="Calibri" w:hAnsi="Times New Roman" w:cs="Times New Roman"/>
          <w:sz w:val="24"/>
          <w:szCs w:val="24"/>
        </w:rPr>
        <w:t xml:space="preserve"> tej ustawy</w:t>
      </w:r>
      <w:r w:rsidRPr="006B629D">
        <w:rPr>
          <w:rFonts w:ascii="Times New Roman" w:eastAsia="Calibri" w:hAnsi="Times New Roman" w:cs="Times New Roman"/>
          <w:sz w:val="24"/>
          <w:szCs w:val="24"/>
        </w:rPr>
        <w:t>.</w:t>
      </w:r>
    </w:p>
    <w:p w14:paraId="264874EC" w14:textId="18D80E1D" w:rsidR="006B629D" w:rsidRPr="006B629D" w:rsidRDefault="006B629D" w:rsidP="009A0275">
      <w:pPr>
        <w:spacing w:after="160" w:line="360" w:lineRule="auto"/>
        <w:jc w:val="both"/>
        <w:rPr>
          <w:rFonts w:ascii="Times New Roman" w:eastAsia="Times New Roman" w:hAnsi="Times New Roman" w:cs="Times New Roman"/>
          <w:sz w:val="24"/>
          <w:szCs w:val="24"/>
          <w:lang w:eastAsia="pl-PL"/>
        </w:rPr>
      </w:pPr>
      <w:r w:rsidRPr="006B629D">
        <w:rPr>
          <w:rFonts w:ascii="Times New Roman" w:eastAsia="Times New Roman" w:hAnsi="Times New Roman" w:cs="Times New Roman"/>
          <w:sz w:val="24"/>
          <w:szCs w:val="24"/>
          <w:lang w:eastAsia="pl-PL"/>
        </w:rPr>
        <w:t>Biorąc pod uwagę, że przedsiębiorstwa energetyczne mogą stosować różne ceny i stawki opłat na podstawie taryf skalkulowanych na podstawie art. 62f</w:t>
      </w:r>
      <w:r w:rsidR="004C112D">
        <w:rPr>
          <w:rFonts w:ascii="Times New Roman" w:eastAsia="Times New Roman" w:hAnsi="Times New Roman" w:cs="Times New Roman"/>
          <w:sz w:val="24"/>
          <w:szCs w:val="24"/>
          <w:lang w:eastAsia="pl-PL"/>
        </w:rPr>
        <w:t xml:space="preserve"> ww. ustawy</w:t>
      </w:r>
      <w:r w:rsidRPr="006B629D">
        <w:rPr>
          <w:rFonts w:ascii="Times New Roman" w:eastAsia="Times New Roman" w:hAnsi="Times New Roman" w:cs="Times New Roman"/>
          <w:sz w:val="24"/>
          <w:szCs w:val="24"/>
          <w:lang w:eastAsia="pl-PL"/>
        </w:rPr>
        <w:t xml:space="preserve"> (czym później złożony wniosek o zatwierdzenie taryfy w tym trybie</w:t>
      </w:r>
      <w:r w:rsidR="004C112D">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 xml:space="preserve"> tym wyższe ceny i stawki opłat) ustawodawca przewidział </w:t>
      </w:r>
      <w:r w:rsidR="00B93B0D">
        <w:rPr>
          <w:rFonts w:ascii="Times New Roman" w:eastAsia="Times New Roman" w:hAnsi="Times New Roman" w:cs="Times New Roman"/>
          <w:sz w:val="24"/>
          <w:szCs w:val="24"/>
          <w:lang w:eastAsia="pl-PL"/>
        </w:rPr>
        <w:t>pułap</w:t>
      </w:r>
      <w:r w:rsidR="00B93B0D" w:rsidRPr="006B629D">
        <w:rPr>
          <w:rFonts w:ascii="Times New Roman" w:eastAsia="Times New Roman" w:hAnsi="Times New Roman" w:cs="Times New Roman"/>
          <w:sz w:val="24"/>
          <w:szCs w:val="24"/>
          <w:lang w:eastAsia="pl-PL"/>
        </w:rPr>
        <w:t xml:space="preserve"> </w:t>
      </w:r>
      <w:r w:rsidRPr="006B629D">
        <w:rPr>
          <w:rFonts w:ascii="Times New Roman" w:eastAsia="Times New Roman" w:hAnsi="Times New Roman" w:cs="Times New Roman"/>
          <w:sz w:val="24"/>
          <w:szCs w:val="24"/>
          <w:lang w:eastAsia="pl-PL"/>
        </w:rPr>
        <w:t xml:space="preserve">cenowy, który odnosi się do cen i stawek opłat stosowanych przez przedsiębiorstwo energetyczne, o którym mowa w art. 62c ust. 1 ustawy </w:t>
      </w:r>
      <w:r w:rsidR="000D2B72">
        <w:rPr>
          <w:rFonts w:ascii="Times New Roman" w:eastAsia="Times New Roman" w:hAnsi="Times New Roman" w:cs="Times New Roman"/>
          <w:sz w:val="24"/>
          <w:szCs w:val="24"/>
          <w:lang w:eastAsia="pl-PL"/>
        </w:rPr>
        <w:t>–</w:t>
      </w:r>
      <w:r w:rsidR="004C112D">
        <w:rPr>
          <w:rFonts w:ascii="Times New Roman" w:eastAsia="Times New Roman" w:hAnsi="Times New Roman" w:cs="Times New Roman"/>
          <w:sz w:val="24"/>
          <w:szCs w:val="24"/>
          <w:lang w:eastAsia="pl-PL"/>
        </w:rPr>
        <w:t xml:space="preserve"> </w:t>
      </w:r>
      <w:r w:rsidRPr="006B629D">
        <w:rPr>
          <w:rFonts w:ascii="Times New Roman" w:eastAsia="Times New Roman" w:hAnsi="Times New Roman" w:cs="Times New Roman"/>
          <w:sz w:val="24"/>
          <w:szCs w:val="24"/>
          <w:lang w:eastAsia="pl-PL"/>
        </w:rPr>
        <w:t>Prawo energetyczne. Okoliczność ta także ma znaczenie do wyliczenia ewentualnych rekompensat dla tych przedsiębiorstw energetycznych. Z drugiej strony wszyscy odbiorcy</w:t>
      </w:r>
      <w:r w:rsidR="004C112D">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 xml:space="preserve"> będący beneficjentami przyjętych rozwiązań w 2022 roku</w:t>
      </w:r>
      <w:r w:rsidR="004C112D">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 xml:space="preserve"> nie będą rozliczeni po cenach wyższych niż wynikających z przyjętego ograniczenia.</w:t>
      </w:r>
    </w:p>
    <w:p w14:paraId="44BA568E" w14:textId="26C4FCC6" w:rsidR="006B629D" w:rsidRPr="006B629D" w:rsidRDefault="006B629D" w:rsidP="009A0275">
      <w:pPr>
        <w:spacing w:after="160" w:line="360" w:lineRule="auto"/>
        <w:jc w:val="both"/>
        <w:rPr>
          <w:rFonts w:ascii="Times New Roman" w:eastAsia="Times New Roman" w:hAnsi="Times New Roman" w:cs="Times New Roman"/>
          <w:sz w:val="24"/>
          <w:szCs w:val="24"/>
          <w:lang w:eastAsia="pl-PL"/>
        </w:rPr>
      </w:pPr>
      <w:r w:rsidRPr="006B629D">
        <w:rPr>
          <w:rFonts w:ascii="Times New Roman" w:eastAsia="Times New Roman" w:hAnsi="Times New Roman" w:cs="Times New Roman"/>
          <w:sz w:val="24"/>
          <w:szCs w:val="24"/>
          <w:lang w:eastAsia="pl-PL"/>
        </w:rPr>
        <w:t>Powyższa rekompensata konsumować będzie – do wysokości wypłaconej rekompensaty – kwotę ewentualnej korekty jaka przysługiwałaby sprzedawcy paliwa gazowego, którą ten podmiot rozliczałby w latach następnych, o której mowa w obowiązującym już art. 62f ustawy</w:t>
      </w:r>
      <w:r w:rsidR="004C112D">
        <w:rPr>
          <w:rFonts w:ascii="Times New Roman" w:eastAsia="Times New Roman" w:hAnsi="Times New Roman" w:cs="Times New Roman"/>
          <w:sz w:val="24"/>
          <w:szCs w:val="24"/>
          <w:lang w:eastAsia="pl-PL"/>
        </w:rPr>
        <w:t xml:space="preserve"> </w:t>
      </w:r>
      <w:r w:rsidR="000D2B72">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 xml:space="preserve"> Prawo energetyczne. Oznacza to, iż w zakresie skonsumowanej korekty nie będą podwyższane ceny w taryfach w latach przyszłych.</w:t>
      </w:r>
    </w:p>
    <w:p w14:paraId="3B9750BD" w14:textId="1F12E0EF" w:rsidR="006B629D" w:rsidRPr="006B629D" w:rsidRDefault="006B629D" w:rsidP="009A0275">
      <w:pPr>
        <w:spacing w:after="160" w:line="360" w:lineRule="auto"/>
        <w:jc w:val="both"/>
        <w:rPr>
          <w:rFonts w:ascii="Times New Roman" w:eastAsia="Times New Roman" w:hAnsi="Times New Roman" w:cs="Times New Roman"/>
          <w:sz w:val="24"/>
          <w:szCs w:val="24"/>
          <w:lang w:eastAsia="pl-PL"/>
        </w:rPr>
      </w:pPr>
      <w:r w:rsidRPr="006B629D">
        <w:rPr>
          <w:rFonts w:ascii="Times New Roman" w:eastAsia="Times New Roman" w:hAnsi="Times New Roman" w:cs="Times New Roman"/>
          <w:sz w:val="24"/>
          <w:szCs w:val="24"/>
          <w:lang w:eastAsia="pl-PL"/>
        </w:rPr>
        <w:t xml:space="preserve">W przypadku sprzedawcy gazu, który stosuje ceny zamrożone (tj. taryfę sprzedawcy </w:t>
      </w:r>
      <w:r w:rsidR="00E751DD">
        <w:rPr>
          <w:rFonts w:ascii="Times New Roman" w:eastAsia="Times New Roman" w:hAnsi="Times New Roman" w:cs="Times New Roman"/>
          <w:sz w:val="24"/>
          <w:szCs w:val="24"/>
          <w:lang w:eastAsia="pl-PL"/>
        </w:rPr>
        <w:br/>
      </w:r>
      <w:r w:rsidRPr="006B629D">
        <w:rPr>
          <w:rFonts w:ascii="Times New Roman" w:eastAsia="Times New Roman" w:hAnsi="Times New Roman" w:cs="Times New Roman"/>
          <w:sz w:val="24"/>
          <w:szCs w:val="24"/>
          <w:lang w:eastAsia="pl-PL"/>
        </w:rPr>
        <w:t xml:space="preserve">z urzędu), rekompensata będzie </w:t>
      </w:r>
      <w:r w:rsidRPr="006B629D">
        <w:rPr>
          <w:rFonts w:ascii="Times New Roman" w:eastAsia="Times New Roman" w:hAnsi="Times New Roman" w:cs="Times New Roman"/>
          <w:color w:val="000000"/>
          <w:sz w:val="24"/>
          <w:szCs w:val="24"/>
          <w:lang w:eastAsia="pl-PL"/>
        </w:rPr>
        <w:t xml:space="preserve">wyliczana w oparciu o </w:t>
      </w:r>
      <w:r w:rsidRPr="006B629D">
        <w:rPr>
          <w:rFonts w:ascii="Times New Roman" w:eastAsia="Calibri" w:hAnsi="Times New Roman" w:cs="Times New Roman"/>
          <w:color w:val="000000"/>
          <w:sz w:val="24"/>
          <w:szCs w:val="24"/>
          <w:lang w:eastAsia="pl-PL"/>
        </w:rPr>
        <w:t>dwa komponenty, tj.</w:t>
      </w:r>
      <w:r w:rsidRPr="006B629D">
        <w:rPr>
          <w:rFonts w:ascii="Times New Roman" w:eastAsia="Times New Roman" w:hAnsi="Times New Roman" w:cs="Times New Roman"/>
          <w:color w:val="000000"/>
          <w:sz w:val="24"/>
          <w:szCs w:val="24"/>
          <w:lang w:eastAsia="pl-PL"/>
        </w:rPr>
        <w:t>:</w:t>
      </w:r>
    </w:p>
    <w:p w14:paraId="3701439E" w14:textId="62588158" w:rsidR="006B629D" w:rsidRPr="006B629D" w:rsidRDefault="006B629D" w:rsidP="009A0275">
      <w:pPr>
        <w:numPr>
          <w:ilvl w:val="0"/>
          <w:numId w:val="20"/>
        </w:numPr>
        <w:spacing w:after="160" w:line="360" w:lineRule="auto"/>
        <w:contextualSpacing/>
        <w:jc w:val="both"/>
        <w:rPr>
          <w:rFonts w:ascii="Times New Roman" w:eastAsia="Times New Roman" w:hAnsi="Times New Roman" w:cs="Times New Roman"/>
          <w:sz w:val="24"/>
          <w:szCs w:val="24"/>
          <w:lang w:eastAsia="pl-PL"/>
        </w:rPr>
      </w:pPr>
      <w:r w:rsidRPr="006B629D">
        <w:rPr>
          <w:rFonts w:ascii="Times New Roman" w:eastAsia="Calibri" w:hAnsi="Times New Roman" w:cs="Times New Roman"/>
          <w:color w:val="000000"/>
          <w:sz w:val="24"/>
          <w:szCs w:val="24"/>
          <w:lang w:eastAsia="pl-PL"/>
        </w:rPr>
        <w:t xml:space="preserve">w zakresie stosowania zamrożonych cen dla segmentu </w:t>
      </w:r>
      <w:r w:rsidRPr="006B629D">
        <w:rPr>
          <w:rFonts w:ascii="Times New Roman" w:eastAsia="Times New Roman" w:hAnsi="Times New Roman" w:cs="Times New Roman"/>
          <w:sz w:val="24"/>
          <w:szCs w:val="24"/>
          <w:lang w:eastAsia="pl-PL"/>
        </w:rPr>
        <w:t>odbiorców w gospodarstwach domowych w spółdzielniach, wspólnotach i innych podmiotach zbiorowych zaopatrujących lokale mieszkalne (art. 62b ust. 1 pkt 2 lit. b</w:t>
      </w:r>
      <w:r w:rsidR="000D2B72">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 xml:space="preserve">c ustawy </w:t>
      </w:r>
      <w:r w:rsidR="000D2B72">
        <w:rPr>
          <w:rFonts w:ascii="Times New Roman" w:eastAsia="Times New Roman" w:hAnsi="Times New Roman" w:cs="Times New Roman"/>
          <w:sz w:val="24"/>
          <w:szCs w:val="24"/>
          <w:lang w:eastAsia="pl-PL"/>
        </w:rPr>
        <w:t>–</w:t>
      </w:r>
      <w:r w:rsidR="004C112D">
        <w:rPr>
          <w:rFonts w:ascii="Times New Roman" w:eastAsia="Times New Roman" w:hAnsi="Times New Roman" w:cs="Times New Roman"/>
          <w:sz w:val="24"/>
          <w:szCs w:val="24"/>
          <w:lang w:eastAsia="pl-PL"/>
        </w:rPr>
        <w:t xml:space="preserve"> </w:t>
      </w:r>
      <w:r w:rsidRPr="006B629D">
        <w:rPr>
          <w:rFonts w:ascii="Times New Roman" w:eastAsia="Times New Roman" w:hAnsi="Times New Roman" w:cs="Times New Roman"/>
          <w:sz w:val="24"/>
          <w:szCs w:val="24"/>
          <w:lang w:eastAsia="pl-PL"/>
        </w:rPr>
        <w:t xml:space="preserve">Prawo energetyczne), a także do odbiorców wrażliwych (art. 62b ust. 1 pkt 2 lit. d ustawy </w:t>
      </w:r>
      <w:r w:rsidR="000D2B72">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Prawo energetyczne)</w:t>
      </w:r>
      <w:r w:rsidR="004C112D">
        <w:rPr>
          <w:rFonts w:ascii="Times New Roman" w:eastAsia="Times New Roman" w:hAnsi="Times New Roman" w:cs="Times New Roman"/>
          <w:sz w:val="24"/>
          <w:szCs w:val="24"/>
          <w:lang w:eastAsia="pl-PL"/>
        </w:rPr>
        <w:t xml:space="preserve"> </w:t>
      </w:r>
      <w:r w:rsidR="000D2B72">
        <w:rPr>
          <w:rFonts w:ascii="Times New Roman" w:eastAsia="Times New Roman" w:hAnsi="Times New Roman" w:cs="Times New Roman"/>
          <w:sz w:val="24"/>
          <w:szCs w:val="24"/>
          <w:lang w:eastAsia="pl-PL"/>
        </w:rPr>
        <w:t>–</w:t>
      </w:r>
      <w:r w:rsidR="004C112D">
        <w:rPr>
          <w:rFonts w:ascii="Times New Roman" w:eastAsia="Times New Roman" w:hAnsi="Times New Roman" w:cs="Times New Roman"/>
          <w:sz w:val="24"/>
          <w:szCs w:val="24"/>
          <w:lang w:eastAsia="pl-PL"/>
        </w:rPr>
        <w:t xml:space="preserve"> </w:t>
      </w:r>
      <w:r w:rsidRPr="006B629D">
        <w:rPr>
          <w:rFonts w:ascii="Times New Roman" w:eastAsia="Times New Roman" w:hAnsi="Times New Roman" w:cs="Times New Roman"/>
          <w:sz w:val="24"/>
          <w:szCs w:val="24"/>
          <w:lang w:eastAsia="pl-PL"/>
        </w:rPr>
        <w:t>kwotę stanowiącą iloczyn ilości paliwa gazowego dostarczonego przez przedsiębiorstwo energetyczne i różnicy pomiędzy poziomem cen</w:t>
      </w:r>
      <w:r w:rsidR="00FB6010">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 xml:space="preserve"> jakie to przedsiębiorstwo energetyczne stosowało </w:t>
      </w:r>
      <w:r w:rsidR="004C112D" w:rsidRPr="006B629D">
        <w:rPr>
          <w:rFonts w:ascii="Times New Roman" w:eastAsia="Times New Roman" w:hAnsi="Times New Roman" w:cs="Times New Roman"/>
          <w:sz w:val="24"/>
          <w:szCs w:val="24"/>
          <w:lang w:eastAsia="pl-PL"/>
        </w:rPr>
        <w:t xml:space="preserve">dla tych odbiorców w dniu </w:t>
      </w:r>
      <w:r w:rsidR="00E751DD">
        <w:rPr>
          <w:rFonts w:ascii="Times New Roman" w:eastAsia="Times New Roman" w:hAnsi="Times New Roman" w:cs="Times New Roman"/>
          <w:sz w:val="24"/>
          <w:szCs w:val="24"/>
          <w:lang w:eastAsia="pl-PL"/>
        </w:rPr>
        <w:br/>
      </w:r>
      <w:r w:rsidR="004C112D" w:rsidRPr="006B629D">
        <w:rPr>
          <w:rFonts w:ascii="Times New Roman" w:eastAsia="Times New Roman" w:hAnsi="Times New Roman" w:cs="Times New Roman"/>
          <w:sz w:val="24"/>
          <w:szCs w:val="24"/>
          <w:lang w:eastAsia="pl-PL"/>
        </w:rPr>
        <w:t>1 stycznia 2022 r.</w:t>
      </w:r>
      <w:r w:rsidRPr="006B629D">
        <w:rPr>
          <w:rFonts w:ascii="Times New Roman" w:eastAsia="Times New Roman" w:hAnsi="Times New Roman" w:cs="Times New Roman"/>
          <w:sz w:val="24"/>
          <w:szCs w:val="24"/>
          <w:lang w:eastAsia="pl-PL"/>
        </w:rPr>
        <w:t xml:space="preserve">, a poziomem cen z taryfy sprzedawcy z urzędu. Ceny na dzień </w:t>
      </w:r>
      <w:r w:rsidR="00E751DD">
        <w:rPr>
          <w:rFonts w:ascii="Times New Roman" w:eastAsia="Times New Roman" w:hAnsi="Times New Roman" w:cs="Times New Roman"/>
          <w:sz w:val="24"/>
          <w:szCs w:val="24"/>
          <w:lang w:eastAsia="pl-PL"/>
        </w:rPr>
        <w:br/>
      </w:r>
      <w:r w:rsidRPr="006B629D">
        <w:rPr>
          <w:rFonts w:ascii="Times New Roman" w:eastAsia="Times New Roman" w:hAnsi="Times New Roman" w:cs="Times New Roman"/>
          <w:sz w:val="24"/>
          <w:szCs w:val="24"/>
          <w:lang w:eastAsia="pl-PL"/>
        </w:rPr>
        <w:lastRenderedPageBreak/>
        <w:t>1 stycznia 2022 ustala się według taryf, cenników oraz umów</w:t>
      </w:r>
      <w:r w:rsidR="00FB6010">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 xml:space="preserve"> określających ceny </w:t>
      </w:r>
      <w:r w:rsidR="00E751DD">
        <w:rPr>
          <w:rFonts w:ascii="Times New Roman" w:eastAsia="Times New Roman" w:hAnsi="Times New Roman" w:cs="Times New Roman"/>
          <w:sz w:val="24"/>
          <w:szCs w:val="24"/>
          <w:lang w:eastAsia="pl-PL"/>
        </w:rPr>
        <w:br/>
      </w:r>
      <w:r w:rsidRPr="006B629D">
        <w:rPr>
          <w:rFonts w:ascii="Times New Roman" w:eastAsia="Times New Roman" w:hAnsi="Times New Roman" w:cs="Times New Roman"/>
          <w:sz w:val="24"/>
          <w:szCs w:val="24"/>
          <w:lang w:eastAsia="pl-PL"/>
        </w:rPr>
        <w:t>i stawki na dzień 1 stycznia 2022 r.</w:t>
      </w:r>
    </w:p>
    <w:p w14:paraId="468BDFE3" w14:textId="248F8640" w:rsidR="006B629D" w:rsidRPr="006B629D" w:rsidRDefault="006B629D" w:rsidP="009A0275">
      <w:pPr>
        <w:numPr>
          <w:ilvl w:val="0"/>
          <w:numId w:val="20"/>
        </w:numPr>
        <w:spacing w:after="160" w:line="360" w:lineRule="auto"/>
        <w:contextualSpacing/>
        <w:jc w:val="both"/>
        <w:rPr>
          <w:rFonts w:ascii="Times New Roman" w:eastAsia="Times New Roman" w:hAnsi="Times New Roman" w:cs="Times New Roman"/>
          <w:sz w:val="24"/>
          <w:szCs w:val="24"/>
          <w:lang w:eastAsia="pl-PL"/>
        </w:rPr>
      </w:pPr>
      <w:r w:rsidRPr="006B629D">
        <w:rPr>
          <w:rFonts w:ascii="Times New Roman" w:eastAsia="Calibri" w:hAnsi="Times New Roman" w:cs="Times New Roman"/>
          <w:color w:val="000000"/>
          <w:sz w:val="24"/>
          <w:szCs w:val="24"/>
          <w:lang w:eastAsia="pl-PL"/>
        </w:rPr>
        <w:t xml:space="preserve">w zakresie stosowania zamrożonych cen dla segmentu </w:t>
      </w:r>
      <w:r w:rsidRPr="006B629D">
        <w:rPr>
          <w:rFonts w:ascii="Times New Roman" w:eastAsia="Times New Roman" w:hAnsi="Times New Roman" w:cs="Times New Roman"/>
          <w:color w:val="000000"/>
          <w:sz w:val="24"/>
          <w:szCs w:val="24"/>
          <w:lang w:eastAsia="pl-PL"/>
        </w:rPr>
        <w:t>od</w:t>
      </w:r>
      <w:r w:rsidRPr="006B629D">
        <w:rPr>
          <w:rFonts w:ascii="Times New Roman" w:eastAsia="Times New Roman" w:hAnsi="Times New Roman" w:cs="Times New Roman"/>
          <w:sz w:val="24"/>
          <w:szCs w:val="24"/>
          <w:lang w:eastAsia="pl-PL"/>
        </w:rPr>
        <w:t xml:space="preserve">biorców w gospodarstwach domowych indywidualnie zaopatrywanych w gaz przez przedsiębiorstwo energetyczne (art. 62b ust. 1 pkt 2 lit. a ustawy </w:t>
      </w:r>
      <w:r w:rsidR="000D2B72">
        <w:rPr>
          <w:rFonts w:ascii="Times New Roman" w:eastAsia="Times New Roman" w:hAnsi="Times New Roman" w:cs="Times New Roman"/>
          <w:sz w:val="24"/>
          <w:szCs w:val="24"/>
          <w:lang w:eastAsia="pl-PL"/>
        </w:rPr>
        <w:t>–</w:t>
      </w:r>
      <w:r w:rsidR="004C112D">
        <w:rPr>
          <w:rFonts w:ascii="Times New Roman" w:eastAsia="Times New Roman" w:hAnsi="Times New Roman" w:cs="Times New Roman"/>
          <w:sz w:val="24"/>
          <w:szCs w:val="24"/>
          <w:lang w:eastAsia="pl-PL"/>
        </w:rPr>
        <w:t xml:space="preserve"> </w:t>
      </w:r>
      <w:r w:rsidRPr="006B629D">
        <w:rPr>
          <w:rFonts w:ascii="Times New Roman" w:eastAsia="Times New Roman" w:hAnsi="Times New Roman" w:cs="Times New Roman"/>
          <w:sz w:val="24"/>
          <w:szCs w:val="24"/>
          <w:lang w:eastAsia="pl-PL"/>
        </w:rPr>
        <w:t>Prawo energetyczne)</w:t>
      </w:r>
      <w:r w:rsidR="004C112D">
        <w:rPr>
          <w:rFonts w:ascii="Times New Roman" w:eastAsia="Times New Roman" w:hAnsi="Times New Roman" w:cs="Times New Roman"/>
          <w:sz w:val="24"/>
          <w:szCs w:val="24"/>
          <w:lang w:eastAsia="pl-PL"/>
        </w:rPr>
        <w:t xml:space="preserve"> </w:t>
      </w:r>
      <w:r w:rsidR="000D2B72">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 xml:space="preserve"> kwotę stanowiącą iloczyn ilości paliwa gazowego dostarczonego przez przedsiębiorstwo energetyczne i różnicy pomiędzy poziomem cen i stawek określonych w taryfie tego przedsiębiorstwa, którą stosowałoby ono w normalnych warunkach rynkowych, a poziomem cen określonych w taryfie sprzedawcy z urzędu.</w:t>
      </w:r>
    </w:p>
    <w:p w14:paraId="7F18D8FC" w14:textId="03239942" w:rsidR="006B629D" w:rsidRPr="006B629D" w:rsidRDefault="006B629D" w:rsidP="009A0275">
      <w:pPr>
        <w:spacing w:after="160" w:line="360" w:lineRule="auto"/>
        <w:jc w:val="both"/>
        <w:rPr>
          <w:rFonts w:ascii="Times New Roman" w:eastAsia="Times New Roman" w:hAnsi="Times New Roman" w:cs="Times New Roman"/>
          <w:sz w:val="24"/>
          <w:szCs w:val="24"/>
          <w:lang w:eastAsia="pl-PL"/>
        </w:rPr>
      </w:pPr>
      <w:r w:rsidRPr="006B629D">
        <w:rPr>
          <w:rFonts w:ascii="Times New Roman" w:eastAsia="Times New Roman" w:hAnsi="Times New Roman" w:cs="Times New Roman"/>
          <w:sz w:val="24"/>
          <w:szCs w:val="24"/>
          <w:lang w:eastAsia="pl-PL"/>
        </w:rPr>
        <w:t>W zależności od systemu, rekompensaty będą wypłacane co miesiąc</w:t>
      </w:r>
      <w:r w:rsidR="007C1A58">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4"/>
          <w:lang w:eastAsia="pl-PL"/>
        </w:rPr>
        <w:t xml:space="preserve"> bądź co kwartał. </w:t>
      </w:r>
    </w:p>
    <w:p w14:paraId="77492D5C" w14:textId="627B51AF"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Times New Roman" w:hAnsi="Times New Roman" w:cs="Times New Roman"/>
          <w:bCs/>
          <w:sz w:val="24"/>
          <w:szCs w:val="24"/>
          <w:lang w:eastAsia="pl-PL"/>
        </w:rPr>
        <w:t xml:space="preserve">Podmiotem odpowiedzialnym za wypłatę rekompensat będzie Zarządca Rozliczeń S.A. („Zarządca Rozliczeń”). Rola tego podmiotu polegać będzie na weryfikacji wniosku </w:t>
      </w:r>
      <w:r w:rsidR="00E751DD">
        <w:rPr>
          <w:rFonts w:ascii="Times New Roman" w:eastAsia="Times New Roman" w:hAnsi="Times New Roman" w:cs="Times New Roman"/>
          <w:bCs/>
          <w:sz w:val="24"/>
          <w:szCs w:val="24"/>
          <w:lang w:eastAsia="pl-PL"/>
        </w:rPr>
        <w:br/>
      </w:r>
      <w:r w:rsidRPr="006B629D">
        <w:rPr>
          <w:rFonts w:ascii="Times New Roman" w:eastAsia="Times New Roman" w:hAnsi="Times New Roman" w:cs="Times New Roman"/>
          <w:bCs/>
          <w:sz w:val="24"/>
          <w:szCs w:val="24"/>
          <w:lang w:eastAsia="pl-PL"/>
        </w:rPr>
        <w:t xml:space="preserve">o wypłatę rekompensaty pod względem prawidłowości dokonanych obliczeń i kompletności wymaganych dokumentów na podstawie podanych we wniosku danych. </w:t>
      </w:r>
      <w:r w:rsidRPr="006B629D">
        <w:rPr>
          <w:rFonts w:ascii="Times New Roman" w:eastAsia="Calibri" w:hAnsi="Times New Roman" w:cs="Times New Roman"/>
          <w:sz w:val="24"/>
          <w:szCs w:val="24"/>
        </w:rPr>
        <w:t>W przypadku pozytywnej weryfikacji wniosku</w:t>
      </w:r>
      <w:r w:rsidR="003659DB">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Zarządca Rozliczeń zatwierdzi wniosek i dokona wypłaty rekompensaty w terminie 14 dni od dnia otrzymania prawidłowo sporządzonego wniosku. </w:t>
      </w:r>
    </w:p>
    <w:p w14:paraId="4D5E1F54" w14:textId="13D5FDDF"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W projekcie przewidziano jednocześnie szereg mechanizmów mających na celu zapewnienie efektywnego wydawania środków publicznych. Wszelkie zaliczki i </w:t>
      </w:r>
      <w:r w:rsidR="00E751DD">
        <w:rPr>
          <w:rFonts w:ascii="Times New Roman" w:eastAsia="Calibri" w:hAnsi="Times New Roman" w:cs="Times New Roman"/>
          <w:sz w:val="24"/>
          <w:szCs w:val="24"/>
        </w:rPr>
        <w:t xml:space="preserve">rekompensaty są </w:t>
      </w:r>
      <w:r w:rsidRPr="006B629D">
        <w:rPr>
          <w:rFonts w:ascii="Times New Roman" w:eastAsia="Calibri" w:hAnsi="Times New Roman" w:cs="Times New Roman"/>
          <w:sz w:val="24"/>
          <w:szCs w:val="24"/>
        </w:rPr>
        <w:t>konstruowane i wyliczane na podstawie obiekt</w:t>
      </w:r>
      <w:r w:rsidR="00E751DD">
        <w:rPr>
          <w:rFonts w:ascii="Times New Roman" w:eastAsia="Calibri" w:hAnsi="Times New Roman" w:cs="Times New Roman"/>
          <w:sz w:val="24"/>
          <w:szCs w:val="24"/>
        </w:rPr>
        <w:t xml:space="preserve">ywnych kryteriów i weryfikowane </w:t>
      </w:r>
      <w:r w:rsidRPr="006B629D">
        <w:rPr>
          <w:rFonts w:ascii="Times New Roman" w:eastAsia="Calibri" w:hAnsi="Times New Roman" w:cs="Times New Roman"/>
          <w:sz w:val="24"/>
          <w:szCs w:val="24"/>
        </w:rPr>
        <w:t>wiarygodnymi dokumentami.</w:t>
      </w:r>
    </w:p>
    <w:p w14:paraId="2EE4AB90" w14:textId="746B08A6"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Po zakończeniu roku kalendarzowego, Zarządca Rozliczeń będzie miał obowiązek dokonania weryfikacji rekompensat należnych przedsiębiorstwu energetycznemu na podstawie otrzymanego od tego podmiotu </w:t>
      </w:r>
      <w:r w:rsidR="00B849A2" w:rsidRPr="00B849A2">
        <w:rPr>
          <w:rFonts w:ascii="Times New Roman" w:eastAsia="Calibri" w:hAnsi="Times New Roman" w:cs="Times New Roman"/>
          <w:sz w:val="24"/>
          <w:szCs w:val="24"/>
        </w:rPr>
        <w:t>wniosku o rozliczenie rekompensaty</w:t>
      </w:r>
      <w:r w:rsidR="00C570CE">
        <w:rPr>
          <w:rFonts w:ascii="Times New Roman" w:eastAsia="Calibri" w:hAnsi="Times New Roman" w:cs="Times New Roman"/>
          <w:sz w:val="24"/>
          <w:szCs w:val="24"/>
        </w:rPr>
        <w:t xml:space="preserve"> </w:t>
      </w:r>
      <w:r w:rsidRPr="006B629D">
        <w:rPr>
          <w:rFonts w:ascii="Times New Roman" w:eastAsia="Calibri" w:hAnsi="Times New Roman" w:cs="Times New Roman"/>
          <w:sz w:val="24"/>
          <w:szCs w:val="24"/>
        </w:rPr>
        <w:t xml:space="preserve">i niezwłocznie poinformuje Prezesa URE o wynikach dokonanej weryfikacji. </w:t>
      </w:r>
    </w:p>
    <w:p w14:paraId="1596892F" w14:textId="0F064DD7"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Zarządca Rozliczeń będzie dysponować prawem żądania</w:t>
      </w:r>
      <w:r w:rsidR="00D32EC5">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w terminie 12 miesięcy od dnia złożenia przez przedsiębiorstwo energetyczne wniosku o korektę rekompensaty</w:t>
      </w:r>
      <w:r w:rsidR="00D32EC5">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przedłożenia dokumentów lub informacji uzasadniających jej wysokość.</w:t>
      </w:r>
    </w:p>
    <w:p w14:paraId="4B1989B2" w14:textId="166EA414"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Jeżeli przedsiębiorstwo energetyczne zaprzestanie prowadzenia działalności gospodarczej </w:t>
      </w:r>
      <w:r w:rsidR="00E751DD">
        <w:rPr>
          <w:rFonts w:ascii="Times New Roman" w:eastAsia="Calibri" w:hAnsi="Times New Roman" w:cs="Times New Roman"/>
          <w:sz w:val="24"/>
          <w:szCs w:val="24"/>
        </w:rPr>
        <w:br/>
      </w:r>
      <w:r w:rsidRPr="006B629D">
        <w:rPr>
          <w:rFonts w:ascii="Times New Roman" w:eastAsia="Calibri" w:hAnsi="Times New Roman" w:cs="Times New Roman"/>
          <w:sz w:val="24"/>
          <w:szCs w:val="24"/>
        </w:rPr>
        <w:t xml:space="preserve">w zakresie </w:t>
      </w:r>
      <w:r w:rsidR="00A75A3B">
        <w:rPr>
          <w:rFonts w:ascii="Times New Roman" w:eastAsia="Calibri" w:hAnsi="Times New Roman" w:cs="Times New Roman"/>
          <w:sz w:val="24"/>
          <w:szCs w:val="24"/>
        </w:rPr>
        <w:t>objętej</w:t>
      </w:r>
      <w:r w:rsidR="00B93B0D" w:rsidRPr="00B93B0D">
        <w:rPr>
          <w:rFonts w:ascii="Times New Roman" w:eastAsia="Calibri" w:hAnsi="Times New Roman" w:cs="Times New Roman"/>
          <w:sz w:val="24"/>
          <w:szCs w:val="24"/>
        </w:rPr>
        <w:t xml:space="preserve"> rekompensatami w ciągu 12 miesięcy od wypłaty ostatniej z nich</w:t>
      </w:r>
      <w:r w:rsidRPr="006B629D">
        <w:rPr>
          <w:rFonts w:ascii="Times New Roman" w:eastAsia="Calibri" w:hAnsi="Times New Roman" w:cs="Times New Roman"/>
          <w:sz w:val="24"/>
          <w:szCs w:val="24"/>
        </w:rPr>
        <w:t xml:space="preserve">, będzie zobowiązane w całości zwrócić w otrzymane środki rekompensaty z odsetkami, a pobrane środki zostaną uznane za pobrane nienależnie. Przedsiębiorstwo energetyczne, który otrzymało rekompensatę nienależnie, zobowiązane będzie do jej zwrotu. </w:t>
      </w:r>
    </w:p>
    <w:p w14:paraId="2DC43F4B" w14:textId="77777777"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lastRenderedPageBreak/>
        <w:t>Wniosek o rozliczenie rekompensaty przedsiębiorstwo energetyczne złoży do Zarządcy Rozliczeń nie później niż do 30 listopada 2023 r.</w:t>
      </w:r>
    </w:p>
    <w:p w14:paraId="5CBCDA9D" w14:textId="7FE4E7E0"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Rekompensata zostanie rozliczona w terminie do dnia 31 grudnia 2023 r. Zarządca Rozliczeń po zebraniu stosownych dokumentów określi kwotę ostatecznej rekompensaty. W przypadku jeżeli wypłacona zaliczka na poczet rekompensaty, o której mowa w ust. 1</w:t>
      </w:r>
      <w:r w:rsidR="00D32EC5">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będzie w kwocie przenoszącej kwotę ostatecznej rekompensaty, Zarządca Rozliczeń wezwie przedsiębiorstwo energetyczne, do zwrotu różnicy w terminie 14 dni od otrzymania wezwania. </w:t>
      </w:r>
    </w:p>
    <w:p w14:paraId="541BA5FB" w14:textId="77777777"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W przypadku jeżeli zaliczka na poczet rekompensaty będzie niższa od kwoty ostatecznej rekompensaty, Zarządca Rozliczeń dokona wyrównania tej różnicy na rzecz przedsiębiorstwa energetycznego w terminie 14 dni od daty określenia kwoty ostatecznej rekompensaty.</w:t>
      </w:r>
    </w:p>
    <w:p w14:paraId="43BB6C12" w14:textId="2230EBD0"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W przypadku gdy przedsiębiorstwo energetyczne nie złożyło wniosku o korektę rekompensaty lub zaliczki do dnia 31 grudnia 2023 r. lub nie dostosowało cen i stawek opłat</w:t>
      </w:r>
      <w:r w:rsidR="00D32EC5">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zobowiązane jest zwrócić w całości otrzymane środki rekompensaty lub zaliczki wraz z odsetkami, a pobrane środki uznaje się za pobrane nienależnie. </w:t>
      </w:r>
    </w:p>
    <w:p w14:paraId="082DB8DF" w14:textId="77777777" w:rsidR="006B629D" w:rsidRPr="006B629D" w:rsidRDefault="006B629D" w:rsidP="009A0275">
      <w:pPr>
        <w:spacing w:after="160" w:line="360" w:lineRule="auto"/>
        <w:ind w:left="720"/>
        <w:contextualSpacing/>
        <w:jc w:val="both"/>
        <w:rPr>
          <w:rFonts w:ascii="Times New Roman" w:eastAsia="Calibri" w:hAnsi="Times New Roman" w:cs="Times New Roman"/>
          <w:b/>
          <w:sz w:val="24"/>
          <w:szCs w:val="24"/>
        </w:rPr>
      </w:pPr>
      <w:r w:rsidRPr="006B629D">
        <w:rPr>
          <w:rFonts w:ascii="Times New Roman" w:eastAsia="Calibri" w:hAnsi="Times New Roman" w:cs="Times New Roman"/>
          <w:b/>
          <w:sz w:val="24"/>
          <w:szCs w:val="24"/>
        </w:rPr>
        <w:t>Źródła finansowania</w:t>
      </w:r>
    </w:p>
    <w:p w14:paraId="5D19FDAE" w14:textId="77777777"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Łączny koszt z tytułu rekompensat przewidzianych ustawą nie przekroczy 10 mld zł. Rekompensaty będą wypłacane przez Fundusz Wypłaty Różnicy Cen, do którego w roku 2022 zostaną przekazane:</w:t>
      </w:r>
    </w:p>
    <w:p w14:paraId="4925DEAB" w14:textId="38DD70E7" w:rsidR="006B629D" w:rsidRPr="006B629D" w:rsidRDefault="006B629D" w:rsidP="009A0275">
      <w:pPr>
        <w:numPr>
          <w:ilvl w:val="0"/>
          <w:numId w:val="21"/>
        </w:numPr>
        <w:spacing w:after="160" w:line="360" w:lineRule="auto"/>
        <w:contextualSpacing/>
        <w:jc w:val="both"/>
        <w:rPr>
          <w:rFonts w:ascii="Times New Roman" w:eastAsia="Calibri" w:hAnsi="Times New Roman" w:cs="Times New Roman"/>
          <w:bCs/>
          <w:sz w:val="24"/>
          <w:szCs w:val="24"/>
        </w:rPr>
      </w:pPr>
      <w:r w:rsidRPr="006B629D">
        <w:rPr>
          <w:rFonts w:ascii="Times New Roman" w:eastAsia="Calibri" w:hAnsi="Times New Roman" w:cs="Times New Roman"/>
          <w:bCs/>
          <w:sz w:val="24"/>
          <w:szCs w:val="24"/>
        </w:rPr>
        <w:t>40% środków uzyskanych ze sprzedaży w drodze aukcji uprawnień do emisji, o których mowa w art. 49 ust. 1 ustawy z dnia 15 czerwca 2015 r. o systemie handlu uprawnieniami do emisji gazów cieplarnianych</w:t>
      </w:r>
      <w:r w:rsidR="000D2B72">
        <w:rPr>
          <w:rFonts w:ascii="Times New Roman" w:eastAsia="Calibri" w:hAnsi="Times New Roman" w:cs="Times New Roman"/>
          <w:bCs/>
          <w:sz w:val="24"/>
          <w:szCs w:val="24"/>
        </w:rPr>
        <w:t xml:space="preserve"> </w:t>
      </w:r>
      <w:r w:rsidRPr="006B629D">
        <w:rPr>
          <w:rFonts w:ascii="Times New Roman" w:eastAsia="Calibri" w:hAnsi="Times New Roman" w:cs="Times New Roman"/>
          <w:bCs/>
          <w:sz w:val="24"/>
          <w:szCs w:val="24"/>
        </w:rPr>
        <w:t>(Dz. U. z 2021 r. poz. 332</w:t>
      </w:r>
      <w:r w:rsidR="00D32EC5">
        <w:rPr>
          <w:rFonts w:ascii="Times New Roman" w:eastAsia="Calibri" w:hAnsi="Times New Roman" w:cs="Times New Roman"/>
          <w:bCs/>
          <w:sz w:val="24"/>
          <w:szCs w:val="24"/>
        </w:rPr>
        <w:t>, z późn. zm.</w:t>
      </w:r>
      <w:r w:rsidRPr="006B629D">
        <w:rPr>
          <w:rFonts w:ascii="Times New Roman" w:eastAsia="Calibri" w:hAnsi="Times New Roman" w:cs="Times New Roman"/>
          <w:bCs/>
          <w:sz w:val="24"/>
          <w:szCs w:val="24"/>
        </w:rPr>
        <w:t>), ale nie więcej niż 6 424 mln zł</w:t>
      </w:r>
      <w:r w:rsidR="00512333">
        <w:rPr>
          <w:rFonts w:ascii="Times New Roman" w:eastAsia="Calibri" w:hAnsi="Times New Roman" w:cs="Times New Roman"/>
          <w:bCs/>
          <w:sz w:val="24"/>
          <w:szCs w:val="24"/>
        </w:rPr>
        <w:t>;</w:t>
      </w:r>
    </w:p>
    <w:p w14:paraId="4CDC1386" w14:textId="2241109B" w:rsidR="006B629D" w:rsidRPr="006B629D" w:rsidRDefault="006B629D" w:rsidP="009A0275">
      <w:pPr>
        <w:numPr>
          <w:ilvl w:val="0"/>
          <w:numId w:val="21"/>
        </w:numPr>
        <w:spacing w:after="160" w:line="360" w:lineRule="auto"/>
        <w:contextualSpacing/>
        <w:jc w:val="both"/>
        <w:rPr>
          <w:rFonts w:ascii="Times New Roman" w:eastAsia="Calibri" w:hAnsi="Times New Roman" w:cs="Times New Roman"/>
          <w:bCs/>
          <w:sz w:val="24"/>
          <w:szCs w:val="24"/>
        </w:rPr>
      </w:pPr>
      <w:r w:rsidRPr="006B629D">
        <w:rPr>
          <w:rFonts w:ascii="Times New Roman" w:eastAsia="Calibri" w:hAnsi="Times New Roman" w:cs="Times New Roman"/>
          <w:bCs/>
          <w:sz w:val="24"/>
          <w:szCs w:val="24"/>
        </w:rPr>
        <w:t>środki z Funduszu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 (Dz. U. poz. 568, z późn. zm.).</w:t>
      </w:r>
    </w:p>
    <w:p w14:paraId="31E5C782" w14:textId="77777777" w:rsidR="006B629D" w:rsidRPr="006B629D" w:rsidRDefault="006B629D" w:rsidP="009A0275">
      <w:pPr>
        <w:spacing w:after="160" w:line="360" w:lineRule="auto"/>
        <w:ind w:left="720"/>
        <w:contextualSpacing/>
        <w:jc w:val="both"/>
        <w:rPr>
          <w:rFonts w:ascii="Times New Roman" w:eastAsia="Calibri" w:hAnsi="Times New Roman" w:cs="Times New Roman"/>
          <w:bCs/>
          <w:sz w:val="24"/>
          <w:szCs w:val="24"/>
        </w:rPr>
      </w:pPr>
    </w:p>
    <w:p w14:paraId="5723992C" w14:textId="77777777" w:rsidR="006B629D" w:rsidRPr="006B629D" w:rsidRDefault="006B629D" w:rsidP="009A0275">
      <w:pPr>
        <w:spacing w:after="160" w:line="360" w:lineRule="auto"/>
        <w:ind w:left="720"/>
        <w:contextualSpacing/>
        <w:jc w:val="both"/>
        <w:rPr>
          <w:rFonts w:ascii="Times New Roman" w:eastAsia="Calibri" w:hAnsi="Times New Roman" w:cs="Times New Roman"/>
          <w:b/>
          <w:sz w:val="24"/>
          <w:szCs w:val="24"/>
        </w:rPr>
      </w:pPr>
      <w:r w:rsidRPr="006B629D">
        <w:rPr>
          <w:rFonts w:ascii="Times New Roman" w:eastAsia="Calibri" w:hAnsi="Times New Roman" w:cs="Times New Roman"/>
          <w:b/>
          <w:sz w:val="24"/>
          <w:szCs w:val="24"/>
        </w:rPr>
        <w:t>Uwarunkowania wynikające z prawa Unii Europejskiej</w:t>
      </w:r>
    </w:p>
    <w:p w14:paraId="0BB809C0" w14:textId="2737683A"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Obowiązek detaryfikacji cen gazu ziemnego wynika z </w:t>
      </w:r>
      <w:r w:rsidR="00CC1549">
        <w:rPr>
          <w:rFonts w:ascii="Times New Roman" w:eastAsia="Calibri" w:hAnsi="Times New Roman" w:cs="Times New Roman"/>
          <w:sz w:val="24"/>
          <w:szCs w:val="24"/>
        </w:rPr>
        <w:t>d</w:t>
      </w:r>
      <w:r w:rsidRPr="006B629D">
        <w:rPr>
          <w:rFonts w:ascii="Times New Roman" w:eastAsia="Calibri" w:hAnsi="Times New Roman" w:cs="Times New Roman"/>
          <w:sz w:val="24"/>
          <w:szCs w:val="24"/>
        </w:rPr>
        <w:t xml:space="preserve">yrektywy </w:t>
      </w:r>
      <w:r w:rsidR="00512333" w:rsidRPr="00B849A2">
        <w:rPr>
          <w:rFonts w:ascii="Times New Roman" w:hAnsi="Times New Roman" w:cs="Times New Roman"/>
          <w:sz w:val="24"/>
          <w:szCs w:val="24"/>
        </w:rPr>
        <w:t xml:space="preserve">Parlamentu Europejskiego </w:t>
      </w:r>
      <w:r w:rsidR="00E751DD">
        <w:rPr>
          <w:rFonts w:ascii="Times New Roman" w:hAnsi="Times New Roman" w:cs="Times New Roman"/>
          <w:sz w:val="24"/>
          <w:szCs w:val="24"/>
        </w:rPr>
        <w:br/>
      </w:r>
      <w:r w:rsidR="00512333" w:rsidRPr="00B849A2">
        <w:rPr>
          <w:rFonts w:ascii="Times New Roman" w:hAnsi="Times New Roman" w:cs="Times New Roman"/>
          <w:sz w:val="24"/>
          <w:szCs w:val="24"/>
        </w:rPr>
        <w:t>i Rady</w:t>
      </w:r>
      <w:r w:rsidR="00512333" w:rsidRPr="006B629D">
        <w:rPr>
          <w:rFonts w:ascii="Times New Roman" w:eastAsia="Calibri" w:hAnsi="Times New Roman" w:cs="Times New Roman"/>
          <w:sz w:val="24"/>
          <w:szCs w:val="24"/>
        </w:rPr>
        <w:t xml:space="preserve"> </w:t>
      </w:r>
      <w:r w:rsidR="00E751DD">
        <w:rPr>
          <w:rFonts w:ascii="Times New Roman" w:eastAsia="Calibri" w:hAnsi="Times New Roman" w:cs="Times New Roman"/>
          <w:sz w:val="24"/>
          <w:szCs w:val="24"/>
        </w:rPr>
        <w:t xml:space="preserve">2009/73/WE </w:t>
      </w:r>
      <w:r w:rsidRPr="006B629D">
        <w:rPr>
          <w:rFonts w:ascii="Times New Roman" w:eastAsia="Calibri" w:hAnsi="Times New Roman" w:cs="Times New Roman"/>
          <w:sz w:val="24"/>
          <w:szCs w:val="24"/>
        </w:rPr>
        <w:t xml:space="preserve">z dnia 13 lipca 2009 dotyczącej wspólnych zasad rynku wewnętrznego gazu ziemnego </w:t>
      </w:r>
      <w:r w:rsidR="00512333" w:rsidRPr="00B849A2">
        <w:rPr>
          <w:rFonts w:ascii="Times New Roman" w:hAnsi="Times New Roman" w:cs="Times New Roman"/>
          <w:sz w:val="24"/>
        </w:rPr>
        <w:t>i uchylająca dyrektywę 2003/55/WE</w:t>
      </w:r>
      <w:r w:rsidR="00512333" w:rsidRPr="00B849A2">
        <w:rPr>
          <w:rFonts w:ascii="Times New Roman" w:eastAsia="Calibri" w:hAnsi="Times New Roman" w:cs="Times New Roman"/>
          <w:sz w:val="28"/>
          <w:szCs w:val="24"/>
        </w:rPr>
        <w:t xml:space="preserve"> </w:t>
      </w:r>
      <w:r w:rsidR="00512333">
        <w:rPr>
          <w:rFonts w:ascii="Times New Roman" w:eastAsia="Calibri" w:hAnsi="Times New Roman" w:cs="Times New Roman"/>
          <w:sz w:val="24"/>
          <w:szCs w:val="24"/>
        </w:rPr>
        <w:t xml:space="preserve">(Dz. Urz. UE L 211 z 14.08.2009, </w:t>
      </w:r>
      <w:r w:rsidR="00E751DD">
        <w:rPr>
          <w:rFonts w:ascii="Times New Roman" w:eastAsia="Calibri" w:hAnsi="Times New Roman" w:cs="Times New Roman"/>
          <w:sz w:val="24"/>
          <w:szCs w:val="24"/>
        </w:rPr>
        <w:br/>
      </w:r>
      <w:r w:rsidR="00512333">
        <w:rPr>
          <w:rFonts w:ascii="Times New Roman" w:eastAsia="Calibri" w:hAnsi="Times New Roman" w:cs="Times New Roman"/>
          <w:sz w:val="24"/>
          <w:szCs w:val="24"/>
        </w:rPr>
        <w:lastRenderedPageBreak/>
        <w:t>str. 94</w:t>
      </w:r>
      <w:r w:rsidR="00FB6010">
        <w:rPr>
          <w:rFonts w:ascii="Times New Roman" w:eastAsia="Calibri" w:hAnsi="Times New Roman" w:cs="Times New Roman"/>
          <w:sz w:val="24"/>
          <w:szCs w:val="24"/>
        </w:rPr>
        <w:t>, z późn. zm.</w:t>
      </w:r>
      <w:r w:rsidR="00512333">
        <w:rPr>
          <w:rFonts w:ascii="Times New Roman" w:eastAsia="Calibri" w:hAnsi="Times New Roman" w:cs="Times New Roman"/>
          <w:sz w:val="24"/>
          <w:szCs w:val="24"/>
        </w:rPr>
        <w:t xml:space="preserve">) </w:t>
      </w:r>
      <w:r w:rsidRPr="006B629D">
        <w:rPr>
          <w:rFonts w:ascii="Times New Roman" w:eastAsia="Calibri" w:hAnsi="Times New Roman" w:cs="Times New Roman"/>
          <w:sz w:val="24"/>
          <w:szCs w:val="24"/>
        </w:rPr>
        <w:t xml:space="preserve">(tzw. </w:t>
      </w:r>
      <w:r w:rsidR="00512333">
        <w:rPr>
          <w:rFonts w:ascii="Times New Roman" w:eastAsia="Calibri" w:hAnsi="Times New Roman" w:cs="Times New Roman"/>
          <w:sz w:val="24"/>
          <w:szCs w:val="24"/>
        </w:rPr>
        <w:t>d</w:t>
      </w:r>
      <w:r w:rsidRPr="006B629D">
        <w:rPr>
          <w:rFonts w:ascii="Times New Roman" w:eastAsia="Calibri" w:hAnsi="Times New Roman" w:cs="Times New Roman"/>
          <w:sz w:val="24"/>
          <w:szCs w:val="24"/>
        </w:rPr>
        <w:t>yrektywy gazowej). Komisja Europejska stoi na stanowisku, że ochrona taryfowa odbiorców może być zgodna z art. 3 ust. 2 dyrektywy gazowej tylko</w:t>
      </w:r>
      <w:r w:rsidR="00FB6010">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w wypadku gdyby interwencja państwa spełniała wszystkie warunki ustanowione w wyroku TSUE </w:t>
      </w:r>
      <w:r w:rsidR="00E751DD">
        <w:rPr>
          <w:rFonts w:ascii="Times New Roman" w:eastAsia="Calibri" w:hAnsi="Times New Roman" w:cs="Times New Roman"/>
          <w:sz w:val="24"/>
          <w:szCs w:val="24"/>
        </w:rPr>
        <w:br/>
      </w:r>
      <w:r w:rsidRPr="006B629D">
        <w:rPr>
          <w:rFonts w:ascii="Times New Roman" w:eastAsia="Calibri" w:hAnsi="Times New Roman" w:cs="Times New Roman"/>
          <w:sz w:val="24"/>
          <w:szCs w:val="24"/>
        </w:rPr>
        <w:t xml:space="preserve">w sprawie </w:t>
      </w:r>
      <w:r w:rsidRPr="006B629D">
        <w:rPr>
          <w:rFonts w:ascii="Times New Roman" w:eastAsia="Calibri" w:hAnsi="Times New Roman" w:cs="Times New Roman"/>
          <w:i/>
          <w:sz w:val="24"/>
          <w:szCs w:val="24"/>
        </w:rPr>
        <w:t>Federutility</w:t>
      </w:r>
      <w:r w:rsidRPr="006B629D">
        <w:rPr>
          <w:rFonts w:ascii="Times New Roman" w:eastAsia="Calibri" w:hAnsi="Times New Roman" w:cs="Times New Roman"/>
          <w:sz w:val="24"/>
          <w:szCs w:val="24"/>
        </w:rPr>
        <w:t>, w którym sformułowane zostały trzy kryteria umożliwiające zbadanie, czy system interwencji państwa może zostać dopuszczony.</w:t>
      </w:r>
    </w:p>
    <w:p w14:paraId="2E5AB948" w14:textId="308D11AD"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Warunki dopuszczalności interwencji państwa w ceny gazu</w:t>
      </w:r>
      <w:r w:rsidR="00D32EC5">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w świetle wyroku TSUE </w:t>
      </w:r>
      <w:r w:rsidR="00E751DD">
        <w:rPr>
          <w:rFonts w:ascii="Times New Roman" w:eastAsia="Calibri" w:hAnsi="Times New Roman" w:cs="Times New Roman"/>
          <w:sz w:val="24"/>
          <w:szCs w:val="24"/>
        </w:rPr>
        <w:br/>
      </w:r>
      <w:r w:rsidRPr="006B629D">
        <w:rPr>
          <w:rFonts w:ascii="Times New Roman" w:eastAsia="Calibri" w:hAnsi="Times New Roman" w:cs="Times New Roman"/>
          <w:sz w:val="24"/>
          <w:szCs w:val="24"/>
        </w:rPr>
        <w:t xml:space="preserve">w sprawie </w:t>
      </w:r>
      <w:r w:rsidRPr="006B629D">
        <w:rPr>
          <w:rFonts w:ascii="Times New Roman" w:eastAsia="Calibri" w:hAnsi="Times New Roman" w:cs="Times New Roman"/>
          <w:i/>
          <w:sz w:val="24"/>
          <w:szCs w:val="24"/>
        </w:rPr>
        <w:t>Federutility</w:t>
      </w:r>
      <w:r w:rsidR="00D32EC5">
        <w:rPr>
          <w:rFonts w:ascii="Times New Roman" w:eastAsia="Calibri" w:hAnsi="Times New Roman" w:cs="Times New Roman"/>
          <w:i/>
          <w:sz w:val="24"/>
          <w:szCs w:val="24"/>
        </w:rPr>
        <w:t>,</w:t>
      </w:r>
      <w:r w:rsidRPr="006B629D">
        <w:rPr>
          <w:rFonts w:ascii="Times New Roman" w:eastAsia="Calibri" w:hAnsi="Times New Roman" w:cs="Times New Roman"/>
          <w:sz w:val="24"/>
          <w:szCs w:val="24"/>
        </w:rPr>
        <w:t xml:space="preserve"> to:</w:t>
      </w:r>
    </w:p>
    <w:p w14:paraId="6982D147" w14:textId="77777777" w:rsidR="006B629D" w:rsidRPr="006B629D" w:rsidRDefault="006B629D" w:rsidP="009A0275">
      <w:pPr>
        <w:numPr>
          <w:ilvl w:val="1"/>
          <w:numId w:val="22"/>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uzasadnienie ogólnym interesem gospodarczym, </w:t>
      </w:r>
    </w:p>
    <w:p w14:paraId="5AA36DA1" w14:textId="0AC54BE7" w:rsidR="006B629D" w:rsidRPr="006B629D" w:rsidRDefault="006B629D" w:rsidP="009A0275">
      <w:pPr>
        <w:numPr>
          <w:ilvl w:val="1"/>
          <w:numId w:val="22"/>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zachowanie zasady proporcjonalności, czyli interwencja państwa nie może ograniczać prawa do swobodnego ustalania cen w zakresie wykraczającym poza to, co niezbędne do osiągnięcia celu leżącego w ogólnym interesie gospodarczym </w:t>
      </w:r>
      <w:r w:rsidR="000D2B72">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interwencja musi być ograniczona w czasie i ograniczony powinien być także jej podmiotowy zakres zastosowania,</w:t>
      </w:r>
    </w:p>
    <w:p w14:paraId="4AB1955A" w14:textId="77777777" w:rsidR="006B629D" w:rsidRPr="006B629D" w:rsidRDefault="006B629D" w:rsidP="009A0275">
      <w:pPr>
        <w:numPr>
          <w:ilvl w:val="1"/>
          <w:numId w:val="22"/>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interwencja powinna być w oparta na jasnych, przejrzystych, niedyskryminujących</w:t>
      </w:r>
      <w:r w:rsidRPr="006B629D">
        <w:rPr>
          <w:rFonts w:ascii="Times New Roman" w:eastAsia="Calibri" w:hAnsi="Times New Roman" w:cs="Times New Roman"/>
          <w:sz w:val="24"/>
          <w:szCs w:val="24"/>
        </w:rPr>
        <w:br/>
        <w:t>i weryfikowalnych zasadach, które gwarantują przedsiębiorstwom Unii Europejskiej równy dostęp do odbiorców krajowych.</w:t>
      </w:r>
    </w:p>
    <w:p w14:paraId="19BB6BB3" w14:textId="45BFE393"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TSUE w wyroku z dnia 10 września 2015 roku (Komisja Europejska przeciwko Rzeczpospolitej Polskiej)</w:t>
      </w:r>
      <w:r w:rsidR="00D32EC5">
        <w:rPr>
          <w:rFonts w:ascii="Times New Roman" w:eastAsia="Calibri" w:hAnsi="Times New Roman" w:cs="Times New Roman"/>
          <w:sz w:val="24"/>
          <w:szCs w:val="24"/>
        </w:rPr>
        <w:t>,</w:t>
      </w:r>
      <w:r w:rsidRPr="006B629D">
        <w:rPr>
          <w:rFonts w:ascii="Times New Roman" w:eastAsia="Calibri" w:hAnsi="Times New Roman" w:cs="Times New Roman"/>
          <w:sz w:val="24"/>
          <w:szCs w:val="24"/>
        </w:rPr>
        <w:t xml:space="preserve"> podtrzymując tezy wyroku w sprawie </w:t>
      </w:r>
      <w:r w:rsidRPr="006B629D">
        <w:rPr>
          <w:rFonts w:ascii="Times New Roman" w:eastAsia="Calibri" w:hAnsi="Times New Roman" w:cs="Times New Roman"/>
          <w:i/>
          <w:sz w:val="24"/>
          <w:szCs w:val="24"/>
        </w:rPr>
        <w:t>Federutility</w:t>
      </w:r>
      <w:r w:rsidR="00D32EC5">
        <w:rPr>
          <w:rFonts w:ascii="Times New Roman" w:eastAsia="Calibri" w:hAnsi="Times New Roman" w:cs="Times New Roman"/>
          <w:i/>
          <w:sz w:val="24"/>
          <w:szCs w:val="24"/>
        </w:rPr>
        <w:t>,</w:t>
      </w:r>
      <w:r w:rsidRPr="006B629D">
        <w:rPr>
          <w:rFonts w:ascii="Times New Roman" w:eastAsia="Calibri" w:hAnsi="Times New Roman" w:cs="Times New Roman"/>
          <w:sz w:val="24"/>
          <w:szCs w:val="24"/>
        </w:rPr>
        <w:t xml:space="preserve"> zakwestionował polskie przepisy nakładające na przedsiębiorstwa energetyczne obowiązek cen dostaw gazu ziemnego zatwierdzanych przez Prezesa </w:t>
      </w:r>
      <w:r w:rsidR="00EE3033">
        <w:rPr>
          <w:rFonts w:ascii="Times New Roman" w:eastAsia="Calibri" w:hAnsi="Times New Roman" w:cs="Times New Roman"/>
          <w:sz w:val="24"/>
          <w:szCs w:val="24"/>
        </w:rPr>
        <w:t xml:space="preserve">URE </w:t>
      </w:r>
      <w:r w:rsidRPr="006B629D">
        <w:rPr>
          <w:rFonts w:ascii="Times New Roman" w:eastAsia="Calibri" w:hAnsi="Times New Roman" w:cs="Times New Roman"/>
          <w:sz w:val="24"/>
          <w:szCs w:val="24"/>
        </w:rPr>
        <w:t>i, w sytuacji gdy:</w:t>
      </w:r>
    </w:p>
    <w:p w14:paraId="461F68E0" w14:textId="77777777" w:rsidR="006B629D" w:rsidRPr="006B629D" w:rsidRDefault="006B629D" w:rsidP="009A0275">
      <w:pPr>
        <w:numPr>
          <w:ilvl w:val="1"/>
          <w:numId w:val="23"/>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obowiązek nie jest ograniczony w czasie,</w:t>
      </w:r>
    </w:p>
    <w:p w14:paraId="3E0731B7" w14:textId="77777777" w:rsidR="006B629D" w:rsidRPr="006B629D" w:rsidRDefault="006B629D" w:rsidP="009A0275">
      <w:pPr>
        <w:numPr>
          <w:ilvl w:val="1"/>
          <w:numId w:val="23"/>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prawo krajowe nie zobowiązuje organów administracji do okresowego badania konieczności i zasad jego stosowania w sektorze gazowniczym z uwzględnieniem stopnia rozwoju tego sektora,</w:t>
      </w:r>
    </w:p>
    <w:p w14:paraId="350B193D" w14:textId="61952456" w:rsidR="006B629D" w:rsidRPr="006B629D" w:rsidRDefault="006B629D" w:rsidP="009A0275">
      <w:pPr>
        <w:numPr>
          <w:ilvl w:val="1"/>
          <w:numId w:val="23"/>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taryfikacja stosuje się do nieograniczonego kręgu beneficjentów lub odbiorców bez rozróżnienia pomiędzy odbiorcami oraz bez rozróżnienia sytuacji odbiorców w ramach poszczególnych ich kategorii.</w:t>
      </w:r>
    </w:p>
    <w:p w14:paraId="05D4183F" w14:textId="46CA23AA"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lastRenderedPageBreak/>
        <w:t>W celu uniknięcia kar pieniężnych za naruszenie prawa Unii Europejskiej w dniu 30 listopada 2016 roku uchwalona została tzw. ustawa detaryfikacyjna</w:t>
      </w:r>
      <w:r w:rsidRPr="006B629D">
        <w:rPr>
          <w:rFonts w:ascii="Times New Roman" w:eastAsia="Calibri" w:hAnsi="Times New Roman" w:cs="Times New Roman"/>
          <w:sz w:val="24"/>
          <w:szCs w:val="24"/>
          <w:vertAlign w:val="superscript"/>
        </w:rPr>
        <w:footnoteReference w:id="2"/>
      </w:r>
      <w:r w:rsidR="00C570CE" w:rsidRPr="00C570CE">
        <w:rPr>
          <w:rFonts w:ascii="Times New Roman" w:eastAsia="Calibri" w:hAnsi="Times New Roman" w:cs="Times New Roman"/>
          <w:sz w:val="24"/>
          <w:szCs w:val="24"/>
          <w:vertAlign w:val="superscript"/>
        </w:rPr>
        <w:t>)</w:t>
      </w:r>
      <w:r w:rsidRPr="006B629D">
        <w:rPr>
          <w:rFonts w:ascii="Times New Roman" w:eastAsia="Calibri" w:hAnsi="Times New Roman" w:cs="Times New Roman"/>
          <w:sz w:val="24"/>
          <w:szCs w:val="24"/>
        </w:rPr>
        <w:t>. Ustawa wprowadziła stopniową detaryfikację:</w:t>
      </w:r>
    </w:p>
    <w:p w14:paraId="34B2EF9F" w14:textId="109AAB66" w:rsidR="006B629D" w:rsidRPr="006B629D" w:rsidRDefault="006B629D" w:rsidP="009A0275">
      <w:pPr>
        <w:numPr>
          <w:ilvl w:val="0"/>
          <w:numId w:val="24"/>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z dniem 1 stycznia 2017 roku dla odbiorców hurtowych i odbiorców końcowych dokonujących zakupu paliw gazowych</w:t>
      </w:r>
      <w:r w:rsidR="000D2B72">
        <w:rPr>
          <w:rFonts w:ascii="Times New Roman" w:eastAsia="Calibri" w:hAnsi="Times New Roman" w:cs="Times New Roman"/>
          <w:sz w:val="24"/>
          <w:szCs w:val="24"/>
        </w:rPr>
        <w:t xml:space="preserve"> </w:t>
      </w:r>
      <w:r w:rsidRPr="006B629D">
        <w:rPr>
          <w:rFonts w:ascii="Times New Roman" w:eastAsia="Calibri" w:hAnsi="Times New Roman" w:cs="Times New Roman"/>
          <w:sz w:val="24"/>
          <w:szCs w:val="24"/>
        </w:rPr>
        <w:t>w punkcie wirtualnym,</w:t>
      </w:r>
      <w:r w:rsidR="000D2B72">
        <w:rPr>
          <w:rFonts w:ascii="Times New Roman" w:eastAsia="Calibri" w:hAnsi="Times New Roman" w:cs="Times New Roman"/>
          <w:sz w:val="24"/>
          <w:szCs w:val="24"/>
        </w:rPr>
        <w:t xml:space="preserve"> </w:t>
      </w:r>
      <w:r w:rsidRPr="006B629D">
        <w:rPr>
          <w:rFonts w:ascii="Times New Roman" w:eastAsia="Calibri" w:hAnsi="Times New Roman" w:cs="Times New Roman"/>
          <w:sz w:val="24"/>
          <w:szCs w:val="24"/>
        </w:rPr>
        <w:t>w postaci skroplonego gazu ziemnego (LNG) lub sprężonego gazu ziemnego (CNG), lub</w:t>
      </w:r>
      <w:r w:rsidR="000D2B72">
        <w:rPr>
          <w:rFonts w:ascii="Times New Roman" w:eastAsia="Calibri" w:hAnsi="Times New Roman" w:cs="Times New Roman"/>
          <w:sz w:val="24"/>
          <w:szCs w:val="24"/>
        </w:rPr>
        <w:t xml:space="preserve"> </w:t>
      </w:r>
      <w:r w:rsidRPr="006B629D">
        <w:rPr>
          <w:rFonts w:ascii="Times New Roman" w:eastAsia="Calibri" w:hAnsi="Times New Roman" w:cs="Times New Roman"/>
          <w:sz w:val="24"/>
          <w:szCs w:val="24"/>
        </w:rPr>
        <w:t>w trybie przetargów, aukcji lub zamówień publicznych w rozumieniu przepisów o zamówieniach publicznych,</w:t>
      </w:r>
    </w:p>
    <w:p w14:paraId="4F9F6C38" w14:textId="77777777" w:rsidR="006B629D" w:rsidRPr="006B629D" w:rsidRDefault="006B629D" w:rsidP="009A0275">
      <w:pPr>
        <w:numPr>
          <w:ilvl w:val="0"/>
          <w:numId w:val="24"/>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z dniem 1 października 2017 roku dla pozostałych odbiorców końcowych niebędących odbiorcami w gospodarstwie domowym,</w:t>
      </w:r>
    </w:p>
    <w:p w14:paraId="320788CC" w14:textId="77777777" w:rsidR="006B629D" w:rsidRPr="006B629D" w:rsidRDefault="006B629D" w:rsidP="009A0275">
      <w:pPr>
        <w:numPr>
          <w:ilvl w:val="0"/>
          <w:numId w:val="24"/>
        </w:numPr>
        <w:spacing w:after="160" w:line="360" w:lineRule="auto"/>
        <w:ind w:left="723"/>
        <w:contextualSpacing/>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z dniem 1 stycznia 2024 roku dla odbiorców paliw gazowych w gospodarstwach domowych.</w:t>
      </w:r>
    </w:p>
    <w:p w14:paraId="6617B587" w14:textId="615E2BA8"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Biorąc pod uwagę kryteria przyjęte w orzecznictwie TSUE uznać należy, że obecny kryzys na rynku gazu uzasadnia rozszerzenie ochrony taryfowej odbiorców gazu ziemnego. </w:t>
      </w:r>
      <w:r w:rsidR="00C570CE">
        <w:rPr>
          <w:rFonts w:ascii="Times New Roman" w:eastAsia="Calibri" w:hAnsi="Times New Roman" w:cs="Times New Roman"/>
          <w:sz w:val="24"/>
          <w:szCs w:val="24"/>
        </w:rPr>
        <w:br/>
      </w:r>
      <w:r w:rsidRPr="006B629D">
        <w:rPr>
          <w:rFonts w:ascii="Times New Roman" w:eastAsia="Calibri" w:hAnsi="Times New Roman" w:cs="Times New Roman"/>
          <w:sz w:val="24"/>
          <w:szCs w:val="24"/>
        </w:rPr>
        <w:t>Z orzecznictwa TSUE wynika, że ochrona taka musi być ograniczona tylko do niektórych kategorii odbiorców (stąd propozycja rozszerzenia ochrony o, np. podmioty realizujące zadania z zakresu użyteczności publicznej) oraz limitowana w czasie (proponuje się ochronę taryfową do 31 grudnia 2023 roku).</w:t>
      </w:r>
    </w:p>
    <w:p w14:paraId="369BD775" w14:textId="1EFE2FCD" w:rsidR="006B629D" w:rsidRP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W obecnej sytuacji rynkowej (koszty zakupy gazu wielokrotnie przekraczają cenę taryfową) rozszerzenie ochrony taryfowej musi być połączone z systemem rekompensat dla sprzedawców gazu ziemnego. Mechanizm rekompensat ukształtowany został jako środek ochrony odbiorców w gospodarstwach domowych oraz odbiorców realizujących kluczowe zadania z zakresu użyteczności publicznej bez jedoczesnego zapewnienia korzyści finansowych sprzedawcom gazu. Dlatego też ustawa przewiduje odliczenie rekompensat od ewentualnej kwoty korekty, która mogłaby być odzyskiwana przez przedsiębiorstwo energetyczne korzystające z mechanizmu rozłożenia wzrostu cen taryfowych gazu ziemnego w czasie (art. 62f </w:t>
      </w:r>
      <w:r w:rsidR="00D32EC5">
        <w:rPr>
          <w:rFonts w:ascii="Times New Roman" w:eastAsia="Calibri" w:hAnsi="Times New Roman" w:cs="Times New Roman"/>
          <w:sz w:val="24"/>
          <w:szCs w:val="24"/>
        </w:rPr>
        <w:t xml:space="preserve">ustawy </w:t>
      </w:r>
      <w:r w:rsidR="000D2B72">
        <w:rPr>
          <w:rFonts w:ascii="Times New Roman" w:eastAsia="Calibri" w:hAnsi="Times New Roman" w:cs="Times New Roman"/>
          <w:sz w:val="24"/>
          <w:szCs w:val="24"/>
        </w:rPr>
        <w:t>–</w:t>
      </w:r>
      <w:r w:rsidRPr="006B629D">
        <w:rPr>
          <w:rFonts w:ascii="Times New Roman" w:eastAsia="Calibri" w:hAnsi="Times New Roman" w:cs="Times New Roman"/>
          <w:sz w:val="24"/>
          <w:szCs w:val="24"/>
        </w:rPr>
        <w:t>Praw</w:t>
      </w:r>
      <w:r w:rsidR="00D32EC5">
        <w:rPr>
          <w:rFonts w:ascii="Times New Roman" w:eastAsia="Calibri" w:hAnsi="Times New Roman" w:cs="Times New Roman"/>
          <w:sz w:val="24"/>
          <w:szCs w:val="24"/>
        </w:rPr>
        <w:t>o</w:t>
      </w:r>
      <w:r w:rsidRPr="006B629D">
        <w:rPr>
          <w:rFonts w:ascii="Times New Roman" w:eastAsia="Calibri" w:hAnsi="Times New Roman" w:cs="Times New Roman"/>
          <w:sz w:val="24"/>
          <w:szCs w:val="24"/>
        </w:rPr>
        <w:t xml:space="preserve"> energetyczne).</w:t>
      </w:r>
    </w:p>
    <w:p w14:paraId="59BB931A" w14:textId="0C313A9D" w:rsidR="006B629D" w:rsidRDefault="006B629D" w:rsidP="009A0275">
      <w:pPr>
        <w:spacing w:after="160" w:line="360" w:lineRule="auto"/>
        <w:jc w:val="both"/>
        <w:rPr>
          <w:rFonts w:ascii="Times New Roman" w:eastAsia="Calibri" w:hAnsi="Times New Roman" w:cs="Times New Roman"/>
          <w:sz w:val="24"/>
          <w:szCs w:val="24"/>
        </w:rPr>
      </w:pPr>
      <w:r w:rsidRPr="006B629D">
        <w:rPr>
          <w:rFonts w:ascii="Times New Roman" w:eastAsia="Calibri" w:hAnsi="Times New Roman" w:cs="Times New Roman"/>
          <w:sz w:val="24"/>
          <w:szCs w:val="24"/>
        </w:rPr>
        <w:t xml:space="preserve">Zgodnie z art. 3 ust. 11 dyrektywy gazowej państwa członkowskie informują Komisję </w:t>
      </w:r>
      <w:r w:rsidR="007C1A58">
        <w:rPr>
          <w:rFonts w:ascii="Times New Roman" w:eastAsia="Calibri" w:hAnsi="Times New Roman" w:cs="Times New Roman"/>
          <w:sz w:val="24"/>
          <w:szCs w:val="24"/>
        </w:rPr>
        <w:br/>
      </w:r>
      <w:r w:rsidRPr="006B629D">
        <w:rPr>
          <w:rFonts w:ascii="Times New Roman" w:eastAsia="Calibri" w:hAnsi="Times New Roman" w:cs="Times New Roman"/>
          <w:sz w:val="24"/>
          <w:szCs w:val="24"/>
        </w:rPr>
        <w:t xml:space="preserve">o wszystkich środkach przyjętych w celu spełnienia obowiązków użyteczności publicznej, </w:t>
      </w:r>
      <w:r w:rsidR="007C1A58">
        <w:rPr>
          <w:rFonts w:ascii="Times New Roman" w:eastAsia="Calibri" w:hAnsi="Times New Roman" w:cs="Times New Roman"/>
          <w:sz w:val="24"/>
          <w:szCs w:val="24"/>
        </w:rPr>
        <w:br/>
      </w:r>
      <w:r w:rsidRPr="006B629D">
        <w:rPr>
          <w:rFonts w:ascii="Times New Roman" w:eastAsia="Calibri" w:hAnsi="Times New Roman" w:cs="Times New Roman"/>
          <w:sz w:val="24"/>
          <w:szCs w:val="24"/>
        </w:rPr>
        <w:t>w tym również ochrony konsumentów i ochrony środowiska, a także o ich możliwym wpływie na kon</w:t>
      </w:r>
      <w:r w:rsidRPr="006B629D">
        <w:rPr>
          <w:rFonts w:ascii="Times New Roman" w:eastAsia="Calibri" w:hAnsi="Times New Roman" w:cs="Times New Roman"/>
          <w:sz w:val="24"/>
          <w:szCs w:val="24"/>
        </w:rPr>
        <w:lastRenderedPageBreak/>
        <w:t>kurencję krajową i międzynarodową oraz o tym, czy takie środki wymagają odstępstwa od reguł dyrektywy. W związku z powyższym zmiana przepisów dotyczących taryfikacji cen gazu ziemnego wymaga poinformowania Komisji Europejskiej.</w:t>
      </w:r>
    </w:p>
    <w:p w14:paraId="57A23DC0" w14:textId="77777777" w:rsidR="00E979D0" w:rsidRPr="009A0275" w:rsidRDefault="00E979D0" w:rsidP="009A0275">
      <w:pPr>
        <w:spacing w:after="160" w:line="360" w:lineRule="auto"/>
        <w:jc w:val="both"/>
        <w:rPr>
          <w:rFonts w:ascii="Times New Roman" w:eastAsia="Calibri" w:hAnsi="Times New Roman" w:cs="Times New Roman"/>
          <w:sz w:val="24"/>
          <w:szCs w:val="24"/>
        </w:rPr>
      </w:pPr>
    </w:p>
    <w:p w14:paraId="51F0B5A2" w14:textId="39512381" w:rsidR="00F81CCE" w:rsidRPr="006B629D" w:rsidRDefault="00F533FE" w:rsidP="000F3624">
      <w:pPr>
        <w:pStyle w:val="ARTartustawynprozporzdzenia"/>
        <w:keepNext/>
        <w:keepLines/>
        <w:numPr>
          <w:ilvl w:val="0"/>
          <w:numId w:val="1"/>
        </w:numPr>
        <w:spacing w:before="0" w:after="240"/>
        <w:ind w:left="425" w:hanging="425"/>
        <w:rPr>
          <w:rFonts w:ascii="Times New Roman" w:hAnsi="Times New Roman" w:cs="Times New Roman"/>
          <w:b/>
          <w:szCs w:val="24"/>
        </w:rPr>
      </w:pPr>
      <w:r w:rsidRPr="006B629D">
        <w:rPr>
          <w:rFonts w:ascii="Times New Roman" w:hAnsi="Times New Roman" w:cs="Times New Roman"/>
          <w:b/>
          <w:szCs w:val="24"/>
        </w:rPr>
        <w:t>Z</w:t>
      </w:r>
      <w:r w:rsidR="00F81CCE" w:rsidRPr="006B629D">
        <w:rPr>
          <w:rFonts w:ascii="Times New Roman" w:hAnsi="Times New Roman" w:cs="Times New Roman"/>
          <w:b/>
          <w:szCs w:val="24"/>
        </w:rPr>
        <w:t>miany dotyczące sposobu realizacji obowiązku utrzymywania zapasów obowiązkowych</w:t>
      </w:r>
      <w:r w:rsidR="000D2B72">
        <w:rPr>
          <w:rFonts w:ascii="Times New Roman" w:hAnsi="Times New Roman" w:cs="Times New Roman"/>
          <w:b/>
          <w:szCs w:val="24"/>
        </w:rPr>
        <w:t xml:space="preserve"> –</w:t>
      </w:r>
      <w:r w:rsidR="00503E56">
        <w:rPr>
          <w:rFonts w:ascii="Times New Roman" w:hAnsi="Times New Roman" w:cs="Times New Roman"/>
          <w:b/>
          <w:szCs w:val="24"/>
        </w:rPr>
        <w:t xml:space="preserve"> </w:t>
      </w:r>
      <w:r w:rsidR="00F81CCE" w:rsidRPr="006B629D">
        <w:rPr>
          <w:rFonts w:ascii="Times New Roman" w:hAnsi="Times New Roman" w:cs="Times New Roman"/>
          <w:b/>
          <w:szCs w:val="24"/>
        </w:rPr>
        <w:t>zmiana ustawy z dnia 16 lutego 2007 r. o zapasach ropy naftowej, produktów naftowych i gazu ziemnego oraz zasadach postępowania w sytuacjach zagrożenia bezpieczeństwa paliwowego państwa i zakłóceń na rynku naftowy</w:t>
      </w:r>
      <w:r w:rsidR="00512333">
        <w:rPr>
          <w:rFonts w:ascii="Times New Roman" w:hAnsi="Times New Roman" w:cs="Times New Roman"/>
          <w:b/>
          <w:szCs w:val="24"/>
        </w:rPr>
        <w:t xml:space="preserve"> </w:t>
      </w:r>
      <w:r w:rsidR="00512333">
        <w:t>(Dz. U. z 2021 r. poz. 2249)</w:t>
      </w:r>
      <w:r w:rsidR="00F81CCE" w:rsidRPr="006B629D">
        <w:rPr>
          <w:rFonts w:ascii="Times New Roman" w:hAnsi="Times New Roman" w:cs="Times New Roman"/>
          <w:b/>
          <w:szCs w:val="24"/>
        </w:rPr>
        <w:t xml:space="preserve">, </w:t>
      </w:r>
      <w:r w:rsidR="00C91F22" w:rsidRPr="006B629D">
        <w:rPr>
          <w:rFonts w:ascii="Times New Roman" w:hAnsi="Times New Roman" w:cs="Times New Roman"/>
          <w:b/>
          <w:szCs w:val="24"/>
        </w:rPr>
        <w:t>oraz</w:t>
      </w:r>
      <w:r w:rsidR="00F81CCE" w:rsidRPr="006B629D">
        <w:rPr>
          <w:rFonts w:ascii="Times New Roman" w:hAnsi="Times New Roman" w:cs="Times New Roman"/>
          <w:b/>
          <w:szCs w:val="24"/>
        </w:rPr>
        <w:t xml:space="preserve"> ustawy </w:t>
      </w:r>
      <w:r w:rsidR="00C91F22" w:rsidRPr="006B629D">
        <w:rPr>
          <w:rFonts w:ascii="Times New Roman" w:hAnsi="Times New Roman" w:cs="Times New Roman"/>
          <w:b/>
          <w:szCs w:val="24"/>
        </w:rPr>
        <w:t>z dnia 17 grudnia 2020 r. o rezerwach strategicznych</w:t>
      </w:r>
      <w:r w:rsidR="00512333">
        <w:rPr>
          <w:rFonts w:ascii="Times New Roman" w:hAnsi="Times New Roman" w:cs="Times New Roman"/>
          <w:b/>
          <w:szCs w:val="24"/>
        </w:rPr>
        <w:t xml:space="preserve"> </w:t>
      </w:r>
      <w:r w:rsidR="00512333" w:rsidRPr="007C1A58">
        <w:rPr>
          <w:rFonts w:ascii="Times New Roman" w:hAnsi="Times New Roman" w:cs="Times New Roman"/>
        </w:rPr>
        <w:t>(Dz.</w:t>
      </w:r>
      <w:r w:rsidR="00512333">
        <w:rPr>
          <w:rFonts w:ascii="Times New Roman" w:hAnsi="Times New Roman" w:cs="Times New Roman"/>
        </w:rPr>
        <w:t xml:space="preserve"> </w:t>
      </w:r>
      <w:r w:rsidR="00512333" w:rsidRPr="007C1A58">
        <w:rPr>
          <w:rFonts w:ascii="Times New Roman" w:hAnsi="Times New Roman" w:cs="Times New Roman"/>
        </w:rPr>
        <w:t>U</w:t>
      </w:r>
      <w:r w:rsidR="00512333">
        <w:rPr>
          <w:rFonts w:ascii="Times New Roman" w:hAnsi="Times New Roman" w:cs="Times New Roman"/>
        </w:rPr>
        <w:t>. z</w:t>
      </w:r>
      <w:r w:rsidR="00512333" w:rsidRPr="007C1A58">
        <w:rPr>
          <w:rFonts w:ascii="Times New Roman" w:hAnsi="Times New Roman" w:cs="Times New Roman"/>
        </w:rPr>
        <w:t xml:space="preserve"> 2021 </w:t>
      </w:r>
      <w:r w:rsidR="00512333">
        <w:rPr>
          <w:rFonts w:ascii="Times New Roman" w:hAnsi="Times New Roman" w:cs="Times New Roman"/>
        </w:rPr>
        <w:t xml:space="preserve">r. </w:t>
      </w:r>
      <w:r w:rsidR="00512333" w:rsidRPr="007C1A58">
        <w:rPr>
          <w:rFonts w:ascii="Times New Roman" w:hAnsi="Times New Roman" w:cs="Times New Roman"/>
        </w:rPr>
        <w:t>poz. 255</w:t>
      </w:r>
      <w:r w:rsidR="00512333">
        <w:rPr>
          <w:rFonts w:ascii="Times New Roman" w:hAnsi="Times New Roman" w:cs="Times New Roman"/>
        </w:rPr>
        <w:t>, z późn. zm.</w:t>
      </w:r>
      <w:r w:rsidR="00512333" w:rsidRPr="007C1A58">
        <w:rPr>
          <w:rFonts w:ascii="Times New Roman" w:hAnsi="Times New Roman" w:cs="Times New Roman"/>
        </w:rPr>
        <w:t>)</w:t>
      </w:r>
    </w:p>
    <w:p w14:paraId="1A74EF68" w14:textId="07BC38AB" w:rsidR="00F81CCE" w:rsidRPr="006B629D" w:rsidRDefault="00F81CCE" w:rsidP="009A0275">
      <w:pPr>
        <w:pStyle w:val="ARTartustawynprozporzdzenia"/>
        <w:spacing w:before="0" w:after="120"/>
        <w:ind w:firstLine="0"/>
        <w:rPr>
          <w:rFonts w:ascii="Times New Roman" w:hAnsi="Times New Roman" w:cs="Times New Roman"/>
          <w:bCs/>
          <w:szCs w:val="24"/>
        </w:rPr>
      </w:pPr>
      <w:r w:rsidRPr="006B629D">
        <w:rPr>
          <w:rFonts w:ascii="Times New Roman" w:hAnsi="Times New Roman" w:cs="Times New Roman"/>
          <w:bCs/>
          <w:szCs w:val="24"/>
        </w:rPr>
        <w:t xml:space="preserve">Zgodnie z projektem, </w:t>
      </w:r>
      <w:r w:rsidR="00C91F22" w:rsidRPr="006B629D">
        <w:rPr>
          <w:rFonts w:ascii="Times New Roman" w:hAnsi="Times New Roman" w:cs="Times New Roman"/>
          <w:bCs/>
          <w:szCs w:val="24"/>
        </w:rPr>
        <w:t xml:space="preserve">wprowadzona zostanie możliwość zlecenia przez zobowiązane do utrzymywania zapasów obowiązkowych gazu ziemnego podmioty zadań z zakresu utrzymywania tych zapasów również </w:t>
      </w:r>
      <w:r w:rsidRPr="006B629D">
        <w:rPr>
          <w:rFonts w:ascii="Times New Roman" w:hAnsi="Times New Roman" w:cs="Times New Roman"/>
          <w:bCs/>
          <w:szCs w:val="24"/>
        </w:rPr>
        <w:t>Rządow</w:t>
      </w:r>
      <w:r w:rsidR="00C91F22" w:rsidRPr="006B629D">
        <w:rPr>
          <w:rFonts w:ascii="Times New Roman" w:hAnsi="Times New Roman" w:cs="Times New Roman"/>
          <w:bCs/>
          <w:szCs w:val="24"/>
        </w:rPr>
        <w:t>ej</w:t>
      </w:r>
      <w:r w:rsidRPr="006B629D">
        <w:rPr>
          <w:rFonts w:ascii="Times New Roman" w:hAnsi="Times New Roman" w:cs="Times New Roman"/>
          <w:bCs/>
          <w:szCs w:val="24"/>
        </w:rPr>
        <w:t xml:space="preserve"> Agencj</w:t>
      </w:r>
      <w:r w:rsidR="00C91F22" w:rsidRPr="006B629D">
        <w:rPr>
          <w:rFonts w:ascii="Times New Roman" w:hAnsi="Times New Roman" w:cs="Times New Roman"/>
          <w:bCs/>
          <w:szCs w:val="24"/>
        </w:rPr>
        <w:t>i</w:t>
      </w:r>
      <w:r w:rsidRPr="006B629D">
        <w:rPr>
          <w:rFonts w:ascii="Times New Roman" w:hAnsi="Times New Roman" w:cs="Times New Roman"/>
          <w:bCs/>
          <w:szCs w:val="24"/>
        </w:rPr>
        <w:t xml:space="preserve"> Rezerw Strategicznych</w:t>
      </w:r>
      <w:r w:rsidR="00A215E5" w:rsidRPr="006B629D">
        <w:rPr>
          <w:rFonts w:ascii="Times New Roman" w:hAnsi="Times New Roman" w:cs="Times New Roman"/>
          <w:bCs/>
          <w:szCs w:val="24"/>
        </w:rPr>
        <w:t>. T</w:t>
      </w:r>
      <w:r w:rsidRPr="006B629D">
        <w:rPr>
          <w:rFonts w:ascii="Times New Roman" w:hAnsi="Times New Roman" w:cs="Times New Roman"/>
          <w:bCs/>
          <w:szCs w:val="24"/>
        </w:rPr>
        <w:t>zw. usług</w:t>
      </w:r>
      <w:r w:rsidR="00A215E5" w:rsidRPr="006B629D">
        <w:rPr>
          <w:rFonts w:ascii="Times New Roman" w:hAnsi="Times New Roman" w:cs="Times New Roman"/>
          <w:bCs/>
          <w:szCs w:val="24"/>
        </w:rPr>
        <w:t>a</w:t>
      </w:r>
      <w:r w:rsidRPr="006B629D">
        <w:rPr>
          <w:rFonts w:ascii="Times New Roman" w:hAnsi="Times New Roman" w:cs="Times New Roman"/>
          <w:bCs/>
          <w:szCs w:val="24"/>
        </w:rPr>
        <w:t xml:space="preserve"> biletow</w:t>
      </w:r>
      <w:r w:rsidR="00A215E5" w:rsidRPr="006B629D">
        <w:rPr>
          <w:rFonts w:ascii="Times New Roman" w:hAnsi="Times New Roman" w:cs="Times New Roman"/>
          <w:bCs/>
          <w:szCs w:val="24"/>
        </w:rPr>
        <w:t>a</w:t>
      </w:r>
      <w:r w:rsidRPr="006B629D">
        <w:rPr>
          <w:rFonts w:ascii="Times New Roman" w:hAnsi="Times New Roman" w:cs="Times New Roman"/>
          <w:bCs/>
          <w:szCs w:val="24"/>
        </w:rPr>
        <w:t xml:space="preserve"> stanowi alternatywną formę realizacji obowiązku utrzymywania zapas</w:t>
      </w:r>
      <w:r w:rsidR="00A215E5" w:rsidRPr="006B629D">
        <w:rPr>
          <w:rFonts w:ascii="Times New Roman" w:hAnsi="Times New Roman" w:cs="Times New Roman"/>
          <w:bCs/>
          <w:szCs w:val="24"/>
        </w:rPr>
        <w:t>ów</w:t>
      </w:r>
      <w:r w:rsidRPr="006B629D">
        <w:rPr>
          <w:rFonts w:ascii="Times New Roman" w:hAnsi="Times New Roman" w:cs="Times New Roman"/>
          <w:bCs/>
          <w:szCs w:val="24"/>
        </w:rPr>
        <w:t xml:space="preserve"> </w:t>
      </w:r>
      <w:r w:rsidR="00A215E5" w:rsidRPr="006B629D">
        <w:rPr>
          <w:rFonts w:ascii="Times New Roman" w:hAnsi="Times New Roman" w:cs="Times New Roman"/>
          <w:bCs/>
          <w:szCs w:val="24"/>
        </w:rPr>
        <w:t xml:space="preserve">obowiązkowych </w:t>
      </w:r>
      <w:r w:rsidRPr="006B629D">
        <w:rPr>
          <w:rFonts w:ascii="Times New Roman" w:hAnsi="Times New Roman" w:cs="Times New Roman"/>
          <w:bCs/>
          <w:szCs w:val="24"/>
        </w:rPr>
        <w:t>gazu ziemnego w stosunku do zakupu usługi we własnym zakresie w ramach pojemności magazynowych oferowanych przez operatora systemu magazynowania lub utrzymywania zapas</w:t>
      </w:r>
      <w:r w:rsidR="00A215E5" w:rsidRPr="006B629D">
        <w:rPr>
          <w:rFonts w:ascii="Times New Roman" w:hAnsi="Times New Roman" w:cs="Times New Roman"/>
          <w:bCs/>
          <w:szCs w:val="24"/>
        </w:rPr>
        <w:t>ów</w:t>
      </w:r>
      <w:r w:rsidRPr="006B629D">
        <w:rPr>
          <w:rFonts w:ascii="Times New Roman" w:hAnsi="Times New Roman" w:cs="Times New Roman"/>
          <w:bCs/>
          <w:szCs w:val="24"/>
        </w:rPr>
        <w:t xml:space="preserve"> poza granicami kraju.</w:t>
      </w:r>
      <w:r w:rsidR="00A215E5" w:rsidRPr="006B629D">
        <w:rPr>
          <w:rFonts w:ascii="Times New Roman" w:hAnsi="Times New Roman" w:cs="Times New Roman"/>
          <w:bCs/>
          <w:szCs w:val="24"/>
        </w:rPr>
        <w:t xml:space="preserve"> Obecnie usługę biletową mogą świadczyć jedynie przedsiębiorstwa energetyczne wykonujące działalność gospodarczą w zakresie obrotu gazem ziemnym z zagranicą lub przedsiębiorstwa energetyczne wykonujące działalność gospodarczą w zakresie obrotu paliwami gazowymi.</w:t>
      </w:r>
    </w:p>
    <w:p w14:paraId="13111D4F" w14:textId="5E5D2502" w:rsidR="00F81CCE" w:rsidRPr="006B629D" w:rsidRDefault="00F81CCE" w:rsidP="009A0275">
      <w:pPr>
        <w:pStyle w:val="ARTartustawynprozporzdzenia"/>
        <w:spacing w:before="0" w:after="120"/>
        <w:ind w:firstLine="0"/>
        <w:rPr>
          <w:rFonts w:ascii="Times New Roman" w:hAnsi="Times New Roman" w:cs="Times New Roman"/>
        </w:rPr>
      </w:pPr>
      <w:r w:rsidRPr="006B629D">
        <w:rPr>
          <w:rFonts w:ascii="Times New Roman" w:hAnsi="Times New Roman" w:cs="Times New Roman"/>
        </w:rPr>
        <w:t>W celu realnego zwiększenia roli Rządowej Agencji Rezerw Strategicznych w systemie bezpieczeństwa dostaw gazu</w:t>
      </w:r>
      <w:r w:rsidR="00A215E5" w:rsidRPr="006B629D">
        <w:rPr>
          <w:rFonts w:ascii="Times New Roman" w:hAnsi="Times New Roman" w:cs="Times New Roman"/>
        </w:rPr>
        <w:t xml:space="preserve"> ziemnego</w:t>
      </w:r>
      <w:r w:rsidRPr="006B629D">
        <w:rPr>
          <w:rFonts w:ascii="Times New Roman" w:hAnsi="Times New Roman" w:cs="Times New Roman"/>
        </w:rPr>
        <w:t>, przedmiotowy projekt stwarza podstawę do nabycia przez nią w imieniu Skarbu Państwa gazu ziemnego, na cele utrzymania zapasów obowiązkowych. Agencja będzie zobowiązana do działania na podstawie tych samych przepisów, co pozostałe podmioty świadczące usługę biletową, z tą różnicą, że wyłączone zostało stosowanie art. 24b ust. 6</w:t>
      </w:r>
      <w:r w:rsidR="000D2B72">
        <w:rPr>
          <w:rFonts w:ascii="Times New Roman" w:hAnsi="Times New Roman" w:cs="Times New Roman"/>
        </w:rPr>
        <w:t>–</w:t>
      </w:r>
      <w:r w:rsidRPr="006B629D">
        <w:rPr>
          <w:rFonts w:ascii="Times New Roman" w:hAnsi="Times New Roman" w:cs="Times New Roman"/>
        </w:rPr>
        <w:t>8 ustawy, które przewidywały kontrolę organu regulacyjnego przed zawarciem umowy biletowej. Celem tej kontroli było zagwarantowanie</w:t>
      </w:r>
      <w:r w:rsidR="00F7113D" w:rsidRPr="006B629D">
        <w:rPr>
          <w:rFonts w:ascii="Times New Roman" w:hAnsi="Times New Roman" w:cs="Times New Roman"/>
        </w:rPr>
        <w:t>,</w:t>
      </w:r>
      <w:r w:rsidRPr="006B629D">
        <w:rPr>
          <w:rFonts w:ascii="Times New Roman" w:hAnsi="Times New Roman" w:cs="Times New Roman"/>
        </w:rPr>
        <w:t xml:space="preserve"> by treść umów biletowych zapewniała realizację ustawowego celu</w:t>
      </w:r>
      <w:r w:rsidR="00F7113D" w:rsidRPr="006B629D">
        <w:rPr>
          <w:rFonts w:ascii="Times New Roman" w:hAnsi="Times New Roman" w:cs="Times New Roman"/>
        </w:rPr>
        <w:t>,</w:t>
      </w:r>
      <w:r w:rsidRPr="006B629D">
        <w:rPr>
          <w:rFonts w:ascii="Times New Roman" w:hAnsi="Times New Roman" w:cs="Times New Roman"/>
        </w:rPr>
        <w:t xml:space="preserve"> jakim jest zapewnienie funkcjonowania </w:t>
      </w:r>
      <w:r w:rsidR="00F7113D" w:rsidRPr="006B629D">
        <w:rPr>
          <w:rFonts w:ascii="Times New Roman" w:hAnsi="Times New Roman" w:cs="Times New Roman"/>
        </w:rPr>
        <w:t xml:space="preserve">zapasów </w:t>
      </w:r>
      <w:r w:rsidRPr="006B629D">
        <w:rPr>
          <w:rFonts w:ascii="Times New Roman" w:hAnsi="Times New Roman" w:cs="Times New Roman"/>
        </w:rPr>
        <w:t>obowiązkowych gazu</w:t>
      </w:r>
      <w:r w:rsidR="00F7113D" w:rsidRPr="006B629D">
        <w:rPr>
          <w:rFonts w:ascii="Times New Roman" w:hAnsi="Times New Roman" w:cs="Times New Roman"/>
        </w:rPr>
        <w:t xml:space="preserve"> ziemnego</w:t>
      </w:r>
      <w:r w:rsidRPr="006B629D">
        <w:rPr>
          <w:rFonts w:ascii="Times New Roman" w:hAnsi="Times New Roman" w:cs="Times New Roman"/>
        </w:rPr>
        <w:t xml:space="preserve">, stanowiących podstawę krajowego systemu bezpieczeństwa w razie wystąpienia sytuacji kryzysowej oraz zabezpieczenie podmiotów zlecających tego typu usługę przed nadużyciami ze strony tzw. biletera. W ocenie projektodawcy, brak jest zasadności dla stosowania tych przepisów w stosunku do umów </w:t>
      </w:r>
      <w:r w:rsidRPr="006B629D">
        <w:rPr>
          <w:rFonts w:ascii="Times New Roman" w:hAnsi="Times New Roman" w:cs="Times New Roman"/>
        </w:rPr>
        <w:lastRenderedPageBreak/>
        <w:t xml:space="preserve">zawieranych przez Agencję, która jako organ realizujący swoje ustawowe </w:t>
      </w:r>
      <w:r w:rsidR="00F7113D" w:rsidRPr="006B629D">
        <w:rPr>
          <w:rFonts w:ascii="Times New Roman" w:hAnsi="Times New Roman" w:cs="Times New Roman"/>
        </w:rPr>
        <w:t xml:space="preserve">obowiązki </w:t>
      </w:r>
      <w:r w:rsidRPr="006B629D">
        <w:rPr>
          <w:rFonts w:ascii="Times New Roman" w:hAnsi="Times New Roman" w:cs="Times New Roman"/>
        </w:rPr>
        <w:t>będzie podlegała nadzorowi Prezesa Rady Ministrów.</w:t>
      </w:r>
      <w:r w:rsidR="00F7113D" w:rsidRPr="006B629D">
        <w:rPr>
          <w:rFonts w:ascii="Times New Roman" w:hAnsi="Times New Roman" w:cs="Times New Roman"/>
        </w:rPr>
        <w:t xml:space="preserve"> </w:t>
      </w:r>
    </w:p>
    <w:p w14:paraId="129E1FD7" w14:textId="239DF030" w:rsidR="00F81CCE" w:rsidRPr="006B629D" w:rsidRDefault="00F81CCE" w:rsidP="009A0275">
      <w:pPr>
        <w:pStyle w:val="ARTartustawynprozporzdzenia"/>
        <w:spacing w:before="0" w:after="120"/>
        <w:ind w:firstLine="0"/>
        <w:rPr>
          <w:rFonts w:ascii="Times New Roman" w:hAnsi="Times New Roman" w:cs="Times New Roman"/>
        </w:rPr>
      </w:pPr>
      <w:r w:rsidRPr="006B629D">
        <w:rPr>
          <w:rFonts w:ascii="Times New Roman" w:hAnsi="Times New Roman" w:cs="Times New Roman"/>
        </w:rPr>
        <w:t>Tym samym konieczne jest również dokonanie zmian w sposobie, w jaki Agencja dokonuje zakupu towarów oraz usług. Agencja jako podmiot publiczny jest zobligowana do stosowania przepisów ustawy z dnia 11 września 2019 r. – Prawo zamówień publicznych</w:t>
      </w:r>
      <w:r w:rsidR="00D32EC5">
        <w:rPr>
          <w:rFonts w:ascii="Times New Roman" w:hAnsi="Times New Roman" w:cs="Times New Roman"/>
        </w:rPr>
        <w:t xml:space="preserve"> </w:t>
      </w:r>
      <w:r w:rsidR="00D32EC5">
        <w:t>(Dz. U. z 2021 r. poz. 1129, z późn. zm.)</w:t>
      </w:r>
      <w:r w:rsidRPr="006B629D">
        <w:rPr>
          <w:rFonts w:ascii="Times New Roman" w:hAnsi="Times New Roman" w:cs="Times New Roman"/>
        </w:rPr>
        <w:t xml:space="preserve">. Mając na względzie fakt, iż tworzenie zapasów obowiązkowych gazu ziemnego jest usługą świadczoną w ogólnym interesie gospodarczym oraz dotyczy bezpieczeństwa dostaw gazu ziemnego, należy uznać, że </w:t>
      </w:r>
      <w:r w:rsidRPr="007C1A58">
        <w:rPr>
          <w:rFonts w:ascii="Times New Roman" w:hAnsi="Times New Roman" w:cs="Times New Roman"/>
        </w:rPr>
        <w:t xml:space="preserve">wprowadzone </w:t>
      </w:r>
      <w:r w:rsidR="00F7113D" w:rsidRPr="007C1A58">
        <w:rPr>
          <w:rFonts w:ascii="Times New Roman" w:hAnsi="Times New Roman" w:cs="Times New Roman"/>
        </w:rPr>
        <w:t xml:space="preserve">art. 2. </w:t>
      </w:r>
      <w:r w:rsidR="00883432">
        <w:rPr>
          <w:rFonts w:ascii="Times New Roman" w:hAnsi="Times New Roman" w:cs="Times New Roman"/>
        </w:rPr>
        <w:t xml:space="preserve">projektowanej ustawy </w:t>
      </w:r>
      <w:r w:rsidRPr="007C1A58">
        <w:rPr>
          <w:rFonts w:ascii="Times New Roman" w:hAnsi="Times New Roman" w:cs="Times New Roman"/>
        </w:rPr>
        <w:t>zwolnienia</w:t>
      </w:r>
      <w:r w:rsidRPr="006B629D">
        <w:rPr>
          <w:rFonts w:ascii="Times New Roman" w:hAnsi="Times New Roman" w:cs="Times New Roman"/>
        </w:rPr>
        <w:t xml:space="preserve"> spod reżimu prawnego systemu zamówień publicznych jest proporcjonalne oraz nie wprowadza dyskryminacyjnych kryteriów, które mogłyby wywierać wpływ na możliwość swobodnego konkurowania.</w:t>
      </w:r>
    </w:p>
    <w:p w14:paraId="5738412A" w14:textId="4B990047" w:rsidR="00F81CCE" w:rsidRPr="006B629D" w:rsidRDefault="00F81CCE" w:rsidP="009A0275">
      <w:pPr>
        <w:pStyle w:val="ARTartustawynprozporzdzenia"/>
        <w:ind w:firstLine="0"/>
        <w:rPr>
          <w:rFonts w:ascii="Times New Roman" w:hAnsi="Times New Roman" w:cs="Times New Roman"/>
          <w:bCs/>
          <w:szCs w:val="24"/>
        </w:rPr>
      </w:pPr>
      <w:r w:rsidRPr="006B629D">
        <w:rPr>
          <w:rFonts w:ascii="Times New Roman" w:hAnsi="Times New Roman" w:cs="Times New Roman"/>
          <w:bCs/>
          <w:szCs w:val="24"/>
        </w:rPr>
        <w:t>Dodatkowo, przewiduje się wprowadzenie regulacji umożliwiającej Agencji rozpoczęcie świadczenia usług biletowych już w bieżącym roku gazowym. W tym celu, dla zapewnienia transparentności i większej efektywności modelu, przedmiotowy przepis umożliwia Agencji przejęcie na rzecz Skarbu Państwa zapasów obowiązkowych lub ich części. Dlatego też podmioty</w:t>
      </w:r>
      <w:r w:rsidR="00883432">
        <w:rPr>
          <w:rFonts w:ascii="Times New Roman" w:hAnsi="Times New Roman" w:cs="Times New Roman"/>
          <w:bCs/>
          <w:szCs w:val="24"/>
        </w:rPr>
        <w:t>,</w:t>
      </w:r>
      <w:r w:rsidRPr="006B629D">
        <w:rPr>
          <w:rFonts w:ascii="Times New Roman" w:hAnsi="Times New Roman" w:cs="Times New Roman"/>
          <w:bCs/>
          <w:szCs w:val="24"/>
        </w:rPr>
        <w:t xml:space="preserve"> które są zobowiązane do utworzenia oraz utrzymywania zapasów obowiązkowych, mogą wystąpić do Agencji z wnioskiem o zawarcie umowy biletowej. Jej zawarcie będzie oznaczało odpłatne przeniesienie na rzecz Skarbu Państwa własności </w:t>
      </w:r>
      <w:r w:rsidR="00A215E5" w:rsidRPr="006B629D">
        <w:rPr>
          <w:rFonts w:ascii="Times New Roman" w:hAnsi="Times New Roman" w:cs="Times New Roman"/>
          <w:bCs/>
          <w:szCs w:val="24"/>
        </w:rPr>
        <w:t xml:space="preserve">gazu ziemnego utrzymywanego przez zlecającego usługę biletową w ramach </w:t>
      </w:r>
      <w:r w:rsidRPr="006B629D">
        <w:rPr>
          <w:rFonts w:ascii="Times New Roman" w:hAnsi="Times New Roman" w:cs="Times New Roman"/>
          <w:bCs/>
          <w:szCs w:val="24"/>
        </w:rPr>
        <w:t>zapas</w:t>
      </w:r>
      <w:r w:rsidR="00C91F22" w:rsidRPr="006B629D">
        <w:rPr>
          <w:rFonts w:ascii="Times New Roman" w:hAnsi="Times New Roman" w:cs="Times New Roman"/>
          <w:bCs/>
          <w:szCs w:val="24"/>
        </w:rPr>
        <w:t>ów</w:t>
      </w:r>
      <w:r w:rsidRPr="006B629D">
        <w:rPr>
          <w:rFonts w:ascii="Times New Roman" w:hAnsi="Times New Roman" w:cs="Times New Roman"/>
          <w:bCs/>
          <w:szCs w:val="24"/>
        </w:rPr>
        <w:t xml:space="preserve"> obowiązkow</w:t>
      </w:r>
      <w:r w:rsidR="00C91F22" w:rsidRPr="006B629D">
        <w:rPr>
          <w:rFonts w:ascii="Times New Roman" w:hAnsi="Times New Roman" w:cs="Times New Roman"/>
          <w:bCs/>
          <w:szCs w:val="24"/>
        </w:rPr>
        <w:t>ych</w:t>
      </w:r>
      <w:r w:rsidR="00A215E5" w:rsidRPr="006B629D">
        <w:rPr>
          <w:rFonts w:ascii="Times New Roman" w:hAnsi="Times New Roman" w:cs="Times New Roman"/>
          <w:bCs/>
          <w:szCs w:val="24"/>
        </w:rPr>
        <w:t xml:space="preserve">, </w:t>
      </w:r>
      <w:r w:rsidR="007C1A58">
        <w:rPr>
          <w:rFonts w:ascii="Times New Roman" w:hAnsi="Times New Roman" w:cs="Times New Roman"/>
          <w:bCs/>
          <w:szCs w:val="24"/>
        </w:rPr>
        <w:br/>
      </w:r>
      <w:r w:rsidR="00A215E5" w:rsidRPr="006B629D">
        <w:rPr>
          <w:rFonts w:ascii="Times New Roman" w:hAnsi="Times New Roman" w:cs="Times New Roman"/>
          <w:bCs/>
          <w:szCs w:val="24"/>
        </w:rPr>
        <w:t>w ilości pozwalającej Agencji realizację umowy</w:t>
      </w:r>
      <w:r w:rsidRPr="006B629D">
        <w:rPr>
          <w:rFonts w:ascii="Times New Roman" w:hAnsi="Times New Roman" w:cs="Times New Roman"/>
          <w:bCs/>
          <w:szCs w:val="24"/>
        </w:rPr>
        <w:t xml:space="preserve">. Dodatkowo, proponowany przepis </w:t>
      </w:r>
      <w:r w:rsidRPr="00D05657">
        <w:rPr>
          <w:rFonts w:ascii="Times New Roman" w:hAnsi="Times New Roman" w:cs="Times New Roman"/>
          <w:bCs/>
          <w:szCs w:val="24"/>
        </w:rPr>
        <w:t xml:space="preserve">art. 70c ust. </w:t>
      </w:r>
      <w:r w:rsidR="00D05657" w:rsidRPr="00D05657">
        <w:rPr>
          <w:rFonts w:ascii="Times New Roman" w:hAnsi="Times New Roman" w:cs="Times New Roman"/>
          <w:bCs/>
          <w:szCs w:val="24"/>
        </w:rPr>
        <w:t xml:space="preserve">3 </w:t>
      </w:r>
      <w:r w:rsidRPr="00D05657">
        <w:rPr>
          <w:rFonts w:ascii="Times New Roman" w:hAnsi="Times New Roman" w:cs="Times New Roman"/>
          <w:bCs/>
          <w:szCs w:val="24"/>
        </w:rPr>
        <w:t>pkt 2</w:t>
      </w:r>
      <w:r w:rsidRPr="006B629D">
        <w:rPr>
          <w:rFonts w:ascii="Times New Roman" w:hAnsi="Times New Roman" w:cs="Times New Roman"/>
          <w:bCs/>
          <w:szCs w:val="24"/>
        </w:rPr>
        <w:t xml:space="preserve"> gwarantuje, że Agencja z mocy prawa stanie się stroną umów zawartych </w:t>
      </w:r>
      <w:r w:rsidR="007C1A58">
        <w:rPr>
          <w:rFonts w:ascii="Times New Roman" w:hAnsi="Times New Roman" w:cs="Times New Roman"/>
          <w:bCs/>
          <w:szCs w:val="24"/>
        </w:rPr>
        <w:br/>
      </w:r>
      <w:r w:rsidRPr="006B629D">
        <w:rPr>
          <w:rFonts w:ascii="Times New Roman" w:hAnsi="Times New Roman" w:cs="Times New Roman"/>
          <w:bCs/>
          <w:szCs w:val="24"/>
        </w:rPr>
        <w:t xml:space="preserve">z operatorem systemu magazynowania w celu realizacji obowiązku utrzymania </w:t>
      </w:r>
      <w:r w:rsidR="00A215E5" w:rsidRPr="006B629D">
        <w:rPr>
          <w:rFonts w:ascii="Times New Roman" w:hAnsi="Times New Roman" w:cs="Times New Roman"/>
          <w:bCs/>
          <w:szCs w:val="24"/>
        </w:rPr>
        <w:t>zapasów</w:t>
      </w:r>
      <w:r w:rsidRPr="006B629D">
        <w:rPr>
          <w:rFonts w:ascii="Times New Roman" w:hAnsi="Times New Roman" w:cs="Times New Roman"/>
          <w:bCs/>
          <w:szCs w:val="24"/>
        </w:rPr>
        <w:t xml:space="preserve"> gazu. </w:t>
      </w:r>
    </w:p>
    <w:p w14:paraId="2428BBBB" w14:textId="7D1419EE" w:rsidR="00F81CCE" w:rsidRPr="006B629D" w:rsidRDefault="00F81CCE" w:rsidP="009A0275">
      <w:pPr>
        <w:pStyle w:val="ARTartustawynprozporzdzenia"/>
        <w:ind w:firstLine="0"/>
        <w:rPr>
          <w:rFonts w:ascii="Times New Roman" w:hAnsi="Times New Roman" w:cs="Times New Roman"/>
          <w:bCs/>
          <w:szCs w:val="24"/>
        </w:rPr>
      </w:pPr>
      <w:r w:rsidRPr="006B629D">
        <w:rPr>
          <w:rFonts w:ascii="Times New Roman" w:hAnsi="Times New Roman" w:cs="Times New Roman"/>
          <w:bCs/>
          <w:szCs w:val="24"/>
        </w:rPr>
        <w:t>Aby zapewnić Agencji możliwość realizacji opisanych powyżej zadań</w:t>
      </w:r>
      <w:r w:rsidR="000246C7" w:rsidRPr="006B629D">
        <w:rPr>
          <w:rFonts w:ascii="Times New Roman" w:hAnsi="Times New Roman" w:cs="Times New Roman"/>
          <w:bCs/>
          <w:szCs w:val="24"/>
        </w:rPr>
        <w:t>, obejmujących zarówno nabycie gazu ziemnego, jak i pokrycie kosztów rezerwacji odpowiednich pojemności magazynowych w podziemnych magazynach gazu,</w:t>
      </w:r>
      <w:r w:rsidRPr="006B629D">
        <w:rPr>
          <w:rFonts w:ascii="Times New Roman" w:hAnsi="Times New Roman" w:cs="Times New Roman"/>
          <w:bCs/>
          <w:szCs w:val="24"/>
        </w:rPr>
        <w:t xml:space="preserve"> koniecznym jest zapewnienie źródła finansowania przez odpowiednie dotacje celowe, co wymaga zmiany w ustawie </w:t>
      </w:r>
      <w:r w:rsidRPr="006B629D">
        <w:rPr>
          <w:rFonts w:ascii="Times New Roman" w:hAnsi="Times New Roman" w:cs="Times New Roman"/>
        </w:rPr>
        <w:t xml:space="preserve">z </w:t>
      </w:r>
      <w:r w:rsidRPr="007C1A58">
        <w:rPr>
          <w:rFonts w:ascii="Times New Roman" w:hAnsi="Times New Roman" w:cs="Times New Roman"/>
        </w:rPr>
        <w:t>dnia 17 grudnia 2020 r. o rezerwach strategicznych</w:t>
      </w:r>
      <w:r w:rsidR="007C1A58">
        <w:rPr>
          <w:rFonts w:ascii="Times New Roman" w:hAnsi="Times New Roman" w:cs="Times New Roman"/>
          <w:bCs/>
          <w:szCs w:val="24"/>
        </w:rPr>
        <w:t xml:space="preserve">, przewidzianej w </w:t>
      </w:r>
      <w:r w:rsidRPr="007C1A58">
        <w:rPr>
          <w:rFonts w:ascii="Times New Roman" w:hAnsi="Times New Roman" w:cs="Times New Roman"/>
          <w:bCs/>
          <w:szCs w:val="24"/>
        </w:rPr>
        <w:t xml:space="preserve">art. </w:t>
      </w:r>
      <w:r w:rsidR="00FB6010">
        <w:rPr>
          <w:rFonts w:ascii="Times New Roman" w:hAnsi="Times New Roman" w:cs="Times New Roman"/>
          <w:bCs/>
          <w:szCs w:val="24"/>
        </w:rPr>
        <w:t>7</w:t>
      </w:r>
      <w:r w:rsidRPr="007C1A58">
        <w:rPr>
          <w:rFonts w:ascii="Times New Roman" w:hAnsi="Times New Roman" w:cs="Times New Roman"/>
          <w:bCs/>
          <w:szCs w:val="24"/>
        </w:rPr>
        <w:t xml:space="preserve"> projektu</w:t>
      </w:r>
      <w:r w:rsidRPr="006B629D">
        <w:rPr>
          <w:rFonts w:ascii="Times New Roman" w:hAnsi="Times New Roman" w:cs="Times New Roman"/>
          <w:bCs/>
          <w:szCs w:val="24"/>
        </w:rPr>
        <w:t>.</w:t>
      </w:r>
      <w:r w:rsidR="000246C7" w:rsidRPr="006B629D">
        <w:rPr>
          <w:rFonts w:ascii="Times New Roman" w:hAnsi="Times New Roman" w:cs="Times New Roman"/>
          <w:bCs/>
          <w:szCs w:val="24"/>
        </w:rPr>
        <w:t xml:space="preserve"> </w:t>
      </w:r>
    </w:p>
    <w:p w14:paraId="025A4DD9" w14:textId="0892B25D" w:rsidR="000246C7" w:rsidRPr="00883432" w:rsidRDefault="000246C7" w:rsidP="009A0275">
      <w:pPr>
        <w:pStyle w:val="ARTartustawynprozporzdzenia"/>
        <w:ind w:firstLine="0"/>
        <w:rPr>
          <w:rFonts w:ascii="Times New Roman" w:hAnsi="Times New Roman" w:cs="Times New Roman"/>
          <w:bCs/>
          <w:szCs w:val="24"/>
        </w:rPr>
      </w:pPr>
      <w:r w:rsidRPr="006B629D">
        <w:rPr>
          <w:rFonts w:ascii="Times New Roman" w:hAnsi="Times New Roman" w:cs="Times New Roman"/>
          <w:bCs/>
          <w:szCs w:val="24"/>
        </w:rPr>
        <w:t xml:space="preserve">Jednocześnie, zgodnie z założeniami projektu, źródłem finansowania zadań realizowanych przez Agencję w zakresie utrzymywania zapasów obowiązkowych gazu ziemnego, będzie </w:t>
      </w:r>
      <w:r w:rsidRPr="006B629D">
        <w:rPr>
          <w:rFonts w:ascii="Times New Roman" w:hAnsi="Times New Roman" w:cs="Times New Roman"/>
        </w:rPr>
        <w:t>Fundusz Przeciwdziałania COV</w:t>
      </w:r>
      <w:r w:rsidR="00EE3033">
        <w:rPr>
          <w:rFonts w:ascii="Times New Roman" w:hAnsi="Times New Roman" w:cs="Times New Roman"/>
        </w:rPr>
        <w:t>I</w:t>
      </w:r>
      <w:r w:rsidRPr="006B629D">
        <w:rPr>
          <w:rFonts w:ascii="Times New Roman" w:hAnsi="Times New Roman" w:cs="Times New Roman"/>
        </w:rPr>
        <w:t xml:space="preserve">D-19, o którym mowa w art. 65 ustawy z dnia 31 marca 2020 r. </w:t>
      </w:r>
      <w:r w:rsidRPr="00B849A2">
        <w:rPr>
          <w:rFonts w:ascii="Times New Roman" w:hAnsi="Times New Roman" w:cs="Times New Roman"/>
          <w:iCs/>
        </w:rPr>
        <w:t xml:space="preserve">o zmianie ustawy o szczególnych rozwiązaniach związanych z zapobieganiem, przeciwdziałaniem i zwalczaniem </w:t>
      </w:r>
      <w:r w:rsidRPr="00B849A2">
        <w:rPr>
          <w:rFonts w:ascii="Times New Roman" w:hAnsi="Times New Roman" w:cs="Times New Roman"/>
          <w:iCs/>
        </w:rPr>
        <w:lastRenderedPageBreak/>
        <w:t>COVID-19, innych chorób zakaźnych oraz wywołanych nimi sytuacji kryzysowych oraz niektórych innych ustaw.</w:t>
      </w:r>
    </w:p>
    <w:p w14:paraId="3E5C8942" w14:textId="5A27DAC9" w:rsidR="000616DD" w:rsidRPr="006B629D" w:rsidRDefault="00F533FE" w:rsidP="000F3624">
      <w:pPr>
        <w:pStyle w:val="ARTartustawynprozporzdzenia"/>
        <w:keepNext/>
        <w:keepLines/>
        <w:numPr>
          <w:ilvl w:val="0"/>
          <w:numId w:val="1"/>
        </w:numPr>
        <w:ind w:left="425" w:hanging="425"/>
        <w:rPr>
          <w:rFonts w:ascii="Times New Roman" w:hAnsi="Times New Roman" w:cs="Times New Roman"/>
          <w:b/>
          <w:bCs/>
          <w:szCs w:val="24"/>
        </w:rPr>
      </w:pPr>
      <w:r w:rsidRPr="006B629D">
        <w:rPr>
          <w:rFonts w:ascii="Times New Roman" w:hAnsi="Times New Roman" w:cs="Times New Roman"/>
          <w:b/>
          <w:bCs/>
          <w:szCs w:val="24"/>
        </w:rPr>
        <w:t>Z</w:t>
      </w:r>
      <w:r w:rsidR="000616DD" w:rsidRPr="006B629D">
        <w:rPr>
          <w:rFonts w:ascii="Times New Roman" w:hAnsi="Times New Roman" w:cs="Times New Roman"/>
          <w:b/>
          <w:bCs/>
          <w:szCs w:val="24"/>
        </w:rPr>
        <w:t>miany w zakresie wnoszenia zabezpieczeń dla obrotu giełdowego</w:t>
      </w:r>
      <w:r w:rsidR="000D2B72">
        <w:rPr>
          <w:rFonts w:ascii="Times New Roman" w:hAnsi="Times New Roman" w:cs="Times New Roman"/>
          <w:b/>
          <w:bCs/>
          <w:szCs w:val="24"/>
        </w:rPr>
        <w:t xml:space="preserve"> –</w:t>
      </w:r>
      <w:r w:rsidR="0097691F">
        <w:rPr>
          <w:rFonts w:ascii="Times New Roman" w:hAnsi="Times New Roman" w:cs="Times New Roman"/>
          <w:b/>
          <w:bCs/>
          <w:szCs w:val="24"/>
        </w:rPr>
        <w:t xml:space="preserve"> </w:t>
      </w:r>
      <w:r w:rsidR="000616DD" w:rsidRPr="006B629D">
        <w:rPr>
          <w:rFonts w:ascii="Times New Roman" w:hAnsi="Times New Roman" w:cs="Times New Roman"/>
          <w:b/>
          <w:bCs/>
          <w:szCs w:val="24"/>
        </w:rPr>
        <w:t xml:space="preserve">zmiana ustawy </w:t>
      </w:r>
      <w:r w:rsidR="007C1A58">
        <w:rPr>
          <w:rFonts w:ascii="Times New Roman" w:hAnsi="Times New Roman" w:cs="Times New Roman"/>
          <w:b/>
          <w:bCs/>
          <w:szCs w:val="24"/>
        </w:rPr>
        <w:br/>
      </w:r>
      <w:r w:rsidR="000616DD" w:rsidRPr="006B629D">
        <w:rPr>
          <w:rFonts w:ascii="Times New Roman" w:hAnsi="Times New Roman" w:cs="Times New Roman"/>
          <w:b/>
          <w:bCs/>
          <w:szCs w:val="24"/>
        </w:rPr>
        <w:t xml:space="preserve">z dnia </w:t>
      </w:r>
      <w:r w:rsidR="000616DD" w:rsidRPr="006B629D">
        <w:rPr>
          <w:rFonts w:ascii="Times New Roman" w:hAnsi="Times New Roman" w:cs="Times New Roman"/>
          <w:b/>
          <w:bCs/>
        </w:rPr>
        <w:t>2 marca 2020 r. o szczególnych rozwiązaniach związanych z zapobieganiem, przeciwdziałaniem i zwalczaniem COVID-19, innych chorób zakaźnych oraz wywołanych nimi sytuacji kryzysowych</w:t>
      </w:r>
      <w:r w:rsidR="0097691F">
        <w:rPr>
          <w:rFonts w:ascii="Times New Roman" w:hAnsi="Times New Roman" w:cs="Times New Roman"/>
          <w:b/>
          <w:bCs/>
        </w:rPr>
        <w:t xml:space="preserve"> </w:t>
      </w:r>
      <w:r w:rsidR="0097691F">
        <w:t xml:space="preserve">(Dz. U. </w:t>
      </w:r>
      <w:r w:rsidR="00503E56">
        <w:t xml:space="preserve">z </w:t>
      </w:r>
      <w:r w:rsidR="0097691F">
        <w:t>2021 r. poz. 2095, z późn. zm.</w:t>
      </w:r>
      <w:r w:rsidR="000616DD" w:rsidRPr="006B629D">
        <w:rPr>
          <w:rFonts w:ascii="Times New Roman" w:hAnsi="Times New Roman" w:cs="Times New Roman"/>
          <w:b/>
          <w:bCs/>
          <w:szCs w:val="24"/>
        </w:rPr>
        <w:t>)</w:t>
      </w:r>
    </w:p>
    <w:p w14:paraId="7F0A7088" w14:textId="46014216" w:rsidR="000616DD" w:rsidRPr="006B629D" w:rsidRDefault="007C1A58" w:rsidP="009A0275">
      <w:pPr>
        <w:pStyle w:val="ARTartustawynprozporzdzenia"/>
        <w:spacing w:after="240"/>
        <w:ind w:firstLine="0"/>
        <w:rPr>
          <w:rFonts w:ascii="Times New Roman" w:hAnsi="Times New Roman" w:cs="Times New Roman"/>
          <w:szCs w:val="24"/>
        </w:rPr>
      </w:pPr>
      <w:r>
        <w:rPr>
          <w:rFonts w:ascii="Times New Roman" w:hAnsi="Times New Roman" w:cs="Times New Roman"/>
          <w:szCs w:val="24"/>
        </w:rPr>
        <w:t xml:space="preserve">W projektowanym </w:t>
      </w:r>
      <w:r w:rsidR="000616DD" w:rsidRPr="0088404B">
        <w:rPr>
          <w:rFonts w:ascii="Times New Roman" w:hAnsi="Times New Roman" w:cs="Times New Roman"/>
          <w:szCs w:val="24"/>
        </w:rPr>
        <w:t xml:space="preserve">art. </w:t>
      </w:r>
      <w:r w:rsidR="00FB6010">
        <w:rPr>
          <w:rFonts w:ascii="Times New Roman" w:hAnsi="Times New Roman" w:cs="Times New Roman"/>
          <w:szCs w:val="24"/>
        </w:rPr>
        <w:t>5</w:t>
      </w:r>
      <w:r w:rsidR="00FB6010" w:rsidRPr="006B629D">
        <w:rPr>
          <w:rFonts w:ascii="Times New Roman" w:hAnsi="Times New Roman" w:cs="Times New Roman"/>
          <w:szCs w:val="24"/>
        </w:rPr>
        <w:t xml:space="preserve"> </w:t>
      </w:r>
      <w:r w:rsidR="000616DD" w:rsidRPr="006B629D">
        <w:rPr>
          <w:rFonts w:ascii="Times New Roman" w:hAnsi="Times New Roman" w:cs="Times New Roman"/>
          <w:szCs w:val="24"/>
        </w:rPr>
        <w:t xml:space="preserve">proponuje się przedłużenie </w:t>
      </w:r>
      <w:r w:rsidR="00FB6010" w:rsidRPr="006B629D">
        <w:rPr>
          <w:rFonts w:ascii="Times New Roman" w:hAnsi="Times New Roman" w:cs="Times New Roman"/>
          <w:szCs w:val="24"/>
        </w:rPr>
        <w:t>możliwoś</w:t>
      </w:r>
      <w:r w:rsidR="00FB6010">
        <w:rPr>
          <w:rFonts w:ascii="Times New Roman" w:hAnsi="Times New Roman" w:cs="Times New Roman"/>
          <w:szCs w:val="24"/>
        </w:rPr>
        <w:t>ci</w:t>
      </w:r>
      <w:r w:rsidR="00FB6010" w:rsidRPr="006B629D">
        <w:rPr>
          <w:rFonts w:ascii="Times New Roman" w:hAnsi="Times New Roman" w:cs="Times New Roman"/>
          <w:szCs w:val="24"/>
        </w:rPr>
        <w:t xml:space="preserve"> </w:t>
      </w:r>
      <w:r w:rsidR="000616DD" w:rsidRPr="006B629D">
        <w:rPr>
          <w:rFonts w:ascii="Times New Roman" w:hAnsi="Times New Roman" w:cs="Times New Roman"/>
          <w:szCs w:val="24"/>
        </w:rPr>
        <w:t>wprowadzania innych niż finansowe zabezpiecze</w:t>
      </w:r>
      <w:r w:rsidR="008B6497" w:rsidRPr="006B629D">
        <w:rPr>
          <w:rFonts w:ascii="Times New Roman" w:hAnsi="Times New Roman" w:cs="Times New Roman"/>
          <w:szCs w:val="24"/>
        </w:rPr>
        <w:t>ń</w:t>
      </w:r>
      <w:r w:rsidR="000616DD" w:rsidRPr="006B629D">
        <w:rPr>
          <w:rFonts w:ascii="Times New Roman" w:hAnsi="Times New Roman" w:cs="Times New Roman"/>
          <w:szCs w:val="24"/>
        </w:rPr>
        <w:t xml:space="preserve">, tj. </w:t>
      </w:r>
      <w:r w:rsidR="008B6497" w:rsidRPr="006B629D">
        <w:rPr>
          <w:rFonts w:ascii="Times New Roman" w:hAnsi="Times New Roman" w:cs="Times New Roman"/>
          <w:szCs w:val="24"/>
        </w:rPr>
        <w:t xml:space="preserve">przedłużenie obowiązywania </w:t>
      </w:r>
      <w:r w:rsidR="000616DD" w:rsidRPr="006B629D">
        <w:rPr>
          <w:rFonts w:ascii="Times New Roman" w:hAnsi="Times New Roman" w:cs="Times New Roman"/>
          <w:szCs w:val="24"/>
        </w:rPr>
        <w:t xml:space="preserve">środka wprowadzanego w ustawie </w:t>
      </w:r>
      <w:r w:rsidR="0088404B">
        <w:rPr>
          <w:rFonts w:ascii="Times New Roman" w:hAnsi="Times New Roman" w:cs="Times New Roman"/>
          <w:szCs w:val="24"/>
        </w:rPr>
        <w:br/>
      </w:r>
      <w:r w:rsidR="000616DD" w:rsidRPr="006B629D">
        <w:rPr>
          <w:rFonts w:ascii="Times New Roman" w:hAnsi="Times New Roman" w:cs="Times New Roman"/>
          <w:szCs w:val="24"/>
        </w:rPr>
        <w:t>z dnia 2 marca 2020 roku o szczególnych rozwiązaniach związanych z zapobieganiem, przeciwdziałaniem i zwalczaniem COVID-19, innych chorób zakaźnych oraz wywołanych nimi sytuacji kryzysowych</w:t>
      </w:r>
      <w:r w:rsidR="008B6497" w:rsidRPr="006B629D">
        <w:rPr>
          <w:rFonts w:ascii="Times New Roman" w:hAnsi="Times New Roman" w:cs="Times New Roman"/>
          <w:szCs w:val="24"/>
        </w:rPr>
        <w:t>,</w:t>
      </w:r>
      <w:r w:rsidR="000616DD" w:rsidRPr="006B629D">
        <w:rPr>
          <w:rFonts w:ascii="Times New Roman" w:hAnsi="Times New Roman" w:cs="Times New Roman"/>
          <w:szCs w:val="24"/>
        </w:rPr>
        <w:t xml:space="preserve"> oraz </w:t>
      </w:r>
      <w:r w:rsidR="000616DD" w:rsidRPr="006B629D">
        <w:rPr>
          <w:rFonts w:ascii="Times New Roman" w:hAnsi="Times New Roman" w:cs="Times New Roman"/>
        </w:rPr>
        <w:t>zwiększenie procentowego udziału poręczeń spółek znajdujących się w jednej grupie kapitałowej, pod warunkiem posiadania przez spółkę poręczającą ratingu renomowanej agencji ratingowej na wysokim poziomie</w:t>
      </w:r>
      <w:r w:rsidR="000616DD" w:rsidRPr="006B629D">
        <w:rPr>
          <w:rFonts w:ascii="Times New Roman" w:hAnsi="Times New Roman" w:cs="Times New Roman"/>
          <w:szCs w:val="24"/>
        </w:rPr>
        <w:t xml:space="preserve">. </w:t>
      </w:r>
      <w:r w:rsidR="000616DD" w:rsidRPr="006B629D">
        <w:rPr>
          <w:rFonts w:ascii="Times New Roman" w:hAnsi="Times New Roman" w:cs="Times New Roman"/>
        </w:rPr>
        <w:t xml:space="preserve">Konieczność przedłużenia </w:t>
      </w:r>
      <w:r w:rsidR="008B6497" w:rsidRPr="006B629D">
        <w:rPr>
          <w:rFonts w:ascii="Times New Roman" w:hAnsi="Times New Roman" w:cs="Times New Roman"/>
        </w:rPr>
        <w:t xml:space="preserve">obowiązywania ww. środka </w:t>
      </w:r>
      <w:r w:rsidR="000616DD" w:rsidRPr="006B629D">
        <w:rPr>
          <w:rFonts w:ascii="Times New Roman" w:hAnsi="Times New Roman" w:cs="Times New Roman"/>
        </w:rPr>
        <w:t xml:space="preserve">wynika z faktu, że podstawowy model zabezpieczania transakcji, przy obecnych wahaniach cen, które sięgają kilkudziesięciu procent miesięcznie, stanowi istotne obciążenie </w:t>
      </w:r>
      <w:r w:rsidR="00D05657">
        <w:rPr>
          <w:rFonts w:ascii="Times New Roman" w:hAnsi="Times New Roman" w:cs="Times New Roman"/>
        </w:rPr>
        <w:t xml:space="preserve">m.in. </w:t>
      </w:r>
      <w:r w:rsidR="000616DD" w:rsidRPr="006B629D">
        <w:rPr>
          <w:rFonts w:ascii="Times New Roman" w:hAnsi="Times New Roman" w:cs="Times New Roman"/>
        </w:rPr>
        <w:t>dla przedsiębiorstw energetycznych zobowiązanych, na podstawie art. 49b ustawy</w:t>
      </w:r>
      <w:r w:rsidR="00503E56">
        <w:rPr>
          <w:rFonts w:ascii="Times New Roman" w:hAnsi="Times New Roman" w:cs="Times New Roman"/>
        </w:rPr>
        <w:t xml:space="preserve"> </w:t>
      </w:r>
      <w:r w:rsidR="000616DD" w:rsidRPr="006B629D">
        <w:rPr>
          <w:rFonts w:ascii="Times New Roman" w:hAnsi="Times New Roman" w:cs="Times New Roman"/>
        </w:rPr>
        <w:t>– Prawo energetyczne, do sprzedaży przynajmniej 55% paliwa gazowego wprowadzanego do sieci (tzw. obligo giełdowe). Jako, że instytucja obliga giełdowego</w:t>
      </w:r>
      <w:r w:rsidR="008B6497" w:rsidRPr="006B629D">
        <w:rPr>
          <w:rFonts w:ascii="Times New Roman" w:hAnsi="Times New Roman" w:cs="Times New Roman"/>
        </w:rPr>
        <w:t>,</w:t>
      </w:r>
      <w:r w:rsidR="000616DD" w:rsidRPr="006B629D">
        <w:rPr>
          <w:rFonts w:ascii="Times New Roman" w:hAnsi="Times New Roman" w:cs="Times New Roman"/>
        </w:rPr>
        <w:t xml:space="preserve"> odgrywa</w:t>
      </w:r>
      <w:r w:rsidR="008B6497" w:rsidRPr="006B629D">
        <w:rPr>
          <w:rFonts w:ascii="Times New Roman" w:hAnsi="Times New Roman" w:cs="Times New Roman"/>
        </w:rPr>
        <w:t>jąca</w:t>
      </w:r>
      <w:r w:rsidR="000616DD" w:rsidRPr="006B629D">
        <w:rPr>
          <w:rFonts w:ascii="Times New Roman" w:hAnsi="Times New Roman" w:cs="Times New Roman"/>
        </w:rPr>
        <w:t xml:space="preserve"> kluczową rolę w rozwoju konkurencji w sektorze gazu ziemnego, już sama w sobie stanowi obciążenie dla przedsiębiorstw zajmujących się obrotem gazem, zasadnym jest ograniczenie negatywnych skutków kryzysu energetycznego, posiadającego podstawy niezależne od tych spółek, dla podmiotów zobowiązanych.</w:t>
      </w:r>
    </w:p>
    <w:p w14:paraId="6EE6D30E" w14:textId="3526D71C" w:rsidR="00FF05DB" w:rsidRPr="006B629D" w:rsidRDefault="00FF05DB" w:rsidP="009A0275">
      <w:pPr>
        <w:pStyle w:val="Akapitzlist"/>
        <w:numPr>
          <w:ilvl w:val="0"/>
          <w:numId w:val="1"/>
        </w:numPr>
        <w:spacing w:line="360" w:lineRule="auto"/>
        <w:ind w:left="426" w:hanging="426"/>
        <w:jc w:val="both"/>
        <w:rPr>
          <w:rFonts w:ascii="Times New Roman" w:hAnsi="Times New Roman" w:cs="Times New Roman"/>
          <w:b/>
          <w:sz w:val="24"/>
          <w:szCs w:val="24"/>
        </w:rPr>
      </w:pPr>
      <w:r w:rsidRPr="006B629D">
        <w:rPr>
          <w:rFonts w:ascii="Times New Roman" w:eastAsia="Times New Roman" w:hAnsi="Times New Roman" w:cs="Times New Roman"/>
          <w:b/>
          <w:sz w:val="24"/>
          <w:szCs w:val="20"/>
          <w:lang w:eastAsia="pl-PL"/>
        </w:rPr>
        <w:t xml:space="preserve">Zmiany </w:t>
      </w:r>
      <w:r w:rsidRPr="006B629D">
        <w:rPr>
          <w:rFonts w:ascii="Times New Roman" w:hAnsi="Times New Roman" w:cs="Times New Roman"/>
          <w:b/>
          <w:sz w:val="24"/>
          <w:szCs w:val="24"/>
        </w:rPr>
        <w:t xml:space="preserve">w ustawie </w:t>
      </w:r>
      <w:r w:rsidR="00503E56" w:rsidRPr="00164A4B">
        <w:rPr>
          <w:rFonts w:ascii="Times New Roman" w:eastAsia="Calibri" w:hAnsi="Times New Roman" w:cs="Times New Roman"/>
          <w:b/>
          <w:bCs/>
          <w:sz w:val="24"/>
          <w:szCs w:val="24"/>
        </w:rPr>
        <w:t>z dnia 31 marca 2020 r. o zmianie ustawy</w:t>
      </w:r>
      <w:r w:rsidR="00503E56">
        <w:rPr>
          <w:rFonts w:ascii="Times New Roman" w:eastAsia="Calibri" w:hAnsi="Times New Roman" w:cs="Times New Roman"/>
          <w:bCs/>
          <w:sz w:val="24"/>
          <w:szCs w:val="24"/>
        </w:rPr>
        <w:t xml:space="preserve"> </w:t>
      </w:r>
      <w:r w:rsidRPr="006B629D">
        <w:rPr>
          <w:rFonts w:ascii="Times New Roman" w:hAnsi="Times New Roman" w:cs="Times New Roman"/>
          <w:b/>
          <w:sz w:val="24"/>
          <w:szCs w:val="24"/>
        </w:rPr>
        <w:t>o szczególnych rozwiązaniach związanych z zapobieganiem, przeciwdziałaniem i zwalczaniem COVID-19, innych chorób zakaźnych oraz wywołanych nimi sytuacji kryzysowych oraz niektórych innych ustaw (Dz. U. z 2020 r. poz. 568, z późn. zm.).</w:t>
      </w:r>
    </w:p>
    <w:p w14:paraId="283BAB16" w14:textId="7EC24F59" w:rsidR="00FF05DB" w:rsidRPr="006B629D" w:rsidRDefault="00FF05DB" w:rsidP="009A0275">
      <w:pPr>
        <w:spacing w:line="360" w:lineRule="auto"/>
        <w:jc w:val="both"/>
        <w:rPr>
          <w:rFonts w:ascii="Times New Roman" w:hAnsi="Times New Roman" w:cs="Times New Roman"/>
          <w:sz w:val="24"/>
          <w:szCs w:val="24"/>
        </w:rPr>
      </w:pPr>
      <w:r w:rsidRPr="006B629D">
        <w:rPr>
          <w:rFonts w:ascii="Times New Roman" w:hAnsi="Times New Roman" w:cs="Times New Roman"/>
          <w:sz w:val="24"/>
          <w:szCs w:val="24"/>
        </w:rPr>
        <w:t xml:space="preserve">Projektowana zmiana w art. </w:t>
      </w:r>
      <w:r w:rsidR="00FB6010">
        <w:rPr>
          <w:rFonts w:ascii="Times New Roman" w:hAnsi="Times New Roman" w:cs="Times New Roman"/>
          <w:sz w:val="24"/>
          <w:szCs w:val="24"/>
        </w:rPr>
        <w:t>6</w:t>
      </w:r>
      <w:r w:rsidR="00FB6010" w:rsidRPr="006B629D">
        <w:rPr>
          <w:rFonts w:ascii="Times New Roman" w:hAnsi="Times New Roman" w:cs="Times New Roman"/>
          <w:sz w:val="24"/>
          <w:szCs w:val="24"/>
        </w:rPr>
        <w:t xml:space="preserve"> </w:t>
      </w:r>
      <w:r w:rsidRPr="006B629D">
        <w:rPr>
          <w:rFonts w:ascii="Times New Roman" w:hAnsi="Times New Roman" w:cs="Times New Roman"/>
          <w:sz w:val="24"/>
          <w:szCs w:val="24"/>
        </w:rPr>
        <w:t>wprowadza możliwość przeznaczenia środków</w:t>
      </w:r>
      <w:r w:rsidRPr="006B629D">
        <w:rPr>
          <w:rFonts w:ascii="Times New Roman" w:hAnsi="Times New Roman" w:cs="Times New Roman"/>
        </w:rPr>
        <w:t xml:space="preserve"> </w:t>
      </w:r>
      <w:r w:rsidRPr="006B629D">
        <w:rPr>
          <w:rFonts w:ascii="Times New Roman" w:hAnsi="Times New Roman" w:cs="Times New Roman"/>
          <w:sz w:val="24"/>
          <w:szCs w:val="24"/>
        </w:rPr>
        <w:t>Fundusz</w:t>
      </w:r>
      <w:r w:rsidR="00883432">
        <w:rPr>
          <w:rFonts w:ascii="Times New Roman" w:hAnsi="Times New Roman" w:cs="Times New Roman"/>
          <w:sz w:val="24"/>
          <w:szCs w:val="24"/>
        </w:rPr>
        <w:t>u</w:t>
      </w:r>
      <w:r w:rsidRPr="006B629D">
        <w:rPr>
          <w:rFonts w:ascii="Times New Roman" w:hAnsi="Times New Roman" w:cs="Times New Roman"/>
          <w:sz w:val="24"/>
          <w:szCs w:val="24"/>
        </w:rPr>
        <w:t xml:space="preserve"> Przeciwdziałania COVID-19 na udzielanie pożyczek.</w:t>
      </w:r>
    </w:p>
    <w:p w14:paraId="141F2D28" w14:textId="5A3B147F" w:rsidR="00FF05DB" w:rsidRPr="006B629D" w:rsidRDefault="00FF05DB" w:rsidP="009A0275">
      <w:pPr>
        <w:spacing w:line="360" w:lineRule="auto"/>
        <w:jc w:val="both"/>
        <w:rPr>
          <w:rFonts w:ascii="Times New Roman" w:hAnsi="Times New Roman" w:cs="Times New Roman"/>
          <w:sz w:val="24"/>
          <w:szCs w:val="24"/>
        </w:rPr>
      </w:pPr>
      <w:r w:rsidRPr="006B629D">
        <w:rPr>
          <w:rFonts w:ascii="Times New Roman" w:hAnsi="Times New Roman" w:cs="Times New Roman"/>
          <w:sz w:val="24"/>
          <w:szCs w:val="24"/>
        </w:rPr>
        <w:t>Zgodnie z projektowanym przepisem, pożyczki będą mogły być udzielane:</w:t>
      </w:r>
    </w:p>
    <w:p w14:paraId="5836C004" w14:textId="2ECC1467" w:rsidR="00FF05DB" w:rsidRPr="006B629D" w:rsidRDefault="00FF05DB" w:rsidP="009A0275">
      <w:pPr>
        <w:pStyle w:val="ZPKTzmpktartykuempunktem"/>
        <w:numPr>
          <w:ilvl w:val="0"/>
          <w:numId w:val="6"/>
        </w:numPr>
        <w:rPr>
          <w:rFonts w:ascii="Times New Roman" w:hAnsi="Times New Roman" w:cs="Times New Roman"/>
        </w:rPr>
      </w:pPr>
      <w:r w:rsidRPr="006B629D">
        <w:rPr>
          <w:rFonts w:ascii="Times New Roman" w:hAnsi="Times New Roman" w:cs="Times New Roman"/>
        </w:rPr>
        <w:lastRenderedPageBreak/>
        <w:t xml:space="preserve">sprzedawcy z urzędu, o którym mowa w art. 62c ust. 1 ustawy </w:t>
      </w:r>
      <w:r w:rsidR="000D2B72">
        <w:rPr>
          <w:rFonts w:ascii="Times New Roman" w:hAnsi="Times New Roman" w:cs="Times New Roman"/>
        </w:rPr>
        <w:t>–</w:t>
      </w:r>
      <w:r w:rsidRPr="006B629D">
        <w:rPr>
          <w:rFonts w:ascii="Times New Roman" w:hAnsi="Times New Roman" w:cs="Times New Roman"/>
        </w:rPr>
        <w:t xml:space="preserve"> Prawo energetyczne, w celu pozyskania środków na zagwarantowanie ciągłości świadczenia usługi kompleksowej odbiorcom paliw gazowych w gospodarstwie domowym, </w:t>
      </w:r>
      <w:r w:rsidR="00B849A2">
        <w:rPr>
          <w:rFonts w:ascii="Times New Roman" w:hAnsi="Times New Roman" w:cs="Times New Roman"/>
        </w:rPr>
        <w:br/>
      </w:r>
      <w:r w:rsidRPr="006B629D">
        <w:rPr>
          <w:rFonts w:ascii="Times New Roman" w:hAnsi="Times New Roman" w:cs="Times New Roman"/>
        </w:rPr>
        <w:t>w szczególności na wszelkie potrzeby bilansowania, zakupu lub rozliczenia zakupionego paliwa gazowego;</w:t>
      </w:r>
    </w:p>
    <w:p w14:paraId="47714C8B" w14:textId="2B29C139" w:rsidR="00FF05DB" w:rsidRPr="006B629D" w:rsidRDefault="00FF05DB" w:rsidP="009A0275">
      <w:pPr>
        <w:pStyle w:val="ZPKTzmpktartykuempunktem"/>
        <w:numPr>
          <w:ilvl w:val="0"/>
          <w:numId w:val="6"/>
        </w:numPr>
        <w:rPr>
          <w:rFonts w:ascii="Times New Roman" w:hAnsi="Times New Roman" w:cs="Times New Roman"/>
        </w:rPr>
      </w:pPr>
      <w:r w:rsidRPr="006B629D">
        <w:rPr>
          <w:rFonts w:ascii="Times New Roman" w:hAnsi="Times New Roman" w:cs="Times New Roman"/>
        </w:rPr>
        <w:t xml:space="preserve">przedsiębiorcy realizującemu w 2021 roku obowiązek, o którym mowa w art. 49b ust. 1 ustawy </w:t>
      </w:r>
      <w:r w:rsidR="000D2B72">
        <w:rPr>
          <w:rFonts w:ascii="Times New Roman" w:hAnsi="Times New Roman" w:cs="Times New Roman"/>
        </w:rPr>
        <w:t>–</w:t>
      </w:r>
      <w:r w:rsidRPr="006B629D">
        <w:rPr>
          <w:rFonts w:ascii="Times New Roman" w:hAnsi="Times New Roman" w:cs="Times New Roman"/>
        </w:rPr>
        <w:t xml:space="preserve"> Prawo energetyczne, w celu pozyskania środków na zagwarantowanie ciągłości dostaw paliwa gazowego do odbiorców, w szczególności na potrzeby zakupu i rozliczenia:</w:t>
      </w:r>
    </w:p>
    <w:p w14:paraId="60924A55" w14:textId="77777777" w:rsidR="00FF05DB" w:rsidRPr="006B629D" w:rsidRDefault="00FF05DB" w:rsidP="009A0275">
      <w:pPr>
        <w:pStyle w:val="ZLITwPKTzmlitwpktartykuempunktem"/>
        <w:rPr>
          <w:rFonts w:ascii="Times New Roman" w:hAnsi="Times New Roman" w:cs="Times New Roman"/>
        </w:rPr>
      </w:pPr>
      <w:r w:rsidRPr="006B629D">
        <w:rPr>
          <w:rFonts w:ascii="Times New Roman" w:hAnsi="Times New Roman" w:cs="Times New Roman"/>
        </w:rPr>
        <w:t>a)</w:t>
      </w:r>
      <w:r w:rsidRPr="006B629D">
        <w:rPr>
          <w:rFonts w:ascii="Times New Roman" w:hAnsi="Times New Roman" w:cs="Times New Roman"/>
        </w:rPr>
        <w:tab/>
        <w:t>paliw gazowych i zobowiązań związanych z tym zakupem i jego rozliczeniem,</w:t>
      </w:r>
    </w:p>
    <w:p w14:paraId="673A96E9" w14:textId="77777777" w:rsidR="00FF05DB" w:rsidRPr="006B629D" w:rsidRDefault="00FF05DB" w:rsidP="009A0275">
      <w:pPr>
        <w:pStyle w:val="ZLITwPKTzmlitwpktartykuempunktem"/>
        <w:rPr>
          <w:rFonts w:ascii="Times New Roman" w:hAnsi="Times New Roman" w:cs="Times New Roman"/>
        </w:rPr>
      </w:pPr>
      <w:r w:rsidRPr="006B629D">
        <w:rPr>
          <w:rFonts w:ascii="Times New Roman" w:hAnsi="Times New Roman" w:cs="Times New Roman"/>
        </w:rPr>
        <w:t>b)</w:t>
      </w:r>
      <w:r w:rsidRPr="006B629D">
        <w:rPr>
          <w:rFonts w:ascii="Times New Roman" w:hAnsi="Times New Roman" w:cs="Times New Roman"/>
        </w:rPr>
        <w:tab/>
        <w:t xml:space="preserve">usług przesyłania paliw gazowych, </w:t>
      </w:r>
    </w:p>
    <w:p w14:paraId="4DBC6866" w14:textId="77777777" w:rsidR="00FF05DB" w:rsidRPr="006B629D" w:rsidRDefault="00FF05DB" w:rsidP="009A0275">
      <w:pPr>
        <w:pStyle w:val="ZLITwPKTzmlitwpktartykuempunktem"/>
        <w:rPr>
          <w:rFonts w:ascii="Times New Roman" w:hAnsi="Times New Roman" w:cs="Times New Roman"/>
        </w:rPr>
      </w:pPr>
      <w:r w:rsidRPr="006B629D">
        <w:rPr>
          <w:rFonts w:ascii="Times New Roman" w:hAnsi="Times New Roman" w:cs="Times New Roman"/>
        </w:rPr>
        <w:t>c)</w:t>
      </w:r>
      <w:r w:rsidRPr="006B629D">
        <w:rPr>
          <w:rFonts w:ascii="Times New Roman" w:hAnsi="Times New Roman" w:cs="Times New Roman"/>
        </w:rPr>
        <w:tab/>
        <w:t xml:space="preserve">usług dystrybucji paliw gazowych, </w:t>
      </w:r>
    </w:p>
    <w:p w14:paraId="4FFDDF47" w14:textId="77777777" w:rsidR="00FF05DB" w:rsidRPr="006B629D" w:rsidRDefault="00FF05DB" w:rsidP="009A0275">
      <w:pPr>
        <w:pStyle w:val="ZLITwPKTzmlitwpktartykuempunktem"/>
        <w:rPr>
          <w:rFonts w:ascii="Times New Roman" w:hAnsi="Times New Roman" w:cs="Times New Roman"/>
        </w:rPr>
      </w:pPr>
      <w:r w:rsidRPr="006B629D">
        <w:rPr>
          <w:rFonts w:ascii="Times New Roman" w:hAnsi="Times New Roman" w:cs="Times New Roman"/>
        </w:rPr>
        <w:t>d)</w:t>
      </w:r>
      <w:r w:rsidRPr="006B629D">
        <w:rPr>
          <w:rFonts w:ascii="Times New Roman" w:hAnsi="Times New Roman" w:cs="Times New Roman"/>
        </w:rPr>
        <w:tab/>
        <w:t>usług regazyfikacji skroplonego gazu ziemnego,</w:t>
      </w:r>
    </w:p>
    <w:p w14:paraId="596B98E8" w14:textId="77777777" w:rsidR="00FF05DB" w:rsidRPr="006B629D" w:rsidRDefault="00FF05DB" w:rsidP="009A0275">
      <w:pPr>
        <w:pStyle w:val="ZLITwPKTzmlitwpktartykuempunktem"/>
        <w:rPr>
          <w:rFonts w:ascii="Times New Roman" w:hAnsi="Times New Roman" w:cs="Times New Roman"/>
        </w:rPr>
      </w:pPr>
      <w:r w:rsidRPr="006B629D">
        <w:rPr>
          <w:rFonts w:ascii="Times New Roman" w:hAnsi="Times New Roman" w:cs="Times New Roman"/>
        </w:rPr>
        <w:t>e)</w:t>
      </w:r>
      <w:r w:rsidRPr="006B629D">
        <w:rPr>
          <w:rFonts w:ascii="Times New Roman" w:hAnsi="Times New Roman" w:cs="Times New Roman"/>
        </w:rPr>
        <w:tab/>
        <w:t>usług magazynowania paliw gazowych.</w:t>
      </w:r>
    </w:p>
    <w:p w14:paraId="7AB9D1EB" w14:textId="01AAC43D" w:rsidR="00FF05DB" w:rsidRPr="006B629D" w:rsidRDefault="00FF05DB" w:rsidP="009A0275">
      <w:pPr>
        <w:spacing w:line="360" w:lineRule="auto"/>
        <w:jc w:val="both"/>
        <w:rPr>
          <w:rFonts w:ascii="Times New Roman" w:eastAsia="Times New Roman" w:hAnsi="Times New Roman" w:cs="Times New Roman"/>
          <w:sz w:val="24"/>
          <w:szCs w:val="20"/>
          <w:lang w:eastAsia="pl-PL"/>
        </w:rPr>
      </w:pPr>
      <w:r w:rsidRPr="006B629D">
        <w:rPr>
          <w:rFonts w:ascii="Times New Roman" w:eastAsia="Times New Roman" w:hAnsi="Times New Roman" w:cs="Times New Roman"/>
          <w:sz w:val="24"/>
          <w:szCs w:val="20"/>
          <w:lang w:eastAsia="pl-PL"/>
        </w:rPr>
        <w:t>Udzielenie pożyczki będzie następowało na podstawie umowy zawieranej przez ministra właściwego do spraw aktywów państwowych z podmiotem wskazanym powyżej. Łączna kwota należności z tytułu kapitału pożyczek nie będzie mogła w żadnym momencie przekroczyć 20</w:t>
      </w:r>
      <w:r w:rsidR="001D19CB" w:rsidRPr="006B629D">
        <w:rPr>
          <w:rFonts w:ascii="Times New Roman" w:eastAsia="Times New Roman" w:hAnsi="Times New Roman" w:cs="Times New Roman"/>
          <w:sz w:val="24"/>
          <w:szCs w:val="20"/>
          <w:lang w:eastAsia="pl-PL"/>
        </w:rPr>
        <w:t xml:space="preserve"> mld</w:t>
      </w:r>
      <w:r w:rsidRPr="006B629D">
        <w:rPr>
          <w:rFonts w:ascii="Times New Roman" w:eastAsia="Times New Roman" w:hAnsi="Times New Roman" w:cs="Times New Roman"/>
          <w:sz w:val="24"/>
          <w:szCs w:val="20"/>
          <w:lang w:eastAsia="pl-PL"/>
        </w:rPr>
        <w:t xml:space="preserve"> zł. Oprocentowanie pożyczki nie może być niższe niż maksymalna stawka oprocentowania środków przyjętych w depozyt przez Ministra Finansów określona według przepisów wydanych na podstawie art. 78g ust. 1 pkt 2 ustawy z dnia 27 sierpnia 2009 r. o finansach publicznych</w:t>
      </w:r>
      <w:r w:rsidR="00DD2D26">
        <w:rPr>
          <w:rFonts w:ascii="Times New Roman" w:eastAsia="Times New Roman" w:hAnsi="Times New Roman" w:cs="Times New Roman"/>
          <w:sz w:val="24"/>
          <w:szCs w:val="20"/>
          <w:lang w:eastAsia="pl-PL"/>
        </w:rPr>
        <w:t xml:space="preserve"> </w:t>
      </w:r>
      <w:r w:rsidR="00DD2D26" w:rsidRPr="00503E56">
        <w:rPr>
          <w:rFonts w:ascii="Times New Roman" w:eastAsia="Times New Roman" w:hAnsi="Times New Roman" w:cs="Times New Roman"/>
          <w:sz w:val="24"/>
          <w:szCs w:val="24"/>
          <w:lang w:eastAsia="pl-PL"/>
        </w:rPr>
        <w:t>(</w:t>
      </w:r>
      <w:r w:rsidR="00DD2D26" w:rsidRPr="00164A4B">
        <w:rPr>
          <w:rFonts w:ascii="Times New Roman" w:hAnsi="Times New Roman"/>
          <w:color w:val="000000"/>
          <w:spacing w:val="-2"/>
          <w:sz w:val="24"/>
          <w:szCs w:val="24"/>
        </w:rPr>
        <w:t>Dz. U. z 2021 r. poz. 305, z późn. zm.)</w:t>
      </w:r>
      <w:r w:rsidRPr="006B629D">
        <w:rPr>
          <w:rFonts w:ascii="Times New Roman" w:eastAsia="Times New Roman" w:hAnsi="Times New Roman" w:cs="Times New Roman"/>
          <w:sz w:val="24"/>
          <w:szCs w:val="20"/>
          <w:lang w:eastAsia="pl-PL"/>
        </w:rPr>
        <w:t xml:space="preserve"> powiększona o jeden punkt procentowy. Ponadto, wszystkie przychody z tytułu spłaty pożyczek, dochodów </w:t>
      </w:r>
      <w:r w:rsidR="00B849A2">
        <w:rPr>
          <w:rFonts w:ascii="Times New Roman" w:eastAsia="Times New Roman" w:hAnsi="Times New Roman" w:cs="Times New Roman"/>
          <w:sz w:val="24"/>
          <w:szCs w:val="20"/>
          <w:lang w:eastAsia="pl-PL"/>
        </w:rPr>
        <w:br/>
      </w:r>
      <w:r w:rsidRPr="006B629D">
        <w:rPr>
          <w:rFonts w:ascii="Times New Roman" w:eastAsia="Times New Roman" w:hAnsi="Times New Roman" w:cs="Times New Roman"/>
          <w:sz w:val="24"/>
          <w:szCs w:val="20"/>
          <w:lang w:eastAsia="pl-PL"/>
        </w:rPr>
        <w:t>z tytułu odsetek oraz innych dochodów należnych Skarbowi Państwa wskazanych w umowie pożyczki gromadzone będą na rachunku Funduszu Przeciwdziałania COV</w:t>
      </w:r>
      <w:r w:rsidR="00883432">
        <w:rPr>
          <w:rFonts w:ascii="Times New Roman" w:eastAsia="Times New Roman" w:hAnsi="Times New Roman" w:cs="Times New Roman"/>
          <w:sz w:val="24"/>
          <w:szCs w:val="20"/>
          <w:lang w:eastAsia="pl-PL"/>
        </w:rPr>
        <w:t>I</w:t>
      </w:r>
      <w:r w:rsidRPr="006B629D">
        <w:rPr>
          <w:rFonts w:ascii="Times New Roman" w:eastAsia="Times New Roman" w:hAnsi="Times New Roman" w:cs="Times New Roman"/>
          <w:sz w:val="24"/>
          <w:szCs w:val="20"/>
          <w:lang w:eastAsia="pl-PL"/>
        </w:rPr>
        <w:t xml:space="preserve">D-19. W projekcie zawarty został również przepis upoważniający ministra właściwego do spraw aktywów państwowych do wydania rozporządzenia określającego szczegółowy sposób postępowania </w:t>
      </w:r>
      <w:r w:rsidR="00E751DD">
        <w:rPr>
          <w:rFonts w:ascii="Times New Roman" w:eastAsia="Times New Roman" w:hAnsi="Times New Roman" w:cs="Times New Roman"/>
          <w:sz w:val="24"/>
          <w:szCs w:val="20"/>
          <w:lang w:eastAsia="pl-PL"/>
        </w:rPr>
        <w:br/>
      </w:r>
      <w:r w:rsidRPr="006B629D">
        <w:rPr>
          <w:rFonts w:ascii="Times New Roman" w:eastAsia="Times New Roman" w:hAnsi="Times New Roman" w:cs="Times New Roman"/>
          <w:sz w:val="24"/>
          <w:szCs w:val="20"/>
          <w:lang w:eastAsia="pl-PL"/>
        </w:rPr>
        <w:t>w zakresie udzielania pożyczek.</w:t>
      </w:r>
    </w:p>
    <w:p w14:paraId="648D9BE0" w14:textId="44ADE203" w:rsidR="00FF05DB" w:rsidRPr="006B629D" w:rsidRDefault="00B06D22" w:rsidP="009A0275">
      <w:pPr>
        <w:pStyle w:val="Akapitzlist"/>
        <w:numPr>
          <w:ilvl w:val="0"/>
          <w:numId w:val="1"/>
        </w:numPr>
        <w:spacing w:line="360" w:lineRule="auto"/>
        <w:ind w:left="426" w:hanging="426"/>
        <w:jc w:val="both"/>
        <w:rPr>
          <w:rFonts w:ascii="Times New Roman" w:eastAsia="Times New Roman" w:hAnsi="Times New Roman" w:cs="Times New Roman"/>
          <w:b/>
          <w:sz w:val="24"/>
          <w:szCs w:val="20"/>
          <w:lang w:eastAsia="pl-PL"/>
        </w:rPr>
      </w:pPr>
      <w:r w:rsidRPr="006B629D">
        <w:rPr>
          <w:rFonts w:ascii="Times New Roman" w:eastAsia="Times New Roman" w:hAnsi="Times New Roman" w:cs="Times New Roman"/>
          <w:b/>
          <w:sz w:val="24"/>
          <w:szCs w:val="20"/>
          <w:lang w:eastAsia="pl-PL"/>
        </w:rPr>
        <w:t xml:space="preserve">Wprowadzenie mechanizmu obejmowania gwarancjami Skarbu Państwa zobowiązań z tytułu obligacji lub kredytów zaciągnięte na rynku krajowym lub zagranicznym przez sprzedawcę z urzędu paliw gazowych, o którym mowa w art. 62c ust. 1 </w:t>
      </w:r>
      <w:r w:rsidR="00883432">
        <w:rPr>
          <w:rFonts w:ascii="Times New Roman" w:eastAsia="Times New Roman" w:hAnsi="Times New Roman" w:cs="Times New Roman"/>
          <w:b/>
          <w:sz w:val="24"/>
          <w:szCs w:val="20"/>
          <w:lang w:eastAsia="pl-PL"/>
        </w:rPr>
        <w:t xml:space="preserve">ustawy </w:t>
      </w:r>
      <w:r w:rsidR="000D2B72">
        <w:rPr>
          <w:rFonts w:ascii="Times New Roman" w:eastAsia="Times New Roman" w:hAnsi="Times New Roman" w:cs="Times New Roman"/>
          <w:b/>
          <w:sz w:val="24"/>
          <w:szCs w:val="20"/>
          <w:lang w:eastAsia="pl-PL"/>
        </w:rPr>
        <w:t>–</w:t>
      </w:r>
      <w:r w:rsidR="00883432">
        <w:rPr>
          <w:rFonts w:ascii="Times New Roman" w:eastAsia="Times New Roman" w:hAnsi="Times New Roman" w:cs="Times New Roman"/>
          <w:b/>
          <w:sz w:val="24"/>
          <w:szCs w:val="20"/>
          <w:lang w:eastAsia="pl-PL"/>
        </w:rPr>
        <w:t xml:space="preserve"> </w:t>
      </w:r>
      <w:r w:rsidRPr="006B629D">
        <w:rPr>
          <w:rFonts w:ascii="Times New Roman" w:eastAsia="Times New Roman" w:hAnsi="Times New Roman" w:cs="Times New Roman"/>
          <w:b/>
          <w:sz w:val="24"/>
          <w:szCs w:val="20"/>
          <w:lang w:eastAsia="pl-PL"/>
        </w:rPr>
        <w:t xml:space="preserve">Prawo energetyczne oraz przedsiębiorcę realizującego w 2021 roku obowiązek, o którym mowa w art. 49b ust. 1 </w:t>
      </w:r>
      <w:r w:rsidR="00883432">
        <w:rPr>
          <w:rFonts w:ascii="Times New Roman" w:eastAsia="Times New Roman" w:hAnsi="Times New Roman" w:cs="Times New Roman"/>
          <w:b/>
          <w:sz w:val="24"/>
          <w:szCs w:val="20"/>
          <w:lang w:eastAsia="pl-PL"/>
        </w:rPr>
        <w:t xml:space="preserve">ustawy </w:t>
      </w:r>
      <w:r w:rsidR="000D2B72">
        <w:rPr>
          <w:rFonts w:ascii="Times New Roman" w:eastAsia="Times New Roman" w:hAnsi="Times New Roman" w:cs="Times New Roman"/>
          <w:b/>
          <w:sz w:val="24"/>
          <w:szCs w:val="20"/>
          <w:lang w:eastAsia="pl-PL"/>
        </w:rPr>
        <w:t>–</w:t>
      </w:r>
      <w:r w:rsidR="00883432">
        <w:rPr>
          <w:rFonts w:ascii="Times New Roman" w:eastAsia="Times New Roman" w:hAnsi="Times New Roman" w:cs="Times New Roman"/>
          <w:b/>
          <w:sz w:val="24"/>
          <w:szCs w:val="20"/>
          <w:lang w:eastAsia="pl-PL"/>
        </w:rPr>
        <w:t xml:space="preserve"> </w:t>
      </w:r>
      <w:r w:rsidRPr="006B629D">
        <w:rPr>
          <w:rFonts w:ascii="Times New Roman" w:eastAsia="Times New Roman" w:hAnsi="Times New Roman" w:cs="Times New Roman"/>
          <w:b/>
          <w:sz w:val="24"/>
          <w:szCs w:val="20"/>
          <w:lang w:eastAsia="pl-PL"/>
        </w:rPr>
        <w:t xml:space="preserve">Prawo energetyczne. </w:t>
      </w:r>
    </w:p>
    <w:p w14:paraId="6BC59076" w14:textId="501BDF64" w:rsidR="00B06D22" w:rsidRPr="006B629D" w:rsidRDefault="00B06D22" w:rsidP="009A0275">
      <w:pPr>
        <w:spacing w:before="240" w:line="360" w:lineRule="auto"/>
        <w:jc w:val="both"/>
        <w:rPr>
          <w:rFonts w:ascii="Times New Roman" w:eastAsia="Times New Roman" w:hAnsi="Times New Roman" w:cs="Times New Roman"/>
          <w:sz w:val="24"/>
          <w:szCs w:val="20"/>
          <w:lang w:eastAsia="pl-PL"/>
        </w:rPr>
      </w:pPr>
      <w:r w:rsidRPr="006B629D">
        <w:rPr>
          <w:rFonts w:ascii="Times New Roman" w:eastAsia="Times New Roman" w:hAnsi="Times New Roman" w:cs="Times New Roman"/>
          <w:sz w:val="24"/>
          <w:szCs w:val="20"/>
          <w:lang w:eastAsia="pl-PL"/>
        </w:rPr>
        <w:lastRenderedPageBreak/>
        <w:t xml:space="preserve">Sprzedawca z urzędu, o którym mowa w art. 3 pkt 29 ustawy </w:t>
      </w:r>
      <w:r w:rsidR="000D2B72">
        <w:rPr>
          <w:rFonts w:ascii="Times New Roman" w:eastAsia="Times New Roman" w:hAnsi="Times New Roman" w:cs="Times New Roman"/>
          <w:sz w:val="24"/>
          <w:szCs w:val="20"/>
          <w:lang w:eastAsia="pl-PL"/>
        </w:rPr>
        <w:t>–</w:t>
      </w:r>
      <w:r w:rsidRPr="006B629D">
        <w:rPr>
          <w:rFonts w:ascii="Times New Roman" w:eastAsia="Times New Roman" w:hAnsi="Times New Roman" w:cs="Times New Roman"/>
          <w:sz w:val="24"/>
          <w:szCs w:val="20"/>
          <w:lang w:eastAsia="pl-PL"/>
        </w:rPr>
        <w:t xml:space="preserve"> Prawo energetyczne, jest przedsiębiorcą wyznaczonym w przepisach prawa powszechnie obowiązującego (art. 62c </w:t>
      </w:r>
      <w:r w:rsidR="00B849A2">
        <w:rPr>
          <w:rFonts w:ascii="Times New Roman" w:eastAsia="Times New Roman" w:hAnsi="Times New Roman" w:cs="Times New Roman"/>
          <w:sz w:val="24"/>
          <w:szCs w:val="20"/>
          <w:lang w:eastAsia="pl-PL"/>
        </w:rPr>
        <w:br/>
      </w:r>
      <w:r w:rsidRPr="006B629D">
        <w:rPr>
          <w:rFonts w:ascii="Times New Roman" w:eastAsia="Times New Roman" w:hAnsi="Times New Roman" w:cs="Times New Roman"/>
          <w:sz w:val="24"/>
          <w:szCs w:val="20"/>
          <w:lang w:eastAsia="pl-PL"/>
        </w:rPr>
        <w:t xml:space="preserve">ust. 1 ustawy </w:t>
      </w:r>
      <w:r w:rsidR="000F3624">
        <w:rPr>
          <w:rFonts w:ascii="Times New Roman" w:eastAsia="Times New Roman" w:hAnsi="Times New Roman" w:cs="Times New Roman"/>
          <w:sz w:val="24"/>
          <w:szCs w:val="20"/>
          <w:lang w:eastAsia="pl-PL"/>
        </w:rPr>
        <w:t>–</w:t>
      </w:r>
      <w:r w:rsidRPr="006B629D">
        <w:rPr>
          <w:rFonts w:ascii="Times New Roman" w:eastAsia="Times New Roman" w:hAnsi="Times New Roman" w:cs="Times New Roman"/>
          <w:sz w:val="24"/>
          <w:szCs w:val="20"/>
          <w:lang w:eastAsia="pl-PL"/>
        </w:rPr>
        <w:t xml:space="preserve"> Prawo energetyczne – sprzedawca z urzędu dla paliw gazowych). Zadaniem tego przedsiębiorcy</w:t>
      </w:r>
      <w:r w:rsidR="00A37092">
        <w:rPr>
          <w:rFonts w:ascii="Times New Roman" w:eastAsia="Times New Roman" w:hAnsi="Times New Roman" w:cs="Times New Roman"/>
          <w:sz w:val="24"/>
          <w:szCs w:val="20"/>
          <w:lang w:eastAsia="pl-PL"/>
        </w:rPr>
        <w:t>,</w:t>
      </w:r>
      <w:r w:rsidRPr="006B629D">
        <w:rPr>
          <w:rFonts w:ascii="Times New Roman" w:eastAsia="Times New Roman" w:hAnsi="Times New Roman" w:cs="Times New Roman"/>
          <w:sz w:val="24"/>
          <w:szCs w:val="20"/>
          <w:lang w:eastAsia="pl-PL"/>
        </w:rPr>
        <w:t xml:space="preserve"> zgodnie z art. 5a ustawy </w:t>
      </w:r>
      <w:r w:rsidR="000D2B72">
        <w:rPr>
          <w:rFonts w:ascii="Times New Roman" w:eastAsia="Times New Roman" w:hAnsi="Times New Roman" w:cs="Times New Roman"/>
          <w:sz w:val="24"/>
          <w:szCs w:val="20"/>
          <w:lang w:eastAsia="pl-PL"/>
        </w:rPr>
        <w:t>–</w:t>
      </w:r>
      <w:r w:rsidRPr="006B629D">
        <w:rPr>
          <w:rFonts w:ascii="Times New Roman" w:eastAsia="Times New Roman" w:hAnsi="Times New Roman" w:cs="Times New Roman"/>
          <w:sz w:val="24"/>
          <w:szCs w:val="20"/>
          <w:lang w:eastAsia="pl-PL"/>
        </w:rPr>
        <w:t xml:space="preserve"> Prawo energetyczne</w:t>
      </w:r>
      <w:r w:rsidR="00A37092">
        <w:rPr>
          <w:rFonts w:ascii="Times New Roman" w:eastAsia="Times New Roman" w:hAnsi="Times New Roman" w:cs="Times New Roman"/>
          <w:sz w:val="24"/>
          <w:szCs w:val="20"/>
          <w:lang w:eastAsia="pl-PL"/>
        </w:rPr>
        <w:t>,</w:t>
      </w:r>
      <w:r w:rsidRPr="006B629D">
        <w:rPr>
          <w:rFonts w:ascii="Times New Roman" w:eastAsia="Times New Roman" w:hAnsi="Times New Roman" w:cs="Times New Roman"/>
          <w:sz w:val="24"/>
          <w:szCs w:val="20"/>
          <w:lang w:eastAsia="pl-PL"/>
        </w:rPr>
        <w:t xml:space="preserve"> jest dostarczanie paliwa gazowego lub energii elektrycznej odbiorcom w gospodarstwie domowym, niekorzystającym z prawa wyboru sprzedawcy i przyłączonym do sieci przedsiębiorstwa energetycznego wskazanego w koncesji sprzedawcy z urzędu. Zatem w przypadku, w którym przedsiębiorca dotychczas dostarczający paliwa gazowe bądź energię elektryczną do danego odbiorcy zaprzestałby działalności, a odbiorca nie będzie chciał bądź mógł (z jakiekolwiek przyczyny) skorzystać z prawa do zmiany sprzedawcy, to w celu utrzymania ciągłości zaopatrzenia odbiorcy w te nośniki energii, działanie w tym zakresie podejmuje sprzedawca z urzędu. Należy przy tym zaznaczyć, że sprzedawca z urzędu jest jedynym dostawcą, który nie może odmówić zawarcia umowy – w przypadku jego braku, operator systemu przesyłowego bądź dystrybucyjnego po prostu odcinałby odbiorcy możliwość pobierania z sieci nośników energii.</w:t>
      </w:r>
    </w:p>
    <w:p w14:paraId="1543FF72" w14:textId="19352FC8" w:rsidR="00B06D22" w:rsidRPr="006B629D" w:rsidRDefault="00B06D22" w:rsidP="009A0275">
      <w:pPr>
        <w:spacing w:before="240" w:line="360" w:lineRule="auto"/>
        <w:jc w:val="both"/>
        <w:rPr>
          <w:rFonts w:ascii="Times New Roman" w:eastAsia="Times New Roman" w:hAnsi="Times New Roman" w:cs="Times New Roman"/>
          <w:sz w:val="24"/>
          <w:szCs w:val="20"/>
          <w:lang w:eastAsia="pl-PL"/>
        </w:rPr>
      </w:pPr>
      <w:r w:rsidRPr="006B629D">
        <w:rPr>
          <w:rFonts w:ascii="Times New Roman" w:eastAsia="Times New Roman" w:hAnsi="Times New Roman" w:cs="Times New Roman"/>
          <w:sz w:val="24"/>
          <w:szCs w:val="20"/>
          <w:lang w:eastAsia="pl-PL"/>
        </w:rPr>
        <w:t xml:space="preserve">Przedsiębiorca realizujący w 2021 roku obowiązek publicznej sprzedaży na forum giełdowym zapewnia odpowiedni poziom podaży gazu ziemnego na rynek, z którego zaopatrują się sprzedawcy z urzędu, a jednocześnie dzięki wytwarzanej w ten sposób płynności rynku hurtowego, tworzony jest obiektywny wskaźnik do ustalania cen w kontraktach bilateralnych. Podmiot ten w praktyce zapewnia również ciągłość dostaw gazu ziemnego z zagranicy, </w:t>
      </w:r>
      <w:r w:rsidR="0088404B">
        <w:rPr>
          <w:rFonts w:ascii="Times New Roman" w:eastAsia="Times New Roman" w:hAnsi="Times New Roman" w:cs="Times New Roman"/>
          <w:sz w:val="24"/>
          <w:szCs w:val="20"/>
          <w:lang w:eastAsia="pl-PL"/>
        </w:rPr>
        <w:br/>
      </w:r>
      <w:r w:rsidRPr="006B629D">
        <w:rPr>
          <w:rFonts w:ascii="Times New Roman" w:eastAsia="Times New Roman" w:hAnsi="Times New Roman" w:cs="Times New Roman"/>
          <w:sz w:val="24"/>
          <w:szCs w:val="20"/>
          <w:lang w:eastAsia="pl-PL"/>
        </w:rPr>
        <w:t>co w warunkach doświadczanego kryzysu gazowego uzasadnia objęcie tego podmiotu szczególnymi regułami dotyczącymi gwarancji Skarbu Państwa.</w:t>
      </w:r>
    </w:p>
    <w:p w14:paraId="6CAB8690" w14:textId="721B804F" w:rsidR="00B06D22" w:rsidRPr="006B629D" w:rsidRDefault="00B06D22" w:rsidP="009A0275">
      <w:pPr>
        <w:spacing w:before="240" w:line="360" w:lineRule="auto"/>
        <w:jc w:val="both"/>
        <w:rPr>
          <w:rFonts w:ascii="Times New Roman" w:eastAsia="Times New Roman" w:hAnsi="Times New Roman" w:cs="Times New Roman"/>
          <w:sz w:val="24"/>
          <w:szCs w:val="20"/>
          <w:lang w:eastAsia="pl-PL"/>
        </w:rPr>
      </w:pPr>
      <w:r w:rsidRPr="006B629D">
        <w:rPr>
          <w:rFonts w:ascii="Times New Roman" w:eastAsia="Times New Roman" w:hAnsi="Times New Roman" w:cs="Times New Roman"/>
          <w:sz w:val="24"/>
          <w:szCs w:val="20"/>
          <w:lang w:eastAsia="pl-PL"/>
        </w:rPr>
        <w:t>Wobec pojawiających się w ostatnich dniach informacji o zaprzestaniu działalności przez wielu sprzedawców energii i gazu w innych państwach członkowskich UE oraz ograniczaniu nowej kontraktacji przez istniejących dostawców, ryzyko związane z zaprzestaniem działalności przez niektórych sprzedawców gazu</w:t>
      </w:r>
      <w:r w:rsidR="00A37092">
        <w:rPr>
          <w:rFonts w:ascii="Times New Roman" w:eastAsia="Times New Roman" w:hAnsi="Times New Roman" w:cs="Times New Roman"/>
          <w:sz w:val="24"/>
          <w:szCs w:val="20"/>
          <w:lang w:eastAsia="pl-PL"/>
        </w:rPr>
        <w:t xml:space="preserve">, </w:t>
      </w:r>
      <w:r w:rsidRPr="006B629D">
        <w:rPr>
          <w:rFonts w:ascii="Times New Roman" w:eastAsia="Times New Roman" w:hAnsi="Times New Roman" w:cs="Times New Roman"/>
          <w:sz w:val="24"/>
          <w:szCs w:val="20"/>
          <w:lang w:eastAsia="pl-PL"/>
        </w:rPr>
        <w:t>zarówno na poziomie hurtowym, jak i detalicznym, rośnie również w Polsce. Jednocześnie jednak, przejęcie przez sprzedawcę z urzędu paliw gazowych odbiorców dotychczas obsługiwanych przez innego sprzedawcę wiąże się z koniecznością zakupienia dla nich dodatkowego paliwa gazowego, co dla sprzedawcy z urzędu paliwa gazowego oznacza dodatkowe, nieplanowane i znaczące koszty, związane zarówno z potencjalnie wysoką ceną zakupu paliwa gazowego w momencie zaprzestania działalności przez dotychczasowego dostawcę oraz z koniecznością szybkiego wniesienia depo</w:t>
      </w:r>
      <w:r w:rsidRPr="006B629D">
        <w:rPr>
          <w:rFonts w:ascii="Times New Roman" w:eastAsia="Times New Roman" w:hAnsi="Times New Roman" w:cs="Times New Roman"/>
          <w:sz w:val="24"/>
          <w:szCs w:val="20"/>
          <w:lang w:eastAsia="pl-PL"/>
        </w:rPr>
        <w:lastRenderedPageBreak/>
        <w:t xml:space="preserve">zytów zabezpieczających te transakcje zakupu na giełdzie. W sytuacji upadku sprzedawcy obsługującego dużą ilość odbiorców w gospodarstwach domowych, koszty te mogą iść w setki milionów złotych. </w:t>
      </w:r>
      <w:r w:rsidR="00D05657" w:rsidRPr="00D05657">
        <w:rPr>
          <w:rFonts w:ascii="Times New Roman" w:eastAsia="Times New Roman" w:hAnsi="Times New Roman" w:cs="Times New Roman"/>
          <w:sz w:val="24"/>
          <w:szCs w:val="20"/>
          <w:lang w:eastAsia="pl-PL"/>
        </w:rPr>
        <w:t xml:space="preserve">Podkreślić należy przy tym, </w:t>
      </w:r>
      <w:r w:rsidR="00A37092">
        <w:rPr>
          <w:rFonts w:ascii="Times New Roman" w:eastAsia="Times New Roman" w:hAnsi="Times New Roman" w:cs="Times New Roman"/>
          <w:sz w:val="24"/>
          <w:szCs w:val="20"/>
          <w:lang w:eastAsia="pl-PL"/>
        </w:rPr>
        <w:t>ż</w:t>
      </w:r>
      <w:r w:rsidR="00D05657" w:rsidRPr="00D05657">
        <w:rPr>
          <w:rFonts w:ascii="Times New Roman" w:eastAsia="Times New Roman" w:hAnsi="Times New Roman" w:cs="Times New Roman"/>
          <w:sz w:val="24"/>
          <w:szCs w:val="20"/>
          <w:lang w:eastAsia="pl-PL"/>
        </w:rPr>
        <w:t xml:space="preserve">e sprzedawca z urzędu, o którym mowa </w:t>
      </w:r>
      <w:r w:rsidR="00C570CE">
        <w:rPr>
          <w:rFonts w:ascii="Times New Roman" w:eastAsia="Times New Roman" w:hAnsi="Times New Roman" w:cs="Times New Roman"/>
          <w:sz w:val="24"/>
          <w:szCs w:val="20"/>
          <w:lang w:eastAsia="pl-PL"/>
        </w:rPr>
        <w:br/>
      </w:r>
      <w:r w:rsidR="00D05657" w:rsidRPr="00D05657">
        <w:rPr>
          <w:rFonts w:ascii="Times New Roman" w:eastAsia="Times New Roman" w:hAnsi="Times New Roman" w:cs="Times New Roman"/>
          <w:sz w:val="24"/>
          <w:szCs w:val="20"/>
          <w:lang w:eastAsia="pl-PL"/>
        </w:rPr>
        <w:t>w art. 62c ust. 1 ustawy – Prawo energetyczne</w:t>
      </w:r>
      <w:r w:rsidR="00A37092">
        <w:rPr>
          <w:rFonts w:ascii="Times New Roman" w:eastAsia="Times New Roman" w:hAnsi="Times New Roman" w:cs="Times New Roman"/>
          <w:sz w:val="24"/>
          <w:szCs w:val="20"/>
          <w:lang w:eastAsia="pl-PL"/>
        </w:rPr>
        <w:t>,</w:t>
      </w:r>
      <w:r w:rsidR="00D05657" w:rsidRPr="00D05657">
        <w:rPr>
          <w:rFonts w:ascii="Times New Roman" w:eastAsia="Times New Roman" w:hAnsi="Times New Roman" w:cs="Times New Roman"/>
          <w:sz w:val="24"/>
          <w:szCs w:val="20"/>
          <w:lang w:eastAsia="pl-PL"/>
        </w:rPr>
        <w:t xml:space="preserve"> pełni funkcję sprzedawcy z urzędu</w:t>
      </w:r>
      <w:r w:rsidR="00A37092">
        <w:rPr>
          <w:rFonts w:ascii="Times New Roman" w:eastAsia="Times New Roman" w:hAnsi="Times New Roman" w:cs="Times New Roman"/>
          <w:sz w:val="24"/>
          <w:szCs w:val="20"/>
          <w:lang w:eastAsia="pl-PL"/>
        </w:rPr>
        <w:t>,</w:t>
      </w:r>
      <w:r w:rsidR="00D05657" w:rsidRPr="00D05657">
        <w:rPr>
          <w:rFonts w:ascii="Times New Roman" w:eastAsia="Times New Roman" w:hAnsi="Times New Roman" w:cs="Times New Roman"/>
          <w:sz w:val="24"/>
          <w:szCs w:val="20"/>
          <w:lang w:eastAsia="pl-PL"/>
        </w:rPr>
        <w:t xml:space="preserve"> w sytuacji gdy dostarczania gazu zaprzestaje inny sprzedawca z urzędu (art. 62c ust. 1 ustawy – Prawo energetyczne). Oznacza to, że na tym podmiocie ciąży szczególna odpowiedzialność związana z dostawami do odbiorców paliw gazowych w gospodarstwie domowym.</w:t>
      </w:r>
    </w:p>
    <w:p w14:paraId="0B562D77" w14:textId="13AF7F0B" w:rsidR="00B06D22" w:rsidRPr="006B629D" w:rsidRDefault="00B06D22" w:rsidP="009A0275">
      <w:pPr>
        <w:spacing w:before="240" w:line="360" w:lineRule="auto"/>
        <w:jc w:val="both"/>
        <w:rPr>
          <w:rFonts w:ascii="Times New Roman" w:eastAsia="Times New Roman" w:hAnsi="Times New Roman" w:cs="Times New Roman"/>
          <w:sz w:val="24"/>
          <w:szCs w:val="20"/>
          <w:lang w:eastAsia="pl-PL"/>
        </w:rPr>
      </w:pPr>
      <w:r w:rsidRPr="006B629D">
        <w:rPr>
          <w:rFonts w:ascii="Times New Roman" w:eastAsia="Times New Roman" w:hAnsi="Times New Roman" w:cs="Times New Roman"/>
          <w:sz w:val="24"/>
          <w:szCs w:val="20"/>
          <w:lang w:eastAsia="pl-PL"/>
        </w:rPr>
        <w:t>Z uwagi na powyższe okoliczności, sprzedawca z urzędu paliwa gazowego</w:t>
      </w:r>
      <w:r w:rsidR="00D05657" w:rsidRPr="00D05657">
        <w:rPr>
          <w:rFonts w:ascii="Times New Roman" w:eastAsia="Times New Roman" w:hAnsi="Times New Roman" w:cs="Times New Roman"/>
          <w:sz w:val="24"/>
          <w:szCs w:val="20"/>
          <w:lang w:eastAsia="pl-PL"/>
        </w:rPr>
        <w:t xml:space="preserve">, o którym mowa </w:t>
      </w:r>
      <w:r w:rsidR="00B016A1">
        <w:rPr>
          <w:rFonts w:ascii="Times New Roman" w:eastAsia="Times New Roman" w:hAnsi="Times New Roman" w:cs="Times New Roman"/>
          <w:sz w:val="24"/>
          <w:szCs w:val="20"/>
          <w:lang w:eastAsia="pl-PL"/>
        </w:rPr>
        <w:br/>
      </w:r>
      <w:r w:rsidR="00D05657" w:rsidRPr="00D05657">
        <w:rPr>
          <w:rFonts w:ascii="Times New Roman" w:eastAsia="Times New Roman" w:hAnsi="Times New Roman" w:cs="Times New Roman"/>
          <w:sz w:val="24"/>
          <w:szCs w:val="20"/>
          <w:lang w:eastAsia="pl-PL"/>
        </w:rPr>
        <w:t xml:space="preserve">w art. 62c ust. 1 ustawy – Prawo energetyczne </w:t>
      </w:r>
      <w:r w:rsidRPr="006B629D">
        <w:rPr>
          <w:rFonts w:ascii="Times New Roman" w:eastAsia="Times New Roman" w:hAnsi="Times New Roman" w:cs="Times New Roman"/>
          <w:sz w:val="24"/>
          <w:szCs w:val="20"/>
          <w:lang w:eastAsia="pl-PL"/>
        </w:rPr>
        <w:t xml:space="preserve">oraz podmiot, o którym mowa w art. 49b ust. 1 ustawy </w:t>
      </w:r>
      <w:r w:rsidR="000D2B72">
        <w:rPr>
          <w:rFonts w:ascii="Times New Roman" w:eastAsia="Times New Roman" w:hAnsi="Times New Roman" w:cs="Times New Roman"/>
          <w:sz w:val="24"/>
          <w:szCs w:val="20"/>
          <w:lang w:eastAsia="pl-PL"/>
        </w:rPr>
        <w:t>–</w:t>
      </w:r>
      <w:r w:rsidRPr="006B629D">
        <w:rPr>
          <w:rFonts w:ascii="Times New Roman" w:eastAsia="Times New Roman" w:hAnsi="Times New Roman" w:cs="Times New Roman"/>
          <w:sz w:val="24"/>
          <w:szCs w:val="20"/>
          <w:lang w:eastAsia="pl-PL"/>
        </w:rPr>
        <w:t xml:space="preserve"> Prawo energetyczne, muszą pozyskiwać finansowanie o charakterze obrotowym, pozwalające na zapewnienie odpowiedniego poziomu płynności </w:t>
      </w:r>
      <w:r w:rsidR="002F2BCC">
        <w:rPr>
          <w:rFonts w:ascii="Times New Roman" w:eastAsia="Times New Roman" w:hAnsi="Times New Roman" w:cs="Times New Roman"/>
          <w:sz w:val="24"/>
          <w:szCs w:val="20"/>
          <w:lang w:eastAsia="pl-PL"/>
        </w:rPr>
        <w:t xml:space="preserve">finansowej </w:t>
      </w:r>
      <w:r w:rsidRPr="006B629D">
        <w:rPr>
          <w:rFonts w:ascii="Times New Roman" w:eastAsia="Times New Roman" w:hAnsi="Times New Roman" w:cs="Times New Roman"/>
          <w:sz w:val="24"/>
          <w:szCs w:val="20"/>
          <w:lang w:eastAsia="pl-PL"/>
        </w:rPr>
        <w:t>w celu terminowego regulowania zobowiązań związanych z zapewnianiem płynności na rynku giełdowym, ciągłością dostaw energii lub pozostawaniem w gotowości do świadczenia usług sprzedawcy z urzędu.</w:t>
      </w:r>
    </w:p>
    <w:p w14:paraId="041AD81F" w14:textId="1F49F4CD" w:rsidR="00B06D22" w:rsidRPr="006B629D" w:rsidRDefault="00B06D22" w:rsidP="009A0275">
      <w:pPr>
        <w:spacing w:before="240" w:line="360" w:lineRule="auto"/>
        <w:jc w:val="both"/>
        <w:rPr>
          <w:rFonts w:ascii="Times New Roman" w:eastAsia="Times New Roman" w:hAnsi="Times New Roman" w:cs="Times New Roman"/>
          <w:sz w:val="24"/>
          <w:szCs w:val="20"/>
          <w:lang w:eastAsia="pl-PL"/>
        </w:rPr>
      </w:pPr>
      <w:r w:rsidRPr="006B629D">
        <w:rPr>
          <w:rFonts w:ascii="Times New Roman" w:eastAsia="Times New Roman" w:hAnsi="Times New Roman" w:cs="Times New Roman"/>
          <w:sz w:val="24"/>
          <w:szCs w:val="20"/>
          <w:lang w:eastAsia="pl-PL"/>
        </w:rPr>
        <w:t xml:space="preserve">Dla zagwarantowania powyższego celu proponuje się udzielenie ustawowej gwarancji na zobowiązania zaciągane przez ww. podmioty z tytułu kredytów i wyemitowanych obligacji, przeznaczonych na cele związane z ich podstawową działalnością i kluczowe z punktu widzenia wykonywanych funkcji w systemie gazowym. W przypadku sprzedawcy z urzędu paliw gazowych są to koszty związane z bilansowaniem, zakupem i rozliczeniem zakupionego paliwa gazowego. W przypadku podmiotu, o którym mowa w art. 49b ust. 1 ustawy </w:t>
      </w:r>
      <w:r w:rsidR="000D2B72">
        <w:rPr>
          <w:rFonts w:ascii="Times New Roman" w:eastAsia="Times New Roman" w:hAnsi="Times New Roman" w:cs="Times New Roman"/>
          <w:sz w:val="24"/>
          <w:szCs w:val="20"/>
          <w:lang w:eastAsia="pl-PL"/>
        </w:rPr>
        <w:t>–</w:t>
      </w:r>
      <w:r w:rsidRPr="006B629D">
        <w:rPr>
          <w:rFonts w:ascii="Times New Roman" w:eastAsia="Times New Roman" w:hAnsi="Times New Roman" w:cs="Times New Roman"/>
          <w:sz w:val="24"/>
          <w:szCs w:val="20"/>
          <w:lang w:eastAsia="pl-PL"/>
        </w:rPr>
        <w:t xml:space="preserve"> Prawo energetyczne, realizującego ten obowiązek w 2021 r., są to koszty związane z zakupem paliwa gazowego (w tym w ramach kontraktów importowych) i nabyciem usług związanych z zapewnieniem dostaw gazu w systemie przesyłowym i dystrybucyjnym (w tym usług regazyfikacji i magazynowania zakupionego gazu). </w:t>
      </w:r>
    </w:p>
    <w:p w14:paraId="14E1BEFB" w14:textId="0E15C766" w:rsidR="00B06D22" w:rsidRPr="006B629D" w:rsidRDefault="00B06D22" w:rsidP="009A0275">
      <w:pPr>
        <w:spacing w:before="240" w:line="360" w:lineRule="auto"/>
        <w:jc w:val="both"/>
        <w:rPr>
          <w:rFonts w:ascii="Times New Roman" w:eastAsia="Times New Roman" w:hAnsi="Times New Roman" w:cs="Times New Roman"/>
          <w:sz w:val="24"/>
          <w:szCs w:val="20"/>
          <w:lang w:eastAsia="pl-PL"/>
        </w:rPr>
      </w:pPr>
      <w:r w:rsidRPr="006B629D">
        <w:rPr>
          <w:rFonts w:ascii="Times New Roman" w:eastAsia="Times New Roman" w:hAnsi="Times New Roman" w:cs="Times New Roman"/>
          <w:sz w:val="24"/>
          <w:szCs w:val="20"/>
          <w:lang w:eastAsia="pl-PL"/>
        </w:rPr>
        <w:t>Okres, w którym zobowiązania podmiotów określonych w ustawie są obejmowane gwarancją Skarbu Państwa został określony na 4 lata. Wskazany okres koresponduje z okresem w jakim sprzedawca z urzędu paliw gazowych może odzyskiwać koszty niepokryte taryfą zatwierdzoną na</w:t>
      </w:r>
      <w:r w:rsidR="000D2B72">
        <w:rPr>
          <w:rFonts w:ascii="Times New Roman" w:eastAsia="Times New Roman" w:hAnsi="Times New Roman" w:cs="Times New Roman"/>
          <w:sz w:val="24"/>
          <w:szCs w:val="20"/>
          <w:lang w:eastAsia="pl-PL"/>
        </w:rPr>
        <w:t xml:space="preserve"> </w:t>
      </w:r>
      <w:r w:rsidRPr="006B629D">
        <w:rPr>
          <w:rFonts w:ascii="Times New Roman" w:eastAsia="Times New Roman" w:hAnsi="Times New Roman" w:cs="Times New Roman"/>
          <w:sz w:val="24"/>
          <w:szCs w:val="20"/>
          <w:lang w:eastAsia="pl-PL"/>
        </w:rPr>
        <w:t>podstawie art. 62f</w:t>
      </w:r>
      <w:r w:rsidR="000D2B72">
        <w:rPr>
          <w:rFonts w:ascii="Times New Roman" w:eastAsia="Times New Roman" w:hAnsi="Times New Roman" w:cs="Times New Roman"/>
          <w:sz w:val="24"/>
          <w:szCs w:val="20"/>
          <w:lang w:eastAsia="pl-PL"/>
        </w:rPr>
        <w:t xml:space="preserve"> </w:t>
      </w:r>
      <w:r w:rsidRPr="006B629D">
        <w:rPr>
          <w:rFonts w:ascii="Times New Roman" w:eastAsia="Times New Roman" w:hAnsi="Times New Roman" w:cs="Times New Roman"/>
          <w:sz w:val="24"/>
          <w:szCs w:val="20"/>
          <w:lang w:eastAsia="pl-PL"/>
        </w:rPr>
        <w:t xml:space="preserve">ustawy </w:t>
      </w:r>
      <w:r w:rsidR="000D2B72">
        <w:rPr>
          <w:rFonts w:ascii="Times New Roman" w:eastAsia="Times New Roman" w:hAnsi="Times New Roman" w:cs="Times New Roman"/>
          <w:sz w:val="24"/>
          <w:szCs w:val="20"/>
          <w:lang w:eastAsia="pl-PL"/>
        </w:rPr>
        <w:t>–</w:t>
      </w:r>
      <w:r w:rsidRPr="006B629D">
        <w:rPr>
          <w:rFonts w:ascii="Times New Roman" w:eastAsia="Times New Roman" w:hAnsi="Times New Roman" w:cs="Times New Roman"/>
          <w:sz w:val="24"/>
          <w:szCs w:val="20"/>
          <w:lang w:eastAsia="pl-PL"/>
        </w:rPr>
        <w:t xml:space="preserve"> Prawo energetyczne. Dodatkowym uzasadnieniem tego okresu jest wyjątkowość sytuacji ekonomicznej i trudny do określenia horyzont czasowy zaburzeń na rynkach energetycznych i gazowych Unii Europejskiej. Analiza danych rynkowych wskazuje, że na ekstremalnie wysoki poziom cen gazu w Unii Europejskiej wpływa strategia Gazprom</w:t>
      </w:r>
      <w:r w:rsidR="00CC1549">
        <w:rPr>
          <w:rFonts w:ascii="Times New Roman" w:eastAsia="Times New Roman" w:hAnsi="Times New Roman" w:cs="Times New Roman"/>
          <w:sz w:val="24"/>
          <w:szCs w:val="20"/>
          <w:lang w:eastAsia="pl-PL"/>
        </w:rPr>
        <w:t>u</w:t>
      </w:r>
      <w:r w:rsidRPr="006B629D">
        <w:rPr>
          <w:rFonts w:ascii="Times New Roman" w:eastAsia="Times New Roman" w:hAnsi="Times New Roman" w:cs="Times New Roman"/>
          <w:sz w:val="24"/>
          <w:szCs w:val="20"/>
          <w:lang w:eastAsia="pl-PL"/>
        </w:rPr>
        <w:t xml:space="preserve"> polegająca na wstrzymaniu dostaw spotowych do państw Unii Europejskiej, rezygnacji z wykorzystania wolnych mocy istniejących tras tranzytowych </w:t>
      </w:r>
      <w:r w:rsidRPr="006B629D">
        <w:rPr>
          <w:rFonts w:ascii="Times New Roman" w:eastAsia="Times New Roman" w:hAnsi="Times New Roman" w:cs="Times New Roman"/>
          <w:sz w:val="24"/>
          <w:szCs w:val="20"/>
          <w:lang w:eastAsia="pl-PL"/>
        </w:rPr>
        <w:lastRenderedPageBreak/>
        <w:t>(</w:t>
      </w:r>
      <w:r w:rsidR="00A37092">
        <w:rPr>
          <w:rFonts w:ascii="Times New Roman" w:eastAsia="Times New Roman" w:hAnsi="Times New Roman" w:cs="Times New Roman"/>
          <w:sz w:val="24"/>
          <w:szCs w:val="20"/>
          <w:lang w:eastAsia="pl-PL"/>
        </w:rPr>
        <w:t>G</w:t>
      </w:r>
      <w:r w:rsidRPr="006B629D">
        <w:rPr>
          <w:rFonts w:ascii="Times New Roman" w:eastAsia="Times New Roman" w:hAnsi="Times New Roman" w:cs="Times New Roman"/>
          <w:sz w:val="24"/>
          <w:szCs w:val="20"/>
          <w:lang w:eastAsia="pl-PL"/>
        </w:rPr>
        <w:t xml:space="preserve">azociąg </w:t>
      </w:r>
      <w:r w:rsidR="00A37092">
        <w:rPr>
          <w:rFonts w:ascii="Times New Roman" w:eastAsia="Times New Roman" w:hAnsi="Times New Roman" w:cs="Times New Roman"/>
          <w:sz w:val="24"/>
          <w:szCs w:val="20"/>
          <w:lang w:eastAsia="pl-PL"/>
        </w:rPr>
        <w:t>J</w:t>
      </w:r>
      <w:r w:rsidRPr="006B629D">
        <w:rPr>
          <w:rFonts w:ascii="Times New Roman" w:eastAsia="Times New Roman" w:hAnsi="Times New Roman" w:cs="Times New Roman"/>
          <w:sz w:val="24"/>
          <w:szCs w:val="20"/>
          <w:lang w:eastAsia="pl-PL"/>
        </w:rPr>
        <w:t xml:space="preserve">amalski, </w:t>
      </w:r>
      <w:r w:rsidR="00A37092">
        <w:rPr>
          <w:rFonts w:ascii="Times New Roman" w:eastAsia="Times New Roman" w:hAnsi="Times New Roman" w:cs="Times New Roman"/>
          <w:sz w:val="24"/>
          <w:szCs w:val="20"/>
          <w:lang w:eastAsia="pl-PL"/>
        </w:rPr>
        <w:t>G</w:t>
      </w:r>
      <w:r w:rsidRPr="006B629D">
        <w:rPr>
          <w:rFonts w:ascii="Times New Roman" w:eastAsia="Times New Roman" w:hAnsi="Times New Roman" w:cs="Times New Roman"/>
          <w:sz w:val="24"/>
          <w:szCs w:val="20"/>
          <w:lang w:eastAsia="pl-PL"/>
        </w:rPr>
        <w:t xml:space="preserve">azociąg </w:t>
      </w:r>
      <w:r w:rsidR="00A37092">
        <w:rPr>
          <w:rFonts w:ascii="Times New Roman" w:eastAsia="Times New Roman" w:hAnsi="Times New Roman" w:cs="Times New Roman"/>
          <w:sz w:val="24"/>
          <w:szCs w:val="20"/>
          <w:lang w:eastAsia="pl-PL"/>
        </w:rPr>
        <w:t>B</w:t>
      </w:r>
      <w:r w:rsidRPr="006B629D">
        <w:rPr>
          <w:rFonts w:ascii="Times New Roman" w:eastAsia="Times New Roman" w:hAnsi="Times New Roman" w:cs="Times New Roman"/>
          <w:sz w:val="24"/>
          <w:szCs w:val="20"/>
          <w:lang w:eastAsia="pl-PL"/>
        </w:rPr>
        <w:t>raterstwo), a także wytłoczeniu magazynów Gazpromu w Unii Europejskiej bez odbudowania poziomu zapasów przed sezonem zimowym. Już w tej chwili strategia ta powoduje, że ceny na okres wiosenny i letni 2022 roku pozostają na bardzo wysokim poziomie, co oznacza duże prawdopodobieństwo ponownych istotnych wzrostów cen zimą roku 2022 i utrzymania się ich w kolejnych latach. Wbrew oczekiwaniom analityków i instytucji Unii Europejskiej krzywe cenowe utrzymują się na bardzo wysokim poziomie dla całego 2022 roku. Biorąc pod uwagę wzrost napięcia w stosunkach międzynarodowych, presję na bezprawne uruchomienie gazociągu Nord Stream 2, a także oczekiwania Gazprom</w:t>
      </w:r>
      <w:r w:rsidR="00FB6010">
        <w:rPr>
          <w:rFonts w:ascii="Times New Roman" w:eastAsia="Times New Roman" w:hAnsi="Times New Roman" w:cs="Times New Roman"/>
          <w:sz w:val="24"/>
          <w:szCs w:val="20"/>
          <w:lang w:eastAsia="pl-PL"/>
        </w:rPr>
        <w:t>u</w:t>
      </w:r>
      <w:r w:rsidRPr="006B629D">
        <w:rPr>
          <w:rFonts w:ascii="Times New Roman" w:eastAsia="Times New Roman" w:hAnsi="Times New Roman" w:cs="Times New Roman"/>
          <w:sz w:val="24"/>
          <w:szCs w:val="20"/>
          <w:lang w:eastAsia="pl-PL"/>
        </w:rPr>
        <w:t xml:space="preserve"> co do zmiany strategii kontraktacji odbiorców w Unii Europejskiej na kontrakty długoterminowe, nie jest możliwe prognozowanie momentu zakończenia trwającego kryzysu i jego bezpośrednich oraz pośrednich skutków. Powyższe oznacza, że wsparcie w postaci gwarancji Skarbu Państwa na zobowiązania kredytowe i związane z obligacjami powinno pokrywać wystarczająco długi okres, aby zapewnić podmiotom objętym niniejszą ustawą możliwość pozyskiwania finansowania zwiększonych potrzeb na kapitał obrotowy.</w:t>
      </w:r>
    </w:p>
    <w:p w14:paraId="336872FC" w14:textId="6DF7B66D" w:rsidR="00B06D22" w:rsidRPr="006B629D" w:rsidRDefault="00B06D22" w:rsidP="009A0275">
      <w:pPr>
        <w:spacing w:before="240" w:line="360" w:lineRule="auto"/>
        <w:jc w:val="both"/>
        <w:rPr>
          <w:rFonts w:ascii="Times New Roman" w:eastAsia="Times New Roman" w:hAnsi="Times New Roman" w:cs="Times New Roman"/>
          <w:sz w:val="24"/>
          <w:szCs w:val="20"/>
          <w:lang w:eastAsia="pl-PL"/>
        </w:rPr>
      </w:pPr>
      <w:r w:rsidRPr="006B629D">
        <w:rPr>
          <w:rFonts w:ascii="Times New Roman" w:eastAsia="Times New Roman" w:hAnsi="Times New Roman" w:cs="Times New Roman"/>
          <w:sz w:val="24"/>
          <w:szCs w:val="20"/>
          <w:lang w:eastAsia="pl-PL"/>
        </w:rPr>
        <w:t xml:space="preserve">Z uwagi na dynamiczną sytuację rynkową zasadne jest również przeznaczenie instrumentów finansowych gwarantowanych przez Skarb Państwa na spłatę już zaciągniętych zobowiązań, </w:t>
      </w:r>
      <w:r w:rsidR="0088404B">
        <w:rPr>
          <w:rFonts w:ascii="Times New Roman" w:eastAsia="Times New Roman" w:hAnsi="Times New Roman" w:cs="Times New Roman"/>
          <w:sz w:val="24"/>
          <w:szCs w:val="20"/>
          <w:lang w:eastAsia="pl-PL"/>
        </w:rPr>
        <w:br/>
      </w:r>
      <w:r w:rsidRPr="006B629D">
        <w:rPr>
          <w:rFonts w:ascii="Times New Roman" w:eastAsia="Times New Roman" w:hAnsi="Times New Roman" w:cs="Times New Roman"/>
          <w:sz w:val="24"/>
          <w:szCs w:val="20"/>
          <w:lang w:eastAsia="pl-PL"/>
        </w:rPr>
        <w:t>o ile zostały one wydatkowane na cele wskazane w ustawie.</w:t>
      </w:r>
    </w:p>
    <w:p w14:paraId="06DA58EF" w14:textId="6668D38F" w:rsidR="00B06D22" w:rsidRPr="006B629D" w:rsidRDefault="00B06D22" w:rsidP="009A0275">
      <w:pPr>
        <w:spacing w:before="240" w:line="360" w:lineRule="auto"/>
        <w:jc w:val="both"/>
        <w:rPr>
          <w:rFonts w:ascii="Times New Roman" w:eastAsia="Times New Roman" w:hAnsi="Times New Roman" w:cs="Times New Roman"/>
          <w:sz w:val="24"/>
          <w:szCs w:val="20"/>
          <w:lang w:eastAsia="pl-PL"/>
        </w:rPr>
      </w:pPr>
      <w:r w:rsidRPr="006B629D">
        <w:rPr>
          <w:rFonts w:ascii="Times New Roman" w:eastAsia="Times New Roman" w:hAnsi="Times New Roman" w:cs="Times New Roman"/>
          <w:sz w:val="24"/>
          <w:szCs w:val="20"/>
          <w:lang w:eastAsia="pl-PL"/>
        </w:rPr>
        <w:t xml:space="preserve">Ustawa wprowadza limity zaangażowania Skarbu Państwa w gwarancje dla poszczególnych podmiotów. Proponuje się również, aby ze względu na charakter udzielanej gwarancji </w:t>
      </w:r>
      <w:r w:rsidR="0088404B">
        <w:rPr>
          <w:rFonts w:ascii="Times New Roman" w:eastAsia="Times New Roman" w:hAnsi="Times New Roman" w:cs="Times New Roman"/>
          <w:sz w:val="24"/>
          <w:szCs w:val="20"/>
          <w:lang w:eastAsia="pl-PL"/>
        </w:rPr>
        <w:br/>
      </w:r>
      <w:r w:rsidRPr="006B629D">
        <w:rPr>
          <w:rFonts w:ascii="Times New Roman" w:eastAsia="Times New Roman" w:hAnsi="Times New Roman" w:cs="Times New Roman"/>
          <w:sz w:val="24"/>
          <w:szCs w:val="20"/>
          <w:lang w:eastAsia="pl-PL"/>
        </w:rPr>
        <w:t xml:space="preserve">w stosunku do tego rozwiązania wyłączone były przepisy ustawy z dnia 8 maja 1997 r. </w:t>
      </w:r>
      <w:r w:rsidR="0088404B">
        <w:rPr>
          <w:rFonts w:ascii="Times New Roman" w:eastAsia="Times New Roman" w:hAnsi="Times New Roman" w:cs="Times New Roman"/>
          <w:sz w:val="24"/>
          <w:szCs w:val="20"/>
          <w:lang w:eastAsia="pl-PL"/>
        </w:rPr>
        <w:br/>
      </w:r>
      <w:r w:rsidRPr="006B629D">
        <w:rPr>
          <w:rFonts w:ascii="Times New Roman" w:eastAsia="Times New Roman" w:hAnsi="Times New Roman" w:cs="Times New Roman"/>
          <w:sz w:val="24"/>
          <w:szCs w:val="20"/>
          <w:lang w:eastAsia="pl-PL"/>
        </w:rPr>
        <w:t>o poręczeniach i gwarancjach udzielanych przez Skarb Państwa</w:t>
      </w:r>
      <w:r w:rsidR="00DD2D26">
        <w:rPr>
          <w:rFonts w:ascii="Times New Roman" w:eastAsia="Times New Roman" w:hAnsi="Times New Roman" w:cs="Times New Roman"/>
          <w:sz w:val="24"/>
          <w:szCs w:val="20"/>
          <w:lang w:eastAsia="pl-PL"/>
        </w:rPr>
        <w:t xml:space="preserve"> </w:t>
      </w:r>
      <w:r w:rsidR="00DD2D26" w:rsidRPr="00C047F4">
        <w:rPr>
          <w:rFonts w:ascii="Times New Roman" w:hAnsi="Times New Roman" w:cs="Times New Roman"/>
          <w:sz w:val="24"/>
          <w:szCs w:val="24"/>
        </w:rPr>
        <w:t xml:space="preserve">oraz niektóre osoby prawne (Dz. U. z 2021 r. poz. 442, </w:t>
      </w:r>
      <w:r w:rsidR="00DD2D26">
        <w:rPr>
          <w:rFonts w:ascii="Times New Roman" w:hAnsi="Times New Roman" w:cs="Times New Roman"/>
          <w:sz w:val="24"/>
          <w:szCs w:val="24"/>
        </w:rPr>
        <w:t>z późn. zm.)</w:t>
      </w:r>
      <w:r w:rsidRPr="006B629D">
        <w:rPr>
          <w:rFonts w:ascii="Times New Roman" w:eastAsia="Times New Roman" w:hAnsi="Times New Roman" w:cs="Times New Roman"/>
          <w:sz w:val="24"/>
          <w:szCs w:val="20"/>
          <w:lang w:eastAsia="pl-PL"/>
        </w:rPr>
        <w:t>, za wyjątkiem przepisów dotyczących odzyskiwania wierzytelności przez Skarb Państwa</w:t>
      </w:r>
      <w:r w:rsidRPr="00A37092">
        <w:rPr>
          <w:rFonts w:ascii="Times New Roman" w:eastAsia="Times New Roman" w:hAnsi="Times New Roman" w:cs="Times New Roman"/>
          <w:sz w:val="24"/>
          <w:szCs w:val="24"/>
          <w:lang w:eastAsia="pl-PL"/>
        </w:rPr>
        <w:t>,</w:t>
      </w:r>
      <w:r w:rsidRPr="006B629D">
        <w:rPr>
          <w:rFonts w:ascii="Times New Roman" w:eastAsia="Times New Roman" w:hAnsi="Times New Roman" w:cs="Times New Roman"/>
          <w:sz w:val="24"/>
          <w:szCs w:val="20"/>
          <w:lang w:eastAsia="pl-PL"/>
        </w:rPr>
        <w:t xml:space="preserve"> przepisów stanowiących, że gwarancje są terminowe </w:t>
      </w:r>
      <w:r w:rsidR="00E751DD">
        <w:rPr>
          <w:rFonts w:ascii="Times New Roman" w:eastAsia="Times New Roman" w:hAnsi="Times New Roman" w:cs="Times New Roman"/>
          <w:sz w:val="24"/>
          <w:szCs w:val="20"/>
          <w:lang w:eastAsia="pl-PL"/>
        </w:rPr>
        <w:br/>
      </w:r>
      <w:r w:rsidRPr="006B629D">
        <w:rPr>
          <w:rFonts w:ascii="Times New Roman" w:eastAsia="Times New Roman" w:hAnsi="Times New Roman" w:cs="Times New Roman"/>
          <w:sz w:val="24"/>
          <w:szCs w:val="20"/>
          <w:lang w:eastAsia="pl-PL"/>
        </w:rPr>
        <w:t>i udzielane do kwoty z góry określonej, przepisów dotyczących obowiązku prowadzenia przez Ministra Finansów ewidencji zobowiązań i należności wynikających z tytułu ww. gwarancji oraz uwzględniania informacji o tych gwarancjach w przygotowywanej corocznie przez Radę Ministrów informacji o poręczeniach i gwarancjach udzielanych przez Skarb Państwa</w:t>
      </w:r>
      <w:r w:rsidR="00DD2D26">
        <w:rPr>
          <w:rFonts w:ascii="Times New Roman" w:eastAsia="Times New Roman" w:hAnsi="Times New Roman" w:cs="Times New Roman"/>
          <w:sz w:val="24"/>
          <w:szCs w:val="20"/>
          <w:lang w:eastAsia="pl-PL"/>
        </w:rPr>
        <w:t xml:space="preserve"> </w:t>
      </w:r>
      <w:r w:rsidR="00DD2D26" w:rsidRPr="00C047F4">
        <w:rPr>
          <w:rFonts w:ascii="Times New Roman" w:hAnsi="Times New Roman" w:cs="Times New Roman"/>
          <w:sz w:val="24"/>
          <w:szCs w:val="24"/>
        </w:rPr>
        <w:t>oraz niektóre osoby prawne</w:t>
      </w:r>
      <w:r w:rsidRPr="006B629D">
        <w:rPr>
          <w:rFonts w:ascii="Times New Roman" w:eastAsia="Times New Roman" w:hAnsi="Times New Roman" w:cs="Times New Roman"/>
          <w:sz w:val="24"/>
          <w:szCs w:val="20"/>
          <w:lang w:eastAsia="pl-PL"/>
        </w:rPr>
        <w:t>. Jednocześnie, projekt przesądza, że udzielana gwarancja obejmuje całą kwotę kapitału, odsetek i innych kosztów związanych z pożyczką, kredytem lub emitowani obligacjami, a także przesądza o braku konieczności ustanawiania w stosunku do tych gwarancji zabezpieczeń czy wnoszenia opłaty prowizyjnej.</w:t>
      </w:r>
    </w:p>
    <w:p w14:paraId="22A15F9F" w14:textId="5A187BA2" w:rsidR="00B06D22" w:rsidRPr="006B629D" w:rsidRDefault="000F3624" w:rsidP="000F3624">
      <w:pPr>
        <w:keepNext/>
        <w:keepLines/>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Wejście w życie </w:t>
      </w:r>
    </w:p>
    <w:p w14:paraId="36C452B8" w14:textId="77777777" w:rsidR="00B849A2" w:rsidRDefault="00454DF3" w:rsidP="009A0275">
      <w:pPr>
        <w:spacing w:line="360" w:lineRule="auto"/>
        <w:jc w:val="both"/>
        <w:rPr>
          <w:rFonts w:ascii="Times New Roman" w:hAnsi="Times New Roman" w:cs="Times New Roman"/>
          <w:sz w:val="24"/>
          <w:szCs w:val="24"/>
        </w:rPr>
      </w:pPr>
      <w:r w:rsidRPr="00454DF3">
        <w:rPr>
          <w:rFonts w:ascii="Times New Roman" w:hAnsi="Times New Roman" w:cs="Times New Roman"/>
          <w:sz w:val="24"/>
          <w:szCs w:val="24"/>
        </w:rPr>
        <w:t>Zgodnie z art. 20 projektu ustawy proponuje się, aby ustawa weszła w życie w dniu następującym po dniu ogłoszenia. Wejście w życie ustawy z dniem następującym po dniu jego ogłoszenia, uzasadnione jest trudną sytuacją odbiorców paliw gazowych, których dotknęły podwyżki cen gazu. Przepisy projektu stanowią wsparcie dla gospodarstw domowych, mieszkańców budynków wielolokalowych jak i niektórych odbiorców wrażliwych. Termin wejścia w życie ustawy nie narusza zasad demokratycznego państwa prawnego i nie stoi w sprzeczności z art. 4 ust. 2 ustawy z dnia 20 lipca 2000 r. o ogłaszaniu aktów normatywnych i niektórych innych aktów prawnych (Dz. U. z 2019 r. poz. 1461).</w:t>
      </w:r>
    </w:p>
    <w:p w14:paraId="1866B5E5" w14:textId="53992F9C" w:rsidR="00B06D22" w:rsidRPr="006B629D" w:rsidRDefault="00B06D22" w:rsidP="009A0275">
      <w:pPr>
        <w:spacing w:line="360" w:lineRule="auto"/>
        <w:jc w:val="both"/>
        <w:rPr>
          <w:rFonts w:ascii="Times New Roman" w:hAnsi="Times New Roman" w:cs="Times New Roman"/>
          <w:b/>
          <w:sz w:val="24"/>
          <w:szCs w:val="24"/>
        </w:rPr>
      </w:pPr>
      <w:r w:rsidRPr="006B629D">
        <w:rPr>
          <w:rFonts w:ascii="Times New Roman" w:hAnsi="Times New Roman" w:cs="Times New Roman"/>
          <w:b/>
          <w:sz w:val="24"/>
          <w:szCs w:val="24"/>
        </w:rPr>
        <w:t>Zgodność z prawem Unii Europejskiej</w:t>
      </w:r>
    </w:p>
    <w:p w14:paraId="375CD421" w14:textId="77777777" w:rsidR="00B06D22" w:rsidRPr="006B629D" w:rsidRDefault="00B06D22" w:rsidP="009A0275">
      <w:pPr>
        <w:spacing w:line="360" w:lineRule="auto"/>
        <w:jc w:val="both"/>
        <w:rPr>
          <w:rFonts w:ascii="Times New Roman" w:hAnsi="Times New Roman" w:cs="Times New Roman"/>
          <w:sz w:val="24"/>
          <w:szCs w:val="24"/>
        </w:rPr>
      </w:pPr>
      <w:r w:rsidRPr="006B629D">
        <w:rPr>
          <w:rFonts w:ascii="Times New Roman" w:hAnsi="Times New Roman" w:cs="Times New Roman"/>
          <w:sz w:val="24"/>
          <w:szCs w:val="24"/>
        </w:rPr>
        <w:t>Projekt ustawy nie jest sprzeczny z prawem Unii Europejskiej.</w:t>
      </w:r>
    </w:p>
    <w:p w14:paraId="7F42C9D4" w14:textId="77777777" w:rsidR="00B06D22" w:rsidRPr="006B629D" w:rsidRDefault="00B06D22" w:rsidP="009A0275">
      <w:pPr>
        <w:spacing w:line="360" w:lineRule="auto"/>
        <w:jc w:val="both"/>
        <w:rPr>
          <w:rFonts w:ascii="Times New Roman" w:hAnsi="Times New Roman" w:cs="Times New Roman"/>
          <w:b/>
          <w:sz w:val="24"/>
          <w:szCs w:val="24"/>
        </w:rPr>
      </w:pPr>
      <w:r w:rsidRPr="006B629D">
        <w:rPr>
          <w:rFonts w:ascii="Times New Roman" w:hAnsi="Times New Roman" w:cs="Times New Roman"/>
          <w:b/>
          <w:sz w:val="24"/>
          <w:szCs w:val="24"/>
        </w:rPr>
        <w:t>Notyfikacja</w:t>
      </w:r>
    </w:p>
    <w:p w14:paraId="4045D409" w14:textId="57A0DD0F" w:rsidR="00B06D22" w:rsidRPr="006B629D" w:rsidRDefault="00B06D22" w:rsidP="009A0275">
      <w:pPr>
        <w:spacing w:line="360" w:lineRule="auto"/>
        <w:jc w:val="both"/>
        <w:rPr>
          <w:rFonts w:ascii="Times New Roman" w:hAnsi="Times New Roman" w:cs="Times New Roman"/>
          <w:sz w:val="24"/>
          <w:szCs w:val="24"/>
        </w:rPr>
      </w:pPr>
      <w:r w:rsidRPr="006B629D">
        <w:rPr>
          <w:rFonts w:ascii="Times New Roman" w:hAnsi="Times New Roman" w:cs="Times New Roman"/>
          <w:sz w:val="24"/>
          <w:szCs w:val="24"/>
        </w:rPr>
        <w:t>Projekt ustawy nie podlega procedurze notyfikacji aktów prawnych, określonej w przepisach rozporządzenia Rady Ministrów z dnia 23 grudnia 2002 r. w sprawie funkcjonowania krajowego systemu notyfikacji norm i aktów prawnych (Dz. U. poz. 2039</w:t>
      </w:r>
      <w:r w:rsidR="00DD2D26">
        <w:rPr>
          <w:rFonts w:ascii="Times New Roman" w:hAnsi="Times New Roman" w:cs="Times New Roman"/>
          <w:sz w:val="24"/>
          <w:szCs w:val="24"/>
        </w:rPr>
        <w:t>,</w:t>
      </w:r>
      <w:r w:rsidR="000F3624">
        <w:rPr>
          <w:rFonts w:ascii="Times New Roman" w:hAnsi="Times New Roman" w:cs="Times New Roman"/>
          <w:sz w:val="24"/>
          <w:szCs w:val="24"/>
        </w:rPr>
        <w:t xml:space="preserve"> z późn. zm.). </w:t>
      </w:r>
    </w:p>
    <w:p w14:paraId="51E42739" w14:textId="77777777" w:rsidR="00B06D22" w:rsidRPr="006B629D" w:rsidRDefault="00B06D22" w:rsidP="009A0275">
      <w:pPr>
        <w:spacing w:line="360" w:lineRule="auto"/>
        <w:jc w:val="both"/>
        <w:rPr>
          <w:rFonts w:ascii="Times New Roman" w:hAnsi="Times New Roman" w:cs="Times New Roman"/>
          <w:sz w:val="24"/>
          <w:szCs w:val="24"/>
        </w:rPr>
      </w:pPr>
      <w:r w:rsidRPr="006B629D">
        <w:rPr>
          <w:rFonts w:ascii="Times New Roman" w:hAnsi="Times New Roman" w:cs="Times New Roman"/>
          <w:sz w:val="24"/>
          <w:szCs w:val="24"/>
        </w:rPr>
        <w:t>Projekt ustawy nie wymaga przedstawienia właściwym instytucjom i organom Unii Europejskiej, w tym Europejskiemu Bankowi Centralnemu, celem uzyskania opinii, dokonania powiadomienia, konsultacji albo uzgodnienia projektu.</w:t>
      </w:r>
    </w:p>
    <w:p w14:paraId="38C19A43" w14:textId="77777777" w:rsidR="00B06D22" w:rsidRPr="006B629D" w:rsidRDefault="00B06D22" w:rsidP="009A0275">
      <w:pPr>
        <w:spacing w:line="360" w:lineRule="auto"/>
        <w:jc w:val="both"/>
        <w:rPr>
          <w:rFonts w:ascii="Times New Roman" w:hAnsi="Times New Roman" w:cs="Times New Roman"/>
          <w:b/>
          <w:sz w:val="24"/>
          <w:szCs w:val="24"/>
        </w:rPr>
      </w:pPr>
      <w:r w:rsidRPr="006B629D">
        <w:rPr>
          <w:rFonts w:ascii="Times New Roman" w:hAnsi="Times New Roman" w:cs="Times New Roman"/>
          <w:b/>
          <w:sz w:val="24"/>
          <w:szCs w:val="24"/>
        </w:rPr>
        <w:t>Wpływ na mikroprzedsiębiorców oraz małych i średnich przedsiębiorców</w:t>
      </w:r>
    </w:p>
    <w:p w14:paraId="3B91C429" w14:textId="17768E68" w:rsidR="00B06D22" w:rsidRPr="006B629D" w:rsidRDefault="00B06D22" w:rsidP="009A0275">
      <w:pPr>
        <w:spacing w:line="360" w:lineRule="auto"/>
        <w:jc w:val="both"/>
        <w:rPr>
          <w:rFonts w:ascii="Times New Roman" w:hAnsi="Times New Roman" w:cs="Times New Roman"/>
          <w:sz w:val="24"/>
          <w:szCs w:val="24"/>
        </w:rPr>
      </w:pPr>
      <w:r w:rsidRPr="006B629D">
        <w:rPr>
          <w:rFonts w:ascii="Times New Roman" w:hAnsi="Times New Roman" w:cs="Times New Roman"/>
          <w:sz w:val="24"/>
          <w:szCs w:val="24"/>
        </w:rPr>
        <w:t xml:space="preserve">Wejście w życie ustawy nie wpłynie w istotny sposób na działalność mikroprzedsiębiorców oraz małych i średnich przedsiębiorców. </w:t>
      </w:r>
      <w:r w:rsidR="00D05657" w:rsidRPr="00D05657">
        <w:rPr>
          <w:rFonts w:ascii="Times New Roman" w:hAnsi="Times New Roman" w:cs="Times New Roman"/>
          <w:sz w:val="24"/>
          <w:szCs w:val="24"/>
        </w:rPr>
        <w:t xml:space="preserve">Podkreślić należy jednak, że przewidziane </w:t>
      </w:r>
      <w:r w:rsidR="00B849A2">
        <w:rPr>
          <w:rFonts w:ascii="Times New Roman" w:hAnsi="Times New Roman" w:cs="Times New Roman"/>
          <w:sz w:val="24"/>
          <w:szCs w:val="24"/>
        </w:rPr>
        <w:br/>
      </w:r>
      <w:r w:rsidR="00D05657" w:rsidRPr="00D05657">
        <w:rPr>
          <w:rFonts w:ascii="Times New Roman" w:hAnsi="Times New Roman" w:cs="Times New Roman"/>
          <w:sz w:val="24"/>
          <w:szCs w:val="24"/>
        </w:rPr>
        <w:t>w projekcie ustawy instrumenty zabezpieczające podmioty pełniące szczególną rolę dla zapewnienia ciągłości dostaw do odbiorców paliw gazowych, w pośredni sposób chronią również mikroprzedsiębiorców oraz małych i średnich przedsiębiorców.</w:t>
      </w:r>
    </w:p>
    <w:p w14:paraId="621F3654" w14:textId="691B7655" w:rsidR="00B06D22" w:rsidRPr="006B629D" w:rsidRDefault="00B06D22" w:rsidP="009A0275">
      <w:pPr>
        <w:spacing w:line="360" w:lineRule="auto"/>
        <w:jc w:val="both"/>
        <w:rPr>
          <w:rFonts w:ascii="Times New Roman" w:hAnsi="Times New Roman" w:cs="Times New Roman"/>
          <w:b/>
          <w:sz w:val="24"/>
          <w:szCs w:val="24"/>
        </w:rPr>
      </w:pPr>
      <w:r w:rsidRPr="006B629D">
        <w:rPr>
          <w:rFonts w:ascii="Times New Roman" w:hAnsi="Times New Roman" w:cs="Times New Roman"/>
          <w:b/>
          <w:sz w:val="24"/>
          <w:szCs w:val="24"/>
        </w:rPr>
        <w:t>Konsultacje projektu</w:t>
      </w:r>
    </w:p>
    <w:p w14:paraId="13C91985" w14:textId="514D7984" w:rsidR="00B06D22" w:rsidRPr="005709F9" w:rsidRDefault="00B06D22" w:rsidP="0078493A">
      <w:pPr>
        <w:spacing w:line="360" w:lineRule="auto"/>
        <w:jc w:val="both"/>
        <w:rPr>
          <w:rFonts w:ascii="Times New Roman" w:hAnsi="Times New Roman" w:cs="Times New Roman"/>
          <w:sz w:val="24"/>
          <w:szCs w:val="24"/>
        </w:rPr>
      </w:pPr>
      <w:r w:rsidRPr="006B629D">
        <w:rPr>
          <w:rFonts w:ascii="Times New Roman" w:hAnsi="Times New Roman" w:cs="Times New Roman"/>
          <w:sz w:val="24"/>
          <w:szCs w:val="24"/>
        </w:rPr>
        <w:t xml:space="preserve">Projekt przedmiotowej regulacji, zgodnie z wymogami określonymi w art. 5 ustawy z dnia </w:t>
      </w:r>
      <w:r w:rsidR="008E7C28">
        <w:rPr>
          <w:rFonts w:ascii="Times New Roman" w:hAnsi="Times New Roman" w:cs="Times New Roman"/>
          <w:sz w:val="24"/>
          <w:szCs w:val="24"/>
        </w:rPr>
        <w:br/>
      </w:r>
      <w:r w:rsidRPr="006B629D">
        <w:rPr>
          <w:rFonts w:ascii="Times New Roman" w:hAnsi="Times New Roman" w:cs="Times New Roman"/>
          <w:sz w:val="24"/>
          <w:szCs w:val="24"/>
        </w:rPr>
        <w:t>7 lipca 2005 o działalności lobbingowej w procesie stosowania prawa (Dz. U. z 2017 r. poz. 248), zosta</w:t>
      </w:r>
      <w:r w:rsidR="000F3624">
        <w:rPr>
          <w:rFonts w:ascii="Times New Roman" w:hAnsi="Times New Roman" w:cs="Times New Roman"/>
          <w:sz w:val="24"/>
          <w:szCs w:val="24"/>
        </w:rPr>
        <w:t>ł</w:t>
      </w:r>
      <w:r w:rsidRPr="006B629D">
        <w:rPr>
          <w:rFonts w:ascii="Times New Roman" w:hAnsi="Times New Roman" w:cs="Times New Roman"/>
          <w:sz w:val="24"/>
          <w:szCs w:val="24"/>
        </w:rPr>
        <w:t xml:space="preserve"> </w:t>
      </w:r>
      <w:r w:rsidRPr="006B629D">
        <w:rPr>
          <w:rFonts w:ascii="Times New Roman" w:hAnsi="Times New Roman" w:cs="Times New Roman"/>
          <w:sz w:val="24"/>
          <w:szCs w:val="24"/>
        </w:rPr>
        <w:lastRenderedPageBreak/>
        <w:t xml:space="preserve">udostępniony w Biuletynie Informacji Publicznej na stronie podmiotowej Rządowego Centrum Legislacji, w serwisie „Rządowy Proces Legislacyjny”. </w:t>
      </w:r>
      <w:r w:rsidR="0078493A" w:rsidRPr="0078493A">
        <w:rPr>
          <w:rFonts w:ascii="Times New Roman" w:hAnsi="Times New Roman" w:cs="Times New Roman"/>
          <w:sz w:val="24"/>
          <w:szCs w:val="24"/>
        </w:rPr>
        <w:t>Żaden podmiot nie zgłosił zainteresowania przedmiotowym</w:t>
      </w:r>
      <w:r w:rsidR="0078493A">
        <w:rPr>
          <w:rFonts w:ascii="Times New Roman" w:hAnsi="Times New Roman" w:cs="Times New Roman"/>
          <w:sz w:val="24"/>
          <w:szCs w:val="24"/>
        </w:rPr>
        <w:t xml:space="preserve"> </w:t>
      </w:r>
      <w:r w:rsidR="0078493A" w:rsidRPr="0078493A">
        <w:rPr>
          <w:rFonts w:ascii="Times New Roman" w:hAnsi="Times New Roman" w:cs="Times New Roman"/>
          <w:sz w:val="24"/>
          <w:szCs w:val="24"/>
        </w:rPr>
        <w:t>dokumentem w rozumienia ustawy o działalności lobbingowej w procesie stosowania prawa.</w:t>
      </w:r>
    </w:p>
    <w:sectPr w:rsidR="00B06D22" w:rsidRPr="005709F9" w:rsidSect="00E92EA3">
      <w:footerReference w:type="default" r:id="rId8"/>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8405A5" w16cex:dateUtc="2022-01-08T11:44:00Z"/>
  <w16cex:commentExtensible w16cex:durableId="258404C5" w16cex:dateUtc="2022-01-08T11:40:00Z"/>
  <w16cex:commentExtensible w16cex:durableId="258404BA" w16cex:dateUtc="2022-01-08T11:4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750DB4" w14:textId="77777777" w:rsidR="001A63C9" w:rsidRDefault="001A63C9" w:rsidP="00C15A8C">
      <w:pPr>
        <w:spacing w:after="0" w:line="240" w:lineRule="auto"/>
      </w:pPr>
      <w:r>
        <w:separator/>
      </w:r>
    </w:p>
  </w:endnote>
  <w:endnote w:type="continuationSeparator" w:id="0">
    <w:p w14:paraId="4D78F86A" w14:textId="77777777" w:rsidR="001A63C9" w:rsidRDefault="001A63C9" w:rsidP="00C15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86448465"/>
      <w:docPartObj>
        <w:docPartGallery w:val="Page Numbers (Bottom of Page)"/>
        <w:docPartUnique/>
      </w:docPartObj>
    </w:sdtPr>
    <w:sdtEndPr/>
    <w:sdtContent>
      <w:p w14:paraId="270453D0" w14:textId="3BFE0013" w:rsidR="000F3624" w:rsidRPr="000F3624" w:rsidRDefault="000F3624">
        <w:pPr>
          <w:pStyle w:val="Stopka"/>
          <w:jc w:val="center"/>
          <w:rPr>
            <w:rFonts w:ascii="Times New Roman" w:hAnsi="Times New Roman" w:cs="Times New Roman"/>
            <w:sz w:val="24"/>
            <w:szCs w:val="24"/>
          </w:rPr>
        </w:pPr>
        <w:r w:rsidRPr="000F3624">
          <w:rPr>
            <w:rFonts w:ascii="Times New Roman" w:hAnsi="Times New Roman" w:cs="Times New Roman"/>
            <w:sz w:val="24"/>
            <w:szCs w:val="24"/>
          </w:rPr>
          <w:fldChar w:fldCharType="begin"/>
        </w:r>
        <w:r w:rsidRPr="000F3624">
          <w:rPr>
            <w:rFonts w:ascii="Times New Roman" w:hAnsi="Times New Roman" w:cs="Times New Roman"/>
            <w:sz w:val="24"/>
            <w:szCs w:val="24"/>
          </w:rPr>
          <w:instrText>PAGE   \* MERGEFORMAT</w:instrText>
        </w:r>
        <w:r w:rsidRPr="000F3624">
          <w:rPr>
            <w:rFonts w:ascii="Times New Roman" w:hAnsi="Times New Roman" w:cs="Times New Roman"/>
            <w:sz w:val="24"/>
            <w:szCs w:val="24"/>
          </w:rPr>
          <w:fldChar w:fldCharType="separate"/>
        </w:r>
        <w:r w:rsidR="002D7BF5">
          <w:rPr>
            <w:rFonts w:ascii="Times New Roman" w:hAnsi="Times New Roman" w:cs="Times New Roman"/>
            <w:noProof/>
            <w:sz w:val="24"/>
            <w:szCs w:val="24"/>
          </w:rPr>
          <w:t>19</w:t>
        </w:r>
        <w:r w:rsidRPr="000F3624">
          <w:rPr>
            <w:rFonts w:ascii="Times New Roman" w:hAnsi="Times New Roman" w:cs="Times New Roman"/>
            <w:sz w:val="24"/>
            <w:szCs w:val="24"/>
          </w:rPr>
          <w:fldChar w:fldCharType="end"/>
        </w:r>
      </w:p>
    </w:sdtContent>
  </w:sdt>
  <w:p w14:paraId="407961A9" w14:textId="77777777" w:rsidR="000F3624" w:rsidRPr="000F3624" w:rsidRDefault="000F3624">
    <w:pPr>
      <w:pStyle w:val="Stopka"/>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92DE66" w14:textId="77777777" w:rsidR="001A63C9" w:rsidRDefault="001A63C9" w:rsidP="00C15A8C">
      <w:pPr>
        <w:spacing w:after="0" w:line="240" w:lineRule="auto"/>
      </w:pPr>
      <w:r>
        <w:separator/>
      </w:r>
    </w:p>
  </w:footnote>
  <w:footnote w:type="continuationSeparator" w:id="0">
    <w:p w14:paraId="4CC37E44" w14:textId="77777777" w:rsidR="001A63C9" w:rsidRDefault="001A63C9" w:rsidP="00C15A8C">
      <w:pPr>
        <w:spacing w:after="0" w:line="240" w:lineRule="auto"/>
      </w:pPr>
      <w:r>
        <w:continuationSeparator/>
      </w:r>
    </w:p>
  </w:footnote>
  <w:footnote w:id="1">
    <w:p w14:paraId="4C7C0506" w14:textId="6EE01AE6" w:rsidR="006B629D" w:rsidRDefault="006B629D" w:rsidP="006B629D">
      <w:pPr>
        <w:pStyle w:val="Tekstprzypisudolnego"/>
        <w:jc w:val="both"/>
        <w:rPr>
          <w:rFonts w:ascii="Calibri" w:hAnsi="Calibri"/>
        </w:rPr>
      </w:pPr>
      <w:r>
        <w:rPr>
          <w:rStyle w:val="Odwoanieprzypisudolnego"/>
        </w:rPr>
        <w:footnoteRef/>
      </w:r>
      <w:r w:rsidR="001904FE" w:rsidRPr="00B849A2">
        <w:rPr>
          <w:rFonts w:ascii="Times New Roman" w:hAnsi="Times New Roman"/>
          <w:vertAlign w:val="superscript"/>
        </w:rPr>
        <w:t>)</w:t>
      </w:r>
      <w:r w:rsidR="00503E56">
        <w:rPr>
          <w:rFonts w:ascii="Times New Roman" w:hAnsi="Times New Roman"/>
          <w:vertAlign w:val="superscript"/>
        </w:rPr>
        <w:t xml:space="preserve"> </w:t>
      </w:r>
      <w:r>
        <w:rPr>
          <w:rFonts w:ascii="Times New Roman" w:hAnsi="Times New Roman"/>
        </w:rPr>
        <w:t>Obecny stan prawny przewidujący ochronę taryfową gospodarstw domowych</w:t>
      </w:r>
      <w:r w:rsidR="00DD2D26">
        <w:rPr>
          <w:rFonts w:ascii="Times New Roman" w:hAnsi="Times New Roman"/>
        </w:rPr>
        <w:t>,</w:t>
      </w:r>
      <w:r>
        <w:rPr>
          <w:rFonts w:ascii="Times New Roman" w:hAnsi="Times New Roman"/>
        </w:rPr>
        <w:t xml:space="preserve"> w przypadkach gdy paliwo gazowe jest dostarczane do budynku, którego odbiorcą jest właściciel lub zarządca budynku wielolokalowego (np. wspólnoty mieszkaniowe, spółdzielnie mieszkaniowe) opisany został w Komunikacie Prezesa URE nr 76/2018 w sprawie zakresu stosowania taryf dla paliw gazowych zatwierdzanych przez Prezesa URE</w:t>
      </w:r>
      <w:r w:rsidR="00DD2D26">
        <w:rPr>
          <w:rFonts w:ascii="Times New Roman" w:hAnsi="Times New Roman"/>
        </w:rPr>
        <w:t>.</w:t>
      </w:r>
    </w:p>
  </w:footnote>
  <w:footnote w:id="2">
    <w:p w14:paraId="4CD98D46" w14:textId="4E369AAD" w:rsidR="006B629D" w:rsidRDefault="006B629D" w:rsidP="006B629D">
      <w:pPr>
        <w:pStyle w:val="Tekstprzypisudolnego"/>
        <w:jc w:val="both"/>
        <w:rPr>
          <w:rFonts w:ascii="Times New Roman" w:hAnsi="Times New Roman"/>
        </w:rPr>
      </w:pPr>
      <w:r>
        <w:rPr>
          <w:rStyle w:val="Odwoanieprzypisudolnego"/>
          <w:rFonts w:ascii="Times New Roman" w:hAnsi="Times New Roman"/>
        </w:rPr>
        <w:footnoteRef/>
      </w:r>
      <w:r w:rsidR="00C570CE" w:rsidRPr="00C570CE">
        <w:rPr>
          <w:rFonts w:ascii="Times New Roman" w:hAnsi="Times New Roman"/>
          <w:vertAlign w:val="superscript"/>
        </w:rPr>
        <w:t>)</w:t>
      </w:r>
      <w:r>
        <w:rPr>
          <w:rFonts w:ascii="Times New Roman" w:hAnsi="Times New Roman"/>
        </w:rPr>
        <w:t xml:space="preserve"> Ustawa z dnia 30 listopada 2016 </w:t>
      </w:r>
      <w:r w:rsidR="00EE3033">
        <w:rPr>
          <w:rFonts w:ascii="Times New Roman" w:hAnsi="Times New Roman"/>
        </w:rPr>
        <w:t xml:space="preserve">r. </w:t>
      </w:r>
      <w:r>
        <w:rPr>
          <w:rFonts w:ascii="Times New Roman" w:hAnsi="Times New Roman"/>
        </w:rPr>
        <w:t>o zmianie ustawy – Prawo energetyczne oraz niektórych innych ustaw (Dz. U. poz. 1986).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321"/>
    <w:multiLevelType w:val="hybridMultilevel"/>
    <w:tmpl w:val="0AC0C286"/>
    <w:lvl w:ilvl="0" w:tplc="1D187376">
      <w:start w:val="1"/>
      <w:numFmt w:val="decimal"/>
      <w:lvlText w:val="%1)"/>
      <w:lvlJc w:val="left"/>
      <w:pPr>
        <w:ind w:left="720" w:hanging="360"/>
      </w:pPr>
      <w:rPr>
        <w:rFonts w:ascii="Times New Roman" w:eastAsia="Calibri" w:hAnsi="Times New Roman"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E173002"/>
    <w:multiLevelType w:val="hybridMultilevel"/>
    <w:tmpl w:val="D448757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13B83D2A"/>
    <w:multiLevelType w:val="hybridMultilevel"/>
    <w:tmpl w:val="5ECE9B7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3E707B3"/>
    <w:multiLevelType w:val="hybridMultilevel"/>
    <w:tmpl w:val="642682A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2CEB618F"/>
    <w:multiLevelType w:val="hybridMultilevel"/>
    <w:tmpl w:val="0AC0C286"/>
    <w:lvl w:ilvl="0" w:tplc="1D187376">
      <w:start w:val="1"/>
      <w:numFmt w:val="decimal"/>
      <w:lvlText w:val="%1)"/>
      <w:lvlJc w:val="left"/>
      <w:pPr>
        <w:ind w:left="720" w:hanging="360"/>
      </w:pPr>
      <w:rPr>
        <w:rFonts w:ascii="Times New Roman" w:eastAsia="Calibri" w:hAnsi="Times New Roman" w:cs="Times New Roman"/>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377C613A"/>
    <w:multiLevelType w:val="hybridMultilevel"/>
    <w:tmpl w:val="72CA4B0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40926CA8"/>
    <w:multiLevelType w:val="hybridMultilevel"/>
    <w:tmpl w:val="9D08DD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48CC7B6A"/>
    <w:multiLevelType w:val="hybridMultilevel"/>
    <w:tmpl w:val="CE5E730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4B705DDD"/>
    <w:multiLevelType w:val="hybridMultilevel"/>
    <w:tmpl w:val="62B0798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4FB47874"/>
    <w:multiLevelType w:val="hybridMultilevel"/>
    <w:tmpl w:val="A3BCEB74"/>
    <w:lvl w:ilvl="0" w:tplc="04150001">
      <w:start w:val="1"/>
      <w:numFmt w:val="bullet"/>
      <w:lvlText w:val=""/>
      <w:lvlJc w:val="left"/>
      <w:pPr>
        <w:ind w:left="1083" w:hanging="360"/>
      </w:pPr>
      <w:rPr>
        <w:rFonts w:ascii="Symbol" w:hAnsi="Symbol" w:hint="default"/>
      </w:rPr>
    </w:lvl>
    <w:lvl w:ilvl="1" w:tplc="04150003">
      <w:start w:val="1"/>
      <w:numFmt w:val="bullet"/>
      <w:lvlText w:val="o"/>
      <w:lvlJc w:val="left"/>
      <w:pPr>
        <w:ind w:left="1803" w:hanging="360"/>
      </w:pPr>
      <w:rPr>
        <w:rFonts w:ascii="Courier New" w:hAnsi="Courier New" w:cs="Courier New" w:hint="default"/>
      </w:rPr>
    </w:lvl>
    <w:lvl w:ilvl="2" w:tplc="04150005">
      <w:start w:val="1"/>
      <w:numFmt w:val="bullet"/>
      <w:lvlText w:val=""/>
      <w:lvlJc w:val="left"/>
      <w:pPr>
        <w:ind w:left="2523" w:hanging="360"/>
      </w:pPr>
      <w:rPr>
        <w:rFonts w:ascii="Wingdings" w:hAnsi="Wingdings" w:hint="default"/>
      </w:rPr>
    </w:lvl>
    <w:lvl w:ilvl="3" w:tplc="04150001">
      <w:start w:val="1"/>
      <w:numFmt w:val="bullet"/>
      <w:lvlText w:val=""/>
      <w:lvlJc w:val="left"/>
      <w:pPr>
        <w:ind w:left="3243" w:hanging="360"/>
      </w:pPr>
      <w:rPr>
        <w:rFonts w:ascii="Symbol" w:hAnsi="Symbol" w:hint="default"/>
      </w:rPr>
    </w:lvl>
    <w:lvl w:ilvl="4" w:tplc="04150003">
      <w:start w:val="1"/>
      <w:numFmt w:val="bullet"/>
      <w:lvlText w:val="o"/>
      <w:lvlJc w:val="left"/>
      <w:pPr>
        <w:ind w:left="3963" w:hanging="360"/>
      </w:pPr>
      <w:rPr>
        <w:rFonts w:ascii="Courier New" w:hAnsi="Courier New" w:cs="Courier New" w:hint="default"/>
      </w:rPr>
    </w:lvl>
    <w:lvl w:ilvl="5" w:tplc="04150005">
      <w:start w:val="1"/>
      <w:numFmt w:val="bullet"/>
      <w:lvlText w:val=""/>
      <w:lvlJc w:val="left"/>
      <w:pPr>
        <w:ind w:left="4683" w:hanging="360"/>
      </w:pPr>
      <w:rPr>
        <w:rFonts w:ascii="Wingdings" w:hAnsi="Wingdings" w:hint="default"/>
      </w:rPr>
    </w:lvl>
    <w:lvl w:ilvl="6" w:tplc="04150001">
      <w:start w:val="1"/>
      <w:numFmt w:val="bullet"/>
      <w:lvlText w:val=""/>
      <w:lvlJc w:val="left"/>
      <w:pPr>
        <w:ind w:left="5403" w:hanging="360"/>
      </w:pPr>
      <w:rPr>
        <w:rFonts w:ascii="Symbol" w:hAnsi="Symbol" w:hint="default"/>
      </w:rPr>
    </w:lvl>
    <w:lvl w:ilvl="7" w:tplc="04150003">
      <w:start w:val="1"/>
      <w:numFmt w:val="bullet"/>
      <w:lvlText w:val="o"/>
      <w:lvlJc w:val="left"/>
      <w:pPr>
        <w:ind w:left="6123" w:hanging="360"/>
      </w:pPr>
      <w:rPr>
        <w:rFonts w:ascii="Courier New" w:hAnsi="Courier New" w:cs="Courier New" w:hint="default"/>
      </w:rPr>
    </w:lvl>
    <w:lvl w:ilvl="8" w:tplc="04150005">
      <w:start w:val="1"/>
      <w:numFmt w:val="bullet"/>
      <w:lvlText w:val=""/>
      <w:lvlJc w:val="left"/>
      <w:pPr>
        <w:ind w:left="6843" w:hanging="360"/>
      </w:pPr>
      <w:rPr>
        <w:rFonts w:ascii="Wingdings" w:hAnsi="Wingdings" w:hint="default"/>
      </w:rPr>
    </w:lvl>
  </w:abstractNum>
  <w:abstractNum w:abstractNumId="10" w15:restartNumberingAfterBreak="0">
    <w:nsid w:val="52AC6839"/>
    <w:multiLevelType w:val="hybridMultilevel"/>
    <w:tmpl w:val="D2AA52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8EB71CA"/>
    <w:multiLevelType w:val="hybridMultilevel"/>
    <w:tmpl w:val="5EF09B1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5A8730A7"/>
    <w:multiLevelType w:val="hybridMultilevel"/>
    <w:tmpl w:val="77ECFB2A"/>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68B062EA"/>
    <w:multiLevelType w:val="hybridMultilevel"/>
    <w:tmpl w:val="093E0698"/>
    <w:lvl w:ilvl="0" w:tplc="3EF81980">
      <w:start w:val="1"/>
      <w:numFmt w:val="decimal"/>
      <w:lvlText w:val="%1."/>
      <w:lvlJc w:val="left"/>
      <w:pPr>
        <w:ind w:left="720" w:hanging="360"/>
      </w:pPr>
      <w:rPr>
        <w:b/>
      </w:rPr>
    </w:lvl>
    <w:lvl w:ilvl="1" w:tplc="4B9049F6">
      <w:start w:val="1"/>
      <w:numFmt w:val="lowerLetter"/>
      <w:lvlText w:val="%2)"/>
      <w:lvlJc w:val="left"/>
      <w:pPr>
        <w:ind w:left="1788" w:hanging="708"/>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6EEB786D"/>
    <w:multiLevelType w:val="hybridMultilevel"/>
    <w:tmpl w:val="37565A62"/>
    <w:lvl w:ilvl="0" w:tplc="52C4C27A">
      <w:start w:val="1"/>
      <w:numFmt w:val="decimal"/>
      <w:lvlText w:val="%1)"/>
      <w:lvlJc w:val="left"/>
      <w:pPr>
        <w:ind w:left="1280" w:hanging="57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5" w15:restartNumberingAfterBreak="0">
    <w:nsid w:val="70E07FEA"/>
    <w:multiLevelType w:val="hybridMultilevel"/>
    <w:tmpl w:val="ADCE54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2E93210"/>
    <w:multiLevelType w:val="hybridMultilevel"/>
    <w:tmpl w:val="C7942594"/>
    <w:lvl w:ilvl="0" w:tplc="BAEC7EC4">
      <w:start w:val="1"/>
      <w:numFmt w:val="lowerLetter"/>
      <w:lvlText w:val="%1)"/>
      <w:lvlJc w:val="left"/>
      <w:pPr>
        <w:ind w:left="708" w:firstLine="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17" w15:restartNumberingAfterBreak="0">
    <w:nsid w:val="74D31F4B"/>
    <w:multiLevelType w:val="hybridMultilevel"/>
    <w:tmpl w:val="59A0C9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9D4166D"/>
    <w:multiLevelType w:val="hybridMultilevel"/>
    <w:tmpl w:val="68FABC2E"/>
    <w:lvl w:ilvl="0" w:tplc="6CBA8B7A">
      <w:start w:val="1"/>
      <w:numFmt w:val="decimal"/>
      <w:lvlText w:val="%1)"/>
      <w:lvlJc w:val="left"/>
      <w:pPr>
        <w:ind w:left="843" w:hanging="360"/>
      </w:pPr>
      <w:rPr>
        <w:rFonts w:hint="default"/>
      </w:rPr>
    </w:lvl>
    <w:lvl w:ilvl="1" w:tplc="04150019" w:tentative="1">
      <w:start w:val="1"/>
      <w:numFmt w:val="lowerLetter"/>
      <w:lvlText w:val="%2."/>
      <w:lvlJc w:val="left"/>
      <w:pPr>
        <w:ind w:left="1563" w:hanging="360"/>
      </w:pPr>
    </w:lvl>
    <w:lvl w:ilvl="2" w:tplc="0415001B" w:tentative="1">
      <w:start w:val="1"/>
      <w:numFmt w:val="lowerRoman"/>
      <w:lvlText w:val="%3."/>
      <w:lvlJc w:val="right"/>
      <w:pPr>
        <w:ind w:left="2283" w:hanging="180"/>
      </w:pPr>
    </w:lvl>
    <w:lvl w:ilvl="3" w:tplc="0415000F" w:tentative="1">
      <w:start w:val="1"/>
      <w:numFmt w:val="decimal"/>
      <w:lvlText w:val="%4."/>
      <w:lvlJc w:val="left"/>
      <w:pPr>
        <w:ind w:left="3003" w:hanging="360"/>
      </w:pPr>
    </w:lvl>
    <w:lvl w:ilvl="4" w:tplc="04150019" w:tentative="1">
      <w:start w:val="1"/>
      <w:numFmt w:val="lowerLetter"/>
      <w:lvlText w:val="%5."/>
      <w:lvlJc w:val="left"/>
      <w:pPr>
        <w:ind w:left="3723" w:hanging="360"/>
      </w:pPr>
    </w:lvl>
    <w:lvl w:ilvl="5" w:tplc="0415001B" w:tentative="1">
      <w:start w:val="1"/>
      <w:numFmt w:val="lowerRoman"/>
      <w:lvlText w:val="%6."/>
      <w:lvlJc w:val="right"/>
      <w:pPr>
        <w:ind w:left="4443" w:hanging="180"/>
      </w:pPr>
    </w:lvl>
    <w:lvl w:ilvl="6" w:tplc="0415000F" w:tentative="1">
      <w:start w:val="1"/>
      <w:numFmt w:val="decimal"/>
      <w:lvlText w:val="%7."/>
      <w:lvlJc w:val="left"/>
      <w:pPr>
        <w:ind w:left="5163" w:hanging="360"/>
      </w:pPr>
    </w:lvl>
    <w:lvl w:ilvl="7" w:tplc="04150019" w:tentative="1">
      <w:start w:val="1"/>
      <w:numFmt w:val="lowerLetter"/>
      <w:lvlText w:val="%8."/>
      <w:lvlJc w:val="left"/>
      <w:pPr>
        <w:ind w:left="5883" w:hanging="360"/>
      </w:pPr>
    </w:lvl>
    <w:lvl w:ilvl="8" w:tplc="0415001B" w:tentative="1">
      <w:start w:val="1"/>
      <w:numFmt w:val="lowerRoman"/>
      <w:lvlText w:val="%9."/>
      <w:lvlJc w:val="right"/>
      <w:pPr>
        <w:ind w:left="6603" w:hanging="180"/>
      </w:pPr>
    </w:lvl>
  </w:abstractNum>
  <w:num w:numId="1">
    <w:abstractNumId w:val="10"/>
  </w:num>
  <w:num w:numId="2">
    <w:abstractNumId w:val="1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7"/>
  </w:num>
  <w:num w:numId="7">
    <w:abstractNumId w:val="18"/>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lvlOverride w:ilvl="2"/>
    <w:lvlOverride w:ilvl="3"/>
    <w:lvlOverride w:ilvl="4"/>
    <w:lvlOverride w:ilvl="5"/>
    <w:lvlOverride w:ilvl="6"/>
    <w:lvlOverride w:ilvl="7"/>
    <w:lvlOverride w:ilvl="8"/>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4"/>
    <w:lvlOverride w:ilvl="0">
      <w:startOverride w:val="1"/>
    </w:lvlOverride>
    <w:lvlOverride w:ilvl="1"/>
    <w:lvlOverride w:ilvl="2"/>
    <w:lvlOverride w:ilvl="3"/>
    <w:lvlOverride w:ilvl="4"/>
    <w:lvlOverride w:ilvl="5"/>
    <w:lvlOverride w:ilvl="6"/>
    <w:lvlOverride w:ilvl="7"/>
    <w:lvlOverride w:ilvl="8"/>
  </w:num>
  <w:num w:numId="15">
    <w:abstractNumId w:val="1"/>
  </w:num>
  <w:num w:numId="16">
    <w:abstractNumId w:val="7"/>
  </w:num>
  <w:num w:numId="17">
    <w:abstractNumId w:val="12"/>
  </w:num>
  <w:num w:numId="18">
    <w:abstractNumId w:val="9"/>
  </w:num>
  <w:num w:numId="19">
    <w:abstractNumId w:val="8"/>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12"/>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71C"/>
    <w:rsid w:val="000048B7"/>
    <w:rsid w:val="000246C7"/>
    <w:rsid w:val="00025126"/>
    <w:rsid w:val="00043A3C"/>
    <w:rsid w:val="000616DD"/>
    <w:rsid w:val="000C25E2"/>
    <w:rsid w:val="000D2B72"/>
    <w:rsid w:val="000F3624"/>
    <w:rsid w:val="00101EF9"/>
    <w:rsid w:val="00124EB6"/>
    <w:rsid w:val="00126C5F"/>
    <w:rsid w:val="00151BB4"/>
    <w:rsid w:val="00164A4B"/>
    <w:rsid w:val="001904FE"/>
    <w:rsid w:val="00194521"/>
    <w:rsid w:val="001A1C8A"/>
    <w:rsid w:val="001A63C9"/>
    <w:rsid w:val="001D19CB"/>
    <w:rsid w:val="001E78F2"/>
    <w:rsid w:val="00290A05"/>
    <w:rsid w:val="002D7BF5"/>
    <w:rsid w:val="002F2BCC"/>
    <w:rsid w:val="003153F7"/>
    <w:rsid w:val="0031594A"/>
    <w:rsid w:val="00322140"/>
    <w:rsid w:val="003448D7"/>
    <w:rsid w:val="003659DB"/>
    <w:rsid w:val="00392D75"/>
    <w:rsid w:val="00407654"/>
    <w:rsid w:val="0041458A"/>
    <w:rsid w:val="004444A9"/>
    <w:rsid w:val="00446161"/>
    <w:rsid w:val="00454DF3"/>
    <w:rsid w:val="00464282"/>
    <w:rsid w:val="00477A3E"/>
    <w:rsid w:val="004A089A"/>
    <w:rsid w:val="004B1319"/>
    <w:rsid w:val="004C112D"/>
    <w:rsid w:val="004D6C45"/>
    <w:rsid w:val="004E3A9F"/>
    <w:rsid w:val="004E676E"/>
    <w:rsid w:val="00503E56"/>
    <w:rsid w:val="00512333"/>
    <w:rsid w:val="00523533"/>
    <w:rsid w:val="00526712"/>
    <w:rsid w:val="005709F9"/>
    <w:rsid w:val="00573594"/>
    <w:rsid w:val="00597337"/>
    <w:rsid w:val="006056EE"/>
    <w:rsid w:val="00607A21"/>
    <w:rsid w:val="00623C47"/>
    <w:rsid w:val="00626106"/>
    <w:rsid w:val="00665FE0"/>
    <w:rsid w:val="00687B54"/>
    <w:rsid w:val="006B629D"/>
    <w:rsid w:val="006B6E80"/>
    <w:rsid w:val="006C0C9D"/>
    <w:rsid w:val="006D271C"/>
    <w:rsid w:val="00740FC5"/>
    <w:rsid w:val="0074137C"/>
    <w:rsid w:val="007529FE"/>
    <w:rsid w:val="0078493A"/>
    <w:rsid w:val="007B06F8"/>
    <w:rsid w:val="007C1A58"/>
    <w:rsid w:val="007C1E85"/>
    <w:rsid w:val="00810A0A"/>
    <w:rsid w:val="0083060F"/>
    <w:rsid w:val="008744CA"/>
    <w:rsid w:val="00883432"/>
    <w:rsid w:val="0088404B"/>
    <w:rsid w:val="00891AE1"/>
    <w:rsid w:val="00895026"/>
    <w:rsid w:val="008A4C8D"/>
    <w:rsid w:val="008B1551"/>
    <w:rsid w:val="008B6497"/>
    <w:rsid w:val="008E7C28"/>
    <w:rsid w:val="00925E7C"/>
    <w:rsid w:val="00930F6A"/>
    <w:rsid w:val="00937C24"/>
    <w:rsid w:val="009457BC"/>
    <w:rsid w:val="009500D7"/>
    <w:rsid w:val="0096675C"/>
    <w:rsid w:val="00971E43"/>
    <w:rsid w:val="0097691F"/>
    <w:rsid w:val="009A0275"/>
    <w:rsid w:val="009B59FA"/>
    <w:rsid w:val="009B703C"/>
    <w:rsid w:val="009B779A"/>
    <w:rsid w:val="009D4640"/>
    <w:rsid w:val="00A215E5"/>
    <w:rsid w:val="00A37092"/>
    <w:rsid w:val="00A75A3B"/>
    <w:rsid w:val="00A847E4"/>
    <w:rsid w:val="00AD7E3F"/>
    <w:rsid w:val="00B016A1"/>
    <w:rsid w:val="00B06D22"/>
    <w:rsid w:val="00B1003C"/>
    <w:rsid w:val="00B24C44"/>
    <w:rsid w:val="00B50BC9"/>
    <w:rsid w:val="00B77163"/>
    <w:rsid w:val="00B849A2"/>
    <w:rsid w:val="00B93B0D"/>
    <w:rsid w:val="00B95255"/>
    <w:rsid w:val="00B96B05"/>
    <w:rsid w:val="00BA36FB"/>
    <w:rsid w:val="00BB2898"/>
    <w:rsid w:val="00BB7685"/>
    <w:rsid w:val="00C0206F"/>
    <w:rsid w:val="00C101FD"/>
    <w:rsid w:val="00C15A8C"/>
    <w:rsid w:val="00C214C0"/>
    <w:rsid w:val="00C2501D"/>
    <w:rsid w:val="00C570CE"/>
    <w:rsid w:val="00C91F22"/>
    <w:rsid w:val="00CA1F71"/>
    <w:rsid w:val="00CC1549"/>
    <w:rsid w:val="00CF4723"/>
    <w:rsid w:val="00D00F2D"/>
    <w:rsid w:val="00D05657"/>
    <w:rsid w:val="00D26A7C"/>
    <w:rsid w:val="00D32EC5"/>
    <w:rsid w:val="00D374C3"/>
    <w:rsid w:val="00D548BB"/>
    <w:rsid w:val="00D85180"/>
    <w:rsid w:val="00DC459C"/>
    <w:rsid w:val="00DD2D26"/>
    <w:rsid w:val="00DE0CE6"/>
    <w:rsid w:val="00DF0880"/>
    <w:rsid w:val="00DF5611"/>
    <w:rsid w:val="00E26F3C"/>
    <w:rsid w:val="00E653CC"/>
    <w:rsid w:val="00E751DD"/>
    <w:rsid w:val="00E92EA3"/>
    <w:rsid w:val="00E979D0"/>
    <w:rsid w:val="00EC0B60"/>
    <w:rsid w:val="00EC441B"/>
    <w:rsid w:val="00EE3033"/>
    <w:rsid w:val="00EF1FA2"/>
    <w:rsid w:val="00F03716"/>
    <w:rsid w:val="00F03D07"/>
    <w:rsid w:val="00F22EB9"/>
    <w:rsid w:val="00F36071"/>
    <w:rsid w:val="00F515B6"/>
    <w:rsid w:val="00F533FE"/>
    <w:rsid w:val="00F7113D"/>
    <w:rsid w:val="00F81CCE"/>
    <w:rsid w:val="00FB6010"/>
    <w:rsid w:val="00FD09FF"/>
    <w:rsid w:val="00FF05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7F747"/>
  <w15:docId w15:val="{32411E74-DC79-42A4-B95A-50259C01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D271C"/>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link w:val="ARTartustawynprozporzdzeniaZnak"/>
    <w:uiPriority w:val="14"/>
    <w:qFormat/>
    <w:rsid w:val="006D271C"/>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Ppogrubienie">
    <w:name w:val="_P_ – pogrubienie"/>
    <w:basedOn w:val="Domylnaczcionkaakapitu"/>
    <w:uiPriority w:val="99"/>
    <w:rsid w:val="006D271C"/>
    <w:rPr>
      <w:rFonts w:cs="Times New Roman"/>
      <w:b/>
    </w:rPr>
  </w:style>
  <w:style w:type="character" w:customStyle="1" w:styleId="ARTartustawynprozporzdzeniaZnak">
    <w:name w:val="ART(§) – art. ustawy (§ np. rozporządzenia) Znak"/>
    <w:basedOn w:val="Domylnaczcionkaakapitu"/>
    <w:link w:val="ARTartustawynprozporzdzenia"/>
    <w:uiPriority w:val="14"/>
    <w:locked/>
    <w:rsid w:val="006D271C"/>
    <w:rPr>
      <w:rFonts w:ascii="Times" w:eastAsia="Times New Roman" w:hAnsi="Times" w:cs="Arial"/>
      <w:sz w:val="24"/>
      <w:szCs w:val="20"/>
      <w:lang w:eastAsia="pl-PL"/>
    </w:rPr>
  </w:style>
  <w:style w:type="paragraph" w:styleId="Poprawka">
    <w:name w:val="Revision"/>
    <w:hidden/>
    <w:uiPriority w:val="99"/>
    <w:semiHidden/>
    <w:rsid w:val="00B24C44"/>
    <w:pPr>
      <w:spacing w:after="0" w:line="240" w:lineRule="auto"/>
    </w:pPr>
  </w:style>
  <w:style w:type="paragraph" w:styleId="Akapitzlist">
    <w:name w:val="List Paragraph"/>
    <w:aliases w:val="Dot pt,F5 List Paragraph,List Paragraph1,Recommendation,List Paragraph11,List Paragraph,Kolorowa lista — akcent 11,Akapit z listą1,Numerowanie,1 Akapit z listą,목록 단락,Akapit z listą11,Numbered Para 1,No Spacing1,List Paragraph Char Char Ch"/>
    <w:basedOn w:val="Normalny"/>
    <w:link w:val="AkapitzlistZnak"/>
    <w:uiPriority w:val="34"/>
    <w:qFormat/>
    <w:rsid w:val="00971E43"/>
    <w:pPr>
      <w:ind w:left="720"/>
      <w:contextualSpacing/>
    </w:pPr>
  </w:style>
  <w:style w:type="paragraph" w:customStyle="1" w:styleId="PKTpunkt">
    <w:name w:val="PKT – punkt"/>
    <w:link w:val="PKTpunktZnak"/>
    <w:uiPriority w:val="16"/>
    <w:qFormat/>
    <w:rsid w:val="006056EE"/>
    <w:pPr>
      <w:spacing w:after="0" w:line="360" w:lineRule="auto"/>
      <w:ind w:left="510" w:hanging="510"/>
      <w:jc w:val="both"/>
    </w:pPr>
    <w:rPr>
      <w:rFonts w:ascii="Times" w:eastAsia="Times New Roman" w:hAnsi="Times" w:cs="Arial"/>
      <w:bCs/>
      <w:sz w:val="24"/>
      <w:szCs w:val="20"/>
      <w:lang w:eastAsia="pl-PL"/>
    </w:rPr>
  </w:style>
  <w:style w:type="character" w:customStyle="1" w:styleId="PKTpunktZnak">
    <w:name w:val="PKT – punkt Znak"/>
    <w:link w:val="PKTpunkt"/>
    <w:uiPriority w:val="16"/>
    <w:locked/>
    <w:rsid w:val="006056EE"/>
    <w:rPr>
      <w:rFonts w:ascii="Times" w:eastAsia="Times New Roman" w:hAnsi="Times" w:cs="Arial"/>
      <w:bCs/>
      <w:sz w:val="24"/>
      <w:szCs w:val="20"/>
      <w:lang w:eastAsia="pl-PL"/>
    </w:rPr>
  </w:style>
  <w:style w:type="character" w:styleId="Odwoaniedokomentarza">
    <w:name w:val="annotation reference"/>
    <w:uiPriority w:val="99"/>
    <w:semiHidden/>
    <w:rsid w:val="006056EE"/>
    <w:rPr>
      <w:sz w:val="16"/>
      <w:szCs w:val="16"/>
    </w:rPr>
  </w:style>
  <w:style w:type="paragraph" w:styleId="Tekstkomentarza">
    <w:name w:val="annotation text"/>
    <w:basedOn w:val="Normalny"/>
    <w:link w:val="TekstkomentarzaZnak"/>
    <w:uiPriority w:val="99"/>
    <w:rsid w:val="006056EE"/>
    <w:pPr>
      <w:widowControl w:val="0"/>
      <w:autoSpaceDE w:val="0"/>
      <w:autoSpaceDN w:val="0"/>
      <w:adjustRightInd w:val="0"/>
      <w:spacing w:after="0" w:line="360" w:lineRule="auto"/>
      <w:jc w:val="both"/>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rsid w:val="006056EE"/>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0C25E2"/>
    <w:pPr>
      <w:widowControl/>
      <w:autoSpaceDE/>
      <w:autoSpaceDN/>
      <w:adjustRightInd/>
      <w:spacing w:after="200" w:line="240" w:lineRule="auto"/>
      <w:jc w:val="left"/>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0C25E2"/>
    <w:rPr>
      <w:rFonts w:ascii="Times" w:eastAsia="Times New Roman" w:hAnsi="Times" w:cs="Times New Roman"/>
      <w:b/>
      <w:bCs/>
      <w:sz w:val="20"/>
      <w:szCs w:val="20"/>
      <w:lang w:eastAsia="pl-PL"/>
    </w:rPr>
  </w:style>
  <w:style w:type="paragraph" w:styleId="Nagwek">
    <w:name w:val="header"/>
    <w:basedOn w:val="Normalny"/>
    <w:link w:val="NagwekZnak"/>
    <w:uiPriority w:val="99"/>
    <w:unhideWhenUsed/>
    <w:rsid w:val="00C15A8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5A8C"/>
  </w:style>
  <w:style w:type="paragraph" w:styleId="Stopka">
    <w:name w:val="footer"/>
    <w:basedOn w:val="Normalny"/>
    <w:link w:val="StopkaZnak"/>
    <w:uiPriority w:val="99"/>
    <w:unhideWhenUsed/>
    <w:rsid w:val="00C15A8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5A8C"/>
  </w:style>
  <w:style w:type="paragraph" w:styleId="Tekstprzypisukocowego">
    <w:name w:val="endnote text"/>
    <w:basedOn w:val="Normalny"/>
    <w:link w:val="TekstprzypisukocowegoZnak"/>
    <w:uiPriority w:val="99"/>
    <w:semiHidden/>
    <w:unhideWhenUsed/>
    <w:rsid w:val="000246C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46C7"/>
    <w:rPr>
      <w:sz w:val="20"/>
      <w:szCs w:val="20"/>
    </w:rPr>
  </w:style>
  <w:style w:type="character" w:styleId="Odwoanieprzypisukocowego">
    <w:name w:val="endnote reference"/>
    <w:basedOn w:val="Domylnaczcionkaakapitu"/>
    <w:uiPriority w:val="99"/>
    <w:semiHidden/>
    <w:unhideWhenUsed/>
    <w:rsid w:val="000246C7"/>
    <w:rPr>
      <w:vertAlign w:val="superscript"/>
    </w:rPr>
  </w:style>
  <w:style w:type="paragraph" w:styleId="Tekstdymka">
    <w:name w:val="Balloon Text"/>
    <w:basedOn w:val="Normalny"/>
    <w:link w:val="TekstdymkaZnak"/>
    <w:uiPriority w:val="99"/>
    <w:semiHidden/>
    <w:unhideWhenUsed/>
    <w:rsid w:val="0046428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4282"/>
    <w:rPr>
      <w:rFonts w:ascii="Segoe UI" w:hAnsi="Segoe UI" w:cs="Segoe UI"/>
      <w:sz w:val="18"/>
      <w:szCs w:val="18"/>
    </w:rPr>
  </w:style>
  <w:style w:type="paragraph" w:customStyle="1" w:styleId="ZLITwPKTzmlitwpktartykuempunktem">
    <w:name w:val="Z/LIT_w_PKT – zm. lit. w pkt artykułem (punktem)"/>
    <w:basedOn w:val="Normalny"/>
    <w:uiPriority w:val="32"/>
    <w:qFormat/>
    <w:rsid w:val="00FF05DB"/>
    <w:pPr>
      <w:spacing w:after="0" w:line="360" w:lineRule="auto"/>
      <w:ind w:left="1497" w:hanging="476"/>
      <w:jc w:val="both"/>
    </w:pPr>
    <w:rPr>
      <w:rFonts w:ascii="Times" w:eastAsiaTheme="minorEastAsia" w:hAnsi="Times" w:cs="Arial"/>
      <w:bCs/>
      <w:sz w:val="24"/>
      <w:szCs w:val="20"/>
      <w:lang w:eastAsia="pl-PL"/>
    </w:rPr>
  </w:style>
  <w:style w:type="paragraph" w:customStyle="1" w:styleId="ZPKTzmpktartykuempunktem">
    <w:name w:val="Z/PKT – zm. pkt artykułem (punktem)"/>
    <w:basedOn w:val="Normalny"/>
    <w:uiPriority w:val="31"/>
    <w:qFormat/>
    <w:rsid w:val="00FF05DB"/>
    <w:pPr>
      <w:spacing w:after="0" w:line="360" w:lineRule="auto"/>
      <w:ind w:left="1020" w:hanging="510"/>
      <w:jc w:val="both"/>
    </w:pPr>
    <w:rPr>
      <w:rFonts w:ascii="Times" w:eastAsiaTheme="minorEastAsia" w:hAnsi="Times" w:cs="Arial"/>
      <w:bCs/>
      <w:sz w:val="24"/>
      <w:szCs w:val="20"/>
      <w:lang w:eastAsia="pl-PL"/>
    </w:rPr>
  </w:style>
  <w:style w:type="paragraph" w:styleId="Tekstprzypisudolnego">
    <w:name w:val="footnote text"/>
    <w:basedOn w:val="Normalny"/>
    <w:link w:val="TekstprzypisudolnegoZnak"/>
    <w:uiPriority w:val="99"/>
    <w:semiHidden/>
    <w:unhideWhenUsed/>
    <w:rsid w:val="00607A2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07A21"/>
    <w:rPr>
      <w:sz w:val="20"/>
      <w:szCs w:val="20"/>
    </w:rPr>
  </w:style>
  <w:style w:type="character" w:customStyle="1" w:styleId="AkapitzlistZnak">
    <w:name w:val="Akapit z listą Znak"/>
    <w:aliases w:val="Dot pt Znak,F5 List Paragraph Znak,List Paragraph1 Znak,Recommendation Znak,List Paragraph11 Znak,List Paragraph Znak,Kolorowa lista — akcent 11 Znak,Akapit z listą1 Znak,Numerowanie Znak,1 Akapit z listą Znak,목록 단락 Znak"/>
    <w:link w:val="Akapitzlist"/>
    <w:uiPriority w:val="34"/>
    <w:qFormat/>
    <w:locked/>
    <w:rsid w:val="00607A21"/>
  </w:style>
  <w:style w:type="character" w:styleId="Odwoanieprzypisudolnego">
    <w:name w:val="footnote reference"/>
    <w:basedOn w:val="Domylnaczcionkaakapitu"/>
    <w:uiPriority w:val="99"/>
    <w:semiHidden/>
    <w:unhideWhenUsed/>
    <w:rsid w:val="00607A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0078">
      <w:bodyDiv w:val="1"/>
      <w:marLeft w:val="0"/>
      <w:marRight w:val="0"/>
      <w:marTop w:val="0"/>
      <w:marBottom w:val="0"/>
      <w:divBdr>
        <w:top w:val="none" w:sz="0" w:space="0" w:color="auto"/>
        <w:left w:val="none" w:sz="0" w:space="0" w:color="auto"/>
        <w:bottom w:val="none" w:sz="0" w:space="0" w:color="auto"/>
        <w:right w:val="none" w:sz="0" w:space="0" w:color="auto"/>
      </w:divBdr>
    </w:div>
    <w:div w:id="13313602">
      <w:bodyDiv w:val="1"/>
      <w:marLeft w:val="0"/>
      <w:marRight w:val="0"/>
      <w:marTop w:val="0"/>
      <w:marBottom w:val="0"/>
      <w:divBdr>
        <w:top w:val="none" w:sz="0" w:space="0" w:color="auto"/>
        <w:left w:val="none" w:sz="0" w:space="0" w:color="auto"/>
        <w:bottom w:val="none" w:sz="0" w:space="0" w:color="auto"/>
        <w:right w:val="none" w:sz="0" w:space="0" w:color="auto"/>
      </w:divBdr>
    </w:div>
    <w:div w:id="25760882">
      <w:bodyDiv w:val="1"/>
      <w:marLeft w:val="0"/>
      <w:marRight w:val="0"/>
      <w:marTop w:val="0"/>
      <w:marBottom w:val="0"/>
      <w:divBdr>
        <w:top w:val="none" w:sz="0" w:space="0" w:color="auto"/>
        <w:left w:val="none" w:sz="0" w:space="0" w:color="auto"/>
        <w:bottom w:val="none" w:sz="0" w:space="0" w:color="auto"/>
        <w:right w:val="none" w:sz="0" w:space="0" w:color="auto"/>
      </w:divBdr>
    </w:div>
    <w:div w:id="304623377">
      <w:bodyDiv w:val="1"/>
      <w:marLeft w:val="0"/>
      <w:marRight w:val="0"/>
      <w:marTop w:val="0"/>
      <w:marBottom w:val="0"/>
      <w:divBdr>
        <w:top w:val="none" w:sz="0" w:space="0" w:color="auto"/>
        <w:left w:val="none" w:sz="0" w:space="0" w:color="auto"/>
        <w:bottom w:val="none" w:sz="0" w:space="0" w:color="auto"/>
        <w:right w:val="none" w:sz="0" w:space="0" w:color="auto"/>
      </w:divBdr>
      <w:divsChild>
        <w:div w:id="2132943164">
          <w:marLeft w:val="0"/>
          <w:marRight w:val="0"/>
          <w:marTop w:val="0"/>
          <w:marBottom w:val="0"/>
          <w:divBdr>
            <w:top w:val="none" w:sz="0" w:space="0" w:color="auto"/>
            <w:left w:val="none" w:sz="0" w:space="0" w:color="auto"/>
            <w:bottom w:val="none" w:sz="0" w:space="0" w:color="auto"/>
            <w:right w:val="none" w:sz="0" w:space="0" w:color="auto"/>
          </w:divBdr>
        </w:div>
        <w:div w:id="476462392">
          <w:marLeft w:val="0"/>
          <w:marRight w:val="0"/>
          <w:marTop w:val="0"/>
          <w:marBottom w:val="0"/>
          <w:divBdr>
            <w:top w:val="none" w:sz="0" w:space="0" w:color="auto"/>
            <w:left w:val="none" w:sz="0" w:space="0" w:color="auto"/>
            <w:bottom w:val="none" w:sz="0" w:space="0" w:color="auto"/>
            <w:right w:val="none" w:sz="0" w:space="0" w:color="auto"/>
          </w:divBdr>
        </w:div>
        <w:div w:id="895824843">
          <w:marLeft w:val="0"/>
          <w:marRight w:val="0"/>
          <w:marTop w:val="0"/>
          <w:marBottom w:val="0"/>
          <w:divBdr>
            <w:top w:val="none" w:sz="0" w:space="0" w:color="auto"/>
            <w:left w:val="none" w:sz="0" w:space="0" w:color="auto"/>
            <w:bottom w:val="none" w:sz="0" w:space="0" w:color="auto"/>
            <w:right w:val="none" w:sz="0" w:space="0" w:color="auto"/>
          </w:divBdr>
        </w:div>
      </w:divsChild>
    </w:div>
    <w:div w:id="625626382">
      <w:bodyDiv w:val="1"/>
      <w:marLeft w:val="0"/>
      <w:marRight w:val="0"/>
      <w:marTop w:val="0"/>
      <w:marBottom w:val="0"/>
      <w:divBdr>
        <w:top w:val="none" w:sz="0" w:space="0" w:color="auto"/>
        <w:left w:val="none" w:sz="0" w:space="0" w:color="auto"/>
        <w:bottom w:val="none" w:sz="0" w:space="0" w:color="auto"/>
        <w:right w:val="none" w:sz="0" w:space="0" w:color="auto"/>
      </w:divBdr>
    </w:div>
    <w:div w:id="1295332267">
      <w:bodyDiv w:val="1"/>
      <w:marLeft w:val="0"/>
      <w:marRight w:val="0"/>
      <w:marTop w:val="0"/>
      <w:marBottom w:val="0"/>
      <w:divBdr>
        <w:top w:val="none" w:sz="0" w:space="0" w:color="auto"/>
        <w:left w:val="none" w:sz="0" w:space="0" w:color="auto"/>
        <w:bottom w:val="none" w:sz="0" w:space="0" w:color="auto"/>
        <w:right w:val="none" w:sz="0" w:space="0" w:color="auto"/>
      </w:divBdr>
      <w:divsChild>
        <w:div w:id="1657219689">
          <w:marLeft w:val="0"/>
          <w:marRight w:val="0"/>
          <w:marTop w:val="0"/>
          <w:marBottom w:val="0"/>
          <w:divBdr>
            <w:top w:val="none" w:sz="0" w:space="0" w:color="auto"/>
            <w:left w:val="none" w:sz="0" w:space="0" w:color="auto"/>
            <w:bottom w:val="none" w:sz="0" w:space="0" w:color="auto"/>
            <w:right w:val="none" w:sz="0" w:space="0" w:color="auto"/>
          </w:divBdr>
        </w:div>
        <w:div w:id="25450915">
          <w:marLeft w:val="0"/>
          <w:marRight w:val="0"/>
          <w:marTop w:val="0"/>
          <w:marBottom w:val="0"/>
          <w:divBdr>
            <w:top w:val="none" w:sz="0" w:space="0" w:color="auto"/>
            <w:left w:val="none" w:sz="0" w:space="0" w:color="auto"/>
            <w:bottom w:val="none" w:sz="0" w:space="0" w:color="auto"/>
            <w:right w:val="none" w:sz="0" w:space="0" w:color="auto"/>
          </w:divBdr>
        </w:div>
        <w:div w:id="1769497899">
          <w:marLeft w:val="0"/>
          <w:marRight w:val="0"/>
          <w:marTop w:val="0"/>
          <w:marBottom w:val="0"/>
          <w:divBdr>
            <w:top w:val="none" w:sz="0" w:space="0" w:color="auto"/>
            <w:left w:val="none" w:sz="0" w:space="0" w:color="auto"/>
            <w:bottom w:val="none" w:sz="0" w:space="0" w:color="auto"/>
            <w:right w:val="none" w:sz="0" w:space="0" w:color="auto"/>
          </w:divBdr>
        </w:div>
      </w:divsChild>
    </w:div>
    <w:div w:id="1336691622">
      <w:bodyDiv w:val="1"/>
      <w:marLeft w:val="0"/>
      <w:marRight w:val="0"/>
      <w:marTop w:val="0"/>
      <w:marBottom w:val="0"/>
      <w:divBdr>
        <w:top w:val="none" w:sz="0" w:space="0" w:color="auto"/>
        <w:left w:val="none" w:sz="0" w:space="0" w:color="auto"/>
        <w:bottom w:val="none" w:sz="0" w:space="0" w:color="auto"/>
        <w:right w:val="none" w:sz="0" w:space="0" w:color="auto"/>
      </w:divBdr>
    </w:div>
    <w:div w:id="192251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68BB6-7311-4BBB-B080-B494E016E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6723</Words>
  <Characters>40343</Characters>
  <Application>Microsoft Office Word</Application>
  <DocSecurity>4</DocSecurity>
  <Lines>336</Lines>
  <Paragraphs>93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46973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Binkowska Joanna</cp:lastModifiedBy>
  <cp:revision>2</cp:revision>
  <dcterms:created xsi:type="dcterms:W3CDTF">2022-01-11T15:10:00Z</dcterms:created>
  <dcterms:modified xsi:type="dcterms:W3CDTF">2022-01-11T15:10:00Z</dcterms:modified>
</cp:coreProperties>
</file>