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C69E8" w14:textId="0E6D75A7" w:rsidR="006F73ED" w:rsidRPr="006F73ED" w:rsidRDefault="006F73ED" w:rsidP="00BC3CC1">
      <w:pPr>
        <w:spacing w:line="360" w:lineRule="auto"/>
        <w:ind w:firstLine="708"/>
        <w:jc w:val="center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6F73ED">
        <w:rPr>
          <w:rFonts w:ascii="Tahoma" w:hAnsi="Tahoma" w:cs="Tahoma"/>
          <w:b/>
          <w:bCs/>
          <w:sz w:val="24"/>
          <w:szCs w:val="24"/>
        </w:rPr>
        <w:t>Uzasadnienie</w:t>
      </w:r>
    </w:p>
    <w:p w14:paraId="615E351C" w14:textId="77777777" w:rsidR="006F73ED" w:rsidRDefault="006F73ED" w:rsidP="00BC3CC1">
      <w:pPr>
        <w:spacing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</w:p>
    <w:p w14:paraId="5B04C3EB" w14:textId="6570327B" w:rsidR="00127029" w:rsidRPr="00E15553" w:rsidRDefault="00C34F36" w:rsidP="00C671C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Projekt</w:t>
      </w:r>
      <w:r w:rsidR="004D5ECE">
        <w:rPr>
          <w:rFonts w:ascii="Tahoma" w:hAnsi="Tahoma" w:cs="Tahoma"/>
          <w:sz w:val="24"/>
          <w:szCs w:val="24"/>
        </w:rPr>
        <w:t xml:space="preserve"> ustawy o zmianie ustawy </w:t>
      </w:r>
      <w:r>
        <w:rPr>
          <w:rFonts w:ascii="Tahoma" w:hAnsi="Tahoma" w:cs="Tahoma"/>
          <w:sz w:val="24"/>
          <w:szCs w:val="24"/>
        </w:rPr>
        <w:t xml:space="preserve">– Prawo energetyczne </w:t>
      </w:r>
      <w:r w:rsidR="004D5ECE">
        <w:rPr>
          <w:rFonts w:ascii="Tahoma" w:hAnsi="Tahoma" w:cs="Tahoma"/>
          <w:sz w:val="24"/>
          <w:szCs w:val="24"/>
        </w:rPr>
        <w:t xml:space="preserve">ma na celu </w:t>
      </w:r>
      <w:r w:rsidR="00BE7DD2">
        <w:rPr>
          <w:rFonts w:ascii="Tahoma" w:hAnsi="Tahoma" w:cs="Tahoma"/>
          <w:sz w:val="24"/>
          <w:szCs w:val="24"/>
        </w:rPr>
        <w:t>wprowadzenie regulacji</w:t>
      </w:r>
      <w:r w:rsidR="009C41F8">
        <w:rPr>
          <w:rFonts w:ascii="Tahoma" w:hAnsi="Tahoma" w:cs="Tahoma"/>
          <w:sz w:val="24"/>
          <w:szCs w:val="24"/>
        </w:rPr>
        <w:t xml:space="preserve">, </w:t>
      </w:r>
      <w:r w:rsidR="008037C7">
        <w:rPr>
          <w:rFonts w:ascii="Tahoma" w:hAnsi="Tahoma" w:cs="Tahoma"/>
          <w:sz w:val="24"/>
          <w:szCs w:val="24"/>
        </w:rPr>
        <w:t xml:space="preserve">na </w:t>
      </w:r>
      <w:r w:rsidR="00272EB1">
        <w:rPr>
          <w:rFonts w:ascii="Tahoma" w:hAnsi="Tahoma" w:cs="Tahoma"/>
          <w:sz w:val="24"/>
          <w:szCs w:val="24"/>
        </w:rPr>
        <w:t>podstawie</w:t>
      </w:r>
      <w:r w:rsidR="008037C7">
        <w:rPr>
          <w:rFonts w:ascii="Tahoma" w:hAnsi="Tahoma" w:cs="Tahoma"/>
          <w:sz w:val="24"/>
          <w:szCs w:val="24"/>
        </w:rPr>
        <w:t xml:space="preserve"> których</w:t>
      </w:r>
      <w:r w:rsidR="00E6374B">
        <w:rPr>
          <w:rFonts w:ascii="Tahoma" w:hAnsi="Tahoma" w:cs="Tahoma"/>
          <w:sz w:val="24"/>
          <w:szCs w:val="24"/>
        </w:rPr>
        <w:t xml:space="preserve"> nastąpi </w:t>
      </w:r>
      <w:r w:rsidR="00271EFE">
        <w:rPr>
          <w:rFonts w:ascii="Tahoma" w:hAnsi="Tahoma" w:cs="Tahoma"/>
          <w:sz w:val="24"/>
          <w:szCs w:val="24"/>
        </w:rPr>
        <w:t xml:space="preserve">ujednolicenie </w:t>
      </w:r>
      <w:r w:rsidR="00165988" w:rsidRPr="00E15553">
        <w:rPr>
          <w:rFonts w:ascii="Tahoma" w:hAnsi="Tahoma" w:cs="Tahoma"/>
          <w:sz w:val="24"/>
          <w:szCs w:val="24"/>
        </w:rPr>
        <w:t xml:space="preserve">kosztów gazu </w:t>
      </w:r>
      <w:r w:rsidR="00240970" w:rsidRPr="00E15553">
        <w:rPr>
          <w:rFonts w:ascii="Tahoma" w:hAnsi="Tahoma" w:cs="Tahoma"/>
          <w:sz w:val="24"/>
          <w:szCs w:val="24"/>
        </w:rPr>
        <w:t xml:space="preserve">dostarczanego </w:t>
      </w:r>
      <w:r w:rsidR="00113B4B" w:rsidRPr="00E15553">
        <w:rPr>
          <w:rFonts w:ascii="Tahoma" w:hAnsi="Tahoma" w:cs="Tahoma"/>
          <w:sz w:val="24"/>
          <w:szCs w:val="24"/>
        </w:rPr>
        <w:t xml:space="preserve">na potrzeby mieszkańców </w:t>
      </w:r>
      <w:r w:rsidR="00240970" w:rsidRPr="00E15553">
        <w:rPr>
          <w:rFonts w:ascii="Tahoma" w:hAnsi="Tahoma" w:cs="Tahoma"/>
          <w:sz w:val="24"/>
          <w:szCs w:val="24"/>
        </w:rPr>
        <w:t xml:space="preserve">budynków </w:t>
      </w:r>
      <w:r w:rsidR="00113B4B" w:rsidRPr="00E15553">
        <w:rPr>
          <w:rFonts w:ascii="Tahoma" w:hAnsi="Tahoma" w:cs="Tahoma"/>
          <w:sz w:val="24"/>
          <w:szCs w:val="24"/>
        </w:rPr>
        <w:t>wielolokalowych</w:t>
      </w:r>
      <w:r w:rsidR="00DE4F17" w:rsidRPr="00E15553">
        <w:rPr>
          <w:rFonts w:ascii="Tahoma" w:hAnsi="Tahoma" w:cs="Tahoma"/>
          <w:sz w:val="24"/>
          <w:szCs w:val="24"/>
        </w:rPr>
        <w:t xml:space="preserve"> (</w:t>
      </w:r>
      <w:r w:rsidR="0019694B" w:rsidRPr="00E15553">
        <w:rPr>
          <w:rFonts w:ascii="Tahoma" w:hAnsi="Tahoma" w:cs="Tahoma"/>
          <w:sz w:val="24"/>
          <w:szCs w:val="24"/>
        </w:rPr>
        <w:t>nieruchomości</w:t>
      </w:r>
      <w:r w:rsidR="00E8103C" w:rsidRPr="00E15553">
        <w:rPr>
          <w:rFonts w:ascii="Tahoma" w:hAnsi="Tahoma" w:cs="Tahoma"/>
          <w:sz w:val="24"/>
          <w:szCs w:val="24"/>
        </w:rPr>
        <w:t xml:space="preserve"> komunalne, wsp</w:t>
      </w:r>
      <w:r w:rsidR="0019694B" w:rsidRPr="00E15553">
        <w:rPr>
          <w:rFonts w:ascii="Tahoma" w:hAnsi="Tahoma" w:cs="Tahoma"/>
          <w:sz w:val="24"/>
          <w:szCs w:val="24"/>
        </w:rPr>
        <w:t>ólnoty mieszkaniowe, spółdzielnie mieszkaniowe)</w:t>
      </w:r>
      <w:r w:rsidR="00271EFE">
        <w:rPr>
          <w:rFonts w:ascii="Tahoma" w:hAnsi="Tahoma" w:cs="Tahoma"/>
          <w:sz w:val="24"/>
          <w:szCs w:val="24"/>
        </w:rPr>
        <w:t xml:space="preserve"> i innych gospodarstw domowych objętych dotąd regulowaną taryfą zatwierdzaną przez Prezesa URE</w:t>
      </w:r>
      <w:r w:rsidR="0019694B" w:rsidRPr="00E15553">
        <w:rPr>
          <w:rFonts w:ascii="Tahoma" w:hAnsi="Tahoma" w:cs="Tahoma"/>
          <w:sz w:val="24"/>
          <w:szCs w:val="24"/>
        </w:rPr>
        <w:t xml:space="preserve">. </w:t>
      </w:r>
      <w:r w:rsidR="006A7CC5">
        <w:rPr>
          <w:rFonts w:ascii="Tahoma" w:hAnsi="Tahoma" w:cs="Tahoma"/>
          <w:sz w:val="24"/>
          <w:szCs w:val="24"/>
        </w:rPr>
        <w:t xml:space="preserve">Tym samym zaproponowana zmiana zatrzyma radykalne, kilkusetprocentowe podwyżki cen gazu, które mają uderzyć od stycznia 2022 r. w mieszkańców lokali spółdzielczych, wspólnot mieszkaniowych i nieruchomości komunalnych. </w:t>
      </w:r>
      <w:r w:rsidR="00C671C4">
        <w:rPr>
          <w:rFonts w:ascii="Tahoma" w:hAnsi="Tahoma" w:cs="Tahoma"/>
          <w:sz w:val="24"/>
          <w:szCs w:val="24"/>
        </w:rPr>
        <w:t>Polki i Polacy w ostatnich dniach</w:t>
      </w:r>
      <w:r w:rsidR="00AB0376">
        <w:rPr>
          <w:rFonts w:ascii="Tahoma" w:hAnsi="Tahoma" w:cs="Tahoma"/>
          <w:sz w:val="24"/>
          <w:szCs w:val="24"/>
        </w:rPr>
        <w:br/>
      </w:r>
      <w:r w:rsidR="00C671C4">
        <w:rPr>
          <w:rFonts w:ascii="Tahoma" w:hAnsi="Tahoma" w:cs="Tahoma"/>
          <w:sz w:val="24"/>
          <w:szCs w:val="24"/>
        </w:rPr>
        <w:t>2021</w:t>
      </w:r>
      <w:r w:rsidR="00AB0376">
        <w:rPr>
          <w:rFonts w:ascii="Tahoma" w:hAnsi="Tahoma" w:cs="Tahoma"/>
          <w:sz w:val="24"/>
          <w:szCs w:val="24"/>
        </w:rPr>
        <w:t xml:space="preserve"> </w:t>
      </w:r>
      <w:r w:rsidR="00C671C4">
        <w:rPr>
          <w:rFonts w:ascii="Tahoma" w:hAnsi="Tahoma" w:cs="Tahoma"/>
          <w:sz w:val="24"/>
          <w:szCs w:val="24"/>
        </w:rPr>
        <w:t xml:space="preserve">r. zostali zaskoczeni tak </w:t>
      </w:r>
      <w:r w:rsidR="006A7CC5">
        <w:rPr>
          <w:rFonts w:ascii="Tahoma" w:hAnsi="Tahoma" w:cs="Tahoma"/>
          <w:sz w:val="24"/>
          <w:szCs w:val="24"/>
        </w:rPr>
        <w:t>drastyczny</w:t>
      </w:r>
      <w:r w:rsidR="00C671C4">
        <w:rPr>
          <w:rFonts w:ascii="Tahoma" w:hAnsi="Tahoma" w:cs="Tahoma"/>
          <w:sz w:val="24"/>
          <w:szCs w:val="24"/>
        </w:rPr>
        <w:t>mi</w:t>
      </w:r>
      <w:r w:rsidR="006A7CC5">
        <w:rPr>
          <w:rFonts w:ascii="Tahoma" w:hAnsi="Tahoma" w:cs="Tahoma"/>
          <w:sz w:val="24"/>
          <w:szCs w:val="24"/>
        </w:rPr>
        <w:t xml:space="preserve"> podwyżka</w:t>
      </w:r>
      <w:r w:rsidR="00C671C4">
        <w:rPr>
          <w:rFonts w:ascii="Tahoma" w:hAnsi="Tahoma" w:cs="Tahoma"/>
          <w:sz w:val="24"/>
          <w:szCs w:val="24"/>
        </w:rPr>
        <w:t>mi</w:t>
      </w:r>
      <w:r w:rsidR="006A7CC5">
        <w:rPr>
          <w:rFonts w:ascii="Tahoma" w:hAnsi="Tahoma" w:cs="Tahoma"/>
          <w:sz w:val="24"/>
          <w:szCs w:val="24"/>
        </w:rPr>
        <w:t xml:space="preserve">, które w większości przypadków oznaczają rachunki wyższe o </w:t>
      </w:r>
      <w:r w:rsidR="00C671C4">
        <w:rPr>
          <w:rFonts w:ascii="Tahoma" w:hAnsi="Tahoma" w:cs="Tahoma"/>
          <w:sz w:val="24"/>
          <w:szCs w:val="24"/>
        </w:rPr>
        <w:t>400%</w:t>
      </w:r>
      <w:r w:rsidR="006A7CC5">
        <w:rPr>
          <w:rFonts w:ascii="Tahoma" w:hAnsi="Tahoma" w:cs="Tahoma"/>
          <w:sz w:val="24"/>
          <w:szCs w:val="24"/>
        </w:rPr>
        <w:t xml:space="preserve">, </w:t>
      </w:r>
      <w:r w:rsidR="00C671C4">
        <w:rPr>
          <w:rFonts w:ascii="Tahoma" w:hAnsi="Tahoma" w:cs="Tahoma"/>
          <w:sz w:val="24"/>
          <w:szCs w:val="24"/>
        </w:rPr>
        <w:t>500%</w:t>
      </w:r>
      <w:r w:rsidR="006A7CC5">
        <w:rPr>
          <w:rFonts w:ascii="Tahoma" w:hAnsi="Tahoma" w:cs="Tahoma"/>
          <w:sz w:val="24"/>
          <w:szCs w:val="24"/>
        </w:rPr>
        <w:t xml:space="preserve">, a nawet </w:t>
      </w:r>
      <w:r w:rsidR="00C671C4">
        <w:rPr>
          <w:rFonts w:ascii="Tahoma" w:hAnsi="Tahoma" w:cs="Tahoma"/>
          <w:sz w:val="24"/>
          <w:szCs w:val="24"/>
        </w:rPr>
        <w:t>800%.</w:t>
      </w:r>
    </w:p>
    <w:p w14:paraId="79CAD80F" w14:textId="77777777" w:rsidR="00F40146" w:rsidRDefault="00567F04" w:rsidP="00AB382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  <w:shd w:val="clear" w:color="auto" w:fill="FFFFFF"/>
        </w:rPr>
        <w:t xml:space="preserve">W myśl </w:t>
      </w:r>
      <w:r w:rsidR="00127029" w:rsidRPr="00E15553">
        <w:rPr>
          <w:rFonts w:ascii="Tahoma" w:hAnsi="Tahoma" w:cs="Tahoma"/>
          <w:sz w:val="24"/>
          <w:szCs w:val="24"/>
          <w:shd w:val="clear" w:color="auto" w:fill="FFFFFF"/>
        </w:rPr>
        <w:t xml:space="preserve">art. 47 ust. 1a ustawy </w:t>
      </w:r>
      <w:r w:rsidR="00BC3CC1">
        <w:rPr>
          <w:rFonts w:ascii="Tahoma" w:hAnsi="Tahoma" w:cs="Tahoma"/>
          <w:sz w:val="24"/>
          <w:szCs w:val="24"/>
          <w:shd w:val="clear" w:color="auto" w:fill="FFFFFF"/>
        </w:rPr>
        <w:t xml:space="preserve">z dnia 10 kwietnia 1997 r. </w:t>
      </w:r>
      <w:r w:rsidR="00DB756F" w:rsidRPr="00E15553">
        <w:rPr>
          <w:rFonts w:ascii="Tahoma" w:hAnsi="Tahoma" w:cs="Tahoma"/>
          <w:sz w:val="24"/>
          <w:szCs w:val="24"/>
          <w:shd w:val="clear" w:color="auto" w:fill="FFFFFF"/>
        </w:rPr>
        <w:t xml:space="preserve">- </w:t>
      </w:r>
      <w:r w:rsidR="00127029" w:rsidRPr="00E15553">
        <w:rPr>
          <w:rFonts w:ascii="Tahoma" w:hAnsi="Tahoma" w:cs="Tahoma"/>
          <w:sz w:val="24"/>
          <w:szCs w:val="24"/>
          <w:shd w:val="clear" w:color="auto" w:fill="FFFFFF"/>
        </w:rPr>
        <w:t>Prawo energetyczne taryfy ustalane przez przedsiębiorstwa energetyczne posiadające koncesję na obrót paliwami gazowymi lub na obrót gazem ziemnym z zagranicą nie podlegają zatwierdzeniu przez Prezesa URE, z zastrzeżeniem art. 62b ust. 1</w:t>
      </w:r>
      <w:r w:rsidR="006422D3" w:rsidRPr="00E15553">
        <w:rPr>
          <w:rFonts w:ascii="Tahoma" w:hAnsi="Tahoma" w:cs="Tahoma"/>
          <w:sz w:val="24"/>
          <w:szCs w:val="24"/>
          <w:shd w:val="clear" w:color="auto" w:fill="FFFFFF"/>
        </w:rPr>
        <w:t xml:space="preserve">, </w:t>
      </w:r>
      <w:r w:rsidR="00E15553" w:rsidRPr="00E15553">
        <w:rPr>
          <w:rFonts w:ascii="Tahoma" w:hAnsi="Tahoma" w:cs="Tahoma"/>
          <w:sz w:val="24"/>
          <w:szCs w:val="24"/>
          <w:shd w:val="clear" w:color="auto" w:fill="FFFFFF"/>
        </w:rPr>
        <w:t xml:space="preserve">który stanowi, że </w:t>
      </w:r>
      <w:r w:rsidR="00127029" w:rsidRPr="00E15553">
        <w:rPr>
          <w:rFonts w:ascii="Tahoma" w:hAnsi="Tahoma" w:cs="Tahoma"/>
          <w:sz w:val="24"/>
          <w:szCs w:val="24"/>
          <w:shd w:val="clear" w:color="auto" w:fill="FFFFFF"/>
        </w:rPr>
        <w:t xml:space="preserve">taryfy ustalane są jedynie dla odbiorców paliw gazowych w gospodarstwach domowych. </w:t>
      </w:r>
      <w:r w:rsidR="00AB3823">
        <w:rPr>
          <w:rFonts w:ascii="Tahoma" w:hAnsi="Tahoma" w:cs="Tahoma"/>
          <w:sz w:val="24"/>
          <w:szCs w:val="24"/>
        </w:rPr>
        <w:t>Taryfę dla odbiorców w gospodarstwach domowych zatwierdza Prezes Urzędu Regulacji Energetyki, na skute</w:t>
      </w:r>
      <w:r w:rsidR="002655F0">
        <w:rPr>
          <w:rFonts w:ascii="Tahoma" w:hAnsi="Tahoma" w:cs="Tahoma"/>
          <w:sz w:val="24"/>
          <w:szCs w:val="24"/>
        </w:rPr>
        <w:t xml:space="preserve">k </w:t>
      </w:r>
      <w:r w:rsidR="00AB3823">
        <w:rPr>
          <w:rFonts w:ascii="Tahoma" w:hAnsi="Tahoma" w:cs="Tahoma"/>
          <w:sz w:val="24"/>
          <w:szCs w:val="24"/>
        </w:rPr>
        <w:t>czego sprzedawcy gazu nie mogą swobodnie ustalać jego ceny.</w:t>
      </w:r>
    </w:p>
    <w:p w14:paraId="4367ADA3" w14:textId="674295E5" w:rsidR="00AB3823" w:rsidRDefault="0071458C" w:rsidP="00AB3823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 roku 2021, na skutek gwałtownego wzrostu cen gazu na rynkach hurtowych</w:t>
      </w:r>
      <w:r w:rsidR="00AB0376">
        <w:rPr>
          <w:rFonts w:ascii="Tahoma" w:hAnsi="Tahoma" w:cs="Tahoma"/>
          <w:sz w:val="24"/>
          <w:szCs w:val="24"/>
        </w:rPr>
        <w:br/>
      </w:r>
      <w:r>
        <w:rPr>
          <w:rFonts w:ascii="Tahoma" w:hAnsi="Tahoma" w:cs="Tahoma"/>
          <w:sz w:val="24"/>
          <w:szCs w:val="24"/>
        </w:rPr>
        <w:t>i nadużywaniu pozycji dominującej na rynku przez PGNiG gwałtownie wzrosła różnica pomiędzy ceną taryfową a ceną oferowaną innym podmiotom. W efekcie wspólnoty mieszkaniowe i inni pośrednicy zaopatrujący gospodarstwa domowe otrzymali propozycje zawarcia umów na rok 2022 w cenach wielokrotnie przewyższających taryfy regulowane. Te olbrzymie podwyżki dotykają w przeważających wypadkach lokatorów mieszkań komunalnych i osoby słabo uposażone. Zaznaczyła się kolosalna różnica</w:t>
      </w:r>
      <w:r w:rsidR="00AB0376">
        <w:rPr>
          <w:rFonts w:ascii="Tahoma" w:hAnsi="Tahoma" w:cs="Tahoma"/>
          <w:sz w:val="24"/>
          <w:szCs w:val="24"/>
        </w:rPr>
        <w:br/>
      </w:r>
      <w:r>
        <w:rPr>
          <w:rFonts w:ascii="Tahoma" w:hAnsi="Tahoma" w:cs="Tahoma"/>
          <w:sz w:val="24"/>
          <w:szCs w:val="24"/>
        </w:rPr>
        <w:t>w koszcie pozyskiwania gazu przez różne grupy obywateli tylko ze względu na sposób, w jaki przyłączeni są oni do sieci gazowej i czy korzystają ze zbiorowych czy indywidualnych urządzeń grzewczych</w:t>
      </w:r>
      <w:r w:rsidR="00780DBA">
        <w:rPr>
          <w:rFonts w:ascii="Tahoma" w:hAnsi="Tahoma" w:cs="Tahoma"/>
          <w:sz w:val="24"/>
          <w:szCs w:val="24"/>
        </w:rPr>
        <w:t>.</w:t>
      </w:r>
      <w:r w:rsidR="00AB3823">
        <w:rPr>
          <w:rFonts w:ascii="Tahoma" w:hAnsi="Tahoma" w:cs="Tahoma"/>
          <w:sz w:val="24"/>
          <w:szCs w:val="24"/>
        </w:rPr>
        <w:t xml:space="preserve"> </w:t>
      </w:r>
    </w:p>
    <w:p w14:paraId="2BB0DDA4" w14:textId="6458C3DE" w:rsidR="006B3C90" w:rsidRDefault="00B44D0D" w:rsidP="00BC3CC1">
      <w:pPr>
        <w:spacing w:line="360" w:lineRule="auto"/>
        <w:jc w:val="both"/>
        <w:rPr>
          <w:rFonts w:ascii="Tahoma" w:hAnsi="Tahoma" w:cs="Tahoma"/>
          <w:color w:val="222222"/>
          <w:sz w:val="24"/>
          <w:szCs w:val="24"/>
          <w:shd w:val="clear" w:color="auto" w:fill="FFFFFF"/>
        </w:rPr>
      </w:pPr>
      <w:r w:rsidRPr="00E15553">
        <w:rPr>
          <w:rFonts w:ascii="Tahoma" w:hAnsi="Tahoma" w:cs="Tahoma"/>
          <w:sz w:val="24"/>
          <w:szCs w:val="24"/>
        </w:rPr>
        <w:lastRenderedPageBreak/>
        <w:t>Zgodnie z proponowanym rozwiązaniem</w:t>
      </w:r>
      <w:r w:rsidR="00DE4F17">
        <w:rPr>
          <w:rFonts w:ascii="Tahoma" w:hAnsi="Tahoma" w:cs="Tahoma"/>
          <w:sz w:val="24"/>
          <w:szCs w:val="24"/>
        </w:rPr>
        <w:t xml:space="preserve"> </w:t>
      </w:r>
      <w:r w:rsidR="008A6F6F">
        <w:rPr>
          <w:rFonts w:ascii="Tahoma" w:hAnsi="Tahoma" w:cs="Tahoma"/>
          <w:sz w:val="24"/>
          <w:szCs w:val="24"/>
        </w:rPr>
        <w:t xml:space="preserve">cena </w:t>
      </w:r>
      <w:r w:rsidR="00DE4F17">
        <w:rPr>
          <w:rFonts w:ascii="Tahoma" w:hAnsi="Tahoma" w:cs="Tahoma"/>
          <w:sz w:val="24"/>
          <w:szCs w:val="24"/>
        </w:rPr>
        <w:t>zakup</w:t>
      </w:r>
      <w:r w:rsidR="008A6F6F">
        <w:rPr>
          <w:rFonts w:ascii="Tahoma" w:hAnsi="Tahoma" w:cs="Tahoma"/>
          <w:sz w:val="24"/>
          <w:szCs w:val="24"/>
        </w:rPr>
        <w:t xml:space="preserve">u </w:t>
      </w:r>
      <w:r w:rsidR="00DE4F17" w:rsidRPr="00B94B9E">
        <w:rPr>
          <w:rFonts w:ascii="Tahoma" w:hAnsi="Tahoma" w:cs="Tahoma"/>
          <w:sz w:val="24"/>
          <w:szCs w:val="24"/>
        </w:rPr>
        <w:t xml:space="preserve">paliw gazowych </w:t>
      </w:r>
      <w:r w:rsidR="00DE4F17" w:rsidRPr="00446B8A">
        <w:rPr>
          <w:rFonts w:ascii="Tahoma" w:hAnsi="Tahoma" w:cs="Tahoma"/>
          <w:color w:val="222222"/>
          <w:sz w:val="24"/>
          <w:szCs w:val="24"/>
          <w:shd w:val="clear" w:color="auto" w:fill="FFFFFF"/>
        </w:rPr>
        <w:t>przeznaczon</w:t>
      </w:r>
      <w:r w:rsidR="002871FD">
        <w:rPr>
          <w:rFonts w:ascii="Tahoma" w:hAnsi="Tahoma" w:cs="Tahoma"/>
          <w:color w:val="222222"/>
          <w:sz w:val="24"/>
          <w:szCs w:val="24"/>
          <w:shd w:val="clear" w:color="auto" w:fill="FFFFFF"/>
        </w:rPr>
        <w:t>ych</w:t>
      </w:r>
      <w:r w:rsidR="00DE4F17" w:rsidRPr="00446B8A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 dla celów bytowych mieszkańców budynków wielolokalowych, w tym przeznaczonego do lokalnej produkcji ciepła dostarczanego do lokali mieszkalnych znajdujących się</w:t>
      </w:r>
      <w:r w:rsidR="00AB0376">
        <w:rPr>
          <w:rFonts w:ascii="Tahoma" w:hAnsi="Tahoma" w:cs="Tahoma"/>
          <w:color w:val="222222"/>
          <w:sz w:val="24"/>
          <w:szCs w:val="24"/>
          <w:shd w:val="clear" w:color="auto" w:fill="FFFFFF"/>
        </w:rPr>
        <w:br/>
      </w:r>
      <w:r w:rsidR="00DE4F17" w:rsidRPr="00446B8A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w tych budynkach, </w:t>
      </w:r>
      <w:r w:rsidR="00F04A2F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będzie </w:t>
      </w:r>
      <w:r w:rsidR="006C426B">
        <w:rPr>
          <w:rFonts w:ascii="Tahoma" w:hAnsi="Tahoma" w:cs="Tahoma"/>
          <w:color w:val="222222"/>
          <w:sz w:val="24"/>
          <w:szCs w:val="24"/>
          <w:shd w:val="clear" w:color="auto" w:fill="FFFFFF"/>
        </w:rPr>
        <w:t>podlegała taryf</w:t>
      </w:r>
      <w:r w:rsidR="00527509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ie na paliwa gazowe </w:t>
      </w:r>
      <w:r w:rsidR="006B3C90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mającej zastosowanie </w:t>
      </w:r>
      <w:r w:rsidR="0039722F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do odbiorców </w:t>
      </w:r>
      <w:r w:rsidR="00353380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indywidulanych </w:t>
      </w:r>
      <w:r w:rsidR="0039722F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paliw gazowych </w:t>
      </w:r>
      <w:r w:rsidR="00353380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tj. </w:t>
      </w:r>
      <w:r w:rsidR="0039722F">
        <w:rPr>
          <w:rFonts w:ascii="Tahoma" w:hAnsi="Tahoma" w:cs="Tahoma"/>
          <w:color w:val="222222"/>
          <w:sz w:val="24"/>
          <w:szCs w:val="24"/>
          <w:shd w:val="clear" w:color="auto" w:fill="FFFFFF"/>
        </w:rPr>
        <w:t xml:space="preserve">gospodarstw domowych. </w:t>
      </w:r>
    </w:p>
    <w:p w14:paraId="55F78E85" w14:textId="20847F99" w:rsidR="00355CE0" w:rsidRDefault="00686F60" w:rsidP="00BC3CC1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Wejście w życie projektu nie będzie miało wpływu na budżet państwa.</w:t>
      </w:r>
    </w:p>
    <w:p w14:paraId="0A6CA45C" w14:textId="1C671BE7" w:rsidR="00355CE0" w:rsidRDefault="0056595B" w:rsidP="00BC3CC1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Wejście w życie projektu ustawy będzie miało </w:t>
      </w:r>
      <w:r w:rsidR="00971B1E">
        <w:rPr>
          <w:rFonts w:ascii="Tahoma" w:hAnsi="Tahoma" w:cs="Tahoma"/>
          <w:sz w:val="24"/>
          <w:szCs w:val="24"/>
        </w:rPr>
        <w:t xml:space="preserve">pozytywne skutki społeczne, </w:t>
      </w:r>
      <w:r w:rsidR="0012066E">
        <w:rPr>
          <w:rFonts w:ascii="Tahoma" w:hAnsi="Tahoma" w:cs="Tahoma"/>
          <w:sz w:val="24"/>
          <w:szCs w:val="24"/>
        </w:rPr>
        <w:t xml:space="preserve">ponieważ spowoduje </w:t>
      </w:r>
      <w:r w:rsidR="00271EFE">
        <w:rPr>
          <w:rFonts w:ascii="Tahoma" w:hAnsi="Tahoma" w:cs="Tahoma"/>
          <w:sz w:val="24"/>
          <w:szCs w:val="24"/>
        </w:rPr>
        <w:t xml:space="preserve">ujednolicenie </w:t>
      </w:r>
      <w:r w:rsidR="00986656">
        <w:rPr>
          <w:rFonts w:ascii="Tahoma" w:hAnsi="Tahoma" w:cs="Tahoma"/>
          <w:sz w:val="24"/>
          <w:szCs w:val="24"/>
        </w:rPr>
        <w:t>kosztów</w:t>
      </w:r>
      <w:r w:rsidR="00255F5D">
        <w:rPr>
          <w:rFonts w:ascii="Tahoma" w:hAnsi="Tahoma" w:cs="Tahoma"/>
          <w:sz w:val="24"/>
          <w:szCs w:val="24"/>
        </w:rPr>
        <w:t xml:space="preserve"> cen gazu przeznaczonego do zabezpieczenia podstawowych potrzeb bytowych </w:t>
      </w:r>
      <w:r w:rsidR="00FD1836">
        <w:rPr>
          <w:rFonts w:ascii="Tahoma" w:hAnsi="Tahoma" w:cs="Tahoma"/>
          <w:sz w:val="24"/>
          <w:szCs w:val="24"/>
        </w:rPr>
        <w:t xml:space="preserve">mieszkańców. </w:t>
      </w:r>
    </w:p>
    <w:p w14:paraId="3AA6300E" w14:textId="470B3376" w:rsidR="006A7CC5" w:rsidRDefault="006A7CC5" w:rsidP="00BC3CC1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Projekt należy potraktować jako pilny, ponieważ dotyczy poziomu życia setek tysięcy rodzin, który został zagrożony cenami gazu </w:t>
      </w:r>
      <w:r w:rsidR="00C671C4">
        <w:rPr>
          <w:rFonts w:ascii="Tahoma" w:hAnsi="Tahoma" w:cs="Tahoma"/>
          <w:sz w:val="24"/>
          <w:szCs w:val="24"/>
        </w:rPr>
        <w:t>stosowanymi od 1 stycznie 2022 r.</w:t>
      </w:r>
    </w:p>
    <w:p w14:paraId="72587613" w14:textId="21015C1C" w:rsidR="00355CE0" w:rsidRPr="00C3103E" w:rsidRDefault="0056595B" w:rsidP="00BC3CC1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</w:t>
      </w:r>
      <w:r w:rsidR="00B94B9E">
        <w:rPr>
          <w:rFonts w:ascii="Tahoma" w:hAnsi="Tahoma" w:cs="Tahoma"/>
          <w:sz w:val="24"/>
          <w:szCs w:val="24"/>
        </w:rPr>
        <w:t>roj</w:t>
      </w:r>
      <w:r>
        <w:rPr>
          <w:rFonts w:ascii="Tahoma" w:hAnsi="Tahoma" w:cs="Tahoma"/>
          <w:sz w:val="24"/>
          <w:szCs w:val="24"/>
        </w:rPr>
        <w:t xml:space="preserve">ekt jest zgodny z prawem Unii Europejskiej. </w:t>
      </w:r>
    </w:p>
    <w:sectPr w:rsidR="00355CE0" w:rsidRPr="00C310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116103" w14:textId="77777777" w:rsidR="005C45F0" w:rsidRDefault="005C45F0" w:rsidP="00640141">
      <w:pPr>
        <w:spacing w:after="0" w:line="240" w:lineRule="auto"/>
      </w:pPr>
      <w:r>
        <w:separator/>
      </w:r>
    </w:p>
  </w:endnote>
  <w:endnote w:type="continuationSeparator" w:id="0">
    <w:p w14:paraId="694C7611" w14:textId="77777777" w:rsidR="005C45F0" w:rsidRDefault="005C45F0" w:rsidP="00640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F22C74" w14:textId="77777777" w:rsidR="005C45F0" w:rsidRDefault="005C45F0" w:rsidP="00640141">
      <w:pPr>
        <w:spacing w:after="0" w:line="240" w:lineRule="auto"/>
      </w:pPr>
      <w:r>
        <w:separator/>
      </w:r>
    </w:p>
  </w:footnote>
  <w:footnote w:type="continuationSeparator" w:id="0">
    <w:p w14:paraId="44A431EE" w14:textId="77777777" w:rsidR="005C45F0" w:rsidRDefault="005C45F0" w:rsidP="006401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57856"/>
    <w:multiLevelType w:val="hybridMultilevel"/>
    <w:tmpl w:val="8EF012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94629"/>
    <w:multiLevelType w:val="hybridMultilevel"/>
    <w:tmpl w:val="3DEA9640"/>
    <w:lvl w:ilvl="0" w:tplc="F99C965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2DF53D4A"/>
    <w:multiLevelType w:val="hybridMultilevel"/>
    <w:tmpl w:val="42B8EC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F37577"/>
    <w:multiLevelType w:val="hybridMultilevel"/>
    <w:tmpl w:val="AFB424A2"/>
    <w:lvl w:ilvl="0" w:tplc="199A7A0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86E"/>
    <w:rsid w:val="00013E31"/>
    <w:rsid w:val="0001438E"/>
    <w:rsid w:val="00014616"/>
    <w:rsid w:val="0001614D"/>
    <w:rsid w:val="000425CC"/>
    <w:rsid w:val="00045DC3"/>
    <w:rsid w:val="00051D7D"/>
    <w:rsid w:val="00052C9A"/>
    <w:rsid w:val="00054A24"/>
    <w:rsid w:val="000802B7"/>
    <w:rsid w:val="00090C89"/>
    <w:rsid w:val="000A43C4"/>
    <w:rsid w:val="00113B4B"/>
    <w:rsid w:val="001153E2"/>
    <w:rsid w:val="0012066E"/>
    <w:rsid w:val="00127029"/>
    <w:rsid w:val="00133C72"/>
    <w:rsid w:val="00165988"/>
    <w:rsid w:val="00167096"/>
    <w:rsid w:val="00172A60"/>
    <w:rsid w:val="0019694B"/>
    <w:rsid w:val="001A5B12"/>
    <w:rsid w:val="001D5AB8"/>
    <w:rsid w:val="00211D51"/>
    <w:rsid w:val="00220E8C"/>
    <w:rsid w:val="00235399"/>
    <w:rsid w:val="00240970"/>
    <w:rsid w:val="0024124A"/>
    <w:rsid w:val="00250449"/>
    <w:rsid w:val="00255F5D"/>
    <w:rsid w:val="002655F0"/>
    <w:rsid w:val="00271EFE"/>
    <w:rsid w:val="00272EB1"/>
    <w:rsid w:val="002824BD"/>
    <w:rsid w:val="002871FD"/>
    <w:rsid w:val="002A44F6"/>
    <w:rsid w:val="002B65C0"/>
    <w:rsid w:val="002E461B"/>
    <w:rsid w:val="0030511E"/>
    <w:rsid w:val="003174D6"/>
    <w:rsid w:val="00317881"/>
    <w:rsid w:val="00323532"/>
    <w:rsid w:val="00345B97"/>
    <w:rsid w:val="00353380"/>
    <w:rsid w:val="003538B2"/>
    <w:rsid w:val="00355CE0"/>
    <w:rsid w:val="0039722F"/>
    <w:rsid w:val="003A1E79"/>
    <w:rsid w:val="003A3596"/>
    <w:rsid w:val="003A5B58"/>
    <w:rsid w:val="003E09FC"/>
    <w:rsid w:val="003F2972"/>
    <w:rsid w:val="004366E5"/>
    <w:rsid w:val="00446B8A"/>
    <w:rsid w:val="0045700F"/>
    <w:rsid w:val="00471BBB"/>
    <w:rsid w:val="00492B74"/>
    <w:rsid w:val="004A7DA6"/>
    <w:rsid w:val="004B0135"/>
    <w:rsid w:val="004B418B"/>
    <w:rsid w:val="004D082C"/>
    <w:rsid w:val="004D39AF"/>
    <w:rsid w:val="004D3ACB"/>
    <w:rsid w:val="004D5ECE"/>
    <w:rsid w:val="004F2E48"/>
    <w:rsid w:val="00527509"/>
    <w:rsid w:val="00533C46"/>
    <w:rsid w:val="005439A0"/>
    <w:rsid w:val="0056280F"/>
    <w:rsid w:val="00562EF9"/>
    <w:rsid w:val="0056595B"/>
    <w:rsid w:val="00567F04"/>
    <w:rsid w:val="00571D69"/>
    <w:rsid w:val="005A6BBF"/>
    <w:rsid w:val="005B2240"/>
    <w:rsid w:val="005C45F0"/>
    <w:rsid w:val="005C5D83"/>
    <w:rsid w:val="005D099C"/>
    <w:rsid w:val="005F373E"/>
    <w:rsid w:val="005F6DE4"/>
    <w:rsid w:val="00610C51"/>
    <w:rsid w:val="00616C7E"/>
    <w:rsid w:val="00640141"/>
    <w:rsid w:val="006422D3"/>
    <w:rsid w:val="00651DD6"/>
    <w:rsid w:val="0065238B"/>
    <w:rsid w:val="00686F60"/>
    <w:rsid w:val="006943E9"/>
    <w:rsid w:val="006A1917"/>
    <w:rsid w:val="006A7CC5"/>
    <w:rsid w:val="006B3C90"/>
    <w:rsid w:val="006C426B"/>
    <w:rsid w:val="006F73ED"/>
    <w:rsid w:val="0071458C"/>
    <w:rsid w:val="00715695"/>
    <w:rsid w:val="00751259"/>
    <w:rsid w:val="00760A63"/>
    <w:rsid w:val="00780696"/>
    <w:rsid w:val="00780DBA"/>
    <w:rsid w:val="007811DA"/>
    <w:rsid w:val="00792C21"/>
    <w:rsid w:val="007B3C6A"/>
    <w:rsid w:val="007C4417"/>
    <w:rsid w:val="007C51E8"/>
    <w:rsid w:val="008037C7"/>
    <w:rsid w:val="00815284"/>
    <w:rsid w:val="00824135"/>
    <w:rsid w:val="00835AE1"/>
    <w:rsid w:val="008A686E"/>
    <w:rsid w:val="008A6F6F"/>
    <w:rsid w:val="008A7B85"/>
    <w:rsid w:val="008A7D12"/>
    <w:rsid w:val="008F1FB5"/>
    <w:rsid w:val="009045A7"/>
    <w:rsid w:val="009130DC"/>
    <w:rsid w:val="00921D06"/>
    <w:rsid w:val="009272BF"/>
    <w:rsid w:val="009278E9"/>
    <w:rsid w:val="00971B1E"/>
    <w:rsid w:val="00986656"/>
    <w:rsid w:val="00986868"/>
    <w:rsid w:val="00993A29"/>
    <w:rsid w:val="00997ECD"/>
    <w:rsid w:val="009A12BE"/>
    <w:rsid w:val="009C41F8"/>
    <w:rsid w:val="009F044D"/>
    <w:rsid w:val="00A07AEC"/>
    <w:rsid w:val="00A16881"/>
    <w:rsid w:val="00A33681"/>
    <w:rsid w:val="00A60408"/>
    <w:rsid w:val="00A92F08"/>
    <w:rsid w:val="00AB0376"/>
    <w:rsid w:val="00AB1C15"/>
    <w:rsid w:val="00AB3823"/>
    <w:rsid w:val="00B263FA"/>
    <w:rsid w:val="00B276BF"/>
    <w:rsid w:val="00B44D0D"/>
    <w:rsid w:val="00B5397F"/>
    <w:rsid w:val="00B544A6"/>
    <w:rsid w:val="00B65B11"/>
    <w:rsid w:val="00B81087"/>
    <w:rsid w:val="00B92705"/>
    <w:rsid w:val="00B94B9E"/>
    <w:rsid w:val="00B95722"/>
    <w:rsid w:val="00BA2821"/>
    <w:rsid w:val="00BA7F03"/>
    <w:rsid w:val="00BB7DD0"/>
    <w:rsid w:val="00BC3548"/>
    <w:rsid w:val="00BC3CC1"/>
    <w:rsid w:val="00BD1734"/>
    <w:rsid w:val="00BE7DD2"/>
    <w:rsid w:val="00BF42DB"/>
    <w:rsid w:val="00C3103E"/>
    <w:rsid w:val="00C34F36"/>
    <w:rsid w:val="00C65CAE"/>
    <w:rsid w:val="00C671C4"/>
    <w:rsid w:val="00C7323C"/>
    <w:rsid w:val="00C83B30"/>
    <w:rsid w:val="00CA1106"/>
    <w:rsid w:val="00CA1C2E"/>
    <w:rsid w:val="00CB3A38"/>
    <w:rsid w:val="00CB54FA"/>
    <w:rsid w:val="00CF520F"/>
    <w:rsid w:val="00D16271"/>
    <w:rsid w:val="00D33AE0"/>
    <w:rsid w:val="00D75D75"/>
    <w:rsid w:val="00D85411"/>
    <w:rsid w:val="00DA572C"/>
    <w:rsid w:val="00DB756F"/>
    <w:rsid w:val="00DE4F17"/>
    <w:rsid w:val="00DE612F"/>
    <w:rsid w:val="00DF4706"/>
    <w:rsid w:val="00E13C40"/>
    <w:rsid w:val="00E15553"/>
    <w:rsid w:val="00E37879"/>
    <w:rsid w:val="00E6374B"/>
    <w:rsid w:val="00E77656"/>
    <w:rsid w:val="00E8103C"/>
    <w:rsid w:val="00E83719"/>
    <w:rsid w:val="00E936D3"/>
    <w:rsid w:val="00EC045A"/>
    <w:rsid w:val="00ED1E37"/>
    <w:rsid w:val="00EE546F"/>
    <w:rsid w:val="00EF2C84"/>
    <w:rsid w:val="00F04A2F"/>
    <w:rsid w:val="00F3302D"/>
    <w:rsid w:val="00F40146"/>
    <w:rsid w:val="00F57630"/>
    <w:rsid w:val="00FA1C02"/>
    <w:rsid w:val="00FA4843"/>
    <w:rsid w:val="00FB4009"/>
    <w:rsid w:val="00FB4287"/>
    <w:rsid w:val="00FD1836"/>
    <w:rsid w:val="00FE7072"/>
    <w:rsid w:val="00FF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AB8DC"/>
  <w15:chartTrackingRefBased/>
  <w15:docId w15:val="{D4EFFFC0-47DD-46CC-8764-0872DF288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686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401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4014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40141"/>
    <w:rPr>
      <w:vertAlign w:val="superscript"/>
    </w:rPr>
  </w:style>
  <w:style w:type="paragraph" w:styleId="Poprawka">
    <w:name w:val="Revision"/>
    <w:hidden/>
    <w:uiPriority w:val="99"/>
    <w:semiHidden/>
    <w:rsid w:val="00271E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2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66497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5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36984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9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96065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7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4201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02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8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276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69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523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7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1755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96325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0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686647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4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029909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6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Grzegorz Molesztak</cp:lastModifiedBy>
  <cp:revision>3</cp:revision>
  <cp:lastPrinted>2022-01-03T10:12:00Z</cp:lastPrinted>
  <dcterms:created xsi:type="dcterms:W3CDTF">2022-01-04T10:27:00Z</dcterms:created>
  <dcterms:modified xsi:type="dcterms:W3CDTF">2022-01-11T16:20:00Z</dcterms:modified>
</cp:coreProperties>
</file>