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FADEE" w14:textId="4657E0DB" w:rsidR="00ED4D18" w:rsidRPr="002F74D0" w:rsidRDefault="00ED4D18" w:rsidP="002F74D0">
      <w:pPr>
        <w:spacing w:before="120"/>
        <w:jc w:val="center"/>
        <w:rPr>
          <w:rStyle w:val="Ppogrubienie"/>
          <w:rFonts w:cs="Times New Roman"/>
          <w:b w:val="0"/>
          <w:szCs w:val="24"/>
        </w:rPr>
      </w:pPr>
      <w:bookmarkStart w:id="0" w:name="_GoBack"/>
      <w:bookmarkEnd w:id="0"/>
      <w:r w:rsidRPr="002F74D0">
        <w:rPr>
          <w:rStyle w:val="Ppogrubienie"/>
          <w:rFonts w:cs="Times New Roman"/>
          <w:b w:val="0"/>
          <w:szCs w:val="24"/>
        </w:rPr>
        <w:t>UZASADNIENIE</w:t>
      </w:r>
    </w:p>
    <w:p w14:paraId="17D075BB" w14:textId="5D6AD614" w:rsidR="00ED4D18" w:rsidRPr="000221D7" w:rsidRDefault="00ED4D18" w:rsidP="002F74D0">
      <w:pPr>
        <w:pStyle w:val="PKTpunkt"/>
        <w:spacing w:before="120"/>
        <w:rPr>
          <w:rStyle w:val="Ppogrubienie"/>
          <w:rFonts w:ascii="Times New Roman" w:hAnsi="Times New Roman" w:cs="Times New Roman"/>
          <w:bCs w:val="0"/>
          <w:szCs w:val="24"/>
        </w:rPr>
      </w:pPr>
      <w:r w:rsidRPr="002F74D0">
        <w:rPr>
          <w:rStyle w:val="Ppogrubienie"/>
          <w:rFonts w:ascii="Times New Roman" w:hAnsi="Times New Roman" w:cs="Times New Roman"/>
          <w:szCs w:val="24"/>
        </w:rPr>
        <w:t>I. Potrzeba i cel wydania</w:t>
      </w:r>
    </w:p>
    <w:p w14:paraId="33413A8F" w14:textId="4E91F70A"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Pierwszym z celów, jakie realizuje przedmiotowa nowelizacja</w:t>
      </w:r>
      <w:r w:rsidR="000221D7">
        <w:rPr>
          <w:rFonts w:ascii="Times New Roman" w:hAnsi="Times New Roman" w:cs="Times New Roman"/>
          <w:szCs w:val="24"/>
        </w:rPr>
        <w:t xml:space="preserve"> </w:t>
      </w:r>
      <w:r w:rsidR="002F74D0">
        <w:rPr>
          <w:rFonts w:ascii="Times New Roman" w:hAnsi="Times New Roman" w:cs="Times New Roman"/>
          <w:szCs w:val="24"/>
        </w:rPr>
        <w:t>ustawy o przygotowaniu i </w:t>
      </w:r>
      <w:r w:rsidRPr="002F74D0">
        <w:rPr>
          <w:rFonts w:ascii="Times New Roman" w:hAnsi="Times New Roman" w:cs="Times New Roman"/>
          <w:szCs w:val="24"/>
        </w:rPr>
        <w:t>realizacji strategicznych inwestycji w</w:t>
      </w:r>
      <w:r w:rsidR="000221D7">
        <w:rPr>
          <w:rFonts w:ascii="Times New Roman" w:hAnsi="Times New Roman" w:cs="Times New Roman"/>
          <w:szCs w:val="24"/>
        </w:rPr>
        <w:t xml:space="preserve"> </w:t>
      </w:r>
      <w:r w:rsidRPr="002F74D0">
        <w:rPr>
          <w:rFonts w:ascii="Times New Roman" w:hAnsi="Times New Roman" w:cs="Times New Roman"/>
          <w:szCs w:val="24"/>
        </w:rPr>
        <w:t>sektorze naftowym (zwan</w:t>
      </w:r>
      <w:r w:rsidR="000A0853">
        <w:rPr>
          <w:rFonts w:ascii="Times New Roman" w:hAnsi="Times New Roman" w:cs="Times New Roman"/>
          <w:szCs w:val="24"/>
        </w:rPr>
        <w:t>a</w:t>
      </w:r>
      <w:r w:rsidRPr="002F74D0">
        <w:rPr>
          <w:rFonts w:ascii="Times New Roman" w:hAnsi="Times New Roman" w:cs="Times New Roman"/>
          <w:szCs w:val="24"/>
        </w:rPr>
        <w:t xml:space="preserve"> dalej także jako: „specustawa naftowa” lub „projekt ustawy”), jest jej rozszerzenie o inwestycje związane z dostosowaniem Podziemnego Magazynu Ropy i Paliw Góra w Górze (gmina Inowrocław) (zwanego dalej także: „magazynem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lub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w:t>
      </w:r>
      <w:r w:rsidR="00366A44">
        <w:rPr>
          <w:rFonts w:ascii="Times New Roman" w:hAnsi="Times New Roman" w:cs="Times New Roman"/>
          <w:szCs w:val="24"/>
        </w:rPr>
        <w:t>”</w:t>
      </w:r>
      <w:r w:rsidRPr="002F74D0">
        <w:rPr>
          <w:rFonts w:ascii="Times New Roman" w:hAnsi="Times New Roman" w:cs="Times New Roman"/>
          <w:szCs w:val="24"/>
        </w:rPr>
        <w:t>) do wymagań dostępności fizycznej zgromadzonych w tym magazynie zapasów interwencyjnych (zapasy obowiązkowe i zapasy agencyjne), określonej w art. 3 ust. 12 ustawy z dnia 16 lutego 2007 r. o zapasach ropy naftowej, produktów naftowych i gazu ziemnego oraz zasadach postępowania w sytuacjach zagrożenia bezpieczeństwa paliwowego państwa i zakłóceń na rynku naftowym (Dz. U. z 2021 r. poz. 2249), zwanej dalej „ustawą o zapasach ropy naftowej”. Przedmiotowa ustawa stworzyła ramy prawne umożliwiające realizację polityki rządu w zakresie wzmocnienia bezpieczeństwa energetycznego Rzeczypospolitej Polskiej w zakresie inwestycji związanych z sektorem naftowym. Co do zasady rozszerzenie katalogu inwestycji będzie bazowało na tych samych ułatwieniach inwestycyjnych, które przewidziano w specustawie naftowej w</w:t>
      </w:r>
      <w:r w:rsidR="000221D7">
        <w:rPr>
          <w:rFonts w:ascii="Times New Roman" w:hAnsi="Times New Roman" w:cs="Times New Roman"/>
          <w:szCs w:val="24"/>
        </w:rPr>
        <w:t xml:space="preserve"> </w:t>
      </w:r>
      <w:r w:rsidRPr="002F74D0">
        <w:rPr>
          <w:rFonts w:ascii="Times New Roman" w:hAnsi="Times New Roman" w:cs="Times New Roman"/>
          <w:szCs w:val="24"/>
        </w:rPr>
        <w:t>pierwotnym brzmieniu w stosunku do inwestycji PERN, a także rozwiązaniach przewidzianych ustawą z dnia 20 kwietnia 2021 r. o zmianie ustaw regulujących przygotowanie i realizację kluczowych inwestycji w</w:t>
      </w:r>
      <w:r w:rsidR="000221D7">
        <w:rPr>
          <w:rFonts w:ascii="Times New Roman" w:hAnsi="Times New Roman" w:cs="Times New Roman"/>
          <w:szCs w:val="24"/>
        </w:rPr>
        <w:t xml:space="preserve"> </w:t>
      </w:r>
      <w:r w:rsidRPr="002F74D0">
        <w:rPr>
          <w:rFonts w:ascii="Times New Roman" w:hAnsi="Times New Roman" w:cs="Times New Roman"/>
          <w:szCs w:val="24"/>
        </w:rPr>
        <w:t xml:space="preserve">zakresie strategicznej infrastruktury energetycznej (Dz. U. z 2021 </w:t>
      </w:r>
      <w:r w:rsidR="00626D3E">
        <w:rPr>
          <w:rFonts w:ascii="Times New Roman" w:hAnsi="Times New Roman" w:cs="Times New Roman"/>
          <w:szCs w:val="24"/>
        </w:rPr>
        <w:t xml:space="preserve">r. </w:t>
      </w:r>
      <w:r w:rsidRPr="002F74D0">
        <w:rPr>
          <w:rFonts w:ascii="Times New Roman" w:hAnsi="Times New Roman" w:cs="Times New Roman"/>
          <w:szCs w:val="24"/>
        </w:rPr>
        <w:t>poz. 922), dla których to ustaw przeprowadzono test proporcjonalności. Trzeba podkreślić, że projektowane regulacje wprowadzają inwestycje, które są komplementarne dla inwestycji</w:t>
      </w:r>
      <w:r w:rsidR="002F74D0">
        <w:rPr>
          <w:rFonts w:ascii="Times New Roman" w:hAnsi="Times New Roman" w:cs="Times New Roman"/>
          <w:szCs w:val="24"/>
        </w:rPr>
        <w:t xml:space="preserve"> już uwzględnionych w ustawie w </w:t>
      </w:r>
      <w:r w:rsidRPr="002F74D0">
        <w:rPr>
          <w:rFonts w:ascii="Times New Roman" w:hAnsi="Times New Roman" w:cs="Times New Roman"/>
          <w:szCs w:val="24"/>
        </w:rPr>
        <w:t>zakresie zapewnienia sprawności strategicznej infrastruktury logistycznej dla ropy naftowej i paliw</w:t>
      </w:r>
      <w:r w:rsidR="001F39C3">
        <w:rPr>
          <w:rFonts w:ascii="Times New Roman" w:hAnsi="Times New Roman" w:cs="Times New Roman"/>
          <w:szCs w:val="24"/>
        </w:rPr>
        <w:t>,</w:t>
      </w:r>
      <w:r w:rsidRPr="002F74D0">
        <w:rPr>
          <w:rFonts w:ascii="Times New Roman" w:hAnsi="Times New Roman" w:cs="Times New Roman"/>
          <w:szCs w:val="24"/>
        </w:rPr>
        <w:t xml:space="preserve"> determinujące zapewnienie bezpieczeństwa energetycznego państwa. Celem specustawy jest więc przede wszystkim zapewnienie bezpieczeństwa energetycznego państwa przez inwestycje zmierzające do: </w:t>
      </w:r>
    </w:p>
    <w:p w14:paraId="68705F8E" w14:textId="42741FF4"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1)</w:t>
      </w:r>
      <w:r w:rsidR="009717E9">
        <w:rPr>
          <w:rFonts w:ascii="Times New Roman" w:hAnsi="Times New Roman" w:cs="Times New Roman"/>
          <w:szCs w:val="24"/>
        </w:rPr>
        <w:tab/>
      </w:r>
      <w:r w:rsidRPr="002F74D0">
        <w:rPr>
          <w:rFonts w:ascii="Times New Roman" w:hAnsi="Times New Roman" w:cs="Times New Roman"/>
          <w:szCs w:val="24"/>
        </w:rPr>
        <w:t>rozbudowy lub przebudowy bezzbiornikowych pojemności przeznaczonych do magazynowania ropy naftowej lub produktów naftowych wykorzystywanych jako magazyn w Górze wraz z infrastrukturą niezbędną do jego obsługi;</w:t>
      </w:r>
    </w:p>
    <w:p w14:paraId="3A0EC219"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2)</w:t>
      </w:r>
      <w:r w:rsidRPr="002F74D0">
        <w:rPr>
          <w:rFonts w:ascii="Times New Roman" w:hAnsi="Times New Roman" w:cs="Times New Roman"/>
          <w:szCs w:val="24"/>
        </w:rPr>
        <w:tab/>
        <w:t>budowy otworowej kopalni soli kamiennej na obszarze złoża soli kamiennej Lubień Kujawski wraz z infrastrukturą niezbędną do jej obsługi;</w:t>
      </w:r>
    </w:p>
    <w:p w14:paraId="6339080E"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lastRenderedPageBreak/>
        <w:t>3)</w:t>
      </w:r>
      <w:r w:rsidRPr="002F74D0">
        <w:rPr>
          <w:rFonts w:ascii="Times New Roman" w:hAnsi="Times New Roman" w:cs="Times New Roman"/>
          <w:szCs w:val="24"/>
        </w:rPr>
        <w:tab/>
        <w:t>budowy otworowej kopalni soli kamiennej na obszarze złoża soli kamiennej Damasławek wraz z infrastrukturą niezbędną do jej obsługi;</w:t>
      </w:r>
    </w:p>
    <w:p w14:paraId="1DF6EC29"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4)</w:t>
      </w:r>
      <w:r w:rsidRPr="002F74D0">
        <w:rPr>
          <w:rFonts w:ascii="Times New Roman" w:hAnsi="Times New Roman" w:cs="Times New Roman"/>
          <w:szCs w:val="24"/>
        </w:rPr>
        <w:tab/>
        <w:t>budowy bezzbiornikowego magazynu paliw gazowych na obszarze złoża soli kamiennej Damasławek wraz z infrastrukturą niezbędną do jego obsługi;</w:t>
      </w:r>
    </w:p>
    <w:p w14:paraId="24CEAA07"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5)</w:t>
      </w:r>
      <w:r w:rsidRPr="002F74D0">
        <w:rPr>
          <w:rFonts w:ascii="Times New Roman" w:hAnsi="Times New Roman" w:cs="Times New Roman"/>
          <w:szCs w:val="24"/>
        </w:rPr>
        <w:tab/>
        <w:t>budowy rurociągów wody technologicznej, rurociągów solanki i innych rurociągów lub gazociągów na potrzeby działania otworowej kopalni soli kamiennej lub bezzbiornikowego magazynu paliw gazowych na obszarze złoża soli kamiennej Damasławek;</w:t>
      </w:r>
    </w:p>
    <w:p w14:paraId="275D8CCF"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6)</w:t>
      </w:r>
      <w:r w:rsidRPr="002F74D0">
        <w:rPr>
          <w:rFonts w:ascii="Times New Roman" w:hAnsi="Times New Roman" w:cs="Times New Roman"/>
          <w:szCs w:val="24"/>
        </w:rPr>
        <w:tab/>
        <w:t>budowy rurociągów ropy naftowej, produktów naftowych, solanki lub wody technologicznej w celu zmiany trasy istniejących rurociągów ropy naftowej, produktów naftowych, solanki lub wody technologicznej albo ich odbudowy, rozbudowy, przebudowy, remontu, rozbiórki lub zmiany sposobu użytkowania wraz z infrastrukturą niezbędną do ich obsługi.</w:t>
      </w:r>
    </w:p>
    <w:p w14:paraId="4AEFB8DD" w14:textId="50BF18AB"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Obowiązujące przepisy specustawy naftowej uwzględniały w katalogu inwestycji rurociągowych inwestycje, które mają służyć możliwości wytłoczenia produktów naftowych z przedmiotowego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(np. łącznik paliwowy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w Góra – Wielowieś). Skoro uwzględnia się w pierwotnej wersji specustawy naftowej inwestycję, która jest jednym z elementów wyżej wymienionych głównych inwestycji, to tym bardziej jej zakresem powinny być objęte inwestycje, które gwarantują zabezpieczenie pojemności magazynowych pod ropę naftową i produkty naftowe i zabezpieczenie mediów niezbędnych do obsługi tego typu magazynu (solanka, woda technologiczna).</w:t>
      </w:r>
    </w:p>
    <w:p w14:paraId="6993E40E" w14:textId="710024C2"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Ponadto</w:t>
      </w:r>
      <w:r w:rsidR="0071386C">
        <w:rPr>
          <w:rFonts w:ascii="Times New Roman" w:hAnsi="Times New Roman" w:cs="Times New Roman"/>
          <w:szCs w:val="24"/>
        </w:rPr>
        <w:t>,</w:t>
      </w:r>
      <w:r w:rsidRPr="002F74D0">
        <w:rPr>
          <w:rFonts w:ascii="Times New Roman" w:hAnsi="Times New Roman" w:cs="Times New Roman"/>
          <w:szCs w:val="24"/>
        </w:rPr>
        <w:t xml:space="preserve"> mając na uwadze prognozowany znaczący wzrost krajowej konsumpcji gazu ziemnego, a także perspektywy wykorzystania wodoru jak nośnika energii, w celu umożliwienia operatorowi systemu przesyłowego gazowego – spółce Operator Gazociągów Przesyłowych GAZ-SYSTEM S.A. z siedzibą w Warszawie (zwanego dalej: „GAZ-SYSTEM”) realizacji jego ustawowych zadań, w projekcie ustawy przewidziano możliwość budowy nowych, wysokosprawnych (</w:t>
      </w:r>
      <w:proofErr w:type="spellStart"/>
      <w:r w:rsidRPr="002F74D0">
        <w:rPr>
          <w:rFonts w:ascii="Times New Roman" w:hAnsi="Times New Roman" w:cs="Times New Roman"/>
          <w:szCs w:val="24"/>
        </w:rPr>
        <w:t>kawernowych</w:t>
      </w:r>
      <w:proofErr w:type="spellEnd"/>
      <w:r w:rsidRPr="002F74D0">
        <w:rPr>
          <w:rFonts w:ascii="Times New Roman" w:hAnsi="Times New Roman" w:cs="Times New Roman"/>
          <w:szCs w:val="24"/>
        </w:rPr>
        <w:t>) pojemności magazynowych oraz związanych z nimi inwestycji, które ze względu na konieczność skoordynowania gospodarki solankowej mają nierozerwalny związek z sektorem naftowym.</w:t>
      </w:r>
    </w:p>
    <w:p w14:paraId="69A0CAE5" w14:textId="77C89187" w:rsidR="00ED4D18" w:rsidRPr="002F74D0" w:rsidRDefault="00994653" w:rsidP="002F74D0">
      <w:pPr>
        <w:pStyle w:val="ARTartustawynprozporzdzenia"/>
        <w:ind w:firstLine="0"/>
        <w:rPr>
          <w:rFonts w:ascii="Times New Roman" w:hAnsi="Times New Roman" w:cs="Times New Roman"/>
          <w:szCs w:val="24"/>
        </w:rPr>
      </w:pPr>
      <w:r>
        <w:rPr>
          <w:rFonts w:ascii="Times New Roman" w:hAnsi="Times New Roman" w:cs="Times New Roman"/>
          <w:szCs w:val="24"/>
        </w:rPr>
        <w:lastRenderedPageBreak/>
        <w:t>N</w:t>
      </w:r>
      <w:r w:rsidRPr="002F74D0">
        <w:rPr>
          <w:rFonts w:ascii="Times New Roman" w:hAnsi="Times New Roman" w:cs="Times New Roman"/>
          <w:szCs w:val="24"/>
        </w:rPr>
        <w:t xml:space="preserve">ależy </w:t>
      </w:r>
      <w:r>
        <w:rPr>
          <w:rFonts w:ascii="Times New Roman" w:hAnsi="Times New Roman" w:cs="Times New Roman"/>
          <w:szCs w:val="24"/>
        </w:rPr>
        <w:t>w</w:t>
      </w:r>
      <w:r w:rsidR="00ED4D18" w:rsidRPr="002F74D0">
        <w:rPr>
          <w:rFonts w:ascii="Times New Roman" w:hAnsi="Times New Roman" w:cs="Times New Roman"/>
          <w:szCs w:val="24"/>
        </w:rPr>
        <w:t xml:space="preserve">skazać, że w specustawie naftowej skorzystano z rozwiązań przewidzianych już w innych ustawach regulujących w specjalny sposób proces przygotowywania i realizacji inwestycji. Wprowadzając rozwiązania do przepisów tej ustawy, dokonano oceny ich przydatności w kontekście celu, jakim jest usprawnienie procesu inwestycyjnego i zapewnienie bezpieczeństwa energetycznego Rzeczypospolitej Polskiej. Zmiany rozwiązań przewidzianych w niniejszej ustawie wynikają z konieczności ich dostosowania do specyfiki strategicznych inwestycji w zakresie infrastruktury naftowej lub zdiagnozowania problemów ze stosowaniem tych rozwiązań (w szczególności w zakresie regulacji dotyczącej kluczowego obszaru, tj. Prawa geologicznego i górniczego). Dokonano analizy dotychczasowych rozwiązań ujętych w specustawie naftowej, a także wprowadzono modyfikację tych rozwiązań lub nowe regulacje, pod kątem specyfiki inwestycji wprowadzanych niniejszym projektem. </w:t>
      </w:r>
      <w:r w:rsidR="00DC2132">
        <w:rPr>
          <w:rFonts w:ascii="Times New Roman" w:hAnsi="Times New Roman" w:cs="Times New Roman"/>
          <w:szCs w:val="24"/>
        </w:rPr>
        <w:t>N</w:t>
      </w:r>
      <w:r w:rsidR="00ED4D18" w:rsidRPr="002F74D0">
        <w:rPr>
          <w:rFonts w:ascii="Times New Roman" w:hAnsi="Times New Roman" w:cs="Times New Roman"/>
          <w:szCs w:val="24"/>
        </w:rPr>
        <w:t xml:space="preserve">ależy </w:t>
      </w:r>
      <w:r w:rsidR="00DC2132">
        <w:rPr>
          <w:rFonts w:ascii="Times New Roman" w:hAnsi="Times New Roman" w:cs="Times New Roman"/>
          <w:szCs w:val="24"/>
        </w:rPr>
        <w:t>p</w:t>
      </w:r>
      <w:r w:rsidR="00DC2132" w:rsidRPr="002F74D0">
        <w:rPr>
          <w:rFonts w:ascii="Times New Roman" w:hAnsi="Times New Roman" w:cs="Times New Roman"/>
          <w:szCs w:val="24"/>
        </w:rPr>
        <w:t xml:space="preserve">odkreślić </w:t>
      </w:r>
      <w:r w:rsidR="00ED4D18" w:rsidRPr="002F74D0">
        <w:rPr>
          <w:rFonts w:ascii="Times New Roman" w:hAnsi="Times New Roman" w:cs="Times New Roman"/>
          <w:szCs w:val="24"/>
        </w:rPr>
        <w:t>także, że przy instytucjach, które zapewniają sprawne realizacje i przygotowanie strategicznych inwestycji w sektorze naftowym i jednocześnie ingerują w prawa i wolności innych podmiotów</w:t>
      </w:r>
      <w:r w:rsidR="000B42E9">
        <w:rPr>
          <w:rFonts w:ascii="Times New Roman" w:hAnsi="Times New Roman" w:cs="Times New Roman"/>
          <w:szCs w:val="24"/>
        </w:rPr>
        <w:t>,</w:t>
      </w:r>
      <w:r w:rsidR="00ED4D18" w:rsidRPr="002F74D0">
        <w:rPr>
          <w:rFonts w:ascii="Times New Roman" w:hAnsi="Times New Roman" w:cs="Times New Roman"/>
          <w:szCs w:val="24"/>
        </w:rPr>
        <w:t xml:space="preserve"> zdecydowano się na ich wprowadzenie jedynie w zakresie niezbędnym do realizacji celu. W przypadku gdy w specustawie naftowej przewidziano ingerencję w prawa lub wolność innych podmiotów, jasno określono, na czym ta ingerencja może polegać, wprowadzono mechanizmy limitujące jej zakres (zastosowanie odpowiednich włączeń ujętych w projekcie), a także zapewniono odpowiednią rekompensatę (w najszerszym możliwym zakresie w przypadku inwestycji ujętych w projekcie). Wprowadzone rozwiązania są konieczne, adekwatne i proporcjonalne do realizacji celu</w:t>
      </w:r>
      <w:r w:rsidR="000B42E9">
        <w:rPr>
          <w:rFonts w:ascii="Times New Roman" w:hAnsi="Times New Roman" w:cs="Times New Roman"/>
          <w:szCs w:val="24"/>
        </w:rPr>
        <w:t>,</w:t>
      </w:r>
      <w:r w:rsidR="00ED4D18" w:rsidRPr="002F74D0">
        <w:rPr>
          <w:rFonts w:ascii="Times New Roman" w:hAnsi="Times New Roman" w:cs="Times New Roman"/>
          <w:szCs w:val="24"/>
        </w:rPr>
        <w:t xml:space="preserve"> jakiemu mają służyć – bezpieczeństwa energetycznego państwa. </w:t>
      </w:r>
      <w:r w:rsidR="000B42E9">
        <w:rPr>
          <w:rFonts w:ascii="Times New Roman" w:hAnsi="Times New Roman" w:cs="Times New Roman"/>
          <w:szCs w:val="24"/>
        </w:rPr>
        <w:t>N</w:t>
      </w:r>
      <w:r w:rsidR="00ED4D18" w:rsidRPr="002F74D0">
        <w:rPr>
          <w:rFonts w:ascii="Times New Roman" w:hAnsi="Times New Roman" w:cs="Times New Roman"/>
          <w:szCs w:val="24"/>
        </w:rPr>
        <w:t>ależy</w:t>
      </w:r>
      <w:r w:rsidR="000B42E9" w:rsidRPr="000B42E9">
        <w:rPr>
          <w:rFonts w:ascii="Times New Roman" w:hAnsi="Times New Roman" w:cs="Times New Roman"/>
          <w:szCs w:val="24"/>
        </w:rPr>
        <w:t xml:space="preserve"> </w:t>
      </w:r>
      <w:r w:rsidR="000B42E9">
        <w:rPr>
          <w:rFonts w:ascii="Times New Roman" w:hAnsi="Times New Roman" w:cs="Times New Roman"/>
          <w:szCs w:val="24"/>
        </w:rPr>
        <w:t>z</w:t>
      </w:r>
      <w:r w:rsidR="000B42E9" w:rsidRPr="002F74D0">
        <w:rPr>
          <w:rFonts w:ascii="Times New Roman" w:hAnsi="Times New Roman" w:cs="Times New Roman"/>
          <w:szCs w:val="24"/>
        </w:rPr>
        <w:t>auważyć</w:t>
      </w:r>
      <w:r w:rsidR="00ED4D18" w:rsidRPr="002F74D0">
        <w:rPr>
          <w:rFonts w:ascii="Times New Roman" w:hAnsi="Times New Roman" w:cs="Times New Roman"/>
          <w:szCs w:val="24"/>
        </w:rPr>
        <w:t xml:space="preserve">, że nie istnieją na ten moment alternatywne rozwiązania pozwalające na osiągnięcie wyżej wymienionego celu, a projektowane regulacje nie stanowią nadmiernego ograniczenia konstytucyjnie zagwarantowanych praw, takich jak prawo własności albo inne prawa majątkowe (art. 21 ust. 1 oraz art. 64 ust. 1 Konstytucji RP). Szczegółowe uzasadnienie odnoszące się do konieczności, adekwatności i proporcjonalności poszczególnych rozwiązań </w:t>
      </w:r>
      <w:r w:rsidR="00D70D65" w:rsidRPr="002F74D0">
        <w:rPr>
          <w:rFonts w:ascii="Times New Roman" w:hAnsi="Times New Roman" w:cs="Times New Roman"/>
          <w:szCs w:val="24"/>
        </w:rPr>
        <w:t xml:space="preserve">zostało </w:t>
      </w:r>
      <w:r w:rsidR="00ED4D18" w:rsidRPr="002F74D0">
        <w:rPr>
          <w:rFonts w:ascii="Times New Roman" w:hAnsi="Times New Roman" w:cs="Times New Roman"/>
          <w:szCs w:val="24"/>
        </w:rPr>
        <w:t xml:space="preserve">wskazane przy przepisach regulujących dane rozwiązanie. Ponadto </w:t>
      </w:r>
      <w:r w:rsidR="005251AC" w:rsidRPr="002F74D0">
        <w:rPr>
          <w:rFonts w:ascii="Times New Roman" w:hAnsi="Times New Roman" w:cs="Times New Roman"/>
          <w:szCs w:val="24"/>
        </w:rPr>
        <w:t xml:space="preserve">należy </w:t>
      </w:r>
      <w:r w:rsidR="00ED4D18" w:rsidRPr="002F74D0">
        <w:rPr>
          <w:rFonts w:ascii="Times New Roman" w:hAnsi="Times New Roman" w:cs="Times New Roman"/>
          <w:szCs w:val="24"/>
        </w:rPr>
        <w:t xml:space="preserve">podkreślić, że wzrost legalnego obrotu paliwami, który jest bezpośrednim wynikiem prowadzonej z sukcesami walki z „szarą strefą”, prognozowany wzrost konsumpcji gazu ziemnego, a także długofalowe plany rozwoju rynku paliwa wodorowego w Polsce oraz postępujący proces dywersyfikacji dostaw ropy naftowej do Polski oznaczają zwiększone zapotrzebowanie na pojemności magazynowe, co przekłada </w:t>
      </w:r>
      <w:r w:rsidR="00ED4D18" w:rsidRPr="002F74D0">
        <w:rPr>
          <w:rFonts w:ascii="Times New Roman" w:hAnsi="Times New Roman" w:cs="Times New Roman"/>
          <w:szCs w:val="24"/>
        </w:rPr>
        <w:lastRenderedPageBreak/>
        <w:t>się na realne problemy z pozyskaniem pojemności magazynowych pod zapasy interwencyjne ropy naftowej i paliw wymagane do utworzenia przez producentów i handlowców oraz Rządową Agencję Rezerw Strategicznych (RARS), a także pod zapasy gazu ziemnego oraz realizację zadań operatorskich przez GAZ</w:t>
      </w:r>
      <w:r w:rsidR="00D70D65">
        <w:rPr>
          <w:rFonts w:ascii="Times New Roman" w:hAnsi="Times New Roman" w:cs="Times New Roman"/>
          <w:szCs w:val="24"/>
        </w:rPr>
        <w:t>-</w:t>
      </w:r>
      <w:r w:rsidR="00ED4D18" w:rsidRPr="002F74D0">
        <w:rPr>
          <w:rFonts w:ascii="Times New Roman" w:hAnsi="Times New Roman" w:cs="Times New Roman"/>
          <w:szCs w:val="24"/>
        </w:rPr>
        <w:t xml:space="preserve">SYSTEM. </w:t>
      </w:r>
    </w:p>
    <w:p w14:paraId="58949CEA" w14:textId="17B7C74C"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Dostępność powierzchni magazynowych na terytorium RP jest kluczowym warunkiem utrzymywania wymaganej ilości zapasów interwencyjnych ropy naftowej i paliw, będących głównym instrumentem w strukturze systemu bezpieczeństwa zaopatrzenia w ropę naftową i paliwa na wypadek kryzysu. W szczególności kryzys związany z dostawami zanieczyszczonej ropy naftowej z Federacji Rosyjskiej w 2019 r. pokazał kluczową rolę, jaką pełnił w tym kryzysie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w Górze łącznie z infrastrukturą rurociągową PERN S.A. Jest to jedyny w Polsce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magazyn należący do PKN ORLEN S.A. na węglowodory ciekłe o łącznej pojemności ok. 6,1 mln m³ (w tym na ropę naftową ok. 4,2 mln m³ i ok. 1,9 mln m³ na paliwa). Pojemności tego magazynu stanowią ok. 51% krajowych pojemności na ropę naftową i 34% pojemności na paliwa ciekłe. Sama technologia magazynowania bezzbiornikowego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stanowi bardziej ekonomiczną i bezpieczną dla środowiska naturalnego niż tradycyjne magazynowanie zbiornikowe i jest w sposób naturalny predestynowana do długoterminowego magazynowania węglowodorów ciekłych stanowiących zapasy interwencyjne.</w:t>
      </w:r>
    </w:p>
    <w:p w14:paraId="5854A229"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Obecnie dostępne pojemności magazynowe pokrywały potrzeby sektora naftowego do końca 2018 r. Zarówno Rządowa Agencja Rezerw Strategicznych, jak i Spółki sektora naftowego zgłaszały problemy z uzyskaniem usługi magazynowej na rok 2019 i lata kolejne. Dodatkowym czynnikiem wpływającym na ograniczony dostęp do pojemności magazynowych były, utrzymujące się w latach 2016 i 2017, niskie notowania ropy naftowej oraz produktów naftowych, które spowodowały nagromadzenie dużych ilości zapasów handlowych (spekulacyjnych) w systemie magazynowym. </w:t>
      </w:r>
    </w:p>
    <w:p w14:paraId="41DDE0FA"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Rosnące zapotrzebowanie na pojemności magazynowe przeznaczone na ropę naftową i produkty naftowe potwierdza także opracowana przez Prezesa Rządowej Agencji Rezerw Strategicznych „Prognoza krajowego zapotrzebowania na paliwa oraz na pojemność magazynową dla zapasów interwencyjnych i obrotowych paliw i ropy naftowej na okres 10 lat (na lata 2020–2029)”, która w tym okresie zakłada dalszy wzrost poziomu konsumpcji paliw ciekłych w Polsce średnio o 3% r/r w perspektywie do 2023 r., a w </w:t>
      </w:r>
      <w:r w:rsidRPr="002F74D0">
        <w:rPr>
          <w:rFonts w:ascii="Times New Roman" w:hAnsi="Times New Roman" w:cs="Times New Roman"/>
          <w:szCs w:val="24"/>
        </w:rPr>
        <w:lastRenderedPageBreak/>
        <w:t>okresie od 2024 r. do 2027 r. od 2% do 1% w relacji r/r, co w sposób naturalny przełoży się na wzrost zapotrzebowania na pojemności magazynowe pod zapasy interwencyjne oraz handlowe. Według prognozy RARS szacunkowa wielkość zapotrzebowania na pojemności magazynowane pod zapasy interwencyjne paliw i ropy naftowej w latach 2020–2029 wzrośnie ogółem z ok. 9,3 mln m³ do 10,7 mln m³, tj. o ok. 15% (1,4 mln m³). Uwzględniając także rosnące zapotrzebowanie na pojemności przeznaczone na zapasy operacyjne, szacuje się, że w latach 2020–2029 nastąpi całkowity wzrost zapotrzebowania na pojemności magazynowe z 14,2 mln m³ w 2020 r. do 15,9 mln m³ w 2029 r., tj. o ok. 12% (1,7 mln m³).</w:t>
      </w:r>
    </w:p>
    <w:p w14:paraId="780CA7BD" w14:textId="7FECFDC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Wzrost zapotrzebowania na usługę magazynowania ropy naftowej i paliw wymaga podjęcia działań mających na celu zapewnienie odpowiedniej rozbudowy powierzchni magazynowych. Przewiduje się, że efekt podejmowanych działań inwestycyjnych mających na celu rozbudowę infrastruktury magazynowej z uwagi na charakter tego rodzaju inwestycji będzie odczuwalny dopiero w</w:t>
      </w:r>
      <w:r w:rsidR="000221D7">
        <w:rPr>
          <w:rFonts w:ascii="Times New Roman" w:hAnsi="Times New Roman" w:cs="Times New Roman"/>
          <w:szCs w:val="24"/>
        </w:rPr>
        <w:t xml:space="preserve"> </w:t>
      </w:r>
      <w:r w:rsidRPr="002F74D0">
        <w:rPr>
          <w:rFonts w:ascii="Times New Roman" w:hAnsi="Times New Roman" w:cs="Times New Roman"/>
          <w:szCs w:val="24"/>
        </w:rPr>
        <w:t>roku 2020 i kolejnych latach – w postaci zwiększenia dostępnych pojemności magazynowych.</w:t>
      </w:r>
    </w:p>
    <w:p w14:paraId="188C0475" w14:textId="6483E71F"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Ze względu na specyfikę bezzbiornikowego magazynowania węglowodorów ciekłych i jego całkowitą odmienność względem magazynowania zbiornikowego jedynym niedostosowanym w pełnym zakresie posiadanych pojemności nominalnych magazynem do wymagań ustawowych określających dostępność fizyczną zgromadzonych w magazynie zapasów interwencyjnych jest obecnie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w:t>
      </w:r>
    </w:p>
    <w:p w14:paraId="4E93CDA7" w14:textId="33466C80"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Właściciel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w ramach prowadzonego wieloletniego procesu inwestycyjnego, dostosował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do możliwości technicznych w zakresie szybkości wytłoczenia zapasów interwencyjnych</w:t>
      </w:r>
      <w:r w:rsidR="005251AC">
        <w:rPr>
          <w:rFonts w:ascii="Times New Roman" w:hAnsi="Times New Roman" w:cs="Times New Roman"/>
          <w:szCs w:val="24"/>
        </w:rPr>
        <w:t>,</w:t>
      </w:r>
      <w:r w:rsidRPr="002F74D0">
        <w:rPr>
          <w:rFonts w:ascii="Times New Roman" w:hAnsi="Times New Roman" w:cs="Times New Roman"/>
          <w:szCs w:val="24"/>
        </w:rPr>
        <w:t xml:space="preserve"> spełniając obecny wymóg ustawowy, tj. możliwości wytłoczenia zapasów ropy naftowej w okresie 150 dni i paliw w okresie 90 dni. W praktyce oznacza to, że w magazynie o łącznej pojemności nominalnej ok. 6 mln m³ </w:t>
      </w:r>
      <w:r w:rsidR="005251AC" w:rsidRPr="002F74D0">
        <w:rPr>
          <w:rFonts w:ascii="Times New Roman" w:hAnsi="Times New Roman" w:cs="Times New Roman"/>
          <w:szCs w:val="24"/>
        </w:rPr>
        <w:t xml:space="preserve">mogło być </w:t>
      </w:r>
      <w:r w:rsidRPr="002F74D0">
        <w:rPr>
          <w:rFonts w:ascii="Times New Roman" w:hAnsi="Times New Roman" w:cs="Times New Roman"/>
          <w:szCs w:val="24"/>
        </w:rPr>
        <w:t xml:space="preserve">utrzymywane w 2019 r. ok. 4,5 mln m³ zapasów interwencyjnych, a w pozostałym zakresie (o obniżonej sprawności wytłaczania) tylko zapasy operacyjne (handlowe). </w:t>
      </w:r>
    </w:p>
    <w:p w14:paraId="17454EA5" w14:textId="2FBD34FB"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związku z powyższym oraz rosnącym deficytem pojemności magazynowych przeznaczonych na węglowodory ciekłe w połowie 2019 r. podjęto decyzję o nowelizacji przepisów ustawy o zapasach ropy naftowej, której celem było zapobieżenie sytuacji niedoboru pojemności magazynowych dla podmiotów prowadzących działalność na </w:t>
      </w:r>
      <w:r w:rsidRPr="002F74D0">
        <w:rPr>
          <w:rFonts w:ascii="Times New Roman" w:hAnsi="Times New Roman" w:cs="Times New Roman"/>
          <w:szCs w:val="24"/>
        </w:rPr>
        <w:lastRenderedPageBreak/>
        <w:t xml:space="preserve">rynku naftowym i wsparcie procesu inwestycyjnego dotyczącego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aby umożliwić wykorzystywanie w okresie przejściowym, tj. do 2029 r., cały jego potencjał magazynowy do utrzymywania zapasów interwencyjnych.</w:t>
      </w:r>
      <w:r w:rsidR="000221D7">
        <w:rPr>
          <w:rFonts w:ascii="Times New Roman" w:hAnsi="Times New Roman" w:cs="Times New Roman"/>
          <w:szCs w:val="24"/>
        </w:rPr>
        <w:t xml:space="preserve"> </w:t>
      </w:r>
    </w:p>
    <w:p w14:paraId="58E6D4A6"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Mając na uwadze fundamentalne odrębności w zakresie funkcjonowania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i magazynów zbiornikowych oraz istotne bariery inwestycyjne identyfikowane w procesie jego modernizacji, właściciel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uzyskał wydłużenie o kolejne lata terminów przejściowych dla osiągnięcia docelowych parametrów technicznych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zapewniających od 2029 r. dostępność fizyczną zgromadzonych w nim zapasów interwencyjnych w czasie 90 dni dla ropy i paliw i możliwość wykorzystywania pod zapasy interwencyjne w tym okresie przejściowym ok. 1,5 mln m³ pojemności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w obniżonej sprawności wytłaczania. </w:t>
      </w:r>
    </w:p>
    <w:p w14:paraId="2A78D3CD" w14:textId="08A649CB"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Skomplikowany, wysoce kapitałochłonny, wieloletni program inwestycyjny dotyczący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który w horyzoncie czasowym od 2029 r. ma zapewnić możliwość wykorzystywania całej pojemności nominalnej tego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wymaga istotnego wsparcia legislacyjnego przez objęcie tych inwestycji ułatwieniami inwestycyjnymi, jakie zostały wprowadzone niniejszą ustawą</w:t>
      </w:r>
      <w:r w:rsidR="00DE30B5">
        <w:rPr>
          <w:rFonts w:ascii="Times New Roman" w:hAnsi="Times New Roman" w:cs="Times New Roman"/>
          <w:szCs w:val="24"/>
        </w:rPr>
        <w:t>,</w:t>
      </w:r>
      <w:r w:rsidRPr="002F74D0">
        <w:rPr>
          <w:rFonts w:ascii="Times New Roman" w:hAnsi="Times New Roman" w:cs="Times New Roman"/>
          <w:szCs w:val="24"/>
        </w:rPr>
        <w:t xml:space="preserve"> i pierwotnie przeznaczonych wyłącznie dla inwestycji rurociągowych PERN S.A. Strategiczne znaczenie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i jego wykorzystanie do: (1) magazynowania zapasów obowiązkowych oraz agencyjnych, (2) bieżącego zarządzania i optymalizowania pracy rafinerii PKN ORLEN S.A. w Płocku oraz, jak pokazał kryzys z połowy 2019 r. dotyczący dostaw zanieczyszczonej ropy z kierunku wschodniego, (3) bilansowania (buforowania) całego systemu logistycznego ropy naftowej PERN S.A. – w pełni uzasadniają uznanie procesu dostosowania tego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do wymagań ustawy o zapasach ropy naftowej w zakresie dostępności fizycznej zapasów interwencyjnych jako strategiczną inwestycję w sektorze naftowym, która powinna być objęta materią nowelizowanej ustawy. Osiągnięcie zdolności wytłaczania paliw i ropy z kawern solnych dla całej pojemności magazynu przy równoległym zachowaniu ciągłości dostaw solanki handlowej zabezpieczającej ciągłość produkcji przez zakłady chemiczne może nastąpić tylko i wyłącznie po zrealizowaniu budowy kolejnej kopalni soli na złożu Lubień Kujawski w ramach realizowanego obecnie projektu budowy takiej infrastruktury wydobywczej w ramach Grupy Kapitałowej ORLEN. Nowy, trzeci zakład górniczy wraz z kompleksową infrastrukturą liniową, tj. ujęciem wody, rurociągami wody </w:t>
      </w:r>
      <w:r w:rsidRPr="002F74D0">
        <w:rPr>
          <w:rFonts w:ascii="Times New Roman" w:hAnsi="Times New Roman" w:cs="Times New Roman"/>
          <w:szCs w:val="24"/>
        </w:rPr>
        <w:lastRenderedPageBreak/>
        <w:t>technologicznej i rurociągami solanki</w:t>
      </w:r>
      <w:r w:rsidR="00DE30B5">
        <w:rPr>
          <w:rFonts w:ascii="Times New Roman" w:hAnsi="Times New Roman" w:cs="Times New Roman"/>
          <w:szCs w:val="24"/>
        </w:rPr>
        <w:t>,</w:t>
      </w:r>
      <w:r w:rsidRPr="002F74D0">
        <w:rPr>
          <w:rFonts w:ascii="Times New Roman" w:hAnsi="Times New Roman" w:cs="Times New Roman"/>
          <w:szCs w:val="24"/>
        </w:rPr>
        <w:t xml:space="preserve"> będzie w stanie wyprodukować wolumeny solanki na potrzeby wytłoczeń interwencyjnych z całej pojemności magazynu podziemnego, przy równoczesnym zabezpieczeniu ciągłości dostaw solanki na potrzeby przemysłu chemicznego. Przyspieszenie prac związanych z realizacją tej inwestycji jest konieczne dla funkcjonowania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z uwagi na przewidywany spadek dostępności frontów solankowych w kopalniach soli IKS Solino S.A. (wyczerpywanie się dostępnych złóż, z których można produkować solankę) już od roku 2025, co wynika z wykonanych badań i ekspertyz złóż wykonanych na złożu Mogilno i Góra. </w:t>
      </w:r>
    </w:p>
    <w:p w14:paraId="78621DBC" w14:textId="6E69A498"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Ponadto czas budowy około 150 km rurociągów koniecznych do zapewnienia dostępności magazynu i zgromadzonych tam ropy i paliw wynosi obiektywnie około 2,5–3 lata, co przy skomplikowanych procedurach prawnych może negatywnie wpłynąć na skuteczne jego przeprowadzenie w wymaganym terminie. Dotychczasowe doświadczenia w budowie liniowej infrastruktury naftowej (rurociągi ropy naftowej i paliw ciekłych) wskazują, że w Polsce proces uzyskiwania dostępu do nieruchomości pod budowę takiej strategicznej infrastruktury jest determinowany między innymi niejasnym lub nieuregulowanym prawnie statusem tych nieruchomości, co może ww. uśrednione okresy potrzebne do realizacji tych inwestycji wielokrotnie wydłużać, generując duże opóźnienia w ich realizacji lub nawet skutecznie blokować ich realizację oraz skutkować powstawaniem dodatkowych nieuzasadnionych kosztów po stronie inwestorów. W kontekście harmonogramu dostosowania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do wymagań ustawy o zapasach ropy naftowej </w:t>
      </w:r>
      <w:r w:rsidR="00DE30B5" w:rsidRPr="002F74D0">
        <w:rPr>
          <w:rFonts w:ascii="Times New Roman" w:hAnsi="Times New Roman" w:cs="Times New Roman"/>
          <w:szCs w:val="24"/>
        </w:rPr>
        <w:t xml:space="preserve">jest </w:t>
      </w:r>
      <w:r w:rsidRPr="002F74D0">
        <w:rPr>
          <w:rFonts w:ascii="Times New Roman" w:hAnsi="Times New Roman" w:cs="Times New Roman"/>
          <w:szCs w:val="24"/>
        </w:rPr>
        <w:t xml:space="preserve">konieczne więc optymalne ukształtowanie otoczenia regulacyjnego dla tego zespołu inwestycji tak, aby zostały one zrealizowane bez zmaterializowania się opisanych </w:t>
      </w:r>
      <w:proofErr w:type="spellStart"/>
      <w:r w:rsidRPr="002F74D0">
        <w:rPr>
          <w:rFonts w:ascii="Times New Roman" w:hAnsi="Times New Roman" w:cs="Times New Roman"/>
          <w:szCs w:val="24"/>
        </w:rPr>
        <w:t>ryzyk</w:t>
      </w:r>
      <w:proofErr w:type="spellEnd"/>
      <w:r w:rsidRPr="002F74D0">
        <w:rPr>
          <w:rFonts w:ascii="Times New Roman" w:hAnsi="Times New Roman" w:cs="Times New Roman"/>
          <w:szCs w:val="24"/>
        </w:rPr>
        <w:t xml:space="preserve"> inwestycyjnych. </w:t>
      </w:r>
    </w:p>
    <w:p w14:paraId="671BB353" w14:textId="0A75D083"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Objęcie wskazanych w ustawie inwestycji szczególnym reżimem prawnym jest istotne ze względu na fakt, że właściciel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usiłując dostosować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do wymagań ustawy o zapasach ropy naftowej, napotyka na niezależne od niego bariery inwestycyjne, które wpływają istotnie na harmonogram inwestycyjny oraz koszty realizacji inwestycji. Jest to szczególnie zauważalne przy inwestycjach liniowych (np. rurociągi produktów naftowych, rurociągi solankowe, wody technologicznej) czy inwestycjach dotyczących otworów eksploatacyjnych i</w:t>
      </w:r>
      <w:r w:rsidR="000221D7">
        <w:rPr>
          <w:rFonts w:ascii="Times New Roman" w:hAnsi="Times New Roman" w:cs="Times New Roman"/>
          <w:szCs w:val="24"/>
        </w:rPr>
        <w:t xml:space="preserve"> </w:t>
      </w:r>
      <w:r w:rsidRPr="002F74D0">
        <w:rPr>
          <w:rFonts w:ascii="Times New Roman" w:hAnsi="Times New Roman" w:cs="Times New Roman"/>
          <w:szCs w:val="24"/>
        </w:rPr>
        <w:t>trudnościach związanych z nabywaniem praw do dysponowania nieruchomościami. W</w:t>
      </w:r>
      <w:r w:rsidR="000221D7">
        <w:rPr>
          <w:rFonts w:ascii="Times New Roman" w:hAnsi="Times New Roman" w:cs="Times New Roman"/>
          <w:szCs w:val="24"/>
        </w:rPr>
        <w:t xml:space="preserve"> </w:t>
      </w:r>
      <w:r w:rsidRPr="002F74D0">
        <w:rPr>
          <w:rFonts w:ascii="Times New Roman" w:hAnsi="Times New Roman" w:cs="Times New Roman"/>
          <w:szCs w:val="24"/>
        </w:rPr>
        <w:t xml:space="preserve">przypadku inwestycji rurociągowych (liniowych) prawa do dysponowania nieruchomością na cele budowlane (prawa do nieruchomości) są to prawa </w:t>
      </w:r>
      <w:proofErr w:type="spellStart"/>
      <w:r w:rsidRPr="002F74D0">
        <w:rPr>
          <w:rFonts w:ascii="Times New Roman" w:hAnsi="Times New Roman" w:cs="Times New Roman"/>
          <w:szCs w:val="24"/>
        </w:rPr>
        <w:t>przesyłu</w:t>
      </w:r>
      <w:proofErr w:type="spellEnd"/>
      <w:r w:rsidRPr="002F74D0">
        <w:rPr>
          <w:rFonts w:ascii="Times New Roman" w:hAnsi="Times New Roman" w:cs="Times New Roman"/>
          <w:szCs w:val="24"/>
        </w:rPr>
        <w:t xml:space="preserve"> polegające na uzyskaniu od właścicieli </w:t>
      </w:r>
      <w:r w:rsidRPr="002F74D0">
        <w:rPr>
          <w:rFonts w:ascii="Times New Roman" w:hAnsi="Times New Roman" w:cs="Times New Roman"/>
          <w:szCs w:val="24"/>
        </w:rPr>
        <w:lastRenderedPageBreak/>
        <w:t>poszczególnych działek leżących na trasie rurociągów zgody na budowę na ich terenie rurociągów z infrastrukturą towarzyszącą wraz z zapewnieniem zgody na możliwość wejścia na teren w celu dokonania potencjalnych prac serwisowych lub naprawczych. Na części z działek inwestor musi pozyskać prawo własności – są to działki, na których będą zlokalizowane stacje zasuw oraz pompownie podporowe, co wynika z konieczności zapewnienia inwestorowi możliwie pełnej kontroli nad tymi strategicznym</w:t>
      </w:r>
      <w:r w:rsidR="00DE30B5">
        <w:rPr>
          <w:rFonts w:ascii="Times New Roman" w:hAnsi="Times New Roman" w:cs="Times New Roman"/>
          <w:szCs w:val="24"/>
        </w:rPr>
        <w:t>i</w:t>
      </w:r>
      <w:r w:rsidRPr="002F74D0">
        <w:rPr>
          <w:rFonts w:ascii="Times New Roman" w:hAnsi="Times New Roman" w:cs="Times New Roman"/>
          <w:szCs w:val="24"/>
        </w:rPr>
        <w:t xml:space="preserve"> elementami całego sytemu wydobywczo-przesyłowego solanki oraz węglowodorów ciekłych. Wykonanie tych inwestycji na podstawie obowiązujących ogólnych przepisów regulujących proces inwestycyjny oznaczałoby konieczność przeprowadzenia wieloletniego procesu przygotowania inwestycji oraz ryzyko braku dostosowania do wymogów ustawy o zapasach ropy naftowej nawet mimo wydłużonych terminów dostosowania do wymogów dostępności fizycznej. Miałoby to wpływ na ograniczenie pojemności magazynowych, które stanowią istotny wkład dla zapewnienia bezpieczeństwa energetycznego państwa. </w:t>
      </w:r>
    </w:p>
    <w:p w14:paraId="2CBB6513" w14:textId="059FD0C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Ponadto należy zauważyć, że obowiązujące ogólne przepisy nie są dostosowane do przygotowania i realizacji tak złożonych inwestycji, jakim jest dostosowanie jedynego w Polsce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do wymogów, o których mowa powyżej, a rozproszony charakter tych regulacji uniemożliwia sprawne przygotowanie i przeprowadzenie tych inwestycji. Inwestor odpowiedzialny za przygotowanie takich inwestycji musi liczyć się z koniecznością wszczynania szeregu nieskoordynowanych ze sobą postępowań administracyjnych, których ostateczne i prawomocne zakończenie może trwać nawet kilka lat. W szczególności trzeba podkreślić, że inwestycje związane z magazynem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ściśle podlegają reżimowi ustawy z dnia 9 czerwca 2011 r. </w:t>
      </w:r>
      <w:r w:rsidR="002B40E1">
        <w:rPr>
          <w:rFonts w:ascii="Times New Roman" w:hAnsi="Times New Roman" w:cs="Times New Roman"/>
          <w:szCs w:val="24"/>
        </w:rPr>
        <w:t>–</w:t>
      </w:r>
      <w:r w:rsidRPr="002F74D0">
        <w:rPr>
          <w:rFonts w:ascii="Times New Roman" w:hAnsi="Times New Roman" w:cs="Times New Roman"/>
          <w:szCs w:val="24"/>
        </w:rPr>
        <w:t xml:space="preserve"> Prawo geologiczne i górnicze (Dz. U. z 2021 r. poz. 1420 i 2269), zwanej dalej: „Prawem geologicznym i górniczym”.</w:t>
      </w:r>
    </w:p>
    <w:p w14:paraId="2C214F4A" w14:textId="2ECC7883"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Mając na uwadze powyższe, projekt ustawy przewiduje rozszerzenie wykazu strategicznych inwestycji w sektorze naftowym zawartych w załączniku do zmienianej ustawy o wskazanie możliw</w:t>
      </w:r>
      <w:r w:rsidR="00DE30B5">
        <w:rPr>
          <w:rFonts w:ascii="Times New Roman" w:hAnsi="Times New Roman" w:cs="Times New Roman"/>
          <w:szCs w:val="24"/>
        </w:rPr>
        <w:t>i</w:t>
      </w:r>
      <w:r w:rsidRPr="002F74D0">
        <w:rPr>
          <w:rFonts w:ascii="Times New Roman" w:hAnsi="Times New Roman" w:cs="Times New Roman"/>
          <w:szCs w:val="24"/>
        </w:rPr>
        <w:t xml:space="preserve">e precyzyjnego zakresu inwestycji w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Obejmuje on m.in. inwestycje w rozbudowę lub przebudowę części magazynowej w Górze, części wydobywczej </w:t>
      </w:r>
      <w:r w:rsidR="002B40E1">
        <w:rPr>
          <w:rFonts w:ascii="Times New Roman" w:hAnsi="Times New Roman" w:cs="Times New Roman"/>
          <w:szCs w:val="24"/>
        </w:rPr>
        <w:t>–</w:t>
      </w:r>
      <w:r w:rsidRPr="002F74D0">
        <w:rPr>
          <w:rFonts w:ascii="Times New Roman" w:hAnsi="Times New Roman" w:cs="Times New Roman"/>
          <w:szCs w:val="24"/>
        </w:rPr>
        <w:t xml:space="preserve"> Kopalni Soli w Górze oraz Kopalni Soli w Mogilnie, budowę nowej otworowej kopalni soli kamiennej na obszarze złoża soli kamiennej w Lubieniu Kujawskim, a także możliwość przebudowy lub rozbudowy istniejących rurociągów ropy naftowej lub produktów naftowych łączących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z </w:t>
      </w:r>
      <w:r w:rsidRPr="002F74D0">
        <w:rPr>
          <w:rFonts w:ascii="Times New Roman" w:hAnsi="Times New Roman" w:cs="Times New Roman"/>
          <w:szCs w:val="24"/>
        </w:rPr>
        <w:lastRenderedPageBreak/>
        <w:t xml:space="preserve">systemem rurociągowym PERN S.A. Trzeba podkreślić, że kluczową kwestią dotyczącą rozbudowy pojemności magazynowych w magazynie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jest zapewnienie medium służącego do obsługi tego typu magazynu, czyli solanki, używanej do wytłaczania ropy naftowej i paliw z kawern magazynowych. W celu dostosowania całej pojemności nominalnej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do sprawności wytłaczania zapasów interwencyjnych w perspektywie 2029 r. i utrzymani</w:t>
      </w:r>
      <w:r w:rsidR="00881755">
        <w:rPr>
          <w:rFonts w:ascii="Times New Roman" w:hAnsi="Times New Roman" w:cs="Times New Roman"/>
          <w:szCs w:val="24"/>
        </w:rPr>
        <w:t>a</w:t>
      </w:r>
      <w:r w:rsidRPr="002F74D0">
        <w:rPr>
          <w:rFonts w:ascii="Times New Roman" w:hAnsi="Times New Roman" w:cs="Times New Roman"/>
          <w:szCs w:val="24"/>
        </w:rPr>
        <w:t xml:space="preserve"> tej sprawności w kolejnych latach </w:t>
      </w:r>
      <w:r w:rsidR="00DD382E" w:rsidRPr="002F74D0">
        <w:rPr>
          <w:rFonts w:ascii="Times New Roman" w:hAnsi="Times New Roman" w:cs="Times New Roman"/>
          <w:szCs w:val="24"/>
        </w:rPr>
        <w:t xml:space="preserve">jest </w:t>
      </w:r>
      <w:r w:rsidRPr="002F74D0">
        <w:rPr>
          <w:rFonts w:ascii="Times New Roman" w:hAnsi="Times New Roman" w:cs="Times New Roman"/>
          <w:szCs w:val="24"/>
        </w:rPr>
        <w:t xml:space="preserve">konieczne zwiększenie dostępności frontu solankowego, do którego pozyskania – oprócz rozbudowy istniejących kopalni w Górze i Mogilnie – będzie konieczne uruchomienie nowej kopalni soli na złożu Lubień Kujawski. Ciąg technologiczny funkcjonowania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i powiązanej z nim kopalni soli polegający na zatłaczaniu i wytłaczaniu ropy i paliw z kawern bezwzględnie wymaga zapewnienia także infrastruktury niezbędnej do stałego odbioru solanki przez przemysł chemiczny zlokalizowany w sąsiedztwie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(ANWIL S.A.; CIECH S.A.). Do pozyskiwania solanki </w:t>
      </w:r>
      <w:r w:rsidR="00881755" w:rsidRPr="002F74D0">
        <w:rPr>
          <w:rFonts w:ascii="Times New Roman" w:hAnsi="Times New Roman" w:cs="Times New Roman"/>
          <w:szCs w:val="24"/>
        </w:rPr>
        <w:t xml:space="preserve">jest </w:t>
      </w:r>
      <w:r w:rsidRPr="002F74D0">
        <w:rPr>
          <w:rFonts w:ascii="Times New Roman" w:hAnsi="Times New Roman" w:cs="Times New Roman"/>
          <w:szCs w:val="24"/>
        </w:rPr>
        <w:t xml:space="preserve">konieczne zapewnienie odpowiedniej infrastruktury dla wody technologicznej (ujęcia wody, pompownie oraz rurociągi) służącej do pozyskiwania (ługowania) solanki. </w:t>
      </w:r>
    </w:p>
    <w:p w14:paraId="14EB8501" w14:textId="7537F9F3"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Dopełnieniem wymaganego zespołu inwestycji w modernizację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jest budowa nowych lub modernizacja istniejących rurociągów ropy naftowej i paliw, z wykorzystaniem których następuje wydawanie węglowodorów z magazynu na rynek. W tym elemencie zakłada się objęcie ustawą rozbudowy lub przebudowy istniejącego połączenia rurociągowego dla ropy naftowej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z siecią PERN S.A. w </w:t>
      </w:r>
      <w:proofErr w:type="spellStart"/>
      <w:r w:rsidRPr="002F74D0">
        <w:rPr>
          <w:rFonts w:ascii="Times New Roman" w:hAnsi="Times New Roman" w:cs="Times New Roman"/>
          <w:szCs w:val="24"/>
        </w:rPr>
        <w:t>Żółwieńcu</w:t>
      </w:r>
      <w:proofErr w:type="spellEnd"/>
      <w:r w:rsidRPr="002F74D0">
        <w:rPr>
          <w:rFonts w:ascii="Times New Roman" w:hAnsi="Times New Roman" w:cs="Times New Roman"/>
          <w:szCs w:val="24"/>
        </w:rPr>
        <w:t xml:space="preserve">. W zakresie inwestycji w łącznik paliwowy na odcinku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w Górze </w:t>
      </w:r>
      <w:r w:rsidR="002B40E1">
        <w:rPr>
          <w:rFonts w:ascii="Times New Roman" w:hAnsi="Times New Roman" w:cs="Times New Roman"/>
          <w:szCs w:val="24"/>
        </w:rPr>
        <w:t>–</w:t>
      </w:r>
      <w:r w:rsidRPr="002F74D0">
        <w:rPr>
          <w:rFonts w:ascii="Times New Roman" w:hAnsi="Times New Roman" w:cs="Times New Roman"/>
          <w:szCs w:val="24"/>
        </w:rPr>
        <w:t xml:space="preserve"> Wielowieś, który </w:t>
      </w:r>
      <w:r w:rsidR="00C40921">
        <w:rPr>
          <w:rFonts w:ascii="Times New Roman" w:hAnsi="Times New Roman" w:cs="Times New Roman"/>
          <w:szCs w:val="24"/>
        </w:rPr>
        <w:t>obecnie</w:t>
      </w:r>
      <w:r w:rsidRPr="002F74D0">
        <w:rPr>
          <w:rFonts w:ascii="Times New Roman" w:hAnsi="Times New Roman" w:cs="Times New Roman"/>
          <w:szCs w:val="24"/>
        </w:rPr>
        <w:t xml:space="preserve"> jest wpisany do realizacji inwestycji po stronie PERN S.A., proponuje się powtórzenie jako inwestycji także po stronie inwestora będącego podmiotem magazynującym ropę i produkty naftowe w magazynie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w celu zapewnienia większej elastyczności w zakresie realizacji tej inwestycji zarówno po stronie PERN S.A., jak i po stronie podmiotu magazynującego ropę i produkty naftowe w magazynie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co będzie zgodne z zawartym porozumieniem inwestycyjnym w tym zakresie przez te podmioty. </w:t>
      </w:r>
    </w:p>
    <w:p w14:paraId="2A5A36E7"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zakresie nowych rozwiązań legislacyjnych wprowadzanych projektem ustawy należy wskazać: </w:t>
      </w:r>
    </w:p>
    <w:p w14:paraId="61F916F4" w14:textId="7F7CE09A"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1)</w:t>
      </w:r>
      <w:r w:rsidRPr="002F74D0">
        <w:rPr>
          <w:rFonts w:ascii="Times New Roman" w:hAnsi="Times New Roman" w:cs="Times New Roman"/>
          <w:szCs w:val="24"/>
        </w:rPr>
        <w:tab/>
        <w:t xml:space="preserve">rozszerzenie definicji inwestora o każdy podmiot, który magazynuje ropę naftową lub produkty naftowe z wykorzystaniem bezzbiornikowych magazynów w </w:t>
      </w:r>
      <w:r w:rsidRPr="002F74D0">
        <w:rPr>
          <w:rFonts w:ascii="Times New Roman" w:hAnsi="Times New Roman" w:cs="Times New Roman"/>
          <w:szCs w:val="24"/>
        </w:rPr>
        <w:lastRenderedPageBreak/>
        <w:t>rozumieniu Prawa geologicznego i górniczego oraz który w zakresie magazynowania produktów naftowych posiada do tego celu koncesję na magazynowanie paliw ciekłych w rozumieniu ustawy z dnia 10 kwietnia 1997 r. – Prawo energetyczne (Dz.</w:t>
      </w:r>
      <w:r w:rsidR="00E346EC">
        <w:rPr>
          <w:rFonts w:ascii="Times New Roman" w:hAnsi="Times New Roman" w:cs="Times New Roman"/>
          <w:szCs w:val="24"/>
        </w:rPr>
        <w:t xml:space="preserve"> </w:t>
      </w:r>
      <w:r w:rsidRPr="002F74D0">
        <w:rPr>
          <w:rFonts w:ascii="Times New Roman" w:hAnsi="Times New Roman" w:cs="Times New Roman"/>
          <w:szCs w:val="24"/>
        </w:rPr>
        <w:t xml:space="preserve">U. </w:t>
      </w:r>
      <w:r w:rsidR="008C24AB">
        <w:rPr>
          <w:rFonts w:ascii="Times New Roman" w:hAnsi="Times New Roman" w:cs="Times New Roman"/>
          <w:szCs w:val="24"/>
        </w:rPr>
        <w:t xml:space="preserve">z </w:t>
      </w:r>
      <w:r w:rsidRPr="002F74D0">
        <w:rPr>
          <w:rFonts w:ascii="Times New Roman" w:hAnsi="Times New Roman" w:cs="Times New Roman"/>
          <w:szCs w:val="24"/>
        </w:rPr>
        <w:t xml:space="preserve">2021 r. poz. 716, z </w:t>
      </w:r>
      <w:proofErr w:type="spellStart"/>
      <w:r w:rsidRPr="002F74D0">
        <w:rPr>
          <w:rFonts w:ascii="Times New Roman" w:hAnsi="Times New Roman" w:cs="Times New Roman"/>
          <w:szCs w:val="24"/>
        </w:rPr>
        <w:t>późn</w:t>
      </w:r>
      <w:proofErr w:type="spellEnd"/>
      <w:r w:rsidRPr="002F74D0">
        <w:rPr>
          <w:rFonts w:ascii="Times New Roman" w:hAnsi="Times New Roman" w:cs="Times New Roman"/>
          <w:szCs w:val="24"/>
        </w:rPr>
        <w:t>. zm.), zwanej dalej „Prawem energetycznym”, a także o GAZ-SYSTEM;</w:t>
      </w:r>
    </w:p>
    <w:p w14:paraId="2BF28315" w14:textId="74C16190"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2)</w:t>
      </w:r>
      <w:r w:rsidRPr="002F74D0">
        <w:rPr>
          <w:rFonts w:ascii="Times New Roman" w:hAnsi="Times New Roman" w:cs="Times New Roman"/>
          <w:szCs w:val="24"/>
        </w:rPr>
        <w:tab/>
        <w:t xml:space="preserve">wprowadzenie możliwości realizacji przez inwestora, który magazynuje ropę naftową lub produkty naftowe, o którym mowa w pkt powyżej, tych inwestycji samodzielnie lub przez kontrolowane przez niego jednostki (spółki) zależne, którym inwestor powierzył przygotowanie i realizację części lub całości strategicznej inwestycji w sektorze naftowym, co jest szczególnie istotne przy inwestycjach dotyczących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w ramach których, oprócz PKN ORLEN S.A., zadania inwestycyjne realizują lub będą realizować spółki zależne Inowrocławskie Kopalnie Soli SOLINO S.A. (100% akcji posiada PKN ORLEN S.A.) lub Kopalni Soli Lubień sp. z o.o. (spółka celowa PKN ORLEN S.A. powołana do budowy i eksploatacji kopalni soli na złożu Lubień Kujawski);</w:t>
      </w:r>
    </w:p>
    <w:p w14:paraId="119B7A73"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3)</w:t>
      </w:r>
      <w:r w:rsidRPr="002F74D0">
        <w:rPr>
          <w:rFonts w:ascii="Times New Roman" w:hAnsi="Times New Roman" w:cs="Times New Roman"/>
          <w:szCs w:val="24"/>
        </w:rPr>
        <w:tab/>
        <w:t xml:space="preserve">objęcie katalogiem ułatwień inwestycyjnych, przeznaczonych dotychczas jedynie dla inwestycji PERN S.A., nowych strategicznych inwestycji w zakresie modernizacji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w Górze oraz budowy nowego magazynu w Damasławku wraz z kopalnią otworową soli kamiennej, wskazanych w załączniku do projektu ustawy. W szczególności dotyczy to mechanizmów pozyskiwania tytułów prawnych do nieruchomości pod inwestycje strategiczne, gdzie alternatywnie istnieje możliwość ustanawiania ograniczonego prawa do korzystania z nieruchomości (o konstrukcji zbliżonej do służebności </w:t>
      </w:r>
      <w:proofErr w:type="spellStart"/>
      <w:r w:rsidRPr="002F74D0">
        <w:rPr>
          <w:rFonts w:ascii="Times New Roman" w:hAnsi="Times New Roman" w:cs="Times New Roman"/>
          <w:szCs w:val="24"/>
        </w:rPr>
        <w:t>przesyłu</w:t>
      </w:r>
      <w:proofErr w:type="spellEnd"/>
      <w:r w:rsidRPr="002F74D0">
        <w:rPr>
          <w:rFonts w:ascii="Times New Roman" w:hAnsi="Times New Roman" w:cs="Times New Roman"/>
          <w:szCs w:val="24"/>
        </w:rPr>
        <w:t>) lub wywłaszczenie na rzecz Skarbu Państwa i ustanowienie użytkowania wieczystego na rzecz inwestora;</w:t>
      </w:r>
    </w:p>
    <w:p w14:paraId="14B53BA3"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4)</w:t>
      </w:r>
      <w:r w:rsidRPr="002F74D0">
        <w:rPr>
          <w:rFonts w:ascii="Times New Roman" w:hAnsi="Times New Roman" w:cs="Times New Roman"/>
          <w:szCs w:val="24"/>
        </w:rPr>
        <w:tab/>
        <w:t>uzupełnienie definicji „infrastruktury niezbędnej do obsługi” o elementy wynikające ze specyfiki dodawanych inwestycji, w szczególności w zakresie infrastruktury wodno-solankowej oraz funkcjonowania kopalni otworowych soli kamiennej;</w:t>
      </w:r>
    </w:p>
    <w:p w14:paraId="07BD95FD" w14:textId="77777777" w:rsidR="00ED4D18" w:rsidRPr="002F74D0" w:rsidRDefault="00ED4D18" w:rsidP="00F434D1">
      <w:pPr>
        <w:pStyle w:val="PKTpunkt"/>
        <w:rPr>
          <w:rFonts w:ascii="Times New Roman" w:hAnsi="Times New Roman" w:cs="Times New Roman"/>
          <w:szCs w:val="24"/>
        </w:rPr>
      </w:pPr>
      <w:r w:rsidRPr="002F74D0">
        <w:rPr>
          <w:rFonts w:ascii="Times New Roman" w:hAnsi="Times New Roman" w:cs="Times New Roman"/>
          <w:szCs w:val="24"/>
        </w:rPr>
        <w:t>5)</w:t>
      </w:r>
      <w:r w:rsidRPr="002F74D0">
        <w:rPr>
          <w:rFonts w:ascii="Times New Roman" w:hAnsi="Times New Roman" w:cs="Times New Roman"/>
          <w:szCs w:val="24"/>
        </w:rPr>
        <w:tab/>
        <w:t>dodatkowe ułatwienia, które oprócz dotychczasowych rozwiązań będą miały zastosowanie dla nowych strategicznych inwestycji naftowych, w ramach których przewidziano uproszczenie oraz usprawnienie trybu dopełniania wymagań Prawa geologicznego i górniczego w zakresie:</w:t>
      </w:r>
    </w:p>
    <w:p w14:paraId="0F2FC01D" w14:textId="669F17C5" w:rsidR="00ED4D18" w:rsidRPr="002F74D0" w:rsidRDefault="00ED4D18" w:rsidP="00F434D1">
      <w:pPr>
        <w:pStyle w:val="LITlitera"/>
        <w:rPr>
          <w:rFonts w:ascii="Times New Roman" w:hAnsi="Times New Roman" w:cs="Times New Roman"/>
          <w:szCs w:val="24"/>
        </w:rPr>
      </w:pPr>
      <w:r w:rsidRPr="002F74D0">
        <w:rPr>
          <w:rFonts w:ascii="Times New Roman" w:hAnsi="Times New Roman" w:cs="Times New Roman"/>
          <w:szCs w:val="24"/>
        </w:rPr>
        <w:lastRenderedPageBreak/>
        <w:t>a)</w:t>
      </w:r>
      <w:r w:rsidRPr="002F74D0">
        <w:rPr>
          <w:rFonts w:ascii="Times New Roman" w:hAnsi="Times New Roman" w:cs="Times New Roman"/>
          <w:szCs w:val="24"/>
        </w:rPr>
        <w:tab/>
        <w:t>przy</w:t>
      </w:r>
      <w:r w:rsidR="008F7161">
        <w:rPr>
          <w:rFonts w:ascii="Times New Roman" w:hAnsi="Times New Roman" w:cs="Times New Roman"/>
          <w:szCs w:val="24"/>
        </w:rPr>
        <w:t>s</w:t>
      </w:r>
      <w:r w:rsidRPr="002F74D0">
        <w:rPr>
          <w:rFonts w:ascii="Times New Roman" w:hAnsi="Times New Roman" w:cs="Times New Roman"/>
          <w:szCs w:val="24"/>
        </w:rPr>
        <w:t xml:space="preserve">pieszenia postępowań związanych z uzyskiwaniem decyzji koncesyjnych przez uproszczenie sposobu zawiadamiania stron o wszczęciu postępowania, wydanych decyzjach oraz innych czynnościach organu administracji publicznej, prowadzenia postępowania również w przypadku, w którym doszło do zmiany stanu prawnego nieruchomości czy ograniczenia stosowania niektórych przepisów ustawy z dnia 14 czerwca 1960 r. – Kodeks postępowania administracyjnego. Powyższe modyfikacje doprowadzą do usprawnienia postępowania i uniknięcia sytuacji, w których w postępowaniu administracyjnym nie dojdzie do prawidłowego zawiadomienia stron o decyzjach i innych czynnościach organu administracji publicznej, </w:t>
      </w:r>
    </w:p>
    <w:p w14:paraId="35E9CAAA" w14:textId="005FC7D2" w:rsidR="00ED4D18" w:rsidRPr="002F74D0" w:rsidRDefault="00ED4D18" w:rsidP="00F434D1">
      <w:pPr>
        <w:pStyle w:val="LITlitera"/>
        <w:rPr>
          <w:rFonts w:ascii="Times New Roman" w:hAnsi="Times New Roman" w:cs="Times New Roman"/>
          <w:szCs w:val="24"/>
        </w:rPr>
      </w:pPr>
      <w:r w:rsidRPr="002F74D0">
        <w:rPr>
          <w:rFonts w:ascii="Times New Roman" w:hAnsi="Times New Roman" w:cs="Times New Roman"/>
          <w:szCs w:val="24"/>
        </w:rPr>
        <w:t>b)</w:t>
      </w:r>
      <w:r w:rsidRPr="002F74D0">
        <w:rPr>
          <w:rFonts w:ascii="Times New Roman" w:hAnsi="Times New Roman" w:cs="Times New Roman"/>
          <w:szCs w:val="24"/>
        </w:rPr>
        <w:tab/>
        <w:t xml:space="preserve">skrócenie z 2 lat do 6 miesięcy, na wzór działalności geologicznej i górniczej dotyczącej węglowodorów, okresu, w jakim gmina ma obowiązek wprowadzić do miejscowego planu zagospodarowania przestrzennego obszar dokumentowanego złoża kopaliny (soli kamiennej), </w:t>
      </w:r>
    </w:p>
    <w:p w14:paraId="6510A316" w14:textId="77777777" w:rsidR="00ED4D18" w:rsidRPr="002F74D0" w:rsidRDefault="00ED4D18" w:rsidP="00F434D1">
      <w:pPr>
        <w:pStyle w:val="LITlitera"/>
        <w:rPr>
          <w:rFonts w:ascii="Times New Roman" w:hAnsi="Times New Roman" w:cs="Times New Roman"/>
          <w:szCs w:val="24"/>
        </w:rPr>
      </w:pPr>
      <w:r w:rsidRPr="002F74D0">
        <w:rPr>
          <w:rFonts w:ascii="Times New Roman" w:hAnsi="Times New Roman" w:cs="Times New Roman"/>
          <w:szCs w:val="24"/>
        </w:rPr>
        <w:t>c)</w:t>
      </w:r>
      <w:r w:rsidRPr="002F74D0">
        <w:rPr>
          <w:rFonts w:ascii="Times New Roman" w:hAnsi="Times New Roman" w:cs="Times New Roman"/>
          <w:szCs w:val="24"/>
        </w:rPr>
        <w:tab/>
        <w:t>wydłużenie z 3 do 5 lat ważności odpowiednio prawa pierwszeństwa do ustanowienia użytkowania górniczego wymaganego do realizacji tych inwestycji oraz prawa do informacji geologicznej niezbędnej do prowadzenia działalności wymaganej do realizacji tych inwestycji,</w:t>
      </w:r>
    </w:p>
    <w:p w14:paraId="4A4D8032" w14:textId="0470BAF7" w:rsidR="00ED4D18" w:rsidRPr="002F74D0" w:rsidRDefault="00ED4D18" w:rsidP="002F74D0">
      <w:pPr>
        <w:pStyle w:val="LITlitera"/>
        <w:spacing w:before="120"/>
        <w:rPr>
          <w:rFonts w:ascii="Times New Roman" w:hAnsi="Times New Roman" w:cs="Times New Roman"/>
          <w:szCs w:val="24"/>
        </w:rPr>
      </w:pPr>
      <w:r w:rsidRPr="002F74D0">
        <w:rPr>
          <w:rFonts w:ascii="Times New Roman" w:hAnsi="Times New Roman" w:cs="Times New Roman"/>
          <w:szCs w:val="24"/>
        </w:rPr>
        <w:t>d)</w:t>
      </w:r>
      <w:r w:rsidRPr="002F74D0">
        <w:rPr>
          <w:rFonts w:ascii="Times New Roman" w:hAnsi="Times New Roman" w:cs="Times New Roman"/>
          <w:szCs w:val="24"/>
        </w:rPr>
        <w:tab/>
        <w:t xml:space="preserve">wydłużenie z roku do 2 lat okresu, w jakim </w:t>
      </w:r>
      <w:r w:rsidR="00F81084" w:rsidRPr="002F74D0">
        <w:rPr>
          <w:rFonts w:ascii="Times New Roman" w:hAnsi="Times New Roman" w:cs="Times New Roman"/>
          <w:szCs w:val="24"/>
        </w:rPr>
        <w:t xml:space="preserve">zachowuje </w:t>
      </w:r>
      <w:r w:rsidRPr="002F74D0">
        <w:rPr>
          <w:rFonts w:ascii="Times New Roman" w:hAnsi="Times New Roman" w:cs="Times New Roman"/>
          <w:szCs w:val="24"/>
        </w:rPr>
        <w:t>ważność umowa użytkowania górniczego w przypadku braku uzyskania stosownej koncesji powiązanej z tym tytułem do górotworu.</w:t>
      </w:r>
    </w:p>
    <w:p w14:paraId="1A3BEC03" w14:textId="20BD244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Zgodnie z art. 6 ustawy </w:t>
      </w:r>
      <w:r w:rsidR="00BB62D0">
        <w:rPr>
          <w:rFonts w:ascii="Times New Roman" w:hAnsi="Times New Roman" w:cs="Times New Roman"/>
          <w:szCs w:val="24"/>
        </w:rPr>
        <w:t xml:space="preserve">z dnia 21 sierpnia 1997 r. </w:t>
      </w:r>
      <w:r w:rsidRPr="002F74D0">
        <w:rPr>
          <w:rFonts w:ascii="Times New Roman" w:hAnsi="Times New Roman" w:cs="Times New Roman"/>
          <w:szCs w:val="24"/>
        </w:rPr>
        <w:t xml:space="preserve">o gospodarce nieruchomościami celami publicznymi w rozumieniu ustawy są </w:t>
      </w:r>
      <w:r w:rsidR="002B40E1">
        <w:rPr>
          <w:rFonts w:ascii="Times New Roman" w:hAnsi="Times New Roman" w:cs="Times New Roman"/>
          <w:szCs w:val="24"/>
        </w:rPr>
        <w:t>–</w:t>
      </w:r>
      <w:r w:rsidRPr="002F74D0">
        <w:rPr>
          <w:rFonts w:ascii="Times New Roman" w:hAnsi="Times New Roman" w:cs="Times New Roman"/>
          <w:szCs w:val="24"/>
        </w:rPr>
        <w:t xml:space="preserve"> obok takich inwestycji jak np. wydzielanie gruntów pod drogi publiczne czy linie kolejowe </w:t>
      </w:r>
      <w:r w:rsidR="002B40E1">
        <w:rPr>
          <w:rFonts w:ascii="Times New Roman" w:hAnsi="Times New Roman" w:cs="Times New Roman"/>
          <w:szCs w:val="24"/>
        </w:rPr>
        <w:t>–</w:t>
      </w:r>
      <w:r w:rsidRPr="002F74D0">
        <w:rPr>
          <w:rFonts w:ascii="Times New Roman" w:hAnsi="Times New Roman" w:cs="Times New Roman"/>
          <w:szCs w:val="24"/>
        </w:rPr>
        <w:t xml:space="preserve"> również „inne cele publiczne określone w odrębnych ustawach”. Ustawodawca przewidział, że katalog zawarty w ustawie o gospodarce nieruchomościami nie jest katalogiem wyczerpującym. Dodatkowo, w przypadku tzw. specustaw</w:t>
      </w:r>
      <w:r w:rsidR="00F81084">
        <w:rPr>
          <w:rFonts w:ascii="Times New Roman" w:hAnsi="Times New Roman" w:cs="Times New Roman"/>
          <w:szCs w:val="24"/>
        </w:rPr>
        <w:t>,</w:t>
      </w:r>
      <w:r w:rsidRPr="002F74D0">
        <w:rPr>
          <w:rFonts w:ascii="Times New Roman" w:hAnsi="Times New Roman" w:cs="Times New Roman"/>
          <w:szCs w:val="24"/>
        </w:rPr>
        <w:t xml:space="preserve"> to ustawodawca decyduje o tym, czy dana inwestycja stanowi inwestycję celu publicznego.</w:t>
      </w:r>
    </w:p>
    <w:p w14:paraId="07D9ED82" w14:textId="73C1424F"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Przedmiotowe rozwiązania mają na celu zwiększenie elastyczności działania tak po stronie inwestora, jak i organów administracji publicznej podejmujących określone rozstrzygnięcia, uproszczeni</w:t>
      </w:r>
      <w:r w:rsidR="001F70F4">
        <w:rPr>
          <w:rFonts w:ascii="Times New Roman" w:hAnsi="Times New Roman" w:cs="Times New Roman"/>
          <w:szCs w:val="24"/>
        </w:rPr>
        <w:t>e</w:t>
      </w:r>
      <w:r w:rsidRPr="002F74D0">
        <w:rPr>
          <w:rFonts w:ascii="Times New Roman" w:hAnsi="Times New Roman" w:cs="Times New Roman"/>
          <w:szCs w:val="24"/>
        </w:rPr>
        <w:t xml:space="preserve"> procedury uzyskiwania tych decyzji oraz, co najważniejsze </w:t>
      </w:r>
      <w:r w:rsidRPr="002F74D0">
        <w:rPr>
          <w:rFonts w:ascii="Times New Roman" w:hAnsi="Times New Roman" w:cs="Times New Roman"/>
          <w:szCs w:val="24"/>
        </w:rPr>
        <w:lastRenderedPageBreak/>
        <w:t>z punktu widzenia etapu przygotowania inwestycji, istotne skrócenie czasu uzyskania rozstrzygnięć przewidzianych Prawem geologicznym i górniczym.</w:t>
      </w:r>
    </w:p>
    <w:p w14:paraId="4E795377" w14:textId="11B0E7A4"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Należy także podkreślić, że projekt ustawy został opracowany z wykorzystaniem doświadczeń i rozwiązań przyjętych w innych specjalnych ustawach inwestycyjnych, w szczególności w ustawie z dnia 24 kwietnia 2009 r. o inwestycjach w zakresie terminalu </w:t>
      </w:r>
      <w:proofErr w:type="spellStart"/>
      <w:r w:rsidRPr="002F74D0">
        <w:rPr>
          <w:rFonts w:ascii="Times New Roman" w:hAnsi="Times New Roman" w:cs="Times New Roman"/>
          <w:szCs w:val="24"/>
        </w:rPr>
        <w:t>regazyfikacyjnego</w:t>
      </w:r>
      <w:proofErr w:type="spellEnd"/>
      <w:r w:rsidRPr="002F74D0">
        <w:rPr>
          <w:rFonts w:ascii="Times New Roman" w:hAnsi="Times New Roman" w:cs="Times New Roman"/>
          <w:szCs w:val="24"/>
        </w:rPr>
        <w:t xml:space="preserve"> skroplonego gazu ziemnego w Świnoujściu (Dz. U. z 2021 r. poz. 1836), która reguluje analogiczne inwestycje w budowę bezzbiornikowych magazynów na paliwa gazowe. </w:t>
      </w:r>
    </w:p>
    <w:p w14:paraId="2178AE0A" w14:textId="77777777" w:rsidR="00ED4D18" w:rsidRPr="000221D7" w:rsidRDefault="00ED4D18" w:rsidP="002F74D0">
      <w:pPr>
        <w:spacing w:before="120"/>
        <w:jc w:val="center"/>
        <w:rPr>
          <w:rStyle w:val="Ppogrubienie"/>
          <w:rFonts w:cs="Times New Roman"/>
          <w:szCs w:val="24"/>
        </w:rPr>
      </w:pPr>
      <w:r w:rsidRPr="000221D7">
        <w:rPr>
          <w:rStyle w:val="Ppogrubienie"/>
          <w:rFonts w:cs="Times New Roman"/>
          <w:szCs w:val="24"/>
        </w:rPr>
        <w:t>UZASADNIENIE SZCZEGÓŁOWE</w:t>
      </w:r>
    </w:p>
    <w:p w14:paraId="2DB971F4" w14:textId="77777777" w:rsidR="00ED4D18" w:rsidRPr="000221D7" w:rsidRDefault="00ED4D18" w:rsidP="002F74D0">
      <w:pPr>
        <w:spacing w:before="120"/>
        <w:rPr>
          <w:rStyle w:val="Ppogrubienie"/>
          <w:rFonts w:cs="Times New Roman"/>
          <w:szCs w:val="24"/>
        </w:rPr>
      </w:pPr>
      <w:r w:rsidRPr="000221D7">
        <w:rPr>
          <w:rStyle w:val="Ppogrubienie"/>
          <w:rFonts w:cs="Times New Roman"/>
          <w:szCs w:val="24"/>
        </w:rPr>
        <w:t>Art. 1</w:t>
      </w:r>
    </w:p>
    <w:p w14:paraId="3E555995"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1 ust. 2 pkt 1</w:t>
      </w:r>
    </w:p>
    <w:p w14:paraId="6B5A8EF4" w14:textId="2D9BAE56"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Zgodnie z projektowanym brzmieniem art. 1 ust. 2 pkt 1, z uwagi na proponowane rozszerzenie katalogu strategicznych inwestycji w sektorze naftowym, proponuje się uzupełnienie definicji „infrastruktury niezbędnej do obsługi” o elementy wynikające z charakteru nowo dodanych inwestycji. Tym samym określono, że infrastrukturę niezbędną do obsługi stanowią obiekty, urządzenia, sieci lub instalacje służące do budowy, przebudowy, remontu, utrzymania, użytkowania, zmiany sposobu użytkowania, eksploatacji lub rozbiórki – obok dotychczasowych rurociągów ropy naftowej oraz produktów naftowych, w tym LPG, także rurociągi solanki oraz wody technologicznej. Są to produkty uzyskiwane w procesie wydobycia soli kamiennej, których wytłaczanie, wtłaczanie oraz </w:t>
      </w:r>
      <w:proofErr w:type="spellStart"/>
      <w:r w:rsidRPr="002F74D0">
        <w:rPr>
          <w:rFonts w:ascii="Times New Roman" w:hAnsi="Times New Roman" w:cs="Times New Roman"/>
          <w:szCs w:val="24"/>
        </w:rPr>
        <w:t>przesył</w:t>
      </w:r>
      <w:proofErr w:type="spellEnd"/>
      <w:r w:rsidRPr="002F74D0">
        <w:rPr>
          <w:rFonts w:ascii="Times New Roman" w:hAnsi="Times New Roman" w:cs="Times New Roman"/>
          <w:szCs w:val="24"/>
        </w:rPr>
        <w:t xml:space="preserve"> powinna uwzględniać inwestycja w postaci budowy otworowej kopalni soli kamiennej na obszarze złoża soli kamiennej Lubień Kujawski, a także inwestycje w zakresie rozbudowy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podziemnego magazynu ropy naftowej i produktów naftowych w Górze. </w:t>
      </w:r>
    </w:p>
    <w:p w14:paraId="0C2B2114" w14:textId="71E01AB1"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Ponadto proponowane brzmienie obejmuje również obiekty, urządzenia, sieci lub instalacje służące do budowy, przebudowy, remontu, utrzymania, użytkowania, zmiany sposobu użytkowania, eksploatacji lub rozbiórki bezzbiornikowych pojemności na ropę naftową lub produkty naftowe wykorzystywane jako magazyn, o którym mowa w art. 2 ust. 1 pkt 30 ustawy o zapasach ropy naftowej. Tym samym są to wszelkie elementy funkcjonalnie związane ze zbiornikami magazynowymi wraz z instalacjami przeładunkowymi wykorzystywanymi do przechowywania oraz przeładunku paliw, z wyłączeniem stacji paliw ciekłych, lub ropy naftowej, a także związane z </w:t>
      </w:r>
      <w:r w:rsidRPr="002F74D0">
        <w:rPr>
          <w:rFonts w:ascii="Times New Roman" w:hAnsi="Times New Roman" w:cs="Times New Roman"/>
          <w:szCs w:val="24"/>
        </w:rPr>
        <w:lastRenderedPageBreak/>
        <w:t>bezzbiornikowymi pojemnościami przeznaczonymi do magazynowania ropy naftowej lub paliw.</w:t>
      </w:r>
    </w:p>
    <w:p w14:paraId="6DA0A83F" w14:textId="3D6CFEB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 związku z projektowanym rozszerzeniem strategicznych inwestycji obejmując</w:t>
      </w:r>
      <w:r w:rsidR="0094207E">
        <w:rPr>
          <w:rFonts w:ascii="Times New Roman" w:hAnsi="Times New Roman" w:cs="Times New Roman"/>
          <w:szCs w:val="24"/>
        </w:rPr>
        <w:t>ych</w:t>
      </w:r>
      <w:r w:rsidRPr="002F74D0">
        <w:rPr>
          <w:rFonts w:ascii="Times New Roman" w:hAnsi="Times New Roman" w:cs="Times New Roman"/>
          <w:szCs w:val="24"/>
        </w:rPr>
        <w:t xml:space="preserve"> budowę otworowej kopalni soli kamiennej na obszarze złoża soli kamiennej Lubień Kujawski, w tym budowę zakładu górniczego, o którym mowa w art. 6 ust. 1 pkt 18 Prawa geologicznego i górniczego, definicja infrastruktury niezbędnej do obsługi również wymagała odpowiedniego uzupełnienia o zakład górniczy. </w:t>
      </w:r>
    </w:p>
    <w:p w14:paraId="47636AA1" w14:textId="31F3FBD4"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Proponowane rozszerzenie opisywanej definicji wynika z charakteru strategicznych inwestycji proponowanych do objęcia wykazem zawartym w załączniku do zmienianej ustawy. Dodatkowo w przykładowym katalogu zawartym w definicji jako elementy infrastruktury w projekcie ustawy proponuje się dodanie takich elementów jak ujęcia wody czy stacje zaworów (zasuw). W definicji posłużono się określeniami, które funkcjonują na gruncie jednej z ustaw podstawowych dla realizacji tego typu inwestycji, jaką jest Prawo geologiczne i górnicze.</w:t>
      </w:r>
    </w:p>
    <w:p w14:paraId="4BFE7223"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1 ust. 2 pkt 2</w:t>
      </w:r>
    </w:p>
    <w:p w14:paraId="7B6D85C6" w14:textId="7810B2BA"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Projekt ustawy przewiduje rozszerzenie definicji inwestora. Obok dotychczasowej definicji obejmującej spółkę PERN S.A. proponuje się objęcie nowelizowaną ustawą również każdego podmiotu, który spełnia przewidziane w projekcie ustawy przesłanki zawarte w art. 1 ust. 2 pkt 2 lit. b oraz c. Dodatkowo definicja inwestora jest dookreślona przez wykaz strategicznych inwestycji naftowych wymienionych w załączniku do ustawy.</w:t>
      </w:r>
    </w:p>
    <w:p w14:paraId="33B1EDB3" w14:textId="424D31E6"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1 ust. 2 pkt 2 lit. b</w:t>
      </w:r>
    </w:p>
    <w:p w14:paraId="4BF8ADBD" w14:textId="70D42066"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Proponuje się rozszerzenie zakresu nowelizowanej ustawy o podmiot prowadzący działalność w zakresie magazynowania produktów naftowych na podstawie koncesji udzielonej zgodnie z Prawem energetycznym lub magazynowania ropy naftowej w pojemnościach bezzbiornikowych stanowiących magazyn, o którym mowa w art. 2 ust. 1 pkt 30 ustawy o zapasach ropy naftowej. Takie ujęcie definicji inwestora umożliwi objęcie ustawą podmiotu zobowiązanego do dostosowania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do wymagań dostępności fizycznej zgromadzonych w tym magazynie zapasów interwencyjnych, określonej w art. 3 ust. 12 ustawy o zapasach ropy naftowej, a tym samym pozwoli na zrealizowanie celu projektu ustawy. Zastosowane zatem w projekcie ustawy rozwiązanie należy uznać za konieczne i proporcjonalne w stosunku do celu, jakim jest skuteczne </w:t>
      </w:r>
      <w:r w:rsidRPr="002F74D0">
        <w:rPr>
          <w:rFonts w:ascii="Times New Roman" w:hAnsi="Times New Roman" w:cs="Times New Roman"/>
          <w:szCs w:val="24"/>
        </w:rPr>
        <w:lastRenderedPageBreak/>
        <w:t xml:space="preserve">przygotowanie i realizacja strategicznych inwestycji w sektorze naftowym związanych z magazynem w Górze, a co za tym idzie zagwarantowanie bezpieczeństwa energetycznego Rzeczypospolitej Polskiej. Co za tym idzie, w celu zapewnienia sprawnej realizacji inwestycji zmierzających do poprawy bezpieczeństwa energetycznego (paliwowego) Rzeczypospolitej Polskiej, o którym mowa powyżej, </w:t>
      </w:r>
      <w:r w:rsidR="00D26921" w:rsidRPr="002F74D0">
        <w:rPr>
          <w:rFonts w:ascii="Times New Roman" w:hAnsi="Times New Roman" w:cs="Times New Roman"/>
          <w:szCs w:val="24"/>
        </w:rPr>
        <w:t xml:space="preserve">jest </w:t>
      </w:r>
      <w:r w:rsidRPr="002F74D0">
        <w:rPr>
          <w:rFonts w:ascii="Times New Roman" w:hAnsi="Times New Roman" w:cs="Times New Roman"/>
          <w:szCs w:val="24"/>
        </w:rPr>
        <w:t>konieczne powierzenie roli inwestora takim podmiotom. Podmiotem, który spełnia przesłanki określone w tym przepisie</w:t>
      </w:r>
      <w:r w:rsidR="00D26921">
        <w:rPr>
          <w:rFonts w:ascii="Times New Roman" w:hAnsi="Times New Roman" w:cs="Times New Roman"/>
          <w:szCs w:val="24"/>
        </w:rPr>
        <w:t>,</w:t>
      </w:r>
      <w:r w:rsidRPr="002F74D0">
        <w:rPr>
          <w:rFonts w:ascii="Times New Roman" w:hAnsi="Times New Roman" w:cs="Times New Roman"/>
          <w:szCs w:val="24"/>
        </w:rPr>
        <w:t xml:space="preserve"> jest PKN ORLEN S.A.</w:t>
      </w:r>
    </w:p>
    <w:p w14:paraId="1E2E10F7" w14:textId="1A43A6CE"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1 ust. 2 pkt 2 lit. c</w:t>
      </w:r>
    </w:p>
    <w:p w14:paraId="684D9D62" w14:textId="015C805D" w:rsidR="00ED4D18" w:rsidRPr="002F74D0" w:rsidRDefault="00ED4D18" w:rsidP="000221D7">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myśl projektu ustawy inwestorem może być także jednostka zależna w rozumieniu art. 3 ust. 1 pkt 39 ustawy z dnia 29 września 1994 r. o rachunkowości (Dz. U. z 2021 r. poz. 217, z </w:t>
      </w:r>
      <w:proofErr w:type="spellStart"/>
      <w:r w:rsidRPr="002F74D0">
        <w:rPr>
          <w:rFonts w:ascii="Times New Roman" w:hAnsi="Times New Roman" w:cs="Times New Roman"/>
          <w:szCs w:val="24"/>
        </w:rPr>
        <w:t>późn</w:t>
      </w:r>
      <w:proofErr w:type="spellEnd"/>
      <w:r w:rsidRPr="002F74D0">
        <w:rPr>
          <w:rFonts w:ascii="Times New Roman" w:hAnsi="Times New Roman" w:cs="Times New Roman"/>
          <w:szCs w:val="24"/>
        </w:rPr>
        <w:t>. zm.), zwanej dalej „ustawą o rachunkowości”, dla której jednostką dominującą jest podmiot, o którym mowa w lit. b, której ten podmiot powierzył przygotowanie i realizację strategicznej inwestycji w sektorze naftowym objętych tą ustawą w całości lub w części. Proponowane brzmienie ma na celu umożliwienie przygotowani</w:t>
      </w:r>
      <w:r w:rsidR="00D26921">
        <w:rPr>
          <w:rFonts w:ascii="Times New Roman" w:hAnsi="Times New Roman" w:cs="Times New Roman"/>
          <w:szCs w:val="24"/>
        </w:rPr>
        <w:t>a</w:t>
      </w:r>
      <w:r w:rsidRPr="002F74D0">
        <w:rPr>
          <w:rFonts w:ascii="Times New Roman" w:hAnsi="Times New Roman" w:cs="Times New Roman"/>
          <w:szCs w:val="24"/>
        </w:rPr>
        <w:t xml:space="preserve"> i realizacj</w:t>
      </w:r>
      <w:r w:rsidR="00D26921">
        <w:rPr>
          <w:rFonts w:ascii="Times New Roman" w:hAnsi="Times New Roman" w:cs="Times New Roman"/>
          <w:szCs w:val="24"/>
        </w:rPr>
        <w:t>i</w:t>
      </w:r>
      <w:r w:rsidRPr="002F74D0">
        <w:rPr>
          <w:rFonts w:ascii="Times New Roman" w:hAnsi="Times New Roman" w:cs="Times New Roman"/>
          <w:szCs w:val="24"/>
        </w:rPr>
        <w:t xml:space="preserve"> strategicznej inwestycji w sektorze naftowym jednostkom zależnym od podmiotu będącego inwestorem w rozumieniu nowelizowanej ustawy (z wyłączeniem inwestora wskazanego w art. 1 ust. 2 pkt 2 lit. a i d). Zgodnie z ustawą o rachunkowości jednostką zależną jest jednostka będąca spółką handlową lub podmiotem utworzonym i działającym zgodnie z przepisami obcego prawa handlowego, kontrolowana przez jednostkę dominującą. W myśl zaś art. 3 ust. 1 pkt 34 ustawy o rachunkowości sprawowanie kontroli nad inną jednostką stanowi zdolność jednostki do kierowania polityką finansową i operacyjną innej jednostki, w celu osiągania korzyści ekonomicznych z jej działalności. Proponowane rozwiązanie ma na celu zapewnienie możliwości podjęcia decyzji inwestorowi, czy dana inwestycja będzie realizowana bezpośrednio przez podmiot spełniający kryteria określone w pkt b projektowanej definicji „inwestora” albo jego jednostki zależne (spółki celowe). Takie ujęcie pozwoli uprawnionym podmiotom w sposób optymalny przygotować i zrealizować strategiczne inwestycje w sektorze naftowym objęte zakresem nowelizowanej ustawy, w szczególności w sytuacji, gdy do części zadań </w:t>
      </w:r>
      <w:r w:rsidR="00CB676D" w:rsidRPr="002F74D0">
        <w:rPr>
          <w:rFonts w:ascii="Times New Roman" w:hAnsi="Times New Roman" w:cs="Times New Roman"/>
          <w:szCs w:val="24"/>
        </w:rPr>
        <w:t xml:space="preserve">jest </w:t>
      </w:r>
      <w:r w:rsidRPr="002F74D0">
        <w:rPr>
          <w:rFonts w:ascii="Times New Roman" w:hAnsi="Times New Roman" w:cs="Times New Roman"/>
          <w:szCs w:val="24"/>
        </w:rPr>
        <w:t xml:space="preserve">wymagane posiadanie specjalistycznych kompetencji i wypełnianie określonych wymagań np. dla działalności górniczej prowadzonej na potrzeby funkcjonowania magazynu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Zaproponowane rozwiązanie należy wiec uznać za konieczne, adekwatne i proporcjonalne do celu, któremu ma służyć.</w:t>
      </w:r>
    </w:p>
    <w:p w14:paraId="049BA7A6"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lastRenderedPageBreak/>
        <w:t>art. 1 ust. 2 pkt 2 lit. d</w:t>
      </w:r>
    </w:p>
    <w:p w14:paraId="627B461F" w14:textId="4E54CA8B"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 art. 1 ust. 2 pkt 2 lit. d ustawy z dnia 22 lutego 2019 r. o przygotowaniu i realizacji strategicznych inwestycji w</w:t>
      </w:r>
      <w:r w:rsidR="000221D7">
        <w:rPr>
          <w:rFonts w:ascii="Times New Roman" w:hAnsi="Times New Roman" w:cs="Times New Roman"/>
          <w:szCs w:val="24"/>
        </w:rPr>
        <w:t xml:space="preserve"> </w:t>
      </w:r>
      <w:r w:rsidRPr="002F74D0">
        <w:rPr>
          <w:rFonts w:ascii="Times New Roman" w:hAnsi="Times New Roman" w:cs="Times New Roman"/>
          <w:szCs w:val="24"/>
        </w:rPr>
        <w:t xml:space="preserve">sektorze naftowym w projektowanym brzmieniu </w:t>
      </w:r>
      <w:r w:rsidR="002579BC" w:rsidRPr="002F74D0">
        <w:rPr>
          <w:rFonts w:ascii="Times New Roman" w:hAnsi="Times New Roman" w:cs="Times New Roman"/>
          <w:szCs w:val="24"/>
        </w:rPr>
        <w:t xml:space="preserve">jest </w:t>
      </w:r>
      <w:r w:rsidRPr="002F74D0">
        <w:rPr>
          <w:rFonts w:ascii="Times New Roman" w:hAnsi="Times New Roman" w:cs="Times New Roman"/>
          <w:szCs w:val="24"/>
        </w:rPr>
        <w:t>proponowane rozszerzenie definicji inwestora i wskazanie jako podmiotu, który może przygotowywać i</w:t>
      </w:r>
      <w:r w:rsidR="000221D7">
        <w:rPr>
          <w:rFonts w:ascii="Times New Roman" w:hAnsi="Times New Roman" w:cs="Times New Roman"/>
          <w:szCs w:val="24"/>
        </w:rPr>
        <w:t xml:space="preserve"> </w:t>
      </w:r>
      <w:r w:rsidRPr="002F74D0">
        <w:rPr>
          <w:rFonts w:ascii="Times New Roman" w:hAnsi="Times New Roman" w:cs="Times New Roman"/>
          <w:szCs w:val="24"/>
        </w:rPr>
        <w:t xml:space="preserve">realizować strategiczne inwestycje w sektorze naftowym, również GAZ-SYSTEM. Propozycja zmiany </w:t>
      </w:r>
      <w:r w:rsidR="002579BC" w:rsidRPr="002F74D0">
        <w:rPr>
          <w:rFonts w:ascii="Times New Roman" w:hAnsi="Times New Roman" w:cs="Times New Roman"/>
          <w:szCs w:val="24"/>
        </w:rPr>
        <w:t xml:space="preserve">jest </w:t>
      </w:r>
      <w:r w:rsidRPr="002F74D0">
        <w:rPr>
          <w:rFonts w:ascii="Times New Roman" w:hAnsi="Times New Roman" w:cs="Times New Roman"/>
          <w:szCs w:val="24"/>
        </w:rPr>
        <w:t>związana z</w:t>
      </w:r>
      <w:r w:rsidR="000221D7">
        <w:rPr>
          <w:rFonts w:ascii="Times New Roman" w:hAnsi="Times New Roman" w:cs="Times New Roman"/>
          <w:szCs w:val="24"/>
        </w:rPr>
        <w:t xml:space="preserve"> </w:t>
      </w:r>
      <w:r w:rsidRPr="002F74D0">
        <w:rPr>
          <w:rFonts w:ascii="Times New Roman" w:hAnsi="Times New Roman" w:cs="Times New Roman"/>
          <w:szCs w:val="24"/>
        </w:rPr>
        <w:t>dodaniem do załącznika do</w:t>
      </w:r>
      <w:r w:rsidR="000221D7">
        <w:rPr>
          <w:rFonts w:ascii="Times New Roman" w:hAnsi="Times New Roman" w:cs="Times New Roman"/>
          <w:szCs w:val="24"/>
        </w:rPr>
        <w:t xml:space="preserve"> </w:t>
      </w:r>
      <w:r w:rsidRPr="002F74D0">
        <w:rPr>
          <w:rFonts w:ascii="Times New Roman" w:hAnsi="Times New Roman" w:cs="Times New Roman"/>
          <w:szCs w:val="24"/>
        </w:rPr>
        <w:t>specustawy naftowej pkt III – wykazu inwestycji</w:t>
      </w:r>
      <w:r w:rsidR="002579BC">
        <w:rPr>
          <w:rFonts w:ascii="Times New Roman" w:hAnsi="Times New Roman" w:cs="Times New Roman"/>
          <w:szCs w:val="24"/>
        </w:rPr>
        <w:t>,</w:t>
      </w:r>
      <w:r w:rsidRPr="002F74D0">
        <w:rPr>
          <w:rFonts w:ascii="Times New Roman" w:hAnsi="Times New Roman" w:cs="Times New Roman"/>
          <w:szCs w:val="24"/>
        </w:rPr>
        <w:t xml:space="preserve"> które mogą być</w:t>
      </w:r>
      <w:r w:rsidR="000221D7">
        <w:rPr>
          <w:rFonts w:ascii="Times New Roman" w:hAnsi="Times New Roman" w:cs="Times New Roman"/>
          <w:szCs w:val="24"/>
        </w:rPr>
        <w:t xml:space="preserve"> </w:t>
      </w:r>
      <w:r w:rsidRPr="002F74D0">
        <w:rPr>
          <w:rFonts w:ascii="Times New Roman" w:hAnsi="Times New Roman" w:cs="Times New Roman"/>
          <w:szCs w:val="24"/>
        </w:rPr>
        <w:t>przygotowywane i</w:t>
      </w:r>
      <w:r w:rsidR="000221D7">
        <w:rPr>
          <w:rFonts w:ascii="Times New Roman" w:hAnsi="Times New Roman" w:cs="Times New Roman"/>
          <w:szCs w:val="24"/>
        </w:rPr>
        <w:t xml:space="preserve"> </w:t>
      </w:r>
      <w:r w:rsidRPr="002F74D0">
        <w:rPr>
          <w:rFonts w:ascii="Times New Roman" w:hAnsi="Times New Roman" w:cs="Times New Roman"/>
          <w:szCs w:val="24"/>
        </w:rPr>
        <w:t>realizowane przez GAZ-SYSTEM na zasadach określonych w</w:t>
      </w:r>
      <w:r w:rsidR="000221D7">
        <w:rPr>
          <w:rFonts w:ascii="Times New Roman" w:hAnsi="Times New Roman" w:cs="Times New Roman"/>
          <w:szCs w:val="24"/>
        </w:rPr>
        <w:t xml:space="preserve"> </w:t>
      </w:r>
      <w:r w:rsidRPr="002F74D0">
        <w:rPr>
          <w:rFonts w:ascii="Times New Roman" w:hAnsi="Times New Roman" w:cs="Times New Roman"/>
          <w:szCs w:val="24"/>
        </w:rPr>
        <w:t>specustawie naftowej.</w:t>
      </w:r>
    </w:p>
    <w:p w14:paraId="2E3E03A8"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art. 4 ust. 1a </w:t>
      </w:r>
    </w:p>
    <w:p w14:paraId="1C1F0931" w14:textId="45998805"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celu potwierdzenia statusu jednostki zależnej od podmiotu, który sprawuje nad nią kontrolę, wniosek o wydanie decyzji o ustaleniu lokalizacji strategicznej inwestycji w sektorze naftowym powinien zawierać listę wspólników albo akcjonariuszy jednostki zależnej. Taki sposób wykazania stosunku zależności </w:t>
      </w:r>
      <w:r w:rsidR="001D18C9" w:rsidRPr="002F74D0">
        <w:rPr>
          <w:rFonts w:ascii="Times New Roman" w:hAnsi="Times New Roman" w:cs="Times New Roman"/>
          <w:szCs w:val="24"/>
        </w:rPr>
        <w:t xml:space="preserve">jest </w:t>
      </w:r>
      <w:r w:rsidRPr="002F74D0">
        <w:rPr>
          <w:rFonts w:ascii="Times New Roman" w:hAnsi="Times New Roman" w:cs="Times New Roman"/>
          <w:szCs w:val="24"/>
        </w:rPr>
        <w:t xml:space="preserve">stosowany również w Prawie energetycznym we wniosku o udzielenie koncesji na wytwarzanie paliw ciekłych oraz koncesji na obrót paliwami ciekłymi z zagranicą (art. 35 ust. 1c pkt 5 Prawa energetycznego). Dodatkowo jednostka zależna powinna dołączyć wykaz podmiotów sprawujących nad nią kontrolę albo </w:t>
      </w:r>
      <w:proofErr w:type="spellStart"/>
      <w:r w:rsidRPr="002F74D0">
        <w:rPr>
          <w:rFonts w:ascii="Times New Roman" w:hAnsi="Times New Roman" w:cs="Times New Roman"/>
          <w:szCs w:val="24"/>
        </w:rPr>
        <w:t>współkontrolę</w:t>
      </w:r>
      <w:proofErr w:type="spellEnd"/>
      <w:r w:rsidRPr="002F74D0">
        <w:rPr>
          <w:rFonts w:ascii="Times New Roman" w:hAnsi="Times New Roman" w:cs="Times New Roman"/>
          <w:szCs w:val="24"/>
        </w:rPr>
        <w:t xml:space="preserve"> w rozumieniu odpowiednio art. 3 ust. 1 pkt 34 i 35 ustawy z dnia 29 września 1994 r. o rachunkowości, a także fakt powierzenia w części lub całości przygotowania i realizacji strategicznych inwestycji w sektorze naftowym. Zasadniczo informacje zawarte w obu tych dokumentach przedkładanych wraz z wnioskiem będą wykazywać stosunek zależności. W przypadku jednak bardziej złożonej struktury właścicielskiej </w:t>
      </w:r>
      <w:r w:rsidR="001D18C9" w:rsidRPr="002F74D0">
        <w:rPr>
          <w:rFonts w:ascii="Times New Roman" w:hAnsi="Times New Roman" w:cs="Times New Roman"/>
          <w:szCs w:val="24"/>
        </w:rPr>
        <w:t xml:space="preserve">jest </w:t>
      </w:r>
      <w:r w:rsidRPr="002F74D0">
        <w:rPr>
          <w:rFonts w:ascii="Times New Roman" w:hAnsi="Times New Roman" w:cs="Times New Roman"/>
          <w:szCs w:val="24"/>
        </w:rPr>
        <w:t xml:space="preserve">konieczne wskazanie także podmiotów sprawujących kontrolę lub </w:t>
      </w:r>
      <w:proofErr w:type="spellStart"/>
      <w:r w:rsidRPr="002F74D0">
        <w:rPr>
          <w:rFonts w:ascii="Times New Roman" w:hAnsi="Times New Roman" w:cs="Times New Roman"/>
          <w:szCs w:val="24"/>
        </w:rPr>
        <w:t>współkontrolę</w:t>
      </w:r>
      <w:proofErr w:type="spellEnd"/>
      <w:r w:rsidRPr="002F74D0">
        <w:rPr>
          <w:rFonts w:ascii="Times New Roman" w:hAnsi="Times New Roman" w:cs="Times New Roman"/>
          <w:szCs w:val="24"/>
        </w:rPr>
        <w:t>.</w:t>
      </w:r>
      <w:r w:rsidR="000221D7">
        <w:rPr>
          <w:rFonts w:ascii="Times New Roman" w:hAnsi="Times New Roman" w:cs="Times New Roman"/>
          <w:szCs w:val="24"/>
        </w:rPr>
        <w:t xml:space="preserve"> </w:t>
      </w:r>
    </w:p>
    <w:p w14:paraId="6DB06960" w14:textId="2E03F106"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art. 4 ust. 3 pkt 16 </w:t>
      </w:r>
    </w:p>
    <w:p w14:paraId="23C77A25" w14:textId="3ED6F6DE"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Proponowane brzmienie art. 4 ust. 3 nowelizowanej ustawy zawiera zamknięty katalog opinii, które inwestor </w:t>
      </w:r>
      <w:r w:rsidR="000D6751" w:rsidRPr="002F74D0">
        <w:rPr>
          <w:rFonts w:ascii="Times New Roman" w:hAnsi="Times New Roman" w:cs="Times New Roman"/>
          <w:szCs w:val="24"/>
        </w:rPr>
        <w:t xml:space="preserve">jest </w:t>
      </w:r>
      <w:r w:rsidRPr="002F74D0">
        <w:rPr>
          <w:rFonts w:ascii="Times New Roman" w:hAnsi="Times New Roman" w:cs="Times New Roman"/>
          <w:szCs w:val="24"/>
        </w:rPr>
        <w:t>obowiązany dołączyć do wniosku o wydanie decyzji o ustaleniu lokalizacji strategicznej inwestycji w sektorze naftowym. Projekt ustawy określa nie tylko dodatkowe podmioty uprawnione do wydawania opinii, ale i zakres wydawanych opinii. W</w:t>
      </w:r>
      <w:r w:rsidR="000221D7">
        <w:rPr>
          <w:rFonts w:ascii="Times New Roman" w:hAnsi="Times New Roman" w:cs="Times New Roman"/>
          <w:szCs w:val="24"/>
        </w:rPr>
        <w:t xml:space="preserve"> </w:t>
      </w:r>
      <w:r w:rsidRPr="002F74D0">
        <w:rPr>
          <w:rFonts w:ascii="Times New Roman" w:hAnsi="Times New Roman" w:cs="Times New Roman"/>
          <w:szCs w:val="24"/>
        </w:rPr>
        <w:t xml:space="preserve">opiniach właściwe podmioty </w:t>
      </w:r>
      <w:r w:rsidR="00F83D64" w:rsidRPr="002F74D0">
        <w:rPr>
          <w:rFonts w:ascii="Times New Roman" w:hAnsi="Times New Roman" w:cs="Times New Roman"/>
          <w:szCs w:val="24"/>
        </w:rPr>
        <w:t xml:space="preserve">są </w:t>
      </w:r>
      <w:r w:rsidRPr="002F74D0">
        <w:rPr>
          <w:rFonts w:ascii="Times New Roman" w:hAnsi="Times New Roman" w:cs="Times New Roman"/>
          <w:szCs w:val="24"/>
        </w:rPr>
        <w:t xml:space="preserve">zobowiązane odnieść się do przedstawionych im przez inwestora rozwiązań, które </w:t>
      </w:r>
      <w:r w:rsidR="00F83D64" w:rsidRPr="002F74D0">
        <w:rPr>
          <w:rFonts w:ascii="Times New Roman" w:hAnsi="Times New Roman" w:cs="Times New Roman"/>
          <w:szCs w:val="24"/>
        </w:rPr>
        <w:t xml:space="preserve">zostaną </w:t>
      </w:r>
      <w:r w:rsidRPr="002F74D0">
        <w:rPr>
          <w:rFonts w:ascii="Times New Roman" w:hAnsi="Times New Roman" w:cs="Times New Roman"/>
          <w:szCs w:val="24"/>
        </w:rPr>
        <w:t xml:space="preserve">zamieszczone we wniosku o wydanie decyzji o ustaleniu lokalizacji strategicznej inwestycji w sektorze naftowym. </w:t>
      </w:r>
    </w:p>
    <w:p w14:paraId="36A59111" w14:textId="0ACE481E"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lastRenderedPageBreak/>
        <w:t xml:space="preserve">Biorąc pod uwagę fakt, że niniejszy projekt rozszerza katalog o inwestycje z zakresu eksploatacji złóż kopalin oraz że przyjęte rozwiązanie, zgodnie z którym decyzja o ustaleniu lokalizacji strategicznej inwestycji w sektorze naftowym ma być instrumentem całościowo regulującym kwestię lokalizacji inwestycji, konieczne również staje się przedstawienie stosownych dokumentów oraz opinii w przedmiocie warunków wykonywania działalności w zakresie wydobywania kopalin ze złóż. Ze względu na konieczność przyspieszenia procesu przygotowania inwestycji w zakresie budowy otworowej kopalni soli kamiennej na obszarze złoża soli kamiennej Lubień Kujawski </w:t>
      </w:r>
      <w:r w:rsidR="00F83D64" w:rsidRPr="002F74D0">
        <w:rPr>
          <w:rFonts w:ascii="Times New Roman" w:hAnsi="Times New Roman" w:cs="Times New Roman"/>
          <w:szCs w:val="24"/>
        </w:rPr>
        <w:t xml:space="preserve">jest </w:t>
      </w:r>
      <w:r w:rsidRPr="002F74D0">
        <w:rPr>
          <w:rFonts w:ascii="Times New Roman" w:hAnsi="Times New Roman" w:cs="Times New Roman"/>
          <w:szCs w:val="24"/>
        </w:rPr>
        <w:t xml:space="preserve">niezbędna rezygnacja z uzyskiwania czasochłonnych uzgodnień wynikających z przepisów Prawa geologicznego i górniczego na rzecz pozyskania opinii. </w:t>
      </w:r>
      <w:r w:rsidR="00F83D64">
        <w:rPr>
          <w:rFonts w:ascii="Times New Roman" w:hAnsi="Times New Roman" w:cs="Times New Roman"/>
          <w:szCs w:val="24"/>
        </w:rPr>
        <w:t>N</w:t>
      </w:r>
      <w:r w:rsidRPr="002F74D0">
        <w:rPr>
          <w:rFonts w:ascii="Times New Roman" w:hAnsi="Times New Roman" w:cs="Times New Roman"/>
          <w:szCs w:val="24"/>
        </w:rPr>
        <w:t>ależy</w:t>
      </w:r>
      <w:r w:rsidR="00F83D64">
        <w:rPr>
          <w:rFonts w:ascii="Times New Roman" w:hAnsi="Times New Roman" w:cs="Times New Roman"/>
          <w:szCs w:val="24"/>
        </w:rPr>
        <w:t xml:space="preserve"> w</w:t>
      </w:r>
      <w:r w:rsidR="00F83D64" w:rsidRPr="002F74D0">
        <w:rPr>
          <w:rFonts w:ascii="Times New Roman" w:hAnsi="Times New Roman" w:cs="Times New Roman"/>
          <w:szCs w:val="24"/>
        </w:rPr>
        <w:t>skazać</w:t>
      </w:r>
      <w:r w:rsidRPr="002F74D0">
        <w:rPr>
          <w:rFonts w:ascii="Times New Roman" w:hAnsi="Times New Roman" w:cs="Times New Roman"/>
          <w:szCs w:val="24"/>
        </w:rPr>
        <w:t>, że zaproponowane rozwiązanie jest proporcjonalne do zamierzonych skutków.</w:t>
      </w:r>
    </w:p>
    <w:p w14:paraId="08BB18CA" w14:textId="2DA4297B"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Proponuje się również dodanie opinii ministra właściwego do spraw energii w odniesieniu do inwestycji mogących oddziaływać na tereny zamknięte niezbędne dla obronności i bezpieczeństwa państwa, ustalone na podst</w:t>
      </w:r>
      <w:r w:rsidR="002B5F07">
        <w:rPr>
          <w:rFonts w:ascii="Times New Roman" w:hAnsi="Times New Roman" w:cs="Times New Roman"/>
          <w:szCs w:val="24"/>
        </w:rPr>
        <w:t>awie ustawy z dnia 17 maja 1989 </w:t>
      </w:r>
      <w:r w:rsidRPr="002F74D0">
        <w:rPr>
          <w:rFonts w:ascii="Times New Roman" w:hAnsi="Times New Roman" w:cs="Times New Roman"/>
          <w:szCs w:val="24"/>
        </w:rPr>
        <w:t>r. – Prawo geodezyjne i kartograficzne (Dz. U. z 2021 r. poz. 1990), oraz ich strefy ochronne, o których mowa w ustawie z dnia 27 marca 2003 r. o planowaniu i zagospodarowaniu przestrzennym (Dz.</w:t>
      </w:r>
      <w:r w:rsidR="00E346EC">
        <w:rPr>
          <w:rFonts w:ascii="Times New Roman" w:hAnsi="Times New Roman" w:cs="Times New Roman"/>
          <w:szCs w:val="24"/>
        </w:rPr>
        <w:t xml:space="preserve"> </w:t>
      </w:r>
      <w:r w:rsidRPr="002F74D0">
        <w:rPr>
          <w:rFonts w:ascii="Times New Roman" w:hAnsi="Times New Roman" w:cs="Times New Roman"/>
          <w:szCs w:val="24"/>
        </w:rPr>
        <w:t xml:space="preserve">U. z 2021 r. poz. 741, z </w:t>
      </w:r>
      <w:proofErr w:type="spellStart"/>
      <w:r w:rsidRPr="002F74D0">
        <w:rPr>
          <w:rFonts w:ascii="Times New Roman" w:hAnsi="Times New Roman" w:cs="Times New Roman"/>
          <w:szCs w:val="24"/>
        </w:rPr>
        <w:t>późn</w:t>
      </w:r>
      <w:proofErr w:type="spellEnd"/>
      <w:r w:rsidRPr="002F74D0">
        <w:rPr>
          <w:rFonts w:ascii="Times New Roman" w:hAnsi="Times New Roman" w:cs="Times New Roman"/>
          <w:szCs w:val="24"/>
        </w:rPr>
        <w:t>. zm.).</w:t>
      </w:r>
    </w:p>
    <w:p w14:paraId="0CB2A82C" w14:textId="26B151E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Jednocześnie, w zakresie pkt 16 ustawy, który przewiduje wydawanie opinii przez Ministra Obrony Narodowej albo przez ministra właściwego do spraw energii, wskazuje się, że wymóg zasięgnięcia stosownej opinii powinien być skierowany wyłącznie wobec organu, który ustanowił teren zamknięty, na który </w:t>
      </w:r>
      <w:r w:rsidR="002B5F07" w:rsidRPr="002F74D0">
        <w:rPr>
          <w:rFonts w:ascii="Times New Roman" w:hAnsi="Times New Roman" w:cs="Times New Roman"/>
          <w:szCs w:val="24"/>
        </w:rPr>
        <w:t xml:space="preserve">będzie </w:t>
      </w:r>
      <w:r w:rsidRPr="002F74D0">
        <w:rPr>
          <w:rFonts w:ascii="Times New Roman" w:hAnsi="Times New Roman" w:cs="Times New Roman"/>
          <w:szCs w:val="24"/>
        </w:rPr>
        <w:t>oddziaływać inwestycja.</w:t>
      </w:r>
    </w:p>
    <w:p w14:paraId="3CEA4899" w14:textId="7BA020A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4 ust. 4</w:t>
      </w:r>
    </w:p>
    <w:p w14:paraId="02EFDA4C" w14:textId="769BEF8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Wydłużenie terminu z 14 do 21 dni na wydanie przez organ nadzoru górniczego opinii do wniosku o wydanie decyzji o ustaleniu lokalizacji strategicznej inwestycji w sektorze naftowym </w:t>
      </w:r>
      <w:r w:rsidR="002B5F07" w:rsidRPr="002F74D0">
        <w:rPr>
          <w:rFonts w:ascii="Times New Roman" w:hAnsi="Times New Roman" w:cs="Times New Roman"/>
          <w:szCs w:val="24"/>
        </w:rPr>
        <w:t xml:space="preserve">jest </w:t>
      </w:r>
      <w:r w:rsidRPr="002F74D0">
        <w:rPr>
          <w:rFonts w:ascii="Times New Roman" w:hAnsi="Times New Roman" w:cs="Times New Roman"/>
          <w:szCs w:val="24"/>
        </w:rPr>
        <w:t xml:space="preserve">podyktowane złożonością i poziomem skomplikowania technicznego administracyjnych postępowań geologiczno-górniczych, a co za tym idzie potrzebą znacznych nakładów czasu i pracy </w:t>
      </w:r>
      <w:r w:rsidR="002B5F07">
        <w:rPr>
          <w:rFonts w:ascii="Times New Roman" w:hAnsi="Times New Roman" w:cs="Times New Roman"/>
          <w:szCs w:val="24"/>
        </w:rPr>
        <w:t>w celu</w:t>
      </w:r>
      <w:r w:rsidR="002B5F07" w:rsidRPr="002F74D0">
        <w:rPr>
          <w:rFonts w:ascii="Times New Roman" w:hAnsi="Times New Roman" w:cs="Times New Roman"/>
          <w:szCs w:val="24"/>
        </w:rPr>
        <w:t xml:space="preserve"> </w:t>
      </w:r>
      <w:r w:rsidRPr="002F74D0">
        <w:rPr>
          <w:rFonts w:ascii="Times New Roman" w:hAnsi="Times New Roman" w:cs="Times New Roman"/>
          <w:szCs w:val="24"/>
        </w:rPr>
        <w:t>wydania rzetelnej i kompetentnej opinii.</w:t>
      </w:r>
      <w:r w:rsidR="000221D7">
        <w:rPr>
          <w:rFonts w:ascii="Times New Roman" w:hAnsi="Times New Roman" w:cs="Times New Roman"/>
          <w:szCs w:val="24"/>
        </w:rPr>
        <w:t xml:space="preserve"> </w:t>
      </w:r>
    </w:p>
    <w:p w14:paraId="46963860" w14:textId="77777777" w:rsidR="00ED4D18" w:rsidRPr="002F74D0" w:rsidRDefault="00ED4D18" w:rsidP="002F74D0">
      <w:pPr>
        <w:pStyle w:val="ARTartustawynprozporzdzenia"/>
        <w:keepNext/>
        <w:ind w:firstLine="0"/>
        <w:rPr>
          <w:rFonts w:ascii="Times New Roman" w:hAnsi="Times New Roman" w:cs="Times New Roman"/>
          <w:szCs w:val="24"/>
        </w:rPr>
      </w:pPr>
      <w:r w:rsidRPr="002F74D0">
        <w:rPr>
          <w:rFonts w:ascii="Times New Roman" w:hAnsi="Times New Roman" w:cs="Times New Roman"/>
          <w:szCs w:val="24"/>
        </w:rPr>
        <w:t>art. 6 ust. 3a</w:t>
      </w:r>
    </w:p>
    <w:p w14:paraId="0BFD9F82" w14:textId="3BF1841A" w:rsidR="00ED4D18" w:rsidRPr="002F74D0" w:rsidRDefault="00ED4D18" w:rsidP="002F74D0">
      <w:pPr>
        <w:pStyle w:val="ARTartustawynprozporzdzenia"/>
        <w:keepNext/>
        <w:ind w:firstLine="0"/>
        <w:rPr>
          <w:rFonts w:ascii="Times New Roman" w:hAnsi="Times New Roman" w:cs="Times New Roman"/>
          <w:szCs w:val="24"/>
        </w:rPr>
      </w:pPr>
      <w:r w:rsidRPr="002F74D0">
        <w:rPr>
          <w:rFonts w:ascii="Times New Roman" w:hAnsi="Times New Roman" w:cs="Times New Roman"/>
          <w:szCs w:val="24"/>
        </w:rPr>
        <w:t xml:space="preserve">Proponowane przepisy mają na celu zapewnienie uwzględnienia potrzeb obronności i bezpieczeństwa państwa w procedurach związanych z budową inwestycji, proponowanych do objęcia przedmiotowym projektem ustawy, zlokalizowanych na terenach lądowych mogących wchodzić w kolizje z terenami zamkniętymi ustalonymi </w:t>
      </w:r>
      <w:r w:rsidRPr="002F74D0">
        <w:rPr>
          <w:rFonts w:ascii="Times New Roman" w:hAnsi="Times New Roman" w:cs="Times New Roman"/>
          <w:szCs w:val="24"/>
        </w:rPr>
        <w:lastRenderedPageBreak/>
        <w:t>przez ministra właściwego do spraw energii, Ministra Obrony Narodowej oraz ich strefami ochronnymi, jak również postępowań dla inwestycji, których stroną są inni inwestorzy realizujący strategiczną inwestycję w sektorze naftowym na danej nieruchomości. Proponowane brzmienie przepisu dotyczącego obowiązku opiniowania przez ministra właściwego do spraw energii inwestycji mogących oddziaływać na tereny zamknięte, niezbędne dla obronności państwa, nie rozwiązuje problemów mogących potencjalnie wystąpić – związanych z obowiązującymi przepisami zmienianej ustawy – a dotyczącymi w szczególności postanowień art. 6 ust. 3 pkt 2</w:t>
      </w:r>
      <w:r w:rsidR="002B40E1">
        <w:rPr>
          <w:rFonts w:ascii="Times New Roman" w:hAnsi="Times New Roman" w:cs="Times New Roman"/>
          <w:szCs w:val="24"/>
        </w:rPr>
        <w:t>–</w:t>
      </w:r>
      <w:r w:rsidRPr="002F74D0">
        <w:rPr>
          <w:rFonts w:ascii="Times New Roman" w:hAnsi="Times New Roman" w:cs="Times New Roman"/>
          <w:szCs w:val="24"/>
        </w:rPr>
        <w:t xml:space="preserve">4 nowelizowanej ustawy, zgodnie z którym, w przypadku objęcia terenu zamkniętego wnioskiem o wydanie decyzji o ustaleniu lokalizacji strategicznej inwestycji w sektorze naftowym z dniem doręczenia zawiadomienia o wszczęciu postępowania w tej sprawie, do czasu wydania tej decyzji, </w:t>
      </w:r>
      <w:r w:rsidR="008351A9" w:rsidRPr="002F74D0">
        <w:rPr>
          <w:rFonts w:ascii="Times New Roman" w:hAnsi="Times New Roman" w:cs="Times New Roman"/>
          <w:szCs w:val="24"/>
        </w:rPr>
        <w:t xml:space="preserve">jest </w:t>
      </w:r>
      <w:r w:rsidRPr="002F74D0">
        <w:rPr>
          <w:rFonts w:ascii="Times New Roman" w:hAnsi="Times New Roman" w:cs="Times New Roman"/>
          <w:szCs w:val="24"/>
        </w:rPr>
        <w:t xml:space="preserve">wstrzymywane wydawanie decyzji pozwolenia na budowę oraz decyzji o warunkach zabudowy i zagospodarowania terenu itp. </w:t>
      </w:r>
      <w:r w:rsidR="008351A9">
        <w:rPr>
          <w:rFonts w:ascii="Times New Roman" w:hAnsi="Times New Roman" w:cs="Times New Roman"/>
          <w:szCs w:val="24"/>
        </w:rPr>
        <w:t>N</w:t>
      </w:r>
      <w:r w:rsidR="008351A9" w:rsidRPr="002F74D0">
        <w:rPr>
          <w:rFonts w:ascii="Times New Roman" w:hAnsi="Times New Roman" w:cs="Times New Roman"/>
          <w:szCs w:val="24"/>
        </w:rPr>
        <w:t xml:space="preserve">ależy </w:t>
      </w:r>
      <w:r w:rsidR="008351A9">
        <w:rPr>
          <w:rFonts w:ascii="Times New Roman" w:hAnsi="Times New Roman" w:cs="Times New Roman"/>
          <w:szCs w:val="24"/>
        </w:rPr>
        <w:t>w</w:t>
      </w:r>
      <w:r w:rsidRPr="002F74D0">
        <w:rPr>
          <w:rFonts w:ascii="Times New Roman" w:hAnsi="Times New Roman" w:cs="Times New Roman"/>
          <w:szCs w:val="24"/>
        </w:rPr>
        <w:t>skazać, że rozwiązanie jest proporcjonalne do zamierzonych skutków.</w:t>
      </w:r>
    </w:p>
    <w:p w14:paraId="1BDD0689" w14:textId="2CCDA05D"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20a ust. 1</w:t>
      </w:r>
      <w:r w:rsidR="002B40E1">
        <w:rPr>
          <w:rFonts w:ascii="Times New Roman" w:hAnsi="Times New Roman" w:cs="Times New Roman"/>
          <w:szCs w:val="24"/>
        </w:rPr>
        <w:t>–</w:t>
      </w:r>
      <w:r w:rsidRPr="002F74D0">
        <w:rPr>
          <w:rFonts w:ascii="Times New Roman" w:hAnsi="Times New Roman" w:cs="Times New Roman"/>
          <w:szCs w:val="24"/>
        </w:rPr>
        <w:t xml:space="preserve">2 </w:t>
      </w:r>
    </w:p>
    <w:p w14:paraId="0950741D" w14:textId="7639612F"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Propozycja stanowi ułatwienie proceduralne i jest odstępstwem od przyjętej w ustawie z dnia 14 czerwca 1960 r. – Kodeks postępowania administracyjnego zasady zawiadamiania stron postępowania o decyzjach i innych czynnościach organu w formie pisemnej. Proponowane rozwiązanie stanowi modyfikację postępowania administracyjnego w sprawie udzielenia koncesji na wydobywanie kopalin ze złóż lub koncesji na podziemne bezzbiornikowe magazynowanie substancji, co </w:t>
      </w:r>
      <w:r w:rsidR="00E26B54" w:rsidRPr="002F74D0">
        <w:rPr>
          <w:rFonts w:ascii="Times New Roman" w:hAnsi="Times New Roman" w:cs="Times New Roman"/>
          <w:szCs w:val="24"/>
        </w:rPr>
        <w:t xml:space="preserve">będzie </w:t>
      </w:r>
      <w:r w:rsidRPr="002F74D0">
        <w:rPr>
          <w:rFonts w:ascii="Times New Roman" w:hAnsi="Times New Roman" w:cs="Times New Roman"/>
          <w:szCs w:val="24"/>
        </w:rPr>
        <w:t xml:space="preserve">służyć sprawnemu przygotowaniu strategicznych inwestycji, dla których </w:t>
      </w:r>
      <w:r w:rsidR="00E26B54" w:rsidRPr="002F74D0">
        <w:rPr>
          <w:rFonts w:ascii="Times New Roman" w:hAnsi="Times New Roman" w:cs="Times New Roman"/>
          <w:szCs w:val="24"/>
        </w:rPr>
        <w:t xml:space="preserve">są </w:t>
      </w:r>
      <w:r w:rsidRPr="002F74D0">
        <w:rPr>
          <w:rFonts w:ascii="Times New Roman" w:hAnsi="Times New Roman" w:cs="Times New Roman"/>
          <w:szCs w:val="24"/>
        </w:rPr>
        <w:t>wymagane ww. koncesje. Zaproponowane rozwiązania przyczynią się do przy</w:t>
      </w:r>
      <w:r w:rsidR="00E26B54">
        <w:rPr>
          <w:rFonts w:ascii="Times New Roman" w:hAnsi="Times New Roman" w:cs="Times New Roman"/>
          <w:szCs w:val="24"/>
        </w:rPr>
        <w:t>s</w:t>
      </w:r>
      <w:r w:rsidRPr="002F74D0">
        <w:rPr>
          <w:rFonts w:ascii="Times New Roman" w:hAnsi="Times New Roman" w:cs="Times New Roman"/>
          <w:szCs w:val="24"/>
        </w:rPr>
        <w:t>pieszenia procesu uzyskiwania wyżej wymienionej decyzji koncesyjnej przez uproszczenie sposobu zawiadamiania stron o wszczęciu postępowania i wydanych decyzjach, prowadzenie postępowania również w przypadku, w którym doszło do zmiany stanu prawnego nieruchomości</w:t>
      </w:r>
      <w:r w:rsidR="00CC0296">
        <w:rPr>
          <w:rFonts w:ascii="Times New Roman" w:hAnsi="Times New Roman" w:cs="Times New Roman"/>
          <w:szCs w:val="24"/>
        </w:rPr>
        <w:t>,</w:t>
      </w:r>
      <w:r w:rsidRPr="002F74D0">
        <w:rPr>
          <w:rFonts w:ascii="Times New Roman" w:hAnsi="Times New Roman" w:cs="Times New Roman"/>
          <w:szCs w:val="24"/>
        </w:rPr>
        <w:t xml:space="preserve"> czy ograniczenie stosowania niektórych przepisów ustawy z dnia 14 czerwca 1960 r. – Kodeks postępowania administracyjnego. Dotychczasowa praktyka pokazała, że uzyskanie przez inwestora decyzji koncesyjnych, o których mowa w art. 21 ust. 1 pkt 2 lub 3 ustawy z dnia 9 czerwca 2011 r. – Prawo geologiczne i górnicze, jest długotrwałym procesem, w którym </w:t>
      </w:r>
      <w:r w:rsidR="00EB54E9" w:rsidRPr="002F74D0">
        <w:rPr>
          <w:rFonts w:ascii="Times New Roman" w:hAnsi="Times New Roman" w:cs="Times New Roman"/>
          <w:szCs w:val="24"/>
        </w:rPr>
        <w:t xml:space="preserve">są </w:t>
      </w:r>
      <w:r w:rsidRPr="002F74D0">
        <w:rPr>
          <w:rFonts w:ascii="Times New Roman" w:hAnsi="Times New Roman" w:cs="Times New Roman"/>
          <w:szCs w:val="24"/>
        </w:rPr>
        <w:t xml:space="preserve">przekraczane przewidziane w obowiązujących przepisach terminy, co ma negatywny wpływ na bezpieczeństwo energetyczne </w:t>
      </w:r>
      <w:r w:rsidRPr="002F74D0">
        <w:rPr>
          <w:rFonts w:ascii="Times New Roman" w:hAnsi="Times New Roman" w:cs="Times New Roman"/>
          <w:szCs w:val="24"/>
        </w:rPr>
        <w:lastRenderedPageBreak/>
        <w:t>Rzeczypospolitej Polskiej. Zaproponowane rozwiązanie jest proporcjonalne do zamierzonego celu</w:t>
      </w:r>
      <w:r w:rsidR="00EB54E9">
        <w:rPr>
          <w:rFonts w:ascii="Times New Roman" w:hAnsi="Times New Roman" w:cs="Times New Roman"/>
          <w:szCs w:val="24"/>
        </w:rPr>
        <w:t>,</w:t>
      </w:r>
      <w:r w:rsidRPr="002F74D0">
        <w:rPr>
          <w:rFonts w:ascii="Times New Roman" w:hAnsi="Times New Roman" w:cs="Times New Roman"/>
          <w:szCs w:val="24"/>
        </w:rPr>
        <w:t xml:space="preserve"> jakim jest ułatwienie proceduralne w procesie inwestycyjnym.</w:t>
      </w:r>
    </w:p>
    <w:p w14:paraId="6E8334CE"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art. 20a ust. 3 </w:t>
      </w:r>
    </w:p>
    <w:p w14:paraId="3A8DAC7C" w14:textId="12524522"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 celu przyspieszenia terminu ujawnienia udokumentowanego złoża kopaliny w studium uwarunkowań i kierunków zagospodarowania przestrzennego gminy proponuje się skrócenie terminu ujawnienia złoża w dokumentach planistycznych do 6 miesięcy od dnia zatwierdzenia dokumentacji geologiczno-inwestycyjnej przez właściwy organ administracji geologicznej. Powołany przepis będzie stosowany odpowiednio. Zaproponowane rozwiązanie jest adekwatne i proporcjonalne do zamierzonego celu</w:t>
      </w:r>
      <w:r w:rsidR="00EB54E9">
        <w:rPr>
          <w:rFonts w:ascii="Times New Roman" w:hAnsi="Times New Roman" w:cs="Times New Roman"/>
          <w:szCs w:val="24"/>
        </w:rPr>
        <w:t>,</w:t>
      </w:r>
      <w:r w:rsidRPr="002F74D0">
        <w:rPr>
          <w:rFonts w:ascii="Times New Roman" w:hAnsi="Times New Roman" w:cs="Times New Roman"/>
          <w:szCs w:val="24"/>
        </w:rPr>
        <w:t xml:space="preserve"> jaki ma zostać osiągnięty.</w:t>
      </w:r>
    </w:p>
    <w:p w14:paraId="681EEF61"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21 ust. 7 i 8</w:t>
      </w:r>
    </w:p>
    <w:p w14:paraId="05D25062" w14:textId="7932E2F8"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O każdym przypadku niewydania w terminie decyzji o środowiskowych uwarunkowaniach realizacji strategicznej inwestycji w sektorze naftowym organ właściwy do rozpatrzenia sprawy powinien zawiadomić strony postępowania, ministra właściwego do spraw środowiska i Generalnego Dyrektora Ochrony Środowiska oraz, w zależności, których inwestycji </w:t>
      </w:r>
      <w:r w:rsidR="0050720B" w:rsidRPr="002F74D0">
        <w:rPr>
          <w:rFonts w:ascii="Times New Roman" w:hAnsi="Times New Roman" w:cs="Times New Roman"/>
          <w:szCs w:val="24"/>
        </w:rPr>
        <w:t xml:space="preserve">dotyczy </w:t>
      </w:r>
      <w:r w:rsidRPr="002F74D0">
        <w:rPr>
          <w:rFonts w:ascii="Times New Roman" w:hAnsi="Times New Roman" w:cs="Times New Roman"/>
          <w:szCs w:val="24"/>
        </w:rPr>
        <w:t>decyzja, Pełnomocnika Rządu do spraw Strategicznej Infrastruktury Energetycznej albo podmiotu uprawnionego do wykonywania praw z akcji w podmiocie, o którym mowa w art. 1 ust. 2 pkt 2 lit. b ustawy. Przedmiotowe uzupełnienie jest konieczne z uwagi na wykonywanie przez Skarb Państwa praw majątkowych i osobistych w spółce PKN ORLEN S.A. Podobnie w odniesieniu do zawiadamiania o każdym przypadku nierozpatrzenia w terminie odwołania od ww. decyzji.</w:t>
      </w:r>
    </w:p>
    <w:p w14:paraId="7062618B"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25a</w:t>
      </w:r>
    </w:p>
    <w:p w14:paraId="0944F634" w14:textId="303A3816"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Zgodnie z proponowanym brzmieniem w przypadku strategicznej inwestycji w sektorze naftowym uprawnienie do wnioskowania o ustanowienie użytkowania górniczego z pierwszeństwem przed innymi, o którym mowa w art. 15 ust. 1 Prawa geologicznego i górniczego, oraz wyłączne prawo do korzystania z informacji geologicznej w celu ubiegania się o wykonywanie działalności, o którym mowa w art. 99 ust. 3 Prawa geologicznego i górniczego, przysługuje w terminie 5 lat od dnia doręczenia decyzji zatwierdzającej dokumentację geologiczną złoża kopaliny. Uzasadniając proponowane rozwiązanie, należy zwrócić uwagę na potrzebę zabezpieczenia inwestora przed prawnym unicestwieniem roszczeń o ustanowienie użytkowania górniczego z uwagi na </w:t>
      </w:r>
      <w:r w:rsidRPr="002F74D0">
        <w:rPr>
          <w:rFonts w:ascii="Times New Roman" w:hAnsi="Times New Roman" w:cs="Times New Roman"/>
          <w:szCs w:val="24"/>
        </w:rPr>
        <w:lastRenderedPageBreak/>
        <w:t>upływ ustawowego terminu. Trzyletni termin prawa pierwszeństwa do wnioskowania o ustanowienie użytkowania górniczego lub ustanowieni</w:t>
      </w:r>
      <w:r w:rsidR="00D8030A">
        <w:rPr>
          <w:rFonts w:ascii="Times New Roman" w:hAnsi="Times New Roman" w:cs="Times New Roman"/>
          <w:szCs w:val="24"/>
        </w:rPr>
        <w:t>e</w:t>
      </w:r>
      <w:r w:rsidRPr="002F74D0">
        <w:rPr>
          <w:rFonts w:ascii="Times New Roman" w:hAnsi="Times New Roman" w:cs="Times New Roman"/>
          <w:szCs w:val="24"/>
        </w:rPr>
        <w:t xml:space="preserve"> wyłącznego prawa do korzystania z informacji geologicznej, na rzecz inwestora strategicznej inwestycji w sektorze naftowym, który spełnia wszystkie ustawowe przesłanki określone w art. 15 ust. 1 lub w art. 99 ust. 2 i 3 Prawa geologicznego i górniczego, może okazać się okresem niewystarczającym, stąd propozycję polegającą na rozpoczęciu biegu wydłużonego pięcioletniego terminu, liczonego od dnia doręczenia wnioskodawcy decyzji zatwierdzającej dokumentację geologiczną złoża kopaliny, należy uznać za adekwatną do postawionego celu.</w:t>
      </w:r>
      <w:r w:rsidR="000221D7">
        <w:rPr>
          <w:rFonts w:ascii="Times New Roman" w:hAnsi="Times New Roman" w:cs="Times New Roman"/>
          <w:szCs w:val="24"/>
        </w:rPr>
        <w:t xml:space="preserve"> </w:t>
      </w:r>
    </w:p>
    <w:p w14:paraId="35A5E12A"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25b</w:t>
      </w:r>
    </w:p>
    <w:p w14:paraId="37BBCB8B" w14:textId="71DEDC5D"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Z uwagi na regulacyjne powiązanie kwestii zawarcia umowy o ustanowieniu użytkowania górniczego z procesem uzyskania i bytem prawnym koncesji geologicznej </w:t>
      </w:r>
      <w:r w:rsidR="009B3501" w:rsidRPr="002F74D0">
        <w:rPr>
          <w:rFonts w:ascii="Times New Roman" w:hAnsi="Times New Roman" w:cs="Times New Roman"/>
          <w:szCs w:val="24"/>
        </w:rPr>
        <w:t xml:space="preserve">jest </w:t>
      </w:r>
      <w:r w:rsidRPr="002F74D0">
        <w:rPr>
          <w:rFonts w:ascii="Times New Roman" w:hAnsi="Times New Roman" w:cs="Times New Roman"/>
          <w:szCs w:val="24"/>
        </w:rPr>
        <w:t>zasadne zagwarantowanie większego bezpieczeństwa proceduralnego na rzecz inwestora, na wypadek przedłużającego się postępowania koncesyjnego. Usprawnienie polega na wydłużeniu terminu do dwóch lat dla trwania warunku rozwiązującego określonego w art. 13 ust. 6 Prawa geologicznego i górniczego.</w:t>
      </w:r>
    </w:p>
    <w:p w14:paraId="3A7C71AE" w14:textId="2A0A0960"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35 ust. 8</w:t>
      </w:r>
      <w:r w:rsidR="002B40E1">
        <w:rPr>
          <w:rFonts w:ascii="Times New Roman" w:hAnsi="Times New Roman" w:cs="Times New Roman"/>
          <w:szCs w:val="24"/>
        </w:rPr>
        <w:t>–</w:t>
      </w:r>
      <w:r w:rsidRPr="002F74D0">
        <w:rPr>
          <w:rFonts w:ascii="Times New Roman" w:hAnsi="Times New Roman" w:cs="Times New Roman"/>
          <w:szCs w:val="24"/>
        </w:rPr>
        <w:t xml:space="preserve">11 </w:t>
      </w:r>
    </w:p>
    <w:p w14:paraId="5322066A" w14:textId="46DC0781"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Krąg podmiotów, który jest zawiadamiany o każdym przypadku niewydania w terminie decyzji, o których mowa w art. 3 ust. 1 (decyzja o ustaleniu lokalizacji strategicznej inwestycji w sektorze naftowym), art. 18 ust. 1 (pozwolenie na budowę strategicznej inwestycji w sektorze naftowym) i art. 19 ust. 1 (pozwolenie na użytkowanie strategicznej inwestycji w sektorze naftowym) ustawy, a także nierozpatrzenia w terminie odwołania od tych decyzji, przez organ właściwy do rozpatrzenia sprawy, został rozszerzony o podmiot uprawniony do wykonywania praw z akcji w podmiocie, o którym mowa w art. 1 ust. 2 pkt 2 lit. b ustawy</w:t>
      </w:r>
      <w:r w:rsidR="009B3501">
        <w:rPr>
          <w:rFonts w:ascii="Times New Roman" w:hAnsi="Times New Roman" w:cs="Times New Roman"/>
          <w:szCs w:val="24"/>
        </w:rPr>
        <w:t>,</w:t>
      </w:r>
      <w:r w:rsidRPr="002F74D0">
        <w:rPr>
          <w:rFonts w:ascii="Times New Roman" w:hAnsi="Times New Roman" w:cs="Times New Roman"/>
          <w:szCs w:val="24"/>
        </w:rPr>
        <w:t xml:space="preserve"> w odniesieniu do decyzji dotyczących strategicznych inwestycji naftowych wymienionych w pkt II wykazu określonego w załączniku do ustawy. </w:t>
      </w:r>
    </w:p>
    <w:p w14:paraId="5B5CE10E" w14:textId="77777777" w:rsidR="00ED4D18" w:rsidRPr="002F74D0" w:rsidRDefault="00ED4D18" w:rsidP="002F74D0">
      <w:pPr>
        <w:pStyle w:val="ARTartustawynprozporzdzenia"/>
        <w:keepNext/>
        <w:ind w:firstLine="0"/>
        <w:rPr>
          <w:rFonts w:ascii="Times New Roman" w:hAnsi="Times New Roman" w:cs="Times New Roman"/>
          <w:b/>
          <w:szCs w:val="24"/>
        </w:rPr>
      </w:pPr>
      <w:r w:rsidRPr="002F74D0">
        <w:rPr>
          <w:rFonts w:ascii="Times New Roman" w:hAnsi="Times New Roman" w:cs="Times New Roman"/>
          <w:b/>
          <w:szCs w:val="24"/>
        </w:rPr>
        <w:t>Art. 2</w:t>
      </w:r>
    </w:p>
    <w:p w14:paraId="1532BA0B" w14:textId="0AD4FE08" w:rsidR="00ED4D18" w:rsidRPr="002F74D0" w:rsidRDefault="00ED4D18" w:rsidP="002F74D0">
      <w:pPr>
        <w:pStyle w:val="ARTartustawynprozporzdzenia"/>
        <w:keepNext/>
        <w:ind w:firstLine="0"/>
        <w:rPr>
          <w:rFonts w:ascii="Times New Roman" w:hAnsi="Times New Roman" w:cs="Times New Roman"/>
          <w:szCs w:val="24"/>
        </w:rPr>
      </w:pPr>
      <w:r w:rsidRPr="002F74D0">
        <w:rPr>
          <w:rFonts w:ascii="Times New Roman" w:hAnsi="Times New Roman" w:cs="Times New Roman"/>
          <w:szCs w:val="24"/>
        </w:rPr>
        <w:t xml:space="preserve">Ponadto proponuje się, aby do wszczętych i niezakończonych przed dniem wejścia w życie niniejszej ustawy postępowań dotyczących strategicznych inwestycji w sektorze </w:t>
      </w:r>
      <w:r w:rsidRPr="002F74D0">
        <w:rPr>
          <w:rFonts w:ascii="Times New Roman" w:hAnsi="Times New Roman" w:cs="Times New Roman"/>
          <w:szCs w:val="24"/>
        </w:rPr>
        <w:lastRenderedPageBreak/>
        <w:t>naftowym wymienionych w załączniku do ustawy zmienianej w art. 1 w brzmieniu nadanym niniejszą ustawą stosowało się przepisy dotychczasowe.</w:t>
      </w:r>
    </w:p>
    <w:p w14:paraId="5617F74F" w14:textId="77777777" w:rsidR="00ED4D18" w:rsidRPr="002F74D0" w:rsidRDefault="00ED4D18" w:rsidP="002F74D0">
      <w:pPr>
        <w:pStyle w:val="ARTartustawynprozporzdzenia"/>
        <w:ind w:firstLine="0"/>
        <w:rPr>
          <w:rFonts w:ascii="Times New Roman" w:hAnsi="Times New Roman" w:cs="Times New Roman"/>
          <w:b/>
          <w:szCs w:val="24"/>
        </w:rPr>
      </w:pPr>
      <w:r w:rsidRPr="002F74D0">
        <w:rPr>
          <w:rFonts w:ascii="Times New Roman" w:hAnsi="Times New Roman" w:cs="Times New Roman"/>
          <w:b/>
          <w:szCs w:val="24"/>
        </w:rPr>
        <w:t>Art. 3</w:t>
      </w:r>
    </w:p>
    <w:p w14:paraId="70777E31"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3 ust. 1</w:t>
      </w:r>
    </w:p>
    <w:p w14:paraId="33311E9B" w14:textId="087783AD"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art. 3 ust. 1 proponuje się, aby do zawartych umów o ustanowienie użytkowania górniczego, o których mowa w art. 13 ust. 1 ustawy z dnia 9 czerwca 2011 r. – Prawo geologiczne i górnicze (Dz. U. z 2021 r. poz. 1420, z </w:t>
      </w:r>
      <w:proofErr w:type="spellStart"/>
      <w:r w:rsidRPr="002F74D0">
        <w:rPr>
          <w:rFonts w:ascii="Times New Roman" w:hAnsi="Times New Roman" w:cs="Times New Roman"/>
          <w:szCs w:val="24"/>
        </w:rPr>
        <w:t>późn</w:t>
      </w:r>
      <w:proofErr w:type="spellEnd"/>
      <w:r w:rsidRPr="002F74D0">
        <w:rPr>
          <w:rFonts w:ascii="Times New Roman" w:hAnsi="Times New Roman" w:cs="Times New Roman"/>
          <w:szCs w:val="24"/>
        </w:rPr>
        <w:t xml:space="preserve">. zm.), dotyczących inwestycji wymienionych w załączniku do ustawy zmienianej w art. 1 w brzmieniu nadanym niniejszą ustawą, zawartych przez podmiot, o którym mowa w art. 1 ust. 2 pkt 2 ustawy zmienianej w art. 1 w brzmieniu nadanym niniejszą ustawą, przed dniem wejścia w życie niniejszej ustawy i niewygasłych do tego dnia </w:t>
      </w:r>
      <w:r w:rsidR="00F26822" w:rsidRPr="002F74D0">
        <w:rPr>
          <w:rFonts w:ascii="Times New Roman" w:hAnsi="Times New Roman" w:cs="Times New Roman"/>
          <w:szCs w:val="24"/>
        </w:rPr>
        <w:t xml:space="preserve">miał </w:t>
      </w:r>
      <w:r w:rsidRPr="002F74D0">
        <w:rPr>
          <w:rFonts w:ascii="Times New Roman" w:hAnsi="Times New Roman" w:cs="Times New Roman"/>
          <w:szCs w:val="24"/>
        </w:rPr>
        <w:t xml:space="preserve">zastosowanie art. 25b ustawy zmienianej w art. 1. </w:t>
      </w:r>
    </w:p>
    <w:p w14:paraId="7E6FDD12"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art. 3 ust. 2</w:t>
      </w:r>
    </w:p>
    <w:p w14:paraId="248107A8" w14:textId="6C03457C"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art. 3 ust. 2 proponuje się, aby do uzyskanych przez podmiot, o którym mowa w art. 1 ust. 2 pkt 2 ustawy zmienianej w art. 1 w brzmieniu nadanym niniejszą ustawą, przed dniem wejścia w życie niniejszej ustawy uprawnień, o których mowa w art. 15 ust. 1 pkt 2 i art. 99 ust. 3 ustawy z dnia 9 czerwca 2011 r. – Prawo geologiczne i górnicze, dotyczących inwestycji wymienionych w załączniku do ustawy zmienianej w art. 1 w brzmieniu nadanym niniejszą ustawą, a które niewygasły do tego dnia, </w:t>
      </w:r>
      <w:r w:rsidR="009C2D56" w:rsidRPr="002F74D0">
        <w:rPr>
          <w:rFonts w:ascii="Times New Roman" w:hAnsi="Times New Roman" w:cs="Times New Roman"/>
          <w:szCs w:val="24"/>
        </w:rPr>
        <w:t xml:space="preserve">miał </w:t>
      </w:r>
      <w:r w:rsidRPr="002F74D0">
        <w:rPr>
          <w:rFonts w:ascii="Times New Roman" w:hAnsi="Times New Roman" w:cs="Times New Roman"/>
          <w:szCs w:val="24"/>
        </w:rPr>
        <w:t>zastosowanie art. 25a ustawy zmienianej w art. 1.</w:t>
      </w:r>
    </w:p>
    <w:p w14:paraId="050F8549" w14:textId="77777777" w:rsidR="00ED4D18" w:rsidRPr="002F74D0" w:rsidRDefault="00ED4D18" w:rsidP="002F74D0">
      <w:pPr>
        <w:pStyle w:val="ARTartustawynprozporzdzenia"/>
        <w:ind w:firstLine="0"/>
        <w:rPr>
          <w:rFonts w:ascii="Times New Roman" w:hAnsi="Times New Roman" w:cs="Times New Roman"/>
          <w:b/>
          <w:szCs w:val="24"/>
        </w:rPr>
      </w:pPr>
      <w:r w:rsidRPr="002F74D0">
        <w:rPr>
          <w:rFonts w:ascii="Times New Roman" w:hAnsi="Times New Roman" w:cs="Times New Roman"/>
          <w:b/>
          <w:szCs w:val="24"/>
        </w:rPr>
        <w:t>Art. 4</w:t>
      </w:r>
    </w:p>
    <w:p w14:paraId="3F78FF69"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Zgodnie z projektem ustawy ustawa wchodzi w życie po upływie 14 dni od dnia jej ogłoszenia.</w:t>
      </w:r>
    </w:p>
    <w:p w14:paraId="1E29AAE5" w14:textId="77777777" w:rsidR="00ED4D18" w:rsidRPr="000221D7" w:rsidRDefault="00ED4D18" w:rsidP="002F74D0">
      <w:pPr>
        <w:spacing w:before="120"/>
        <w:rPr>
          <w:rStyle w:val="Ppogrubienie"/>
          <w:rFonts w:cs="Times New Roman"/>
          <w:szCs w:val="24"/>
        </w:rPr>
      </w:pPr>
      <w:r w:rsidRPr="000221D7">
        <w:rPr>
          <w:rStyle w:val="Ppogrubienie"/>
          <w:rFonts w:cs="Times New Roman"/>
          <w:szCs w:val="24"/>
        </w:rPr>
        <w:t>Załącznik do ustawy – wykaz strategicznych inwestycji w sektorze naftowym</w:t>
      </w:r>
    </w:p>
    <w:p w14:paraId="3F8DC8C4"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Szczegółowy zakres strategicznych inwestycji w sektorze naftowym polegających na dostosowaniu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do wymagań dostępności fizycznej zgromadzonych w tym magazynie zapasów interwencyjnych, określonej w art. 3 ust. 12 ustawy o zapasach ropy naftowej, przewiduje w pkt II:</w:t>
      </w:r>
    </w:p>
    <w:p w14:paraId="3D5BDC2C" w14:textId="548D8461" w:rsidR="00ED4D18" w:rsidRPr="002F74D0" w:rsidRDefault="00ED4D18" w:rsidP="002F74D0">
      <w:pPr>
        <w:pStyle w:val="PKTpunkt"/>
        <w:numPr>
          <w:ilvl w:val="0"/>
          <w:numId w:val="1"/>
        </w:numPr>
        <w:spacing w:before="120"/>
        <w:ind w:left="462" w:hanging="448"/>
        <w:rPr>
          <w:rStyle w:val="Ppogrubienie"/>
          <w:rFonts w:ascii="Times New Roman" w:hAnsi="Times New Roman" w:cs="Times New Roman"/>
          <w:szCs w:val="24"/>
        </w:rPr>
      </w:pPr>
      <w:r w:rsidRPr="002F74D0">
        <w:rPr>
          <w:rStyle w:val="Ppogrubienie"/>
          <w:rFonts w:ascii="Times New Roman" w:hAnsi="Times New Roman" w:cs="Times New Roman"/>
          <w:szCs w:val="24"/>
        </w:rPr>
        <w:lastRenderedPageBreak/>
        <w:t xml:space="preserve">rozbudowę lub przebudowę bezzbiornikowych pojemności przeznaczonych do magazynowania ropy naftowej lub paliw wykorzystywanych jako magazyn w Górze wraz z infrastrukturą niezbędną do jego obsługi </w:t>
      </w:r>
    </w:p>
    <w:p w14:paraId="081A5D14" w14:textId="04B33025"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Wymagana rozbudowa lub przebudowa bezzbiornikowych pojemności przeznaczonych do magazynowania ropy naftowej lub paliw wykorzystywanych jako magazyn w Górze wraz z infrastrukturą niezbędną do jego obsługi powinna obejmować: budowę rurociągu solanki Janikowo</w:t>
      </w:r>
      <w:r w:rsidR="00CD2BDE">
        <w:rPr>
          <w:rFonts w:ascii="Times New Roman" w:hAnsi="Times New Roman" w:cs="Times New Roman"/>
          <w:szCs w:val="24"/>
        </w:rPr>
        <w:t xml:space="preserve"> – </w:t>
      </w:r>
      <w:r w:rsidRPr="002F74D0">
        <w:rPr>
          <w:rFonts w:ascii="Times New Roman" w:hAnsi="Times New Roman" w:cs="Times New Roman"/>
          <w:szCs w:val="24"/>
        </w:rPr>
        <w:t xml:space="preserve">Góra, budowę rurociągu solanki Mątwy – Janikowo, budowę rurociągu solanki Przyjma – Janikowo, rozbudowę lub przebudowę rurociągu wody technologicznej Wójcin – Przyjma, wykonanie otworów eksploatacyjnych w Kopalni Soli Góra i Kopalni Soli Mogilno oraz rozbudowę naziemnej infrastruktury technicznej, a także budowę rurociągu produktów naftowych Góra – Wielowieś, rozbudowę lub przebudowę rurociągu ropy naftowej Góra – </w:t>
      </w:r>
      <w:proofErr w:type="spellStart"/>
      <w:r w:rsidRPr="002F74D0">
        <w:rPr>
          <w:rFonts w:ascii="Times New Roman" w:hAnsi="Times New Roman" w:cs="Times New Roman"/>
          <w:szCs w:val="24"/>
        </w:rPr>
        <w:t>Żółwieniec</w:t>
      </w:r>
      <w:proofErr w:type="spellEnd"/>
      <w:r w:rsidRPr="002F74D0">
        <w:rPr>
          <w:rFonts w:ascii="Times New Roman" w:hAnsi="Times New Roman" w:cs="Times New Roman"/>
          <w:szCs w:val="24"/>
        </w:rPr>
        <w:t>.</w:t>
      </w:r>
    </w:p>
    <w:p w14:paraId="76717A9D"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 zakresie inwestycji w łącznik paliwowy magazyn </w:t>
      </w:r>
      <w:proofErr w:type="spellStart"/>
      <w:r w:rsidRPr="002F74D0">
        <w:rPr>
          <w:rFonts w:ascii="Times New Roman" w:hAnsi="Times New Roman" w:cs="Times New Roman"/>
          <w:szCs w:val="24"/>
        </w:rPr>
        <w:t>kawernowy</w:t>
      </w:r>
      <w:proofErr w:type="spellEnd"/>
      <w:r w:rsidRPr="002F74D0">
        <w:rPr>
          <w:rFonts w:ascii="Times New Roman" w:hAnsi="Times New Roman" w:cs="Times New Roman"/>
          <w:szCs w:val="24"/>
        </w:rPr>
        <w:t xml:space="preserve"> w Górze – Wielowieś, który aktualnie jest wpisany do realizacji inwestycji po stronie dotychczas jedynego inwestora – spółki PERN S.A., proponuje się powtórzyć tę inwestycję także po stronie podmiotu magazynującego ropę i produkty naftowe w magazynie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tak, aby dać większą elastyczność w zakresie realizacji tej inwestycji zarówno po stronie PERN S.A., jak i po stronie podmiotu magazynującego ropę i produkty naftowe w magazynie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którym jest PKN ORLEN S.A.</w:t>
      </w:r>
    </w:p>
    <w:p w14:paraId="7A79DBA2" w14:textId="541C7173"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Wskazane inwestycje mają na celu zwiększenie wydajności rurociągowego systemu przesyłowego solanki oraz paliw, które umożliwią stabilne funkcjonowanie systemów magazynowych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Konieczne jest również zapewnienie odpowiednich połączeń rurociągami solanki infrastruktury znajdującej się w Janikowie, Przyjmie (Kopalna Soli Mogilno) oraz Wielowsi. Dodatkową funkcją rurociągu Góra </w:t>
      </w:r>
      <w:r w:rsidR="00CD2BDE">
        <w:rPr>
          <w:rFonts w:ascii="Times New Roman" w:hAnsi="Times New Roman" w:cs="Times New Roman"/>
          <w:szCs w:val="24"/>
        </w:rPr>
        <w:t>–</w:t>
      </w:r>
      <w:r w:rsidRPr="002F74D0">
        <w:rPr>
          <w:rFonts w:ascii="Times New Roman" w:hAnsi="Times New Roman" w:cs="Times New Roman"/>
          <w:szCs w:val="24"/>
        </w:rPr>
        <w:t xml:space="preserve"> Janikowo będzie możliwość pracy rewersyjnej, umożliwiającej przesyłanie solanki do zakładów chemicznych z regionu lub pochodzącej z Kopalni Soli Lubień. W celu zwiększenia możliwości produkcji solanki w Kopalni Soli Góra oraz Kopalni Soli Mogilno </w:t>
      </w:r>
      <w:r w:rsidR="009A0239" w:rsidRPr="002F74D0">
        <w:rPr>
          <w:rFonts w:ascii="Times New Roman" w:hAnsi="Times New Roman" w:cs="Times New Roman"/>
          <w:szCs w:val="24"/>
        </w:rPr>
        <w:t xml:space="preserve">jest </w:t>
      </w:r>
      <w:r w:rsidRPr="002F74D0">
        <w:rPr>
          <w:rFonts w:ascii="Times New Roman" w:hAnsi="Times New Roman" w:cs="Times New Roman"/>
          <w:szCs w:val="24"/>
        </w:rPr>
        <w:t xml:space="preserve">niezbędne wywiercenie nowych otworów eksploatacyjnych solanki potrzebnej w procesach interwencyjnego wytłaczania ropy i paliw. </w:t>
      </w:r>
    </w:p>
    <w:p w14:paraId="2FEBC6C5" w14:textId="62393E6A" w:rsidR="00ED4D18" w:rsidRPr="002F74D0" w:rsidRDefault="00ED4D18" w:rsidP="002F74D0">
      <w:pPr>
        <w:pStyle w:val="PKTpunkt"/>
        <w:numPr>
          <w:ilvl w:val="0"/>
          <w:numId w:val="1"/>
        </w:numPr>
        <w:spacing w:before="120"/>
        <w:ind w:left="364" w:hanging="350"/>
        <w:rPr>
          <w:rStyle w:val="Ppogrubienie"/>
          <w:rFonts w:ascii="Times New Roman" w:hAnsi="Times New Roman" w:cs="Times New Roman"/>
          <w:szCs w:val="24"/>
        </w:rPr>
      </w:pPr>
      <w:r w:rsidRPr="002F74D0">
        <w:rPr>
          <w:rStyle w:val="Ppogrubienie"/>
          <w:rFonts w:ascii="Times New Roman" w:hAnsi="Times New Roman" w:cs="Times New Roman"/>
          <w:szCs w:val="24"/>
        </w:rPr>
        <w:t>budowę otworowej kopalni soli kamiennej na obszarze złoża soli kamiennej Lubień Kujawski wraz z infrastrukturą niezbędną do jej obsługi</w:t>
      </w:r>
    </w:p>
    <w:p w14:paraId="03354338" w14:textId="1C2893EA"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lastRenderedPageBreak/>
        <w:t xml:space="preserve">Budowa otworowej kopalni soli kamiennej na obszarze złoża soli kamiennej Lubień Kujawski wraz z infrastrukturą niezbędną do jej obsługi zapewni odpowiedni front solankowy niezbędny do zabezpieczenia pojemności w </w:t>
      </w:r>
      <w:proofErr w:type="spellStart"/>
      <w:r w:rsidRPr="002F74D0">
        <w:rPr>
          <w:rFonts w:ascii="Times New Roman" w:hAnsi="Times New Roman" w:cs="Times New Roman"/>
          <w:szCs w:val="24"/>
        </w:rPr>
        <w:t>kawernowym</w:t>
      </w:r>
      <w:proofErr w:type="spellEnd"/>
      <w:r w:rsidRPr="002F74D0">
        <w:rPr>
          <w:rFonts w:ascii="Times New Roman" w:hAnsi="Times New Roman" w:cs="Times New Roman"/>
          <w:szCs w:val="24"/>
        </w:rPr>
        <w:t xml:space="preserve">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pod jego optymalne wykorzystanie do magazynowania zapasów interwencyjnych ropy naftowej i paliw ciekłych, co jest kluczowe w kontekście zapewnienia bezpieczeństwa energetycznego państwa oraz potrzeby zapewnienia długoterminowego utrzymania bilansu solanki na potrzeby krajowego przemysłu chemicznego. Brak realizacji tego projektu może przyczynić się do ograniczenia operacyjności i interwencyjności magazynu </w:t>
      </w:r>
      <w:proofErr w:type="spellStart"/>
      <w:r w:rsidRPr="002F74D0">
        <w:rPr>
          <w:rFonts w:ascii="Times New Roman" w:hAnsi="Times New Roman" w:cs="Times New Roman"/>
          <w:szCs w:val="24"/>
        </w:rPr>
        <w:t>PMRiP</w:t>
      </w:r>
      <w:proofErr w:type="spellEnd"/>
      <w:r w:rsidRPr="002F74D0">
        <w:rPr>
          <w:rFonts w:ascii="Times New Roman" w:hAnsi="Times New Roman" w:cs="Times New Roman"/>
          <w:szCs w:val="24"/>
        </w:rPr>
        <w:t xml:space="preserve"> „Góra”, co w konsekwencji może skutkować niewypełnieniem wymagań określonych w ustawie o zapasach ropy naftowej. W związku z niezbędnością zapewnienia bezpiecznego i stabilnego procesu tworzenia i utrzymywania zapasów ropy naftowej i produktów naftowych oraz zapewnienia sprawności postępowania w sytuacjach zagrożenia bezpieczeństwa paliwowego państwa </w:t>
      </w:r>
      <w:r w:rsidR="005B6CBE" w:rsidRPr="002F74D0">
        <w:rPr>
          <w:rFonts w:ascii="Times New Roman" w:hAnsi="Times New Roman" w:cs="Times New Roman"/>
          <w:szCs w:val="24"/>
        </w:rPr>
        <w:t xml:space="preserve">jest </w:t>
      </w:r>
      <w:r w:rsidRPr="002F74D0">
        <w:rPr>
          <w:rFonts w:ascii="Times New Roman" w:hAnsi="Times New Roman" w:cs="Times New Roman"/>
          <w:szCs w:val="24"/>
        </w:rPr>
        <w:t xml:space="preserve">konieczne </w:t>
      </w:r>
      <w:r w:rsidR="005B6CBE">
        <w:rPr>
          <w:rFonts w:ascii="Times New Roman" w:hAnsi="Times New Roman" w:cs="Times New Roman"/>
          <w:szCs w:val="24"/>
        </w:rPr>
        <w:t>umożliwienie</w:t>
      </w:r>
      <w:r w:rsidRPr="002F74D0">
        <w:rPr>
          <w:rFonts w:ascii="Times New Roman" w:hAnsi="Times New Roman" w:cs="Times New Roman"/>
          <w:szCs w:val="24"/>
        </w:rPr>
        <w:t xml:space="preserve"> inwestorowi realizacji wyżej wymienionej inwestycji w uproszczonym trybie przewidzianym w projekcie ustawy.</w:t>
      </w:r>
    </w:p>
    <w:p w14:paraId="2D60720B" w14:textId="5BBF4196" w:rsidR="00ED4D18" w:rsidRPr="002F74D0" w:rsidRDefault="00ED4D18" w:rsidP="002F74D0">
      <w:pPr>
        <w:pStyle w:val="PKTpunkt"/>
        <w:numPr>
          <w:ilvl w:val="0"/>
          <w:numId w:val="1"/>
        </w:numPr>
        <w:spacing w:before="120"/>
        <w:ind w:left="420" w:hanging="392"/>
        <w:rPr>
          <w:rStyle w:val="Ppogrubienie"/>
          <w:rFonts w:ascii="Times New Roman" w:hAnsi="Times New Roman" w:cs="Times New Roman"/>
          <w:szCs w:val="24"/>
        </w:rPr>
      </w:pPr>
      <w:r w:rsidRPr="002F74D0">
        <w:rPr>
          <w:rStyle w:val="Ppogrubienie"/>
          <w:rFonts w:ascii="Times New Roman" w:hAnsi="Times New Roman" w:cs="Times New Roman"/>
          <w:szCs w:val="24"/>
        </w:rPr>
        <w:t>budowę rurociągów ropy naftowej, produktów naftowych, solanki lub wody technologicznej w celu zmiany trasy istniejących rurociągów ropy naftowej, produktów naftowych, solanki lub wody technologicznej albo ich odbudowę, rozbudowę, przebudowę, remont, rozbiórkę lub zmianę sposobu użytkowania wraz z infrastrukturą niezbędną do ich obsługi</w:t>
      </w:r>
    </w:p>
    <w:p w14:paraId="6803DA66" w14:textId="5343FF91"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Proponowana do objęcia nowelizowaną ustawą strategiczna inwestycja w sektorze naftowym, o której mowa w pkt II projektowanego załącznika do zmienianej ustawy, przewiduje również budowę rurociągów ropy naftowej, produktów naftowych, solanki lub wody technologicznej w celu zmiany trasy istniejących rurociągów ropy naftowej, produktów naftowych, solanki lub wody technologicznej albo ich odbudowę, rozbudowę, przebudowę, remont, rozbiórkę lub zmianę sposobu użytkowania wraz z infrastrukturą niezbędną do ich obsługi. Zapewnienie sprawności działania systemu magazynowania </w:t>
      </w:r>
      <w:proofErr w:type="spellStart"/>
      <w:r w:rsidRPr="002F74D0">
        <w:rPr>
          <w:rFonts w:ascii="Times New Roman" w:hAnsi="Times New Roman" w:cs="Times New Roman"/>
          <w:szCs w:val="24"/>
        </w:rPr>
        <w:t>kawernowego</w:t>
      </w:r>
      <w:proofErr w:type="spellEnd"/>
      <w:r w:rsidRPr="002F74D0">
        <w:rPr>
          <w:rFonts w:ascii="Times New Roman" w:hAnsi="Times New Roman" w:cs="Times New Roman"/>
          <w:szCs w:val="24"/>
        </w:rPr>
        <w:t xml:space="preserve"> zapasów interwencyjnych wymaga nie tylko realizacji inwestycji polegających na budowie lub rozbudowie infrastruktury, ale i utrzymania już wybudowanych rurociągów w</w:t>
      </w:r>
      <w:r w:rsidR="000221D7">
        <w:rPr>
          <w:rFonts w:ascii="Times New Roman" w:hAnsi="Times New Roman" w:cs="Times New Roman"/>
          <w:szCs w:val="24"/>
        </w:rPr>
        <w:t xml:space="preserve"> </w:t>
      </w:r>
      <w:r w:rsidRPr="002F74D0">
        <w:rPr>
          <w:rFonts w:ascii="Times New Roman" w:hAnsi="Times New Roman" w:cs="Times New Roman"/>
          <w:szCs w:val="24"/>
        </w:rPr>
        <w:t>odpowiednim stanie. Tym samym konieczn</w:t>
      </w:r>
      <w:r w:rsidR="006B5D00">
        <w:rPr>
          <w:rFonts w:ascii="Times New Roman" w:hAnsi="Times New Roman" w:cs="Times New Roman"/>
          <w:szCs w:val="24"/>
        </w:rPr>
        <w:t>e</w:t>
      </w:r>
      <w:r w:rsidRPr="002F74D0">
        <w:rPr>
          <w:rFonts w:ascii="Times New Roman" w:hAnsi="Times New Roman" w:cs="Times New Roman"/>
          <w:szCs w:val="24"/>
        </w:rPr>
        <w:t xml:space="preserve"> są stałe modernizacje lub remonty (np. zwiększenie wydajności </w:t>
      </w:r>
      <w:proofErr w:type="spellStart"/>
      <w:r w:rsidRPr="002F74D0">
        <w:rPr>
          <w:rFonts w:ascii="Times New Roman" w:hAnsi="Times New Roman" w:cs="Times New Roman"/>
          <w:szCs w:val="24"/>
        </w:rPr>
        <w:t>przesyłu</w:t>
      </w:r>
      <w:proofErr w:type="spellEnd"/>
      <w:r w:rsidRPr="002F74D0">
        <w:rPr>
          <w:rFonts w:ascii="Times New Roman" w:hAnsi="Times New Roman" w:cs="Times New Roman"/>
          <w:szCs w:val="24"/>
        </w:rPr>
        <w:t xml:space="preserve">) obecnych rurociągów ropy naftowej, produktów naftowych, solanki czy wody technologicznej. Wskazany zakres inwestycji jest motywowany potrzebą zachowania stabilności operacyjnej, </w:t>
      </w:r>
      <w:r w:rsidRPr="002F74D0">
        <w:rPr>
          <w:rFonts w:ascii="Times New Roman" w:hAnsi="Times New Roman" w:cs="Times New Roman"/>
          <w:szCs w:val="24"/>
        </w:rPr>
        <w:lastRenderedPageBreak/>
        <w:t>bezpieczeństwa i ciągłości pracy ww. aktywów, a także potrzebą zapewnienia komplementarności istniejącej i nowo powstałej infrastruktury przesyłowo</w:t>
      </w:r>
      <w:r w:rsidR="000221D7">
        <w:rPr>
          <w:rFonts w:ascii="Times New Roman" w:hAnsi="Times New Roman" w:cs="Times New Roman"/>
          <w:szCs w:val="24"/>
        </w:rPr>
        <w:t>-</w:t>
      </w:r>
      <w:r w:rsidRPr="002F74D0">
        <w:rPr>
          <w:rFonts w:ascii="Times New Roman" w:hAnsi="Times New Roman" w:cs="Times New Roman"/>
          <w:szCs w:val="24"/>
        </w:rPr>
        <w:t xml:space="preserve">magazynowej w perspektywie następnych kilkudziesięciu lat funkcjonowania tej strategicznej infrastruktury magazynowej. </w:t>
      </w:r>
    </w:p>
    <w:p w14:paraId="76DE7A0E" w14:textId="17BEBD4E"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Mając na uwadze rozwiązania przewidziane w projekcie ustawy, należy stwierdzić, że nie ma możliwości podjęcia środków alternatywnych w</w:t>
      </w:r>
      <w:r w:rsidR="000221D7">
        <w:rPr>
          <w:rFonts w:ascii="Times New Roman" w:hAnsi="Times New Roman" w:cs="Times New Roman"/>
          <w:szCs w:val="24"/>
        </w:rPr>
        <w:t xml:space="preserve"> </w:t>
      </w:r>
      <w:r w:rsidRPr="002F74D0">
        <w:rPr>
          <w:rFonts w:ascii="Times New Roman" w:hAnsi="Times New Roman" w:cs="Times New Roman"/>
          <w:szCs w:val="24"/>
        </w:rPr>
        <w:t>stosunku do uchwalenia ustawy.</w:t>
      </w:r>
    </w:p>
    <w:p w14:paraId="4FFD66B8"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W pkt III załącznika do ustawy przewidziano inwestycje polegające na:</w:t>
      </w:r>
    </w:p>
    <w:p w14:paraId="475A6F98" w14:textId="77777777" w:rsidR="00ED4D18" w:rsidRPr="002F74D0" w:rsidRDefault="00ED4D18" w:rsidP="003065B5">
      <w:pPr>
        <w:pStyle w:val="PKTpunkt"/>
        <w:rPr>
          <w:rFonts w:ascii="Times New Roman" w:hAnsi="Times New Roman" w:cs="Times New Roman"/>
          <w:szCs w:val="24"/>
        </w:rPr>
      </w:pPr>
      <w:r w:rsidRPr="002F74D0">
        <w:rPr>
          <w:rFonts w:ascii="Times New Roman" w:hAnsi="Times New Roman" w:cs="Times New Roman"/>
          <w:szCs w:val="24"/>
        </w:rPr>
        <w:t>1)</w:t>
      </w:r>
      <w:r w:rsidRPr="002F74D0">
        <w:rPr>
          <w:rFonts w:ascii="Times New Roman" w:hAnsi="Times New Roman" w:cs="Times New Roman"/>
          <w:szCs w:val="24"/>
        </w:rPr>
        <w:tab/>
        <w:t>budowie otworowej kopalni soli kamiennej na obszarze złoża soli kamiennej Damasławek wraz z infrastrukturą niezbędną do jej obsługi, w tym budowie zakładu górniczego wraz z wykonaniem otworów eksploatacyjnych oraz wykonaniem naziemnej infrastruktury technicznej;</w:t>
      </w:r>
    </w:p>
    <w:p w14:paraId="7377F062" w14:textId="77777777" w:rsidR="00ED4D18" w:rsidRPr="002F74D0" w:rsidRDefault="00ED4D18" w:rsidP="003065B5">
      <w:pPr>
        <w:pStyle w:val="PKTpunkt"/>
        <w:rPr>
          <w:rFonts w:ascii="Times New Roman" w:hAnsi="Times New Roman" w:cs="Times New Roman"/>
          <w:szCs w:val="24"/>
        </w:rPr>
      </w:pPr>
      <w:r w:rsidRPr="002F74D0">
        <w:rPr>
          <w:rFonts w:ascii="Times New Roman" w:hAnsi="Times New Roman" w:cs="Times New Roman"/>
          <w:szCs w:val="24"/>
        </w:rPr>
        <w:t>2)</w:t>
      </w:r>
      <w:r w:rsidRPr="002F74D0">
        <w:rPr>
          <w:rFonts w:ascii="Times New Roman" w:hAnsi="Times New Roman" w:cs="Times New Roman"/>
          <w:szCs w:val="24"/>
        </w:rPr>
        <w:tab/>
        <w:t>budowie bezzbiornikowego magazynu paliw gazowych na obszarze złoża soli kamiennej Damasławek wraz z infrastrukturą niezbędną do jego obsługi, w tym:</w:t>
      </w:r>
    </w:p>
    <w:p w14:paraId="5B4DDB75" w14:textId="71AD2B23" w:rsidR="00ED4D18" w:rsidRPr="002F74D0" w:rsidRDefault="00CD2BDE" w:rsidP="002F74D0">
      <w:pPr>
        <w:pStyle w:val="ARTartustawynprozporzdzenia"/>
        <w:spacing w:before="0"/>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ED4D18" w:rsidRPr="002F74D0">
        <w:rPr>
          <w:rFonts w:ascii="Times New Roman" w:hAnsi="Times New Roman" w:cs="Times New Roman"/>
          <w:szCs w:val="24"/>
        </w:rPr>
        <w:t xml:space="preserve">instalacji </w:t>
      </w:r>
      <w:proofErr w:type="spellStart"/>
      <w:r w:rsidR="00ED4D18" w:rsidRPr="002F74D0">
        <w:rPr>
          <w:rFonts w:ascii="Times New Roman" w:hAnsi="Times New Roman" w:cs="Times New Roman"/>
          <w:szCs w:val="24"/>
        </w:rPr>
        <w:t>ługowniczej</w:t>
      </w:r>
      <w:proofErr w:type="spellEnd"/>
      <w:r w:rsidR="00ED4D18" w:rsidRPr="002F74D0">
        <w:rPr>
          <w:rFonts w:ascii="Times New Roman" w:hAnsi="Times New Roman" w:cs="Times New Roman"/>
          <w:szCs w:val="24"/>
        </w:rPr>
        <w:t xml:space="preserve">, </w:t>
      </w:r>
    </w:p>
    <w:p w14:paraId="54E8FB15" w14:textId="4A24D6E5" w:rsidR="00ED4D18" w:rsidRPr="002F74D0" w:rsidRDefault="00CD2BDE" w:rsidP="002F74D0">
      <w:pPr>
        <w:pStyle w:val="ARTartustawynprozporzdzenia"/>
        <w:spacing w:before="0"/>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ED4D18" w:rsidRPr="002F74D0">
        <w:rPr>
          <w:rFonts w:ascii="Times New Roman" w:hAnsi="Times New Roman" w:cs="Times New Roman"/>
          <w:szCs w:val="24"/>
        </w:rPr>
        <w:t xml:space="preserve">rurociągów i instalacji zrzutu solanki, </w:t>
      </w:r>
    </w:p>
    <w:p w14:paraId="08F53DD5" w14:textId="757666FB" w:rsidR="00ED4D18" w:rsidRPr="002F74D0" w:rsidRDefault="00CD2BDE" w:rsidP="002F74D0">
      <w:pPr>
        <w:pStyle w:val="ARTartustawynprozporzdzenia"/>
        <w:spacing w:before="0"/>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ED4D18" w:rsidRPr="002F74D0">
        <w:rPr>
          <w:rFonts w:ascii="Times New Roman" w:hAnsi="Times New Roman" w:cs="Times New Roman"/>
          <w:szCs w:val="24"/>
        </w:rPr>
        <w:t xml:space="preserve">komór magazynowych, </w:t>
      </w:r>
    </w:p>
    <w:p w14:paraId="4351C8C1" w14:textId="4045958B" w:rsidR="00ED4D18" w:rsidRPr="002F74D0" w:rsidRDefault="00CD2BDE" w:rsidP="002F74D0">
      <w:pPr>
        <w:pStyle w:val="ARTartustawynprozporzdzenia"/>
        <w:spacing w:before="0"/>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ED4D18" w:rsidRPr="002F74D0">
        <w:rPr>
          <w:rFonts w:ascii="Times New Roman" w:hAnsi="Times New Roman" w:cs="Times New Roman"/>
          <w:szCs w:val="24"/>
        </w:rPr>
        <w:t>naziemnej infrastruktury technicznej,</w:t>
      </w:r>
    </w:p>
    <w:p w14:paraId="338F6CAE" w14:textId="53BCC3A7" w:rsidR="00ED4D18" w:rsidRPr="002F74D0" w:rsidRDefault="00CD2BDE" w:rsidP="002F74D0">
      <w:pPr>
        <w:pStyle w:val="ARTartustawynprozporzdzenia"/>
        <w:spacing w:before="0"/>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ED4D18" w:rsidRPr="002F74D0">
        <w:rPr>
          <w:rFonts w:ascii="Times New Roman" w:hAnsi="Times New Roman" w:cs="Times New Roman"/>
          <w:szCs w:val="24"/>
        </w:rPr>
        <w:t>rurociągów, w tym</w:t>
      </w:r>
      <w:r w:rsidR="006B5D00">
        <w:rPr>
          <w:rFonts w:ascii="Times New Roman" w:hAnsi="Times New Roman" w:cs="Times New Roman"/>
          <w:szCs w:val="24"/>
        </w:rPr>
        <w:t xml:space="preserve"> </w:t>
      </w:r>
      <w:r w:rsidR="00ED4D18" w:rsidRPr="002F74D0">
        <w:rPr>
          <w:rFonts w:ascii="Times New Roman" w:hAnsi="Times New Roman" w:cs="Times New Roman"/>
          <w:szCs w:val="24"/>
        </w:rPr>
        <w:t>gazociągów łączących obiekty tego magazynu;</w:t>
      </w:r>
    </w:p>
    <w:p w14:paraId="20491D83" w14:textId="77777777" w:rsidR="00ED4D18" w:rsidRPr="002F74D0" w:rsidRDefault="00ED4D18" w:rsidP="003065B5">
      <w:pPr>
        <w:pStyle w:val="PKTpunkt"/>
        <w:rPr>
          <w:rFonts w:ascii="Times New Roman" w:hAnsi="Times New Roman" w:cs="Times New Roman"/>
          <w:szCs w:val="24"/>
        </w:rPr>
      </w:pPr>
      <w:r w:rsidRPr="002F74D0">
        <w:rPr>
          <w:rFonts w:ascii="Times New Roman" w:hAnsi="Times New Roman" w:cs="Times New Roman"/>
          <w:szCs w:val="24"/>
        </w:rPr>
        <w:t>3)</w:t>
      </w:r>
      <w:r w:rsidRPr="002F74D0">
        <w:rPr>
          <w:rFonts w:ascii="Times New Roman" w:hAnsi="Times New Roman" w:cs="Times New Roman"/>
          <w:szCs w:val="24"/>
        </w:rPr>
        <w:tab/>
        <w:t>budowie rurociągów wody technologicznej, rurociągów solanki i innych rurociągów lub gazociągów na potrzeby działania otworowej kopalni soli kamiennej lub bezzbiornikowego magazynu paliw gazowych na obszarze złoża soli kamiennej Damasławek;</w:t>
      </w:r>
    </w:p>
    <w:p w14:paraId="2FFDFD50" w14:textId="13D291BC" w:rsidR="00ED4D18" w:rsidRPr="002F74D0" w:rsidRDefault="00ED4D18" w:rsidP="003065B5">
      <w:pPr>
        <w:pStyle w:val="PKTpunkt"/>
        <w:rPr>
          <w:rFonts w:ascii="Times New Roman" w:hAnsi="Times New Roman" w:cs="Times New Roman"/>
          <w:szCs w:val="24"/>
        </w:rPr>
      </w:pPr>
      <w:r w:rsidRPr="002F74D0">
        <w:rPr>
          <w:rFonts w:ascii="Times New Roman" w:hAnsi="Times New Roman" w:cs="Times New Roman"/>
          <w:szCs w:val="24"/>
        </w:rPr>
        <w:t>4)</w:t>
      </w:r>
      <w:r w:rsidRPr="002F74D0">
        <w:rPr>
          <w:rFonts w:ascii="Times New Roman" w:hAnsi="Times New Roman" w:cs="Times New Roman"/>
          <w:szCs w:val="24"/>
        </w:rPr>
        <w:tab/>
        <w:t>budowie rurociągów wody technologicznej oraz rurociągów solanki na potrzeby działania kopalni lub magazynu ropy naftowej i paliw w Górze, w szczególności rurociągu wody technologicznej Bydgoszcz</w:t>
      </w:r>
      <w:r w:rsidR="00A927CB">
        <w:rPr>
          <w:rFonts w:ascii="Times New Roman" w:hAnsi="Times New Roman" w:cs="Times New Roman"/>
          <w:szCs w:val="24"/>
        </w:rPr>
        <w:t xml:space="preserve"> – </w:t>
      </w:r>
      <w:r w:rsidRPr="002F74D0">
        <w:rPr>
          <w:rFonts w:ascii="Times New Roman" w:hAnsi="Times New Roman" w:cs="Times New Roman"/>
          <w:szCs w:val="24"/>
        </w:rPr>
        <w:t>Damasławek oraz rurociągów solanki Damasławek</w:t>
      </w:r>
      <w:r w:rsidR="00A927CB">
        <w:rPr>
          <w:rFonts w:ascii="Times New Roman" w:hAnsi="Times New Roman" w:cs="Times New Roman"/>
          <w:szCs w:val="24"/>
        </w:rPr>
        <w:t xml:space="preserve"> – </w:t>
      </w:r>
      <w:r w:rsidRPr="002F74D0">
        <w:rPr>
          <w:rFonts w:ascii="Times New Roman" w:hAnsi="Times New Roman" w:cs="Times New Roman"/>
          <w:szCs w:val="24"/>
        </w:rPr>
        <w:t>Góra, wraz z infrastrukturą niezbędną do ich obsługi;</w:t>
      </w:r>
    </w:p>
    <w:p w14:paraId="3DEBADEB" w14:textId="6F0660D6" w:rsidR="00ED4D18" w:rsidRPr="002F74D0" w:rsidRDefault="00ED4D18">
      <w:pPr>
        <w:pStyle w:val="PKTpunkt"/>
        <w:rPr>
          <w:rFonts w:ascii="Times New Roman" w:hAnsi="Times New Roman" w:cs="Times New Roman"/>
          <w:szCs w:val="24"/>
        </w:rPr>
      </w:pPr>
      <w:r w:rsidRPr="002F74D0">
        <w:rPr>
          <w:rFonts w:ascii="Times New Roman" w:hAnsi="Times New Roman" w:cs="Times New Roman"/>
          <w:szCs w:val="24"/>
        </w:rPr>
        <w:t>5)</w:t>
      </w:r>
      <w:r w:rsidRPr="002F74D0">
        <w:rPr>
          <w:rFonts w:ascii="Times New Roman" w:hAnsi="Times New Roman" w:cs="Times New Roman"/>
          <w:szCs w:val="24"/>
        </w:rPr>
        <w:tab/>
        <w:t>budowie rurociągów wody technologicznej, rurociągów solanki i innych rurociągów lub gazociągów w celu zmiany trasy istniejących rurociągów wody technologicznej, rurociągów solanki i innych rurociągów lub gazociągów, na potrzeby działania otworowej kopalni soli kamiennej lub bezzbiornikowego magazynu paliw gazowych na obszarze złoża soli kamiennej Damasławek, o których mowa w ust. 3, lub na potrzeby działania kopalni lub magazynu ropy naftowej i paliw w Górze, o których mowa w ust. 4. Uzasadniając celowość wprowadzanych zmian</w:t>
      </w:r>
      <w:r w:rsidR="0022343A">
        <w:rPr>
          <w:rFonts w:ascii="Times New Roman" w:hAnsi="Times New Roman" w:cs="Times New Roman"/>
          <w:szCs w:val="24"/>
        </w:rPr>
        <w:t>,</w:t>
      </w:r>
      <w:r w:rsidRPr="002F74D0">
        <w:rPr>
          <w:rFonts w:ascii="Times New Roman" w:hAnsi="Times New Roman" w:cs="Times New Roman"/>
          <w:szCs w:val="24"/>
        </w:rPr>
        <w:t xml:space="preserve"> należy </w:t>
      </w:r>
      <w:r w:rsidRPr="002F74D0">
        <w:rPr>
          <w:rFonts w:ascii="Times New Roman" w:hAnsi="Times New Roman" w:cs="Times New Roman"/>
          <w:szCs w:val="24"/>
        </w:rPr>
        <w:lastRenderedPageBreak/>
        <w:t>wskazać, że analizy rynku gazu ziemnego przeprowadzone przez GAZ-SYSTEM wskazują, że w perspektywie najbliższych 10</w:t>
      </w:r>
      <w:r w:rsidR="00CE01CE">
        <w:rPr>
          <w:rFonts w:ascii="Times New Roman" w:hAnsi="Times New Roman" w:cs="Times New Roman"/>
          <w:szCs w:val="24"/>
        </w:rPr>
        <w:t>–</w:t>
      </w:r>
      <w:r w:rsidRPr="002F74D0">
        <w:rPr>
          <w:rFonts w:ascii="Times New Roman" w:hAnsi="Times New Roman" w:cs="Times New Roman"/>
          <w:szCs w:val="24"/>
        </w:rPr>
        <w:t xml:space="preserve">15 lat nastąpi znaczący wzrost krajowej konsumpcji gazu ziemnego w ujęciu rocznym (ok. 60%), jak i zapotrzebowania w dobach szczytowych (o ponad 100%). Dla realizacji zadań krajowego operatora systemu przesyłowego (GAZ-SYSTEM) w zakresie zapewnienia niezakłóconego </w:t>
      </w:r>
      <w:proofErr w:type="spellStart"/>
      <w:r w:rsidRPr="002F74D0">
        <w:rPr>
          <w:rFonts w:ascii="Times New Roman" w:hAnsi="Times New Roman" w:cs="Times New Roman"/>
          <w:szCs w:val="24"/>
        </w:rPr>
        <w:t>przesyłu</w:t>
      </w:r>
      <w:proofErr w:type="spellEnd"/>
      <w:r w:rsidRPr="002F74D0">
        <w:rPr>
          <w:rFonts w:ascii="Times New Roman" w:hAnsi="Times New Roman" w:cs="Times New Roman"/>
          <w:szCs w:val="24"/>
        </w:rPr>
        <w:t xml:space="preserve"> gazu ziemnego do odbiorców końcowych oraz rozbudowy sieci przesyłowej (w tym dywersyfikacji dostaw gazu ziemnego do Rzeczypospolitej Polskiej) </w:t>
      </w:r>
      <w:r w:rsidR="0072120D" w:rsidRPr="002F74D0">
        <w:rPr>
          <w:rFonts w:ascii="Times New Roman" w:hAnsi="Times New Roman" w:cs="Times New Roman"/>
          <w:szCs w:val="24"/>
        </w:rPr>
        <w:t xml:space="preserve">jest </w:t>
      </w:r>
      <w:r w:rsidRPr="002F74D0">
        <w:rPr>
          <w:rFonts w:ascii="Times New Roman" w:hAnsi="Times New Roman" w:cs="Times New Roman"/>
          <w:szCs w:val="24"/>
        </w:rPr>
        <w:t>konieczna budowa nowych, wysokosprawnych (</w:t>
      </w:r>
      <w:proofErr w:type="spellStart"/>
      <w:r w:rsidRPr="002F74D0">
        <w:rPr>
          <w:rFonts w:ascii="Times New Roman" w:hAnsi="Times New Roman" w:cs="Times New Roman"/>
          <w:szCs w:val="24"/>
        </w:rPr>
        <w:t>kawernowych</w:t>
      </w:r>
      <w:proofErr w:type="spellEnd"/>
      <w:r w:rsidRPr="002F74D0">
        <w:rPr>
          <w:rFonts w:ascii="Times New Roman" w:hAnsi="Times New Roman" w:cs="Times New Roman"/>
          <w:szCs w:val="24"/>
        </w:rPr>
        <w:t>) pojemności magazynowych będących w jego pełnej dyspozycji. Technologia podziemnego magazynowania gazu ziemnego w kawernach daje odpowiednią moc zatłaczania i odbioru tak, aby sprostać potrzebom bilansowania systemu gazowego w nadchodzących latach. Zapewnienie niezakłóconych dostaw gazu ziemnego ma istotny wpływ na podaż energii elektrycznej na rynku, w szczególności w związku z budową przez podmioty sektora elektroenergetycznego mocy wytwórczych zasilanych paliwem gazowym. Sytuacja ta wymusza podjęcie działań mających na celu zagwarantowanie dostaw gazu ziemnego w okresie dużego wzrostu zapotrzebowania oraz dużych wahań zapotrzebowania w cyklach dobowych (zwłaszcza w okresie zimowym). W celu obsługi zapotrzebowania krajowego na paliwo gazowe GAZ-SYSTEM zakłada konieczność budowy nowych wysokosprawnych pojemności magazynowych przeznaczonych na gaz ziemny, uruchamianych stopniowo – początkowo o pojemności ok. 700 mln m</w:t>
      </w:r>
      <w:r w:rsidRPr="002F74D0">
        <w:rPr>
          <w:rFonts w:ascii="Times New Roman" w:hAnsi="Times New Roman" w:cs="Times New Roman"/>
          <w:szCs w:val="24"/>
          <w:vertAlign w:val="superscript"/>
        </w:rPr>
        <w:t>3</w:t>
      </w:r>
      <w:r w:rsidRPr="002F74D0">
        <w:rPr>
          <w:rFonts w:ascii="Times New Roman" w:hAnsi="Times New Roman" w:cs="Times New Roman"/>
          <w:szCs w:val="24"/>
        </w:rPr>
        <w:t>, a docelowo 2 500 mln m</w:t>
      </w:r>
      <w:r w:rsidRPr="002F74D0">
        <w:rPr>
          <w:rFonts w:ascii="Times New Roman" w:hAnsi="Times New Roman" w:cs="Times New Roman"/>
          <w:szCs w:val="24"/>
          <w:vertAlign w:val="superscript"/>
        </w:rPr>
        <w:t>3</w:t>
      </w:r>
      <w:r w:rsidRPr="002F74D0">
        <w:rPr>
          <w:rFonts w:ascii="Times New Roman" w:hAnsi="Times New Roman" w:cs="Times New Roman"/>
          <w:szCs w:val="24"/>
        </w:rPr>
        <w:t xml:space="preserve"> oraz zwiększenie o około 30 mln m</w:t>
      </w:r>
      <w:r w:rsidRPr="002F74D0">
        <w:rPr>
          <w:rFonts w:ascii="Times New Roman" w:hAnsi="Times New Roman" w:cs="Times New Roman"/>
          <w:szCs w:val="24"/>
          <w:vertAlign w:val="superscript"/>
        </w:rPr>
        <w:t>3</w:t>
      </w:r>
      <w:r w:rsidRPr="002F74D0">
        <w:rPr>
          <w:rFonts w:ascii="Times New Roman" w:hAnsi="Times New Roman" w:cs="Times New Roman"/>
          <w:szCs w:val="24"/>
        </w:rPr>
        <w:t>/dobę możliwości odbioru gazu ziemnego z podziemnych magazynów gazu. Ponadto w związku z długofalowym rozwojem technologii wodorowych w UE w ramach magazynu w Damasławku rozważa się możliwość budowy także pojemności pod magazynowanie wodoru lub mieszanin wodoru z gazem ziemnym, co wpłynie pozytywnie na realizację przez Polskę celów polityki klimatycznej UE.</w:t>
      </w:r>
    </w:p>
    <w:p w14:paraId="157BF1A2"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 xml:space="preserve">Przygotowanie i realizacja inwestycji przez GAZ-SYSTEM wymienionych w pkt III załącznika do specustawy przesyłowej przyczyni się do realizacji celów wskazanych w uchwale nr 182/2017 Rady Ministrów z dnia 28 listopada 2017 r. w sprawie przyjęcia „Polityki Rządu RP dla infrastruktury logistycznej w sektorze naftowym”. </w:t>
      </w:r>
    </w:p>
    <w:p w14:paraId="4EF17E7C" w14:textId="29684026" w:rsidR="00ED4D18" w:rsidRPr="002F74D0" w:rsidRDefault="00F37EEA" w:rsidP="002F74D0">
      <w:pPr>
        <w:pStyle w:val="ARTartustawynprozporzdzenia"/>
        <w:ind w:firstLine="0"/>
        <w:rPr>
          <w:rFonts w:ascii="Times New Roman" w:hAnsi="Times New Roman" w:cs="Times New Roman"/>
          <w:szCs w:val="24"/>
        </w:rPr>
      </w:pPr>
      <w:r>
        <w:rPr>
          <w:rFonts w:ascii="Times New Roman" w:hAnsi="Times New Roman" w:cs="Times New Roman"/>
          <w:szCs w:val="24"/>
        </w:rPr>
        <w:t>N</w:t>
      </w:r>
      <w:r w:rsidRPr="002F74D0">
        <w:rPr>
          <w:rFonts w:ascii="Times New Roman" w:hAnsi="Times New Roman" w:cs="Times New Roman"/>
          <w:szCs w:val="24"/>
        </w:rPr>
        <w:t xml:space="preserve">ależy </w:t>
      </w:r>
      <w:r>
        <w:rPr>
          <w:rFonts w:ascii="Times New Roman" w:hAnsi="Times New Roman" w:cs="Times New Roman"/>
          <w:szCs w:val="24"/>
        </w:rPr>
        <w:t>w</w:t>
      </w:r>
      <w:r w:rsidR="00ED4D18" w:rsidRPr="002F74D0">
        <w:rPr>
          <w:rFonts w:ascii="Times New Roman" w:hAnsi="Times New Roman" w:cs="Times New Roman"/>
          <w:szCs w:val="24"/>
        </w:rPr>
        <w:t>skazać również, że złoże Damasławek zostało rozpoznane i udokumentowane, a</w:t>
      </w:r>
      <w:r w:rsidR="000221D7">
        <w:rPr>
          <w:rFonts w:ascii="Times New Roman" w:hAnsi="Times New Roman" w:cs="Times New Roman"/>
          <w:szCs w:val="24"/>
        </w:rPr>
        <w:t xml:space="preserve"> </w:t>
      </w:r>
      <w:r w:rsidR="00ED4D18" w:rsidRPr="002F74D0">
        <w:rPr>
          <w:rFonts w:ascii="Times New Roman" w:hAnsi="Times New Roman" w:cs="Times New Roman"/>
          <w:szCs w:val="24"/>
        </w:rPr>
        <w:t xml:space="preserve">GAZ-SYSTEM posiada prawo do jego dalszego zagospodarowania. Realizacja </w:t>
      </w:r>
      <w:r w:rsidR="00ED4D18" w:rsidRPr="002F74D0">
        <w:rPr>
          <w:rFonts w:ascii="Times New Roman" w:hAnsi="Times New Roman" w:cs="Times New Roman"/>
          <w:szCs w:val="24"/>
        </w:rPr>
        <w:lastRenderedPageBreak/>
        <w:t xml:space="preserve">inwestycji wymienionych w pkt III załącznika do projektu </w:t>
      </w:r>
      <w:r w:rsidR="00C023EE">
        <w:rPr>
          <w:rFonts w:ascii="Times New Roman" w:hAnsi="Times New Roman" w:cs="Times New Roman"/>
          <w:szCs w:val="24"/>
        </w:rPr>
        <w:t xml:space="preserve">ustawy </w:t>
      </w:r>
      <w:r w:rsidR="00ED4D18" w:rsidRPr="002F74D0">
        <w:rPr>
          <w:rFonts w:ascii="Times New Roman" w:hAnsi="Times New Roman" w:cs="Times New Roman"/>
          <w:szCs w:val="24"/>
        </w:rPr>
        <w:t>dodatkowo zabezpieczy, dzięki budowie nowej kopalni soli, odpowiedni front solankowy na</w:t>
      </w:r>
      <w:r w:rsidR="000221D7">
        <w:rPr>
          <w:rFonts w:ascii="Times New Roman" w:hAnsi="Times New Roman" w:cs="Times New Roman"/>
          <w:szCs w:val="24"/>
        </w:rPr>
        <w:t xml:space="preserve"> </w:t>
      </w:r>
      <w:r w:rsidR="00ED4D18" w:rsidRPr="002F74D0">
        <w:rPr>
          <w:rFonts w:ascii="Times New Roman" w:hAnsi="Times New Roman" w:cs="Times New Roman"/>
          <w:szCs w:val="24"/>
        </w:rPr>
        <w:t>potrzeby wytłoczeń interwencyjnych ropy i paliw z</w:t>
      </w:r>
      <w:r w:rsidR="000221D7">
        <w:rPr>
          <w:rFonts w:ascii="Times New Roman" w:hAnsi="Times New Roman" w:cs="Times New Roman"/>
          <w:szCs w:val="24"/>
        </w:rPr>
        <w:t xml:space="preserve"> </w:t>
      </w:r>
      <w:r w:rsidR="00ED4D18" w:rsidRPr="002F74D0">
        <w:rPr>
          <w:rFonts w:ascii="Times New Roman" w:hAnsi="Times New Roman" w:cs="Times New Roman"/>
          <w:szCs w:val="24"/>
        </w:rPr>
        <w:t xml:space="preserve">istniejącego </w:t>
      </w:r>
      <w:proofErr w:type="spellStart"/>
      <w:r w:rsidR="00ED4D18" w:rsidRPr="002F74D0">
        <w:rPr>
          <w:rFonts w:ascii="Times New Roman" w:hAnsi="Times New Roman" w:cs="Times New Roman"/>
          <w:szCs w:val="24"/>
        </w:rPr>
        <w:t>PMRiP</w:t>
      </w:r>
      <w:proofErr w:type="spellEnd"/>
      <w:r w:rsidR="00ED4D18" w:rsidRPr="002F74D0">
        <w:rPr>
          <w:rFonts w:ascii="Times New Roman" w:hAnsi="Times New Roman" w:cs="Times New Roman"/>
          <w:szCs w:val="24"/>
        </w:rPr>
        <w:t xml:space="preserve"> w Górze i</w:t>
      </w:r>
      <w:r w:rsidR="000221D7">
        <w:rPr>
          <w:rFonts w:ascii="Times New Roman" w:hAnsi="Times New Roman" w:cs="Times New Roman"/>
          <w:szCs w:val="24"/>
        </w:rPr>
        <w:t xml:space="preserve"> </w:t>
      </w:r>
      <w:r w:rsidR="00ED4D18" w:rsidRPr="002F74D0">
        <w:rPr>
          <w:rFonts w:ascii="Times New Roman" w:hAnsi="Times New Roman" w:cs="Times New Roman"/>
          <w:szCs w:val="24"/>
        </w:rPr>
        <w:t xml:space="preserve">pokrycie zapotrzebowania odbiorców przemysłowych na solankę, a także, dzięki budowie </w:t>
      </w:r>
      <w:proofErr w:type="spellStart"/>
      <w:r w:rsidR="00ED4D18" w:rsidRPr="002F74D0">
        <w:rPr>
          <w:rFonts w:ascii="Times New Roman" w:hAnsi="Times New Roman" w:cs="Times New Roman"/>
          <w:szCs w:val="24"/>
        </w:rPr>
        <w:t>kawernowego</w:t>
      </w:r>
      <w:proofErr w:type="spellEnd"/>
      <w:r w:rsidR="00ED4D18" w:rsidRPr="002F74D0">
        <w:rPr>
          <w:rFonts w:ascii="Times New Roman" w:hAnsi="Times New Roman" w:cs="Times New Roman"/>
          <w:szCs w:val="24"/>
        </w:rPr>
        <w:t xml:space="preserve"> magazynu gazu ziemnego lub wodoru lub ich mieszanin, zapewni odpowiednie moce na potrzeby pracy Krajowego Systemu Przesyłowego gazu ziemnego w obliczu wzrostu jego zużycia. </w:t>
      </w:r>
    </w:p>
    <w:p w14:paraId="218E4273" w14:textId="2457D9F9"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Mając na uwadze skomplikowany charakter projektu inwestycyjnego oraz jego nierozerwalny związek z sektorem naftowym w zakresie konieczności skoordynowania gospodarki solankowej, za konieczne należy uznać możliwość przygotowania i</w:t>
      </w:r>
      <w:r w:rsidR="000221D7">
        <w:rPr>
          <w:rFonts w:ascii="Times New Roman" w:hAnsi="Times New Roman" w:cs="Times New Roman"/>
          <w:szCs w:val="24"/>
        </w:rPr>
        <w:t xml:space="preserve"> </w:t>
      </w:r>
      <w:r w:rsidRPr="002F74D0">
        <w:rPr>
          <w:rFonts w:ascii="Times New Roman" w:hAnsi="Times New Roman" w:cs="Times New Roman"/>
          <w:szCs w:val="24"/>
        </w:rPr>
        <w:t>realizacji projektu zagospodarowania również złoża soli kamiennej Damasławek na zasadach przewidzianych w specustawie naftowej.</w:t>
      </w:r>
    </w:p>
    <w:p w14:paraId="699802BA" w14:textId="77777777" w:rsidR="00ED4D18" w:rsidRPr="000221D7" w:rsidRDefault="00ED4D18" w:rsidP="002F74D0">
      <w:pPr>
        <w:pStyle w:val="ARTartustawynprozporzdzenia"/>
        <w:ind w:firstLine="0"/>
        <w:rPr>
          <w:rStyle w:val="Ppogrubienie"/>
          <w:rFonts w:ascii="Times New Roman" w:hAnsi="Times New Roman" w:cs="Times New Roman"/>
          <w:szCs w:val="24"/>
        </w:rPr>
      </w:pPr>
      <w:r w:rsidRPr="002F74D0">
        <w:rPr>
          <w:rStyle w:val="Ppogrubienie"/>
          <w:rFonts w:ascii="Times New Roman" w:hAnsi="Times New Roman" w:cs="Times New Roman"/>
          <w:szCs w:val="24"/>
        </w:rPr>
        <w:t>II. Zgodność projektu z przepisami prawa Unii Europejskiej</w:t>
      </w:r>
    </w:p>
    <w:p w14:paraId="07AD8851"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Projekt ustawy nie jest sprzeczny z prawem Unii Europejskiej zgodnie z opinią Ministra ds. Unii Europejskiej.</w:t>
      </w:r>
    </w:p>
    <w:p w14:paraId="275350BC" w14:textId="77777777" w:rsidR="00ED4D18" w:rsidRPr="002F74D0" w:rsidRDefault="00ED4D18" w:rsidP="002F74D0">
      <w:pPr>
        <w:pStyle w:val="ARTartustawynprozporzdzenia"/>
        <w:ind w:firstLine="0"/>
        <w:rPr>
          <w:rStyle w:val="Ppogrubienie"/>
          <w:rFonts w:ascii="Times New Roman" w:hAnsi="Times New Roman" w:cs="Times New Roman"/>
          <w:szCs w:val="24"/>
        </w:rPr>
      </w:pPr>
      <w:r w:rsidRPr="002F74D0">
        <w:rPr>
          <w:rStyle w:val="Ppogrubienie"/>
          <w:rFonts w:ascii="Times New Roman" w:hAnsi="Times New Roman" w:cs="Times New Roman"/>
          <w:szCs w:val="24"/>
        </w:rPr>
        <w:t>III. Przedstawienie projektu właściwym organom i instytucjom Unii Europejskiej</w:t>
      </w:r>
    </w:p>
    <w:p w14:paraId="424D16CF" w14:textId="3A7D91CE"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Projekt nie wymaga przedstawienia właściwym organom i instytucjom Unii Europejskiej, w tym Europejskiemu Bankowi Centralnemu</w:t>
      </w:r>
      <w:r w:rsidR="00637C52">
        <w:rPr>
          <w:rFonts w:ascii="Times New Roman" w:hAnsi="Times New Roman" w:cs="Times New Roman"/>
          <w:szCs w:val="24"/>
        </w:rPr>
        <w:t>,</w:t>
      </w:r>
      <w:r w:rsidRPr="002F74D0">
        <w:rPr>
          <w:rFonts w:ascii="Times New Roman" w:hAnsi="Times New Roman" w:cs="Times New Roman"/>
          <w:szCs w:val="24"/>
        </w:rPr>
        <w:t xml:space="preserve"> w celu uzyskania opinii, dokonania konsultacji </w:t>
      </w:r>
      <w:r w:rsidR="009B4536">
        <w:rPr>
          <w:rFonts w:ascii="Times New Roman" w:hAnsi="Times New Roman" w:cs="Times New Roman"/>
          <w:szCs w:val="24"/>
        </w:rPr>
        <w:t>lub</w:t>
      </w:r>
      <w:r w:rsidR="009B4536" w:rsidRPr="002F74D0">
        <w:rPr>
          <w:rFonts w:ascii="Times New Roman" w:hAnsi="Times New Roman" w:cs="Times New Roman"/>
          <w:szCs w:val="24"/>
        </w:rPr>
        <w:t xml:space="preserve"> </w:t>
      </w:r>
      <w:r w:rsidRPr="002F74D0">
        <w:rPr>
          <w:rFonts w:ascii="Times New Roman" w:hAnsi="Times New Roman" w:cs="Times New Roman"/>
          <w:szCs w:val="24"/>
        </w:rPr>
        <w:t>uzgodnienia.</w:t>
      </w:r>
    </w:p>
    <w:p w14:paraId="2270ED3A" w14:textId="77777777" w:rsidR="00ED4D18" w:rsidRPr="000221D7" w:rsidRDefault="00ED4D18" w:rsidP="002F74D0">
      <w:pPr>
        <w:pStyle w:val="ARTartustawynprozporzdzenia"/>
        <w:ind w:firstLine="0"/>
        <w:rPr>
          <w:rStyle w:val="Ppogrubienie"/>
          <w:rFonts w:ascii="Times New Roman" w:hAnsi="Times New Roman" w:cs="Times New Roman"/>
          <w:szCs w:val="24"/>
        </w:rPr>
      </w:pPr>
      <w:r w:rsidRPr="002F74D0">
        <w:rPr>
          <w:rStyle w:val="Ppogrubienie"/>
          <w:rFonts w:ascii="Times New Roman" w:hAnsi="Times New Roman" w:cs="Times New Roman"/>
          <w:szCs w:val="24"/>
        </w:rPr>
        <w:t xml:space="preserve">IV. Wpływ projektu na działalność </w:t>
      </w:r>
      <w:proofErr w:type="spellStart"/>
      <w:r w:rsidRPr="002F74D0">
        <w:rPr>
          <w:rStyle w:val="Ppogrubienie"/>
          <w:rFonts w:ascii="Times New Roman" w:hAnsi="Times New Roman" w:cs="Times New Roman"/>
          <w:szCs w:val="24"/>
        </w:rPr>
        <w:t>mikroprzedsiębiorców</w:t>
      </w:r>
      <w:proofErr w:type="spellEnd"/>
      <w:r w:rsidRPr="002F74D0">
        <w:rPr>
          <w:rStyle w:val="Ppogrubienie"/>
          <w:rFonts w:ascii="Times New Roman" w:hAnsi="Times New Roman" w:cs="Times New Roman"/>
          <w:szCs w:val="24"/>
        </w:rPr>
        <w:t xml:space="preserve"> oraz małych i średnich przedsiębiorców</w:t>
      </w:r>
    </w:p>
    <w:p w14:paraId="61497E5E" w14:textId="77777777" w:rsidR="00ED4D18" w:rsidRPr="002F74D0" w:rsidRDefault="00ED4D18" w:rsidP="002F74D0">
      <w:pPr>
        <w:pStyle w:val="ARTartustawynprozporzdzenia"/>
        <w:ind w:firstLine="0"/>
        <w:rPr>
          <w:rFonts w:ascii="Times New Roman" w:hAnsi="Times New Roman" w:cs="Times New Roman"/>
          <w:szCs w:val="24"/>
        </w:rPr>
      </w:pPr>
      <w:r w:rsidRPr="002F74D0">
        <w:rPr>
          <w:rFonts w:ascii="Times New Roman" w:hAnsi="Times New Roman" w:cs="Times New Roman"/>
          <w:szCs w:val="24"/>
        </w:rPr>
        <w:t>Planowane inwestycje mają na celu rozwój infrastruktury magazynowej i przesyłowej ropy naftowej, paliw ciekłych i innych produktów naftowych i są skierowane głównie do producentów i handlowców działających na terenie Rzeczypospolitej Polskiej.</w:t>
      </w:r>
    </w:p>
    <w:p w14:paraId="5B81D41B" w14:textId="77777777" w:rsidR="00ED4D18" w:rsidRPr="000221D7" w:rsidRDefault="00ED4D18" w:rsidP="002F74D0">
      <w:pPr>
        <w:pStyle w:val="ARTartustawynprozporzdzenia"/>
        <w:keepNext/>
        <w:ind w:firstLine="0"/>
        <w:rPr>
          <w:rStyle w:val="Ppogrubienie"/>
          <w:rFonts w:ascii="Times New Roman" w:hAnsi="Times New Roman" w:cs="Times New Roman"/>
          <w:szCs w:val="24"/>
        </w:rPr>
      </w:pPr>
      <w:r w:rsidRPr="002F74D0">
        <w:rPr>
          <w:rStyle w:val="Ppogrubienie"/>
          <w:rFonts w:ascii="Times New Roman" w:hAnsi="Times New Roman" w:cs="Times New Roman"/>
          <w:szCs w:val="24"/>
        </w:rPr>
        <w:t>V. Obowiązek notyfikacji projektu ustawy</w:t>
      </w:r>
    </w:p>
    <w:p w14:paraId="1EB30898" w14:textId="77777777" w:rsidR="00ED4D18" w:rsidRPr="002F74D0" w:rsidRDefault="00ED4D18" w:rsidP="002F74D0">
      <w:pPr>
        <w:pStyle w:val="ARTartustawynprozporzdzenia"/>
        <w:keepNext/>
        <w:ind w:firstLine="0"/>
        <w:rPr>
          <w:rFonts w:ascii="Times New Roman" w:hAnsi="Times New Roman" w:cs="Times New Roman"/>
          <w:szCs w:val="24"/>
        </w:rPr>
      </w:pPr>
      <w:r w:rsidRPr="002F74D0">
        <w:rPr>
          <w:rFonts w:ascii="Times New Roman" w:hAnsi="Times New Roman" w:cs="Times New Roman"/>
          <w:szCs w:val="24"/>
        </w:rPr>
        <w:t>Projekt ustawy nie podlega notyfikacji zgodnie z przepisami rozporządzenia Rady Ministrów z dnia 23 grudnia 2002 r. w sprawie sposobu funkcjonowania krajowego systemu notyfikacji norm i aktów prawnych (Dz. U. poz. 2039 oraz z 2004 r. poz. 597).</w:t>
      </w:r>
    </w:p>
    <w:p w14:paraId="555D8190" w14:textId="77777777" w:rsidR="00ED4D18" w:rsidRPr="000221D7" w:rsidRDefault="00ED4D18" w:rsidP="002F74D0">
      <w:pPr>
        <w:pStyle w:val="ARTartustawynprozporzdzenia"/>
        <w:ind w:firstLine="0"/>
        <w:rPr>
          <w:rStyle w:val="Ppogrubienie"/>
          <w:rFonts w:ascii="Times New Roman" w:hAnsi="Times New Roman" w:cs="Times New Roman"/>
          <w:szCs w:val="24"/>
        </w:rPr>
      </w:pPr>
      <w:r w:rsidRPr="002F74D0">
        <w:rPr>
          <w:rStyle w:val="Ppogrubienie"/>
          <w:rFonts w:ascii="Times New Roman" w:hAnsi="Times New Roman" w:cs="Times New Roman"/>
          <w:szCs w:val="24"/>
        </w:rPr>
        <w:t>VI. Publiczne udostępnienie projektu</w:t>
      </w:r>
    </w:p>
    <w:p w14:paraId="5F2B19C0" w14:textId="6DA960E2" w:rsidR="00A6317B" w:rsidRPr="000221D7" w:rsidRDefault="00ED4D18" w:rsidP="002F74D0">
      <w:pPr>
        <w:spacing w:before="120"/>
        <w:jc w:val="both"/>
        <w:rPr>
          <w:rFonts w:cs="Times New Roman"/>
          <w:szCs w:val="24"/>
        </w:rPr>
      </w:pPr>
      <w:r w:rsidRPr="000221D7">
        <w:rPr>
          <w:rFonts w:cs="Times New Roman"/>
          <w:szCs w:val="24"/>
        </w:rPr>
        <w:t>Zgodnie z ustaw</w:t>
      </w:r>
      <w:r w:rsidR="009B4536">
        <w:rPr>
          <w:rFonts w:cs="Times New Roman"/>
          <w:szCs w:val="24"/>
        </w:rPr>
        <w:t>ą</w:t>
      </w:r>
      <w:r w:rsidRPr="000221D7">
        <w:rPr>
          <w:rFonts w:cs="Times New Roman"/>
          <w:szCs w:val="24"/>
        </w:rPr>
        <w:t xml:space="preserve"> z dnia 7 lipca 2005 r. o działalności lobbingowej w</w:t>
      </w:r>
      <w:r w:rsidR="000221D7">
        <w:rPr>
          <w:rFonts w:cs="Times New Roman"/>
          <w:szCs w:val="24"/>
        </w:rPr>
        <w:t xml:space="preserve"> </w:t>
      </w:r>
      <w:r w:rsidRPr="000221D7">
        <w:rPr>
          <w:rFonts w:cs="Times New Roman"/>
          <w:szCs w:val="24"/>
        </w:rPr>
        <w:t xml:space="preserve">procesie </w:t>
      </w:r>
      <w:r w:rsidRPr="000221D7">
        <w:rPr>
          <w:rFonts w:cs="Times New Roman"/>
          <w:szCs w:val="24"/>
        </w:rPr>
        <w:lastRenderedPageBreak/>
        <w:t>stanowienia prawa (Dz. U. z 2017 r. poz. 248) oraz §</w:t>
      </w:r>
      <w:r w:rsidR="000221D7">
        <w:rPr>
          <w:rFonts w:cs="Times New Roman"/>
          <w:szCs w:val="24"/>
        </w:rPr>
        <w:t xml:space="preserve"> </w:t>
      </w:r>
      <w:r w:rsidRPr="000221D7">
        <w:rPr>
          <w:rFonts w:cs="Times New Roman"/>
          <w:szCs w:val="24"/>
        </w:rPr>
        <w:t>52 uchwały nr 190 Rady Ministrów z</w:t>
      </w:r>
      <w:r w:rsidR="000221D7">
        <w:rPr>
          <w:rFonts w:cs="Times New Roman"/>
          <w:szCs w:val="24"/>
        </w:rPr>
        <w:t xml:space="preserve"> </w:t>
      </w:r>
      <w:r w:rsidRPr="000221D7">
        <w:rPr>
          <w:rFonts w:cs="Times New Roman"/>
          <w:szCs w:val="24"/>
        </w:rPr>
        <w:t>dnia 29 października 2013 r. – Regulamin pracy Rady</w:t>
      </w:r>
      <w:r w:rsidR="00B71588">
        <w:rPr>
          <w:rFonts w:cs="Times New Roman"/>
          <w:szCs w:val="24"/>
        </w:rPr>
        <w:t xml:space="preserve"> Ministrów (M.P. z 2016 r. poz. </w:t>
      </w:r>
      <w:r w:rsidRPr="000221D7">
        <w:rPr>
          <w:rFonts w:cs="Times New Roman"/>
          <w:szCs w:val="24"/>
        </w:rPr>
        <w:t xml:space="preserve">1006, z </w:t>
      </w:r>
      <w:proofErr w:type="spellStart"/>
      <w:r w:rsidRPr="000221D7">
        <w:rPr>
          <w:rFonts w:cs="Times New Roman"/>
          <w:szCs w:val="24"/>
        </w:rPr>
        <w:t>późń</w:t>
      </w:r>
      <w:proofErr w:type="spellEnd"/>
      <w:r w:rsidRPr="000221D7">
        <w:rPr>
          <w:rFonts w:cs="Times New Roman"/>
          <w:szCs w:val="24"/>
        </w:rPr>
        <w:t>. zm.) projekt ustawy został zamieszczony w</w:t>
      </w:r>
      <w:r w:rsidR="000221D7">
        <w:rPr>
          <w:rFonts w:cs="Times New Roman"/>
          <w:szCs w:val="24"/>
        </w:rPr>
        <w:t xml:space="preserve"> </w:t>
      </w:r>
      <w:r w:rsidRPr="000221D7">
        <w:rPr>
          <w:rFonts w:cs="Times New Roman"/>
          <w:szCs w:val="24"/>
        </w:rPr>
        <w:t>serwisie Rządowy Proces Legislacyjny na stronie Rządowego Centrum Legislacji.</w:t>
      </w:r>
    </w:p>
    <w:sectPr w:rsidR="00A6317B" w:rsidRPr="000221D7" w:rsidSect="002F74D0">
      <w:headerReference w:type="default" r:id="rId7"/>
      <w:footerReference w:type="default" r:id="rId8"/>
      <w:pgSz w:w="11906" w:h="16838" w:code="9"/>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0D905" w14:textId="77777777" w:rsidR="00C9710B" w:rsidRDefault="00C9710B" w:rsidP="006F0ABF">
      <w:pPr>
        <w:spacing w:line="240" w:lineRule="auto"/>
      </w:pPr>
      <w:r>
        <w:separator/>
      </w:r>
    </w:p>
  </w:endnote>
  <w:endnote w:type="continuationSeparator" w:id="0">
    <w:p w14:paraId="6E024787" w14:textId="77777777" w:rsidR="00C9710B" w:rsidRDefault="00C9710B" w:rsidP="006F0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05036"/>
      <w:docPartObj>
        <w:docPartGallery w:val="Page Numbers (Bottom of Page)"/>
        <w:docPartUnique/>
      </w:docPartObj>
    </w:sdtPr>
    <w:sdtEndPr/>
    <w:sdtContent>
      <w:p w14:paraId="5F86AC5B" w14:textId="49D108E6" w:rsidR="002F018D" w:rsidRDefault="002F018D">
        <w:pPr>
          <w:pStyle w:val="Stopka"/>
          <w:jc w:val="center"/>
        </w:pPr>
        <w:r>
          <w:fldChar w:fldCharType="begin"/>
        </w:r>
        <w:r>
          <w:instrText>PAGE   \* MERGEFORMAT</w:instrText>
        </w:r>
        <w:r>
          <w:fldChar w:fldCharType="separate"/>
        </w:r>
        <w:r w:rsidR="002440CE">
          <w:rPr>
            <w:noProof/>
          </w:rPr>
          <w:t>26</w:t>
        </w:r>
        <w:r>
          <w:fldChar w:fldCharType="end"/>
        </w:r>
      </w:p>
    </w:sdtContent>
  </w:sdt>
  <w:p w14:paraId="4C8F125F" w14:textId="77777777" w:rsidR="002F018D" w:rsidRDefault="002F01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1D6E8" w14:textId="77777777" w:rsidR="00C9710B" w:rsidRDefault="00C9710B" w:rsidP="006F0ABF">
      <w:pPr>
        <w:spacing w:line="240" w:lineRule="auto"/>
      </w:pPr>
      <w:r>
        <w:separator/>
      </w:r>
    </w:p>
  </w:footnote>
  <w:footnote w:type="continuationSeparator" w:id="0">
    <w:p w14:paraId="6EECA4A1" w14:textId="77777777" w:rsidR="00C9710B" w:rsidRDefault="00C9710B" w:rsidP="006F0A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2CCC2" w14:textId="134BF9EE" w:rsidR="002C157A" w:rsidRPr="00B371CC" w:rsidRDefault="002440CE" w:rsidP="00D325B3">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C433B"/>
    <w:multiLevelType w:val="hybridMultilevel"/>
    <w:tmpl w:val="9420136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18"/>
    <w:rsid w:val="00001CE3"/>
    <w:rsid w:val="00013ABC"/>
    <w:rsid w:val="000221D7"/>
    <w:rsid w:val="00072BBE"/>
    <w:rsid w:val="000A0853"/>
    <w:rsid w:val="000A3D8D"/>
    <w:rsid w:val="000B42E9"/>
    <w:rsid w:val="000C7DA6"/>
    <w:rsid w:val="000D6751"/>
    <w:rsid w:val="0010455F"/>
    <w:rsid w:val="00127E61"/>
    <w:rsid w:val="00181205"/>
    <w:rsid w:val="001B6780"/>
    <w:rsid w:val="001D18C9"/>
    <w:rsid w:val="001F0507"/>
    <w:rsid w:val="001F39C3"/>
    <w:rsid w:val="001F70F4"/>
    <w:rsid w:val="0022343A"/>
    <w:rsid w:val="00225408"/>
    <w:rsid w:val="002440CE"/>
    <w:rsid w:val="002579BC"/>
    <w:rsid w:val="00257B3F"/>
    <w:rsid w:val="002B40E1"/>
    <w:rsid w:val="002B5F07"/>
    <w:rsid w:val="002E162F"/>
    <w:rsid w:val="002F018D"/>
    <w:rsid w:val="002F74D0"/>
    <w:rsid w:val="003065B5"/>
    <w:rsid w:val="00366A44"/>
    <w:rsid w:val="003831E7"/>
    <w:rsid w:val="003A19F5"/>
    <w:rsid w:val="003C29E0"/>
    <w:rsid w:val="003F18E5"/>
    <w:rsid w:val="00414710"/>
    <w:rsid w:val="00417EC6"/>
    <w:rsid w:val="00425558"/>
    <w:rsid w:val="00442AF9"/>
    <w:rsid w:val="004936D4"/>
    <w:rsid w:val="004B6B14"/>
    <w:rsid w:val="004D537B"/>
    <w:rsid w:val="004E1BC6"/>
    <w:rsid w:val="0050720B"/>
    <w:rsid w:val="005244DC"/>
    <w:rsid w:val="005251AC"/>
    <w:rsid w:val="00541AB4"/>
    <w:rsid w:val="005B6CBE"/>
    <w:rsid w:val="00603850"/>
    <w:rsid w:val="00606818"/>
    <w:rsid w:val="00626D3E"/>
    <w:rsid w:val="00637C52"/>
    <w:rsid w:val="006934D7"/>
    <w:rsid w:val="006B5D00"/>
    <w:rsid w:val="006F0ABF"/>
    <w:rsid w:val="00705C3C"/>
    <w:rsid w:val="0071386C"/>
    <w:rsid w:val="0072120D"/>
    <w:rsid w:val="007258A8"/>
    <w:rsid w:val="00767E89"/>
    <w:rsid w:val="00780668"/>
    <w:rsid w:val="007A3017"/>
    <w:rsid w:val="008351A9"/>
    <w:rsid w:val="00881755"/>
    <w:rsid w:val="008C24AB"/>
    <w:rsid w:val="008F7161"/>
    <w:rsid w:val="0094207E"/>
    <w:rsid w:val="00963556"/>
    <w:rsid w:val="009717E9"/>
    <w:rsid w:val="00994653"/>
    <w:rsid w:val="009A0239"/>
    <w:rsid w:val="009B0817"/>
    <w:rsid w:val="009B3501"/>
    <w:rsid w:val="009B4536"/>
    <w:rsid w:val="009C2D56"/>
    <w:rsid w:val="009D35E8"/>
    <w:rsid w:val="009F080F"/>
    <w:rsid w:val="00A075C1"/>
    <w:rsid w:val="00A27F0B"/>
    <w:rsid w:val="00A51A97"/>
    <w:rsid w:val="00A6317B"/>
    <w:rsid w:val="00A67867"/>
    <w:rsid w:val="00A72ED1"/>
    <w:rsid w:val="00A927CB"/>
    <w:rsid w:val="00B40EAB"/>
    <w:rsid w:val="00B71588"/>
    <w:rsid w:val="00B968D4"/>
    <w:rsid w:val="00BA260A"/>
    <w:rsid w:val="00BB62D0"/>
    <w:rsid w:val="00BD727B"/>
    <w:rsid w:val="00BF5331"/>
    <w:rsid w:val="00C023EE"/>
    <w:rsid w:val="00C40921"/>
    <w:rsid w:val="00C7295C"/>
    <w:rsid w:val="00C9710B"/>
    <w:rsid w:val="00CA4222"/>
    <w:rsid w:val="00CA61ED"/>
    <w:rsid w:val="00CB1390"/>
    <w:rsid w:val="00CB676D"/>
    <w:rsid w:val="00CC0296"/>
    <w:rsid w:val="00CD0D80"/>
    <w:rsid w:val="00CD2BDE"/>
    <w:rsid w:val="00CE01CE"/>
    <w:rsid w:val="00CE6BDD"/>
    <w:rsid w:val="00D246FB"/>
    <w:rsid w:val="00D26921"/>
    <w:rsid w:val="00D70D65"/>
    <w:rsid w:val="00D715E6"/>
    <w:rsid w:val="00D75E38"/>
    <w:rsid w:val="00D8030A"/>
    <w:rsid w:val="00D86063"/>
    <w:rsid w:val="00DB0164"/>
    <w:rsid w:val="00DC2132"/>
    <w:rsid w:val="00DD382E"/>
    <w:rsid w:val="00DE30B5"/>
    <w:rsid w:val="00DF6235"/>
    <w:rsid w:val="00E24B36"/>
    <w:rsid w:val="00E26B54"/>
    <w:rsid w:val="00E33B9A"/>
    <w:rsid w:val="00E346EC"/>
    <w:rsid w:val="00E6228F"/>
    <w:rsid w:val="00EB54E9"/>
    <w:rsid w:val="00ED4D18"/>
    <w:rsid w:val="00F26822"/>
    <w:rsid w:val="00F36E9B"/>
    <w:rsid w:val="00F37EEA"/>
    <w:rsid w:val="00F434D1"/>
    <w:rsid w:val="00F81084"/>
    <w:rsid w:val="00F83D64"/>
    <w:rsid w:val="00F9206A"/>
    <w:rsid w:val="00FD4244"/>
    <w:rsid w:val="00FE2D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B3C34"/>
  <w15:docId w15:val="{C71ADE02-E292-42C3-BC06-5AE78E61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4D18"/>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D4D1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ED4D18"/>
    <w:rPr>
      <w:rFonts w:ascii="Times" w:eastAsia="Times New Roman" w:hAnsi="Times" w:cs="Times New Roman"/>
      <w:kern w:val="1"/>
      <w:sz w:val="24"/>
      <w:szCs w:val="24"/>
      <w:lang w:eastAsia="ar-SA"/>
    </w:rPr>
  </w:style>
  <w:style w:type="paragraph" w:customStyle="1" w:styleId="ARTartustawynprozporzdzenia">
    <w:name w:val="ART(§) – art. ustawy (§ np. rozporządzenia)"/>
    <w:qFormat/>
    <w:locked/>
    <w:rsid w:val="00ED4D1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qFormat/>
    <w:locked/>
    <w:rsid w:val="00ED4D1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qFormat/>
    <w:locked/>
    <w:rsid w:val="00ED4D18"/>
    <w:pPr>
      <w:ind w:left="986" w:hanging="476"/>
    </w:pPr>
  </w:style>
  <w:style w:type="character" w:customStyle="1" w:styleId="Ppogrubienie">
    <w:name w:val="_P_ – pogrubienie"/>
    <w:basedOn w:val="Domylnaczcionkaakapitu"/>
    <w:qFormat/>
    <w:locked/>
    <w:rsid w:val="00ED4D18"/>
    <w:rPr>
      <w:b/>
    </w:rPr>
  </w:style>
  <w:style w:type="paragraph" w:styleId="Stopka">
    <w:name w:val="footer"/>
    <w:basedOn w:val="Normalny"/>
    <w:link w:val="StopkaZnak"/>
    <w:uiPriority w:val="99"/>
    <w:unhideWhenUsed/>
    <w:rsid w:val="006F0ABF"/>
    <w:pPr>
      <w:tabs>
        <w:tab w:val="center" w:pos="4536"/>
        <w:tab w:val="right" w:pos="9072"/>
      </w:tabs>
      <w:spacing w:line="240" w:lineRule="auto"/>
    </w:pPr>
  </w:style>
  <w:style w:type="character" w:customStyle="1" w:styleId="StopkaZnak">
    <w:name w:val="Stopka Znak"/>
    <w:basedOn w:val="Domylnaczcionkaakapitu"/>
    <w:link w:val="Stopka"/>
    <w:uiPriority w:val="99"/>
    <w:rsid w:val="006F0ABF"/>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6F0AB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0ABF"/>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0221D7"/>
    <w:rPr>
      <w:sz w:val="16"/>
      <w:szCs w:val="16"/>
    </w:rPr>
  </w:style>
  <w:style w:type="paragraph" w:styleId="Tekstkomentarza">
    <w:name w:val="annotation text"/>
    <w:basedOn w:val="Normalny"/>
    <w:link w:val="TekstkomentarzaZnak"/>
    <w:uiPriority w:val="99"/>
    <w:semiHidden/>
    <w:unhideWhenUsed/>
    <w:rsid w:val="000221D7"/>
    <w:pPr>
      <w:spacing w:line="240" w:lineRule="auto"/>
    </w:pPr>
    <w:rPr>
      <w:sz w:val="20"/>
    </w:rPr>
  </w:style>
  <w:style w:type="character" w:customStyle="1" w:styleId="TekstkomentarzaZnak">
    <w:name w:val="Tekst komentarza Znak"/>
    <w:basedOn w:val="Domylnaczcionkaakapitu"/>
    <w:link w:val="Tekstkomentarza"/>
    <w:uiPriority w:val="99"/>
    <w:semiHidden/>
    <w:rsid w:val="000221D7"/>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221D7"/>
    <w:rPr>
      <w:b/>
      <w:bCs/>
    </w:rPr>
  </w:style>
  <w:style w:type="character" w:customStyle="1" w:styleId="TematkomentarzaZnak">
    <w:name w:val="Temat komentarza Znak"/>
    <w:basedOn w:val="TekstkomentarzaZnak"/>
    <w:link w:val="Tematkomentarza"/>
    <w:uiPriority w:val="99"/>
    <w:semiHidden/>
    <w:rsid w:val="000221D7"/>
    <w:rPr>
      <w:rFonts w:ascii="Times New Roman" w:eastAsiaTheme="minorEastAsia" w:hAnsi="Times New Roman" w:cs="Arial"/>
      <w:b/>
      <w:bCs/>
      <w:sz w:val="20"/>
      <w:szCs w:val="20"/>
      <w:lang w:eastAsia="pl-PL"/>
    </w:rPr>
  </w:style>
  <w:style w:type="paragraph" w:styleId="Poprawka">
    <w:name w:val="Revision"/>
    <w:hidden/>
    <w:uiPriority w:val="99"/>
    <w:semiHidden/>
    <w:rsid w:val="000221D7"/>
    <w:pPr>
      <w:spacing w:after="0" w:line="240" w:lineRule="auto"/>
    </w:pPr>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8399</Words>
  <Characters>50398</Characters>
  <Application>Microsoft Office Word</Application>
  <DocSecurity>0</DocSecurity>
  <Lines>419</Lines>
  <Paragraphs>117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Wójcik Aleksandra</cp:lastModifiedBy>
  <cp:revision>3</cp:revision>
  <dcterms:created xsi:type="dcterms:W3CDTF">2022-01-03T13:54:00Z</dcterms:created>
  <dcterms:modified xsi:type="dcterms:W3CDTF">2022-01-03T13:59:00Z</dcterms:modified>
</cp:coreProperties>
</file>