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170FE14" w14:textId="77777777" w:rsidR="002A77C6" w:rsidRPr="00783718" w:rsidRDefault="002A77C6" w:rsidP="002A77C6">
      <w:pPr>
        <w:keepNext/>
        <w:suppressAutoHyphens/>
        <w:spacing w:before="120" w:after="360" w:line="360" w:lineRule="auto"/>
        <w:jc w:val="center"/>
        <w:rPr>
          <w:rFonts w:ascii="Times New Roman" w:hAnsi="Times New Roman"/>
          <w:caps/>
          <w:sz w:val="24"/>
        </w:rPr>
      </w:pPr>
      <w:bookmarkStart w:id="0" w:name="_GoBack"/>
      <w:bookmarkEnd w:id="0"/>
      <w:r w:rsidRPr="00783718">
        <w:rPr>
          <w:rFonts w:ascii="Times New Roman" w:hAnsi="Times New Roman"/>
          <w:caps/>
          <w:sz w:val="24"/>
        </w:rPr>
        <w:t>Uzasadnienie</w:t>
      </w:r>
    </w:p>
    <w:p w14:paraId="36D00B66" w14:textId="77777777" w:rsidR="00055118" w:rsidRPr="002A77C6" w:rsidRDefault="00055118" w:rsidP="00055118">
      <w:pPr>
        <w:suppressAutoHyphens/>
        <w:spacing w:after="120" w:line="360" w:lineRule="auto"/>
        <w:ind w:firstLine="567"/>
        <w:jc w:val="both"/>
        <w:rPr>
          <w:rFonts w:ascii="Times New Roman" w:eastAsia="Times New Roman" w:hAnsi="Times New Roman"/>
          <w:bCs/>
          <w:sz w:val="24"/>
        </w:rPr>
      </w:pPr>
      <w:r w:rsidRPr="002A77C6">
        <w:rPr>
          <w:rFonts w:ascii="Times New Roman" w:eastAsia="Times New Roman" w:hAnsi="Times New Roman"/>
          <w:bCs/>
          <w:sz w:val="24"/>
        </w:rPr>
        <w:t xml:space="preserve">Projekt ustawy przewiduje wprowadzenie zmian w ustawie z dnia 9 maja 2008 r. </w:t>
      </w:r>
      <w:r w:rsidRPr="002A77C6">
        <w:rPr>
          <w:rFonts w:ascii="Times New Roman" w:eastAsia="Times New Roman" w:hAnsi="Times New Roman"/>
          <w:bCs/>
          <w:sz w:val="24"/>
        </w:rPr>
        <w:br/>
        <w:t xml:space="preserve">o Agencji Restrukturyzacji i Modernizacji Rolnictwa (Dz. U. z 2019 r. poz. 1505), zwanej dalej „ustawą o Agencji”. </w:t>
      </w:r>
    </w:p>
    <w:p w14:paraId="6652227E" w14:textId="4036B2EA" w:rsidR="00055118" w:rsidRPr="002A77C6" w:rsidRDefault="00055118" w:rsidP="00055118">
      <w:pPr>
        <w:suppressAutoHyphens/>
        <w:spacing w:after="120" w:line="360" w:lineRule="auto"/>
        <w:ind w:firstLine="567"/>
        <w:jc w:val="both"/>
        <w:rPr>
          <w:rFonts w:ascii="Times New Roman" w:eastAsia="Times New Roman" w:hAnsi="Times New Roman"/>
          <w:bCs/>
          <w:sz w:val="24"/>
          <w:szCs w:val="24"/>
        </w:rPr>
      </w:pPr>
      <w:r w:rsidRPr="002A77C6">
        <w:rPr>
          <w:rFonts w:ascii="Times New Roman" w:eastAsia="Times New Roman" w:hAnsi="Times New Roman"/>
          <w:bCs/>
          <w:sz w:val="24"/>
          <w:szCs w:val="24"/>
        </w:rPr>
        <w:t xml:space="preserve">Zmiany zaproponowane w art. 1 pkt 1 ustawy </w:t>
      </w:r>
      <w:r w:rsidR="002A77C6" w:rsidRPr="002A77C6">
        <w:rPr>
          <w:rFonts w:ascii="Times New Roman" w:eastAsia="Times New Roman" w:hAnsi="Times New Roman"/>
          <w:bCs/>
          <w:sz w:val="24"/>
          <w:szCs w:val="24"/>
        </w:rPr>
        <w:t>polegają</w:t>
      </w:r>
      <w:r w:rsidRPr="002A77C6">
        <w:rPr>
          <w:rFonts w:ascii="Times New Roman" w:eastAsia="Times New Roman" w:hAnsi="Times New Roman"/>
          <w:bCs/>
          <w:sz w:val="24"/>
          <w:szCs w:val="24"/>
        </w:rPr>
        <w:t xml:space="preserve"> na rezygnacji ze wskazywania w przepisach, ż</w:t>
      </w:r>
      <w:r w:rsidR="00783718">
        <w:rPr>
          <w:rFonts w:ascii="Times New Roman" w:eastAsia="Times New Roman" w:hAnsi="Times New Roman"/>
          <w:bCs/>
          <w:sz w:val="24"/>
          <w:szCs w:val="24"/>
        </w:rPr>
        <w:t>e</w:t>
      </w:r>
      <w:r w:rsidRPr="002A77C6">
        <w:rPr>
          <w:rFonts w:ascii="Times New Roman" w:eastAsia="Times New Roman" w:hAnsi="Times New Roman"/>
          <w:bCs/>
          <w:sz w:val="24"/>
          <w:szCs w:val="24"/>
        </w:rPr>
        <w:t xml:space="preserve"> nadzór nad Agencją </w:t>
      </w:r>
      <w:r w:rsidRPr="002A77C6">
        <w:rPr>
          <w:rFonts w:ascii="Times New Roman" w:eastAsia="Times New Roman" w:hAnsi="Times New Roman"/>
          <w:bCs/>
          <w:iCs/>
          <w:sz w:val="24"/>
          <w:szCs w:val="24"/>
        </w:rPr>
        <w:t>Restrukturyzacji i Modernizacji Rolnictwa, zwaną dalej „Agencją”</w:t>
      </w:r>
      <w:r w:rsidR="00925B0F">
        <w:rPr>
          <w:rFonts w:ascii="Times New Roman" w:eastAsia="Times New Roman" w:hAnsi="Times New Roman"/>
          <w:bCs/>
          <w:iCs/>
          <w:sz w:val="24"/>
          <w:szCs w:val="24"/>
        </w:rPr>
        <w:t xml:space="preserve"> albo „ARiMR”</w:t>
      </w:r>
      <w:r w:rsidRPr="002A77C6">
        <w:rPr>
          <w:rFonts w:ascii="Times New Roman" w:eastAsia="Times New Roman" w:hAnsi="Times New Roman"/>
          <w:bCs/>
          <w:iCs/>
          <w:sz w:val="24"/>
          <w:szCs w:val="24"/>
        </w:rPr>
        <w:t xml:space="preserve">, </w:t>
      </w:r>
      <w:r w:rsidRPr="002A77C6">
        <w:rPr>
          <w:rFonts w:ascii="Times New Roman" w:eastAsia="Times New Roman" w:hAnsi="Times New Roman"/>
          <w:bCs/>
          <w:sz w:val="24"/>
          <w:szCs w:val="24"/>
        </w:rPr>
        <w:t>w zakresie gospodarki finansowej sprawuje minister właściwy do spraw finansów publicznych, a także na uchyleniu upoważnienia dla Rady Ministrów do określenia, w drodze rozporządzenia, szczegółowego zakresu, sposobu i trybu sprawowania tego nadzoru</w:t>
      </w:r>
      <w:r w:rsidR="00783718">
        <w:rPr>
          <w:rFonts w:ascii="Times New Roman" w:eastAsia="Times New Roman" w:hAnsi="Times New Roman"/>
          <w:bCs/>
          <w:sz w:val="24"/>
          <w:szCs w:val="24"/>
        </w:rPr>
        <w:t>, i</w:t>
      </w:r>
      <w:r w:rsidRPr="002A77C6">
        <w:rPr>
          <w:rFonts w:ascii="Times New Roman" w:eastAsia="Times New Roman" w:hAnsi="Times New Roman"/>
          <w:bCs/>
          <w:sz w:val="24"/>
          <w:szCs w:val="24"/>
        </w:rPr>
        <w:t xml:space="preserve"> zostały wprowadzone na wniosek Ministra Finansów. Minister Finansów</w:t>
      </w:r>
      <w:r w:rsidR="00783718">
        <w:rPr>
          <w:rFonts w:ascii="Times New Roman" w:eastAsia="Times New Roman" w:hAnsi="Times New Roman"/>
          <w:bCs/>
          <w:sz w:val="24"/>
          <w:szCs w:val="24"/>
        </w:rPr>
        <w:t>,</w:t>
      </w:r>
      <w:r w:rsidRPr="002A77C6">
        <w:rPr>
          <w:rFonts w:ascii="Times New Roman" w:eastAsia="Times New Roman" w:hAnsi="Times New Roman"/>
          <w:bCs/>
          <w:sz w:val="24"/>
          <w:szCs w:val="24"/>
        </w:rPr>
        <w:t xml:space="preserve"> uzasadniając swój wniosek</w:t>
      </w:r>
      <w:r w:rsidR="00783718">
        <w:rPr>
          <w:rFonts w:ascii="Times New Roman" w:eastAsia="Times New Roman" w:hAnsi="Times New Roman"/>
          <w:bCs/>
          <w:sz w:val="24"/>
          <w:szCs w:val="24"/>
        </w:rPr>
        <w:t>,</w:t>
      </w:r>
      <w:r w:rsidRPr="002A77C6">
        <w:rPr>
          <w:rFonts w:ascii="Times New Roman" w:eastAsia="Times New Roman" w:hAnsi="Times New Roman"/>
          <w:bCs/>
          <w:sz w:val="24"/>
          <w:szCs w:val="24"/>
        </w:rPr>
        <w:t xml:space="preserve"> wskazał, ż</w:t>
      </w:r>
      <w:r w:rsidR="00783718">
        <w:rPr>
          <w:rFonts w:ascii="Times New Roman" w:eastAsia="Times New Roman" w:hAnsi="Times New Roman"/>
          <w:bCs/>
          <w:sz w:val="24"/>
          <w:szCs w:val="24"/>
        </w:rPr>
        <w:t>e</w:t>
      </w:r>
      <w:r w:rsidRPr="002A77C6">
        <w:rPr>
          <w:rFonts w:ascii="Times New Roman" w:eastAsia="Times New Roman" w:hAnsi="Times New Roman"/>
          <w:bCs/>
          <w:sz w:val="24"/>
          <w:szCs w:val="24"/>
        </w:rPr>
        <w:t xml:space="preserve"> wystarczające w tym zakresie są kompetencje Ministra Finansów wynikające z przepisów ustawy z dnia 27 sierpnia 2009 r. o finansach publicznych (Dz. U. z 2021 r. poz. 305, z późn. zm.) oraz ustawy z dnia 22 września 2006 r. o uruchamianiu środków pochodzących z budżetu Unii Europejskiej przeznaczonych na finansowanie wspólnej polityki rolnej (Dz. U. z 2018 r. poz. 221). Ponadto Minister Finansów podkreślił, że nie sprawuje takiego nadzoru nad żadną inną agencją wykonawczą i obecny przepis art. 3 ust. 1 ustawy o Agencji stanowi odstępstwo od ogólnie określonych zasad dla agencji wykonawczych, uregulowanych w ustawie z dnia 27 sierpnia 2009 r. o finansach publicznych</w:t>
      </w:r>
      <w:r w:rsidRPr="002A77C6">
        <w:rPr>
          <w:rFonts w:ascii="Times New Roman" w:eastAsia="Times New Roman" w:hAnsi="Times New Roman"/>
          <w:bCs/>
          <w:i/>
          <w:sz w:val="24"/>
          <w:szCs w:val="24"/>
        </w:rPr>
        <w:t xml:space="preserve">, </w:t>
      </w:r>
      <w:r w:rsidRPr="002A77C6">
        <w:rPr>
          <w:rFonts w:ascii="Times New Roman" w:eastAsia="Times New Roman" w:hAnsi="Times New Roman"/>
          <w:bCs/>
          <w:sz w:val="24"/>
          <w:szCs w:val="24"/>
        </w:rPr>
        <w:t>a zatem powinien zostać zmieniony przez wykreślenie ministra właściwego do spraw finansów publicznych jako organu sprawującego nadzór w zakresie gospodarki finansowej. W konsekwencji powyższych propozycji stosowne zmiany polegające na wykreśleniu ministra właściwego do spraw finansów publicznych wprowadzono również w art. 8 ust. 1 i 16 (art. 1 pkt 2 niniejszej ustawy) oraz w art. 21 ust. 6 (art. 1 pkt 6 lit. b niniejszej ustawy).</w:t>
      </w:r>
    </w:p>
    <w:p w14:paraId="78021ED3" w14:textId="77777777" w:rsidR="00055118" w:rsidRPr="002A77C6" w:rsidRDefault="00055118" w:rsidP="00055118">
      <w:pPr>
        <w:widowControl/>
        <w:suppressAutoHyphens/>
        <w:spacing w:line="360" w:lineRule="auto"/>
        <w:ind w:firstLine="510"/>
        <w:jc w:val="both"/>
        <w:rPr>
          <w:rFonts w:ascii="Times New Roman" w:eastAsia="Times New Roman" w:hAnsi="Times New Roman" w:cs="Arial"/>
          <w:bCs/>
          <w:sz w:val="24"/>
          <w:szCs w:val="24"/>
        </w:rPr>
      </w:pPr>
      <w:r w:rsidRPr="002A77C6">
        <w:rPr>
          <w:rFonts w:ascii="Times New Roman" w:eastAsia="Times New Roman" w:hAnsi="Times New Roman" w:cs="Arial"/>
          <w:bCs/>
          <w:sz w:val="24"/>
          <w:szCs w:val="24"/>
        </w:rPr>
        <w:t>Zmiany proponowane w art. 1 pkt 3 ustawy polegają na rozszerzeniu katalogu stanowisk w strukturze Agencji, które obsadzane są w drodze powołania,</w:t>
      </w:r>
      <w:r>
        <w:rPr>
          <w:rFonts w:ascii="Times New Roman" w:eastAsia="Times New Roman" w:hAnsi="Times New Roman" w:cs="Arial"/>
          <w:bCs/>
          <w:sz w:val="24"/>
          <w:szCs w:val="24"/>
        </w:rPr>
        <w:t xml:space="preserve"> </w:t>
      </w:r>
      <w:r w:rsidRPr="002A77C6">
        <w:rPr>
          <w:rFonts w:ascii="Times New Roman" w:eastAsia="Times New Roman" w:hAnsi="Times New Roman" w:cs="Arial"/>
          <w:bCs/>
          <w:sz w:val="24"/>
          <w:szCs w:val="24"/>
        </w:rPr>
        <w:t xml:space="preserve">w których przypadku powołanie jest równoznaczne z nawiązaniem stosunku pracy na podstawie powołania </w:t>
      </w:r>
      <w:r w:rsidRPr="002A77C6">
        <w:rPr>
          <w:rFonts w:ascii="Times New Roman" w:eastAsia="Times New Roman" w:hAnsi="Times New Roman" w:cs="Arial"/>
          <w:bCs/>
          <w:sz w:val="24"/>
          <w:szCs w:val="24"/>
        </w:rPr>
        <w:br/>
        <w:t>w rozumieniu przepisów ustawy z dnia 26 czerwca 1974 r. – Kodeks pracy (Dz. U. z 2020 r. poz. 1320, z późn. zm.).</w:t>
      </w:r>
    </w:p>
    <w:p w14:paraId="046589CE" w14:textId="77777777" w:rsidR="00055118" w:rsidRPr="002A77C6" w:rsidRDefault="00055118" w:rsidP="00055118">
      <w:pPr>
        <w:widowControl/>
        <w:suppressAutoHyphens/>
        <w:spacing w:line="360" w:lineRule="auto"/>
        <w:ind w:firstLine="510"/>
        <w:jc w:val="both"/>
        <w:rPr>
          <w:rFonts w:ascii="Times New Roman" w:eastAsia="Times New Roman" w:hAnsi="Times New Roman" w:cs="Arial"/>
          <w:bCs/>
          <w:sz w:val="24"/>
          <w:szCs w:val="24"/>
        </w:rPr>
      </w:pPr>
      <w:r w:rsidRPr="002A77C6">
        <w:rPr>
          <w:rFonts w:ascii="Times New Roman" w:eastAsia="Times New Roman" w:hAnsi="Times New Roman" w:cs="Arial"/>
          <w:bCs/>
          <w:sz w:val="24"/>
          <w:szCs w:val="24"/>
        </w:rPr>
        <w:t xml:space="preserve">W dotychczasowym stanie prawnym katalog ten obejmował następujące stanowiska: Prezesa Agencji, zastępcy Prezesa Agencji, kierownika komórki organizacyjnej w Centrali </w:t>
      </w:r>
      <w:r w:rsidRPr="002A77C6">
        <w:rPr>
          <w:rFonts w:ascii="Times New Roman" w:eastAsia="Times New Roman" w:hAnsi="Times New Roman" w:cs="Arial"/>
          <w:bCs/>
          <w:sz w:val="24"/>
          <w:szCs w:val="24"/>
        </w:rPr>
        <w:lastRenderedPageBreak/>
        <w:t>Agencji i jego zastępcy, dyrektora oddziału regionalnego i jego zastępcy, kierownika biura powiatowego i jego zastępcy oraz kierowników biur w oddziałach regionalnych i ich zastępców. Niniejszą ustawą rozszerza się ten katalog o stanowisko doradcy Prezesa Agencji.</w:t>
      </w:r>
    </w:p>
    <w:p w14:paraId="46644EC5" w14:textId="5BBBDC67" w:rsidR="00055118" w:rsidRPr="002A77C6" w:rsidRDefault="00055118" w:rsidP="00055118">
      <w:pPr>
        <w:suppressAutoHyphens/>
        <w:spacing w:after="120" w:line="360" w:lineRule="auto"/>
        <w:ind w:firstLine="567"/>
        <w:jc w:val="both"/>
        <w:rPr>
          <w:rFonts w:ascii="Times New Roman" w:eastAsia="Times New Roman" w:hAnsi="Times New Roman" w:cs="Arial"/>
          <w:bCs/>
          <w:sz w:val="24"/>
          <w:szCs w:val="24"/>
        </w:rPr>
      </w:pPr>
      <w:r w:rsidRPr="002A77C6">
        <w:rPr>
          <w:rFonts w:ascii="Times New Roman" w:eastAsia="Times New Roman" w:hAnsi="Times New Roman" w:cs="Arial"/>
          <w:bCs/>
          <w:sz w:val="24"/>
          <w:szCs w:val="24"/>
        </w:rPr>
        <w:t>Powyższa zmiana podyktowana jest koniecznością uelastycznienia zatrudniania osób na stanowisku doradcy Prezesa Agencji. Z istoty stanowiska doradcy wynika, że na stanowisku tym zatrudniane są osoby posiadające zarówno wiedzę specjalistyczną, jak i cieszące się zaufaniem osoby pełniącej funkcję Prezesa Agencji. Niejednokrotnie potrzeba ich zatrudnienia wynika z określonego problemu (problemów) do rozwiązania lub związana jest z konkretnymi projektami realizowanymi w Agencji. Pożądanym stanem jest, aby Prezes Agencji mógł jeszcze skuteczniej i efektywniej zarządzać zasobem osób zatrudnionych jako jego doradcy. Obecnie są oni zatrudnieni na podstawie umowy o pracę, ze wszystkimi tego skutkami w sferze zarówno nawiązywania, jak i rozwiązywania stosunku pracy. Po zmianie charakteru stosunku pracy doradcy na stosunek nawiązywany na podstawie powołania Prezes Agencji będzie mógł, w zależności od potrzeb Agencji, elastyczniej kształtowa</w:t>
      </w:r>
      <w:r w:rsidRPr="002A77C6">
        <w:rPr>
          <w:rFonts w:ascii="Times New Roman" w:eastAsia="Times New Roman" w:hAnsi="Times New Roman"/>
          <w:sz w:val="24"/>
          <w:szCs w:val="24"/>
        </w:rPr>
        <w:t>ć skład zespołu swoich doradców. W tym celu w</w:t>
      </w:r>
      <w:r w:rsidRPr="002A77C6">
        <w:rPr>
          <w:rFonts w:ascii="Times New Roman" w:eastAsia="Times New Roman" w:hAnsi="Times New Roman" w:cs="Arial"/>
          <w:bCs/>
          <w:sz w:val="24"/>
          <w:szCs w:val="24"/>
        </w:rPr>
        <w:t xml:space="preserve"> art. 9 ust. 3 ustawy o Agencji do listy stanowisk, na które powołuje Prezes Agencji, dodaje się stanowisko doradcy Prezesa Agencji.</w:t>
      </w:r>
      <w:r w:rsidRPr="002A77C6">
        <w:rPr>
          <w:rFonts w:ascii="Times New Roman" w:eastAsia="Times New Roman" w:hAnsi="Times New Roman"/>
          <w:sz w:val="24"/>
          <w:szCs w:val="24"/>
        </w:rPr>
        <w:t xml:space="preserve"> Ponadto w</w:t>
      </w:r>
      <w:r w:rsidRPr="002A77C6">
        <w:rPr>
          <w:rFonts w:ascii="Times New Roman" w:eastAsia="Times New Roman" w:hAnsi="Times New Roman" w:cs="Arial"/>
          <w:bCs/>
          <w:sz w:val="24"/>
          <w:szCs w:val="24"/>
        </w:rPr>
        <w:t xml:space="preserve"> art. 9 ust. 4</w:t>
      </w:r>
      <w:r w:rsidRPr="002A77C6">
        <w:rPr>
          <w:rFonts w:ascii="Times New Roman" w:eastAsia="Times New Roman" w:hAnsi="Times New Roman"/>
          <w:sz w:val="24"/>
          <w:szCs w:val="24"/>
        </w:rPr>
        <w:t xml:space="preserve"> ustawy o Agencji</w:t>
      </w:r>
      <w:r w:rsidR="00B34437">
        <w:rPr>
          <w:rFonts w:ascii="Times New Roman" w:eastAsia="Times New Roman" w:hAnsi="Times New Roman"/>
          <w:sz w:val="24"/>
          <w:szCs w:val="24"/>
        </w:rPr>
        <w:t>,</w:t>
      </w:r>
      <w:r w:rsidRPr="002A77C6">
        <w:rPr>
          <w:rFonts w:ascii="Times New Roman" w:eastAsia="Times New Roman" w:hAnsi="Times New Roman" w:cs="Arial"/>
          <w:bCs/>
          <w:sz w:val="24"/>
          <w:szCs w:val="24"/>
        </w:rPr>
        <w:t xml:space="preserve"> zawierającym wymagania niezbędne do zajmowania wskazanych stanowisk, do list tych stanowisk dodaje się stanowisko doradcy Prezesa Agencji.</w:t>
      </w:r>
    </w:p>
    <w:p w14:paraId="112EB87B" w14:textId="4AFC1FCB" w:rsidR="00055118" w:rsidRPr="002A77C6" w:rsidRDefault="00055118" w:rsidP="00055118">
      <w:pPr>
        <w:suppressAutoHyphens/>
        <w:spacing w:after="120" w:line="360" w:lineRule="auto"/>
        <w:ind w:firstLine="567"/>
        <w:jc w:val="both"/>
        <w:rPr>
          <w:rFonts w:ascii="Times New Roman" w:eastAsia="Times New Roman" w:hAnsi="Times New Roman"/>
          <w:bCs/>
          <w:sz w:val="24"/>
          <w:szCs w:val="24"/>
        </w:rPr>
      </w:pPr>
      <w:r w:rsidRPr="002A77C6">
        <w:rPr>
          <w:rFonts w:ascii="Times New Roman" w:eastAsia="Times New Roman" w:hAnsi="Times New Roman"/>
          <w:bCs/>
          <w:sz w:val="24"/>
          <w:szCs w:val="24"/>
        </w:rPr>
        <w:t xml:space="preserve">Zmiany proponowane w art. 1 pkt 4 ustawy mają na celu uzupełnienie art. 10a ustawy o Agencji. Obowiązujący art. 10a w ust. 1 określa wyłączenia w zakresie stosowania przepisów Kodeksu postępowania administracyjnego. Część z tych wyłączonych przepisów to regulacje określające niektóre zasady postępowania administracyjnego (art. 7, art. 9, art. 10), które kształtują pozycję organu i strony w postępowaniu administracyjnym, pozostałe zaś to regulacje konkretyzujące te zasady w postępowaniu dowodowym. W miejsce wyłączonych zasad w art. 10a ustawy o Agencji nie zostały wprowadzone inne zasady, które ukształtowałyby pozycję organu i strony w postępowaniu administracyjnym. Projektowana regulacja uzupełnia zmieniany przepis o takie zasady, analogiczne do zasad rządzących postępowaniem administracyjnym w sprawach rozstrzyganych na podstawie przepisów ustawy z dnia 5 lutego 2015 r. o płatnościach w ramach systemów wsparcia bezpośredniego (Dz. U. z </w:t>
      </w:r>
      <w:r w:rsidR="002A77C6" w:rsidRPr="002A77C6">
        <w:rPr>
          <w:rFonts w:ascii="Times New Roman" w:eastAsia="Times New Roman" w:hAnsi="Times New Roman"/>
          <w:bCs/>
          <w:sz w:val="24"/>
          <w:szCs w:val="24"/>
        </w:rPr>
        <w:t>202</w:t>
      </w:r>
      <w:r w:rsidR="006505B6">
        <w:rPr>
          <w:rFonts w:ascii="Times New Roman" w:eastAsia="Times New Roman" w:hAnsi="Times New Roman"/>
          <w:bCs/>
          <w:sz w:val="24"/>
          <w:szCs w:val="24"/>
        </w:rPr>
        <w:t>1</w:t>
      </w:r>
      <w:r w:rsidRPr="002A77C6">
        <w:rPr>
          <w:rFonts w:ascii="Times New Roman" w:eastAsia="Times New Roman" w:hAnsi="Times New Roman"/>
          <w:bCs/>
          <w:sz w:val="24"/>
          <w:szCs w:val="24"/>
        </w:rPr>
        <w:t xml:space="preserve"> r. poz. </w:t>
      </w:r>
      <w:r>
        <w:rPr>
          <w:rFonts w:ascii="Times New Roman" w:eastAsia="Times New Roman" w:hAnsi="Times New Roman"/>
          <w:bCs/>
          <w:sz w:val="24"/>
          <w:szCs w:val="24"/>
        </w:rPr>
        <w:t>2114</w:t>
      </w:r>
      <w:r w:rsidRPr="002A77C6">
        <w:rPr>
          <w:rFonts w:ascii="Times New Roman" w:eastAsia="Times New Roman" w:hAnsi="Times New Roman"/>
          <w:bCs/>
          <w:sz w:val="24"/>
          <w:szCs w:val="24"/>
        </w:rPr>
        <w:t>). Zgodnie z projektowaną regulacją organ administracji publicznej:</w:t>
      </w:r>
    </w:p>
    <w:p w14:paraId="48680327" w14:textId="77777777" w:rsidR="00055118" w:rsidRPr="002A77C6" w:rsidRDefault="00055118" w:rsidP="00B34437">
      <w:pPr>
        <w:widowControl/>
        <w:numPr>
          <w:ilvl w:val="0"/>
          <w:numId w:val="13"/>
        </w:numPr>
        <w:suppressAutoHyphens/>
        <w:autoSpaceDE/>
        <w:autoSpaceDN/>
        <w:adjustRightInd/>
        <w:spacing w:after="120" w:line="360" w:lineRule="auto"/>
        <w:ind w:left="426" w:hanging="426"/>
        <w:contextualSpacing/>
        <w:jc w:val="both"/>
        <w:rPr>
          <w:rFonts w:ascii="Times New Roman" w:eastAsia="Times New Roman" w:hAnsi="Times New Roman"/>
          <w:bCs/>
          <w:sz w:val="24"/>
          <w:szCs w:val="24"/>
          <w:lang w:eastAsia="en-US"/>
        </w:rPr>
      </w:pPr>
      <w:r w:rsidRPr="002A77C6">
        <w:rPr>
          <w:rFonts w:ascii="Times New Roman" w:eastAsia="Times New Roman" w:hAnsi="Times New Roman"/>
          <w:bCs/>
          <w:sz w:val="24"/>
          <w:szCs w:val="24"/>
          <w:lang w:eastAsia="en-US"/>
        </w:rPr>
        <w:lastRenderedPageBreak/>
        <w:t>stoi na straży praworządności;</w:t>
      </w:r>
    </w:p>
    <w:p w14:paraId="594DB90C" w14:textId="77777777" w:rsidR="00055118" w:rsidRPr="002A77C6" w:rsidRDefault="00055118" w:rsidP="00B34437">
      <w:pPr>
        <w:widowControl/>
        <w:numPr>
          <w:ilvl w:val="0"/>
          <w:numId w:val="13"/>
        </w:numPr>
        <w:suppressAutoHyphens/>
        <w:autoSpaceDE/>
        <w:autoSpaceDN/>
        <w:adjustRightInd/>
        <w:spacing w:after="120" w:line="360" w:lineRule="auto"/>
        <w:ind w:left="426" w:hanging="426"/>
        <w:contextualSpacing/>
        <w:jc w:val="both"/>
        <w:rPr>
          <w:rFonts w:ascii="Times New Roman" w:eastAsia="Times New Roman" w:hAnsi="Times New Roman"/>
          <w:bCs/>
          <w:sz w:val="24"/>
          <w:szCs w:val="24"/>
          <w:lang w:eastAsia="en-US"/>
        </w:rPr>
      </w:pPr>
      <w:r w:rsidRPr="002A77C6">
        <w:rPr>
          <w:rFonts w:ascii="Times New Roman" w:eastAsia="Times New Roman" w:hAnsi="Times New Roman"/>
          <w:bCs/>
          <w:sz w:val="24"/>
          <w:szCs w:val="24"/>
          <w:lang w:eastAsia="en-US"/>
        </w:rPr>
        <w:t>jest obowiązany w sposób wyczerpujący rozpatrzyć cały materiał dowodowy;</w:t>
      </w:r>
    </w:p>
    <w:p w14:paraId="15C0DEF3" w14:textId="77777777" w:rsidR="00055118" w:rsidRPr="002A77C6" w:rsidRDefault="00055118" w:rsidP="00B34437">
      <w:pPr>
        <w:widowControl/>
        <w:numPr>
          <w:ilvl w:val="0"/>
          <w:numId w:val="13"/>
        </w:numPr>
        <w:suppressAutoHyphens/>
        <w:autoSpaceDE/>
        <w:autoSpaceDN/>
        <w:adjustRightInd/>
        <w:spacing w:after="120" w:line="360" w:lineRule="auto"/>
        <w:ind w:left="426" w:hanging="426"/>
        <w:contextualSpacing/>
        <w:jc w:val="both"/>
        <w:rPr>
          <w:rFonts w:ascii="Times New Roman" w:eastAsia="Times New Roman" w:hAnsi="Times New Roman"/>
          <w:bCs/>
          <w:sz w:val="24"/>
          <w:szCs w:val="24"/>
          <w:lang w:eastAsia="en-US"/>
        </w:rPr>
      </w:pPr>
      <w:r w:rsidRPr="002A77C6">
        <w:rPr>
          <w:rFonts w:ascii="Times New Roman" w:eastAsia="Times New Roman" w:hAnsi="Times New Roman"/>
          <w:bCs/>
          <w:sz w:val="24"/>
          <w:szCs w:val="24"/>
          <w:lang w:eastAsia="en-US"/>
        </w:rPr>
        <w:t>udziela stronom, na ich żądanie, niezbędnych pouczeń co do okoliczności faktycznych i prawnych, które mogą mieć wpływ na ustalenie ich praw i obowiązków będących przedmiotem postępowania;</w:t>
      </w:r>
    </w:p>
    <w:p w14:paraId="2335BEBC" w14:textId="6FF213F0" w:rsidR="00055118" w:rsidRPr="002A77C6" w:rsidRDefault="00055118" w:rsidP="00B34437">
      <w:pPr>
        <w:widowControl/>
        <w:numPr>
          <w:ilvl w:val="0"/>
          <w:numId w:val="13"/>
        </w:numPr>
        <w:suppressAutoHyphens/>
        <w:autoSpaceDE/>
        <w:autoSpaceDN/>
        <w:adjustRightInd/>
        <w:spacing w:after="120" w:line="360" w:lineRule="auto"/>
        <w:ind w:left="426" w:hanging="426"/>
        <w:contextualSpacing/>
        <w:jc w:val="both"/>
        <w:rPr>
          <w:rFonts w:ascii="Times New Roman" w:eastAsia="Times New Roman" w:hAnsi="Times New Roman"/>
          <w:bCs/>
          <w:sz w:val="24"/>
          <w:szCs w:val="24"/>
          <w:lang w:eastAsia="en-US"/>
        </w:rPr>
      </w:pPr>
      <w:r w:rsidRPr="002A77C6">
        <w:rPr>
          <w:rFonts w:ascii="Times New Roman" w:eastAsia="Times New Roman" w:hAnsi="Times New Roman"/>
          <w:bCs/>
          <w:sz w:val="24"/>
          <w:szCs w:val="24"/>
          <w:lang w:eastAsia="en-US"/>
        </w:rPr>
        <w:t>zapewnia stronom, na ich żądanie, czynny udział w każdym stadium postępowania i na ich żądanie, przed wydaniem decyzji, umożliwia im wypowiedzenie się co do zebranych dowodów i materiałów oraz zgłoszonych żądań.</w:t>
      </w:r>
    </w:p>
    <w:p w14:paraId="5FE2FD73" w14:textId="77777777" w:rsidR="00055118" w:rsidRPr="002A77C6" w:rsidRDefault="00055118" w:rsidP="00344E09">
      <w:pPr>
        <w:suppressAutoHyphens/>
        <w:spacing w:after="120" w:line="360" w:lineRule="auto"/>
        <w:ind w:firstLine="567"/>
        <w:jc w:val="both"/>
        <w:rPr>
          <w:rFonts w:ascii="Times New Roman" w:eastAsia="Times New Roman" w:hAnsi="Times New Roman"/>
          <w:bCs/>
          <w:sz w:val="24"/>
          <w:szCs w:val="24"/>
        </w:rPr>
      </w:pPr>
      <w:r w:rsidRPr="002A77C6">
        <w:rPr>
          <w:rFonts w:ascii="Times New Roman" w:eastAsia="Times New Roman" w:hAnsi="Times New Roman"/>
          <w:bCs/>
          <w:sz w:val="24"/>
          <w:szCs w:val="24"/>
        </w:rPr>
        <w:t>Natomiast strony oraz inne osoby uczestniczące w postępowaniach, o których mowa w ust. 1, są obowiązane przedstawiać dowody oraz dawać wyjaśnienia co do okoliczności sprawy zgodnie z prawdą i bez zatajania czegokolwiek; ciężar udowodnienia faktu spoczywa na osobie, która z tego faktu wywodzi skutki prawne.</w:t>
      </w:r>
    </w:p>
    <w:p w14:paraId="222205BD" w14:textId="31DE23D1" w:rsidR="00055118" w:rsidRPr="002A77C6" w:rsidRDefault="00055118" w:rsidP="00055118">
      <w:pPr>
        <w:suppressAutoHyphens/>
        <w:spacing w:after="120" w:line="360" w:lineRule="auto"/>
        <w:ind w:firstLine="567"/>
        <w:jc w:val="both"/>
        <w:rPr>
          <w:rFonts w:ascii="Times New Roman" w:eastAsia="Times New Roman" w:hAnsi="Times New Roman"/>
          <w:sz w:val="24"/>
        </w:rPr>
      </w:pPr>
      <w:r w:rsidRPr="002A77C6">
        <w:rPr>
          <w:rFonts w:ascii="Times New Roman" w:eastAsia="Times New Roman" w:hAnsi="Times New Roman"/>
          <w:bCs/>
          <w:sz w:val="24"/>
          <w:szCs w:val="24"/>
        </w:rPr>
        <w:t xml:space="preserve">Wprowadzenie takich </w:t>
      </w:r>
      <w:r w:rsidRPr="002A77C6">
        <w:rPr>
          <w:rFonts w:ascii="Times New Roman" w:eastAsia="Times New Roman" w:hAnsi="Times New Roman"/>
          <w:sz w:val="24"/>
        </w:rPr>
        <w:t xml:space="preserve">uregulowań, oprócz wyraźnego ukształtowania pozycji organu </w:t>
      </w:r>
      <w:r w:rsidRPr="002A77C6">
        <w:rPr>
          <w:rFonts w:ascii="Times New Roman" w:eastAsia="Times New Roman" w:hAnsi="Times New Roman"/>
          <w:sz w:val="24"/>
        </w:rPr>
        <w:br/>
        <w:t>i strony w post</w:t>
      </w:r>
      <w:r w:rsidR="002E064F">
        <w:rPr>
          <w:rFonts w:ascii="Times New Roman" w:eastAsia="Times New Roman" w:hAnsi="Times New Roman"/>
          <w:sz w:val="24"/>
        </w:rPr>
        <w:t>ę</w:t>
      </w:r>
      <w:r w:rsidRPr="002A77C6">
        <w:rPr>
          <w:rFonts w:ascii="Times New Roman" w:eastAsia="Times New Roman" w:hAnsi="Times New Roman"/>
          <w:sz w:val="24"/>
        </w:rPr>
        <w:t>powaniu administracyjnym, zapewni większą jednolitość w zakresie trybu postępowań administracyjnych prowadzonych przez organy administracji publicznej znajdujące się w strukturze Agencji, tj. przez kierownika biura powiatowego Agencji, dyrektora oddziału regionalnego Agencji oraz Prezesa Agencji. W tym celu proponuje się również uchylić w art. 10a w ust. 6 pkt 6 ustawy o Agencji, który wyłącza stosowanie uregulowań zawartych w art. 10a ust. 1</w:t>
      </w:r>
      <w:r w:rsidR="002E064F">
        <w:rPr>
          <w:rFonts w:ascii="Times New Roman" w:eastAsia="Times New Roman" w:hAnsi="Times New Roman"/>
          <w:sz w:val="24"/>
        </w:rPr>
        <w:t>–</w:t>
      </w:r>
      <w:r w:rsidRPr="002A77C6">
        <w:rPr>
          <w:rFonts w:ascii="Times New Roman" w:eastAsia="Times New Roman" w:hAnsi="Times New Roman"/>
          <w:sz w:val="24"/>
        </w:rPr>
        <w:t>5 ustawy o Agencji do postępowań rozstrzyganych w drodze decyzji na podstawie przepisów wydanych na podstawie art. 4 ust. 6 ustawy o Agencji, w szczególności do postępowań w sprawach tzw. pomocy krajowej.</w:t>
      </w:r>
    </w:p>
    <w:p w14:paraId="0E42D8CA" w14:textId="4B401D3D" w:rsidR="00055118" w:rsidRPr="002A77C6" w:rsidRDefault="00055118" w:rsidP="00055118">
      <w:pPr>
        <w:suppressAutoHyphens/>
        <w:spacing w:after="120" w:line="360" w:lineRule="auto"/>
        <w:ind w:firstLine="567"/>
        <w:jc w:val="both"/>
        <w:rPr>
          <w:rFonts w:ascii="Times New Roman" w:eastAsia="Times New Roman" w:hAnsi="Times New Roman"/>
          <w:sz w:val="24"/>
          <w:szCs w:val="24"/>
        </w:rPr>
      </w:pPr>
      <w:r w:rsidRPr="002A77C6">
        <w:rPr>
          <w:rFonts w:ascii="Times New Roman" w:eastAsia="Times New Roman" w:hAnsi="Times New Roman"/>
          <w:bCs/>
          <w:sz w:val="24"/>
          <w:szCs w:val="24"/>
        </w:rPr>
        <w:t xml:space="preserve">W art. 1 pkt 5 ustawy proponuje się zmianę art. 12 ustawy o Agencji przez wprowadzenie wyłączenia obowiązku przeprowadzania naboru na zasadach określonych w tej ustawie w przypadku zatrudniania pracowników w celu zastępstwa </w:t>
      </w:r>
      <w:r w:rsidRPr="002A77C6">
        <w:rPr>
          <w:rFonts w:ascii="Times New Roman" w:eastAsia="Times New Roman" w:hAnsi="Times New Roman"/>
          <w:bCs/>
          <w:iCs/>
          <w:sz w:val="24"/>
          <w:szCs w:val="24"/>
        </w:rPr>
        <w:t xml:space="preserve">pracownika Agencji w czasie jego usprawiedliwionej nieobecności, jak też w przypadku </w:t>
      </w:r>
      <w:r w:rsidRPr="002A77C6">
        <w:rPr>
          <w:rFonts w:ascii="Times New Roman" w:eastAsia="Times New Roman" w:hAnsi="Times New Roman"/>
          <w:bCs/>
          <w:sz w:val="24"/>
          <w:szCs w:val="24"/>
        </w:rPr>
        <w:t xml:space="preserve">nawiązywania stosunku pracy na okres nie dłuższy niż 6 miesięcy, </w:t>
      </w:r>
      <w:r w:rsidRPr="002A77C6">
        <w:rPr>
          <w:rFonts w:ascii="Times New Roman" w:eastAsia="Times New Roman" w:hAnsi="Times New Roman"/>
          <w:bCs/>
          <w:iCs/>
          <w:sz w:val="24"/>
          <w:szCs w:val="24"/>
        </w:rPr>
        <w:t>z osobą, która ukończyła w Agencji staż</w:t>
      </w:r>
      <w:r w:rsidRPr="002A77C6">
        <w:rPr>
          <w:rFonts w:ascii="Times New Roman" w:eastAsia="Calibri" w:hAnsi="Times New Roman"/>
          <w:color w:val="000000"/>
          <w:sz w:val="24"/>
          <w:szCs w:val="24"/>
          <w:lang w:eastAsia="en-US"/>
        </w:rPr>
        <w:t xml:space="preserve"> </w:t>
      </w:r>
      <w:r w:rsidRPr="002A77C6">
        <w:rPr>
          <w:rFonts w:ascii="Times New Roman" w:eastAsia="Calibri" w:hAnsi="Times New Roman"/>
          <w:color w:val="000000"/>
          <w:sz w:val="24"/>
          <w:szCs w:val="24"/>
          <w:lang w:eastAsia="en-US"/>
        </w:rPr>
        <w:br/>
        <w:t xml:space="preserve">w rozumieniu przepisów ustawy z dnia 20 kwietnia 2004 r. o </w:t>
      </w:r>
      <w:bookmarkStart w:id="1" w:name="highlightHit_1"/>
      <w:bookmarkEnd w:id="1"/>
      <w:r w:rsidRPr="002A77C6">
        <w:rPr>
          <w:rFonts w:ascii="Times New Roman" w:eastAsia="Calibri" w:hAnsi="Times New Roman"/>
          <w:color w:val="000000"/>
          <w:sz w:val="24"/>
          <w:szCs w:val="24"/>
          <w:lang w:eastAsia="en-US"/>
        </w:rPr>
        <w:t xml:space="preserve">promocji zatrudnienia </w:t>
      </w:r>
      <w:r w:rsidRPr="002A77C6">
        <w:rPr>
          <w:rFonts w:ascii="Times New Roman" w:eastAsia="Calibri" w:hAnsi="Times New Roman"/>
          <w:color w:val="000000"/>
          <w:sz w:val="24"/>
          <w:szCs w:val="24"/>
          <w:lang w:eastAsia="en-US"/>
        </w:rPr>
        <w:br/>
        <w:t xml:space="preserve">i </w:t>
      </w:r>
      <w:bookmarkStart w:id="2" w:name="highlightHit_4"/>
      <w:bookmarkEnd w:id="2"/>
      <w:r w:rsidRPr="002A77C6">
        <w:rPr>
          <w:rFonts w:ascii="Times New Roman" w:eastAsia="Calibri" w:hAnsi="Times New Roman"/>
          <w:color w:val="000000"/>
          <w:sz w:val="24"/>
          <w:szCs w:val="24"/>
          <w:lang w:eastAsia="en-US"/>
        </w:rPr>
        <w:t xml:space="preserve">instytucjach </w:t>
      </w:r>
      <w:bookmarkStart w:id="3" w:name="highlightHit_5"/>
      <w:bookmarkEnd w:id="3"/>
      <w:r w:rsidRPr="002A77C6">
        <w:rPr>
          <w:rFonts w:ascii="Times New Roman" w:eastAsia="Calibri" w:hAnsi="Times New Roman"/>
          <w:color w:val="000000"/>
          <w:sz w:val="24"/>
          <w:szCs w:val="24"/>
          <w:lang w:eastAsia="en-US"/>
        </w:rPr>
        <w:t xml:space="preserve">rynku </w:t>
      </w:r>
      <w:bookmarkStart w:id="4" w:name="highlightHit_6"/>
      <w:bookmarkEnd w:id="4"/>
      <w:r w:rsidRPr="002A77C6">
        <w:rPr>
          <w:rFonts w:ascii="Times New Roman" w:eastAsia="Calibri" w:hAnsi="Times New Roman"/>
          <w:color w:val="000000"/>
          <w:sz w:val="24"/>
          <w:szCs w:val="24"/>
          <w:lang w:eastAsia="en-US"/>
        </w:rPr>
        <w:t>pracy (Dz. U. z 2021 r. poz. 1</w:t>
      </w:r>
      <w:r w:rsidRPr="002A77C6">
        <w:rPr>
          <w:rFonts w:ascii="Times New Roman" w:eastAsia="Times New Roman" w:hAnsi="Times New Roman"/>
          <w:sz w:val="24"/>
          <w:szCs w:val="24"/>
        </w:rPr>
        <w:t>100, z późn. zm</w:t>
      </w:r>
      <w:r w:rsidR="00117A0C">
        <w:rPr>
          <w:rFonts w:ascii="Times New Roman" w:eastAsia="Times New Roman" w:hAnsi="Times New Roman"/>
          <w:sz w:val="24"/>
          <w:szCs w:val="24"/>
        </w:rPr>
        <w:t>.</w:t>
      </w:r>
      <w:r w:rsidRPr="002A77C6">
        <w:rPr>
          <w:rFonts w:ascii="Times New Roman" w:eastAsia="Calibri" w:hAnsi="Times New Roman"/>
          <w:color w:val="000000"/>
          <w:sz w:val="24"/>
          <w:szCs w:val="24"/>
          <w:lang w:eastAsia="en-US"/>
        </w:rPr>
        <w:t>)</w:t>
      </w:r>
      <w:r w:rsidRPr="002A77C6">
        <w:rPr>
          <w:rFonts w:ascii="Times New Roman" w:eastAsia="Times New Roman" w:hAnsi="Times New Roman"/>
          <w:bCs/>
          <w:sz w:val="24"/>
          <w:szCs w:val="24"/>
        </w:rPr>
        <w:t xml:space="preserve">. Zmiany w tym zakresie zaproponowała m.in. Agencja, podnosząc, że </w:t>
      </w:r>
      <w:r w:rsidRPr="002A77C6">
        <w:rPr>
          <w:rFonts w:ascii="Times New Roman" w:eastAsia="Times New Roman" w:hAnsi="Times New Roman"/>
          <w:bCs/>
          <w:sz w:val="24"/>
        </w:rPr>
        <w:t xml:space="preserve">mają one </w:t>
      </w:r>
      <w:r w:rsidRPr="002A77C6">
        <w:rPr>
          <w:rFonts w:ascii="Times New Roman" w:eastAsia="Times New Roman" w:hAnsi="Times New Roman"/>
          <w:bCs/>
          <w:sz w:val="24"/>
          <w:szCs w:val="24"/>
        </w:rPr>
        <w:t xml:space="preserve">na celu zapewnienie </w:t>
      </w:r>
      <w:r w:rsidRPr="002A77C6">
        <w:rPr>
          <w:rFonts w:ascii="Times New Roman" w:eastAsia="Calibri" w:hAnsi="Times New Roman"/>
          <w:color w:val="000000"/>
          <w:sz w:val="24"/>
          <w:szCs w:val="24"/>
          <w:lang w:eastAsia="en-US"/>
        </w:rPr>
        <w:t xml:space="preserve">ciągłości bieżącej realizacji jej zadań, </w:t>
      </w:r>
      <w:r w:rsidRPr="002A77C6">
        <w:rPr>
          <w:rFonts w:ascii="Times New Roman" w:eastAsia="Times New Roman" w:hAnsi="Times New Roman"/>
          <w:bCs/>
          <w:sz w:val="24"/>
          <w:szCs w:val="24"/>
        </w:rPr>
        <w:t>usprawnienie procesu zatrudniania oraz polepszenie współpracy z urzędami pracy, które</w:t>
      </w:r>
      <w:r w:rsidR="00A33019">
        <w:rPr>
          <w:rFonts w:ascii="Times New Roman" w:eastAsia="Times New Roman" w:hAnsi="Times New Roman"/>
          <w:bCs/>
          <w:sz w:val="24"/>
          <w:szCs w:val="24"/>
        </w:rPr>
        <w:t>,</w:t>
      </w:r>
      <w:r w:rsidRPr="002A77C6">
        <w:rPr>
          <w:rFonts w:ascii="Times New Roman" w:eastAsia="Times New Roman" w:hAnsi="Times New Roman"/>
          <w:bCs/>
          <w:sz w:val="24"/>
          <w:szCs w:val="24"/>
        </w:rPr>
        <w:t xml:space="preserve"> </w:t>
      </w:r>
      <w:r w:rsidRPr="002A77C6">
        <w:rPr>
          <w:rFonts w:ascii="Times New Roman" w:eastAsia="Calibri" w:hAnsi="Times New Roman"/>
          <w:color w:val="000000"/>
          <w:sz w:val="24"/>
          <w:szCs w:val="24"/>
          <w:lang w:eastAsia="en-US"/>
        </w:rPr>
        <w:t>kierując do Agencji osoby w celu odbycia stażu</w:t>
      </w:r>
      <w:r w:rsidR="00A33019">
        <w:rPr>
          <w:rFonts w:ascii="Times New Roman" w:eastAsia="Calibri" w:hAnsi="Times New Roman"/>
          <w:color w:val="000000"/>
          <w:sz w:val="24"/>
          <w:szCs w:val="24"/>
          <w:lang w:eastAsia="en-US"/>
        </w:rPr>
        <w:t>,</w:t>
      </w:r>
      <w:r w:rsidRPr="002A77C6">
        <w:rPr>
          <w:rFonts w:ascii="Times New Roman" w:eastAsia="Calibri" w:hAnsi="Times New Roman"/>
          <w:color w:val="000000"/>
          <w:sz w:val="24"/>
          <w:szCs w:val="24"/>
          <w:lang w:eastAsia="en-US"/>
        </w:rPr>
        <w:t xml:space="preserve"> niejednokrotnie wymagały ze strony Agencji deklaracji zatrudnienia tych osób. Odejście od obowiązku </w:t>
      </w:r>
      <w:r w:rsidRPr="002A77C6">
        <w:rPr>
          <w:rFonts w:ascii="Times New Roman" w:eastAsia="Calibri" w:hAnsi="Times New Roman"/>
          <w:bCs/>
          <w:color w:val="000000"/>
          <w:sz w:val="24"/>
          <w:szCs w:val="24"/>
          <w:lang w:eastAsia="en-US"/>
        </w:rPr>
        <w:lastRenderedPageBreak/>
        <w:t xml:space="preserve">przeprowadzania naboru na zasadach określonych w ustawie o Agencji </w:t>
      </w:r>
      <w:r w:rsidRPr="002A77C6">
        <w:rPr>
          <w:rFonts w:ascii="Times New Roman" w:eastAsia="Times New Roman" w:hAnsi="Times New Roman"/>
          <w:bCs/>
          <w:sz w:val="24"/>
          <w:szCs w:val="24"/>
        </w:rPr>
        <w:t xml:space="preserve">w przypadku umów na czas określony w celu zastępstwa pozwoliłoby skutecznie reagować w przypadku </w:t>
      </w:r>
      <w:r w:rsidR="00A33019">
        <w:rPr>
          <w:rFonts w:ascii="Times New Roman" w:eastAsia="Times New Roman" w:hAnsi="Times New Roman"/>
          <w:bCs/>
          <w:sz w:val="24"/>
          <w:szCs w:val="24"/>
        </w:rPr>
        <w:t xml:space="preserve">zarówno </w:t>
      </w:r>
      <w:r w:rsidRPr="002A77C6">
        <w:rPr>
          <w:rFonts w:ascii="Times New Roman" w:eastAsia="Times New Roman" w:hAnsi="Times New Roman"/>
          <w:bCs/>
          <w:sz w:val="24"/>
          <w:szCs w:val="24"/>
        </w:rPr>
        <w:t xml:space="preserve">braków kadrowych w trakcie naborów wniosków o przyznanie pomocy, jak i wzmożonej liczby kontroli terenowych, co byłoby nieocenioną korzyścią dla sprawnego funkcjonowania Agencji. Należy w tym miejscu zwrócić uwagę na fakt, że duża część kontroli terenowych może odbywać się tylko przez kilka miesięcy w roku, zaś proces naboru wniosków o przyznanie pomocy jest działaniem okresowym, którego ramy czasowe wynikają z przepisów prawa. Ponadto długotrwałe procesy wyłaniania pracowników na zastępstwo, często trwające co najmniej miesiąc, bywają mało skuteczne, gdyż zdarza się, że osoba będąca na długotrwałym zwolnieniu wraca do pracy po dwóch, trzech miesiącach, zaś osoba pracująca na zastępstwo często potrzebuje też czasu na poznanie specyfiki pracy Agencji oraz wdrożenie się w wykonywanie zadań. </w:t>
      </w:r>
      <w:r w:rsidRPr="002A77C6">
        <w:rPr>
          <w:rFonts w:ascii="Times New Roman" w:eastAsia="Calibri" w:hAnsi="Times New Roman"/>
          <w:color w:val="000000"/>
          <w:sz w:val="24"/>
          <w:szCs w:val="24"/>
          <w:lang w:eastAsia="en-US"/>
        </w:rPr>
        <w:t>N</w:t>
      </w:r>
      <w:r w:rsidRPr="002A77C6">
        <w:rPr>
          <w:rFonts w:ascii="Times New Roman" w:eastAsia="Calibri" w:hAnsi="Times New Roman"/>
          <w:bCs/>
          <w:color w:val="000000"/>
          <w:sz w:val="24"/>
          <w:szCs w:val="24"/>
          <w:lang w:eastAsia="en-US"/>
        </w:rPr>
        <w:t xml:space="preserve">ależy ponadto zauważyć, że </w:t>
      </w:r>
      <w:r w:rsidRPr="002A77C6">
        <w:rPr>
          <w:rFonts w:ascii="Times New Roman" w:eastAsia="Times New Roman" w:hAnsi="Times New Roman"/>
          <w:sz w:val="24"/>
          <w:szCs w:val="24"/>
        </w:rPr>
        <w:t xml:space="preserve">analogiczne rozwiązanie z powodzeniem funkcjonuje w odniesieniu do zatrudniania na zastępstwo pracowników samorządowych w oparciu o przepisy ustawy z dnia 21 listopada 2008 r. </w:t>
      </w:r>
      <w:r w:rsidRPr="002A77C6">
        <w:rPr>
          <w:rFonts w:ascii="Times New Roman" w:eastAsia="Times New Roman" w:hAnsi="Times New Roman"/>
          <w:iCs/>
          <w:sz w:val="24"/>
          <w:szCs w:val="24"/>
        </w:rPr>
        <w:t>o pracownikach samorządowych</w:t>
      </w:r>
      <w:r w:rsidRPr="002A77C6">
        <w:rPr>
          <w:rFonts w:ascii="Times New Roman" w:eastAsia="Times New Roman" w:hAnsi="Times New Roman"/>
          <w:i/>
          <w:iCs/>
          <w:sz w:val="24"/>
          <w:szCs w:val="24"/>
        </w:rPr>
        <w:t xml:space="preserve"> </w:t>
      </w:r>
      <w:r w:rsidRPr="002A77C6">
        <w:rPr>
          <w:rFonts w:ascii="Times New Roman" w:eastAsia="Times New Roman" w:hAnsi="Times New Roman"/>
          <w:sz w:val="24"/>
          <w:szCs w:val="24"/>
        </w:rPr>
        <w:t>(Dz. U. z 2019 r. poz. 1282</w:t>
      </w:r>
      <w:r>
        <w:rPr>
          <w:rFonts w:ascii="Times New Roman" w:eastAsia="Times New Roman" w:hAnsi="Times New Roman"/>
          <w:sz w:val="24"/>
          <w:szCs w:val="24"/>
        </w:rPr>
        <w:t>, z późn. zm.</w:t>
      </w:r>
      <w:r w:rsidRPr="002A77C6">
        <w:rPr>
          <w:rFonts w:ascii="Times New Roman" w:eastAsia="Times New Roman" w:hAnsi="Times New Roman"/>
          <w:sz w:val="24"/>
          <w:szCs w:val="24"/>
        </w:rPr>
        <w:t xml:space="preserve">). Z kolei odejście od </w:t>
      </w:r>
      <w:r w:rsidRPr="002A77C6">
        <w:rPr>
          <w:rFonts w:ascii="Times New Roman" w:eastAsia="Times New Roman" w:hAnsi="Times New Roman"/>
          <w:bCs/>
          <w:sz w:val="24"/>
          <w:szCs w:val="24"/>
        </w:rPr>
        <w:t>obowiązku przeprowadzania naboru na zasadach o</w:t>
      </w:r>
      <w:r>
        <w:rPr>
          <w:rFonts w:ascii="Times New Roman" w:eastAsia="Times New Roman" w:hAnsi="Times New Roman"/>
          <w:bCs/>
          <w:sz w:val="24"/>
          <w:szCs w:val="24"/>
        </w:rPr>
        <w:t xml:space="preserve">kreślonych w ustawie o Agencji </w:t>
      </w:r>
      <w:r w:rsidRPr="002A77C6">
        <w:rPr>
          <w:rFonts w:ascii="Times New Roman" w:eastAsia="Times New Roman" w:hAnsi="Times New Roman"/>
          <w:bCs/>
          <w:sz w:val="24"/>
          <w:szCs w:val="24"/>
        </w:rPr>
        <w:t xml:space="preserve">w przypadku nawiązywania stosunku pracy na okres nie dłuższy niż 6 miesięcy </w:t>
      </w:r>
      <w:r w:rsidRPr="002A77C6">
        <w:rPr>
          <w:rFonts w:ascii="Times New Roman" w:eastAsia="Times New Roman" w:hAnsi="Times New Roman"/>
          <w:bCs/>
          <w:iCs/>
          <w:sz w:val="24"/>
          <w:szCs w:val="24"/>
        </w:rPr>
        <w:t xml:space="preserve">z osobą, która ukończyła w Agencji staż, </w:t>
      </w:r>
      <w:r w:rsidRPr="002A77C6">
        <w:rPr>
          <w:rFonts w:ascii="Times New Roman" w:eastAsia="Times New Roman" w:hAnsi="Times New Roman"/>
          <w:sz w:val="24"/>
          <w:szCs w:val="24"/>
        </w:rPr>
        <w:t>stwarza dużą szansę na zatrudnienie dla uczestników stażów organizowanych przez Agencję wspólnie z urzędami pracy. Procedury konkursowe organizowane przez urzędy pracy dla organizatorów stażu preferują podmioty deklarujące zatrudnienie po okresie stażu. Dotychczasowy stan prawny w przeważającej liczbie przypadków utrudniał współpracę z urzędami pracy, które</w:t>
      </w:r>
      <w:r w:rsidR="00A33019">
        <w:rPr>
          <w:rFonts w:ascii="Times New Roman" w:eastAsia="Times New Roman" w:hAnsi="Times New Roman"/>
          <w:sz w:val="24"/>
          <w:szCs w:val="24"/>
        </w:rPr>
        <w:t>,</w:t>
      </w:r>
      <w:r w:rsidRPr="002A77C6">
        <w:rPr>
          <w:rFonts w:ascii="Times New Roman" w:eastAsia="Times New Roman" w:hAnsi="Times New Roman"/>
          <w:sz w:val="24"/>
          <w:szCs w:val="24"/>
        </w:rPr>
        <w:t xml:space="preserve"> kierując stażystę do Agencji</w:t>
      </w:r>
      <w:r w:rsidR="00A33019">
        <w:rPr>
          <w:rFonts w:ascii="Times New Roman" w:eastAsia="Times New Roman" w:hAnsi="Times New Roman"/>
          <w:sz w:val="24"/>
          <w:szCs w:val="24"/>
        </w:rPr>
        <w:t>,</w:t>
      </w:r>
      <w:r w:rsidRPr="002A77C6">
        <w:rPr>
          <w:rFonts w:ascii="Times New Roman" w:eastAsia="Times New Roman" w:hAnsi="Times New Roman"/>
          <w:sz w:val="24"/>
          <w:szCs w:val="24"/>
        </w:rPr>
        <w:t xml:space="preserve"> wymagały deklaracji zatrudnienia. Obecnie obowiązujące przepisy nie pozwalają na tego typu zobowiązania ze strony Agencji, co jest krzywdzące dla potencjalnych stażystów, niejednokrotnie zorientowanych na zdobycie doświadczenia i realne wsparcie etatowych pracowników Agencji. Taki stan prawny skutkuje często brakiem możliwości uczestniczenia w stażu przez osoby, dla których Agencja spełnia oczekiwania względem zakresu wiedzy i doświadczenia, jakie chciałyby zdobyć, a Agencję pozbawia możliwości wsparcia ich dążeń do wzrostu konkurencyjności na rynku pracy. Obecne przepisy prawa czynią Agencję mniej konkurencyjną (ze względu na brak deklaracji zatrudnienia) w stosunku do innych podmiotów ubiegających się o stażystów. Tymczasem Agencja oferuje stażystom możliwość zdobycia doświadczenia w największej agencji płatniczej w Unii Europejskiej, zatrudniającej wysokiej klasy specjalistów. Zatrudnienie osoby, która ukończyła staż w Agencji, pozwala ugruntować wiedzę zdobytą w czasie jego </w:t>
      </w:r>
      <w:r w:rsidRPr="002A77C6">
        <w:rPr>
          <w:rFonts w:ascii="Times New Roman" w:eastAsia="Times New Roman" w:hAnsi="Times New Roman"/>
          <w:sz w:val="24"/>
          <w:szCs w:val="24"/>
        </w:rPr>
        <w:lastRenderedPageBreak/>
        <w:t xml:space="preserve">trwania, a także pozwala uzyskać nowe umiejętności dostępne jedynie dla pracowników Agencji. Ze względów bezpieczeństwa </w:t>
      </w:r>
      <w:r w:rsidR="00A33019">
        <w:rPr>
          <w:rFonts w:ascii="Times New Roman" w:eastAsia="Times New Roman" w:hAnsi="Times New Roman"/>
          <w:sz w:val="24"/>
          <w:szCs w:val="24"/>
        </w:rPr>
        <w:t xml:space="preserve">zarówno </w:t>
      </w:r>
      <w:r w:rsidRPr="002A77C6">
        <w:rPr>
          <w:rFonts w:ascii="Times New Roman" w:eastAsia="Times New Roman" w:hAnsi="Times New Roman"/>
          <w:sz w:val="24"/>
          <w:szCs w:val="24"/>
        </w:rPr>
        <w:t>dostęp do systemów teleinformatycznych Agencji</w:t>
      </w:r>
      <w:r w:rsidR="00A33019">
        <w:rPr>
          <w:rFonts w:ascii="Times New Roman" w:eastAsia="Times New Roman" w:hAnsi="Times New Roman"/>
          <w:sz w:val="24"/>
          <w:szCs w:val="24"/>
        </w:rPr>
        <w:t>,</w:t>
      </w:r>
      <w:r w:rsidRPr="002A77C6">
        <w:rPr>
          <w:rFonts w:ascii="Times New Roman" w:eastAsia="Times New Roman" w:hAnsi="Times New Roman"/>
          <w:sz w:val="24"/>
          <w:szCs w:val="24"/>
        </w:rPr>
        <w:t xml:space="preserve"> jak i pełne procedowanie realizowanych spraw, wymaga zakresu odpowiedzialności przynależnego jedynie pracownikom. Osoby skierowane przez urzędy pracy na staż w Agencji, a następnie zatrudnione na proponowanych w art. 1 pkt 5 ustawy warunkach, uzyskałyby pełne przygotowanie do wykonywania pracy także w innych podmiotach o profilu działalności zbliżonym do Agencji. Z drugiej strony okres stażu to doskonały sposób, aby sprawdzić, czy dany stażysta, który miał możliwość nabycia umiejętności i zdobycia wiedzy, sprawdził się jako potencjalny pracownik. Proponowany o</w:t>
      </w:r>
      <w:r w:rsidRPr="002A77C6">
        <w:rPr>
          <w:rFonts w:ascii="Times New Roman" w:eastAsia="Times New Roman" w:hAnsi="Times New Roman"/>
          <w:sz w:val="24"/>
          <w:szCs w:val="24"/>
          <w:lang w:bidi="pl-PL"/>
        </w:rPr>
        <w:t xml:space="preserve">kres 6 miesięcy z jednej strony wydaje się wystarczający, aby poprawić pozycję Agencji w konkursach o organizację stażu, z drugiej strony nie zaburza zasady otwartości i konkurencyjności naboru. Z kolei, patrząc od strony stażysty, okres odbywania stażu wynoszący maksymalnie 6 miesięcy łącznie z proponowanym okresem 6 miesięcy zatrudnienia pozwoli mu na znaczne zwiększenie szans na rynku pracy. Analizując bowiem oferty pracy, można przyjąć, że częstym warunkiem przejścia do kolejnego etapu procesu rekrutacyjnego jest posiadanie rocznego doświadczenia zawodowego. Projektowany przepis ust. la nie ogranicza jednocześnie prawa zatrudnienia stażysty na czas usprawiedliwionej nieobecności pracownika, na okres przekraczający 6 miesięcy. </w:t>
      </w:r>
      <w:r w:rsidRPr="002A77C6">
        <w:rPr>
          <w:rFonts w:ascii="Times New Roman" w:eastAsia="Times New Roman" w:hAnsi="Times New Roman"/>
          <w:sz w:val="24"/>
          <w:szCs w:val="24"/>
        </w:rPr>
        <w:t xml:space="preserve">Proponowane zmiany przepisów w powyższym zakresie dają szansę na zatrudnienie osobom bezrobotnym, nieposiadającym doświadczenia, a wprowadzenie proponowanych zmian w przepisach stanowi realizację prospołecznej polityki </w:t>
      </w:r>
      <w:r w:rsidR="00166001">
        <w:rPr>
          <w:rFonts w:ascii="Times New Roman" w:eastAsia="Times New Roman" w:hAnsi="Times New Roman"/>
          <w:sz w:val="24"/>
          <w:szCs w:val="24"/>
        </w:rPr>
        <w:t>p</w:t>
      </w:r>
      <w:r w:rsidRPr="002A77C6">
        <w:rPr>
          <w:rFonts w:ascii="Times New Roman" w:eastAsia="Times New Roman" w:hAnsi="Times New Roman"/>
          <w:sz w:val="24"/>
          <w:szCs w:val="24"/>
        </w:rPr>
        <w:t>aństwa i przyczyni się do zmniejszenia bezrobocia. Ponadto w celu wykorzystania wiedzy pracowników Ministerstwa Rolnictwa i Rozwoju Wsi w projekcie zaproponowano, aby możliwe było zatrudnianie tych pracowników w Agencji bez przeprowadzania naboru. Umożliwi to również płynne zarządzanie zasobami kadrowymi. W</w:t>
      </w:r>
      <w:r w:rsidR="00166001">
        <w:rPr>
          <w:rFonts w:ascii="Times New Roman" w:eastAsia="Times New Roman" w:hAnsi="Times New Roman"/>
          <w:sz w:val="24"/>
          <w:szCs w:val="24"/>
        </w:rPr>
        <w:t> </w:t>
      </w:r>
      <w:r w:rsidRPr="002A77C6">
        <w:rPr>
          <w:rFonts w:ascii="Times New Roman" w:eastAsia="Times New Roman" w:hAnsi="Times New Roman"/>
          <w:sz w:val="24"/>
          <w:szCs w:val="24"/>
        </w:rPr>
        <w:t>projektowanej ustawie zaproponowano, aby n</w:t>
      </w:r>
      <w:r w:rsidRPr="002A77C6">
        <w:rPr>
          <w:rFonts w:ascii="Times New Roman" w:hAnsi="Times New Roman"/>
          <w:sz w:val="24"/>
          <w:szCs w:val="24"/>
        </w:rPr>
        <w:t>a wolne stanowisko pracy w Agencji mógł zostać przeniesiony pracownik urzędu obsługującego ministra właściwego do spraw rozwoju wsi, w tym będący członkiem korpusu służby cywilnej w rozumieniu ustawy z</w:t>
      </w:r>
      <w:r w:rsidR="00166001">
        <w:rPr>
          <w:rFonts w:ascii="Times New Roman" w:hAnsi="Times New Roman"/>
          <w:sz w:val="24"/>
          <w:szCs w:val="24"/>
        </w:rPr>
        <w:t xml:space="preserve"> </w:t>
      </w:r>
      <w:r w:rsidRPr="002A77C6">
        <w:rPr>
          <w:rFonts w:ascii="Times New Roman" w:hAnsi="Times New Roman"/>
          <w:sz w:val="24"/>
          <w:szCs w:val="24"/>
        </w:rPr>
        <w:t>dnia 21</w:t>
      </w:r>
      <w:r w:rsidR="00166001">
        <w:rPr>
          <w:rFonts w:ascii="Times New Roman" w:hAnsi="Times New Roman"/>
          <w:sz w:val="24"/>
          <w:szCs w:val="24"/>
        </w:rPr>
        <w:t> </w:t>
      </w:r>
      <w:r w:rsidRPr="002A77C6">
        <w:rPr>
          <w:rFonts w:ascii="Times New Roman" w:hAnsi="Times New Roman"/>
          <w:sz w:val="24"/>
          <w:szCs w:val="24"/>
        </w:rPr>
        <w:t>listopada 2008 r. o służbie cywilnej (Dz. U. z 2021 r. poz. 1233</w:t>
      </w:r>
      <w:r w:rsidR="00A306D4">
        <w:rPr>
          <w:rFonts w:ascii="Times New Roman" w:hAnsi="Times New Roman"/>
          <w:sz w:val="24"/>
          <w:szCs w:val="24"/>
        </w:rPr>
        <w:t>, z późn. zm.</w:t>
      </w:r>
      <w:r w:rsidRPr="002A77C6">
        <w:rPr>
          <w:rFonts w:ascii="Times New Roman" w:hAnsi="Times New Roman"/>
          <w:sz w:val="24"/>
          <w:szCs w:val="24"/>
        </w:rPr>
        <w:t xml:space="preserve">), w drodze porozumienia pracodawców. </w:t>
      </w:r>
    </w:p>
    <w:p w14:paraId="3583688B" w14:textId="30EF358F" w:rsidR="00055118" w:rsidRPr="002A77C6" w:rsidRDefault="00055118" w:rsidP="00055118">
      <w:pPr>
        <w:suppressAutoHyphens/>
        <w:spacing w:after="120" w:line="360" w:lineRule="auto"/>
        <w:ind w:firstLine="567"/>
        <w:jc w:val="both"/>
        <w:rPr>
          <w:rFonts w:ascii="Times New Roman" w:eastAsia="Times New Roman" w:hAnsi="Times New Roman"/>
          <w:bCs/>
          <w:sz w:val="24"/>
          <w:szCs w:val="24"/>
        </w:rPr>
      </w:pPr>
      <w:r w:rsidRPr="002A77C6">
        <w:rPr>
          <w:rFonts w:ascii="Times New Roman" w:eastAsia="Times New Roman" w:hAnsi="Times New Roman"/>
          <w:bCs/>
          <w:sz w:val="24"/>
          <w:szCs w:val="24"/>
        </w:rPr>
        <w:t xml:space="preserve">Jednocześnie, w celu zapewnienia przejrzystości przepisów o zatrudnianiu na wolne stanowiska w Agencji, proponuje się wprowadzenie przepisów regulujących postępowanie po </w:t>
      </w:r>
      <w:r w:rsidRPr="002A77C6">
        <w:rPr>
          <w:rFonts w:ascii="Times New Roman" w:eastAsia="Times New Roman" w:hAnsi="Times New Roman"/>
          <w:bCs/>
          <w:sz w:val="24"/>
          <w:szCs w:val="24"/>
          <w:lang w:bidi="pl-PL"/>
        </w:rPr>
        <w:t>rozwiązaniu umowy o pracę z upływem czasu, na który była zawarta</w:t>
      </w:r>
      <w:r w:rsidRPr="002A77C6">
        <w:rPr>
          <w:rFonts w:ascii="Times New Roman" w:eastAsia="Times New Roman" w:hAnsi="Times New Roman"/>
          <w:bCs/>
          <w:sz w:val="24"/>
          <w:szCs w:val="24"/>
        </w:rPr>
        <w:t xml:space="preserve"> z osobą zatrudnioną na zastępstwo</w:t>
      </w:r>
      <w:r w:rsidR="00B462F3">
        <w:rPr>
          <w:rFonts w:ascii="Times New Roman" w:eastAsia="Times New Roman" w:hAnsi="Times New Roman"/>
          <w:bCs/>
          <w:sz w:val="24"/>
          <w:szCs w:val="24"/>
        </w:rPr>
        <w:t>,</w:t>
      </w:r>
      <w:r w:rsidRPr="002A77C6">
        <w:rPr>
          <w:rFonts w:ascii="Times New Roman" w:eastAsia="Times New Roman" w:hAnsi="Times New Roman"/>
          <w:bCs/>
          <w:sz w:val="24"/>
          <w:szCs w:val="24"/>
        </w:rPr>
        <w:t xml:space="preserve"> lub po rozwiązaniu umowy o pracę z upływem czasu, na który była zawarta </w:t>
      </w:r>
      <w:r w:rsidRPr="002A77C6">
        <w:rPr>
          <w:rFonts w:ascii="Times New Roman" w:eastAsia="Times New Roman" w:hAnsi="Times New Roman"/>
          <w:bCs/>
          <w:sz w:val="24"/>
          <w:szCs w:val="24"/>
        </w:rPr>
        <w:br/>
      </w:r>
      <w:r w:rsidRPr="002A77C6">
        <w:rPr>
          <w:rFonts w:ascii="Times New Roman" w:eastAsia="Times New Roman" w:hAnsi="Times New Roman"/>
          <w:bCs/>
          <w:sz w:val="24"/>
          <w:szCs w:val="24"/>
        </w:rPr>
        <w:lastRenderedPageBreak/>
        <w:t xml:space="preserve">z osobą, która była zatrudniona na czas określony na podstawie zobowiązania wynikającego </w:t>
      </w:r>
      <w:r w:rsidRPr="002A77C6">
        <w:rPr>
          <w:rFonts w:ascii="Times New Roman" w:eastAsia="Times New Roman" w:hAnsi="Times New Roman"/>
          <w:bCs/>
          <w:sz w:val="24"/>
          <w:szCs w:val="24"/>
        </w:rPr>
        <w:br/>
        <w:t xml:space="preserve">z umowy o staż zawartej z urzędem pracy. Proponuje się, aby dalsze zatrudnienie tych osób na wolnych stanowiskach pracy w Agencji wymagało przeprowadzenia otwartego </w:t>
      </w:r>
      <w:r w:rsidRPr="002A77C6">
        <w:rPr>
          <w:rFonts w:ascii="Times New Roman" w:eastAsia="Times New Roman" w:hAnsi="Times New Roman"/>
          <w:bCs/>
          <w:sz w:val="24"/>
          <w:szCs w:val="24"/>
        </w:rPr>
        <w:br/>
        <w:t>i konkurencyjnego naboru (proponowany ust. 1b w art. 12 ustawy o Agencji).</w:t>
      </w:r>
    </w:p>
    <w:p w14:paraId="0D4E67F4" w14:textId="75AE904A" w:rsidR="00055118" w:rsidRPr="002A77C6" w:rsidRDefault="00055118" w:rsidP="00055118">
      <w:pPr>
        <w:widowControl/>
        <w:suppressAutoHyphens/>
        <w:spacing w:line="360" w:lineRule="auto"/>
        <w:ind w:firstLine="510"/>
        <w:jc w:val="both"/>
        <w:rPr>
          <w:rFonts w:ascii="Times" w:eastAsia="Times New Roman" w:hAnsi="Times" w:cs="Arial"/>
          <w:bCs/>
          <w:sz w:val="24"/>
        </w:rPr>
      </w:pPr>
      <w:r w:rsidRPr="002A77C6">
        <w:rPr>
          <w:rFonts w:ascii="Times" w:eastAsia="Times New Roman" w:hAnsi="Times" w:cs="Arial"/>
          <w:bCs/>
          <w:sz w:val="24"/>
        </w:rPr>
        <w:t xml:space="preserve">Zmiany projektowane w art. 1 pkt 6 niniejszej ustawy również zostały zaproponowane przez Ministra Finansów. W opinii Ministra Finansów zagadnienia dotyczące rachunkowości i sprawozdawczości – jako wykraczające poza gospodarkę finansową – powinny być regulowane przepisami rangi ustawowej, tj. ustawy o Agencji – jak to ma miejsce w przypadku innych osób prawnych, np. Krajowego Ośrodka Wsparcia Rolnictwa. Ponadto zgodnie ze stanowiskiem Ministra Finansów w polskim systemie prawnym we wszystkich jednostkach prowadzących księgi rachunkowe (tj. zarówno w jednostkach zaliczanych do sektora finansów publicznych, jak i jednostkach gospodarczych) równowartość mienia wnoszonego przez podmioty lub organy założycielskie znajduje na dzień utworzenia tych jednostek swoje odzwierciedlenie w funduszu (kapitale) podstawowym. W przypadku Agencji fundusz podstawowy (statutowy) powinien odzwierciedlać równowartość mienia otrzymanego przez jednostkę na dzień utworzenia. Z kolei osiągnięte zyski netto jednostki powinny, co do zasady, być odnoszone na podwyższenie utworzonego w tym celu funduszu zapasowego lub rezerwowego. Z tego funduszu powinny być pokrywane ponoszone przez jednostkę straty netto. W przypadku gdy przepisy szczególne stanowią o tym, że fundusz podstawowy (statutowy) mógł ulegać zmniejszeniu o wartość straty netto, może to doprowadzić do „wyzerowania” tego funduszu. Uwzględniając powyższe, w ustawie </w:t>
      </w:r>
      <w:r w:rsidR="00117A0C">
        <w:rPr>
          <w:rFonts w:ascii="Times" w:eastAsia="Times New Roman" w:hAnsi="Times" w:cs="Arial"/>
          <w:bCs/>
          <w:sz w:val="24"/>
        </w:rPr>
        <w:t xml:space="preserve">o Agencji </w:t>
      </w:r>
      <w:r w:rsidRPr="002A77C6">
        <w:rPr>
          <w:rFonts w:ascii="Times" w:eastAsia="Times New Roman" w:hAnsi="Times" w:cs="Arial"/>
          <w:bCs/>
          <w:sz w:val="24"/>
        </w:rPr>
        <w:t>proponuje się dodanie w art. 21 ustawy o Agencji ust. 7a</w:t>
      </w:r>
      <w:r w:rsidRPr="002A77C6">
        <w:rPr>
          <w:rFonts w:ascii="Times" w:eastAsia="Times New Roman" w:hAnsi="Times" w:cs="Arial"/>
          <w:bCs/>
          <w:sz w:val="24"/>
        </w:rPr>
        <w:sym w:font="Symbol" w:char="F02D"/>
      </w:r>
      <w:r w:rsidRPr="002A77C6">
        <w:rPr>
          <w:rFonts w:ascii="Times" w:eastAsia="Times New Roman" w:hAnsi="Times" w:cs="Arial"/>
          <w:bCs/>
          <w:sz w:val="24"/>
        </w:rPr>
        <w:t>7d, które regulują kwestie sprawozdawczości, oraz zmianę brzmienia ust. 8</w:t>
      </w:r>
      <w:r>
        <w:rPr>
          <w:rFonts w:ascii="Times" w:eastAsia="Times New Roman" w:hAnsi="Times" w:cs="Arial"/>
          <w:bCs/>
          <w:sz w:val="24"/>
        </w:rPr>
        <w:t xml:space="preserve"> </w:t>
      </w:r>
      <w:r w:rsidRPr="002A77C6">
        <w:rPr>
          <w:rFonts w:ascii="Times" w:eastAsia="Times New Roman" w:hAnsi="Times" w:cs="Arial"/>
          <w:bCs/>
          <w:sz w:val="24"/>
        </w:rPr>
        <w:t>i dodanie nowego ust. 8a, zgodnie z którymi Agencja będzie tworzyć fundusz Agencji odzwierciedlający wartość mienia własnego Agencji w dniu jej utworzenia oraz fundusz rezerwowy, który będzie zwiększany o zysk netto i odpowiednio zmniejszany o stratę netto.</w:t>
      </w:r>
    </w:p>
    <w:p w14:paraId="13F6ABBF" w14:textId="38A2D677" w:rsidR="00055118" w:rsidRPr="002A77C6" w:rsidRDefault="00055118" w:rsidP="00055118">
      <w:pPr>
        <w:suppressAutoHyphens/>
        <w:spacing w:after="120" w:line="360" w:lineRule="auto"/>
        <w:ind w:firstLine="510"/>
        <w:jc w:val="both"/>
        <w:rPr>
          <w:rFonts w:ascii="Times New Roman" w:eastAsia="Times New Roman" w:hAnsi="Times New Roman"/>
          <w:sz w:val="24"/>
          <w:szCs w:val="24"/>
        </w:rPr>
      </w:pPr>
      <w:r w:rsidRPr="002A77C6">
        <w:rPr>
          <w:rFonts w:ascii="Times New Roman" w:eastAsia="Times New Roman" w:hAnsi="Times New Roman"/>
          <w:sz w:val="24"/>
          <w:szCs w:val="24"/>
        </w:rPr>
        <w:t>Jednocześnie</w:t>
      </w:r>
      <w:r w:rsidR="00B462F3">
        <w:rPr>
          <w:rFonts w:ascii="Times New Roman" w:eastAsia="Times New Roman" w:hAnsi="Times New Roman"/>
          <w:sz w:val="24"/>
          <w:szCs w:val="24"/>
        </w:rPr>
        <w:t>,</w:t>
      </w:r>
      <w:r w:rsidRPr="002A77C6">
        <w:rPr>
          <w:rFonts w:ascii="Times New Roman" w:eastAsia="Times New Roman" w:hAnsi="Times New Roman"/>
          <w:sz w:val="24"/>
          <w:szCs w:val="24"/>
        </w:rPr>
        <w:t xml:space="preserve"> mając na względzie rezygnację z zawartego w art. 3 ust. 2 ustawy o Agencji upoważnienia do określenia</w:t>
      </w:r>
      <w:r w:rsidR="00B462F3">
        <w:rPr>
          <w:rFonts w:ascii="Times New Roman" w:eastAsia="Times New Roman" w:hAnsi="Times New Roman"/>
          <w:sz w:val="24"/>
          <w:szCs w:val="24"/>
        </w:rPr>
        <w:t>,</w:t>
      </w:r>
      <w:r w:rsidRPr="002A77C6">
        <w:rPr>
          <w:rFonts w:ascii="Times New Roman" w:eastAsia="Times New Roman" w:hAnsi="Times New Roman"/>
          <w:sz w:val="24"/>
          <w:szCs w:val="24"/>
        </w:rPr>
        <w:t xml:space="preserve"> w drodze rozporządzenia</w:t>
      </w:r>
      <w:r w:rsidR="00B462F3">
        <w:rPr>
          <w:rFonts w:ascii="Times New Roman" w:eastAsia="Times New Roman" w:hAnsi="Times New Roman"/>
          <w:sz w:val="24"/>
          <w:szCs w:val="24"/>
        </w:rPr>
        <w:t>,</w:t>
      </w:r>
      <w:r w:rsidRPr="002A77C6">
        <w:rPr>
          <w:rFonts w:ascii="Times New Roman" w:eastAsia="Times New Roman" w:hAnsi="Times New Roman"/>
          <w:sz w:val="24"/>
          <w:szCs w:val="24"/>
        </w:rPr>
        <w:t xml:space="preserve"> szczegółowych zasad gospodarki finansowej Agencji</w:t>
      </w:r>
      <w:r w:rsidR="00B462F3">
        <w:rPr>
          <w:rFonts w:ascii="Times New Roman" w:eastAsia="Times New Roman" w:hAnsi="Times New Roman"/>
          <w:sz w:val="24"/>
          <w:szCs w:val="24"/>
        </w:rPr>
        <w:t>,</w:t>
      </w:r>
      <w:r w:rsidRPr="002A77C6">
        <w:rPr>
          <w:rFonts w:ascii="Times New Roman" w:eastAsia="Times New Roman" w:hAnsi="Times New Roman"/>
          <w:sz w:val="24"/>
          <w:szCs w:val="24"/>
        </w:rPr>
        <w:t xml:space="preserve"> proponuje się dodanie w ramach proponowanej ustawy </w:t>
      </w:r>
      <w:r w:rsidR="00B462F3">
        <w:rPr>
          <w:rFonts w:ascii="Times New Roman" w:eastAsia="Times New Roman" w:hAnsi="Times New Roman"/>
          <w:sz w:val="24"/>
          <w:szCs w:val="24"/>
        </w:rPr>
        <w:br/>
      </w:r>
      <w:r w:rsidRPr="002A77C6">
        <w:rPr>
          <w:rFonts w:ascii="Times New Roman" w:eastAsia="Times New Roman" w:hAnsi="Times New Roman"/>
          <w:sz w:val="24"/>
          <w:szCs w:val="24"/>
        </w:rPr>
        <w:t>w art. 21 ustawy o Agencji nowych regulacji, dotychczas zawartych w rozporządzeniu Ministra Finansów z dnia 28 stycznia 2009 r. w sprawie szczegółowych zasad gospodarki finansowej Agencji Restrukturyzacji i Modernizacji Rolnictwa (Dz. U. poz. 193</w:t>
      </w:r>
      <w:r w:rsidR="009344B7">
        <w:rPr>
          <w:rFonts w:ascii="Times New Roman" w:eastAsia="Times New Roman" w:hAnsi="Times New Roman"/>
          <w:sz w:val="24"/>
          <w:szCs w:val="24"/>
        </w:rPr>
        <w:t>, z późn. zm.</w:t>
      </w:r>
      <w:r w:rsidRPr="002A77C6">
        <w:rPr>
          <w:rFonts w:ascii="Times New Roman" w:eastAsia="Times New Roman" w:hAnsi="Times New Roman"/>
          <w:sz w:val="24"/>
          <w:szCs w:val="24"/>
        </w:rPr>
        <w:t>), tj. przepisów ust. 4a, zgodnie z którymi roczny plan finansowy nie obejmuje sw</w:t>
      </w:r>
      <w:r w:rsidR="00B462F3">
        <w:rPr>
          <w:rFonts w:ascii="Times New Roman" w:eastAsia="Times New Roman" w:hAnsi="Times New Roman"/>
          <w:sz w:val="24"/>
          <w:szCs w:val="24"/>
        </w:rPr>
        <w:t>oi</w:t>
      </w:r>
      <w:r w:rsidRPr="002A77C6">
        <w:rPr>
          <w:rFonts w:ascii="Times New Roman" w:eastAsia="Times New Roman" w:hAnsi="Times New Roman"/>
          <w:sz w:val="24"/>
          <w:szCs w:val="24"/>
        </w:rPr>
        <w:t xml:space="preserve">m </w:t>
      </w:r>
      <w:r w:rsidRPr="002A77C6">
        <w:rPr>
          <w:rFonts w:ascii="Times New Roman" w:eastAsia="Times New Roman" w:hAnsi="Times New Roman"/>
          <w:sz w:val="24"/>
          <w:szCs w:val="24"/>
        </w:rPr>
        <w:lastRenderedPageBreak/>
        <w:t>zakresem środków finansowych pochodzących z funduszy Unii Europejskiej oraz krajowych środków publicznych przeznaczonych na współfinansowanie wydatków realizowanych z tych funduszy, z wyłączeniem środków na finansowanie projektów w ramach pomocy technicznej oraz zadań, które są realizowane na podstawie odrębnych przepisów oraz ust. 10, zgodnie z którym zobowiązania z tytułu umów, których okres realizacji przekracza rok budżetowy, mogą być zaciągane w ramach Wieloletniego Planu Finansowego Państwa w przypadku, gdy ich realizacja w latach następnych jest niezbędna do zapewnienia ciągłości działania i prawidłowej realizacji zadań Agencji w okresach przyszłych. Natomiast zgodnie z dodawanym ust. 11 Prezes Agencji będzie mógł ustalać limity wydatków oddziałów regionalnych m.in. w zakresie kosztów działalności bieżącej i inwestycji w majątek trwały.</w:t>
      </w:r>
    </w:p>
    <w:p w14:paraId="79278963" w14:textId="5A0A777C" w:rsidR="00055118" w:rsidRPr="002A77C6" w:rsidRDefault="00055118" w:rsidP="00055118">
      <w:pPr>
        <w:spacing w:line="360" w:lineRule="auto"/>
        <w:ind w:firstLine="567"/>
        <w:jc w:val="both"/>
        <w:rPr>
          <w:rFonts w:ascii="Times New Roman" w:hAnsi="Times New Roman"/>
          <w:sz w:val="24"/>
          <w:szCs w:val="24"/>
        </w:rPr>
      </w:pPr>
      <w:r w:rsidRPr="002A77C6">
        <w:rPr>
          <w:rFonts w:ascii="Times New Roman" w:hAnsi="Times New Roman"/>
          <w:sz w:val="24"/>
        </w:rPr>
        <w:t>W art. 1 pkt 7 przewiduje się możliwość utworzenia przez Agencję spółki z ograniczoną odpowiedzialnością.</w:t>
      </w:r>
      <w:r w:rsidRPr="002A77C6">
        <w:rPr>
          <w:rFonts w:ascii="Times New Roman" w:hAnsi="Times New Roman"/>
          <w:color w:val="007FFF"/>
          <w:sz w:val="24"/>
        </w:rPr>
        <w:t xml:space="preserve"> </w:t>
      </w:r>
      <w:r w:rsidRPr="002A77C6">
        <w:rPr>
          <w:rFonts w:ascii="Times New Roman" w:hAnsi="Times New Roman"/>
          <w:sz w:val="24"/>
        </w:rPr>
        <w:t>Umożliwi to Agencji bardziej efektywną realizację ustawowych zadań przez wykorzystywanie formy organizacyjnoprawnej spółek prawa handlowego. Proponowane rozwiązanie wpłynie pozytywnie na wzmacnianie komunikacji i współpracy Agencji z przedsiębiorstwami krajowymi</w:t>
      </w:r>
      <w:r w:rsidR="00B462F3">
        <w:rPr>
          <w:rFonts w:ascii="Times New Roman" w:hAnsi="Times New Roman"/>
          <w:sz w:val="24"/>
        </w:rPr>
        <w:t>,</w:t>
      </w:r>
      <w:r w:rsidRPr="002A77C6">
        <w:rPr>
          <w:rFonts w:ascii="Times New Roman" w:hAnsi="Times New Roman"/>
          <w:sz w:val="24"/>
        </w:rPr>
        <w:t xml:space="preserve"> jak również podmiotami zagranicznymi. Możliwość utworzenia spółki prawa handlowego przyczyni się również do zwiększenia elastyczności w </w:t>
      </w:r>
      <w:r w:rsidRPr="002A77C6">
        <w:rPr>
          <w:rFonts w:ascii="Times New Roman" w:hAnsi="Times New Roman"/>
          <w:sz w:val="24"/>
          <w:szCs w:val="24"/>
        </w:rPr>
        <w:t xml:space="preserve">wykonywaniu ustawowych zadań Agencji, m.in. przez zapewnienie świadczenia przez zakładaną spółkę wysokiej jakości wyspecjalizowanych usług na rzecz Agencji, na przykład w zakresie budowy, rozbudowy i unowocześnienia istniejących systemów informatycznych. Powyższe pozwoli na zastosowanie biznesowych rozwiązań zarządczych powszechnie stosowanych przy realizacji tego typu projektów w sektorze prywatnym oraz sprawne realizowanie projektów przy wykorzystaniu zasobów własnych lub z udziałem podmiotów o uznanej renomie i doświadczeniu.  </w:t>
      </w:r>
    </w:p>
    <w:p w14:paraId="7CCE9458" w14:textId="5FCCA853" w:rsidR="00055118" w:rsidRPr="002A77C6" w:rsidRDefault="00055118" w:rsidP="00055118">
      <w:pPr>
        <w:spacing w:line="360" w:lineRule="auto"/>
        <w:ind w:firstLine="567"/>
        <w:jc w:val="both"/>
        <w:rPr>
          <w:rFonts w:ascii="Times New Roman" w:eastAsia="Times New Roman" w:hAnsi="Times New Roman"/>
          <w:sz w:val="24"/>
          <w:szCs w:val="24"/>
        </w:rPr>
      </w:pPr>
      <w:r w:rsidRPr="002A77C6">
        <w:rPr>
          <w:rFonts w:ascii="Times New Roman" w:hAnsi="Times New Roman"/>
          <w:sz w:val="24"/>
        </w:rPr>
        <w:t>Zgodnie</w:t>
      </w:r>
      <w:r w:rsidRPr="002A77C6">
        <w:rPr>
          <w:rFonts w:ascii="Times New Roman" w:eastAsia="Times New Roman" w:hAnsi="Times New Roman"/>
          <w:sz w:val="24"/>
          <w:szCs w:val="24"/>
        </w:rPr>
        <w:t xml:space="preserve"> z art. 49 ust. 1 ustawy z dnia 29 sierpnia 2009 r. o finansach publicznych </w:t>
      </w:r>
      <w:r w:rsidRPr="002A77C6">
        <w:rPr>
          <w:rFonts w:ascii="Times New Roman" w:eastAsia="Times New Roman" w:hAnsi="Times New Roman"/>
          <w:i/>
          <w:sz w:val="24"/>
          <w:szCs w:val="24"/>
        </w:rPr>
        <w:t>jednostki sektora finansów publicznych, z wyłączeniem jednostek, o których mowa w art. 9 pkt</w:t>
      </w:r>
      <w:r w:rsidR="00B462F3">
        <w:rPr>
          <w:rFonts w:ascii="Times New Roman" w:eastAsia="Times New Roman" w:hAnsi="Times New Roman"/>
          <w:i/>
          <w:sz w:val="24"/>
          <w:szCs w:val="24"/>
        </w:rPr>
        <w:t> </w:t>
      </w:r>
      <w:r w:rsidRPr="002A77C6">
        <w:rPr>
          <w:rFonts w:ascii="Times New Roman" w:eastAsia="Times New Roman" w:hAnsi="Times New Roman"/>
          <w:i/>
          <w:sz w:val="24"/>
          <w:szCs w:val="24"/>
        </w:rPr>
        <w:t xml:space="preserve">2, nie mogą posiadać, obejmować lub nabywać udziałów lub akcji w spółkach ani nabywać obligacji emitowanych przez podmioty inne niż Skarb Państwa lub jednostki samorządu terytorialnego, a także udziałów w spółdzielniach, chyba że odrębna </w:t>
      </w:r>
      <w:hyperlink r:id="rId10" w:anchor="hiperlinkDocsList.rpc?hiperlink=type=merytoryczny:nro=Powszechny.2458038:part=a49u1:nr=1&amp;full=1" w:tgtFrame="_parent" w:history="1">
        <w:r w:rsidRPr="002A77C6">
          <w:rPr>
            <w:rFonts w:ascii="Times New Roman" w:eastAsia="Times New Roman" w:hAnsi="Times New Roman"/>
            <w:i/>
            <w:sz w:val="24"/>
            <w:szCs w:val="24"/>
          </w:rPr>
          <w:t>ustawa</w:t>
        </w:r>
      </w:hyperlink>
      <w:r w:rsidRPr="002A77C6">
        <w:rPr>
          <w:rFonts w:ascii="Times New Roman" w:eastAsia="Times New Roman" w:hAnsi="Times New Roman"/>
          <w:i/>
          <w:sz w:val="24"/>
          <w:szCs w:val="24"/>
        </w:rPr>
        <w:t xml:space="preserve"> stanowi inaczej</w:t>
      </w:r>
      <w:r w:rsidRPr="002A77C6">
        <w:rPr>
          <w:rFonts w:ascii="Times New Roman" w:eastAsia="Times New Roman" w:hAnsi="Times New Roman"/>
          <w:sz w:val="24"/>
          <w:szCs w:val="24"/>
        </w:rPr>
        <w:t xml:space="preserve">. </w:t>
      </w:r>
      <w:r w:rsidRPr="002A77C6">
        <w:rPr>
          <w:rFonts w:ascii="Times New Roman" w:hAnsi="Times New Roman"/>
          <w:sz w:val="24"/>
        </w:rPr>
        <w:t xml:space="preserve">Ustawa stworzy podstawę prawną do </w:t>
      </w:r>
      <w:r w:rsidRPr="002A77C6">
        <w:rPr>
          <w:rFonts w:ascii="Times New Roman" w:hAnsi="Times New Roman"/>
          <w:sz w:val="24"/>
          <w:szCs w:val="24"/>
        </w:rPr>
        <w:t xml:space="preserve">utworzenia spółki przez Agencję (wejście w życie ustawy nie utworzy spółki </w:t>
      </w:r>
      <w:r w:rsidRPr="002A77C6">
        <w:rPr>
          <w:rFonts w:ascii="Times New Roman" w:hAnsi="Times New Roman"/>
          <w:i/>
          <w:sz w:val="24"/>
          <w:szCs w:val="24"/>
        </w:rPr>
        <w:t>ex lege</w:t>
      </w:r>
      <w:r w:rsidRPr="002A77C6">
        <w:rPr>
          <w:rFonts w:ascii="Times New Roman" w:hAnsi="Times New Roman"/>
          <w:sz w:val="24"/>
          <w:szCs w:val="24"/>
        </w:rPr>
        <w:t xml:space="preserve">). Założenie spółki przez Agencję będzie poprzedzała rzetelna analiza </w:t>
      </w:r>
      <w:r w:rsidRPr="002A77C6">
        <w:rPr>
          <w:rFonts w:ascii="Times New Roman" w:eastAsia="Times New Roman" w:hAnsi="Times New Roman"/>
          <w:sz w:val="24"/>
          <w:szCs w:val="24"/>
        </w:rPr>
        <w:t xml:space="preserve">przedsięwzięcia, które ma być spółce powierzone, a następnie </w:t>
      </w:r>
      <w:r w:rsidRPr="002A77C6">
        <w:rPr>
          <w:rFonts w:ascii="Times New Roman" w:hAnsi="Times New Roman"/>
          <w:sz w:val="24"/>
          <w:szCs w:val="24"/>
        </w:rPr>
        <w:t>zgoda właściwego organu nadzorującego (ministra właściwego do spraw rozwoju wsi).</w:t>
      </w:r>
      <w:r w:rsidRPr="002A77C6">
        <w:rPr>
          <w:rFonts w:ascii="Times New Roman" w:eastAsia="Times New Roman" w:hAnsi="Times New Roman"/>
          <w:sz w:val="24"/>
          <w:szCs w:val="24"/>
        </w:rPr>
        <w:t xml:space="preserve"> Utworzenie spółki po uzyskaniu zgody organu nadzorującego będzie się odbywało na </w:t>
      </w:r>
      <w:r w:rsidRPr="002A77C6">
        <w:rPr>
          <w:rFonts w:ascii="Times New Roman" w:eastAsia="Times New Roman" w:hAnsi="Times New Roman"/>
          <w:sz w:val="24"/>
          <w:szCs w:val="24"/>
        </w:rPr>
        <w:lastRenderedPageBreak/>
        <w:t xml:space="preserve">zasadach określonych w przepisach właściwych dla powstania spółki, w szczególności w przepisach ustawy z dnia 15 września 2000 r. </w:t>
      </w:r>
      <w:r w:rsidR="00117A0C">
        <w:rPr>
          <w:rFonts w:ascii="Times New Roman" w:eastAsia="Times New Roman" w:hAnsi="Times New Roman"/>
          <w:sz w:val="24"/>
          <w:szCs w:val="24"/>
        </w:rPr>
        <w:t xml:space="preserve">– </w:t>
      </w:r>
      <w:r w:rsidRPr="002A77C6">
        <w:rPr>
          <w:rFonts w:ascii="Times New Roman" w:eastAsia="Times New Roman" w:hAnsi="Times New Roman"/>
          <w:sz w:val="24"/>
          <w:szCs w:val="24"/>
        </w:rPr>
        <w:t>Kodeks spółek handlowych (Dz. U. z 2020 r. poz. 1526, z późn. zm.). Zatem przedmiot działalności spółki, tj. konkretne działania służące realizacji przedsięwzięcia, dla którego będzie tworzona spółka, będą określone w aktach korporacyjnych.</w:t>
      </w:r>
      <w:r w:rsidRPr="002A77C6">
        <w:rPr>
          <w:rFonts w:ascii="Times New Roman" w:eastAsia="Times New Roman" w:hAnsi="Times New Roman"/>
          <w:sz w:val="24"/>
          <w:szCs w:val="24"/>
          <w:highlight w:val="yellow"/>
        </w:rPr>
        <w:t xml:space="preserve"> </w:t>
      </w:r>
    </w:p>
    <w:p w14:paraId="1C1DFE10" w14:textId="4614A479" w:rsidR="00055118" w:rsidRPr="002A77C6" w:rsidRDefault="00055118" w:rsidP="00D51AAC">
      <w:pPr>
        <w:spacing w:line="360" w:lineRule="auto"/>
        <w:ind w:firstLine="567"/>
        <w:jc w:val="both"/>
        <w:rPr>
          <w:rFonts w:ascii="Times New Roman" w:eastAsiaTheme="minorHAnsi" w:hAnsi="Times New Roman"/>
          <w:sz w:val="24"/>
          <w:szCs w:val="24"/>
        </w:rPr>
      </w:pPr>
      <w:r w:rsidRPr="002A77C6">
        <w:rPr>
          <w:rFonts w:ascii="Times New Roman" w:hAnsi="Times New Roman"/>
          <w:sz w:val="24"/>
          <w:szCs w:val="24"/>
        </w:rPr>
        <w:t xml:space="preserve">Powołanie spółki celowej IT przez </w:t>
      </w:r>
      <w:r w:rsidR="002A77C6" w:rsidRPr="002A77C6">
        <w:rPr>
          <w:rFonts w:ascii="Times New Roman" w:hAnsi="Times New Roman"/>
          <w:sz w:val="24"/>
          <w:szCs w:val="24"/>
        </w:rPr>
        <w:t>ARiMR</w:t>
      </w:r>
      <w:r w:rsidRPr="002A77C6">
        <w:rPr>
          <w:rFonts w:ascii="Times New Roman" w:hAnsi="Times New Roman"/>
          <w:sz w:val="24"/>
          <w:szCs w:val="24"/>
        </w:rPr>
        <w:t xml:space="preserve"> jest niezbędnym działaniem w celu utrzymania wysokiego poziomu obecnych i przyszłych usług informatycznych świadczonych na rzecz </w:t>
      </w:r>
      <w:r w:rsidR="002A77C6" w:rsidRPr="002A77C6">
        <w:rPr>
          <w:rFonts w:ascii="Times New Roman" w:hAnsi="Times New Roman"/>
          <w:sz w:val="24"/>
          <w:szCs w:val="24"/>
        </w:rPr>
        <w:t>ARiMR</w:t>
      </w:r>
      <w:r w:rsidRPr="002A77C6">
        <w:rPr>
          <w:rFonts w:ascii="Times New Roman" w:hAnsi="Times New Roman"/>
          <w:sz w:val="24"/>
          <w:szCs w:val="24"/>
        </w:rPr>
        <w:t>.</w:t>
      </w:r>
      <w:r w:rsidR="00A3452D">
        <w:rPr>
          <w:rFonts w:ascii="Times New Roman" w:hAnsi="Times New Roman"/>
          <w:sz w:val="24"/>
          <w:szCs w:val="24"/>
        </w:rPr>
        <w:t xml:space="preserve"> </w:t>
      </w:r>
      <w:r w:rsidRPr="002A77C6">
        <w:rPr>
          <w:rFonts w:ascii="Times New Roman" w:hAnsi="Times New Roman"/>
          <w:sz w:val="24"/>
          <w:szCs w:val="24"/>
        </w:rPr>
        <w:t>Analiza rynku branży informatycznej wskazuje dynamiczne kierunki i trendy zmian w zachowaniu pracowników informatycznych. Bardzo szybko rosnące płace oraz elastyczne formy zatrudnienia</w:t>
      </w:r>
      <w:r w:rsidR="00A3452D">
        <w:rPr>
          <w:rFonts w:ascii="Times New Roman" w:hAnsi="Times New Roman"/>
          <w:sz w:val="24"/>
          <w:szCs w:val="24"/>
        </w:rPr>
        <w:t xml:space="preserve"> </w:t>
      </w:r>
      <w:r w:rsidRPr="002A77C6">
        <w:rPr>
          <w:rFonts w:ascii="Times New Roman" w:hAnsi="Times New Roman"/>
          <w:sz w:val="24"/>
          <w:szCs w:val="24"/>
        </w:rPr>
        <w:t>powodują, że</w:t>
      </w:r>
      <w:r w:rsidR="00A3452D">
        <w:rPr>
          <w:rFonts w:ascii="Times New Roman" w:hAnsi="Times New Roman"/>
          <w:sz w:val="24"/>
          <w:szCs w:val="24"/>
        </w:rPr>
        <w:t xml:space="preserve"> </w:t>
      </w:r>
      <w:r w:rsidR="002A77C6" w:rsidRPr="002A77C6">
        <w:rPr>
          <w:rFonts w:ascii="Times New Roman" w:hAnsi="Times New Roman"/>
          <w:sz w:val="24"/>
          <w:szCs w:val="24"/>
        </w:rPr>
        <w:t>ARiMR</w:t>
      </w:r>
      <w:r w:rsidRPr="002A77C6">
        <w:rPr>
          <w:rFonts w:ascii="Times New Roman" w:hAnsi="Times New Roman"/>
          <w:sz w:val="24"/>
          <w:szCs w:val="24"/>
        </w:rPr>
        <w:t xml:space="preserve"> przestaje być atrakcyjnym pracodawcą, co skutkuje problemami z utrzymaniem obecnej kadry oraz pozyskaniem nowych pracowników o poszukiwanych kompetencjach. Zamierzenie tworzenia nowego oprogramowania napotyka na realne trudności związane z ograniczoną możliwością rozbudowy zespołu. W związku z tym osiągniecie realnych korzyści z tytułu budowy oprogramowania oraz zarządzania nim przez własne zasoby jest osiągalne szybciej w ramach spółki niż w ramach wewnętrznego zespołu IT.</w:t>
      </w:r>
      <w:r w:rsidR="00A3452D">
        <w:rPr>
          <w:rFonts w:ascii="Times New Roman" w:hAnsi="Times New Roman"/>
          <w:sz w:val="24"/>
          <w:szCs w:val="24"/>
        </w:rPr>
        <w:t xml:space="preserve"> </w:t>
      </w:r>
      <w:r w:rsidRPr="002A77C6">
        <w:rPr>
          <w:rFonts w:ascii="Times New Roman" w:hAnsi="Times New Roman"/>
          <w:sz w:val="24"/>
          <w:szCs w:val="24"/>
        </w:rPr>
        <w:t xml:space="preserve">Jedną z głównych przyczyn umiejscowienia organizacyjnego spółki jako „córki” </w:t>
      </w:r>
      <w:r w:rsidR="00925B0F">
        <w:rPr>
          <w:rFonts w:ascii="Times New Roman" w:hAnsi="Times New Roman"/>
          <w:sz w:val="24"/>
          <w:szCs w:val="24"/>
        </w:rPr>
        <w:t>A</w:t>
      </w:r>
      <w:r w:rsidR="002A77C6" w:rsidRPr="002A77C6">
        <w:rPr>
          <w:rFonts w:ascii="Times New Roman" w:hAnsi="Times New Roman"/>
          <w:sz w:val="24"/>
          <w:szCs w:val="24"/>
        </w:rPr>
        <w:t>gencji</w:t>
      </w:r>
      <w:r w:rsidR="00A3452D">
        <w:rPr>
          <w:rFonts w:ascii="Times New Roman" w:hAnsi="Times New Roman"/>
          <w:sz w:val="24"/>
          <w:szCs w:val="24"/>
        </w:rPr>
        <w:t>,</w:t>
      </w:r>
      <w:r w:rsidRPr="002A77C6">
        <w:rPr>
          <w:rFonts w:ascii="Times New Roman" w:hAnsi="Times New Roman"/>
          <w:sz w:val="24"/>
          <w:szCs w:val="24"/>
        </w:rPr>
        <w:t xml:space="preserve"> a nie Ministerstwa Rolnictwa i Rozwoju Wsi (MRiRW)</w:t>
      </w:r>
      <w:r w:rsidR="00A3452D">
        <w:rPr>
          <w:rFonts w:ascii="Times New Roman" w:hAnsi="Times New Roman"/>
          <w:sz w:val="24"/>
          <w:szCs w:val="24"/>
        </w:rPr>
        <w:t>,</w:t>
      </w:r>
      <w:r w:rsidRPr="002A77C6">
        <w:rPr>
          <w:rFonts w:ascii="Times New Roman" w:hAnsi="Times New Roman"/>
          <w:sz w:val="24"/>
          <w:szCs w:val="24"/>
        </w:rPr>
        <w:t xml:space="preserve"> jest ograniczenie konieczności dublowania kompetencji między MRiRW i </w:t>
      </w:r>
      <w:r w:rsidR="002A77C6" w:rsidRPr="002A77C6">
        <w:rPr>
          <w:rFonts w:ascii="Times New Roman" w:hAnsi="Times New Roman"/>
          <w:sz w:val="24"/>
          <w:szCs w:val="24"/>
        </w:rPr>
        <w:t>ARiMR</w:t>
      </w:r>
      <w:r w:rsidRPr="002A77C6">
        <w:rPr>
          <w:rFonts w:ascii="Times New Roman" w:hAnsi="Times New Roman"/>
          <w:sz w:val="24"/>
          <w:szCs w:val="24"/>
        </w:rPr>
        <w:t>. Ze względu na to</w:t>
      </w:r>
      <w:r w:rsidR="00117A0C">
        <w:rPr>
          <w:rFonts w:ascii="Times New Roman" w:hAnsi="Times New Roman"/>
          <w:sz w:val="24"/>
          <w:szCs w:val="24"/>
        </w:rPr>
        <w:t>,</w:t>
      </w:r>
      <w:r w:rsidRPr="002A77C6">
        <w:rPr>
          <w:rFonts w:ascii="Times New Roman" w:hAnsi="Times New Roman"/>
          <w:sz w:val="24"/>
          <w:szCs w:val="24"/>
        </w:rPr>
        <w:t xml:space="preserve"> </w:t>
      </w:r>
      <w:r>
        <w:rPr>
          <w:rFonts w:ascii="Times New Roman" w:hAnsi="Times New Roman"/>
          <w:sz w:val="24"/>
          <w:szCs w:val="24"/>
        </w:rPr>
        <w:t>ż</w:t>
      </w:r>
      <w:r w:rsidRPr="002A77C6">
        <w:rPr>
          <w:rFonts w:ascii="Times New Roman" w:hAnsi="Times New Roman"/>
          <w:sz w:val="24"/>
          <w:szCs w:val="24"/>
        </w:rPr>
        <w:t xml:space="preserve">e spółka realizować będzie głównie zadania na rzecz </w:t>
      </w:r>
      <w:r w:rsidR="002A77C6" w:rsidRPr="002A77C6">
        <w:rPr>
          <w:rFonts w:ascii="Times New Roman" w:hAnsi="Times New Roman"/>
          <w:sz w:val="24"/>
          <w:szCs w:val="24"/>
        </w:rPr>
        <w:t>ARiMR</w:t>
      </w:r>
      <w:r w:rsidRPr="002A77C6">
        <w:rPr>
          <w:rFonts w:ascii="Times New Roman" w:hAnsi="Times New Roman"/>
          <w:sz w:val="24"/>
          <w:szCs w:val="24"/>
        </w:rPr>
        <w:t xml:space="preserve">, a w chwili obecnej zarówno kompetencje, jak i zasoby związane z analitycznym procesem przygotowania projektów (zbudowany w </w:t>
      </w:r>
      <w:r w:rsidR="002A77C6" w:rsidRPr="002A77C6">
        <w:rPr>
          <w:rFonts w:ascii="Times New Roman" w:hAnsi="Times New Roman"/>
          <w:sz w:val="24"/>
          <w:szCs w:val="24"/>
        </w:rPr>
        <w:t>ARiMR</w:t>
      </w:r>
      <w:r w:rsidRPr="002A77C6">
        <w:rPr>
          <w:rFonts w:ascii="Times New Roman" w:hAnsi="Times New Roman"/>
          <w:sz w:val="24"/>
          <w:szCs w:val="24"/>
        </w:rPr>
        <w:t xml:space="preserve"> zespół analizy IT odpowiada za dużą część procesu SDLC, przygotowując szereg artefaktów analitycznych, takich jak: propozycja rozwiązania, koncepcja architektoniczna, analityczny opis modyfikacji, analityczny opis projektu, plan testów akceptacyjnych, projekt techniczny, dokumentacj</w:t>
      </w:r>
      <w:r w:rsidR="00A3452D">
        <w:rPr>
          <w:rFonts w:ascii="Times New Roman" w:hAnsi="Times New Roman"/>
          <w:sz w:val="24"/>
          <w:szCs w:val="24"/>
        </w:rPr>
        <w:t>a</w:t>
      </w:r>
      <w:r w:rsidRPr="002A77C6">
        <w:rPr>
          <w:rFonts w:ascii="Times New Roman" w:hAnsi="Times New Roman"/>
          <w:sz w:val="24"/>
          <w:szCs w:val="24"/>
        </w:rPr>
        <w:t xml:space="preserve"> </w:t>
      </w:r>
      <w:r>
        <w:rPr>
          <w:rFonts w:ascii="Times New Roman" w:hAnsi="Times New Roman"/>
          <w:sz w:val="24"/>
          <w:szCs w:val="24"/>
        </w:rPr>
        <w:t>t</w:t>
      </w:r>
      <w:r w:rsidRPr="002A77C6">
        <w:rPr>
          <w:rFonts w:ascii="Times New Roman" w:hAnsi="Times New Roman"/>
          <w:sz w:val="24"/>
          <w:szCs w:val="24"/>
        </w:rPr>
        <w:t>echniczn</w:t>
      </w:r>
      <w:r w:rsidR="00A3452D">
        <w:rPr>
          <w:rFonts w:ascii="Times New Roman" w:hAnsi="Times New Roman"/>
          <w:sz w:val="24"/>
          <w:szCs w:val="24"/>
        </w:rPr>
        <w:t>a</w:t>
      </w:r>
      <w:r w:rsidRPr="002A77C6">
        <w:rPr>
          <w:rFonts w:ascii="Times New Roman" w:hAnsi="Times New Roman"/>
          <w:sz w:val="24"/>
          <w:szCs w:val="24"/>
        </w:rPr>
        <w:t>, dokumentacj</w:t>
      </w:r>
      <w:r w:rsidR="00A3452D">
        <w:rPr>
          <w:rFonts w:ascii="Times New Roman" w:hAnsi="Times New Roman"/>
          <w:sz w:val="24"/>
          <w:szCs w:val="24"/>
        </w:rPr>
        <w:t>a</w:t>
      </w:r>
      <w:r w:rsidRPr="002A77C6">
        <w:rPr>
          <w:rFonts w:ascii="Times New Roman" w:hAnsi="Times New Roman"/>
          <w:sz w:val="24"/>
          <w:szCs w:val="24"/>
        </w:rPr>
        <w:t xml:space="preserve"> użytkownika, dokumentacj</w:t>
      </w:r>
      <w:r w:rsidR="00A3452D">
        <w:rPr>
          <w:rFonts w:ascii="Times New Roman" w:hAnsi="Times New Roman"/>
          <w:sz w:val="24"/>
          <w:szCs w:val="24"/>
        </w:rPr>
        <w:t>a</w:t>
      </w:r>
      <w:r w:rsidRPr="002A77C6">
        <w:rPr>
          <w:rFonts w:ascii="Times New Roman" w:hAnsi="Times New Roman"/>
          <w:sz w:val="24"/>
          <w:szCs w:val="24"/>
        </w:rPr>
        <w:t xml:space="preserve"> dla administratora) znajdują się w </w:t>
      </w:r>
      <w:r w:rsidR="002A77C6" w:rsidRPr="002A77C6">
        <w:rPr>
          <w:rFonts w:ascii="Times New Roman" w:hAnsi="Times New Roman"/>
          <w:sz w:val="24"/>
          <w:szCs w:val="24"/>
        </w:rPr>
        <w:t>ARiMR</w:t>
      </w:r>
      <w:r w:rsidRPr="002A77C6">
        <w:rPr>
          <w:rFonts w:ascii="Times New Roman" w:hAnsi="Times New Roman"/>
          <w:sz w:val="24"/>
          <w:szCs w:val="24"/>
        </w:rPr>
        <w:t>.</w:t>
      </w:r>
      <w:r w:rsidR="00A3452D">
        <w:rPr>
          <w:rFonts w:ascii="Times New Roman" w:hAnsi="Times New Roman"/>
          <w:sz w:val="24"/>
          <w:szCs w:val="24"/>
        </w:rPr>
        <w:t xml:space="preserve"> </w:t>
      </w:r>
      <w:r w:rsidRPr="002A77C6">
        <w:rPr>
          <w:rFonts w:ascii="Times New Roman" w:hAnsi="Times New Roman"/>
          <w:sz w:val="24"/>
          <w:szCs w:val="24"/>
        </w:rPr>
        <w:t>Dodatkowo należy także stwierdzić, że znajomość procesów biznesowych i dziedzin działalnoś</w:t>
      </w:r>
      <w:r w:rsidR="00A3452D">
        <w:rPr>
          <w:rFonts w:ascii="Times New Roman" w:hAnsi="Times New Roman"/>
          <w:sz w:val="24"/>
          <w:szCs w:val="24"/>
        </w:rPr>
        <w:t>ci</w:t>
      </w:r>
      <w:r w:rsidRPr="002A77C6">
        <w:rPr>
          <w:rFonts w:ascii="Times New Roman" w:hAnsi="Times New Roman"/>
          <w:sz w:val="24"/>
          <w:szCs w:val="24"/>
        </w:rPr>
        <w:t xml:space="preserve"> </w:t>
      </w:r>
      <w:r w:rsidR="002A77C6" w:rsidRPr="002A77C6">
        <w:rPr>
          <w:rFonts w:ascii="Times New Roman" w:hAnsi="Times New Roman"/>
          <w:sz w:val="24"/>
          <w:szCs w:val="24"/>
        </w:rPr>
        <w:t>ARiMR</w:t>
      </w:r>
      <w:r w:rsidRPr="002A77C6">
        <w:rPr>
          <w:rFonts w:ascii="Times New Roman" w:hAnsi="Times New Roman"/>
          <w:sz w:val="24"/>
          <w:szCs w:val="24"/>
        </w:rPr>
        <w:t xml:space="preserve"> znajduje się w umiejętnościach już zbudowanego zespołu pracowników </w:t>
      </w:r>
      <w:r w:rsidR="002A77C6" w:rsidRPr="002A77C6">
        <w:rPr>
          <w:rFonts w:ascii="Times New Roman" w:hAnsi="Times New Roman"/>
          <w:sz w:val="24"/>
          <w:szCs w:val="24"/>
        </w:rPr>
        <w:t>ARiMR</w:t>
      </w:r>
      <w:r w:rsidRPr="002A77C6">
        <w:rPr>
          <w:rFonts w:ascii="Times New Roman" w:hAnsi="Times New Roman"/>
          <w:sz w:val="24"/>
          <w:szCs w:val="24"/>
        </w:rPr>
        <w:t xml:space="preserve">, dlatego związek </w:t>
      </w:r>
      <w:r w:rsidR="002A77C6" w:rsidRPr="002A77C6">
        <w:rPr>
          <w:rFonts w:ascii="Times New Roman" w:hAnsi="Times New Roman"/>
          <w:sz w:val="24"/>
          <w:szCs w:val="24"/>
        </w:rPr>
        <w:t>ARiMR</w:t>
      </w:r>
      <w:r w:rsidRPr="002A77C6">
        <w:rPr>
          <w:rFonts w:ascii="Times New Roman" w:hAnsi="Times New Roman"/>
          <w:sz w:val="24"/>
          <w:szCs w:val="24"/>
        </w:rPr>
        <w:t xml:space="preserve"> i spółki wydaje się najbardziej optymalnym rozwiązaniem na uniknięcie powielania kompetencji i przepływu zadań zlecanych z MRiRW. </w:t>
      </w:r>
    </w:p>
    <w:p w14:paraId="6BC338DB" w14:textId="0ABA4A44" w:rsidR="00055118" w:rsidRPr="002A77C6" w:rsidRDefault="00055118" w:rsidP="00055118">
      <w:pPr>
        <w:spacing w:line="360" w:lineRule="auto"/>
        <w:ind w:firstLine="567"/>
        <w:jc w:val="both"/>
        <w:rPr>
          <w:rFonts w:ascii="Times New Roman" w:eastAsia="Times New Roman" w:hAnsi="Times New Roman"/>
          <w:sz w:val="24"/>
          <w:szCs w:val="24"/>
        </w:rPr>
      </w:pPr>
      <w:r w:rsidRPr="002A77C6">
        <w:rPr>
          <w:rFonts w:ascii="Times New Roman" w:eastAsia="Times New Roman" w:hAnsi="Times New Roman"/>
          <w:sz w:val="24"/>
          <w:szCs w:val="24"/>
        </w:rPr>
        <w:t>Proponowany mechanizm nie jest rozwiązaniem zupełnie nowym, jeżeli chodzi o Agencję. W ustawie z dnia 29 grudnia 1993 r. o utworzeniu Agencji Restrukturyzacji i Modernizacji Rolnictwa (Dz. U. z 2005 r. poz. 264, z późn. zm.)</w:t>
      </w:r>
      <w:r w:rsidR="00ED0388">
        <w:rPr>
          <w:rFonts w:ascii="Times New Roman" w:eastAsia="Times New Roman" w:hAnsi="Times New Roman"/>
          <w:sz w:val="24"/>
          <w:szCs w:val="24"/>
        </w:rPr>
        <w:t>,</w:t>
      </w:r>
      <w:r w:rsidRPr="002A77C6">
        <w:rPr>
          <w:rFonts w:ascii="Times New Roman" w:eastAsia="Times New Roman" w:hAnsi="Times New Roman"/>
          <w:sz w:val="24"/>
          <w:szCs w:val="24"/>
        </w:rPr>
        <w:t xml:space="preserve"> uchylonej z dniem 24</w:t>
      </w:r>
      <w:r w:rsidR="00ED0388">
        <w:rPr>
          <w:rFonts w:ascii="Times New Roman" w:eastAsia="Times New Roman" w:hAnsi="Times New Roman"/>
          <w:sz w:val="24"/>
          <w:szCs w:val="24"/>
        </w:rPr>
        <w:t> </w:t>
      </w:r>
      <w:r w:rsidRPr="002A77C6">
        <w:rPr>
          <w:rFonts w:ascii="Times New Roman" w:eastAsia="Times New Roman" w:hAnsi="Times New Roman"/>
          <w:sz w:val="24"/>
          <w:szCs w:val="24"/>
        </w:rPr>
        <w:t>czerwca 2008 r.</w:t>
      </w:r>
      <w:r w:rsidR="00ED0388">
        <w:rPr>
          <w:rFonts w:ascii="Times New Roman" w:eastAsia="Times New Roman" w:hAnsi="Times New Roman"/>
          <w:sz w:val="24"/>
          <w:szCs w:val="24"/>
        </w:rPr>
        <w:t>,</w:t>
      </w:r>
      <w:r w:rsidRPr="002A77C6">
        <w:rPr>
          <w:rFonts w:ascii="Times New Roman" w:eastAsia="Times New Roman" w:hAnsi="Times New Roman"/>
          <w:sz w:val="24"/>
          <w:szCs w:val="24"/>
        </w:rPr>
        <w:t xml:space="preserve"> w art. 10a przewidziana była możliwość obejmowania przez Agencję, za </w:t>
      </w:r>
      <w:r w:rsidRPr="002A77C6">
        <w:rPr>
          <w:rFonts w:ascii="Times New Roman" w:eastAsia="Times New Roman" w:hAnsi="Times New Roman"/>
          <w:sz w:val="24"/>
          <w:szCs w:val="24"/>
        </w:rPr>
        <w:lastRenderedPageBreak/>
        <w:t xml:space="preserve">zgodą ministrów właściwego do spraw finansów publicznych oraz właściwego do spraw rozwoju wsi, akcji w spółkach akcyjnych i udziałów w spółkach z ograniczoną odpowiedzialnością realizujących przedsięwzięcia objęte, zaakceptowanym przez ministra właściwego do spraw rozwoju wsi, programem budowy rolniczych rynków hurtowych i giełd rolnych. Natomiast rozwiązanie analogiczne do proponowanego w ustawie obowiązuje obecnie w przypadku innych agencji wykonawczych. </w:t>
      </w:r>
      <w:r w:rsidRPr="002A77C6">
        <w:rPr>
          <w:rFonts w:ascii="Times New Roman" w:hAnsi="Times New Roman"/>
          <w:sz w:val="24"/>
        </w:rPr>
        <w:t xml:space="preserve">Realizacja zadań przy wykorzystaniu możliwości </w:t>
      </w:r>
      <w:r w:rsidRPr="002A77C6">
        <w:rPr>
          <w:rFonts w:ascii="Times New Roman" w:hAnsi="Times New Roman"/>
          <w:sz w:val="24"/>
          <w:szCs w:val="24"/>
        </w:rPr>
        <w:t>zakładania spółek jest obecnie w przypadku następujących agencji wykonawczych:</w:t>
      </w:r>
    </w:p>
    <w:p w14:paraId="3B69251E" w14:textId="2E5352A5" w:rsidR="00055118" w:rsidRPr="002A77C6" w:rsidRDefault="00055118" w:rsidP="00055118">
      <w:pPr>
        <w:spacing w:line="360" w:lineRule="auto"/>
        <w:ind w:left="284" w:hanging="284"/>
        <w:jc w:val="both"/>
        <w:rPr>
          <w:rFonts w:ascii="Times New Roman" w:hAnsi="Times New Roman"/>
          <w:sz w:val="24"/>
          <w:szCs w:val="24"/>
        </w:rPr>
      </w:pPr>
      <w:r>
        <w:rPr>
          <w:rFonts w:ascii="Times New Roman" w:hAnsi="Times New Roman"/>
          <w:sz w:val="24"/>
          <w:szCs w:val="24"/>
        </w:rPr>
        <w:t>–</w:t>
      </w:r>
      <w:r w:rsidRPr="002A77C6">
        <w:rPr>
          <w:rFonts w:ascii="Times New Roman" w:hAnsi="Times New Roman"/>
          <w:sz w:val="24"/>
          <w:szCs w:val="24"/>
        </w:rPr>
        <w:t xml:space="preserve"> Polskiej Agencji Rozwoju Przedsiębiorczości </w:t>
      </w:r>
      <w:r w:rsidR="00ED0388">
        <w:rPr>
          <w:rFonts w:ascii="Times New Roman" w:hAnsi="Times New Roman"/>
          <w:sz w:val="24"/>
          <w:szCs w:val="24"/>
        </w:rPr>
        <w:t>[</w:t>
      </w:r>
      <w:r w:rsidRPr="002A77C6">
        <w:rPr>
          <w:rFonts w:ascii="Times New Roman" w:eastAsia="Times New Roman" w:hAnsi="Times New Roman"/>
          <w:sz w:val="24"/>
          <w:szCs w:val="24"/>
        </w:rPr>
        <w:t>art. 6ba ustawy z dnia 9 listopada 2000 r. o utworzeniu Polskiej Agencji Rozwoju Przedsiębiorczości (Dz. U. z 2020 r. poz. 299)</w:t>
      </w:r>
      <w:r w:rsidR="00ED0388">
        <w:rPr>
          <w:rFonts w:ascii="Times New Roman" w:eastAsia="Times New Roman" w:hAnsi="Times New Roman"/>
          <w:sz w:val="24"/>
          <w:szCs w:val="24"/>
        </w:rPr>
        <w:t>]</w:t>
      </w:r>
      <w:r w:rsidRPr="002A77C6">
        <w:rPr>
          <w:rFonts w:ascii="Times New Roman" w:hAnsi="Times New Roman"/>
          <w:sz w:val="24"/>
          <w:szCs w:val="24"/>
        </w:rPr>
        <w:t>,</w:t>
      </w:r>
    </w:p>
    <w:p w14:paraId="4BC1B79B" w14:textId="1A037113" w:rsidR="00055118" w:rsidRPr="002A77C6" w:rsidRDefault="00055118" w:rsidP="00055118">
      <w:pPr>
        <w:spacing w:line="360" w:lineRule="auto"/>
        <w:ind w:left="284" w:hanging="284"/>
        <w:jc w:val="both"/>
        <w:rPr>
          <w:rFonts w:ascii="Times New Roman" w:eastAsia="Times New Roman" w:hAnsi="Times New Roman"/>
          <w:sz w:val="24"/>
          <w:szCs w:val="24"/>
        </w:rPr>
      </w:pPr>
      <w:r>
        <w:rPr>
          <w:rFonts w:ascii="Times New Roman" w:eastAsia="Times New Roman" w:hAnsi="Times New Roman"/>
          <w:sz w:val="24"/>
          <w:szCs w:val="24"/>
        </w:rPr>
        <w:t>–</w:t>
      </w:r>
      <w:r w:rsidRPr="002A77C6">
        <w:rPr>
          <w:rFonts w:ascii="Times New Roman" w:eastAsia="Times New Roman" w:hAnsi="Times New Roman"/>
          <w:sz w:val="24"/>
          <w:szCs w:val="24"/>
        </w:rPr>
        <w:t xml:space="preserve"> Narodowego Centrum Badań i Rozwoju </w:t>
      </w:r>
      <w:r w:rsidR="00ED0388">
        <w:rPr>
          <w:rFonts w:ascii="Times New Roman" w:eastAsia="Times New Roman" w:hAnsi="Times New Roman"/>
          <w:sz w:val="24"/>
          <w:szCs w:val="24"/>
        </w:rPr>
        <w:t>[</w:t>
      </w:r>
      <w:r w:rsidRPr="002A77C6">
        <w:rPr>
          <w:rFonts w:ascii="Times New Roman" w:eastAsia="Times New Roman" w:hAnsi="Times New Roman"/>
          <w:sz w:val="24"/>
          <w:szCs w:val="24"/>
        </w:rPr>
        <w:t>art. 30a ust. 1 pkt 2 ustawy z dnia 30 kwietnia 2010 r. o Narodowym Centrum Badań i Rozwoju (Dz. U. z 2020 r. poz. 1861)</w:t>
      </w:r>
      <w:r w:rsidR="00ED0388">
        <w:rPr>
          <w:rFonts w:ascii="Times New Roman" w:eastAsia="Times New Roman" w:hAnsi="Times New Roman"/>
          <w:sz w:val="24"/>
          <w:szCs w:val="24"/>
        </w:rPr>
        <w:t>]</w:t>
      </w:r>
      <w:r w:rsidRPr="002A77C6">
        <w:rPr>
          <w:rFonts w:ascii="Times New Roman" w:eastAsia="Times New Roman" w:hAnsi="Times New Roman"/>
          <w:sz w:val="24"/>
          <w:szCs w:val="24"/>
        </w:rPr>
        <w:t xml:space="preserve">, </w:t>
      </w:r>
    </w:p>
    <w:p w14:paraId="61AD88A1" w14:textId="08A941E0" w:rsidR="00055118" w:rsidRPr="002A77C6" w:rsidRDefault="00055118" w:rsidP="00055118">
      <w:pPr>
        <w:spacing w:line="360" w:lineRule="auto"/>
        <w:ind w:left="284" w:hanging="284"/>
        <w:jc w:val="both"/>
        <w:rPr>
          <w:rFonts w:ascii="Times New Roman" w:eastAsia="Times New Roman" w:hAnsi="Times New Roman"/>
          <w:sz w:val="24"/>
          <w:szCs w:val="24"/>
        </w:rPr>
      </w:pPr>
      <w:r>
        <w:rPr>
          <w:rFonts w:ascii="Times New Roman" w:eastAsia="Times New Roman" w:hAnsi="Times New Roman"/>
          <w:sz w:val="24"/>
          <w:szCs w:val="24"/>
        </w:rPr>
        <w:t>–</w:t>
      </w:r>
      <w:r w:rsidRPr="002A77C6">
        <w:rPr>
          <w:rFonts w:ascii="Times New Roman" w:eastAsia="Times New Roman" w:hAnsi="Times New Roman"/>
          <w:sz w:val="24"/>
          <w:szCs w:val="24"/>
        </w:rPr>
        <w:t xml:space="preserve"> Krajowego Ośrodka Wsparcia Rolnictwa </w:t>
      </w:r>
      <w:r w:rsidR="00ED0388">
        <w:rPr>
          <w:rFonts w:ascii="Times New Roman" w:eastAsia="Times New Roman" w:hAnsi="Times New Roman"/>
          <w:sz w:val="24"/>
          <w:szCs w:val="24"/>
        </w:rPr>
        <w:t>[</w:t>
      </w:r>
      <w:r w:rsidRPr="002A77C6">
        <w:rPr>
          <w:rFonts w:ascii="Times New Roman" w:eastAsia="Times New Roman" w:hAnsi="Times New Roman"/>
          <w:sz w:val="24"/>
          <w:szCs w:val="24"/>
        </w:rPr>
        <w:t xml:space="preserve">art. 17 ust. 1 ustawy z dnia 10 lutego 2017 r. </w:t>
      </w:r>
      <w:r w:rsidRPr="002A77C6">
        <w:rPr>
          <w:rFonts w:ascii="Times New Roman" w:eastAsia="Times New Roman" w:hAnsi="Times New Roman"/>
          <w:sz w:val="24"/>
          <w:szCs w:val="24"/>
        </w:rPr>
        <w:br/>
        <w:t>o Krajowym Ośrodku Wsparcia Rolnictwa (Dz. U. z 2020 r. poz. 481)</w:t>
      </w:r>
      <w:r w:rsidR="00ED0388">
        <w:rPr>
          <w:rFonts w:ascii="Times New Roman" w:eastAsia="Times New Roman" w:hAnsi="Times New Roman"/>
          <w:sz w:val="24"/>
          <w:szCs w:val="24"/>
        </w:rPr>
        <w:t>]</w:t>
      </w:r>
      <w:r w:rsidRPr="002A77C6">
        <w:rPr>
          <w:rFonts w:ascii="Times New Roman" w:eastAsia="Times New Roman" w:hAnsi="Times New Roman"/>
          <w:sz w:val="24"/>
          <w:szCs w:val="24"/>
        </w:rPr>
        <w:t>,</w:t>
      </w:r>
    </w:p>
    <w:p w14:paraId="595F61BA" w14:textId="187F8AAF" w:rsidR="00055118" w:rsidRPr="002A77C6" w:rsidRDefault="00055118" w:rsidP="00055118">
      <w:pPr>
        <w:spacing w:line="360" w:lineRule="auto"/>
        <w:ind w:left="284" w:hanging="284"/>
        <w:jc w:val="both"/>
        <w:rPr>
          <w:rFonts w:ascii="Times New Roman" w:eastAsia="Times New Roman" w:hAnsi="Times New Roman"/>
          <w:sz w:val="24"/>
          <w:szCs w:val="24"/>
        </w:rPr>
      </w:pPr>
      <w:r>
        <w:rPr>
          <w:rFonts w:ascii="Times New Roman" w:eastAsia="Times New Roman" w:hAnsi="Times New Roman"/>
          <w:sz w:val="24"/>
          <w:szCs w:val="24"/>
        </w:rPr>
        <w:t>–</w:t>
      </w:r>
      <w:r w:rsidRPr="002A77C6">
        <w:rPr>
          <w:rFonts w:ascii="Times New Roman" w:eastAsia="Times New Roman" w:hAnsi="Times New Roman"/>
          <w:sz w:val="24"/>
          <w:szCs w:val="24"/>
        </w:rPr>
        <w:t xml:space="preserve"> Agencji Mienia Wojskowego </w:t>
      </w:r>
      <w:r w:rsidR="00ED0388">
        <w:rPr>
          <w:rFonts w:ascii="Times New Roman" w:eastAsia="Times New Roman" w:hAnsi="Times New Roman"/>
          <w:sz w:val="24"/>
          <w:szCs w:val="24"/>
        </w:rPr>
        <w:t>[</w:t>
      </w:r>
      <w:r w:rsidRPr="002A77C6">
        <w:rPr>
          <w:rFonts w:ascii="Times New Roman" w:eastAsia="Times New Roman" w:hAnsi="Times New Roman"/>
          <w:sz w:val="24"/>
          <w:szCs w:val="24"/>
        </w:rPr>
        <w:t>art. 60 ust. 1 i 2 ustawy z dnia 10 lipca 2015 r. o Agencji Mienia Wojskowego (Dz. U. z 2021 r. poz. 303 i 2122)</w:t>
      </w:r>
      <w:r w:rsidR="00ED0388">
        <w:rPr>
          <w:rFonts w:ascii="Times New Roman" w:eastAsia="Times New Roman" w:hAnsi="Times New Roman"/>
          <w:sz w:val="24"/>
          <w:szCs w:val="24"/>
        </w:rPr>
        <w:t>]</w:t>
      </w:r>
      <w:r w:rsidRPr="002A77C6">
        <w:rPr>
          <w:rFonts w:ascii="Times New Roman" w:eastAsia="Times New Roman" w:hAnsi="Times New Roman"/>
          <w:sz w:val="24"/>
          <w:szCs w:val="24"/>
        </w:rPr>
        <w:t>.</w:t>
      </w:r>
    </w:p>
    <w:p w14:paraId="3B350339" w14:textId="77777777" w:rsidR="00055118" w:rsidRPr="002A77C6" w:rsidRDefault="00055118" w:rsidP="00032361">
      <w:pPr>
        <w:autoSpaceDN/>
        <w:spacing w:line="360" w:lineRule="auto"/>
        <w:ind w:firstLine="567"/>
        <w:jc w:val="both"/>
        <w:rPr>
          <w:rFonts w:ascii="Times New Roman" w:eastAsia="Times New Roman" w:hAnsi="Times New Roman"/>
          <w:sz w:val="24"/>
          <w:szCs w:val="24"/>
        </w:rPr>
      </w:pPr>
      <w:r w:rsidRPr="002A77C6">
        <w:rPr>
          <w:rFonts w:ascii="Times New Roman" w:eastAsia="Times New Roman" w:hAnsi="Times New Roman"/>
          <w:sz w:val="24"/>
          <w:szCs w:val="24"/>
        </w:rPr>
        <w:t>A zatem wykonywanie zadań ustawowych agencji wykonawczych przy wykorzystaniu spółek prawa handlowego jest coraz powszechniej dopuszczanym i stosowanym rozwiązaniem.</w:t>
      </w:r>
    </w:p>
    <w:p w14:paraId="7BC975B3" w14:textId="287A6D46" w:rsidR="00055118" w:rsidRPr="002A77C6" w:rsidRDefault="00055118" w:rsidP="00055118">
      <w:pPr>
        <w:suppressAutoHyphens/>
        <w:spacing w:after="120" w:line="360" w:lineRule="auto"/>
        <w:ind w:firstLine="510"/>
        <w:jc w:val="both"/>
        <w:rPr>
          <w:rFonts w:ascii="Times New Roman" w:eastAsia="Times New Roman" w:hAnsi="Times New Roman"/>
          <w:sz w:val="24"/>
          <w:szCs w:val="24"/>
          <w:highlight w:val="yellow"/>
        </w:rPr>
      </w:pPr>
      <w:r w:rsidRPr="002A77C6">
        <w:rPr>
          <w:rFonts w:ascii="Times New Roman" w:eastAsia="Times New Roman" w:hAnsi="Times New Roman"/>
          <w:sz w:val="24"/>
          <w:szCs w:val="24"/>
        </w:rPr>
        <w:t xml:space="preserve">Jednocześnie przepisy art. 6ba ustawy </w:t>
      </w:r>
      <w:r w:rsidR="00117A0C" w:rsidRPr="002A77C6">
        <w:rPr>
          <w:rFonts w:ascii="Times New Roman" w:eastAsia="Times New Roman" w:hAnsi="Times New Roman"/>
          <w:sz w:val="24"/>
          <w:szCs w:val="24"/>
        </w:rPr>
        <w:t xml:space="preserve">z dnia 9 listopada 2000 r. </w:t>
      </w:r>
      <w:r w:rsidRPr="002A77C6">
        <w:rPr>
          <w:rFonts w:ascii="Times New Roman" w:eastAsia="Times New Roman" w:hAnsi="Times New Roman"/>
          <w:sz w:val="24"/>
          <w:szCs w:val="24"/>
        </w:rPr>
        <w:t xml:space="preserve">o utworzeniu Polskiej Agencji Rozwoju Przedsiębiorczości stanowią, że </w:t>
      </w:r>
      <w:r w:rsidRPr="002A77C6">
        <w:rPr>
          <w:rFonts w:ascii="Times New Roman" w:hAnsi="Times New Roman"/>
          <w:i/>
          <w:sz w:val="24"/>
          <w:szCs w:val="24"/>
        </w:rPr>
        <w:t>w celu realizacji zadań Agencja może, za</w:t>
      </w:r>
      <w:r w:rsidRPr="002A77C6">
        <w:rPr>
          <w:rFonts w:ascii="Times New Roman" w:hAnsi="Times New Roman"/>
          <w:b/>
          <w:i/>
          <w:sz w:val="24"/>
          <w:szCs w:val="24"/>
        </w:rPr>
        <w:t xml:space="preserve"> </w:t>
      </w:r>
      <w:r w:rsidRPr="002A77C6">
        <w:rPr>
          <w:rFonts w:ascii="Times New Roman" w:hAnsi="Times New Roman"/>
          <w:i/>
          <w:sz w:val="24"/>
          <w:szCs w:val="24"/>
        </w:rPr>
        <w:t>zgodą ministra właściwego do spraw gospodarki, utworzyć spółkę lub nabyć udziały lub akcje spółki mającej siedzibę na terytorium Rzeczypospolitej Polskiej lub za granicą</w:t>
      </w:r>
      <w:r w:rsidRPr="002A77C6">
        <w:rPr>
          <w:rFonts w:ascii="Times New Roman" w:hAnsi="Times New Roman"/>
          <w:sz w:val="24"/>
          <w:szCs w:val="24"/>
        </w:rPr>
        <w:t>.</w:t>
      </w:r>
      <w:r w:rsidRPr="002A77C6">
        <w:rPr>
          <w:rFonts w:ascii="Times New Roman" w:eastAsia="Times New Roman" w:hAnsi="Times New Roman"/>
          <w:sz w:val="24"/>
          <w:szCs w:val="24"/>
        </w:rPr>
        <w:t xml:space="preserve"> Z kolei art. 60 ust. 1 i 2 ustawy o Agencji Mienia Wojskowego przewidują, że </w:t>
      </w:r>
      <w:r w:rsidRPr="002A77C6">
        <w:rPr>
          <w:rFonts w:ascii="Times New Roman" w:eastAsia="Times New Roman" w:hAnsi="Times New Roman"/>
          <w:i/>
          <w:sz w:val="24"/>
          <w:szCs w:val="24"/>
        </w:rPr>
        <w:t>1.</w:t>
      </w:r>
      <w:r w:rsidRPr="002A77C6">
        <w:rPr>
          <w:rFonts w:ascii="Times New Roman" w:eastAsia="Times New Roman" w:hAnsi="Times New Roman"/>
          <w:sz w:val="24"/>
          <w:szCs w:val="24"/>
        </w:rPr>
        <w:t xml:space="preserve"> </w:t>
      </w:r>
      <w:r w:rsidRPr="002A77C6">
        <w:rPr>
          <w:rFonts w:ascii="Times New Roman" w:eastAsia="Times New Roman" w:hAnsi="Times New Roman"/>
          <w:i/>
          <w:sz w:val="24"/>
          <w:szCs w:val="24"/>
        </w:rPr>
        <w:t>Agencja może tworzyć, łączyć, przystępować i przejmować, na podstawie przepisów odrębnych, spółki prawa handlowego i towarzystwa budownictwa społecznego, wnosić mienie, w tym także jako wkład niepieniężny do tych spółek i towarzystw budownictwa społecznego, jeżeli służy to realizacji zadań Agencji. 2. Działanie Agencji w zakresie, o którym mowa w ust. 1, poprzedza wydanie zgody przez Ministra Obrony Narodowej</w:t>
      </w:r>
      <w:r w:rsidRPr="002A77C6">
        <w:rPr>
          <w:rFonts w:ascii="Times New Roman" w:eastAsia="Times New Roman" w:hAnsi="Times New Roman"/>
          <w:sz w:val="24"/>
          <w:szCs w:val="24"/>
        </w:rPr>
        <w:t xml:space="preserve">. Z powyższego wynika, że nie ma przeszkód, żeby w przypadku spółki tworzonej przez Agencję zgodę wyrażał Minister Rolnictwa i Rozwoju Wsi. Jest to również uzasadnione faktem, że </w:t>
      </w:r>
      <w:r w:rsidR="00117A0C">
        <w:rPr>
          <w:rFonts w:ascii="Times New Roman" w:eastAsia="Times New Roman" w:hAnsi="Times New Roman"/>
          <w:sz w:val="24"/>
          <w:szCs w:val="24"/>
        </w:rPr>
        <w:t>m</w:t>
      </w:r>
      <w:r w:rsidRPr="002A77C6">
        <w:rPr>
          <w:rFonts w:ascii="Times New Roman" w:eastAsia="Times New Roman" w:hAnsi="Times New Roman"/>
          <w:sz w:val="24"/>
          <w:szCs w:val="24"/>
        </w:rPr>
        <w:t>inister ten sprawuje nadzór nad Agencją.</w:t>
      </w:r>
    </w:p>
    <w:p w14:paraId="7AB5459E" w14:textId="6FF80D40" w:rsidR="00055118" w:rsidRPr="002A77C6" w:rsidRDefault="00055118" w:rsidP="00055118">
      <w:pPr>
        <w:suppressAutoHyphens/>
        <w:spacing w:line="360" w:lineRule="auto"/>
        <w:ind w:firstLine="567"/>
        <w:jc w:val="both"/>
        <w:rPr>
          <w:rFonts w:ascii="Times New Roman" w:eastAsia="Times New Roman" w:hAnsi="Times New Roman"/>
          <w:sz w:val="24"/>
          <w:szCs w:val="24"/>
        </w:rPr>
      </w:pPr>
      <w:r w:rsidRPr="002A77C6">
        <w:rPr>
          <w:rFonts w:ascii="Times New Roman" w:hAnsi="Times New Roman"/>
          <w:sz w:val="24"/>
        </w:rPr>
        <w:t xml:space="preserve">Zmiany zaproponowane w art. 1 pkt 7 ustawy polegają na dodaniu po art. 21 </w:t>
      </w:r>
      <w:r w:rsidR="00032361">
        <w:rPr>
          <w:rFonts w:ascii="Times New Roman" w:hAnsi="Times New Roman"/>
          <w:sz w:val="24"/>
        </w:rPr>
        <w:br/>
      </w:r>
      <w:r w:rsidRPr="002A77C6">
        <w:rPr>
          <w:rFonts w:ascii="Times New Roman" w:hAnsi="Times New Roman"/>
          <w:sz w:val="24"/>
        </w:rPr>
        <w:t>art. 21a</w:t>
      </w:r>
      <w:r w:rsidR="00032361">
        <w:rPr>
          <w:rFonts w:ascii="Times New Roman" w:hAnsi="Times New Roman"/>
          <w:sz w:val="24"/>
        </w:rPr>
        <w:t>–</w:t>
      </w:r>
      <w:r w:rsidRPr="002A77C6">
        <w:rPr>
          <w:rFonts w:ascii="Times New Roman" w:hAnsi="Times New Roman"/>
          <w:sz w:val="24"/>
        </w:rPr>
        <w:t>21g.</w:t>
      </w:r>
      <w:r w:rsidRPr="002A77C6">
        <w:rPr>
          <w:rFonts w:ascii="Times New Roman" w:eastAsia="Times New Roman" w:hAnsi="Times New Roman"/>
          <w:sz w:val="24"/>
          <w:szCs w:val="24"/>
        </w:rPr>
        <w:t xml:space="preserve"> Projektowany przepis art. 21a ustawy </w:t>
      </w:r>
      <w:r w:rsidR="00117A0C">
        <w:rPr>
          <w:rFonts w:ascii="Times New Roman" w:eastAsia="Times New Roman" w:hAnsi="Times New Roman"/>
          <w:sz w:val="24"/>
          <w:szCs w:val="24"/>
        </w:rPr>
        <w:t xml:space="preserve">o Agencji </w:t>
      </w:r>
      <w:r w:rsidRPr="002A77C6">
        <w:rPr>
          <w:rFonts w:ascii="Times New Roman" w:eastAsia="Times New Roman" w:hAnsi="Times New Roman"/>
          <w:sz w:val="24"/>
          <w:szCs w:val="24"/>
        </w:rPr>
        <w:t xml:space="preserve">przewiduje możliwość </w:t>
      </w:r>
      <w:r w:rsidRPr="002A77C6">
        <w:rPr>
          <w:rFonts w:ascii="Times New Roman" w:eastAsia="Times New Roman" w:hAnsi="Times New Roman"/>
          <w:sz w:val="24"/>
          <w:szCs w:val="24"/>
        </w:rPr>
        <w:lastRenderedPageBreak/>
        <w:t>utworzenia przez Agencję spółki z ograniczoną odpowiedzialnością, której celem będzie</w:t>
      </w:r>
      <w:r w:rsidRPr="002A77C6">
        <w:rPr>
          <w:rFonts w:eastAsia="SimSun"/>
          <w:lang w:eastAsia="zh-CN" w:bidi="hi-IN"/>
        </w:rPr>
        <w:t xml:space="preserve"> </w:t>
      </w:r>
      <w:r w:rsidRPr="002A77C6">
        <w:rPr>
          <w:rFonts w:ascii="Times New Roman" w:eastAsia="Times New Roman" w:hAnsi="Times New Roman"/>
          <w:sz w:val="24"/>
          <w:szCs w:val="24"/>
        </w:rPr>
        <w:t>realizacja zadań polegających na zapewnieniu rozwoju systemów i rozwiązań teleinformatycznych służących do realizacji zadań Agencji, w szczególności przez:</w:t>
      </w:r>
    </w:p>
    <w:p w14:paraId="173CA654" w14:textId="00310A83" w:rsidR="00055118" w:rsidRPr="002A77C6" w:rsidRDefault="00055118" w:rsidP="00055118">
      <w:pPr>
        <w:suppressAutoHyphens/>
        <w:spacing w:line="360" w:lineRule="auto"/>
        <w:jc w:val="both"/>
        <w:rPr>
          <w:rFonts w:ascii="Times New Roman" w:eastAsia="Times New Roman" w:hAnsi="Times New Roman"/>
          <w:sz w:val="24"/>
          <w:szCs w:val="24"/>
        </w:rPr>
      </w:pPr>
      <w:r w:rsidRPr="002A77C6">
        <w:rPr>
          <w:rFonts w:ascii="Times New Roman" w:eastAsia="Times New Roman" w:hAnsi="Times New Roman"/>
          <w:sz w:val="24"/>
          <w:szCs w:val="24"/>
        </w:rPr>
        <w:t xml:space="preserve">1) </w:t>
      </w:r>
      <w:r w:rsidR="00032361">
        <w:rPr>
          <w:rFonts w:ascii="Times New Roman" w:eastAsia="Times New Roman" w:hAnsi="Times New Roman"/>
          <w:sz w:val="24"/>
          <w:szCs w:val="24"/>
        </w:rPr>
        <w:tab/>
      </w:r>
      <w:r w:rsidRPr="002A77C6">
        <w:rPr>
          <w:rFonts w:ascii="Times New Roman" w:eastAsia="Times New Roman" w:hAnsi="Times New Roman"/>
          <w:sz w:val="24"/>
          <w:szCs w:val="24"/>
        </w:rPr>
        <w:t>budowę systemów lub rozwiązań teleinformatycznych;</w:t>
      </w:r>
    </w:p>
    <w:p w14:paraId="0CC59599" w14:textId="2B830983" w:rsidR="00055118" w:rsidRPr="002A77C6" w:rsidRDefault="00055118" w:rsidP="00032361">
      <w:pPr>
        <w:suppressAutoHyphens/>
        <w:spacing w:line="360" w:lineRule="auto"/>
        <w:ind w:left="426" w:hanging="426"/>
        <w:jc w:val="both"/>
        <w:rPr>
          <w:rFonts w:ascii="Times New Roman" w:eastAsia="Times New Roman" w:hAnsi="Times New Roman"/>
          <w:sz w:val="24"/>
          <w:szCs w:val="24"/>
        </w:rPr>
      </w:pPr>
      <w:r w:rsidRPr="002A77C6">
        <w:rPr>
          <w:rFonts w:ascii="Times New Roman" w:eastAsia="Times New Roman" w:hAnsi="Times New Roman"/>
          <w:sz w:val="24"/>
          <w:szCs w:val="24"/>
        </w:rPr>
        <w:t>2)</w:t>
      </w:r>
      <w:r w:rsidR="00032361">
        <w:rPr>
          <w:rFonts w:ascii="Times New Roman" w:eastAsia="Times New Roman" w:hAnsi="Times New Roman"/>
          <w:sz w:val="24"/>
          <w:szCs w:val="24"/>
        </w:rPr>
        <w:tab/>
      </w:r>
      <w:r w:rsidRPr="002A77C6">
        <w:rPr>
          <w:rFonts w:ascii="Times New Roman" w:eastAsia="Times New Roman" w:hAnsi="Times New Roman"/>
          <w:sz w:val="24"/>
          <w:szCs w:val="24"/>
        </w:rPr>
        <w:t>rozbudowę lub unowocześnienie istniejących systemów lub rozwiązań teleinformatycznych;</w:t>
      </w:r>
    </w:p>
    <w:p w14:paraId="1308C116" w14:textId="64702DD9" w:rsidR="00055118" w:rsidRPr="00CE6FCC" w:rsidRDefault="00055118" w:rsidP="00055118">
      <w:pPr>
        <w:suppressAutoHyphens/>
        <w:spacing w:line="360" w:lineRule="auto"/>
        <w:jc w:val="both"/>
        <w:rPr>
          <w:rFonts w:ascii="Times New Roman" w:eastAsia="Times New Roman" w:hAnsi="Times New Roman"/>
          <w:sz w:val="24"/>
          <w:szCs w:val="24"/>
        </w:rPr>
      </w:pPr>
      <w:r w:rsidRPr="00CE6FCC">
        <w:rPr>
          <w:rFonts w:ascii="Times New Roman" w:eastAsia="Times New Roman" w:hAnsi="Times New Roman"/>
          <w:sz w:val="24"/>
          <w:szCs w:val="24"/>
        </w:rPr>
        <w:t xml:space="preserve">3) </w:t>
      </w:r>
      <w:r w:rsidR="00032361">
        <w:rPr>
          <w:rFonts w:ascii="Times New Roman" w:eastAsia="Times New Roman" w:hAnsi="Times New Roman"/>
          <w:sz w:val="24"/>
          <w:szCs w:val="24"/>
        </w:rPr>
        <w:tab/>
      </w:r>
      <w:r w:rsidRPr="00CE6FCC">
        <w:rPr>
          <w:rFonts w:ascii="Times New Roman" w:eastAsia="Times New Roman" w:hAnsi="Times New Roman"/>
          <w:sz w:val="24"/>
          <w:szCs w:val="24"/>
        </w:rPr>
        <w:t>utrzymanie systemów lub rozwiązań teleinformatycznych.</w:t>
      </w:r>
    </w:p>
    <w:p w14:paraId="51E42CCD" w14:textId="29BFB13B" w:rsidR="00055118" w:rsidRPr="00CE6FCC" w:rsidRDefault="00055118" w:rsidP="00055118">
      <w:pPr>
        <w:suppressAutoHyphens/>
        <w:spacing w:after="120" w:line="360" w:lineRule="auto"/>
        <w:ind w:firstLine="567"/>
        <w:jc w:val="both"/>
        <w:rPr>
          <w:rFonts w:ascii="Times New Roman" w:eastAsia="Times New Roman" w:hAnsi="Times New Roman"/>
          <w:sz w:val="24"/>
          <w:szCs w:val="24"/>
        </w:rPr>
      </w:pPr>
      <w:r w:rsidRPr="00CE6FCC">
        <w:rPr>
          <w:rFonts w:ascii="Times New Roman" w:eastAsia="Times New Roman" w:hAnsi="Times New Roman"/>
          <w:sz w:val="24"/>
          <w:szCs w:val="24"/>
        </w:rPr>
        <w:t xml:space="preserve">Jednocześnie, w celu usprawnienia współpracy między instytucjami i organami publicznymi oraz zapewnienia sprawnej obsługi rolników i innych podmiotów, na rzecz których realizowane są zadania publiczne w zakresie działów administracji rządowej </w:t>
      </w:r>
      <w:r w:rsidR="00117A0C">
        <w:rPr>
          <w:rFonts w:ascii="Times New Roman" w:eastAsia="Times New Roman" w:hAnsi="Times New Roman"/>
          <w:sz w:val="24"/>
          <w:szCs w:val="24"/>
        </w:rPr>
        <w:t>–</w:t>
      </w:r>
      <w:r w:rsidRPr="00CE6FCC">
        <w:rPr>
          <w:rFonts w:ascii="Times New Roman" w:eastAsia="Times New Roman" w:hAnsi="Times New Roman"/>
          <w:sz w:val="24"/>
          <w:szCs w:val="24"/>
        </w:rPr>
        <w:t>rolnictwo, rozwój wsi, rynki rolne lub rybołówstwo, spółka będzie mogła realizować zadania o których mowa w ust. 1, na rzecz podmiotów innych niż Agencja.</w:t>
      </w:r>
    </w:p>
    <w:p w14:paraId="39979D13" w14:textId="1A213A80" w:rsidR="00055118" w:rsidRPr="002A77C6" w:rsidRDefault="00055118" w:rsidP="00055118">
      <w:pPr>
        <w:suppressAutoHyphens/>
        <w:spacing w:after="120" w:line="360" w:lineRule="auto"/>
        <w:ind w:firstLine="567"/>
        <w:jc w:val="both"/>
        <w:rPr>
          <w:rFonts w:ascii="Times New Roman" w:eastAsia="Times New Roman" w:hAnsi="Times New Roman"/>
          <w:sz w:val="24"/>
          <w:szCs w:val="24"/>
          <w:highlight w:val="yellow"/>
        </w:rPr>
      </w:pPr>
      <w:r w:rsidRPr="002A77C6">
        <w:rPr>
          <w:rFonts w:ascii="Times New Roman" w:eastAsia="Times New Roman" w:hAnsi="Times New Roman"/>
          <w:sz w:val="24"/>
          <w:szCs w:val="24"/>
        </w:rPr>
        <w:t>Spółka zatem będzie wykonywała zadania rozwojowe i utrzymaniowe w zakresie systemów informatycznych. Przewiduje się, że podstawowym obszarem działalności spółki będzie rozwój i utrzymanie systemów niezbędnych do realizacji zadań Agencji. W tym zakresie ten obszar działalności Agencji zostanie wydzielony i przeniesiony do podmiotu zewnętrznego, jakim jest spółka. Ponadto przewiduje się, że w razie zaistnienia takich potrzeb spółka będzie mogła realizować takie zadania również na rzecz innych podmiotów i organów, wykonujących zadania publiczne na rzecz rolników. Pozwoli to na usprawnienie i uelastycznienie procesów, przez ich skupienie w ramach wyspecjalizowanego podmiotu.</w:t>
      </w:r>
      <w:r w:rsidRPr="002A77C6">
        <w:rPr>
          <w:rFonts w:ascii="Times New Roman" w:eastAsia="Times New Roman" w:hAnsi="Times New Roman"/>
          <w:sz w:val="24"/>
          <w:szCs w:val="24"/>
          <w:highlight w:val="yellow"/>
        </w:rPr>
        <w:t xml:space="preserve"> </w:t>
      </w:r>
    </w:p>
    <w:p w14:paraId="0871AB43" w14:textId="77777777" w:rsidR="00055118" w:rsidRPr="002A77C6" w:rsidRDefault="00055118" w:rsidP="00055118">
      <w:pPr>
        <w:suppressAutoHyphens/>
        <w:spacing w:line="360" w:lineRule="auto"/>
        <w:ind w:firstLine="567"/>
        <w:jc w:val="both"/>
        <w:rPr>
          <w:rFonts w:ascii="Times New Roman" w:eastAsia="Times New Roman" w:hAnsi="Times New Roman"/>
          <w:sz w:val="24"/>
          <w:szCs w:val="24"/>
        </w:rPr>
      </w:pPr>
      <w:r w:rsidRPr="002A77C6">
        <w:rPr>
          <w:rFonts w:ascii="Times New Roman" w:eastAsia="Times New Roman" w:hAnsi="Times New Roman"/>
          <w:sz w:val="24"/>
          <w:szCs w:val="24"/>
        </w:rPr>
        <w:t xml:space="preserve">Spółka w szczególności zajmowałaby się tworzeniem oprogramowania, w tym: </w:t>
      </w:r>
    </w:p>
    <w:p w14:paraId="0BC3D627" w14:textId="09FE6E60" w:rsidR="00055118" w:rsidRPr="002A77C6" w:rsidRDefault="00055118" w:rsidP="00055118">
      <w:pPr>
        <w:suppressAutoHyphens/>
        <w:spacing w:line="360" w:lineRule="auto"/>
        <w:jc w:val="both"/>
        <w:rPr>
          <w:rFonts w:ascii="Times New Roman" w:eastAsia="Times New Roman" w:hAnsi="Times New Roman"/>
          <w:sz w:val="24"/>
          <w:szCs w:val="24"/>
        </w:rPr>
      </w:pPr>
      <w:r w:rsidRPr="002A77C6">
        <w:rPr>
          <w:rFonts w:ascii="Times New Roman" w:eastAsia="Times New Roman" w:hAnsi="Times New Roman"/>
          <w:sz w:val="24"/>
          <w:szCs w:val="24"/>
        </w:rPr>
        <w:t xml:space="preserve">1) projektowaniem, implementowaniem i modyfikowaniem aplikacji; </w:t>
      </w:r>
    </w:p>
    <w:p w14:paraId="72FB3B1B" w14:textId="77777777" w:rsidR="00055118" w:rsidRPr="002A77C6" w:rsidRDefault="00055118" w:rsidP="00055118">
      <w:pPr>
        <w:suppressAutoHyphens/>
        <w:spacing w:line="360" w:lineRule="auto"/>
        <w:jc w:val="both"/>
        <w:rPr>
          <w:rFonts w:ascii="Times New Roman" w:eastAsia="Times New Roman" w:hAnsi="Times New Roman"/>
          <w:sz w:val="24"/>
          <w:szCs w:val="24"/>
        </w:rPr>
      </w:pPr>
      <w:r w:rsidRPr="002A77C6">
        <w:rPr>
          <w:rFonts w:ascii="Times New Roman" w:eastAsia="Times New Roman" w:hAnsi="Times New Roman"/>
          <w:sz w:val="24"/>
          <w:szCs w:val="24"/>
        </w:rPr>
        <w:t>2) naprawą i usuwaniem wad w aplikacjach;</w:t>
      </w:r>
    </w:p>
    <w:p w14:paraId="2B1769B4" w14:textId="77777777" w:rsidR="00055118" w:rsidRPr="002A77C6" w:rsidRDefault="00055118" w:rsidP="00055118">
      <w:pPr>
        <w:suppressAutoHyphens/>
        <w:spacing w:line="360" w:lineRule="auto"/>
        <w:jc w:val="both"/>
        <w:rPr>
          <w:rFonts w:ascii="Times New Roman" w:eastAsia="Times New Roman" w:hAnsi="Times New Roman"/>
          <w:sz w:val="24"/>
          <w:szCs w:val="24"/>
        </w:rPr>
      </w:pPr>
      <w:r w:rsidRPr="002A77C6">
        <w:rPr>
          <w:rFonts w:ascii="Times New Roman" w:eastAsia="Times New Roman" w:hAnsi="Times New Roman"/>
          <w:sz w:val="24"/>
          <w:szCs w:val="24"/>
        </w:rPr>
        <w:t>3) przygotowaniem dokumentacji wytworzonych aplikacji oraz dokumentacji systemowej;</w:t>
      </w:r>
    </w:p>
    <w:p w14:paraId="3C3EF1A3" w14:textId="77777777" w:rsidR="00055118" w:rsidRPr="002A77C6" w:rsidRDefault="00055118" w:rsidP="00055118">
      <w:pPr>
        <w:suppressAutoHyphens/>
        <w:spacing w:line="360" w:lineRule="auto"/>
        <w:jc w:val="both"/>
        <w:rPr>
          <w:rFonts w:ascii="Times New Roman" w:eastAsia="Times New Roman" w:hAnsi="Times New Roman"/>
          <w:sz w:val="24"/>
          <w:szCs w:val="24"/>
        </w:rPr>
      </w:pPr>
      <w:r w:rsidRPr="002A77C6">
        <w:rPr>
          <w:rFonts w:ascii="Times New Roman" w:eastAsia="Times New Roman" w:hAnsi="Times New Roman"/>
          <w:sz w:val="24"/>
          <w:szCs w:val="24"/>
        </w:rPr>
        <w:t>4) generowaniem danych z baz źródłowych na potrzeby zleceniodawców;</w:t>
      </w:r>
    </w:p>
    <w:p w14:paraId="55C8CC7C" w14:textId="00DCFC05" w:rsidR="00055118" w:rsidRPr="002A77C6" w:rsidRDefault="00055118" w:rsidP="00055118">
      <w:pPr>
        <w:suppressAutoHyphens/>
        <w:spacing w:line="360" w:lineRule="auto"/>
        <w:jc w:val="both"/>
        <w:rPr>
          <w:rFonts w:ascii="Times New Roman" w:eastAsia="Times New Roman" w:hAnsi="Times New Roman"/>
          <w:sz w:val="24"/>
          <w:szCs w:val="24"/>
        </w:rPr>
      </w:pPr>
      <w:r w:rsidRPr="002A77C6">
        <w:rPr>
          <w:rFonts w:ascii="Times New Roman" w:eastAsia="Times New Roman" w:hAnsi="Times New Roman"/>
          <w:sz w:val="24"/>
          <w:szCs w:val="24"/>
        </w:rPr>
        <w:t>5) projektowaniem, tworzeniem, modyfikacją i optymalizacją systemów raportujących;</w:t>
      </w:r>
    </w:p>
    <w:p w14:paraId="13599BD3" w14:textId="77777777" w:rsidR="00055118" w:rsidRPr="002A77C6" w:rsidRDefault="00055118" w:rsidP="00032361">
      <w:pPr>
        <w:suppressAutoHyphens/>
        <w:spacing w:line="360" w:lineRule="auto"/>
        <w:ind w:left="284" w:hanging="284"/>
        <w:jc w:val="both"/>
        <w:rPr>
          <w:rFonts w:ascii="Times New Roman" w:eastAsia="Times New Roman" w:hAnsi="Times New Roman"/>
          <w:sz w:val="24"/>
          <w:szCs w:val="24"/>
        </w:rPr>
      </w:pPr>
      <w:r w:rsidRPr="002A77C6">
        <w:rPr>
          <w:rFonts w:ascii="Times New Roman" w:eastAsia="Times New Roman" w:hAnsi="Times New Roman"/>
          <w:sz w:val="24"/>
          <w:szCs w:val="24"/>
        </w:rPr>
        <w:t>6) testowaniem aplikacji (testy wydajnościowe, integracji i regresji dla wytwarzanego oprogramowania);</w:t>
      </w:r>
    </w:p>
    <w:p w14:paraId="6FBB9AE8" w14:textId="77777777" w:rsidR="00055118" w:rsidRPr="002A77C6" w:rsidRDefault="00055118" w:rsidP="00055118">
      <w:pPr>
        <w:suppressAutoHyphens/>
        <w:spacing w:line="360" w:lineRule="auto"/>
        <w:jc w:val="both"/>
        <w:rPr>
          <w:rFonts w:ascii="Times New Roman" w:eastAsia="Times New Roman" w:hAnsi="Times New Roman"/>
          <w:sz w:val="24"/>
          <w:szCs w:val="24"/>
        </w:rPr>
      </w:pPr>
      <w:r w:rsidRPr="002A77C6">
        <w:rPr>
          <w:rFonts w:ascii="Times New Roman" w:eastAsia="Times New Roman" w:hAnsi="Times New Roman"/>
          <w:sz w:val="24"/>
          <w:szCs w:val="24"/>
        </w:rPr>
        <w:t>7) opracowaniem scenariuszy i przypadków testowych.</w:t>
      </w:r>
    </w:p>
    <w:p w14:paraId="0B32AB66" w14:textId="46B18560" w:rsidR="00055118" w:rsidRPr="002A77C6" w:rsidRDefault="00055118" w:rsidP="00055118">
      <w:pPr>
        <w:suppressAutoHyphens/>
        <w:spacing w:after="120" w:line="360" w:lineRule="auto"/>
        <w:ind w:firstLine="567"/>
        <w:jc w:val="both"/>
        <w:rPr>
          <w:rFonts w:ascii="Times New Roman" w:eastAsia="Times New Roman" w:hAnsi="Times New Roman"/>
          <w:sz w:val="24"/>
          <w:szCs w:val="24"/>
        </w:rPr>
      </w:pPr>
      <w:r w:rsidRPr="002A77C6">
        <w:rPr>
          <w:rFonts w:ascii="Times New Roman" w:eastAsia="Times New Roman" w:hAnsi="Times New Roman"/>
          <w:sz w:val="24"/>
          <w:szCs w:val="24"/>
        </w:rPr>
        <w:t>Z uwagi na wdrażanie nowej perspektywy finansowej na lata 2021</w:t>
      </w:r>
      <w:r>
        <w:rPr>
          <w:rFonts w:ascii="Times New Roman" w:eastAsia="Times New Roman" w:hAnsi="Times New Roman"/>
          <w:sz w:val="24"/>
          <w:szCs w:val="24"/>
        </w:rPr>
        <w:t>–</w:t>
      </w:r>
      <w:r w:rsidRPr="002A77C6">
        <w:rPr>
          <w:rFonts w:ascii="Times New Roman" w:eastAsia="Times New Roman" w:hAnsi="Times New Roman"/>
          <w:sz w:val="24"/>
          <w:szCs w:val="24"/>
        </w:rPr>
        <w:t>2027, spółka realizowałaby zadania w zakresie stworzenia i wdrożenia, a następnie utrzymania systemu do obsługi Programu Rozwoju Obszarów Wiejskich na lata 2021</w:t>
      </w:r>
      <w:r>
        <w:rPr>
          <w:rFonts w:ascii="Times New Roman" w:eastAsia="Times New Roman" w:hAnsi="Times New Roman"/>
          <w:sz w:val="24"/>
          <w:szCs w:val="24"/>
        </w:rPr>
        <w:t>–</w:t>
      </w:r>
      <w:r w:rsidRPr="002A77C6">
        <w:rPr>
          <w:rFonts w:ascii="Times New Roman" w:eastAsia="Times New Roman" w:hAnsi="Times New Roman"/>
          <w:sz w:val="24"/>
          <w:szCs w:val="24"/>
        </w:rPr>
        <w:t xml:space="preserve">2027. Ponadto spółka </w:t>
      </w:r>
      <w:r w:rsidRPr="002A77C6">
        <w:rPr>
          <w:rFonts w:ascii="Times New Roman" w:eastAsia="Times New Roman" w:hAnsi="Times New Roman"/>
          <w:sz w:val="24"/>
          <w:szCs w:val="24"/>
        </w:rPr>
        <w:lastRenderedPageBreak/>
        <w:t xml:space="preserve">prowadziłaby prace w celu konsolidacji funkcjonalności w zakresie obsługiwanych przez Agencję wniosków o płatności obszarowe oraz płatności inwestycyjne. </w:t>
      </w:r>
    </w:p>
    <w:p w14:paraId="31E617EF" w14:textId="07CE09DC" w:rsidR="00055118" w:rsidRPr="002A77C6" w:rsidRDefault="00055118" w:rsidP="00055118">
      <w:pPr>
        <w:suppressAutoHyphens/>
        <w:spacing w:after="120" w:line="360" w:lineRule="auto"/>
        <w:ind w:firstLine="567"/>
        <w:jc w:val="both"/>
        <w:rPr>
          <w:rFonts w:ascii="Times New Roman" w:hAnsi="Times New Roman"/>
          <w:sz w:val="24"/>
          <w:szCs w:val="24"/>
        </w:rPr>
      </w:pPr>
      <w:r w:rsidRPr="002A77C6">
        <w:rPr>
          <w:rFonts w:ascii="Times New Roman" w:eastAsia="Times New Roman" w:hAnsi="Times New Roman"/>
          <w:sz w:val="24"/>
          <w:szCs w:val="24"/>
        </w:rPr>
        <w:t>Agencja</w:t>
      </w:r>
      <w:r w:rsidRPr="002A77C6">
        <w:rPr>
          <w:rFonts w:ascii="Times New Roman" w:hAnsi="Times New Roman"/>
          <w:sz w:val="24"/>
          <w:szCs w:val="24"/>
        </w:rPr>
        <w:t xml:space="preserve"> jest obecnie faktycznym centrum informatyki w obszarze rolnictwa. Posiada największe kompetencje w zakresie IT i biznesu, </w:t>
      </w:r>
      <w:r w:rsidR="00032361">
        <w:rPr>
          <w:rFonts w:ascii="Times New Roman" w:hAnsi="Times New Roman"/>
          <w:sz w:val="24"/>
          <w:szCs w:val="24"/>
        </w:rPr>
        <w:t>na</w:t>
      </w:r>
      <w:r w:rsidRPr="002A77C6">
        <w:rPr>
          <w:rFonts w:ascii="Times New Roman" w:hAnsi="Times New Roman"/>
          <w:sz w:val="24"/>
          <w:szCs w:val="24"/>
        </w:rPr>
        <w:t xml:space="preserve"> którego</w:t>
      </w:r>
      <w:r>
        <w:rPr>
          <w:rFonts w:ascii="Times New Roman" w:hAnsi="Times New Roman"/>
          <w:sz w:val="24"/>
          <w:szCs w:val="24"/>
        </w:rPr>
        <w:t xml:space="preserve"> potrzeb</w:t>
      </w:r>
      <w:r w:rsidR="00032361">
        <w:rPr>
          <w:rFonts w:ascii="Times New Roman" w:hAnsi="Times New Roman"/>
          <w:sz w:val="24"/>
          <w:szCs w:val="24"/>
        </w:rPr>
        <w:t>y</w:t>
      </w:r>
      <w:r w:rsidRPr="002A77C6">
        <w:rPr>
          <w:rFonts w:ascii="Times New Roman" w:hAnsi="Times New Roman"/>
          <w:sz w:val="24"/>
          <w:szCs w:val="24"/>
        </w:rPr>
        <w:t xml:space="preserve"> tworzone są nowe rozwiązania informatyczne. Agencja posiada również największy potencjał w zakresie tworzenia i utrzymywania oprogramowania. Do tej pory Agencja wykonała i wdrożyła takie systemy jak:</w:t>
      </w:r>
    </w:p>
    <w:p w14:paraId="63310849" w14:textId="0B275A7F" w:rsidR="00055118" w:rsidRPr="002A77C6" w:rsidRDefault="00055118" w:rsidP="00055118">
      <w:pPr>
        <w:widowControl/>
        <w:numPr>
          <w:ilvl w:val="0"/>
          <w:numId w:val="26"/>
        </w:numPr>
        <w:autoSpaceDE/>
        <w:autoSpaceDN/>
        <w:adjustRightInd/>
        <w:spacing w:line="360" w:lineRule="auto"/>
        <w:ind w:hanging="357"/>
        <w:jc w:val="both"/>
        <w:rPr>
          <w:rFonts w:ascii="Times New Roman" w:hAnsi="Times New Roman"/>
          <w:sz w:val="24"/>
          <w:szCs w:val="24"/>
        </w:rPr>
      </w:pPr>
      <w:r w:rsidRPr="002A77C6">
        <w:rPr>
          <w:rFonts w:ascii="Times New Roman" w:hAnsi="Times New Roman"/>
          <w:sz w:val="24"/>
          <w:szCs w:val="24"/>
        </w:rPr>
        <w:t>LIDER 14-20 (</w:t>
      </w:r>
      <w:r w:rsidR="002A77C6" w:rsidRPr="002A77C6">
        <w:rPr>
          <w:rFonts w:ascii="Times New Roman" w:hAnsi="Times New Roman"/>
          <w:sz w:val="24"/>
          <w:szCs w:val="24"/>
        </w:rPr>
        <w:t>Aplikacja</w:t>
      </w:r>
      <w:r w:rsidRPr="002A77C6">
        <w:rPr>
          <w:rFonts w:ascii="Times New Roman" w:hAnsi="Times New Roman"/>
          <w:sz w:val="24"/>
          <w:szCs w:val="24"/>
        </w:rPr>
        <w:t xml:space="preserve"> wspierająca obsługę:</w:t>
      </w:r>
    </w:p>
    <w:p w14:paraId="6B17B7E7" w14:textId="43EAAA4D" w:rsidR="00055118" w:rsidRPr="002A77C6" w:rsidRDefault="00055118" w:rsidP="00055118">
      <w:pPr>
        <w:widowControl/>
        <w:numPr>
          <w:ilvl w:val="1"/>
          <w:numId w:val="26"/>
        </w:numPr>
        <w:autoSpaceDE/>
        <w:autoSpaceDN/>
        <w:adjustRightInd/>
        <w:spacing w:line="360" w:lineRule="auto"/>
        <w:ind w:left="1134" w:hanging="357"/>
        <w:jc w:val="both"/>
        <w:rPr>
          <w:rFonts w:ascii="Times New Roman" w:hAnsi="Times New Roman"/>
          <w:sz w:val="24"/>
          <w:szCs w:val="24"/>
        </w:rPr>
      </w:pPr>
      <w:r w:rsidRPr="002A77C6">
        <w:rPr>
          <w:rFonts w:ascii="Times New Roman" w:hAnsi="Times New Roman"/>
          <w:sz w:val="24"/>
          <w:szCs w:val="24"/>
        </w:rPr>
        <w:t>Programu „Rybactwo i Morze” 2014</w:t>
      </w:r>
      <w:r>
        <w:rPr>
          <w:rFonts w:ascii="Times New Roman" w:hAnsi="Times New Roman"/>
          <w:sz w:val="24"/>
          <w:szCs w:val="24"/>
        </w:rPr>
        <w:t>–</w:t>
      </w:r>
      <w:r w:rsidRPr="002A77C6">
        <w:rPr>
          <w:rFonts w:ascii="Times New Roman" w:hAnsi="Times New Roman"/>
          <w:sz w:val="24"/>
          <w:szCs w:val="24"/>
        </w:rPr>
        <w:t>2020,</w:t>
      </w:r>
    </w:p>
    <w:p w14:paraId="07F6FB87" w14:textId="77777777" w:rsidR="00055118" w:rsidRPr="002A77C6" w:rsidRDefault="00055118" w:rsidP="00055118">
      <w:pPr>
        <w:widowControl/>
        <w:numPr>
          <w:ilvl w:val="1"/>
          <w:numId w:val="26"/>
        </w:numPr>
        <w:autoSpaceDE/>
        <w:autoSpaceDN/>
        <w:adjustRightInd/>
        <w:spacing w:line="360" w:lineRule="auto"/>
        <w:ind w:left="1134" w:hanging="357"/>
        <w:jc w:val="both"/>
        <w:rPr>
          <w:rFonts w:ascii="Times New Roman" w:hAnsi="Times New Roman"/>
          <w:sz w:val="24"/>
          <w:szCs w:val="24"/>
        </w:rPr>
      </w:pPr>
      <w:r w:rsidRPr="002A77C6">
        <w:rPr>
          <w:rFonts w:ascii="Times New Roman" w:hAnsi="Times New Roman"/>
          <w:sz w:val="24"/>
          <w:szCs w:val="24"/>
        </w:rPr>
        <w:t>Poddziałanie 4.2 – Wsparcie inwestycji w przetwarzanie produktów rolnych, obrót nimi lub ich rozwój</w:t>
      </w:r>
      <w:r>
        <w:rPr>
          <w:rFonts w:ascii="Times New Roman" w:hAnsi="Times New Roman"/>
          <w:sz w:val="24"/>
          <w:szCs w:val="24"/>
        </w:rPr>
        <w:t>,</w:t>
      </w:r>
    </w:p>
    <w:p w14:paraId="291C1F05" w14:textId="785666EF" w:rsidR="00055118" w:rsidRPr="002A77C6" w:rsidRDefault="00055118" w:rsidP="00055118">
      <w:pPr>
        <w:widowControl/>
        <w:numPr>
          <w:ilvl w:val="1"/>
          <w:numId w:val="26"/>
        </w:numPr>
        <w:autoSpaceDE/>
        <w:autoSpaceDN/>
        <w:adjustRightInd/>
        <w:spacing w:line="360" w:lineRule="auto"/>
        <w:ind w:left="1134" w:hanging="357"/>
        <w:jc w:val="both"/>
        <w:rPr>
          <w:rFonts w:ascii="Times New Roman" w:hAnsi="Times New Roman"/>
          <w:sz w:val="24"/>
          <w:szCs w:val="24"/>
        </w:rPr>
      </w:pPr>
      <w:r w:rsidRPr="002A77C6">
        <w:rPr>
          <w:rFonts w:ascii="Times New Roman" w:hAnsi="Times New Roman"/>
          <w:sz w:val="24"/>
          <w:szCs w:val="24"/>
        </w:rPr>
        <w:t xml:space="preserve">Poddziałanie 6.4 – Wsparcie inwestycji w tworzenie i rozwój działalności pozarolniczej typ Rozwój przedsiębiorczości </w:t>
      </w:r>
      <w:r>
        <w:rPr>
          <w:rFonts w:ascii="Times New Roman" w:hAnsi="Times New Roman"/>
          <w:sz w:val="24"/>
          <w:szCs w:val="24"/>
        </w:rPr>
        <w:t>–</w:t>
      </w:r>
      <w:r w:rsidRPr="002A77C6">
        <w:rPr>
          <w:rFonts w:ascii="Times New Roman" w:hAnsi="Times New Roman"/>
          <w:sz w:val="24"/>
          <w:szCs w:val="24"/>
        </w:rPr>
        <w:t xml:space="preserve"> Rozwój usług rolniczych,</w:t>
      </w:r>
    </w:p>
    <w:p w14:paraId="36DEC667" w14:textId="77777777" w:rsidR="00055118" w:rsidRPr="002A77C6" w:rsidRDefault="00055118" w:rsidP="00055118">
      <w:pPr>
        <w:widowControl/>
        <w:numPr>
          <w:ilvl w:val="1"/>
          <w:numId w:val="26"/>
        </w:numPr>
        <w:autoSpaceDE/>
        <w:autoSpaceDN/>
        <w:adjustRightInd/>
        <w:spacing w:line="360" w:lineRule="auto"/>
        <w:ind w:left="1134" w:hanging="357"/>
        <w:jc w:val="both"/>
        <w:rPr>
          <w:rFonts w:ascii="Times New Roman" w:hAnsi="Times New Roman"/>
          <w:sz w:val="24"/>
          <w:szCs w:val="24"/>
        </w:rPr>
      </w:pPr>
      <w:r w:rsidRPr="002A77C6">
        <w:rPr>
          <w:rFonts w:ascii="Times New Roman" w:hAnsi="Times New Roman"/>
          <w:sz w:val="24"/>
          <w:szCs w:val="24"/>
        </w:rPr>
        <w:t>Rejestr Lokalnych Grup Działania),</w:t>
      </w:r>
    </w:p>
    <w:p w14:paraId="1B6E311E" w14:textId="065CE9BC" w:rsidR="00055118" w:rsidRPr="002A77C6" w:rsidRDefault="00055118" w:rsidP="00055118">
      <w:pPr>
        <w:widowControl/>
        <w:numPr>
          <w:ilvl w:val="0"/>
          <w:numId w:val="26"/>
        </w:numPr>
        <w:autoSpaceDE/>
        <w:autoSpaceDN/>
        <w:adjustRightInd/>
        <w:spacing w:line="360" w:lineRule="auto"/>
        <w:ind w:hanging="357"/>
        <w:jc w:val="both"/>
        <w:rPr>
          <w:rFonts w:ascii="Times New Roman" w:hAnsi="Times New Roman"/>
          <w:sz w:val="24"/>
          <w:szCs w:val="24"/>
        </w:rPr>
      </w:pPr>
      <w:r w:rsidRPr="002A77C6">
        <w:rPr>
          <w:rFonts w:ascii="Times New Roman" w:hAnsi="Times New Roman"/>
          <w:sz w:val="24"/>
          <w:szCs w:val="24"/>
        </w:rPr>
        <w:t>PuE (</w:t>
      </w:r>
      <w:r w:rsidR="002A77C6" w:rsidRPr="002A77C6">
        <w:rPr>
          <w:rFonts w:ascii="Times New Roman" w:hAnsi="Times New Roman"/>
          <w:sz w:val="24"/>
          <w:szCs w:val="24"/>
        </w:rPr>
        <w:t>Platforma</w:t>
      </w:r>
      <w:r w:rsidRPr="002A77C6">
        <w:rPr>
          <w:rFonts w:ascii="Times New Roman" w:hAnsi="Times New Roman"/>
          <w:sz w:val="24"/>
          <w:szCs w:val="24"/>
        </w:rPr>
        <w:t xml:space="preserve"> usług elektronicznych, za pomocą której </w:t>
      </w:r>
      <w:r w:rsidR="00032361">
        <w:rPr>
          <w:rFonts w:ascii="Times New Roman" w:hAnsi="Times New Roman"/>
          <w:sz w:val="24"/>
          <w:szCs w:val="24"/>
        </w:rPr>
        <w:t>b</w:t>
      </w:r>
      <w:r w:rsidR="002A77C6" w:rsidRPr="002A77C6">
        <w:rPr>
          <w:rFonts w:ascii="Times New Roman" w:hAnsi="Times New Roman"/>
          <w:sz w:val="24"/>
          <w:szCs w:val="24"/>
        </w:rPr>
        <w:t>eneficjent</w:t>
      </w:r>
      <w:r w:rsidRPr="002A77C6">
        <w:rPr>
          <w:rFonts w:ascii="Times New Roman" w:hAnsi="Times New Roman"/>
          <w:sz w:val="24"/>
          <w:szCs w:val="24"/>
        </w:rPr>
        <w:t xml:space="preserve"> będzie mógł załatwiać wszelkie sprawy związane z dopłatami przez Internet, bez wychodzenia z domu i również poza godzinami pracy Agencji) – w budowie,</w:t>
      </w:r>
    </w:p>
    <w:p w14:paraId="6D5EFB40" w14:textId="5E8D2D05" w:rsidR="00055118" w:rsidRPr="002A77C6" w:rsidRDefault="00055118" w:rsidP="00055118">
      <w:pPr>
        <w:widowControl/>
        <w:numPr>
          <w:ilvl w:val="0"/>
          <w:numId w:val="26"/>
        </w:numPr>
        <w:autoSpaceDE/>
        <w:autoSpaceDN/>
        <w:adjustRightInd/>
        <w:spacing w:line="360" w:lineRule="auto"/>
        <w:ind w:hanging="357"/>
        <w:jc w:val="both"/>
        <w:rPr>
          <w:rFonts w:ascii="Times New Roman" w:hAnsi="Times New Roman"/>
          <w:sz w:val="24"/>
          <w:szCs w:val="24"/>
        </w:rPr>
      </w:pPr>
      <w:r w:rsidRPr="002A77C6">
        <w:rPr>
          <w:rFonts w:ascii="Times New Roman" w:hAnsi="Times New Roman"/>
          <w:sz w:val="24"/>
          <w:szCs w:val="24"/>
        </w:rPr>
        <w:t>Zintegrowany System Kontroli (</w:t>
      </w:r>
      <w:r w:rsidR="002A77C6" w:rsidRPr="002A77C6">
        <w:rPr>
          <w:rFonts w:ascii="Times New Roman" w:hAnsi="Times New Roman"/>
          <w:sz w:val="24"/>
          <w:szCs w:val="24"/>
        </w:rPr>
        <w:t>Aplikacja</w:t>
      </w:r>
      <w:r w:rsidRPr="002A77C6">
        <w:rPr>
          <w:rFonts w:ascii="Times New Roman" w:hAnsi="Times New Roman"/>
          <w:sz w:val="24"/>
          <w:szCs w:val="24"/>
        </w:rPr>
        <w:t xml:space="preserve"> wspierająca proces kontroli wniosków pomocowych),</w:t>
      </w:r>
    </w:p>
    <w:p w14:paraId="6FD9BEA8" w14:textId="0803EE6B" w:rsidR="00055118" w:rsidRPr="002A77C6" w:rsidRDefault="00055118" w:rsidP="00055118">
      <w:pPr>
        <w:widowControl/>
        <w:numPr>
          <w:ilvl w:val="0"/>
          <w:numId w:val="26"/>
        </w:numPr>
        <w:autoSpaceDE/>
        <w:autoSpaceDN/>
        <w:adjustRightInd/>
        <w:spacing w:line="360" w:lineRule="auto"/>
        <w:ind w:hanging="357"/>
        <w:jc w:val="both"/>
        <w:rPr>
          <w:rFonts w:ascii="Times New Roman" w:hAnsi="Times New Roman"/>
          <w:sz w:val="24"/>
          <w:szCs w:val="24"/>
        </w:rPr>
      </w:pPr>
      <w:r w:rsidRPr="002A77C6">
        <w:rPr>
          <w:rFonts w:ascii="Times New Roman" w:hAnsi="Times New Roman"/>
          <w:sz w:val="24"/>
          <w:szCs w:val="24"/>
        </w:rPr>
        <w:t>MIT (</w:t>
      </w:r>
      <w:r w:rsidR="002A77C6" w:rsidRPr="002A77C6">
        <w:rPr>
          <w:rFonts w:ascii="Times New Roman" w:hAnsi="Times New Roman"/>
          <w:sz w:val="24"/>
          <w:szCs w:val="24"/>
        </w:rPr>
        <w:t>Aplikacja</w:t>
      </w:r>
      <w:r w:rsidRPr="002A77C6">
        <w:rPr>
          <w:rFonts w:ascii="Times New Roman" w:hAnsi="Times New Roman"/>
          <w:sz w:val="24"/>
          <w:szCs w:val="24"/>
        </w:rPr>
        <w:t xml:space="preserve"> zapewnia wsparcie  podczas realizacji kontroli wykonywanych przez pracowników Biur Kontroli na </w:t>
      </w:r>
      <w:r w:rsidR="002A77C6" w:rsidRPr="002A77C6">
        <w:rPr>
          <w:rFonts w:ascii="Times New Roman" w:hAnsi="Times New Roman"/>
          <w:sz w:val="24"/>
          <w:szCs w:val="24"/>
        </w:rPr>
        <w:t>Miejscu</w:t>
      </w:r>
      <w:r w:rsidRPr="002A77C6">
        <w:rPr>
          <w:rFonts w:ascii="Times New Roman" w:hAnsi="Times New Roman"/>
          <w:sz w:val="24"/>
          <w:szCs w:val="24"/>
        </w:rPr>
        <w:t>; w ramach aplikacji możliwy jest: pomiar, wizualizacja, wypełniania i generowania xml oraz walidacji wyników kontroli),</w:t>
      </w:r>
    </w:p>
    <w:p w14:paraId="0F742F57" w14:textId="7A83A5EB" w:rsidR="00055118" w:rsidRPr="002A77C6" w:rsidRDefault="00055118" w:rsidP="00055118">
      <w:pPr>
        <w:widowControl/>
        <w:numPr>
          <w:ilvl w:val="0"/>
          <w:numId w:val="26"/>
        </w:numPr>
        <w:autoSpaceDE/>
        <w:autoSpaceDN/>
        <w:adjustRightInd/>
        <w:spacing w:line="360" w:lineRule="auto"/>
        <w:ind w:hanging="357"/>
        <w:jc w:val="both"/>
        <w:rPr>
          <w:rFonts w:ascii="Times New Roman" w:hAnsi="Times New Roman"/>
          <w:sz w:val="24"/>
          <w:szCs w:val="24"/>
        </w:rPr>
      </w:pPr>
      <w:r w:rsidRPr="002A77C6">
        <w:rPr>
          <w:rFonts w:ascii="Times New Roman" w:hAnsi="Times New Roman"/>
          <w:sz w:val="24"/>
          <w:szCs w:val="24"/>
        </w:rPr>
        <w:t>Utylizator (</w:t>
      </w:r>
      <w:r w:rsidR="002A77C6" w:rsidRPr="002A77C6">
        <w:rPr>
          <w:rFonts w:ascii="Times New Roman" w:hAnsi="Times New Roman"/>
          <w:sz w:val="24"/>
          <w:szCs w:val="24"/>
        </w:rPr>
        <w:t>Aplikacja</w:t>
      </w:r>
      <w:r w:rsidRPr="002A77C6">
        <w:rPr>
          <w:rFonts w:ascii="Times New Roman" w:hAnsi="Times New Roman"/>
          <w:sz w:val="24"/>
          <w:szCs w:val="24"/>
        </w:rPr>
        <w:t xml:space="preserve"> służąca do kompleksowej obsługi wniosków o finasowanie lub dofinasowanie kosztów utylizacji padłych zwierząt, wnioski składane w wersji elektronicznej),</w:t>
      </w:r>
    </w:p>
    <w:p w14:paraId="7748DD44" w14:textId="625A7B9F" w:rsidR="00055118" w:rsidRPr="002A77C6" w:rsidRDefault="00055118" w:rsidP="00055118">
      <w:pPr>
        <w:widowControl/>
        <w:numPr>
          <w:ilvl w:val="0"/>
          <w:numId w:val="26"/>
        </w:numPr>
        <w:autoSpaceDE/>
        <w:autoSpaceDN/>
        <w:adjustRightInd/>
        <w:spacing w:line="360" w:lineRule="auto"/>
        <w:ind w:hanging="357"/>
        <w:jc w:val="both"/>
        <w:rPr>
          <w:rFonts w:ascii="Times New Roman" w:hAnsi="Times New Roman"/>
          <w:sz w:val="24"/>
          <w:szCs w:val="24"/>
        </w:rPr>
      </w:pPr>
      <w:r w:rsidRPr="002A77C6">
        <w:rPr>
          <w:rFonts w:ascii="Times New Roman" w:hAnsi="Times New Roman"/>
          <w:sz w:val="24"/>
          <w:szCs w:val="24"/>
        </w:rPr>
        <w:t xml:space="preserve">Rejestr </w:t>
      </w:r>
      <w:r w:rsidR="002A77C6" w:rsidRPr="002A77C6">
        <w:rPr>
          <w:rFonts w:ascii="Times New Roman" w:hAnsi="Times New Roman"/>
          <w:sz w:val="24"/>
          <w:szCs w:val="24"/>
        </w:rPr>
        <w:t>Podmioty (Aplikacja</w:t>
      </w:r>
      <w:r w:rsidRPr="002A77C6">
        <w:rPr>
          <w:rFonts w:ascii="Times New Roman" w:hAnsi="Times New Roman"/>
          <w:sz w:val="24"/>
          <w:szCs w:val="24"/>
        </w:rPr>
        <w:t xml:space="preserve">, która będzie integrowała dane o wszystkich podmiotach </w:t>
      </w:r>
      <w:r w:rsidR="002A77C6" w:rsidRPr="002A77C6">
        <w:rPr>
          <w:rFonts w:ascii="Times New Roman" w:hAnsi="Times New Roman"/>
          <w:sz w:val="24"/>
          <w:szCs w:val="24"/>
        </w:rPr>
        <w:t>ARiMR</w:t>
      </w:r>
      <w:r w:rsidRPr="002A77C6">
        <w:rPr>
          <w:rFonts w:ascii="Times New Roman" w:hAnsi="Times New Roman"/>
          <w:sz w:val="24"/>
          <w:szCs w:val="24"/>
        </w:rPr>
        <w:t xml:space="preserve"> z </w:t>
      </w:r>
      <w:r w:rsidR="002A77C6" w:rsidRPr="002A77C6">
        <w:rPr>
          <w:rFonts w:ascii="Times New Roman" w:hAnsi="Times New Roman"/>
          <w:sz w:val="24"/>
          <w:szCs w:val="24"/>
        </w:rPr>
        <w:t xml:space="preserve">następujących </w:t>
      </w:r>
      <w:r w:rsidRPr="002A77C6">
        <w:rPr>
          <w:rFonts w:ascii="Times New Roman" w:hAnsi="Times New Roman"/>
          <w:sz w:val="24"/>
          <w:szCs w:val="24"/>
        </w:rPr>
        <w:t>obecnych systemów:</w:t>
      </w:r>
    </w:p>
    <w:p w14:paraId="415D708A" w14:textId="03FEF655" w:rsidR="00055118" w:rsidRPr="002A77C6" w:rsidRDefault="002A77C6" w:rsidP="00055118">
      <w:pPr>
        <w:widowControl/>
        <w:numPr>
          <w:ilvl w:val="1"/>
          <w:numId w:val="26"/>
        </w:numPr>
        <w:autoSpaceDE/>
        <w:autoSpaceDN/>
        <w:adjustRightInd/>
        <w:spacing w:line="360" w:lineRule="auto"/>
        <w:ind w:left="1134" w:hanging="357"/>
        <w:jc w:val="both"/>
        <w:rPr>
          <w:rFonts w:ascii="Times New Roman" w:hAnsi="Times New Roman"/>
          <w:sz w:val="24"/>
          <w:szCs w:val="24"/>
        </w:rPr>
      </w:pPr>
      <w:r w:rsidRPr="002A77C6">
        <w:rPr>
          <w:rFonts w:ascii="Times New Roman" w:hAnsi="Times New Roman"/>
          <w:sz w:val="24"/>
          <w:szCs w:val="24"/>
        </w:rPr>
        <w:t>Dane</w:t>
      </w:r>
      <w:r w:rsidR="00055118" w:rsidRPr="002A77C6">
        <w:rPr>
          <w:rFonts w:ascii="Times New Roman" w:hAnsi="Times New Roman"/>
          <w:sz w:val="24"/>
          <w:szCs w:val="24"/>
        </w:rPr>
        <w:t xml:space="preserve"> producentów i podmiotów, małżonków producenta, współmałżonków beneficjenta, współposiadaczy gospodarstwa rolnego, wspólników, pełnomocników, reprezentantów, spadkobierców, organizacji producentów, członków organizacji niebędących producentem, przejmujących działki, windykowanych,</w:t>
      </w:r>
    </w:p>
    <w:p w14:paraId="38B33B45" w14:textId="0524C74B" w:rsidR="00055118" w:rsidRPr="002A77C6" w:rsidRDefault="00055118" w:rsidP="00055118">
      <w:pPr>
        <w:widowControl/>
        <w:numPr>
          <w:ilvl w:val="1"/>
          <w:numId w:val="26"/>
        </w:numPr>
        <w:autoSpaceDE/>
        <w:autoSpaceDN/>
        <w:adjustRightInd/>
        <w:spacing w:line="360" w:lineRule="auto"/>
        <w:ind w:left="1134" w:hanging="357"/>
        <w:jc w:val="both"/>
        <w:rPr>
          <w:rFonts w:ascii="Times New Roman" w:hAnsi="Times New Roman"/>
          <w:sz w:val="24"/>
          <w:szCs w:val="24"/>
        </w:rPr>
      </w:pPr>
      <w:r w:rsidRPr="002A77C6">
        <w:rPr>
          <w:rFonts w:ascii="Times New Roman" w:hAnsi="Times New Roman"/>
          <w:sz w:val="24"/>
          <w:szCs w:val="24"/>
        </w:rPr>
        <w:lastRenderedPageBreak/>
        <w:t>Kół Gospodyń Wiejskich oraz ubiegających się o wpis do Krajowego Rejestru Kół Gospodyń Wiejskich,</w:t>
      </w:r>
    </w:p>
    <w:p w14:paraId="4EF59770" w14:textId="357F763D" w:rsidR="00055118" w:rsidRPr="002A77C6" w:rsidRDefault="002A77C6" w:rsidP="00055118">
      <w:pPr>
        <w:widowControl/>
        <w:numPr>
          <w:ilvl w:val="1"/>
          <w:numId w:val="26"/>
        </w:numPr>
        <w:autoSpaceDE/>
        <w:autoSpaceDN/>
        <w:adjustRightInd/>
        <w:spacing w:line="360" w:lineRule="auto"/>
        <w:ind w:left="1134" w:hanging="357"/>
        <w:jc w:val="both"/>
        <w:rPr>
          <w:rFonts w:ascii="Times New Roman" w:hAnsi="Times New Roman"/>
          <w:sz w:val="24"/>
          <w:szCs w:val="24"/>
        </w:rPr>
      </w:pPr>
      <w:r w:rsidRPr="002A77C6">
        <w:rPr>
          <w:rFonts w:ascii="Times New Roman" w:hAnsi="Times New Roman"/>
          <w:sz w:val="24"/>
          <w:szCs w:val="24"/>
        </w:rPr>
        <w:t>Dane</w:t>
      </w:r>
      <w:r w:rsidR="00055118" w:rsidRPr="002A77C6">
        <w:rPr>
          <w:rFonts w:ascii="Times New Roman" w:hAnsi="Times New Roman"/>
          <w:sz w:val="24"/>
          <w:szCs w:val="24"/>
        </w:rPr>
        <w:t xml:space="preserve"> Podmiotów Wykluczonych, tj.</w:t>
      </w:r>
      <w:r w:rsidR="00855328">
        <w:rPr>
          <w:rFonts w:ascii="Times New Roman" w:hAnsi="Times New Roman"/>
          <w:sz w:val="24"/>
          <w:szCs w:val="24"/>
        </w:rPr>
        <w:t>,</w:t>
      </w:r>
      <w:r w:rsidR="00055118" w:rsidRPr="002A77C6">
        <w:rPr>
          <w:rFonts w:ascii="Times New Roman" w:hAnsi="Times New Roman"/>
          <w:sz w:val="24"/>
          <w:szCs w:val="24"/>
        </w:rPr>
        <w:t xml:space="preserve"> czy podmiot jest wykluczony i w zakresie jakich programów pomocowych,</w:t>
      </w:r>
    </w:p>
    <w:p w14:paraId="3EBF8791" w14:textId="75E7CAB0" w:rsidR="00055118" w:rsidRPr="002A77C6" w:rsidRDefault="002A77C6" w:rsidP="00055118">
      <w:pPr>
        <w:widowControl/>
        <w:numPr>
          <w:ilvl w:val="1"/>
          <w:numId w:val="26"/>
        </w:numPr>
        <w:autoSpaceDE/>
        <w:autoSpaceDN/>
        <w:adjustRightInd/>
        <w:spacing w:line="360" w:lineRule="auto"/>
        <w:ind w:left="1134" w:hanging="357"/>
        <w:jc w:val="both"/>
        <w:rPr>
          <w:rFonts w:ascii="Times New Roman" w:hAnsi="Times New Roman"/>
          <w:sz w:val="24"/>
          <w:szCs w:val="24"/>
        </w:rPr>
      </w:pPr>
      <w:r w:rsidRPr="002A77C6">
        <w:rPr>
          <w:rFonts w:ascii="Times New Roman" w:hAnsi="Times New Roman"/>
          <w:sz w:val="24"/>
          <w:szCs w:val="24"/>
        </w:rPr>
        <w:t>Dane Grup i Organizacji Producentów</w:t>
      </w:r>
      <w:r w:rsidR="00055118" w:rsidRPr="002A77C6">
        <w:rPr>
          <w:rFonts w:ascii="Times New Roman" w:hAnsi="Times New Roman"/>
          <w:sz w:val="24"/>
          <w:szCs w:val="24"/>
        </w:rPr>
        <w:t xml:space="preserve">, w tym grup producentów rolnych i ich związków, organizacji producentów owoców i warzyw i ich zrzeszeń, </w:t>
      </w:r>
      <w:r w:rsidR="00855328">
        <w:rPr>
          <w:rFonts w:ascii="Times New Roman" w:hAnsi="Times New Roman"/>
          <w:sz w:val="24"/>
          <w:szCs w:val="24"/>
        </w:rPr>
        <w:t>o</w:t>
      </w:r>
      <w:r w:rsidRPr="002A77C6">
        <w:rPr>
          <w:rFonts w:ascii="Times New Roman" w:hAnsi="Times New Roman"/>
          <w:sz w:val="24"/>
          <w:szCs w:val="24"/>
        </w:rPr>
        <w:t>rganizacji</w:t>
      </w:r>
      <w:r w:rsidR="00055118" w:rsidRPr="002A77C6">
        <w:rPr>
          <w:rFonts w:ascii="Times New Roman" w:hAnsi="Times New Roman"/>
          <w:sz w:val="24"/>
          <w:szCs w:val="24"/>
        </w:rPr>
        <w:t xml:space="preserve"> producentów i ich zrzeszeń funkcjonujących na rynku mleka i przetworów mlecznych oraz niektórych rynkach,</w:t>
      </w:r>
    </w:p>
    <w:p w14:paraId="54C0A462" w14:textId="255229A9" w:rsidR="00055118" w:rsidRPr="002A77C6" w:rsidRDefault="00055118" w:rsidP="00055118">
      <w:pPr>
        <w:widowControl/>
        <w:numPr>
          <w:ilvl w:val="0"/>
          <w:numId w:val="26"/>
        </w:numPr>
        <w:autoSpaceDE/>
        <w:autoSpaceDN/>
        <w:adjustRightInd/>
        <w:spacing w:line="360" w:lineRule="auto"/>
        <w:ind w:hanging="357"/>
        <w:jc w:val="both"/>
        <w:rPr>
          <w:rFonts w:ascii="Times New Roman" w:hAnsi="Times New Roman"/>
          <w:sz w:val="24"/>
          <w:szCs w:val="24"/>
        </w:rPr>
      </w:pPr>
      <w:r w:rsidRPr="002A77C6">
        <w:rPr>
          <w:rFonts w:ascii="Times New Roman" w:hAnsi="Times New Roman"/>
          <w:sz w:val="24"/>
          <w:szCs w:val="24"/>
        </w:rPr>
        <w:t>LSI 2020 (</w:t>
      </w:r>
      <w:r w:rsidR="002A77C6" w:rsidRPr="002A77C6">
        <w:rPr>
          <w:rFonts w:ascii="Times New Roman" w:hAnsi="Times New Roman"/>
          <w:sz w:val="24"/>
          <w:szCs w:val="24"/>
        </w:rPr>
        <w:t>Aplikacja</w:t>
      </w:r>
      <w:r w:rsidRPr="002A77C6">
        <w:rPr>
          <w:rFonts w:ascii="Times New Roman" w:hAnsi="Times New Roman"/>
          <w:sz w:val="24"/>
          <w:szCs w:val="24"/>
        </w:rPr>
        <w:t xml:space="preserve"> wspiera realizację działania nr 20 „Pomoc Techniczna” w ramach PROW 2014</w:t>
      </w:r>
      <w:r>
        <w:rPr>
          <w:rFonts w:ascii="Times New Roman" w:hAnsi="Times New Roman"/>
          <w:sz w:val="24"/>
          <w:szCs w:val="24"/>
        </w:rPr>
        <w:t>–</w:t>
      </w:r>
      <w:r w:rsidRPr="002A77C6">
        <w:rPr>
          <w:rFonts w:ascii="Times New Roman" w:hAnsi="Times New Roman"/>
          <w:sz w:val="24"/>
          <w:szCs w:val="24"/>
        </w:rPr>
        <w:t>2020),</w:t>
      </w:r>
    </w:p>
    <w:p w14:paraId="7D6F3437" w14:textId="38C2BC35" w:rsidR="00055118" w:rsidRPr="002A77C6" w:rsidRDefault="00055118" w:rsidP="00055118">
      <w:pPr>
        <w:widowControl/>
        <w:numPr>
          <w:ilvl w:val="0"/>
          <w:numId w:val="26"/>
        </w:numPr>
        <w:autoSpaceDE/>
        <w:autoSpaceDN/>
        <w:adjustRightInd/>
        <w:spacing w:line="360" w:lineRule="auto"/>
        <w:ind w:hanging="357"/>
        <w:jc w:val="both"/>
        <w:rPr>
          <w:rFonts w:ascii="Times New Roman" w:hAnsi="Times New Roman"/>
          <w:sz w:val="24"/>
          <w:szCs w:val="24"/>
        </w:rPr>
      </w:pPr>
      <w:r w:rsidRPr="002A77C6">
        <w:rPr>
          <w:rFonts w:ascii="Times New Roman" w:hAnsi="Times New Roman"/>
          <w:sz w:val="24"/>
          <w:szCs w:val="24"/>
        </w:rPr>
        <w:t>Portal Ogłoszeń (</w:t>
      </w:r>
      <w:r w:rsidR="002A77C6" w:rsidRPr="002A77C6">
        <w:rPr>
          <w:rFonts w:ascii="Times New Roman" w:hAnsi="Times New Roman"/>
          <w:sz w:val="24"/>
          <w:szCs w:val="24"/>
        </w:rPr>
        <w:t>Aplikacja</w:t>
      </w:r>
      <w:r w:rsidRPr="002A77C6">
        <w:rPr>
          <w:rFonts w:ascii="Times New Roman" w:hAnsi="Times New Roman"/>
          <w:sz w:val="24"/>
          <w:szCs w:val="24"/>
        </w:rPr>
        <w:t xml:space="preserve"> Portal Ogłoszeń została utworzona w celu zapewnienia </w:t>
      </w:r>
      <w:r w:rsidR="00855328">
        <w:rPr>
          <w:rFonts w:ascii="Times New Roman" w:hAnsi="Times New Roman"/>
          <w:sz w:val="24"/>
          <w:szCs w:val="24"/>
        </w:rPr>
        <w:t>w</w:t>
      </w:r>
      <w:r w:rsidR="002A77C6" w:rsidRPr="002A77C6">
        <w:rPr>
          <w:rFonts w:ascii="Times New Roman" w:hAnsi="Times New Roman"/>
          <w:sz w:val="24"/>
          <w:szCs w:val="24"/>
        </w:rPr>
        <w:t>nioskodawcom/</w:t>
      </w:r>
      <w:r w:rsidR="00855328">
        <w:rPr>
          <w:rFonts w:ascii="Times New Roman" w:hAnsi="Times New Roman"/>
          <w:sz w:val="24"/>
          <w:szCs w:val="24"/>
        </w:rPr>
        <w:t>b</w:t>
      </w:r>
      <w:r w:rsidR="002A77C6" w:rsidRPr="002A77C6">
        <w:rPr>
          <w:rFonts w:ascii="Times New Roman" w:hAnsi="Times New Roman"/>
          <w:sz w:val="24"/>
          <w:szCs w:val="24"/>
        </w:rPr>
        <w:t>eneficjentom</w:t>
      </w:r>
      <w:r w:rsidRPr="002A77C6">
        <w:rPr>
          <w:rFonts w:ascii="Times New Roman" w:hAnsi="Times New Roman"/>
          <w:sz w:val="24"/>
          <w:szCs w:val="24"/>
        </w:rPr>
        <w:t xml:space="preserve"> PROW 2014</w:t>
      </w:r>
      <w:r>
        <w:rPr>
          <w:rFonts w:ascii="Times New Roman" w:hAnsi="Times New Roman"/>
          <w:sz w:val="24"/>
          <w:szCs w:val="24"/>
        </w:rPr>
        <w:t>–</w:t>
      </w:r>
      <w:r w:rsidRPr="002A77C6">
        <w:rPr>
          <w:rFonts w:ascii="Times New Roman" w:hAnsi="Times New Roman"/>
          <w:sz w:val="24"/>
          <w:szCs w:val="24"/>
        </w:rPr>
        <w:t>2020 możliwości wywiązania się z obowiązku wyboru oferty w trybie konkurencyjnym),</w:t>
      </w:r>
    </w:p>
    <w:p w14:paraId="2E332269" w14:textId="52AAE919" w:rsidR="00055118" w:rsidRPr="002A77C6" w:rsidRDefault="00055118" w:rsidP="00055118">
      <w:pPr>
        <w:widowControl/>
        <w:numPr>
          <w:ilvl w:val="0"/>
          <w:numId w:val="26"/>
        </w:numPr>
        <w:autoSpaceDE/>
        <w:autoSpaceDN/>
        <w:adjustRightInd/>
        <w:spacing w:line="360" w:lineRule="auto"/>
        <w:ind w:hanging="357"/>
        <w:jc w:val="both"/>
        <w:rPr>
          <w:rFonts w:ascii="Times New Roman" w:hAnsi="Times New Roman"/>
          <w:sz w:val="24"/>
          <w:szCs w:val="24"/>
        </w:rPr>
      </w:pPr>
      <w:r w:rsidRPr="002A77C6">
        <w:rPr>
          <w:rFonts w:ascii="Times New Roman" w:hAnsi="Times New Roman"/>
          <w:sz w:val="24"/>
          <w:szCs w:val="24"/>
        </w:rPr>
        <w:t>TOMATO2 (</w:t>
      </w:r>
      <w:r w:rsidR="002A77C6" w:rsidRPr="002A77C6">
        <w:rPr>
          <w:rFonts w:ascii="Times New Roman" w:hAnsi="Times New Roman"/>
          <w:sz w:val="24"/>
          <w:szCs w:val="24"/>
        </w:rPr>
        <w:t>Rejestr</w:t>
      </w:r>
      <w:r w:rsidRPr="002A77C6">
        <w:rPr>
          <w:rFonts w:ascii="Times New Roman" w:hAnsi="Times New Roman"/>
          <w:sz w:val="24"/>
          <w:szCs w:val="24"/>
        </w:rPr>
        <w:t xml:space="preserve"> wstępnie uznanych grup producentów, uznanych organizacji producentów i ich zrzeszeń oraz ponadnarodowych organizacji producentów i ich zrzeszeń),</w:t>
      </w:r>
    </w:p>
    <w:p w14:paraId="7ABBD681" w14:textId="530EC324" w:rsidR="00055118" w:rsidRPr="002A77C6" w:rsidRDefault="00055118" w:rsidP="00055118">
      <w:pPr>
        <w:widowControl/>
        <w:numPr>
          <w:ilvl w:val="0"/>
          <w:numId w:val="26"/>
        </w:numPr>
        <w:autoSpaceDE/>
        <w:autoSpaceDN/>
        <w:adjustRightInd/>
        <w:spacing w:line="360" w:lineRule="auto"/>
        <w:ind w:hanging="357"/>
        <w:jc w:val="both"/>
        <w:rPr>
          <w:rFonts w:ascii="Times New Roman" w:hAnsi="Times New Roman"/>
          <w:sz w:val="24"/>
          <w:szCs w:val="24"/>
        </w:rPr>
      </w:pPr>
      <w:r w:rsidRPr="002A77C6">
        <w:rPr>
          <w:rFonts w:ascii="Times New Roman" w:hAnsi="Times New Roman"/>
          <w:sz w:val="24"/>
          <w:szCs w:val="24"/>
        </w:rPr>
        <w:t>KGW (</w:t>
      </w:r>
      <w:r w:rsidR="002A77C6" w:rsidRPr="002A77C6">
        <w:rPr>
          <w:rFonts w:ascii="Times New Roman" w:hAnsi="Times New Roman"/>
          <w:sz w:val="24"/>
          <w:szCs w:val="24"/>
        </w:rPr>
        <w:t>Aplikacja</w:t>
      </w:r>
      <w:r w:rsidRPr="002A77C6">
        <w:rPr>
          <w:rFonts w:ascii="Times New Roman" w:hAnsi="Times New Roman"/>
          <w:sz w:val="24"/>
          <w:szCs w:val="24"/>
        </w:rPr>
        <w:t xml:space="preserve"> zapewnia obsługę rejestru kół gospodyń wiejskich w zakresie rejestracji kół, jak i obsługi wniosków o płatność),</w:t>
      </w:r>
    </w:p>
    <w:p w14:paraId="13211431" w14:textId="7CB80D03" w:rsidR="00055118" w:rsidRPr="002A77C6" w:rsidRDefault="00055118" w:rsidP="00055118">
      <w:pPr>
        <w:widowControl/>
        <w:numPr>
          <w:ilvl w:val="0"/>
          <w:numId w:val="26"/>
        </w:numPr>
        <w:autoSpaceDE/>
        <w:autoSpaceDN/>
        <w:adjustRightInd/>
        <w:spacing w:line="360" w:lineRule="auto"/>
        <w:ind w:hanging="357"/>
        <w:jc w:val="both"/>
        <w:rPr>
          <w:rFonts w:ascii="Times New Roman" w:hAnsi="Times New Roman"/>
          <w:sz w:val="24"/>
          <w:szCs w:val="24"/>
        </w:rPr>
      </w:pPr>
      <w:r w:rsidRPr="002A77C6">
        <w:rPr>
          <w:rFonts w:ascii="Times New Roman" w:hAnsi="Times New Roman"/>
          <w:sz w:val="24"/>
          <w:szCs w:val="24"/>
        </w:rPr>
        <w:t>RDM (aplikacja Rejestr de Minimis do wsparcia obsługi krajowych programów pomocowych dla rolnictwa (zarówno pomoc publiczna</w:t>
      </w:r>
      <w:r w:rsidR="00855328">
        <w:rPr>
          <w:rFonts w:ascii="Times New Roman" w:hAnsi="Times New Roman"/>
          <w:sz w:val="24"/>
          <w:szCs w:val="24"/>
        </w:rPr>
        <w:t>,</w:t>
      </w:r>
      <w:r w:rsidRPr="002A77C6">
        <w:rPr>
          <w:rFonts w:ascii="Times New Roman" w:hAnsi="Times New Roman"/>
          <w:sz w:val="24"/>
          <w:szCs w:val="24"/>
        </w:rPr>
        <w:t xml:space="preserve"> jak i pomoc de minimis). Aplikacja pełni również funkcję rejestru udzielonej pomocy de minimis oraz dostarcza dla innych systemów aktualnie dostępne limity dla beneficjenta),</w:t>
      </w:r>
    </w:p>
    <w:p w14:paraId="7710630E" w14:textId="21BB08A2" w:rsidR="00055118" w:rsidRPr="002A77C6" w:rsidRDefault="00055118" w:rsidP="00055118">
      <w:pPr>
        <w:widowControl/>
        <w:numPr>
          <w:ilvl w:val="0"/>
          <w:numId w:val="26"/>
        </w:numPr>
        <w:autoSpaceDE/>
        <w:autoSpaceDN/>
        <w:adjustRightInd/>
        <w:spacing w:line="360" w:lineRule="auto"/>
        <w:ind w:hanging="357"/>
        <w:jc w:val="both"/>
        <w:rPr>
          <w:rFonts w:ascii="Times New Roman" w:hAnsi="Times New Roman"/>
          <w:sz w:val="24"/>
          <w:szCs w:val="24"/>
        </w:rPr>
      </w:pPr>
      <w:r w:rsidRPr="002A77C6">
        <w:rPr>
          <w:rFonts w:ascii="Times New Roman" w:hAnsi="Times New Roman"/>
          <w:sz w:val="24"/>
          <w:szCs w:val="24"/>
        </w:rPr>
        <w:t>iPESEL (</w:t>
      </w:r>
      <w:r w:rsidR="002A77C6" w:rsidRPr="002A77C6">
        <w:rPr>
          <w:rFonts w:ascii="Times New Roman" w:hAnsi="Times New Roman"/>
          <w:sz w:val="24"/>
          <w:szCs w:val="24"/>
        </w:rPr>
        <w:t>Aplikacja</w:t>
      </w:r>
      <w:r w:rsidRPr="002A77C6">
        <w:rPr>
          <w:rFonts w:ascii="Times New Roman" w:hAnsi="Times New Roman"/>
          <w:sz w:val="24"/>
          <w:szCs w:val="24"/>
        </w:rPr>
        <w:t xml:space="preserve"> automatyzuje proces weryfikacji danych osobowych w Rejestrze PESEL przez jednolity interfejs dostępowy z wykorzystaniem usług pobierania danych (webservices) Rejestru PESEL; wykorzystanie webservices umożliwia przeprowadzanie weryfikacji przez pracowników OR i BP),</w:t>
      </w:r>
    </w:p>
    <w:p w14:paraId="4AB50653" w14:textId="3D1760C0" w:rsidR="00055118" w:rsidRPr="002A77C6" w:rsidRDefault="00055118" w:rsidP="00055118">
      <w:pPr>
        <w:widowControl/>
        <w:numPr>
          <w:ilvl w:val="0"/>
          <w:numId w:val="26"/>
        </w:numPr>
        <w:autoSpaceDE/>
        <w:autoSpaceDN/>
        <w:adjustRightInd/>
        <w:spacing w:line="360" w:lineRule="auto"/>
        <w:ind w:hanging="357"/>
        <w:jc w:val="both"/>
        <w:rPr>
          <w:rFonts w:ascii="Times New Roman" w:hAnsi="Times New Roman"/>
          <w:sz w:val="24"/>
          <w:szCs w:val="24"/>
        </w:rPr>
      </w:pPr>
      <w:r w:rsidRPr="002A77C6">
        <w:rPr>
          <w:rFonts w:ascii="Times New Roman" w:hAnsi="Times New Roman"/>
          <w:sz w:val="24"/>
          <w:szCs w:val="24"/>
        </w:rPr>
        <w:t>Platforma AUREA do tzw. szybkiej ścieżki – realizacja interwencji ad hoc z bardzo krótkim terminem realizacji (np. do obsługi pomocy finansowej na realizację inicjatyw dotyczących organizacji wydarzeń mając</w:t>
      </w:r>
      <w:r>
        <w:rPr>
          <w:rFonts w:ascii="Times New Roman" w:hAnsi="Times New Roman"/>
          <w:sz w:val="24"/>
          <w:szCs w:val="24"/>
        </w:rPr>
        <w:t>ych</w:t>
      </w:r>
      <w:r w:rsidRPr="002A77C6">
        <w:rPr>
          <w:rFonts w:ascii="Times New Roman" w:hAnsi="Times New Roman"/>
          <w:sz w:val="24"/>
          <w:szCs w:val="24"/>
        </w:rPr>
        <w:t xml:space="preserve"> na celu wsparcie lokalnej społeczności w zakresie dostępności do szczepień przeciwko COVID-19),</w:t>
      </w:r>
    </w:p>
    <w:p w14:paraId="1DC069E8" w14:textId="1F46FE5A" w:rsidR="00055118" w:rsidRPr="002A77C6" w:rsidRDefault="00055118" w:rsidP="00055118">
      <w:pPr>
        <w:widowControl/>
        <w:numPr>
          <w:ilvl w:val="0"/>
          <w:numId w:val="26"/>
        </w:numPr>
        <w:autoSpaceDE/>
        <w:autoSpaceDN/>
        <w:adjustRightInd/>
        <w:spacing w:line="360" w:lineRule="auto"/>
        <w:ind w:hanging="357"/>
        <w:jc w:val="both"/>
        <w:rPr>
          <w:rFonts w:ascii="Times New Roman" w:hAnsi="Times New Roman"/>
          <w:sz w:val="24"/>
          <w:szCs w:val="24"/>
        </w:rPr>
      </w:pPr>
      <w:r w:rsidRPr="002A77C6">
        <w:rPr>
          <w:rFonts w:ascii="Times New Roman" w:hAnsi="Times New Roman"/>
          <w:sz w:val="24"/>
          <w:szCs w:val="24"/>
        </w:rPr>
        <w:t xml:space="preserve">Aplikacja Mobilna (Aplikacja Mobilna dla Rolników jest oprogramowaniem przeznaczonym do wspomagania procesu kontroli administracyjnej; wspomaganie to polega na dostarczaniu w sposób elektroniczny materiałów dowodowych na potrzeby </w:t>
      </w:r>
      <w:r w:rsidRPr="002A77C6">
        <w:rPr>
          <w:rFonts w:ascii="Times New Roman" w:hAnsi="Times New Roman"/>
          <w:sz w:val="24"/>
          <w:szCs w:val="24"/>
        </w:rPr>
        <w:lastRenderedPageBreak/>
        <w:t>przeprowadzenia procesu kontroli przez DBRiKT i DPB; rozwiązanie to skraca czas kontroli i ogranicza liczbę dodatkowych wyjazdów kontrolerów w teren),</w:t>
      </w:r>
    </w:p>
    <w:p w14:paraId="79ABB541" w14:textId="3AB8E3B0" w:rsidR="00055118" w:rsidRPr="002A77C6" w:rsidRDefault="00055118" w:rsidP="00055118">
      <w:pPr>
        <w:widowControl/>
        <w:numPr>
          <w:ilvl w:val="0"/>
          <w:numId w:val="26"/>
        </w:numPr>
        <w:autoSpaceDE/>
        <w:autoSpaceDN/>
        <w:adjustRightInd/>
        <w:spacing w:line="360" w:lineRule="auto"/>
        <w:ind w:hanging="357"/>
        <w:jc w:val="both"/>
        <w:rPr>
          <w:rFonts w:ascii="Times New Roman" w:hAnsi="Times New Roman"/>
          <w:sz w:val="24"/>
          <w:szCs w:val="24"/>
        </w:rPr>
      </w:pPr>
      <w:r w:rsidRPr="002A77C6">
        <w:rPr>
          <w:rFonts w:ascii="Times New Roman" w:hAnsi="Times New Roman"/>
          <w:sz w:val="24"/>
          <w:szCs w:val="24"/>
        </w:rPr>
        <w:t>GeoPortal (</w:t>
      </w:r>
      <w:r w:rsidR="002A77C6" w:rsidRPr="002A77C6">
        <w:rPr>
          <w:rFonts w:ascii="Times New Roman" w:hAnsi="Times New Roman"/>
          <w:sz w:val="24"/>
          <w:szCs w:val="24"/>
        </w:rPr>
        <w:t>System</w:t>
      </w:r>
      <w:r w:rsidRPr="002A77C6">
        <w:rPr>
          <w:rFonts w:ascii="Times New Roman" w:hAnsi="Times New Roman"/>
          <w:sz w:val="24"/>
          <w:szCs w:val="24"/>
        </w:rPr>
        <w:t xml:space="preserve"> informatyczny służący do wyszukiwania, przeglądania i pobierania danych przestrzennych za pomocą ustandaryzowanych usług danych przestrzennych),</w:t>
      </w:r>
    </w:p>
    <w:p w14:paraId="4B5585DC" w14:textId="435F4B6E" w:rsidR="00055118" w:rsidRPr="002A77C6" w:rsidRDefault="00055118" w:rsidP="00055118">
      <w:pPr>
        <w:widowControl/>
        <w:numPr>
          <w:ilvl w:val="0"/>
          <w:numId w:val="26"/>
        </w:numPr>
        <w:autoSpaceDE/>
        <w:autoSpaceDN/>
        <w:adjustRightInd/>
        <w:spacing w:line="360" w:lineRule="auto"/>
        <w:ind w:hanging="357"/>
        <w:jc w:val="both"/>
        <w:rPr>
          <w:rFonts w:ascii="Times New Roman" w:hAnsi="Times New Roman"/>
          <w:sz w:val="24"/>
          <w:szCs w:val="24"/>
        </w:rPr>
      </w:pPr>
      <w:r w:rsidRPr="002A77C6">
        <w:rPr>
          <w:rFonts w:ascii="Times New Roman" w:hAnsi="Times New Roman"/>
          <w:sz w:val="24"/>
          <w:szCs w:val="24"/>
        </w:rPr>
        <w:t>PWK (</w:t>
      </w:r>
      <w:r w:rsidR="002A77C6" w:rsidRPr="002A77C6">
        <w:rPr>
          <w:rFonts w:ascii="Times New Roman" w:hAnsi="Times New Roman"/>
          <w:sz w:val="24"/>
          <w:szCs w:val="24"/>
        </w:rPr>
        <w:t>Aplikacja</w:t>
      </w:r>
      <w:r w:rsidRPr="002A77C6">
        <w:rPr>
          <w:rFonts w:ascii="Times New Roman" w:hAnsi="Times New Roman"/>
          <w:sz w:val="24"/>
          <w:szCs w:val="24"/>
        </w:rPr>
        <w:t xml:space="preserve"> zapewnia kompleksową obsługę wniosków o płatność dla rolników ubiegających się o wsparcie na zakup materiału siewnego),</w:t>
      </w:r>
    </w:p>
    <w:p w14:paraId="2AFD1D84" w14:textId="6B34937C" w:rsidR="00055118" w:rsidRPr="002A77C6" w:rsidRDefault="00055118" w:rsidP="00055118">
      <w:pPr>
        <w:widowControl/>
        <w:numPr>
          <w:ilvl w:val="0"/>
          <w:numId w:val="26"/>
        </w:numPr>
        <w:autoSpaceDE/>
        <w:autoSpaceDN/>
        <w:adjustRightInd/>
        <w:spacing w:line="360" w:lineRule="auto"/>
        <w:ind w:hanging="357"/>
        <w:jc w:val="both"/>
        <w:rPr>
          <w:rFonts w:ascii="Times New Roman" w:hAnsi="Times New Roman"/>
          <w:sz w:val="24"/>
          <w:szCs w:val="24"/>
        </w:rPr>
      </w:pPr>
      <w:r w:rsidRPr="002A77C6">
        <w:rPr>
          <w:rFonts w:ascii="Times New Roman" w:hAnsi="Times New Roman"/>
          <w:sz w:val="24"/>
          <w:szCs w:val="24"/>
        </w:rPr>
        <w:t>GePaRd (</w:t>
      </w:r>
      <w:r w:rsidR="002A77C6" w:rsidRPr="002A77C6">
        <w:rPr>
          <w:rFonts w:ascii="Times New Roman" w:hAnsi="Times New Roman"/>
          <w:sz w:val="24"/>
          <w:szCs w:val="24"/>
        </w:rPr>
        <w:t>Aplikacja</w:t>
      </w:r>
      <w:r w:rsidRPr="002A77C6">
        <w:rPr>
          <w:rFonts w:ascii="Times New Roman" w:hAnsi="Times New Roman"/>
          <w:sz w:val="24"/>
          <w:szCs w:val="24"/>
        </w:rPr>
        <w:t xml:space="preserve"> wspierająca obsługę wniosków o przyznanie pomocy finansowej na wspieranie grup producentów rolnych objętej planem rozwoju obszarów wiejskich</w:t>
      </w:r>
      <w:r w:rsidR="00855328">
        <w:rPr>
          <w:rFonts w:ascii="Times New Roman" w:hAnsi="Times New Roman"/>
          <w:sz w:val="24"/>
          <w:szCs w:val="24"/>
        </w:rPr>
        <w:t>,</w:t>
      </w:r>
      <w:r w:rsidRPr="002A77C6">
        <w:rPr>
          <w:rFonts w:ascii="Times New Roman" w:hAnsi="Times New Roman"/>
          <w:sz w:val="24"/>
          <w:szCs w:val="24"/>
        </w:rPr>
        <w:t xml:space="preserve"> jak również wniosk</w:t>
      </w:r>
      <w:r>
        <w:rPr>
          <w:rFonts w:ascii="Times New Roman" w:hAnsi="Times New Roman"/>
          <w:sz w:val="24"/>
          <w:szCs w:val="24"/>
        </w:rPr>
        <w:t>ów</w:t>
      </w:r>
      <w:r w:rsidRPr="002A77C6">
        <w:rPr>
          <w:rFonts w:ascii="Times New Roman" w:hAnsi="Times New Roman"/>
          <w:sz w:val="24"/>
          <w:szCs w:val="24"/>
        </w:rPr>
        <w:t xml:space="preserve"> o wypłatę środków z tytułu pomocy dla grup producentów rolnych),</w:t>
      </w:r>
    </w:p>
    <w:p w14:paraId="4B622D90" w14:textId="019891D3" w:rsidR="00055118" w:rsidRPr="002A77C6" w:rsidRDefault="00055118" w:rsidP="00055118">
      <w:pPr>
        <w:widowControl/>
        <w:numPr>
          <w:ilvl w:val="0"/>
          <w:numId w:val="26"/>
        </w:numPr>
        <w:autoSpaceDE/>
        <w:autoSpaceDN/>
        <w:adjustRightInd/>
        <w:spacing w:line="360" w:lineRule="auto"/>
        <w:ind w:hanging="357"/>
        <w:jc w:val="both"/>
        <w:rPr>
          <w:rFonts w:ascii="Times New Roman" w:hAnsi="Times New Roman"/>
          <w:sz w:val="24"/>
          <w:szCs w:val="24"/>
        </w:rPr>
      </w:pPr>
      <w:r w:rsidRPr="002A77C6">
        <w:rPr>
          <w:rFonts w:ascii="Times New Roman" w:hAnsi="Times New Roman"/>
          <w:sz w:val="24"/>
          <w:szCs w:val="24"/>
        </w:rPr>
        <w:t>CKK (</w:t>
      </w:r>
      <w:r w:rsidR="002A77C6" w:rsidRPr="002A77C6">
        <w:rPr>
          <w:rFonts w:ascii="Times New Roman" w:hAnsi="Times New Roman"/>
          <w:sz w:val="24"/>
          <w:szCs w:val="24"/>
        </w:rPr>
        <w:t>Aplikacja</w:t>
      </w:r>
      <w:r w:rsidRPr="002A77C6">
        <w:rPr>
          <w:rFonts w:ascii="Times New Roman" w:hAnsi="Times New Roman"/>
          <w:sz w:val="24"/>
          <w:szCs w:val="24"/>
        </w:rPr>
        <w:t xml:space="preserve"> wspiera proces wymiany danych na temat beneficjentów realizujących projekty/operacje/przedsięwzięcia w programach operacyjnych w ramach Polityki Spójności na lata 2014–2020, Programu Rozwoju Obszarów Wiejskich 2014–2020 oraz Programu Operacyjnego „Rybactwo i Morze” i uregulowanie w porozumieniu warunków tej współpracy między Ministerstwem Rozwoju a Agencją Restrukturyzacji i Modernizacji Rolnictwa w zakresie realizacji kontroli krzyżowych),</w:t>
      </w:r>
    </w:p>
    <w:p w14:paraId="107ADAA3" w14:textId="44456897" w:rsidR="00055118" w:rsidRPr="002A77C6" w:rsidRDefault="00055118" w:rsidP="00055118">
      <w:pPr>
        <w:widowControl/>
        <w:numPr>
          <w:ilvl w:val="0"/>
          <w:numId w:val="26"/>
        </w:numPr>
        <w:autoSpaceDE/>
        <w:autoSpaceDN/>
        <w:adjustRightInd/>
        <w:spacing w:line="360" w:lineRule="auto"/>
        <w:ind w:hanging="357"/>
        <w:jc w:val="both"/>
        <w:rPr>
          <w:rFonts w:ascii="Times New Roman" w:hAnsi="Times New Roman"/>
          <w:sz w:val="24"/>
          <w:szCs w:val="24"/>
        </w:rPr>
      </w:pPr>
      <w:r w:rsidRPr="002A77C6">
        <w:rPr>
          <w:rFonts w:ascii="Times New Roman" w:hAnsi="Times New Roman"/>
          <w:sz w:val="24"/>
          <w:szCs w:val="24"/>
        </w:rPr>
        <w:t>SI Agencja KI (</w:t>
      </w:r>
      <w:r w:rsidR="002A77C6" w:rsidRPr="002A77C6">
        <w:rPr>
          <w:rFonts w:ascii="Times New Roman" w:hAnsi="Times New Roman"/>
          <w:sz w:val="24"/>
          <w:szCs w:val="24"/>
        </w:rPr>
        <w:t>Aplikacja</w:t>
      </w:r>
      <w:r w:rsidRPr="002A77C6">
        <w:rPr>
          <w:rFonts w:ascii="Times New Roman" w:hAnsi="Times New Roman"/>
          <w:sz w:val="24"/>
          <w:szCs w:val="24"/>
        </w:rPr>
        <w:t xml:space="preserve"> do obsługi dopłat do kredytów preferencyjnych) rozwój i utrzymanie przejęte od wykonawcy zewnętrznego (pilotażowe przejęcie systemu od wykonawcy zewnętrznego mające na celu weryfikację procedur przejmowania oraz weryfikację możliwości rozwoju i utrzymania przez zespół </w:t>
      </w:r>
      <w:r w:rsidR="002A77C6" w:rsidRPr="002A77C6">
        <w:rPr>
          <w:rFonts w:ascii="Times New Roman" w:hAnsi="Times New Roman"/>
          <w:sz w:val="24"/>
          <w:szCs w:val="24"/>
        </w:rPr>
        <w:t>ARiMR</w:t>
      </w:r>
      <w:r w:rsidRPr="002A77C6">
        <w:rPr>
          <w:rFonts w:ascii="Times New Roman" w:hAnsi="Times New Roman"/>
          <w:sz w:val="24"/>
          <w:szCs w:val="24"/>
        </w:rPr>
        <w:t>).</w:t>
      </w:r>
    </w:p>
    <w:p w14:paraId="43DF4111" w14:textId="228A0ADF" w:rsidR="00055118" w:rsidRPr="002A77C6" w:rsidRDefault="00055118" w:rsidP="00855328">
      <w:pPr>
        <w:suppressAutoHyphens/>
        <w:spacing w:before="120" w:after="120" w:line="360" w:lineRule="auto"/>
        <w:ind w:firstLine="567"/>
        <w:jc w:val="both"/>
        <w:rPr>
          <w:rFonts w:ascii="Times New Roman" w:hAnsi="Times New Roman"/>
          <w:sz w:val="24"/>
          <w:szCs w:val="24"/>
        </w:rPr>
      </w:pPr>
      <w:r w:rsidRPr="002A77C6">
        <w:rPr>
          <w:rFonts w:ascii="Times New Roman" w:hAnsi="Times New Roman"/>
          <w:sz w:val="24"/>
          <w:szCs w:val="24"/>
        </w:rPr>
        <w:t>Dodatkowo, w uzgodnieniu z KPRM, Agencja buduje okienko dla rolnika, czyli zintegrowany portal internetowy, który będzie pozwalał na złożenie wniosków o wszelkie płatności i usługi Agencji w jednym miejscu. Jednocześnie Agencja ma w planach stworzenie jednolitej platformy dostępu do rejestrów i innych danych</w:t>
      </w:r>
      <w:r w:rsidR="00855328">
        <w:rPr>
          <w:rFonts w:ascii="Times New Roman" w:hAnsi="Times New Roman"/>
          <w:sz w:val="24"/>
          <w:szCs w:val="24"/>
        </w:rPr>
        <w:t>,</w:t>
      </w:r>
      <w:r w:rsidRPr="002A77C6">
        <w:rPr>
          <w:rFonts w:ascii="Times New Roman" w:hAnsi="Times New Roman"/>
          <w:sz w:val="24"/>
          <w:szCs w:val="24"/>
        </w:rPr>
        <w:t xml:space="preserve"> jakimi </w:t>
      </w:r>
      <w:r w:rsidR="002A77C6" w:rsidRPr="002A77C6">
        <w:rPr>
          <w:rFonts w:ascii="Times New Roman" w:hAnsi="Times New Roman"/>
          <w:sz w:val="24"/>
          <w:szCs w:val="24"/>
        </w:rPr>
        <w:t>dysponujemy</w:t>
      </w:r>
      <w:r w:rsidR="00855328">
        <w:rPr>
          <w:rFonts w:ascii="Times New Roman" w:hAnsi="Times New Roman"/>
          <w:sz w:val="24"/>
          <w:szCs w:val="24"/>
        </w:rPr>
        <w:t>,</w:t>
      </w:r>
      <w:r w:rsidRPr="002A77C6">
        <w:rPr>
          <w:rFonts w:ascii="Times New Roman" w:hAnsi="Times New Roman"/>
          <w:sz w:val="24"/>
          <w:szCs w:val="24"/>
        </w:rPr>
        <w:t xml:space="preserve"> dla innych instytucji</w:t>
      </w:r>
      <w:r w:rsidR="00855328">
        <w:rPr>
          <w:rFonts w:ascii="Times New Roman" w:hAnsi="Times New Roman"/>
          <w:sz w:val="24"/>
          <w:szCs w:val="24"/>
        </w:rPr>
        <w:t>,</w:t>
      </w:r>
      <w:r w:rsidRPr="002A77C6">
        <w:rPr>
          <w:rFonts w:ascii="Times New Roman" w:hAnsi="Times New Roman"/>
          <w:sz w:val="24"/>
          <w:szCs w:val="24"/>
        </w:rPr>
        <w:t xml:space="preserve"> jak i beneficjentów </w:t>
      </w:r>
      <w:r w:rsidR="002A77C6" w:rsidRPr="002A77C6">
        <w:rPr>
          <w:rFonts w:ascii="Times New Roman" w:hAnsi="Times New Roman"/>
          <w:sz w:val="24"/>
          <w:szCs w:val="24"/>
        </w:rPr>
        <w:t xml:space="preserve">naszych </w:t>
      </w:r>
      <w:r w:rsidRPr="002A77C6">
        <w:rPr>
          <w:rFonts w:ascii="Times New Roman" w:hAnsi="Times New Roman"/>
          <w:sz w:val="24"/>
          <w:szCs w:val="24"/>
        </w:rPr>
        <w:t>programów. Całość nowej architektury systemów informatycznych budowana jest z możliwością wykorzystania przez inne jednostki</w:t>
      </w:r>
      <w:r w:rsidR="00855328">
        <w:rPr>
          <w:rFonts w:ascii="Times New Roman" w:hAnsi="Times New Roman"/>
          <w:sz w:val="24"/>
          <w:szCs w:val="24"/>
        </w:rPr>
        <w:t>,</w:t>
      </w:r>
      <w:r w:rsidRPr="002A77C6">
        <w:rPr>
          <w:rFonts w:ascii="Times New Roman" w:hAnsi="Times New Roman"/>
          <w:sz w:val="24"/>
          <w:szCs w:val="24"/>
        </w:rPr>
        <w:t xml:space="preserve"> np. z systemu IRZ korzysta już dzisiaj Główny Inspektorat Weterynarii. </w:t>
      </w:r>
    </w:p>
    <w:p w14:paraId="66D00C14" w14:textId="2A90224C" w:rsidR="00055118" w:rsidRPr="002A77C6" w:rsidRDefault="002A77C6" w:rsidP="00055118">
      <w:pPr>
        <w:suppressAutoHyphens/>
        <w:spacing w:after="120" w:line="360" w:lineRule="auto"/>
        <w:ind w:firstLine="567"/>
        <w:jc w:val="both"/>
        <w:rPr>
          <w:rFonts w:ascii="Times New Roman" w:eastAsia="SimSun" w:hAnsi="Times New Roman"/>
          <w:sz w:val="24"/>
          <w:szCs w:val="24"/>
        </w:rPr>
      </w:pPr>
      <w:r w:rsidRPr="002A77C6">
        <w:rPr>
          <w:rFonts w:ascii="Times New Roman" w:hAnsi="Times New Roman"/>
          <w:sz w:val="24"/>
          <w:szCs w:val="24"/>
        </w:rPr>
        <w:t>ARiMR</w:t>
      </w:r>
      <w:r w:rsidR="00055118" w:rsidRPr="002A77C6">
        <w:rPr>
          <w:rFonts w:ascii="Times New Roman" w:eastAsia="SimSun" w:hAnsi="Times New Roman"/>
          <w:sz w:val="24"/>
          <w:szCs w:val="24"/>
        </w:rPr>
        <w:t xml:space="preserve"> pełni rolę akredytowanej agencji płatniczej. Zajmuje się wdrażaniem instrumentów współfinansowanych z budżetu Unii Europejskiej oraz udziela pomocy ze środków krajowych. W ramach Wspólnej Polityki Rolnej i Wspólnej Polityki Rybołówstwa </w:t>
      </w:r>
      <w:r w:rsidRPr="002A77C6">
        <w:rPr>
          <w:rFonts w:ascii="Times New Roman" w:eastAsia="SimSun" w:hAnsi="Times New Roman"/>
          <w:sz w:val="24"/>
          <w:szCs w:val="24"/>
        </w:rPr>
        <w:t>ARiMR</w:t>
      </w:r>
      <w:r w:rsidR="00055118" w:rsidRPr="002A77C6">
        <w:rPr>
          <w:rFonts w:ascii="Times New Roman" w:eastAsia="SimSun" w:hAnsi="Times New Roman"/>
          <w:sz w:val="24"/>
          <w:szCs w:val="24"/>
        </w:rPr>
        <w:t>, w okresie programowania 2014</w:t>
      </w:r>
      <w:r w:rsidR="00055118" w:rsidRPr="002A77C6">
        <w:rPr>
          <w:rFonts w:ascii="Times New Roman" w:hAnsi="Times New Roman"/>
          <w:sz w:val="24"/>
          <w:szCs w:val="24"/>
        </w:rPr>
        <w:t>–</w:t>
      </w:r>
      <w:r w:rsidR="00055118" w:rsidRPr="002A77C6">
        <w:rPr>
          <w:rFonts w:ascii="Times New Roman" w:eastAsia="SimSun" w:hAnsi="Times New Roman"/>
          <w:sz w:val="24"/>
          <w:szCs w:val="24"/>
        </w:rPr>
        <w:t xml:space="preserve">2020, wdraża instrumenty pomocy finansowanej z </w:t>
      </w:r>
      <w:r w:rsidR="00055118" w:rsidRPr="002A77C6">
        <w:rPr>
          <w:rFonts w:ascii="Times New Roman" w:eastAsia="SimSun" w:hAnsi="Times New Roman"/>
          <w:sz w:val="24"/>
          <w:szCs w:val="24"/>
        </w:rPr>
        <w:lastRenderedPageBreak/>
        <w:t>następujących funduszy unijnych:</w:t>
      </w:r>
    </w:p>
    <w:p w14:paraId="566C527A" w14:textId="551EF7EF" w:rsidR="00055118" w:rsidRPr="002A77C6" w:rsidRDefault="00055118" w:rsidP="00055118">
      <w:pPr>
        <w:snapToGrid w:val="0"/>
        <w:spacing w:line="360" w:lineRule="auto"/>
        <w:ind w:left="284" w:hanging="284"/>
        <w:jc w:val="both"/>
        <w:rPr>
          <w:rFonts w:ascii="Times New Roman" w:eastAsia="SimSun" w:hAnsi="Times New Roman"/>
          <w:sz w:val="24"/>
          <w:szCs w:val="24"/>
        </w:rPr>
      </w:pPr>
      <w:r w:rsidRPr="002A77C6">
        <w:rPr>
          <w:rFonts w:ascii="Times New Roman" w:eastAsia="SimSun" w:hAnsi="Times New Roman"/>
          <w:sz w:val="24"/>
          <w:szCs w:val="24"/>
        </w:rPr>
        <w:t xml:space="preserve">1) Europejskiego Funduszu Rolnego Gwarancji (EFRG), w ramach którego </w:t>
      </w:r>
      <w:r w:rsidR="002A77C6" w:rsidRPr="002A77C6">
        <w:rPr>
          <w:rFonts w:ascii="Times New Roman" w:eastAsia="SimSun" w:hAnsi="Times New Roman"/>
          <w:sz w:val="24"/>
          <w:szCs w:val="24"/>
        </w:rPr>
        <w:t>ARiMR</w:t>
      </w:r>
      <w:r w:rsidRPr="002A77C6">
        <w:rPr>
          <w:rFonts w:ascii="Times New Roman" w:eastAsia="SimSun" w:hAnsi="Times New Roman"/>
          <w:sz w:val="24"/>
          <w:szCs w:val="24"/>
        </w:rPr>
        <w:t xml:space="preserve"> realizuje m.in. płatności bezpośrednie</w:t>
      </w:r>
      <w:r w:rsidR="000C5FF1">
        <w:rPr>
          <w:rFonts w:ascii="Times New Roman" w:eastAsia="SimSun" w:hAnsi="Times New Roman"/>
          <w:sz w:val="24"/>
          <w:szCs w:val="24"/>
        </w:rPr>
        <w:t>;</w:t>
      </w:r>
      <w:r w:rsidRPr="002A77C6">
        <w:rPr>
          <w:rFonts w:ascii="Times New Roman" w:eastAsia="SimSun" w:hAnsi="Times New Roman"/>
          <w:sz w:val="24"/>
          <w:szCs w:val="24"/>
        </w:rPr>
        <w:t xml:space="preserve"> </w:t>
      </w:r>
    </w:p>
    <w:p w14:paraId="14A4EBCA" w14:textId="201A7314" w:rsidR="00055118" w:rsidRPr="002A77C6" w:rsidRDefault="00055118" w:rsidP="00055118">
      <w:pPr>
        <w:snapToGrid w:val="0"/>
        <w:spacing w:line="360" w:lineRule="auto"/>
        <w:ind w:left="284" w:hanging="284"/>
        <w:jc w:val="both"/>
        <w:rPr>
          <w:rFonts w:ascii="Times New Roman" w:eastAsia="SimSun" w:hAnsi="Times New Roman"/>
          <w:sz w:val="24"/>
          <w:szCs w:val="24"/>
        </w:rPr>
      </w:pPr>
      <w:r w:rsidRPr="002A77C6">
        <w:rPr>
          <w:rFonts w:ascii="Times New Roman" w:eastAsia="SimSun" w:hAnsi="Times New Roman"/>
          <w:sz w:val="24"/>
          <w:szCs w:val="24"/>
        </w:rPr>
        <w:t>2) Europejskiego Funduszu Rolnego na rzecz Rozwoju Obszarów Wiejskich (EFRROW), z którego finansowane są wszystkie działania Programu Rozwoju Obszarów Wiejskich na lata 2014</w:t>
      </w:r>
      <w:r w:rsidRPr="002A77C6">
        <w:rPr>
          <w:rFonts w:ascii="Times New Roman" w:hAnsi="Times New Roman"/>
          <w:sz w:val="24"/>
          <w:szCs w:val="24"/>
        </w:rPr>
        <w:t>–</w:t>
      </w:r>
      <w:r w:rsidRPr="002A77C6">
        <w:rPr>
          <w:rFonts w:ascii="Times New Roman" w:eastAsia="SimSun" w:hAnsi="Times New Roman"/>
          <w:sz w:val="24"/>
          <w:szCs w:val="24"/>
        </w:rPr>
        <w:t>2020</w:t>
      </w:r>
      <w:r w:rsidR="000C5FF1">
        <w:rPr>
          <w:rFonts w:ascii="Times New Roman" w:eastAsia="SimSun" w:hAnsi="Times New Roman"/>
          <w:sz w:val="24"/>
          <w:szCs w:val="24"/>
        </w:rPr>
        <w:t>;</w:t>
      </w:r>
      <w:r w:rsidRPr="002A77C6">
        <w:rPr>
          <w:rFonts w:ascii="Times New Roman" w:eastAsia="SimSun" w:hAnsi="Times New Roman"/>
          <w:sz w:val="24"/>
          <w:szCs w:val="24"/>
        </w:rPr>
        <w:t xml:space="preserve"> </w:t>
      </w:r>
    </w:p>
    <w:p w14:paraId="15F65337" w14:textId="5066B7FE" w:rsidR="00055118" w:rsidRPr="002A77C6" w:rsidRDefault="00055118" w:rsidP="00055118">
      <w:pPr>
        <w:snapToGrid w:val="0"/>
        <w:spacing w:line="360" w:lineRule="auto"/>
        <w:ind w:left="284" w:hanging="284"/>
        <w:jc w:val="both"/>
        <w:rPr>
          <w:rFonts w:ascii="Times New Roman" w:eastAsia="SimSun" w:hAnsi="Times New Roman"/>
          <w:sz w:val="24"/>
          <w:szCs w:val="24"/>
        </w:rPr>
      </w:pPr>
      <w:r w:rsidRPr="002A77C6">
        <w:rPr>
          <w:rFonts w:ascii="Times New Roman" w:eastAsia="SimSun" w:hAnsi="Times New Roman"/>
          <w:sz w:val="24"/>
          <w:szCs w:val="24"/>
        </w:rPr>
        <w:t xml:space="preserve">3) Europejskiego Funduszu Morskiego i Rybackiego (EFMR), w ramach, którego wspierane są przedsięwzięcia w ramach Programu Operacyjnego </w:t>
      </w:r>
      <w:r w:rsidR="00855328">
        <w:rPr>
          <w:rFonts w:ascii="Times New Roman" w:eastAsia="SimSun" w:hAnsi="Times New Roman"/>
          <w:sz w:val="24"/>
          <w:szCs w:val="24"/>
        </w:rPr>
        <w:t>„</w:t>
      </w:r>
      <w:r w:rsidRPr="002A77C6">
        <w:rPr>
          <w:rFonts w:ascii="Times New Roman" w:eastAsia="SimSun" w:hAnsi="Times New Roman"/>
          <w:sz w:val="24"/>
          <w:szCs w:val="24"/>
        </w:rPr>
        <w:t>Rybactwo i Morze</w:t>
      </w:r>
      <w:r w:rsidR="00855328">
        <w:rPr>
          <w:rFonts w:ascii="Times New Roman" w:eastAsia="SimSun" w:hAnsi="Times New Roman"/>
          <w:sz w:val="24"/>
          <w:szCs w:val="24"/>
        </w:rPr>
        <w:t>”</w:t>
      </w:r>
      <w:r w:rsidRPr="002A77C6">
        <w:rPr>
          <w:rFonts w:ascii="Times New Roman" w:eastAsia="SimSun" w:hAnsi="Times New Roman"/>
          <w:sz w:val="24"/>
          <w:szCs w:val="24"/>
        </w:rPr>
        <w:t xml:space="preserve"> na </w:t>
      </w:r>
      <w:r w:rsidR="00855328">
        <w:rPr>
          <w:rFonts w:ascii="Times New Roman" w:eastAsia="SimSun" w:hAnsi="Times New Roman"/>
          <w:sz w:val="24"/>
          <w:szCs w:val="24"/>
        </w:rPr>
        <w:br/>
      </w:r>
      <w:r w:rsidRPr="002A77C6">
        <w:rPr>
          <w:rFonts w:ascii="Times New Roman" w:eastAsia="SimSun" w:hAnsi="Times New Roman"/>
          <w:sz w:val="24"/>
          <w:szCs w:val="24"/>
        </w:rPr>
        <w:t>lata 2014</w:t>
      </w:r>
      <w:r w:rsidRPr="002A77C6">
        <w:rPr>
          <w:rFonts w:ascii="Times New Roman" w:hAnsi="Times New Roman"/>
          <w:sz w:val="24"/>
          <w:szCs w:val="24"/>
        </w:rPr>
        <w:t>–</w:t>
      </w:r>
      <w:r w:rsidRPr="002A77C6">
        <w:rPr>
          <w:rFonts w:ascii="Times New Roman" w:eastAsia="SimSun" w:hAnsi="Times New Roman"/>
          <w:sz w:val="24"/>
          <w:szCs w:val="24"/>
        </w:rPr>
        <w:t>2020.</w:t>
      </w:r>
    </w:p>
    <w:p w14:paraId="25E32C9D" w14:textId="0D133749" w:rsidR="00055118" w:rsidRPr="002A77C6" w:rsidRDefault="00055118" w:rsidP="00055118">
      <w:pPr>
        <w:suppressAutoHyphens/>
        <w:spacing w:after="120" w:line="360" w:lineRule="auto"/>
        <w:ind w:firstLine="567"/>
        <w:jc w:val="both"/>
        <w:rPr>
          <w:rFonts w:ascii="Times New Roman" w:eastAsia="SimSun" w:hAnsi="Times New Roman"/>
          <w:sz w:val="24"/>
          <w:szCs w:val="24"/>
        </w:rPr>
      </w:pPr>
      <w:r w:rsidRPr="002A77C6">
        <w:rPr>
          <w:rFonts w:ascii="Times New Roman" w:eastAsia="SimSun" w:hAnsi="Times New Roman"/>
          <w:sz w:val="24"/>
          <w:szCs w:val="24"/>
        </w:rPr>
        <w:t>Należy wskazać, że jedynie w zakresie wniosków o płatności obszarowe, w latach 2018</w:t>
      </w:r>
      <w:r w:rsidRPr="002A77C6">
        <w:rPr>
          <w:rFonts w:ascii="Times New Roman" w:hAnsi="Times New Roman"/>
          <w:sz w:val="24"/>
          <w:szCs w:val="24"/>
        </w:rPr>
        <w:t>–</w:t>
      </w:r>
      <w:r w:rsidRPr="002A77C6">
        <w:rPr>
          <w:rFonts w:ascii="Times New Roman" w:eastAsia="SimSun" w:hAnsi="Times New Roman"/>
          <w:sz w:val="24"/>
          <w:szCs w:val="24"/>
        </w:rPr>
        <w:t>2020 w skali całego kraju:</w:t>
      </w:r>
    </w:p>
    <w:p w14:paraId="17334F64" w14:textId="0FAD657E" w:rsidR="00055118" w:rsidRPr="002A77C6" w:rsidRDefault="00055118" w:rsidP="00055118">
      <w:pPr>
        <w:snapToGrid w:val="0"/>
        <w:spacing w:line="360" w:lineRule="auto"/>
        <w:jc w:val="both"/>
        <w:rPr>
          <w:rFonts w:ascii="Times New Roman" w:eastAsia="SimSun" w:hAnsi="Times New Roman"/>
          <w:sz w:val="24"/>
          <w:szCs w:val="24"/>
        </w:rPr>
      </w:pPr>
      <w:r w:rsidRPr="002A77C6">
        <w:rPr>
          <w:rFonts w:ascii="Times New Roman" w:eastAsia="SimSun" w:hAnsi="Times New Roman"/>
          <w:sz w:val="24"/>
          <w:szCs w:val="24"/>
        </w:rPr>
        <w:t>1) w kampanii 2018: złożono 1 335 177 wniosków i wypłacono 14 598 785 514,35 zł</w:t>
      </w:r>
      <w:r w:rsidR="00C548FC">
        <w:rPr>
          <w:rFonts w:ascii="Times New Roman" w:eastAsia="SimSun" w:hAnsi="Times New Roman"/>
          <w:sz w:val="24"/>
          <w:szCs w:val="24"/>
        </w:rPr>
        <w:t>;</w:t>
      </w:r>
    </w:p>
    <w:p w14:paraId="26796654" w14:textId="0A1B3A90" w:rsidR="00055118" w:rsidRPr="002A77C6" w:rsidRDefault="00055118" w:rsidP="00055118">
      <w:pPr>
        <w:snapToGrid w:val="0"/>
        <w:spacing w:line="360" w:lineRule="auto"/>
        <w:jc w:val="both"/>
        <w:rPr>
          <w:rFonts w:ascii="Times New Roman" w:eastAsia="SimSun" w:hAnsi="Times New Roman"/>
          <w:sz w:val="24"/>
          <w:szCs w:val="24"/>
        </w:rPr>
      </w:pPr>
      <w:r w:rsidRPr="002A77C6">
        <w:rPr>
          <w:rFonts w:ascii="Times New Roman" w:eastAsia="SimSun" w:hAnsi="Times New Roman"/>
          <w:sz w:val="24"/>
          <w:szCs w:val="24"/>
        </w:rPr>
        <w:t>2) w kampanii 2019: złożono 1 317 514 wniosków i wypłacono 14 998 808 527,82 zł</w:t>
      </w:r>
      <w:r w:rsidR="00C548FC">
        <w:rPr>
          <w:rFonts w:ascii="Times New Roman" w:eastAsia="SimSun" w:hAnsi="Times New Roman"/>
          <w:sz w:val="24"/>
          <w:szCs w:val="24"/>
        </w:rPr>
        <w:t>;</w:t>
      </w:r>
    </w:p>
    <w:p w14:paraId="1A57646F" w14:textId="51A26B19" w:rsidR="00055118" w:rsidRPr="002A77C6" w:rsidRDefault="00055118" w:rsidP="00055118">
      <w:pPr>
        <w:snapToGrid w:val="0"/>
        <w:spacing w:line="360" w:lineRule="auto"/>
        <w:jc w:val="both"/>
        <w:rPr>
          <w:rFonts w:ascii="Times New Roman" w:eastAsia="SimSun" w:hAnsi="Times New Roman"/>
          <w:sz w:val="24"/>
          <w:szCs w:val="24"/>
        </w:rPr>
      </w:pPr>
      <w:r w:rsidRPr="002A77C6">
        <w:rPr>
          <w:rFonts w:ascii="Times New Roman" w:eastAsia="SimSun" w:hAnsi="Times New Roman"/>
          <w:sz w:val="24"/>
          <w:szCs w:val="24"/>
        </w:rPr>
        <w:t>3) w kampanii 2020: złożono 1 305 563 wniosków i wypłacono 15 143 266 496,9 zł.</w:t>
      </w:r>
      <w:r w:rsidRPr="002A77C6">
        <w:rPr>
          <w:rFonts w:ascii="Times New Roman" w:eastAsia="SimSun" w:hAnsi="Times New Roman"/>
          <w:sz w:val="24"/>
          <w:szCs w:val="24"/>
          <w:vertAlign w:val="superscript"/>
        </w:rPr>
        <w:footnoteReference w:id="2"/>
      </w:r>
      <w:r w:rsidRPr="002A77C6">
        <w:rPr>
          <w:rFonts w:ascii="Times New Roman" w:eastAsia="SimSun" w:hAnsi="Times New Roman"/>
          <w:sz w:val="24"/>
          <w:szCs w:val="24"/>
          <w:vertAlign w:val="superscript"/>
        </w:rPr>
        <w:t>)</w:t>
      </w:r>
    </w:p>
    <w:p w14:paraId="25B4A77B" w14:textId="33DAC001" w:rsidR="00055118" w:rsidRPr="002A77C6" w:rsidRDefault="00055118" w:rsidP="00055118">
      <w:pPr>
        <w:suppressAutoHyphens/>
        <w:spacing w:after="120" w:line="360" w:lineRule="auto"/>
        <w:ind w:firstLine="567"/>
        <w:jc w:val="both"/>
        <w:rPr>
          <w:rFonts w:ascii="Times New Roman" w:eastAsia="SimSun" w:hAnsi="Times New Roman"/>
          <w:sz w:val="24"/>
          <w:szCs w:val="24"/>
        </w:rPr>
      </w:pPr>
      <w:r w:rsidRPr="002A77C6">
        <w:rPr>
          <w:rFonts w:ascii="Times New Roman" w:eastAsia="SimSun" w:hAnsi="Times New Roman"/>
          <w:sz w:val="24"/>
          <w:szCs w:val="24"/>
        </w:rPr>
        <w:t xml:space="preserve">Ponadto rok 2021 jest pierwszy rokiem, w którym wnioski o przyznanie płatności obszarowych można było składać wyłącznie w formie elektronicznej za pośrednictwem aplikacji eWniosekPlus. Co więcej, w najbliższym czasie przed </w:t>
      </w:r>
      <w:r w:rsidR="002A77C6" w:rsidRPr="002A77C6">
        <w:rPr>
          <w:rFonts w:ascii="Times New Roman" w:eastAsia="SimSun" w:hAnsi="Times New Roman"/>
          <w:sz w:val="24"/>
          <w:szCs w:val="24"/>
        </w:rPr>
        <w:t>ARiMR</w:t>
      </w:r>
      <w:r w:rsidRPr="002A77C6">
        <w:rPr>
          <w:rFonts w:ascii="Times New Roman" w:eastAsia="SimSun" w:hAnsi="Times New Roman"/>
          <w:sz w:val="24"/>
          <w:szCs w:val="24"/>
        </w:rPr>
        <w:t xml:space="preserve"> zostaną postawione nowe wyzwania związane z wdrażaniem nowej perspektywy finansowej na lata 2023</w:t>
      </w:r>
      <w:r w:rsidRPr="002A77C6">
        <w:rPr>
          <w:rFonts w:ascii="Times New Roman" w:hAnsi="Times New Roman"/>
          <w:sz w:val="24"/>
          <w:szCs w:val="24"/>
        </w:rPr>
        <w:t>–</w:t>
      </w:r>
      <w:r w:rsidRPr="002A77C6">
        <w:rPr>
          <w:rFonts w:ascii="Times New Roman" w:eastAsia="SimSun" w:hAnsi="Times New Roman"/>
          <w:sz w:val="24"/>
          <w:szCs w:val="24"/>
        </w:rPr>
        <w:t xml:space="preserve">2027 w ramach zreformowanej Wspólnej Polityki Rolnej. Zakłada się, że </w:t>
      </w:r>
      <w:r w:rsidR="002A77C6" w:rsidRPr="002A77C6">
        <w:rPr>
          <w:rFonts w:ascii="Times New Roman" w:eastAsia="SimSun" w:hAnsi="Times New Roman"/>
          <w:sz w:val="24"/>
          <w:szCs w:val="24"/>
        </w:rPr>
        <w:t>ARiMR</w:t>
      </w:r>
      <w:r w:rsidRPr="002A77C6">
        <w:rPr>
          <w:rFonts w:ascii="Times New Roman" w:eastAsia="SimSun" w:hAnsi="Times New Roman"/>
          <w:sz w:val="24"/>
          <w:szCs w:val="24"/>
        </w:rPr>
        <w:t xml:space="preserve"> w dalszym ciągu będzie pełniła funkcję agencji płatniczej, a do jej zadań będzie należało wdrażanie interwencji w ramach Planu Strategicznego dla Wspólnej Polityki Rolnej, tj. w szczególności przyjmowanie wniosków o przyznanie pomocy i pomocy technicznej oraz wniosków o płatność, przeprowadzanie kontroli administracyjnej tych wniosków, przyznawanie płatności, przeprowadzanie kontroli na miejscu oraz </w:t>
      </w:r>
      <w:r w:rsidR="002A77C6" w:rsidRPr="002A77C6">
        <w:rPr>
          <w:rFonts w:ascii="Times New Roman" w:eastAsia="SimSun" w:hAnsi="Times New Roman"/>
          <w:sz w:val="24"/>
          <w:szCs w:val="24"/>
        </w:rPr>
        <w:t>kontroli</w:t>
      </w:r>
      <w:r w:rsidRPr="002A77C6">
        <w:rPr>
          <w:rFonts w:ascii="Times New Roman" w:eastAsia="SimSun" w:hAnsi="Times New Roman"/>
          <w:sz w:val="24"/>
          <w:szCs w:val="24"/>
        </w:rPr>
        <w:t xml:space="preserve"> ex</w:t>
      </w:r>
      <w:r w:rsidR="00C548FC">
        <w:rPr>
          <w:rFonts w:ascii="Times New Roman" w:eastAsia="SimSun" w:hAnsi="Times New Roman"/>
          <w:sz w:val="24"/>
          <w:szCs w:val="24"/>
        </w:rPr>
        <w:t xml:space="preserve"> </w:t>
      </w:r>
      <w:r w:rsidRPr="002A77C6">
        <w:rPr>
          <w:rFonts w:ascii="Times New Roman" w:eastAsia="SimSun" w:hAnsi="Times New Roman"/>
          <w:sz w:val="24"/>
          <w:szCs w:val="24"/>
        </w:rPr>
        <w:t>post, odzyskiwanie środków.</w:t>
      </w:r>
    </w:p>
    <w:p w14:paraId="1E89D328" w14:textId="77FE7265" w:rsidR="00055118" w:rsidRPr="002A77C6" w:rsidRDefault="00055118" w:rsidP="00055118">
      <w:pPr>
        <w:suppressAutoHyphens/>
        <w:spacing w:after="120" w:line="360" w:lineRule="auto"/>
        <w:ind w:firstLine="567"/>
        <w:jc w:val="both"/>
        <w:rPr>
          <w:rFonts w:ascii="Times New Roman" w:eastAsia="SimSun" w:hAnsi="Times New Roman"/>
          <w:sz w:val="24"/>
          <w:szCs w:val="24"/>
        </w:rPr>
      </w:pPr>
      <w:r w:rsidRPr="002A77C6">
        <w:rPr>
          <w:rFonts w:ascii="Times New Roman" w:eastAsia="SimSun" w:hAnsi="Times New Roman"/>
          <w:sz w:val="24"/>
          <w:szCs w:val="24"/>
        </w:rPr>
        <w:t xml:space="preserve">Powyższe jednoznacznie wskazuje na doniosłość społeczną i gospodarczą zadań realizowanych przez </w:t>
      </w:r>
      <w:r w:rsidR="002A77C6" w:rsidRPr="002A77C6">
        <w:rPr>
          <w:rFonts w:ascii="Times New Roman" w:eastAsia="SimSun" w:hAnsi="Times New Roman"/>
          <w:sz w:val="24"/>
          <w:szCs w:val="24"/>
        </w:rPr>
        <w:t>AR</w:t>
      </w:r>
      <w:r w:rsidR="00925B0F">
        <w:rPr>
          <w:rFonts w:ascii="Times New Roman" w:eastAsia="SimSun" w:hAnsi="Times New Roman"/>
          <w:sz w:val="24"/>
          <w:szCs w:val="24"/>
        </w:rPr>
        <w:t>i</w:t>
      </w:r>
      <w:r w:rsidR="002A77C6" w:rsidRPr="002A77C6">
        <w:rPr>
          <w:rFonts w:ascii="Times New Roman" w:eastAsia="SimSun" w:hAnsi="Times New Roman"/>
          <w:sz w:val="24"/>
          <w:szCs w:val="24"/>
        </w:rPr>
        <w:t>MR</w:t>
      </w:r>
      <w:r w:rsidRPr="002A77C6">
        <w:rPr>
          <w:rFonts w:ascii="Times New Roman" w:eastAsia="SimSun" w:hAnsi="Times New Roman"/>
          <w:sz w:val="24"/>
          <w:szCs w:val="24"/>
        </w:rPr>
        <w:t xml:space="preserve"> i powoduje, że konieczne jest właściwe ich zabezpieczenie także pod względem przygotowania teleinformatycznego. </w:t>
      </w:r>
    </w:p>
    <w:p w14:paraId="28766539" w14:textId="7C30C1C7" w:rsidR="00055118" w:rsidRPr="002A77C6" w:rsidRDefault="00055118" w:rsidP="00055118">
      <w:pPr>
        <w:suppressAutoHyphens/>
        <w:spacing w:after="120" w:line="360" w:lineRule="auto"/>
        <w:ind w:firstLine="567"/>
        <w:jc w:val="both"/>
        <w:rPr>
          <w:rFonts w:ascii="Times New Roman" w:eastAsia="SimSun" w:hAnsi="Times New Roman"/>
          <w:sz w:val="24"/>
          <w:szCs w:val="24"/>
        </w:rPr>
      </w:pPr>
      <w:r w:rsidRPr="002A77C6">
        <w:rPr>
          <w:rFonts w:ascii="Times New Roman" w:eastAsia="SimSun" w:hAnsi="Times New Roman"/>
          <w:sz w:val="24"/>
          <w:szCs w:val="24"/>
        </w:rPr>
        <w:t>Co więcej, zgodnie ze Strategią IT na lata 2021</w:t>
      </w:r>
      <w:r w:rsidRPr="002A77C6">
        <w:rPr>
          <w:rFonts w:ascii="Times New Roman" w:hAnsi="Times New Roman"/>
          <w:sz w:val="24"/>
          <w:szCs w:val="24"/>
        </w:rPr>
        <w:t>–</w:t>
      </w:r>
      <w:r w:rsidRPr="002A77C6">
        <w:rPr>
          <w:rFonts w:ascii="Times New Roman" w:eastAsia="SimSun" w:hAnsi="Times New Roman"/>
          <w:sz w:val="24"/>
          <w:szCs w:val="24"/>
        </w:rPr>
        <w:t xml:space="preserve">2027, </w:t>
      </w:r>
      <w:r w:rsidR="002A77C6" w:rsidRPr="002A77C6">
        <w:rPr>
          <w:rFonts w:ascii="Times New Roman" w:eastAsia="SimSun" w:hAnsi="Times New Roman"/>
          <w:sz w:val="24"/>
          <w:szCs w:val="24"/>
        </w:rPr>
        <w:t>ARiMR</w:t>
      </w:r>
      <w:r w:rsidRPr="002A77C6">
        <w:rPr>
          <w:rFonts w:ascii="Times New Roman" w:eastAsia="SimSun" w:hAnsi="Times New Roman"/>
          <w:sz w:val="24"/>
          <w:szCs w:val="24"/>
        </w:rPr>
        <w:t xml:space="preserve"> planuje zapewnienie pełnej obsługi elektronicznej beneficjentów oraz digitalizację procesów wewnętrznych. Przyjęty model strategii IT jest również powiązany z Programem Zintegrowanej </w:t>
      </w:r>
      <w:r w:rsidRPr="002A77C6">
        <w:rPr>
          <w:rFonts w:ascii="Times New Roman" w:eastAsia="SimSun" w:hAnsi="Times New Roman"/>
          <w:sz w:val="24"/>
          <w:szCs w:val="24"/>
        </w:rPr>
        <w:lastRenderedPageBreak/>
        <w:t>Informatyzacji Państwa i Krajową Strategią Rozwoju Regionalnego 2030.</w:t>
      </w:r>
    </w:p>
    <w:p w14:paraId="6115FE51" w14:textId="6A04BB2E" w:rsidR="00055118" w:rsidRPr="002A77C6" w:rsidRDefault="00055118" w:rsidP="00055118">
      <w:pPr>
        <w:suppressAutoHyphens/>
        <w:spacing w:after="120" w:line="360" w:lineRule="auto"/>
        <w:ind w:firstLine="567"/>
        <w:jc w:val="both"/>
        <w:rPr>
          <w:rFonts w:ascii="Times New Roman" w:eastAsia="SimSun" w:hAnsi="Times New Roman"/>
          <w:sz w:val="24"/>
          <w:szCs w:val="24"/>
        </w:rPr>
      </w:pPr>
      <w:r w:rsidRPr="002A77C6">
        <w:rPr>
          <w:rFonts w:ascii="Times New Roman" w:eastAsia="SimSun" w:hAnsi="Times New Roman"/>
          <w:sz w:val="24"/>
          <w:szCs w:val="24"/>
        </w:rPr>
        <w:t xml:space="preserve">Aktualnie, w ramach struktury organizacyjnej </w:t>
      </w:r>
      <w:r w:rsidR="002A77C6" w:rsidRPr="002A77C6">
        <w:rPr>
          <w:rFonts w:ascii="Times New Roman" w:eastAsia="SimSun" w:hAnsi="Times New Roman"/>
          <w:sz w:val="24"/>
          <w:szCs w:val="24"/>
        </w:rPr>
        <w:t>ARiMR</w:t>
      </w:r>
      <w:r w:rsidRPr="002A77C6">
        <w:rPr>
          <w:rFonts w:ascii="Times New Roman" w:eastAsia="SimSun" w:hAnsi="Times New Roman"/>
          <w:sz w:val="24"/>
          <w:szCs w:val="24"/>
        </w:rPr>
        <w:t>, wyodrębniony został Departament Informatyki, który obejmuje pion utrzymania aplikacji, pion utrzymania infrastruktury, pion rozwoju oprogramowania oraz pion finansowo</w:t>
      </w:r>
      <w:r w:rsidR="005E4E7F">
        <w:rPr>
          <w:rFonts w:ascii="Times New Roman" w:eastAsia="SimSun" w:hAnsi="Times New Roman"/>
          <w:sz w:val="24"/>
          <w:szCs w:val="24"/>
        </w:rPr>
        <w:t>-</w:t>
      </w:r>
      <w:r w:rsidRPr="002A77C6">
        <w:rPr>
          <w:rFonts w:ascii="Times New Roman" w:eastAsia="SimSun" w:hAnsi="Times New Roman"/>
          <w:sz w:val="24"/>
          <w:szCs w:val="24"/>
        </w:rPr>
        <w:t xml:space="preserve">prawny. Zadania realizowane przez Departament Informatyki obejmują w szczególności rozwój i utrzymanie oprogramowania stworzonego własnymi siłami, ale także administrowanie oprogramowaniem stworzonym i utrzymywanym przez podmioty zewnętrzne. Do podstawowych systemów stworzonych przez podmioty zewnętrzne zaliczyć należy System Informatyczny Agencji (SIA), wykorzystywany do obsługi płatności bezpośrednich i obszarowych oraz OFSA (Obsługa Funduszy Strukturalnych </w:t>
      </w:r>
      <w:r w:rsidR="002A77C6" w:rsidRPr="002A77C6">
        <w:rPr>
          <w:rFonts w:ascii="Times New Roman" w:eastAsia="SimSun" w:hAnsi="Times New Roman"/>
          <w:sz w:val="24"/>
          <w:szCs w:val="24"/>
        </w:rPr>
        <w:t>ARIMR</w:t>
      </w:r>
      <w:r w:rsidRPr="002A77C6">
        <w:rPr>
          <w:rFonts w:ascii="Times New Roman" w:eastAsia="SimSun" w:hAnsi="Times New Roman"/>
          <w:sz w:val="24"/>
          <w:szCs w:val="24"/>
        </w:rPr>
        <w:t xml:space="preserve">) – system obsługujący działania w ramach Programu Rozwoju Obszarów Wiejskich. </w:t>
      </w:r>
    </w:p>
    <w:p w14:paraId="23CA55A0" w14:textId="23D42308" w:rsidR="00055118" w:rsidRPr="002A77C6" w:rsidRDefault="00055118" w:rsidP="00055118">
      <w:pPr>
        <w:suppressAutoHyphens/>
        <w:spacing w:after="120" w:line="360" w:lineRule="auto"/>
        <w:ind w:firstLine="567"/>
        <w:jc w:val="both"/>
        <w:rPr>
          <w:rFonts w:ascii="Times New Roman" w:eastAsia="SimSun" w:hAnsi="Times New Roman"/>
          <w:sz w:val="24"/>
          <w:szCs w:val="24"/>
        </w:rPr>
      </w:pPr>
      <w:r w:rsidRPr="002A77C6">
        <w:rPr>
          <w:rFonts w:ascii="Times New Roman" w:eastAsia="SimSun" w:hAnsi="Times New Roman"/>
          <w:sz w:val="24"/>
          <w:szCs w:val="24"/>
        </w:rPr>
        <w:t xml:space="preserve">Celem w szczególności uniezależnienia się od podmiotów zewnętrznych powstała koncepcja utworzenia wyspecjalizowanego podmiotu obsługującego </w:t>
      </w:r>
      <w:r w:rsidR="002A77C6" w:rsidRPr="002A77C6">
        <w:rPr>
          <w:rFonts w:ascii="Times New Roman" w:eastAsia="SimSun" w:hAnsi="Times New Roman"/>
          <w:sz w:val="24"/>
          <w:szCs w:val="24"/>
        </w:rPr>
        <w:t>ARiMR</w:t>
      </w:r>
      <w:r w:rsidRPr="002A77C6">
        <w:rPr>
          <w:rFonts w:ascii="Times New Roman" w:eastAsia="SimSun" w:hAnsi="Times New Roman"/>
          <w:sz w:val="24"/>
          <w:szCs w:val="24"/>
        </w:rPr>
        <w:t xml:space="preserve"> w zakresie IT. Planuje się bowiem, że stopniowo ten wyspecjalizowany podmiot nie tylko zajmowałby się rozwojem i utrzymaniem systemów zbudowanych dotychczas przez </w:t>
      </w:r>
      <w:r w:rsidR="002A77C6" w:rsidRPr="002A77C6">
        <w:rPr>
          <w:rFonts w:ascii="Times New Roman" w:eastAsia="SimSun" w:hAnsi="Times New Roman"/>
          <w:sz w:val="24"/>
          <w:szCs w:val="24"/>
        </w:rPr>
        <w:t>ARiMR</w:t>
      </w:r>
      <w:r w:rsidRPr="002A77C6">
        <w:rPr>
          <w:rFonts w:ascii="Times New Roman" w:eastAsia="SimSun" w:hAnsi="Times New Roman"/>
          <w:sz w:val="24"/>
          <w:szCs w:val="24"/>
        </w:rPr>
        <w:t xml:space="preserve">, ale także sam wytwarzał niezbędne oprogramowanie na potrzeby </w:t>
      </w:r>
      <w:r w:rsidR="002A77C6" w:rsidRPr="002A77C6">
        <w:rPr>
          <w:rFonts w:ascii="Times New Roman" w:eastAsia="SimSun" w:hAnsi="Times New Roman"/>
          <w:sz w:val="24"/>
          <w:szCs w:val="24"/>
        </w:rPr>
        <w:t>ARiMR</w:t>
      </w:r>
      <w:r w:rsidRPr="002A77C6">
        <w:rPr>
          <w:rFonts w:ascii="Times New Roman" w:eastAsia="SimSun" w:hAnsi="Times New Roman"/>
          <w:sz w:val="24"/>
          <w:szCs w:val="24"/>
        </w:rPr>
        <w:t xml:space="preserve"> oraz przejmował rozwój i utrzymanie systemów zbudowanych przez dostawców zewnętrznych. Docelowo zatem większość aplikacji dedykowanych dla Agencji miałaby być wytwarzana przez ten wyspecjalizowany podmiot.</w:t>
      </w:r>
    </w:p>
    <w:p w14:paraId="244399B1" w14:textId="59F1757B" w:rsidR="00055118" w:rsidRPr="002A77C6" w:rsidRDefault="00055118" w:rsidP="00055118">
      <w:pPr>
        <w:suppressAutoHyphens/>
        <w:spacing w:after="120" w:line="360" w:lineRule="auto"/>
        <w:ind w:firstLine="567"/>
        <w:jc w:val="both"/>
        <w:rPr>
          <w:rFonts w:ascii="Times New Roman" w:eastAsia="SimSun" w:hAnsi="Times New Roman"/>
          <w:sz w:val="24"/>
          <w:szCs w:val="24"/>
        </w:rPr>
      </w:pPr>
      <w:r w:rsidRPr="002A77C6">
        <w:rPr>
          <w:rFonts w:ascii="Times New Roman" w:eastAsia="SimSun" w:hAnsi="Times New Roman"/>
          <w:sz w:val="24"/>
          <w:szCs w:val="24"/>
        </w:rPr>
        <w:t>Aby cel ten mógł zostać osiągnięty, konieczne jest zbudowanie wykwalifikowanego zespołu realizującego powyższe zadania. Pandemia wywołana wirusem SARS-Cov-2 spowodowała znaczące zmiany na szeroko rozumianym rynku pracy. Bez wątpienia branżą, która nie odczuła negatywnych skutków kryzysu gospodarczego wywołanego koronawirusem, jest branża IT. Według ekspertów rynku pracy branża IT będzie w dalszym ciągu się rozwijać, a pozyskanie i zatrzymanie ekspertów IT nie będzie tym obszarem, w którym uczestnicy obrotu gospodarczego będą szukać oszczędności. Świadczy o tym w szczególności wzrost wynagrodzeń w branży IT w roku 2020 o średnio 5</w:t>
      </w:r>
      <w:r w:rsidRPr="002A77C6">
        <w:rPr>
          <w:rFonts w:ascii="Times New Roman" w:hAnsi="Times New Roman"/>
          <w:sz w:val="24"/>
          <w:szCs w:val="24"/>
        </w:rPr>
        <w:t>–</w:t>
      </w:r>
      <w:r w:rsidRPr="002A77C6">
        <w:rPr>
          <w:rFonts w:ascii="Times New Roman" w:eastAsia="SimSun" w:hAnsi="Times New Roman"/>
          <w:sz w:val="24"/>
          <w:szCs w:val="24"/>
        </w:rPr>
        <w:t>8%, który to trend będzie się utrzymywać w roku 2021 r.</w:t>
      </w:r>
      <w:r w:rsidRPr="002A77C6">
        <w:rPr>
          <w:rFonts w:ascii="Times New Roman" w:eastAsia="SimSun" w:hAnsi="Times New Roman"/>
          <w:sz w:val="24"/>
          <w:szCs w:val="24"/>
          <w:vertAlign w:val="superscript"/>
        </w:rPr>
        <w:footnoteReference w:id="3"/>
      </w:r>
      <w:r w:rsidRPr="002A77C6">
        <w:rPr>
          <w:rFonts w:ascii="Times New Roman" w:eastAsia="SimSun" w:hAnsi="Times New Roman"/>
          <w:sz w:val="24"/>
          <w:szCs w:val="24"/>
          <w:vertAlign w:val="superscript"/>
        </w:rPr>
        <w:t>)</w:t>
      </w:r>
    </w:p>
    <w:p w14:paraId="506BE87A" w14:textId="77777777" w:rsidR="00055118" w:rsidRPr="002A77C6" w:rsidRDefault="00055118" w:rsidP="00055118">
      <w:pPr>
        <w:suppressAutoHyphens/>
        <w:spacing w:after="120" w:line="360" w:lineRule="auto"/>
        <w:ind w:firstLine="567"/>
        <w:jc w:val="both"/>
      </w:pPr>
      <w:r w:rsidRPr="002A77C6">
        <w:rPr>
          <w:rFonts w:ascii="Times New Roman" w:hAnsi="Times New Roman"/>
          <w:sz w:val="24"/>
          <w:szCs w:val="24"/>
        </w:rPr>
        <w:t xml:space="preserve">Mając na uwadze </w:t>
      </w:r>
      <w:r w:rsidRPr="002A77C6">
        <w:rPr>
          <w:rFonts w:ascii="Times New Roman" w:eastAsia="SimSun" w:hAnsi="Times New Roman"/>
          <w:sz w:val="24"/>
          <w:szCs w:val="24"/>
        </w:rPr>
        <w:t>powyższe</w:t>
      </w:r>
      <w:r w:rsidRPr="002A77C6">
        <w:rPr>
          <w:rFonts w:ascii="Times New Roman" w:hAnsi="Times New Roman"/>
          <w:sz w:val="24"/>
          <w:szCs w:val="24"/>
        </w:rPr>
        <w:t xml:space="preserve">, zasadne jest, aby Agencja utworzyła spółkę.  </w:t>
      </w:r>
    </w:p>
    <w:p w14:paraId="56C26D9B" w14:textId="5BF1C76D" w:rsidR="00055118" w:rsidRPr="002A77C6" w:rsidRDefault="00055118" w:rsidP="00055118">
      <w:pPr>
        <w:suppressAutoHyphens/>
        <w:spacing w:after="120" w:line="360" w:lineRule="auto"/>
        <w:ind w:firstLine="567"/>
        <w:jc w:val="both"/>
      </w:pPr>
      <w:r w:rsidRPr="002A77C6">
        <w:rPr>
          <w:rFonts w:ascii="Times New Roman" w:eastAsia="Times New Roman" w:hAnsi="Times New Roman"/>
          <w:sz w:val="24"/>
          <w:szCs w:val="24"/>
        </w:rPr>
        <w:t xml:space="preserve">Z </w:t>
      </w:r>
      <w:r w:rsidRPr="002A77C6">
        <w:rPr>
          <w:rFonts w:ascii="Times New Roman" w:eastAsia="SimSun" w:hAnsi="Times New Roman"/>
          <w:sz w:val="24"/>
          <w:szCs w:val="24"/>
        </w:rPr>
        <w:t>tych</w:t>
      </w:r>
      <w:r w:rsidRPr="002A77C6">
        <w:rPr>
          <w:rFonts w:ascii="Times New Roman" w:eastAsia="Times New Roman" w:hAnsi="Times New Roman"/>
          <w:sz w:val="24"/>
          <w:szCs w:val="24"/>
        </w:rPr>
        <w:t xml:space="preserve"> samych względów nie jest celow</w:t>
      </w:r>
      <w:r w:rsidR="005E4E7F">
        <w:rPr>
          <w:rFonts w:ascii="Times New Roman" w:eastAsia="Times New Roman" w:hAnsi="Times New Roman"/>
          <w:sz w:val="24"/>
          <w:szCs w:val="24"/>
        </w:rPr>
        <w:t>e</w:t>
      </w:r>
      <w:r w:rsidRPr="002A77C6">
        <w:rPr>
          <w:rFonts w:ascii="Times New Roman" w:eastAsia="Times New Roman" w:hAnsi="Times New Roman"/>
          <w:sz w:val="24"/>
          <w:szCs w:val="24"/>
        </w:rPr>
        <w:t xml:space="preserve">, </w:t>
      </w:r>
      <w:r w:rsidR="005E4E7F">
        <w:rPr>
          <w:rFonts w:ascii="Times New Roman" w:eastAsia="Times New Roman" w:hAnsi="Times New Roman"/>
          <w:sz w:val="24"/>
          <w:szCs w:val="24"/>
        </w:rPr>
        <w:t>a</w:t>
      </w:r>
      <w:r w:rsidRPr="002A77C6">
        <w:rPr>
          <w:rFonts w:ascii="Times New Roman" w:eastAsia="Times New Roman" w:hAnsi="Times New Roman"/>
          <w:sz w:val="24"/>
          <w:szCs w:val="24"/>
        </w:rPr>
        <w:t xml:space="preserve">by to podmiot inny niż Agencja tworzył </w:t>
      </w:r>
      <w:r w:rsidRPr="002A77C6">
        <w:rPr>
          <w:rFonts w:ascii="Times New Roman" w:eastAsia="Times New Roman" w:hAnsi="Times New Roman"/>
          <w:sz w:val="24"/>
          <w:szCs w:val="24"/>
        </w:rPr>
        <w:lastRenderedPageBreak/>
        <w:t xml:space="preserve">spółkę. Spółka przede wszystkim ma zostać „dedykowana” do obsługi Agencji (chociaż w samym projekcie przewidziano możliwość zlecenia spółce zadań przez właściwego ministra). Zakres zadań Agencji i wyzwania przed Agencją stawiane (opisane powyżej) powodują, że spółka powinna być podmiotem utworzonym właśnie przez Agencję. Pozwoli to na ścisłą współpracę w zakresie wykonywanych zadań między spółką a Agencją, w tym w ramach ładu korporacyjnego przewidzianego zarówno w ustawie </w:t>
      </w:r>
      <w:r w:rsidR="00390E72" w:rsidRPr="002A77C6">
        <w:rPr>
          <w:rFonts w:ascii="Times New Roman" w:eastAsia="Times New Roman" w:hAnsi="Times New Roman"/>
          <w:sz w:val="24"/>
          <w:szCs w:val="24"/>
        </w:rPr>
        <w:t xml:space="preserve">z dnia 15 września 2000 r. </w:t>
      </w:r>
      <w:r w:rsidRPr="002A77C6">
        <w:rPr>
          <w:rFonts w:ascii="Times New Roman" w:eastAsia="Times New Roman" w:hAnsi="Times New Roman"/>
          <w:sz w:val="24"/>
          <w:szCs w:val="24"/>
        </w:rPr>
        <w:t>– Kodeks spółek handlowych, jak i w projektowanej ustawie.</w:t>
      </w:r>
    </w:p>
    <w:p w14:paraId="7BF3B29D" w14:textId="7709C2F9" w:rsidR="00055118" w:rsidRPr="002A77C6" w:rsidRDefault="00055118" w:rsidP="00055118">
      <w:pPr>
        <w:suppressAutoHyphens/>
        <w:spacing w:after="120" w:line="360" w:lineRule="auto"/>
        <w:ind w:firstLine="567"/>
        <w:jc w:val="both"/>
        <w:rPr>
          <w:rFonts w:ascii="Times New Roman" w:eastAsia="Times New Roman" w:hAnsi="Times New Roman"/>
          <w:sz w:val="24"/>
          <w:szCs w:val="24"/>
        </w:rPr>
      </w:pPr>
      <w:r w:rsidRPr="002A77C6">
        <w:rPr>
          <w:rFonts w:ascii="Times New Roman" w:eastAsia="Times New Roman" w:hAnsi="Times New Roman"/>
          <w:sz w:val="24"/>
          <w:szCs w:val="24"/>
        </w:rPr>
        <w:t>Jednocześnie, w przypadku gdy określone zadania zostaną spółce zlecone przez właściwego ministra, to zgodnie z projektowaną ustawą nastąpi to na podstawie umowy, o której mowa w art. 150 ustawy o finansach publicznych. W umowie takiej zostanie określony m.in. szczegółowy opis zadania czy tryb kontroli wykonania zadania, co w wystarczającym stopniu zapewni właściwemu ministrowi nadzór nad zleconymi zadaniami.</w:t>
      </w:r>
      <w:r w:rsidRPr="002A77C6">
        <w:rPr>
          <w:rFonts w:ascii="Times New Roman" w:hAnsi="Times New Roman"/>
          <w:sz w:val="24"/>
          <w:szCs w:val="24"/>
        </w:rPr>
        <w:t xml:space="preserve"> </w:t>
      </w:r>
    </w:p>
    <w:p w14:paraId="4F183309" w14:textId="77777777" w:rsidR="00055118" w:rsidRPr="002A77C6" w:rsidRDefault="00055118" w:rsidP="000C5FF1">
      <w:pPr>
        <w:spacing w:line="360" w:lineRule="auto"/>
        <w:ind w:firstLine="567"/>
        <w:jc w:val="both"/>
        <w:rPr>
          <w:rFonts w:ascii="Times New Roman" w:eastAsiaTheme="minorHAnsi" w:hAnsi="Times New Roman"/>
          <w:sz w:val="24"/>
          <w:szCs w:val="24"/>
        </w:rPr>
      </w:pPr>
      <w:r w:rsidRPr="002A77C6">
        <w:rPr>
          <w:rFonts w:ascii="Times New Roman" w:hAnsi="Times New Roman"/>
          <w:sz w:val="24"/>
          <w:szCs w:val="24"/>
        </w:rPr>
        <w:t>Agencja, tworząc spółkę, zbuduje nową strukturę w oparciu o swoje zasoby. Przekaże do spółki 6 istniejących wydziałów podlegających pionowi rozwoju oprogramowania i utrzymania aplikacji posiadających doświadczenie w wytwarzaniu oprogramowania dla rolnictwa.</w:t>
      </w:r>
    </w:p>
    <w:p w14:paraId="6E6ABFCD" w14:textId="77777777" w:rsidR="00055118" w:rsidRPr="002A77C6" w:rsidRDefault="00055118" w:rsidP="000C5FF1">
      <w:pPr>
        <w:spacing w:line="360" w:lineRule="auto"/>
        <w:ind w:firstLine="567"/>
        <w:jc w:val="both"/>
        <w:rPr>
          <w:rFonts w:ascii="Times New Roman" w:hAnsi="Times New Roman"/>
          <w:sz w:val="24"/>
          <w:szCs w:val="24"/>
        </w:rPr>
      </w:pPr>
      <w:r w:rsidRPr="002A77C6">
        <w:rPr>
          <w:rFonts w:ascii="Times New Roman" w:hAnsi="Times New Roman"/>
          <w:sz w:val="24"/>
          <w:szCs w:val="24"/>
        </w:rPr>
        <w:t xml:space="preserve">Agencja będzie również głównym konsumentem powierzonych spółce zadań informatycznych, będzie posiadać kompetencje we wdrażaniu i tworzeniu oprogramowania. </w:t>
      </w:r>
    </w:p>
    <w:p w14:paraId="104D0C05" w14:textId="147BB8F6" w:rsidR="00055118" w:rsidRPr="002A77C6" w:rsidRDefault="00055118" w:rsidP="00DF0940">
      <w:pPr>
        <w:spacing w:line="360" w:lineRule="auto"/>
        <w:ind w:firstLine="567"/>
        <w:jc w:val="both"/>
        <w:rPr>
          <w:rFonts w:ascii="Times New Roman" w:hAnsi="Times New Roman"/>
          <w:sz w:val="24"/>
          <w:szCs w:val="24"/>
        </w:rPr>
      </w:pPr>
      <w:r w:rsidRPr="002A77C6">
        <w:rPr>
          <w:rFonts w:ascii="Times New Roman" w:hAnsi="Times New Roman"/>
          <w:sz w:val="24"/>
          <w:szCs w:val="24"/>
        </w:rPr>
        <w:t xml:space="preserve">Łączna liczba pracowników, którzy zostaną przeniesieni do spółki na podstawie art. </w:t>
      </w:r>
      <w:r w:rsidR="002A77C6" w:rsidRPr="002A77C6">
        <w:rPr>
          <w:rFonts w:ascii="Times New Roman" w:hAnsi="Times New Roman"/>
          <w:sz w:val="24"/>
          <w:szCs w:val="24"/>
        </w:rPr>
        <w:t>23</w:t>
      </w:r>
      <w:r w:rsidR="002A77C6" w:rsidRPr="002A77C6">
        <w:rPr>
          <w:rFonts w:ascii="Times New Roman" w:hAnsi="Times New Roman"/>
          <w:sz w:val="24"/>
          <w:szCs w:val="24"/>
          <w:vertAlign w:val="superscript"/>
        </w:rPr>
        <w:t>1</w:t>
      </w:r>
      <w:r w:rsidR="00925B0F">
        <w:rPr>
          <w:rFonts w:ascii="Times New Roman" w:hAnsi="Times New Roman"/>
          <w:sz w:val="24"/>
          <w:szCs w:val="24"/>
          <w:vertAlign w:val="superscript"/>
        </w:rPr>
        <w:t xml:space="preserve"> </w:t>
      </w:r>
      <w:r w:rsidR="00925B0F">
        <w:rPr>
          <w:rFonts w:ascii="Times New Roman" w:hAnsi="Times New Roman"/>
          <w:sz w:val="24"/>
          <w:szCs w:val="24"/>
        </w:rPr>
        <w:t>K</w:t>
      </w:r>
      <w:r w:rsidR="002A77C6" w:rsidRPr="002A77C6">
        <w:rPr>
          <w:rFonts w:ascii="Times New Roman" w:hAnsi="Times New Roman"/>
          <w:sz w:val="24"/>
          <w:szCs w:val="24"/>
        </w:rPr>
        <w:t>odeksu</w:t>
      </w:r>
      <w:r w:rsidRPr="002A77C6">
        <w:rPr>
          <w:rFonts w:ascii="Times New Roman" w:hAnsi="Times New Roman"/>
          <w:sz w:val="24"/>
          <w:szCs w:val="24"/>
        </w:rPr>
        <w:t xml:space="preserve"> pracy, to 109 osób. Istotą i najważniejszym skutkiem przejścia zakładu pracy (lub jego części) na innego pracodawcę jest wstąpienie podmiotu przejmującego w stosunki pracy z osobami zatrudnionymi w przejmowanej jednostce. Skutek ten następuje na mocy prawa. Nowy podmiot staje się pracodawcą dla przejętych pracowników, jednak byt prawny i tożsamość stosunków pracy zostaje zachowana, a staż u dotychczasowego pracodawcy zaliczany jest bez przerwy także u nowego podmiotu zatrudniającego. Nowy podmiot w momencie utworzenia będzie prawie w całości złożony z pracowników IT </w:t>
      </w:r>
      <w:r w:rsidR="00925B0F">
        <w:rPr>
          <w:rFonts w:ascii="Times New Roman" w:hAnsi="Times New Roman"/>
          <w:sz w:val="24"/>
          <w:szCs w:val="24"/>
        </w:rPr>
        <w:t>A</w:t>
      </w:r>
      <w:r w:rsidR="002A77C6" w:rsidRPr="002A77C6">
        <w:rPr>
          <w:rFonts w:ascii="Times New Roman" w:hAnsi="Times New Roman"/>
          <w:sz w:val="24"/>
          <w:szCs w:val="24"/>
        </w:rPr>
        <w:t>gencji</w:t>
      </w:r>
      <w:r w:rsidRPr="002A77C6">
        <w:rPr>
          <w:rFonts w:ascii="Times New Roman" w:hAnsi="Times New Roman"/>
          <w:sz w:val="24"/>
          <w:szCs w:val="24"/>
        </w:rPr>
        <w:t xml:space="preserve"> ze względu na brak podobnych zasobów po stronie ministerstwa.</w:t>
      </w:r>
    </w:p>
    <w:p w14:paraId="76D2C8B2" w14:textId="5861ECC2" w:rsidR="00055118" w:rsidRPr="002A77C6" w:rsidRDefault="00055118" w:rsidP="000C5FF1">
      <w:pPr>
        <w:spacing w:line="360" w:lineRule="auto"/>
        <w:ind w:firstLine="567"/>
        <w:jc w:val="both"/>
        <w:rPr>
          <w:rFonts w:ascii="Times New Roman" w:hAnsi="Times New Roman"/>
          <w:sz w:val="24"/>
          <w:szCs w:val="24"/>
        </w:rPr>
      </w:pPr>
      <w:r w:rsidRPr="002A77C6">
        <w:rPr>
          <w:rFonts w:ascii="Times New Roman" w:hAnsi="Times New Roman"/>
          <w:sz w:val="24"/>
          <w:szCs w:val="24"/>
        </w:rPr>
        <w:t xml:space="preserve">Stabilność zatrudnienia, czytelna i korzystna dla pracowników zachowana tożsamość stosunku pracy mimo zmiany oraz ciągłość realizowanych zadań dla </w:t>
      </w:r>
      <w:r w:rsidR="002A77C6" w:rsidRPr="002A77C6">
        <w:rPr>
          <w:rFonts w:ascii="Times New Roman" w:hAnsi="Times New Roman"/>
          <w:sz w:val="24"/>
          <w:szCs w:val="24"/>
        </w:rPr>
        <w:t>AR</w:t>
      </w:r>
      <w:r w:rsidR="00925B0F">
        <w:rPr>
          <w:rFonts w:ascii="Times New Roman" w:hAnsi="Times New Roman"/>
          <w:sz w:val="24"/>
          <w:szCs w:val="24"/>
        </w:rPr>
        <w:t>i</w:t>
      </w:r>
      <w:r w:rsidR="002A77C6" w:rsidRPr="002A77C6">
        <w:rPr>
          <w:rFonts w:ascii="Times New Roman" w:hAnsi="Times New Roman"/>
          <w:sz w:val="24"/>
          <w:szCs w:val="24"/>
        </w:rPr>
        <w:t>MR</w:t>
      </w:r>
      <w:r w:rsidRPr="002A77C6">
        <w:rPr>
          <w:rFonts w:ascii="Times New Roman" w:hAnsi="Times New Roman"/>
          <w:sz w:val="24"/>
          <w:szCs w:val="24"/>
        </w:rPr>
        <w:t xml:space="preserve"> przemawia za powołaniem spółki przez Agencję. Planowana realizacja zadań dla innych niż Agencja klientów pojawi się w wyniku rozbudowy zdolności wytwórczych spółki.</w:t>
      </w:r>
    </w:p>
    <w:p w14:paraId="0F6A4D4D" w14:textId="58AB13DC" w:rsidR="00055118" w:rsidRPr="002A77C6" w:rsidRDefault="002A77C6" w:rsidP="00DF0940">
      <w:pPr>
        <w:spacing w:line="360" w:lineRule="auto"/>
        <w:ind w:firstLine="567"/>
        <w:jc w:val="both"/>
        <w:rPr>
          <w:rFonts w:ascii="Times New Roman" w:hAnsi="Times New Roman"/>
          <w:sz w:val="24"/>
          <w:szCs w:val="24"/>
        </w:rPr>
      </w:pPr>
      <w:r w:rsidRPr="002A77C6">
        <w:rPr>
          <w:rFonts w:ascii="Times New Roman" w:hAnsi="Times New Roman"/>
          <w:sz w:val="24"/>
          <w:szCs w:val="24"/>
        </w:rPr>
        <w:t>MRiRW</w:t>
      </w:r>
      <w:r w:rsidR="00055118" w:rsidRPr="002A77C6">
        <w:rPr>
          <w:rFonts w:ascii="Times New Roman" w:hAnsi="Times New Roman"/>
          <w:sz w:val="24"/>
          <w:szCs w:val="24"/>
        </w:rPr>
        <w:t xml:space="preserve"> nie posiada własnych zasobów kadrowych oraz doświadczenia w wytwarzaniu </w:t>
      </w:r>
      <w:r w:rsidR="00055118" w:rsidRPr="002A77C6">
        <w:rPr>
          <w:rFonts w:ascii="Times New Roman" w:hAnsi="Times New Roman"/>
          <w:sz w:val="24"/>
          <w:szCs w:val="24"/>
        </w:rPr>
        <w:lastRenderedPageBreak/>
        <w:t>oprogramowania. Przejmując nadzór nad powoływaną spółką, MRiRW musiałoby stworzyć zespół, który nadzorowałby merytoryczny proces realizowanych i powierzonych zadań informatycznych. Na dzień dzisiejszy MRiR</w:t>
      </w:r>
      <w:r w:rsidR="00390E72">
        <w:rPr>
          <w:rFonts w:ascii="Times New Roman" w:hAnsi="Times New Roman"/>
          <w:sz w:val="24"/>
          <w:szCs w:val="24"/>
        </w:rPr>
        <w:t>W</w:t>
      </w:r>
      <w:r w:rsidR="00055118" w:rsidRPr="002A77C6">
        <w:rPr>
          <w:rFonts w:ascii="Times New Roman" w:hAnsi="Times New Roman"/>
          <w:sz w:val="24"/>
          <w:szCs w:val="24"/>
        </w:rPr>
        <w:t xml:space="preserve"> nie posiada takich kompetencji, natomiast ich budowa oznaczałaby dublowanie zadań realizowanych przez </w:t>
      </w:r>
      <w:r w:rsidRPr="002A77C6">
        <w:rPr>
          <w:rFonts w:ascii="Times New Roman" w:hAnsi="Times New Roman"/>
          <w:sz w:val="24"/>
          <w:szCs w:val="24"/>
        </w:rPr>
        <w:t>ARiMR</w:t>
      </w:r>
      <w:r w:rsidR="00055118" w:rsidRPr="002A77C6">
        <w:rPr>
          <w:rFonts w:ascii="Times New Roman" w:hAnsi="Times New Roman"/>
          <w:sz w:val="24"/>
          <w:szCs w:val="24"/>
        </w:rPr>
        <w:t xml:space="preserve"> zarówno od strony informatycznej, jak i biznesowej. Przedstawiciel MRiR</w:t>
      </w:r>
      <w:r w:rsidR="00390E72">
        <w:rPr>
          <w:rFonts w:ascii="Times New Roman" w:hAnsi="Times New Roman"/>
          <w:sz w:val="24"/>
          <w:szCs w:val="24"/>
        </w:rPr>
        <w:t>W</w:t>
      </w:r>
      <w:r w:rsidR="00055118" w:rsidRPr="002A77C6">
        <w:rPr>
          <w:rFonts w:ascii="Times New Roman" w:hAnsi="Times New Roman"/>
          <w:sz w:val="24"/>
          <w:szCs w:val="24"/>
        </w:rPr>
        <w:t xml:space="preserve"> zasiadający w Radzie Nadzorczej spółki będzie miał realny wpływ na sposób wydatkowania powierzonych środków finansowych.</w:t>
      </w:r>
    </w:p>
    <w:p w14:paraId="7C244787" w14:textId="77777777" w:rsidR="00055118" w:rsidRPr="002A77C6" w:rsidRDefault="00055118" w:rsidP="00055118">
      <w:pPr>
        <w:spacing w:line="360" w:lineRule="auto"/>
        <w:jc w:val="both"/>
        <w:rPr>
          <w:rFonts w:ascii="Times New Roman" w:hAnsi="Times New Roman"/>
          <w:sz w:val="24"/>
          <w:szCs w:val="24"/>
        </w:rPr>
      </w:pPr>
    </w:p>
    <w:p w14:paraId="16D90DF7" w14:textId="4C89BBD3" w:rsidR="00055118" w:rsidRPr="002A77C6" w:rsidRDefault="00055118" w:rsidP="00055118">
      <w:pPr>
        <w:spacing w:line="360" w:lineRule="auto"/>
        <w:rPr>
          <w:rFonts w:ascii="Times New Roman" w:hAnsi="Times New Roman"/>
          <w:sz w:val="24"/>
          <w:szCs w:val="24"/>
        </w:rPr>
      </w:pPr>
      <w:r w:rsidRPr="002A77C6">
        <w:rPr>
          <w:rFonts w:ascii="Times New Roman" w:hAnsi="Times New Roman"/>
          <w:i/>
          <w:iCs/>
          <w:sz w:val="24"/>
          <w:szCs w:val="24"/>
        </w:rPr>
        <w:t>Tabela. Planowani do przesunięcia do Spółki pracownicy AR</w:t>
      </w:r>
      <w:r w:rsidR="00925B0F">
        <w:rPr>
          <w:rFonts w:ascii="Times New Roman" w:hAnsi="Times New Roman"/>
          <w:i/>
          <w:iCs/>
          <w:sz w:val="24"/>
          <w:szCs w:val="24"/>
        </w:rPr>
        <w:t>i</w:t>
      </w:r>
      <w:r w:rsidRPr="002A77C6">
        <w:rPr>
          <w:rFonts w:ascii="Times New Roman" w:hAnsi="Times New Roman"/>
          <w:i/>
          <w:iCs/>
          <w:sz w:val="24"/>
          <w:szCs w:val="24"/>
        </w:rPr>
        <w:t>MR</w:t>
      </w:r>
    </w:p>
    <w:p w14:paraId="1FF98364" w14:textId="77777777" w:rsidR="00055118" w:rsidRPr="002A77C6" w:rsidRDefault="00055118" w:rsidP="00055118">
      <w:pPr>
        <w:spacing w:line="360" w:lineRule="auto"/>
        <w:rPr>
          <w:rFonts w:ascii="Times New Roman" w:hAnsi="Times New Roman"/>
          <w:sz w:val="24"/>
          <w:szCs w:val="24"/>
        </w:rPr>
      </w:pPr>
    </w:p>
    <w:p w14:paraId="423251D2" w14:textId="77777777" w:rsidR="00055118" w:rsidRPr="002A77C6" w:rsidRDefault="00055118" w:rsidP="00055118">
      <w:pPr>
        <w:widowControl/>
        <w:spacing w:line="360" w:lineRule="auto"/>
        <w:jc w:val="both"/>
        <w:rPr>
          <w:rFonts w:ascii="Times New Roman" w:eastAsia="Calibri" w:hAnsi="Times New Roman"/>
          <w:sz w:val="24"/>
          <w:szCs w:val="24"/>
        </w:rPr>
      </w:pPr>
      <w:r w:rsidRPr="002A77C6">
        <w:rPr>
          <w:rFonts w:ascii="Times New Roman" w:eastAsia="Calibri" w:hAnsi="Times New Roman"/>
          <w:noProof/>
          <w:color w:val="000000"/>
          <w:sz w:val="24"/>
          <w:szCs w:val="24"/>
        </w:rPr>
        <w:drawing>
          <wp:inline distT="0" distB="0" distL="0" distR="0" wp14:anchorId="2C10FB31" wp14:editId="22814631">
            <wp:extent cx="5762625" cy="2676525"/>
            <wp:effectExtent l="0" t="0" r="9525" b="9525"/>
            <wp:docPr id="6" name="Obraz 6" descr="cid:image007.png@01D7C43E.0A993C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image007.png@01D7C43E.0A993C30"/>
                    <pic:cNvPicPr>
                      <a:picLocks noChangeAspect="1" noChangeArrowheads="1"/>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5762625" cy="2676525"/>
                    </a:xfrm>
                    <a:prstGeom prst="rect">
                      <a:avLst/>
                    </a:prstGeom>
                    <a:noFill/>
                    <a:ln>
                      <a:noFill/>
                    </a:ln>
                  </pic:spPr>
                </pic:pic>
              </a:graphicData>
            </a:graphic>
          </wp:inline>
        </w:drawing>
      </w:r>
    </w:p>
    <w:p w14:paraId="1F79AB80" w14:textId="07ECB9FB" w:rsidR="00055118" w:rsidRPr="002A77C6" w:rsidRDefault="00055118" w:rsidP="00D81E6B">
      <w:pPr>
        <w:widowControl/>
        <w:spacing w:before="120" w:line="360" w:lineRule="auto"/>
        <w:ind w:firstLine="426"/>
        <w:jc w:val="both"/>
        <w:rPr>
          <w:rFonts w:ascii="Times New Roman" w:eastAsia="Calibri" w:hAnsi="Times New Roman"/>
          <w:sz w:val="24"/>
          <w:szCs w:val="24"/>
        </w:rPr>
      </w:pPr>
      <w:r w:rsidRPr="002A77C6">
        <w:rPr>
          <w:rFonts w:ascii="Times New Roman" w:eastAsia="Calibri" w:hAnsi="Times New Roman"/>
          <w:sz w:val="24"/>
          <w:szCs w:val="24"/>
        </w:rPr>
        <w:t xml:space="preserve">Korzyści dla </w:t>
      </w:r>
      <w:r w:rsidR="002A77C6" w:rsidRPr="002A77C6">
        <w:rPr>
          <w:rFonts w:ascii="Times New Roman" w:eastAsia="Calibri" w:hAnsi="Times New Roman"/>
          <w:sz w:val="24"/>
          <w:szCs w:val="24"/>
        </w:rPr>
        <w:t>ARiMR</w:t>
      </w:r>
      <w:r w:rsidRPr="002A77C6">
        <w:rPr>
          <w:rFonts w:ascii="Times New Roman" w:eastAsia="Calibri" w:hAnsi="Times New Roman"/>
          <w:sz w:val="24"/>
          <w:szCs w:val="24"/>
        </w:rPr>
        <w:t>:</w:t>
      </w:r>
    </w:p>
    <w:p w14:paraId="19B5088C" w14:textId="77777777" w:rsidR="00055118" w:rsidRPr="002A77C6" w:rsidRDefault="00055118" w:rsidP="00D81E6B">
      <w:pPr>
        <w:widowControl/>
        <w:numPr>
          <w:ilvl w:val="0"/>
          <w:numId w:val="37"/>
        </w:numPr>
        <w:adjustRightInd/>
        <w:spacing w:line="360" w:lineRule="auto"/>
        <w:ind w:left="426" w:hanging="426"/>
        <w:jc w:val="both"/>
        <w:rPr>
          <w:rFonts w:ascii="Times New Roman" w:eastAsia="Calibri" w:hAnsi="Times New Roman"/>
          <w:color w:val="000000"/>
          <w:sz w:val="24"/>
          <w:szCs w:val="24"/>
        </w:rPr>
      </w:pPr>
      <w:r w:rsidRPr="002A77C6">
        <w:rPr>
          <w:rFonts w:ascii="Times New Roman" w:eastAsia="Calibri" w:hAnsi="Times New Roman"/>
          <w:color w:val="000000"/>
          <w:sz w:val="24"/>
          <w:szCs w:val="24"/>
        </w:rPr>
        <w:t xml:space="preserve">stopniowe uniezależnienie się od zewnętrznych dostawców, </w:t>
      </w:r>
    </w:p>
    <w:p w14:paraId="51159B6E" w14:textId="77777777" w:rsidR="00055118" w:rsidRPr="002A77C6" w:rsidRDefault="00055118" w:rsidP="00D81E6B">
      <w:pPr>
        <w:widowControl/>
        <w:numPr>
          <w:ilvl w:val="0"/>
          <w:numId w:val="37"/>
        </w:numPr>
        <w:adjustRightInd/>
        <w:spacing w:line="360" w:lineRule="auto"/>
        <w:ind w:left="426" w:hanging="426"/>
        <w:jc w:val="both"/>
        <w:rPr>
          <w:rFonts w:ascii="Times New Roman" w:eastAsia="Calibri" w:hAnsi="Times New Roman"/>
          <w:color w:val="000000"/>
          <w:sz w:val="24"/>
          <w:szCs w:val="24"/>
        </w:rPr>
      </w:pPr>
      <w:r w:rsidRPr="002A77C6">
        <w:rPr>
          <w:rFonts w:ascii="Times New Roman" w:eastAsia="Calibri" w:hAnsi="Times New Roman"/>
          <w:color w:val="000000"/>
          <w:sz w:val="24"/>
          <w:szCs w:val="24"/>
        </w:rPr>
        <w:t xml:space="preserve">wzrost efektywności wykonywania zadań w obszarze utrzymania i rozwoju systemów, </w:t>
      </w:r>
    </w:p>
    <w:p w14:paraId="44F8AA1F" w14:textId="77777777" w:rsidR="00055118" w:rsidRPr="002A77C6" w:rsidRDefault="00055118" w:rsidP="00D81E6B">
      <w:pPr>
        <w:widowControl/>
        <w:numPr>
          <w:ilvl w:val="0"/>
          <w:numId w:val="37"/>
        </w:numPr>
        <w:adjustRightInd/>
        <w:spacing w:line="360" w:lineRule="auto"/>
        <w:ind w:left="426" w:hanging="426"/>
        <w:jc w:val="both"/>
        <w:rPr>
          <w:rFonts w:ascii="Times New Roman" w:eastAsia="Calibri" w:hAnsi="Times New Roman"/>
          <w:color w:val="000000"/>
          <w:sz w:val="24"/>
          <w:szCs w:val="24"/>
        </w:rPr>
      </w:pPr>
      <w:r w:rsidRPr="002A77C6">
        <w:rPr>
          <w:rFonts w:ascii="Times New Roman" w:eastAsia="Calibri" w:hAnsi="Times New Roman"/>
          <w:color w:val="000000"/>
          <w:sz w:val="24"/>
          <w:szCs w:val="24"/>
        </w:rPr>
        <w:t xml:space="preserve">uproszczona struktura organizacyjna wspierająca szybkość podejmowania decyzji, </w:t>
      </w:r>
    </w:p>
    <w:p w14:paraId="12A334F7" w14:textId="1FA790E7" w:rsidR="00055118" w:rsidRPr="002A77C6" w:rsidRDefault="00055118" w:rsidP="00D81E6B">
      <w:pPr>
        <w:widowControl/>
        <w:numPr>
          <w:ilvl w:val="0"/>
          <w:numId w:val="37"/>
        </w:numPr>
        <w:adjustRightInd/>
        <w:spacing w:line="360" w:lineRule="auto"/>
        <w:ind w:left="426" w:hanging="426"/>
        <w:jc w:val="both"/>
        <w:rPr>
          <w:rFonts w:ascii="Times New Roman" w:eastAsia="Calibri" w:hAnsi="Times New Roman"/>
          <w:color w:val="000000"/>
          <w:sz w:val="24"/>
          <w:szCs w:val="24"/>
        </w:rPr>
      </w:pPr>
      <w:r w:rsidRPr="002A77C6">
        <w:rPr>
          <w:rFonts w:ascii="Times New Roman" w:eastAsia="Calibri" w:hAnsi="Times New Roman"/>
          <w:color w:val="000000"/>
          <w:sz w:val="24"/>
          <w:szCs w:val="24"/>
        </w:rPr>
        <w:t xml:space="preserve">opracowanie i wdrożenie procesów w obszarach zlecenia, realizacji zleceń i odbiorów prac – zarówno po stronie </w:t>
      </w:r>
      <w:r w:rsidR="002A77C6" w:rsidRPr="002A77C6">
        <w:rPr>
          <w:rFonts w:ascii="Times New Roman" w:eastAsia="Calibri" w:hAnsi="Times New Roman"/>
          <w:color w:val="000000"/>
          <w:sz w:val="24"/>
          <w:szCs w:val="24"/>
        </w:rPr>
        <w:t>ARiMR</w:t>
      </w:r>
      <w:r w:rsidRPr="002A77C6">
        <w:rPr>
          <w:rFonts w:ascii="Times New Roman" w:eastAsia="Calibri" w:hAnsi="Times New Roman"/>
          <w:color w:val="000000"/>
          <w:sz w:val="24"/>
          <w:szCs w:val="24"/>
        </w:rPr>
        <w:t xml:space="preserve">, jak i spółki, </w:t>
      </w:r>
    </w:p>
    <w:p w14:paraId="1A33A912" w14:textId="77777777" w:rsidR="00055118" w:rsidRPr="002A77C6" w:rsidRDefault="00055118" w:rsidP="00D81E6B">
      <w:pPr>
        <w:widowControl/>
        <w:numPr>
          <w:ilvl w:val="0"/>
          <w:numId w:val="37"/>
        </w:numPr>
        <w:adjustRightInd/>
        <w:spacing w:line="360" w:lineRule="auto"/>
        <w:ind w:left="426" w:hanging="426"/>
        <w:jc w:val="both"/>
        <w:rPr>
          <w:rFonts w:ascii="Times New Roman" w:eastAsia="Calibri" w:hAnsi="Times New Roman"/>
          <w:color w:val="000000"/>
          <w:sz w:val="24"/>
          <w:szCs w:val="24"/>
        </w:rPr>
      </w:pPr>
      <w:r w:rsidRPr="002A77C6">
        <w:rPr>
          <w:rFonts w:ascii="Times New Roman" w:eastAsia="Calibri" w:hAnsi="Times New Roman"/>
          <w:color w:val="000000"/>
          <w:sz w:val="24"/>
          <w:szCs w:val="24"/>
        </w:rPr>
        <w:t xml:space="preserve">szybsza integracja kulturowa zasobów ludzkich, </w:t>
      </w:r>
    </w:p>
    <w:p w14:paraId="4AE9DA00" w14:textId="77777777" w:rsidR="00055118" w:rsidRPr="002A77C6" w:rsidRDefault="00055118" w:rsidP="00D81E6B">
      <w:pPr>
        <w:widowControl/>
        <w:numPr>
          <w:ilvl w:val="0"/>
          <w:numId w:val="37"/>
        </w:numPr>
        <w:adjustRightInd/>
        <w:spacing w:line="360" w:lineRule="auto"/>
        <w:ind w:left="426" w:hanging="426"/>
        <w:jc w:val="both"/>
        <w:rPr>
          <w:rFonts w:ascii="Times New Roman" w:eastAsia="Calibri" w:hAnsi="Times New Roman"/>
          <w:color w:val="000000"/>
          <w:sz w:val="24"/>
          <w:szCs w:val="24"/>
        </w:rPr>
      </w:pPr>
      <w:r w:rsidRPr="002A77C6">
        <w:rPr>
          <w:rFonts w:ascii="Times New Roman" w:eastAsia="Calibri" w:hAnsi="Times New Roman"/>
          <w:color w:val="000000"/>
          <w:sz w:val="24"/>
          <w:szCs w:val="24"/>
        </w:rPr>
        <w:t>zwiększenie homogeniczności stanowisk pracy ułatwiające prowadzenie polityki zarządzania zasobami ludzkimi,</w:t>
      </w:r>
    </w:p>
    <w:p w14:paraId="085D1043" w14:textId="01634F2B" w:rsidR="00055118" w:rsidRPr="002A77C6" w:rsidRDefault="00055118" w:rsidP="00D81E6B">
      <w:pPr>
        <w:widowControl/>
        <w:numPr>
          <w:ilvl w:val="0"/>
          <w:numId w:val="37"/>
        </w:numPr>
        <w:adjustRightInd/>
        <w:spacing w:line="360" w:lineRule="auto"/>
        <w:ind w:left="426" w:hanging="426"/>
        <w:jc w:val="both"/>
        <w:rPr>
          <w:rFonts w:ascii="Times New Roman" w:eastAsia="Calibri" w:hAnsi="Times New Roman"/>
          <w:color w:val="000000"/>
          <w:sz w:val="24"/>
          <w:szCs w:val="24"/>
        </w:rPr>
      </w:pPr>
      <w:r w:rsidRPr="002A77C6">
        <w:rPr>
          <w:rFonts w:ascii="Times New Roman" w:eastAsia="Calibri" w:hAnsi="Times New Roman"/>
          <w:color w:val="000000"/>
          <w:sz w:val="24"/>
          <w:szCs w:val="24"/>
        </w:rPr>
        <w:t xml:space="preserve">zbudowanie lepszej pozycji negocjacyjnej </w:t>
      </w:r>
      <w:r w:rsidR="002A77C6" w:rsidRPr="002A77C6">
        <w:rPr>
          <w:rFonts w:ascii="Times New Roman" w:eastAsia="Calibri" w:hAnsi="Times New Roman"/>
          <w:color w:val="000000"/>
          <w:sz w:val="24"/>
          <w:szCs w:val="24"/>
        </w:rPr>
        <w:t>ARiMR</w:t>
      </w:r>
      <w:r w:rsidRPr="002A77C6">
        <w:rPr>
          <w:rFonts w:ascii="Times New Roman" w:eastAsia="Calibri" w:hAnsi="Times New Roman"/>
          <w:color w:val="000000"/>
          <w:sz w:val="24"/>
          <w:szCs w:val="24"/>
        </w:rPr>
        <w:t xml:space="preserve"> wobec dostawców systemów, </w:t>
      </w:r>
    </w:p>
    <w:p w14:paraId="7545A125" w14:textId="77777777" w:rsidR="00055118" w:rsidRPr="002A77C6" w:rsidRDefault="00055118" w:rsidP="00D81E6B">
      <w:pPr>
        <w:widowControl/>
        <w:numPr>
          <w:ilvl w:val="0"/>
          <w:numId w:val="37"/>
        </w:numPr>
        <w:adjustRightInd/>
        <w:spacing w:line="360" w:lineRule="auto"/>
        <w:ind w:left="426" w:hanging="426"/>
        <w:jc w:val="both"/>
        <w:rPr>
          <w:rFonts w:ascii="Times New Roman" w:eastAsia="Calibri" w:hAnsi="Times New Roman"/>
          <w:color w:val="000000"/>
          <w:sz w:val="24"/>
          <w:szCs w:val="24"/>
        </w:rPr>
      </w:pPr>
      <w:r w:rsidRPr="002A77C6">
        <w:rPr>
          <w:rFonts w:ascii="Times New Roman" w:eastAsia="Calibri" w:hAnsi="Times New Roman"/>
          <w:color w:val="000000"/>
          <w:sz w:val="24"/>
          <w:szCs w:val="24"/>
        </w:rPr>
        <w:t xml:space="preserve">potencjalna optymalizacja kosztów płac, </w:t>
      </w:r>
    </w:p>
    <w:p w14:paraId="0B43FB3C" w14:textId="77777777" w:rsidR="00055118" w:rsidRPr="002A77C6" w:rsidRDefault="00055118" w:rsidP="00D81E6B">
      <w:pPr>
        <w:widowControl/>
        <w:numPr>
          <w:ilvl w:val="0"/>
          <w:numId w:val="37"/>
        </w:numPr>
        <w:adjustRightInd/>
        <w:spacing w:line="360" w:lineRule="auto"/>
        <w:ind w:left="426" w:hanging="426"/>
        <w:jc w:val="both"/>
        <w:rPr>
          <w:rFonts w:ascii="Times New Roman" w:eastAsia="Calibri" w:hAnsi="Times New Roman"/>
          <w:color w:val="000000"/>
          <w:sz w:val="24"/>
          <w:szCs w:val="24"/>
        </w:rPr>
      </w:pPr>
      <w:r w:rsidRPr="002A77C6">
        <w:rPr>
          <w:rFonts w:ascii="Times New Roman" w:eastAsia="Calibri" w:hAnsi="Times New Roman"/>
          <w:color w:val="000000"/>
          <w:sz w:val="24"/>
          <w:szCs w:val="24"/>
        </w:rPr>
        <w:lastRenderedPageBreak/>
        <w:t xml:space="preserve">zwiększenie możliwości rekrutacji i utrzymania pracowników dzięki nowym formom zatrudnienia, bardziej konkurencyjnym płacom lub innym środkom motywacyjnym w spółce, </w:t>
      </w:r>
    </w:p>
    <w:p w14:paraId="4A09EAC3" w14:textId="59E0DE64" w:rsidR="00055118" w:rsidRPr="002A77C6" w:rsidRDefault="00055118" w:rsidP="00D81E6B">
      <w:pPr>
        <w:widowControl/>
        <w:numPr>
          <w:ilvl w:val="0"/>
          <w:numId w:val="37"/>
        </w:numPr>
        <w:adjustRightInd/>
        <w:spacing w:line="360" w:lineRule="auto"/>
        <w:ind w:left="426" w:hanging="426"/>
        <w:jc w:val="both"/>
        <w:rPr>
          <w:rFonts w:ascii="Times New Roman" w:eastAsia="Calibri" w:hAnsi="Times New Roman"/>
          <w:color w:val="000000"/>
          <w:sz w:val="24"/>
          <w:szCs w:val="24"/>
        </w:rPr>
      </w:pPr>
      <w:r w:rsidRPr="002A77C6">
        <w:rPr>
          <w:rFonts w:ascii="Times New Roman" w:eastAsia="Calibri" w:hAnsi="Times New Roman"/>
          <w:color w:val="000000"/>
          <w:sz w:val="24"/>
          <w:szCs w:val="24"/>
        </w:rPr>
        <w:t xml:space="preserve">zmniejszenie kosztów rozwoju i utrzymania systemów </w:t>
      </w:r>
      <w:r w:rsidR="002A77C6" w:rsidRPr="002A77C6">
        <w:rPr>
          <w:rFonts w:ascii="Times New Roman" w:eastAsia="Calibri" w:hAnsi="Times New Roman"/>
          <w:color w:val="000000"/>
          <w:sz w:val="24"/>
          <w:szCs w:val="24"/>
        </w:rPr>
        <w:t>ARiMR</w:t>
      </w:r>
      <w:r w:rsidRPr="002A77C6">
        <w:rPr>
          <w:rFonts w:ascii="Times New Roman" w:eastAsia="Calibri" w:hAnsi="Times New Roman"/>
          <w:color w:val="000000"/>
          <w:sz w:val="24"/>
          <w:szCs w:val="24"/>
        </w:rPr>
        <w:t xml:space="preserve"> w związku z przejęciem części prac dotąd zlecanych na zewnątrz przez zespoły spółki,</w:t>
      </w:r>
    </w:p>
    <w:p w14:paraId="79801CFE" w14:textId="22C07DE5" w:rsidR="00055118" w:rsidRPr="002A77C6" w:rsidRDefault="00055118" w:rsidP="00D81E6B">
      <w:pPr>
        <w:widowControl/>
        <w:numPr>
          <w:ilvl w:val="0"/>
          <w:numId w:val="37"/>
        </w:numPr>
        <w:adjustRightInd/>
        <w:spacing w:line="360" w:lineRule="auto"/>
        <w:ind w:left="426" w:hanging="426"/>
        <w:jc w:val="both"/>
        <w:rPr>
          <w:rFonts w:ascii="Times New Roman" w:eastAsia="Calibri" w:hAnsi="Times New Roman"/>
          <w:sz w:val="24"/>
          <w:szCs w:val="24"/>
        </w:rPr>
      </w:pPr>
      <w:r w:rsidRPr="002A77C6">
        <w:rPr>
          <w:rFonts w:ascii="Times New Roman" w:eastAsia="Calibri" w:hAnsi="Times New Roman"/>
          <w:color w:val="000000"/>
          <w:sz w:val="24"/>
          <w:szCs w:val="24"/>
        </w:rPr>
        <w:t>oszczędności z tytułu zmniejszenia liczby przesyłek (</w:t>
      </w:r>
      <w:r w:rsidR="002A77C6" w:rsidRPr="002A77C6">
        <w:rPr>
          <w:rFonts w:ascii="Times New Roman" w:eastAsia="Calibri" w:hAnsi="Times New Roman"/>
          <w:color w:val="000000"/>
          <w:sz w:val="24"/>
          <w:szCs w:val="24"/>
        </w:rPr>
        <w:t>ARiMR</w:t>
      </w:r>
      <w:r w:rsidRPr="002A77C6">
        <w:rPr>
          <w:rFonts w:ascii="Times New Roman" w:eastAsia="Calibri" w:hAnsi="Times New Roman"/>
          <w:color w:val="000000"/>
          <w:sz w:val="24"/>
          <w:szCs w:val="24"/>
        </w:rPr>
        <w:t>) w związku z digitalizacją procesów.</w:t>
      </w:r>
    </w:p>
    <w:p w14:paraId="42E53A87" w14:textId="77777777" w:rsidR="00055118" w:rsidRPr="002A77C6" w:rsidRDefault="00055118" w:rsidP="00D81E6B">
      <w:pPr>
        <w:widowControl/>
        <w:spacing w:before="120" w:line="360" w:lineRule="auto"/>
        <w:ind w:firstLine="426"/>
        <w:jc w:val="both"/>
        <w:rPr>
          <w:rFonts w:ascii="Times New Roman" w:eastAsia="Calibri" w:hAnsi="Times New Roman"/>
          <w:color w:val="000000"/>
          <w:sz w:val="24"/>
          <w:szCs w:val="24"/>
        </w:rPr>
      </w:pPr>
      <w:r w:rsidRPr="002A77C6">
        <w:rPr>
          <w:rFonts w:ascii="Times New Roman" w:eastAsia="Calibri" w:hAnsi="Times New Roman"/>
          <w:color w:val="000000"/>
          <w:sz w:val="24"/>
          <w:szCs w:val="24"/>
        </w:rPr>
        <w:t>Korzyści dla beneficjentów:</w:t>
      </w:r>
    </w:p>
    <w:p w14:paraId="6F03296D" w14:textId="77777777" w:rsidR="00055118" w:rsidRPr="002A77C6" w:rsidRDefault="00055118" w:rsidP="00D81E6B">
      <w:pPr>
        <w:widowControl/>
        <w:numPr>
          <w:ilvl w:val="0"/>
          <w:numId w:val="38"/>
        </w:numPr>
        <w:adjustRightInd/>
        <w:spacing w:line="360" w:lineRule="auto"/>
        <w:ind w:left="426" w:hanging="426"/>
        <w:jc w:val="both"/>
        <w:rPr>
          <w:rFonts w:ascii="Times New Roman" w:eastAsia="Calibri" w:hAnsi="Times New Roman"/>
          <w:color w:val="000000"/>
          <w:sz w:val="24"/>
          <w:szCs w:val="24"/>
        </w:rPr>
      </w:pPr>
      <w:r w:rsidRPr="002A77C6">
        <w:rPr>
          <w:rFonts w:ascii="Times New Roman" w:eastAsia="Calibri" w:hAnsi="Times New Roman"/>
          <w:color w:val="000000"/>
          <w:sz w:val="24"/>
          <w:szCs w:val="24"/>
        </w:rPr>
        <w:t>oszczędność czasu po stronie beneficjentów wynikająca z przejścia z wielu odrębnych systemów do składania wniosków na jedną platformę usługową,</w:t>
      </w:r>
    </w:p>
    <w:p w14:paraId="67593960" w14:textId="77777777" w:rsidR="00055118" w:rsidRPr="002A77C6" w:rsidRDefault="00055118" w:rsidP="00D81E6B">
      <w:pPr>
        <w:widowControl/>
        <w:numPr>
          <w:ilvl w:val="0"/>
          <w:numId w:val="38"/>
        </w:numPr>
        <w:adjustRightInd/>
        <w:spacing w:line="360" w:lineRule="auto"/>
        <w:ind w:left="426" w:hanging="426"/>
        <w:jc w:val="both"/>
        <w:rPr>
          <w:rFonts w:ascii="Times New Roman" w:eastAsia="Calibri" w:hAnsi="Times New Roman"/>
          <w:color w:val="000000"/>
          <w:sz w:val="24"/>
          <w:szCs w:val="24"/>
        </w:rPr>
      </w:pPr>
      <w:r w:rsidRPr="002A77C6">
        <w:rPr>
          <w:rFonts w:ascii="Times New Roman" w:eastAsia="Calibri" w:hAnsi="Times New Roman"/>
          <w:color w:val="000000"/>
          <w:sz w:val="24"/>
          <w:szCs w:val="24"/>
        </w:rPr>
        <w:t>oszczędności z tytułu zmniejszenia liczby przesyłek (beneficjenci) w związku z digitalizacją procesów.</w:t>
      </w:r>
    </w:p>
    <w:p w14:paraId="0C0634E9" w14:textId="2F048EF1" w:rsidR="00055118" w:rsidRPr="002A77C6" w:rsidRDefault="00055118" w:rsidP="00B90773">
      <w:pPr>
        <w:suppressAutoHyphens/>
        <w:spacing w:before="120" w:line="360" w:lineRule="auto"/>
        <w:ind w:firstLine="567"/>
        <w:jc w:val="both"/>
        <w:rPr>
          <w:rFonts w:ascii="Times New Roman" w:eastAsia="Times New Roman" w:hAnsi="Times New Roman"/>
          <w:sz w:val="24"/>
          <w:szCs w:val="24"/>
        </w:rPr>
      </w:pPr>
      <w:r w:rsidRPr="002A77C6">
        <w:rPr>
          <w:rFonts w:ascii="Times New Roman" w:eastAsia="SimSun" w:hAnsi="Times New Roman"/>
          <w:kern w:val="1"/>
          <w:sz w:val="24"/>
          <w:szCs w:val="24"/>
          <w:lang w:eastAsia="zh-CN" w:bidi="hi-IN"/>
        </w:rPr>
        <w:t xml:space="preserve">Określenie w </w:t>
      </w:r>
      <w:r w:rsidRPr="002A77C6">
        <w:rPr>
          <w:rFonts w:ascii="Times New Roman" w:eastAsia="SimSun" w:hAnsi="Times New Roman"/>
          <w:sz w:val="24"/>
          <w:szCs w:val="24"/>
        </w:rPr>
        <w:t>ustawie</w:t>
      </w:r>
      <w:r w:rsidRPr="002A77C6">
        <w:rPr>
          <w:rFonts w:ascii="Times New Roman" w:eastAsia="SimSun" w:hAnsi="Times New Roman"/>
          <w:kern w:val="1"/>
          <w:sz w:val="24"/>
          <w:szCs w:val="24"/>
          <w:lang w:eastAsia="zh-CN" w:bidi="hi-IN"/>
        </w:rPr>
        <w:t>, że podmiotem tw</w:t>
      </w:r>
      <w:r w:rsidRPr="002A77C6">
        <w:rPr>
          <w:rFonts w:ascii="Times New Roman" w:eastAsia="SimSun" w:hAnsi="Times New Roman" w:cs="Arial"/>
          <w:kern w:val="1"/>
          <w:sz w:val="24"/>
          <w:szCs w:val="24"/>
          <w:lang w:eastAsia="zh-CN" w:bidi="hi-IN"/>
        </w:rPr>
        <w:t xml:space="preserve">orzącym powstałą jednostkę będzie </w:t>
      </w:r>
      <w:r w:rsidR="002A77C6" w:rsidRPr="002A77C6">
        <w:rPr>
          <w:rFonts w:ascii="Times New Roman" w:eastAsia="SimSun" w:hAnsi="Times New Roman" w:cs="Arial"/>
          <w:kern w:val="1"/>
          <w:sz w:val="24"/>
          <w:szCs w:val="24"/>
          <w:lang w:eastAsia="zh-CN" w:bidi="hi-IN"/>
        </w:rPr>
        <w:t>ARiMR</w:t>
      </w:r>
      <w:r w:rsidRPr="002A77C6">
        <w:rPr>
          <w:rFonts w:ascii="Times New Roman" w:eastAsia="SimSun" w:hAnsi="Times New Roman" w:cs="Arial"/>
          <w:kern w:val="1"/>
          <w:sz w:val="24"/>
          <w:szCs w:val="24"/>
          <w:lang w:eastAsia="zh-CN" w:bidi="hi-IN"/>
        </w:rPr>
        <w:t>, pociąga za sobą skutek, że jednostka ta nie może działać w formach przewidzianych w art. 9 ustawy o finansach publicznych, nie może bowiem tworzyć ewentualnie branych pod uwagę: jednostek budżetowych (art. 9 pkt 3) ani instytucji gospodarki budżetowej (art. 9 pkt</w:t>
      </w:r>
      <w:r w:rsidR="00B90773">
        <w:rPr>
          <w:rFonts w:ascii="Times New Roman" w:eastAsia="SimSun" w:hAnsi="Times New Roman" w:cs="Arial"/>
          <w:kern w:val="1"/>
          <w:sz w:val="24"/>
          <w:szCs w:val="24"/>
          <w:lang w:eastAsia="zh-CN" w:bidi="hi-IN"/>
        </w:rPr>
        <w:t> </w:t>
      </w:r>
      <w:r w:rsidRPr="002A77C6">
        <w:rPr>
          <w:rFonts w:ascii="Times New Roman" w:eastAsia="SimSun" w:hAnsi="Times New Roman" w:cs="Arial"/>
          <w:kern w:val="1"/>
          <w:sz w:val="24"/>
          <w:szCs w:val="24"/>
          <w:lang w:eastAsia="zh-CN" w:bidi="hi-IN"/>
        </w:rPr>
        <w:t xml:space="preserve">6). Państwowe jednostki budżetowe </w:t>
      </w:r>
      <w:r w:rsidRPr="002A77C6">
        <w:rPr>
          <w:rFonts w:ascii="Times New Roman" w:eastAsia="Times New Roman" w:hAnsi="Times New Roman"/>
          <w:sz w:val="24"/>
          <w:szCs w:val="24"/>
        </w:rPr>
        <w:t>tworzą, łączą i likwidują ministrowie, kierownicy urzędów centralnych, wojewodowie oraz inne organy działające na podstawie odrębnych ustaw (art. 12 ust. 1 pkt 1 ustawy o finansach publicznych), natomiast instytucja gospodarki budżetowej może być tworzona przez m</w:t>
      </w:r>
      <w:r w:rsidRPr="002A77C6">
        <w:rPr>
          <w:rFonts w:ascii="Times New Roman" w:hAnsi="Times New Roman"/>
          <w:sz w:val="24"/>
          <w:szCs w:val="24"/>
        </w:rPr>
        <w:t>inistra lub Szefa Kancelarii Prezesa Rady Ministrów za zgodą Rady Ministrów, udzieloną na jego wniosek,</w:t>
      </w:r>
      <w:r w:rsidRPr="002A77C6">
        <w:rPr>
          <w:rFonts w:ascii="Times New Roman" w:eastAsia="Times New Roman" w:hAnsi="Times New Roman"/>
          <w:sz w:val="24"/>
          <w:szCs w:val="24"/>
        </w:rPr>
        <w:t xml:space="preserve"> oraz przez </w:t>
      </w:r>
      <w:r w:rsidRPr="002A77C6">
        <w:rPr>
          <w:rFonts w:ascii="Times New Roman" w:hAnsi="Times New Roman"/>
          <w:sz w:val="24"/>
          <w:szCs w:val="24"/>
        </w:rPr>
        <w:t xml:space="preserve">organ lub kierownika jednostki, o których mowa w art. 139 ust. 2, jako organu wykonującego funkcje organu założycielskiego </w:t>
      </w:r>
      <w:r w:rsidRPr="002A77C6">
        <w:rPr>
          <w:rFonts w:ascii="Times New Roman" w:eastAsia="Times New Roman" w:hAnsi="Times New Roman"/>
          <w:sz w:val="24"/>
          <w:szCs w:val="24"/>
        </w:rPr>
        <w:t xml:space="preserve">(art. 23 ust 2 pkt 1 i 2 ustawy o finansach publicznych). Katalog podmiotów określony w art. 139 ust. 2 nie obejmuje Agencji. </w:t>
      </w:r>
    </w:p>
    <w:p w14:paraId="652895C0" w14:textId="75DFD633" w:rsidR="00055118" w:rsidRPr="002A77C6" w:rsidRDefault="00055118" w:rsidP="00055118">
      <w:pPr>
        <w:suppressAutoHyphens/>
        <w:spacing w:after="120" w:line="360" w:lineRule="auto"/>
        <w:ind w:firstLine="567"/>
        <w:jc w:val="both"/>
        <w:rPr>
          <w:rFonts w:ascii="Times New Roman" w:eastAsia="Times New Roman" w:hAnsi="Times New Roman"/>
          <w:sz w:val="24"/>
          <w:szCs w:val="24"/>
        </w:rPr>
      </w:pPr>
      <w:r w:rsidRPr="002A77C6">
        <w:rPr>
          <w:rFonts w:ascii="Times New Roman" w:eastAsia="Times New Roman" w:hAnsi="Times New Roman"/>
          <w:sz w:val="24"/>
          <w:szCs w:val="24"/>
        </w:rPr>
        <w:t xml:space="preserve">Z </w:t>
      </w:r>
      <w:r w:rsidRPr="002A77C6">
        <w:rPr>
          <w:rFonts w:ascii="Times New Roman" w:eastAsia="SimSun" w:hAnsi="Times New Roman" w:cs="Arial"/>
          <w:kern w:val="1"/>
          <w:sz w:val="24"/>
          <w:szCs w:val="24"/>
          <w:lang w:eastAsia="zh-CN" w:bidi="hi-IN"/>
        </w:rPr>
        <w:t>powyższych</w:t>
      </w:r>
      <w:r w:rsidRPr="002A77C6">
        <w:rPr>
          <w:rFonts w:ascii="Times New Roman" w:eastAsia="Times New Roman" w:hAnsi="Times New Roman"/>
          <w:sz w:val="24"/>
          <w:szCs w:val="24"/>
        </w:rPr>
        <w:t xml:space="preserve"> względów Agencja nie może utworzyć jednostki sektora finansów publicznych w celu wykonania zadań określonych w projektowanym art. 21a ust. 1 ustawy o Agencji.</w:t>
      </w:r>
    </w:p>
    <w:p w14:paraId="6105CF0C" w14:textId="5AF760BF" w:rsidR="00055118" w:rsidRPr="002A77C6" w:rsidRDefault="00055118" w:rsidP="00055118">
      <w:pPr>
        <w:suppressAutoHyphens/>
        <w:spacing w:after="120" w:line="360" w:lineRule="auto"/>
        <w:ind w:firstLine="567"/>
        <w:jc w:val="both"/>
      </w:pPr>
      <w:r w:rsidRPr="002A77C6">
        <w:rPr>
          <w:rFonts w:ascii="Times New Roman" w:eastAsia="Times New Roman" w:hAnsi="Times New Roman"/>
          <w:sz w:val="24"/>
          <w:szCs w:val="24"/>
        </w:rPr>
        <w:t>Wobec powyższego optymalnym rozwiązaniem jest utworzenie spółki z ograniczoną odpowiedzialn</w:t>
      </w:r>
      <w:r w:rsidR="00EA405B">
        <w:rPr>
          <w:rFonts w:ascii="Times New Roman" w:eastAsia="Times New Roman" w:hAnsi="Times New Roman"/>
          <w:sz w:val="24"/>
          <w:szCs w:val="24"/>
        </w:rPr>
        <w:t>ością</w:t>
      </w:r>
      <w:r w:rsidRPr="002A77C6">
        <w:rPr>
          <w:rFonts w:ascii="Times New Roman" w:eastAsia="Times New Roman" w:hAnsi="Times New Roman"/>
          <w:sz w:val="24"/>
          <w:szCs w:val="24"/>
        </w:rPr>
        <w:t xml:space="preserve">. Z uwagi na charakter spółek osobowych zwykle są one tworzone w celu  prowadzenia działalności w mniejszym zakresie.  </w:t>
      </w:r>
    </w:p>
    <w:p w14:paraId="36E4F991" w14:textId="71E27ECF" w:rsidR="00055118" w:rsidRPr="002A77C6" w:rsidRDefault="00055118" w:rsidP="00055118">
      <w:pPr>
        <w:suppressAutoHyphens/>
        <w:spacing w:after="120" w:line="360" w:lineRule="auto"/>
        <w:ind w:firstLine="567"/>
        <w:jc w:val="both"/>
      </w:pPr>
      <w:r w:rsidRPr="002A77C6">
        <w:rPr>
          <w:rFonts w:ascii="Times New Roman" w:eastAsia="Times New Roman" w:hAnsi="Times New Roman"/>
          <w:sz w:val="24"/>
          <w:szCs w:val="24"/>
        </w:rPr>
        <w:t xml:space="preserve">Co do spółki akcyjnej zaś, to pośród innych różnic w stosunku do spółki z ograniczoną odpowiedzialnością podkreślenia wymaga, że w przypadku spółki akcyjnej wyłączony jest </w:t>
      </w:r>
      <w:r w:rsidRPr="002A77C6">
        <w:rPr>
          <w:rFonts w:ascii="Times New Roman" w:eastAsia="Times New Roman" w:hAnsi="Times New Roman"/>
          <w:sz w:val="24"/>
          <w:szCs w:val="24"/>
        </w:rPr>
        <w:lastRenderedPageBreak/>
        <w:t xml:space="preserve">indywidualny nadzór wspólników nad spółką. Ponadto, w przypadku spółki akcyjnej, znacznie mniej elastyczne jest funkcjonowanie takiej spółki. W szczególności protokoły walnego zgromadzenia muszą być sporządzane w formie aktu notarialnego, posiedzenia walnego zgromadzenia muszą być co do zasady zwoływane </w:t>
      </w:r>
      <w:r w:rsidR="00EA405B">
        <w:rPr>
          <w:rFonts w:ascii="Times New Roman" w:eastAsia="Times New Roman" w:hAnsi="Times New Roman"/>
          <w:sz w:val="24"/>
          <w:szCs w:val="24"/>
        </w:rPr>
        <w:t>z</w:t>
      </w:r>
      <w:r w:rsidRPr="002A77C6">
        <w:rPr>
          <w:rFonts w:ascii="Times New Roman" w:eastAsia="Times New Roman" w:hAnsi="Times New Roman"/>
          <w:sz w:val="24"/>
          <w:szCs w:val="24"/>
        </w:rPr>
        <w:t xml:space="preserve"> określonym wyprzedzeniem, a ponadto obligatoryjne jest tworzenie kapitału zapasowego na pokrycie straty (do którego przelewa się co najmniej 8% zysku za dany rok obrotowy, dopóki kapitał ten nie osiągnie co najmniej jednej trzeciej kapitału zakładowego). </w:t>
      </w:r>
    </w:p>
    <w:p w14:paraId="09471356" w14:textId="5A81F01A" w:rsidR="00055118" w:rsidRPr="002A77C6" w:rsidRDefault="00055118" w:rsidP="00055118">
      <w:pPr>
        <w:suppressAutoHyphens/>
        <w:spacing w:after="120" w:line="360" w:lineRule="auto"/>
        <w:ind w:firstLine="567"/>
        <w:jc w:val="both"/>
        <w:rPr>
          <w:rFonts w:ascii="Times New Roman" w:eastAsia="Times New Roman" w:hAnsi="Times New Roman"/>
          <w:sz w:val="24"/>
          <w:szCs w:val="24"/>
        </w:rPr>
      </w:pPr>
      <w:r w:rsidRPr="002A77C6">
        <w:rPr>
          <w:rFonts w:ascii="Times New Roman" w:eastAsia="Times New Roman" w:hAnsi="Times New Roman"/>
          <w:sz w:val="24"/>
          <w:szCs w:val="24"/>
        </w:rPr>
        <w:t>Takie rozwiązania nie obowiązują w spółce z ograniczoną odpowiedzialnością. Dlatego też spółka z ograniczoną odpowiedzialnością zapewnia większą elastyczność działania, a jednocześnie większe uprawnienia dla wspólników w zakresie kontroli i nadzoru nad działalnością spółki.</w:t>
      </w:r>
    </w:p>
    <w:p w14:paraId="06BD6DB0" w14:textId="3A209498" w:rsidR="00055118" w:rsidRPr="002A77C6" w:rsidRDefault="00055118" w:rsidP="00055118">
      <w:pPr>
        <w:suppressAutoHyphens/>
        <w:spacing w:after="120" w:line="360" w:lineRule="auto"/>
        <w:ind w:firstLine="567"/>
        <w:jc w:val="both"/>
        <w:rPr>
          <w:rFonts w:ascii="Times New Roman" w:eastAsia="SimSun" w:hAnsi="Times New Roman"/>
          <w:sz w:val="24"/>
          <w:szCs w:val="24"/>
        </w:rPr>
      </w:pPr>
      <w:r w:rsidRPr="002A77C6">
        <w:rPr>
          <w:rFonts w:ascii="Times New Roman" w:eastAsia="SimSun" w:hAnsi="Times New Roman"/>
          <w:sz w:val="24"/>
          <w:szCs w:val="24"/>
        </w:rPr>
        <w:t xml:space="preserve">Ponadto </w:t>
      </w:r>
      <w:r w:rsidRPr="002A77C6">
        <w:rPr>
          <w:rFonts w:ascii="Times New Roman" w:eastAsia="Times New Roman" w:hAnsi="Times New Roman"/>
          <w:sz w:val="24"/>
          <w:szCs w:val="24"/>
        </w:rPr>
        <w:t>budowanie</w:t>
      </w:r>
      <w:r w:rsidRPr="002A77C6">
        <w:rPr>
          <w:rFonts w:ascii="Times New Roman" w:eastAsia="SimSun" w:hAnsi="Times New Roman"/>
          <w:sz w:val="24"/>
          <w:szCs w:val="24"/>
        </w:rPr>
        <w:t xml:space="preserve"> wykwalifikowanego zespołu, który sprosta wszystkim wskazanym wyżej zadaniom w zakresie obsługi IT </w:t>
      </w:r>
      <w:r w:rsidR="002A77C6" w:rsidRPr="002A77C6">
        <w:rPr>
          <w:rFonts w:ascii="Times New Roman" w:eastAsia="SimSun" w:hAnsi="Times New Roman"/>
          <w:sz w:val="24"/>
          <w:szCs w:val="24"/>
        </w:rPr>
        <w:t>ARiMR</w:t>
      </w:r>
      <w:r w:rsidRPr="002A77C6">
        <w:rPr>
          <w:rFonts w:ascii="Times New Roman" w:eastAsia="SimSun" w:hAnsi="Times New Roman"/>
          <w:sz w:val="24"/>
          <w:szCs w:val="24"/>
        </w:rPr>
        <w:t xml:space="preserve">, wymaga przede wszystkim zapewnienia odpowiedniej wysokości wynagrodzeń. </w:t>
      </w:r>
    </w:p>
    <w:p w14:paraId="2C25A931" w14:textId="5BB6D686" w:rsidR="00055118" w:rsidRPr="002A77C6" w:rsidRDefault="00055118" w:rsidP="00055118">
      <w:pPr>
        <w:suppressAutoHyphens/>
        <w:spacing w:after="120" w:line="360" w:lineRule="auto"/>
        <w:ind w:firstLine="567"/>
        <w:jc w:val="both"/>
        <w:rPr>
          <w:rFonts w:ascii="Times New Roman" w:eastAsia="SimSun" w:hAnsi="Times New Roman"/>
          <w:sz w:val="24"/>
          <w:szCs w:val="24"/>
        </w:rPr>
      </w:pPr>
      <w:r w:rsidRPr="002A77C6">
        <w:rPr>
          <w:rFonts w:ascii="Times New Roman" w:eastAsia="SimSun" w:hAnsi="Times New Roman"/>
          <w:sz w:val="24"/>
          <w:szCs w:val="24"/>
        </w:rPr>
        <w:t xml:space="preserve">Zasady wynagradzania pracowników </w:t>
      </w:r>
      <w:r w:rsidR="002A77C6" w:rsidRPr="002A77C6">
        <w:rPr>
          <w:rFonts w:ascii="Times New Roman" w:eastAsia="SimSun" w:hAnsi="Times New Roman"/>
          <w:sz w:val="24"/>
          <w:szCs w:val="24"/>
        </w:rPr>
        <w:t>ARiMR</w:t>
      </w:r>
      <w:r w:rsidRPr="002A77C6">
        <w:rPr>
          <w:rFonts w:ascii="Times New Roman" w:eastAsia="SimSun" w:hAnsi="Times New Roman"/>
          <w:sz w:val="24"/>
          <w:szCs w:val="24"/>
        </w:rPr>
        <w:t xml:space="preserve"> są określone w regulaminie wynagradzania, ustalonym przez Prezesa Agencji za zgodą ministra właściwego do spraw finansów publicznych i ministra właściwego do spraw rozwoju wsi (art. 21 ust. 6 ustawy o Agencji</w:t>
      </w:r>
      <w:r w:rsidR="002A77C6" w:rsidRPr="002A77C6">
        <w:rPr>
          <w:rFonts w:ascii="Times New Roman" w:eastAsia="SimSun" w:hAnsi="Times New Roman"/>
          <w:sz w:val="24"/>
          <w:szCs w:val="24"/>
        </w:rPr>
        <w:t xml:space="preserve"> ).</w:t>
      </w:r>
      <w:r w:rsidRPr="002A77C6">
        <w:rPr>
          <w:rFonts w:ascii="Times New Roman" w:eastAsia="SimSun" w:hAnsi="Times New Roman"/>
          <w:sz w:val="24"/>
          <w:szCs w:val="24"/>
        </w:rPr>
        <w:t xml:space="preserve"> Jednakże, jak zostało wskazane powyżej, </w:t>
      </w:r>
      <w:r w:rsidR="002A77C6" w:rsidRPr="002A77C6">
        <w:rPr>
          <w:rFonts w:ascii="Times New Roman" w:eastAsia="SimSun" w:hAnsi="Times New Roman"/>
          <w:sz w:val="24"/>
          <w:szCs w:val="24"/>
        </w:rPr>
        <w:t>ARiMR</w:t>
      </w:r>
      <w:r w:rsidRPr="002A77C6">
        <w:rPr>
          <w:rFonts w:ascii="Times New Roman" w:eastAsia="SimSun" w:hAnsi="Times New Roman"/>
          <w:sz w:val="24"/>
          <w:szCs w:val="24"/>
        </w:rPr>
        <w:t xml:space="preserve"> jest agencją wykonawczą, a zatem wynagrodzenia pracowników są ustalane według standardów obowiązujących w administracji państwowej, a nie stawek rynkowych, co jest widoczne zwłaszcza w</w:t>
      </w:r>
      <w:r w:rsidR="00EA405B">
        <w:rPr>
          <w:rFonts w:ascii="Times New Roman" w:eastAsia="SimSun" w:hAnsi="Times New Roman"/>
          <w:sz w:val="24"/>
          <w:szCs w:val="24"/>
        </w:rPr>
        <w:t xml:space="preserve"> </w:t>
      </w:r>
      <w:r w:rsidRPr="002A77C6">
        <w:rPr>
          <w:rFonts w:ascii="Times New Roman" w:eastAsia="SimSun" w:hAnsi="Times New Roman"/>
          <w:sz w:val="24"/>
          <w:szCs w:val="24"/>
        </w:rPr>
        <w:t>obszarze IT.</w:t>
      </w:r>
    </w:p>
    <w:p w14:paraId="3BD895BE" w14:textId="793FD584" w:rsidR="00055118" w:rsidRPr="002A77C6" w:rsidRDefault="00055118" w:rsidP="00055118">
      <w:pPr>
        <w:suppressAutoHyphens/>
        <w:spacing w:after="120" w:line="360" w:lineRule="auto"/>
        <w:ind w:firstLine="567"/>
        <w:jc w:val="both"/>
        <w:rPr>
          <w:rFonts w:ascii="Times New Roman" w:eastAsia="SimSun" w:hAnsi="Times New Roman"/>
          <w:sz w:val="24"/>
          <w:szCs w:val="24"/>
        </w:rPr>
      </w:pPr>
      <w:r w:rsidRPr="002A77C6">
        <w:rPr>
          <w:rFonts w:ascii="Times New Roman" w:eastAsia="SimSun" w:hAnsi="Times New Roman"/>
          <w:sz w:val="24"/>
          <w:szCs w:val="24"/>
        </w:rPr>
        <w:t xml:space="preserve">Dla przykładu wskazać należy, że zgodnie z regulaminem wynagradzania </w:t>
      </w:r>
      <w:r w:rsidR="002A77C6" w:rsidRPr="002A77C6">
        <w:rPr>
          <w:rFonts w:ascii="Times New Roman" w:eastAsia="SimSun" w:hAnsi="Times New Roman"/>
          <w:sz w:val="24"/>
          <w:szCs w:val="24"/>
        </w:rPr>
        <w:t>ARiMR</w:t>
      </w:r>
      <w:r w:rsidRPr="002A77C6">
        <w:rPr>
          <w:rFonts w:ascii="Times New Roman" w:eastAsia="SimSun" w:hAnsi="Times New Roman"/>
          <w:sz w:val="24"/>
          <w:szCs w:val="24"/>
        </w:rPr>
        <w:t>, wynagrodzenie zasadnicze kierownika projektu mieści się w przedziale od 3956 do 8567 zł, a starszego kierownika projektu od 8675 do 12 614 zł. Natomiast średnie „rynkowe” wynagrodzenie oferowane na analogicznym stanowisku (IT project manager) wynosi 17</w:t>
      </w:r>
      <w:r w:rsidR="00EA405B">
        <w:rPr>
          <w:rFonts w:ascii="Times New Roman" w:eastAsia="SimSun" w:hAnsi="Times New Roman"/>
          <w:sz w:val="24"/>
          <w:szCs w:val="24"/>
        </w:rPr>
        <w:t> </w:t>
      </w:r>
      <w:r w:rsidRPr="002A77C6">
        <w:rPr>
          <w:rFonts w:ascii="Times New Roman" w:eastAsia="SimSun" w:hAnsi="Times New Roman"/>
          <w:sz w:val="24"/>
          <w:szCs w:val="24"/>
        </w:rPr>
        <w:t>000</w:t>
      </w:r>
      <w:r w:rsidR="00EA405B">
        <w:rPr>
          <w:rFonts w:ascii="Times New Roman" w:eastAsia="SimSun" w:hAnsi="Times New Roman"/>
          <w:sz w:val="24"/>
          <w:szCs w:val="24"/>
        </w:rPr>
        <w:t> </w:t>
      </w:r>
      <w:r w:rsidRPr="002A77C6">
        <w:rPr>
          <w:rFonts w:ascii="Times New Roman" w:eastAsia="SimSun" w:hAnsi="Times New Roman"/>
          <w:sz w:val="24"/>
          <w:szCs w:val="24"/>
        </w:rPr>
        <w:t>zł.</w:t>
      </w:r>
      <w:r w:rsidRPr="002A77C6">
        <w:rPr>
          <w:rFonts w:ascii="Times New Roman" w:eastAsia="SimSun" w:hAnsi="Times New Roman"/>
          <w:sz w:val="24"/>
          <w:szCs w:val="24"/>
          <w:vertAlign w:val="superscript"/>
        </w:rPr>
        <w:footnoteReference w:id="4"/>
      </w:r>
      <w:r w:rsidRPr="002A77C6">
        <w:rPr>
          <w:rFonts w:ascii="Times New Roman" w:eastAsia="SimSun" w:hAnsi="Times New Roman"/>
          <w:sz w:val="24"/>
          <w:szCs w:val="24"/>
          <w:vertAlign w:val="superscript"/>
        </w:rPr>
        <w:t>)</w:t>
      </w:r>
      <w:r w:rsidRPr="002A77C6">
        <w:rPr>
          <w:rFonts w:ascii="Times New Roman" w:eastAsia="SimSun" w:hAnsi="Times New Roman"/>
          <w:sz w:val="24"/>
          <w:szCs w:val="24"/>
        </w:rPr>
        <w:t xml:space="preserve"> Ponadto średnie wynagrodzenia w </w:t>
      </w:r>
      <w:r w:rsidR="002A77C6" w:rsidRPr="002A77C6">
        <w:rPr>
          <w:rFonts w:ascii="Times New Roman" w:eastAsia="SimSun" w:hAnsi="Times New Roman"/>
          <w:sz w:val="24"/>
          <w:szCs w:val="24"/>
        </w:rPr>
        <w:t>ARiMR</w:t>
      </w:r>
      <w:r w:rsidRPr="002A77C6">
        <w:rPr>
          <w:rFonts w:ascii="Times New Roman" w:eastAsia="SimSun" w:hAnsi="Times New Roman"/>
          <w:sz w:val="24"/>
          <w:szCs w:val="24"/>
        </w:rPr>
        <w:t xml:space="preserve"> na poszczególnych stanowiskach wynoszą:</w:t>
      </w:r>
    </w:p>
    <w:p w14:paraId="7EF564CC" w14:textId="1266B125" w:rsidR="00055118" w:rsidRPr="002A77C6" w:rsidRDefault="00055118" w:rsidP="00055118">
      <w:pPr>
        <w:snapToGrid w:val="0"/>
        <w:spacing w:line="360" w:lineRule="auto"/>
        <w:jc w:val="both"/>
        <w:rPr>
          <w:rFonts w:ascii="Times New Roman" w:eastAsia="SimSun" w:hAnsi="Times New Roman"/>
          <w:sz w:val="24"/>
          <w:szCs w:val="24"/>
        </w:rPr>
      </w:pPr>
      <w:r w:rsidRPr="002A77C6">
        <w:rPr>
          <w:rFonts w:ascii="Times New Roman" w:eastAsia="SimSun" w:hAnsi="Times New Roman"/>
          <w:sz w:val="24"/>
          <w:szCs w:val="24"/>
        </w:rPr>
        <w:t>1) Młodszy Inżynier IT – 7499 zł</w:t>
      </w:r>
      <w:r w:rsidR="00EA405B">
        <w:rPr>
          <w:rFonts w:ascii="Times New Roman" w:eastAsia="SimSun" w:hAnsi="Times New Roman"/>
          <w:sz w:val="24"/>
          <w:szCs w:val="24"/>
        </w:rPr>
        <w:t>;</w:t>
      </w:r>
    </w:p>
    <w:p w14:paraId="2728F0F4" w14:textId="76C8B9C2" w:rsidR="00055118" w:rsidRPr="002A77C6" w:rsidRDefault="00055118" w:rsidP="00055118">
      <w:pPr>
        <w:snapToGrid w:val="0"/>
        <w:spacing w:line="360" w:lineRule="auto"/>
        <w:jc w:val="both"/>
        <w:rPr>
          <w:rFonts w:ascii="Times New Roman" w:eastAsia="SimSun" w:hAnsi="Times New Roman"/>
          <w:sz w:val="24"/>
          <w:szCs w:val="24"/>
        </w:rPr>
      </w:pPr>
      <w:r w:rsidRPr="002A77C6">
        <w:rPr>
          <w:rFonts w:ascii="Times New Roman" w:eastAsia="SimSun" w:hAnsi="Times New Roman"/>
          <w:sz w:val="24"/>
          <w:szCs w:val="24"/>
        </w:rPr>
        <w:t>2) Młodszy Programista – 7089 zł</w:t>
      </w:r>
      <w:r w:rsidR="00EA405B">
        <w:rPr>
          <w:rFonts w:ascii="Times New Roman" w:eastAsia="SimSun" w:hAnsi="Times New Roman"/>
          <w:sz w:val="24"/>
          <w:szCs w:val="24"/>
        </w:rPr>
        <w:t>;</w:t>
      </w:r>
    </w:p>
    <w:p w14:paraId="68B08A71" w14:textId="0D8B3C5E" w:rsidR="00055118" w:rsidRPr="002A77C6" w:rsidRDefault="00055118" w:rsidP="00055118">
      <w:pPr>
        <w:snapToGrid w:val="0"/>
        <w:spacing w:line="360" w:lineRule="auto"/>
        <w:jc w:val="both"/>
        <w:rPr>
          <w:rFonts w:ascii="Times New Roman" w:eastAsia="SimSun" w:hAnsi="Times New Roman"/>
          <w:sz w:val="24"/>
          <w:szCs w:val="24"/>
        </w:rPr>
      </w:pPr>
      <w:r w:rsidRPr="002A77C6">
        <w:rPr>
          <w:rFonts w:ascii="Times New Roman" w:eastAsia="SimSun" w:hAnsi="Times New Roman"/>
          <w:sz w:val="24"/>
          <w:szCs w:val="24"/>
        </w:rPr>
        <w:t>3) Starszy Inżynier IT</w:t>
      </w:r>
      <w:r w:rsidRPr="002A77C6">
        <w:rPr>
          <w:rFonts w:ascii="Times New Roman" w:eastAsia="SimSun" w:hAnsi="Times New Roman"/>
          <w:sz w:val="24"/>
          <w:szCs w:val="24"/>
        </w:rPr>
        <w:tab/>
        <w:t xml:space="preserve"> </w:t>
      </w:r>
      <w:r>
        <w:rPr>
          <w:rFonts w:ascii="Times New Roman" w:eastAsia="SimSun" w:hAnsi="Times New Roman"/>
          <w:sz w:val="24"/>
          <w:szCs w:val="24"/>
        </w:rPr>
        <w:t xml:space="preserve">– </w:t>
      </w:r>
      <w:r w:rsidRPr="002A77C6">
        <w:rPr>
          <w:rFonts w:ascii="Times New Roman" w:eastAsia="SimSun" w:hAnsi="Times New Roman"/>
          <w:sz w:val="24"/>
          <w:szCs w:val="24"/>
        </w:rPr>
        <w:t>11 494 zł</w:t>
      </w:r>
      <w:r w:rsidR="00EA405B">
        <w:rPr>
          <w:rFonts w:ascii="Times New Roman" w:eastAsia="SimSun" w:hAnsi="Times New Roman"/>
          <w:sz w:val="24"/>
          <w:szCs w:val="24"/>
        </w:rPr>
        <w:t>;</w:t>
      </w:r>
    </w:p>
    <w:p w14:paraId="57BC0E08" w14:textId="24D0547A" w:rsidR="00055118" w:rsidRPr="002A77C6" w:rsidRDefault="00055118" w:rsidP="00055118">
      <w:pPr>
        <w:snapToGrid w:val="0"/>
        <w:spacing w:line="360" w:lineRule="auto"/>
        <w:jc w:val="both"/>
        <w:rPr>
          <w:rFonts w:ascii="Times New Roman" w:eastAsia="SimSun" w:hAnsi="Times New Roman"/>
          <w:sz w:val="24"/>
          <w:szCs w:val="24"/>
        </w:rPr>
      </w:pPr>
      <w:r w:rsidRPr="002A77C6">
        <w:rPr>
          <w:rFonts w:ascii="Times New Roman" w:eastAsia="SimSun" w:hAnsi="Times New Roman"/>
          <w:sz w:val="24"/>
          <w:szCs w:val="24"/>
        </w:rPr>
        <w:lastRenderedPageBreak/>
        <w:t xml:space="preserve">4) Starszy Programista IT </w:t>
      </w:r>
      <w:r>
        <w:rPr>
          <w:rFonts w:ascii="Times New Roman" w:eastAsia="SimSun" w:hAnsi="Times New Roman"/>
          <w:sz w:val="24"/>
          <w:szCs w:val="24"/>
        </w:rPr>
        <w:t>–</w:t>
      </w:r>
      <w:r w:rsidRPr="002A77C6">
        <w:rPr>
          <w:rFonts w:ascii="Times New Roman" w:eastAsia="SimSun" w:hAnsi="Times New Roman"/>
          <w:sz w:val="24"/>
          <w:szCs w:val="24"/>
        </w:rPr>
        <w:t xml:space="preserve"> 12 171 zł.</w:t>
      </w:r>
    </w:p>
    <w:p w14:paraId="647321D8" w14:textId="77777777" w:rsidR="00055118" w:rsidRPr="002A77C6" w:rsidRDefault="00055118" w:rsidP="00055118">
      <w:pPr>
        <w:suppressAutoHyphens/>
        <w:spacing w:after="120" w:line="360" w:lineRule="auto"/>
        <w:ind w:firstLine="567"/>
        <w:jc w:val="both"/>
        <w:rPr>
          <w:rFonts w:ascii="Times New Roman" w:eastAsia="SimSun" w:hAnsi="Times New Roman"/>
          <w:sz w:val="24"/>
          <w:szCs w:val="24"/>
        </w:rPr>
      </w:pPr>
      <w:r w:rsidRPr="002A77C6">
        <w:rPr>
          <w:rFonts w:ascii="Times New Roman" w:eastAsia="SimSun" w:hAnsi="Times New Roman"/>
          <w:sz w:val="24"/>
          <w:szCs w:val="24"/>
        </w:rPr>
        <w:t>Natomiast według raportów rynkowych, np. na stanowisku DevOps Engineer najczęściej oferowane wynagrodzenie wynosi ok. 17 000 zł, a na stanowiskach programistów w różnych językach (developer) od 11 000 do 17 000 zł.</w:t>
      </w:r>
      <w:r w:rsidRPr="002A77C6">
        <w:rPr>
          <w:rFonts w:ascii="Times New Roman" w:eastAsia="SimSun" w:hAnsi="Times New Roman"/>
          <w:sz w:val="24"/>
          <w:szCs w:val="24"/>
          <w:vertAlign w:val="superscript"/>
        </w:rPr>
        <w:footnoteReference w:id="5"/>
      </w:r>
      <w:r w:rsidRPr="002A77C6">
        <w:rPr>
          <w:rFonts w:ascii="Times New Roman" w:eastAsia="SimSun" w:hAnsi="Times New Roman"/>
          <w:sz w:val="24"/>
          <w:szCs w:val="24"/>
          <w:vertAlign w:val="superscript"/>
        </w:rPr>
        <w:t>)</w:t>
      </w:r>
    </w:p>
    <w:p w14:paraId="2FE64C9D" w14:textId="3197A36A" w:rsidR="00055118" w:rsidRPr="002A77C6" w:rsidRDefault="00055118" w:rsidP="00055118">
      <w:pPr>
        <w:suppressAutoHyphens/>
        <w:spacing w:after="120" w:line="360" w:lineRule="auto"/>
        <w:ind w:firstLine="567"/>
        <w:jc w:val="both"/>
        <w:rPr>
          <w:rFonts w:ascii="Times New Roman" w:eastAsia="SimSun" w:hAnsi="Times New Roman"/>
          <w:sz w:val="24"/>
          <w:szCs w:val="24"/>
        </w:rPr>
      </w:pPr>
      <w:r w:rsidRPr="002A77C6">
        <w:rPr>
          <w:rFonts w:ascii="Times New Roman" w:eastAsia="SimSun" w:hAnsi="Times New Roman"/>
          <w:sz w:val="24"/>
          <w:szCs w:val="24"/>
        </w:rPr>
        <w:t xml:space="preserve">W obecnej sytuacji rynkowej zatem utrzymanie stabilności zespołu i zachowanie pracowników o wysokich kwalifikacjach może być znacznie utrudnione przy utrzymaniu status quo, czyli kontynuacji prac w ramach </w:t>
      </w:r>
      <w:r>
        <w:rPr>
          <w:rFonts w:ascii="Times New Roman" w:eastAsia="SimSun" w:hAnsi="Times New Roman"/>
          <w:sz w:val="24"/>
          <w:szCs w:val="24"/>
        </w:rPr>
        <w:t>Agencji</w:t>
      </w:r>
      <w:r w:rsidRPr="002A77C6">
        <w:rPr>
          <w:rFonts w:ascii="Times New Roman" w:eastAsia="SimSun" w:hAnsi="Times New Roman"/>
          <w:sz w:val="24"/>
          <w:szCs w:val="24"/>
        </w:rPr>
        <w:t xml:space="preserve">, przy ograniczonych możliwościach finansowych wynikających z siatki płac w administracji. Stąd też proponuje się utworzenie wyspecjalizowanego podmiotu do realizacji powyższych zadań, przy czym proponuje się, </w:t>
      </w:r>
      <w:r w:rsidR="00EA405B">
        <w:rPr>
          <w:rFonts w:ascii="Times New Roman" w:eastAsia="SimSun" w:hAnsi="Times New Roman"/>
          <w:sz w:val="24"/>
          <w:szCs w:val="24"/>
        </w:rPr>
        <w:t>a</w:t>
      </w:r>
      <w:r w:rsidRPr="002A77C6">
        <w:rPr>
          <w:rFonts w:ascii="Times New Roman" w:eastAsia="SimSun" w:hAnsi="Times New Roman"/>
          <w:sz w:val="24"/>
          <w:szCs w:val="24"/>
        </w:rPr>
        <w:t>by była to spółka prawa handlowego (spółka kapitałowa), a nie jednostka sektora finansów publicznych. Rozwiązanie takie doprowadzi do „urynkowienia” wynagrodzeń, co pozwala przyjąć założenie, że przyczyni się to do stworzenia stabilnego zespołu o wysokich kwalifikacjach.</w:t>
      </w:r>
    </w:p>
    <w:p w14:paraId="3115E127" w14:textId="2164D501" w:rsidR="00055118" w:rsidRPr="002A77C6" w:rsidRDefault="00055118" w:rsidP="00055118">
      <w:pPr>
        <w:suppressAutoHyphens/>
        <w:spacing w:after="120" w:line="360" w:lineRule="auto"/>
        <w:ind w:firstLine="567"/>
        <w:jc w:val="both"/>
        <w:rPr>
          <w:rFonts w:ascii="Times New Roman" w:eastAsia="SimSun" w:hAnsi="Times New Roman"/>
          <w:sz w:val="24"/>
          <w:szCs w:val="24"/>
        </w:rPr>
      </w:pPr>
      <w:r w:rsidRPr="002A77C6">
        <w:rPr>
          <w:rFonts w:ascii="Times New Roman" w:eastAsia="SimSun" w:hAnsi="Times New Roman"/>
          <w:sz w:val="24"/>
          <w:szCs w:val="24"/>
        </w:rPr>
        <w:t>Co więcej, proponowane rozwiązanie pozwoli na uelastycznienie samego procesu rekrutacji, na wzór rozwiązań rynkowych. Dodatkowo rozwiązanie takie da możliwość stosowania innych form zatrudnienia</w:t>
      </w:r>
      <w:r w:rsidR="00EA405B">
        <w:rPr>
          <w:rFonts w:ascii="Times New Roman" w:eastAsia="SimSun" w:hAnsi="Times New Roman"/>
          <w:sz w:val="24"/>
          <w:szCs w:val="24"/>
        </w:rPr>
        <w:t>,</w:t>
      </w:r>
      <w:r w:rsidRPr="002A77C6">
        <w:rPr>
          <w:rFonts w:ascii="Times New Roman" w:eastAsia="SimSun" w:hAnsi="Times New Roman"/>
          <w:sz w:val="24"/>
          <w:szCs w:val="24"/>
        </w:rPr>
        <w:t xml:space="preserve"> np. B2B, a także da możliwość stosowania w szerokim zakresie pracy zdalnej czy elastycznego czasu pracy.</w:t>
      </w:r>
    </w:p>
    <w:p w14:paraId="2F6B5EE6" w14:textId="344C4362" w:rsidR="00055118" w:rsidRPr="002A77C6" w:rsidRDefault="00055118" w:rsidP="00055118">
      <w:pPr>
        <w:suppressAutoHyphens/>
        <w:spacing w:after="120" w:line="360" w:lineRule="auto"/>
        <w:ind w:firstLine="567"/>
        <w:jc w:val="both"/>
        <w:rPr>
          <w:rFonts w:ascii="Times New Roman" w:eastAsia="SimSun" w:hAnsi="Times New Roman"/>
          <w:sz w:val="24"/>
          <w:szCs w:val="24"/>
        </w:rPr>
      </w:pPr>
      <w:r w:rsidRPr="002A77C6">
        <w:rPr>
          <w:rFonts w:ascii="Times New Roman" w:eastAsia="SimSun" w:hAnsi="Times New Roman"/>
          <w:sz w:val="24"/>
          <w:szCs w:val="24"/>
        </w:rPr>
        <w:t xml:space="preserve">Jednocześnie „urynkowienie” wynagrodzeń pracowników Departamentu Informatyki </w:t>
      </w:r>
      <w:r w:rsidRPr="002A77C6">
        <w:rPr>
          <w:rFonts w:ascii="Times New Roman" w:eastAsia="SimSun" w:hAnsi="Times New Roman"/>
          <w:sz w:val="24"/>
          <w:szCs w:val="24"/>
        </w:rPr>
        <w:br/>
        <w:t xml:space="preserve">w ramach Agencji nie wydaje się możliwe. Przede wszystkim spowodowałoby to uzasadniony zarzut dyskryminowania innych pracowników. </w:t>
      </w:r>
    </w:p>
    <w:p w14:paraId="45246D34" w14:textId="7EC6148A" w:rsidR="00055118" w:rsidRPr="002A77C6" w:rsidRDefault="00055118" w:rsidP="00055118">
      <w:pPr>
        <w:suppressAutoHyphens/>
        <w:spacing w:after="120" w:line="360" w:lineRule="auto"/>
        <w:ind w:firstLine="567"/>
        <w:jc w:val="both"/>
        <w:rPr>
          <w:rFonts w:ascii="Times New Roman" w:eastAsia="Times New Roman" w:hAnsi="Times New Roman"/>
          <w:sz w:val="24"/>
          <w:szCs w:val="24"/>
        </w:rPr>
      </w:pPr>
      <w:r w:rsidRPr="002A77C6">
        <w:rPr>
          <w:rFonts w:ascii="Times New Roman" w:eastAsia="SimSun" w:hAnsi="Times New Roman"/>
          <w:sz w:val="24"/>
          <w:szCs w:val="24"/>
        </w:rPr>
        <w:t xml:space="preserve">Wskazanej powyżej elastyczności na etapie pozyskiwania oraz utrzymania pracowników nie zapewni, jak się wydaje, stworzenie podmiotu w formie jednostki budżetowej czy instytucji gospodarki budżetowej. Wynika to z faktu, że takie formy działalności podlegają reżimowi ustawy o finansach publicznych, a tym samym zasadom wynagradzania obowiązującym w administracji publicznej. Ma to o tyle istotne znaczenie, że jak zostało wskazane powyżej, docelowo spółka ma przejąć od podmiotów zewnętrznych rozwój i utrzymanie kluczowych systemów </w:t>
      </w:r>
      <w:r w:rsidR="002A77C6" w:rsidRPr="002A77C6">
        <w:rPr>
          <w:rFonts w:ascii="Times New Roman" w:eastAsia="SimSun" w:hAnsi="Times New Roman"/>
          <w:sz w:val="24"/>
          <w:szCs w:val="24"/>
        </w:rPr>
        <w:t>ARiMR</w:t>
      </w:r>
      <w:r w:rsidRPr="002A77C6">
        <w:rPr>
          <w:rFonts w:ascii="Times New Roman" w:eastAsia="SimSun" w:hAnsi="Times New Roman"/>
          <w:sz w:val="24"/>
          <w:szCs w:val="24"/>
        </w:rPr>
        <w:t xml:space="preserve">. Wiązać się to będzie z rozwojem zespołu –  do prawie 300 osób, które będzie należało pozyskać z rynku.  </w:t>
      </w:r>
    </w:p>
    <w:p w14:paraId="217E40F4" w14:textId="311FB230" w:rsidR="00055118" w:rsidRPr="002A77C6" w:rsidRDefault="00055118" w:rsidP="00055118">
      <w:pPr>
        <w:suppressAutoHyphens/>
        <w:spacing w:after="120" w:line="360" w:lineRule="auto"/>
        <w:ind w:firstLine="567"/>
        <w:jc w:val="both"/>
        <w:rPr>
          <w:rFonts w:ascii="Times New Roman" w:eastAsia="Times New Roman" w:hAnsi="Times New Roman"/>
          <w:sz w:val="24"/>
          <w:szCs w:val="24"/>
        </w:rPr>
      </w:pPr>
      <w:r w:rsidRPr="002A77C6">
        <w:rPr>
          <w:rFonts w:ascii="Times New Roman" w:eastAsia="Times New Roman" w:hAnsi="Times New Roman"/>
          <w:sz w:val="24"/>
          <w:szCs w:val="24"/>
        </w:rPr>
        <w:t xml:space="preserve">Zakłada się, że pracownikami spółki staną się dotychczasowi pracownicy Agencji, realizujący obecnie ww. zadania. Spółka stanie się stroną stosunków pracy takich </w:t>
      </w:r>
      <w:r w:rsidRPr="002A77C6">
        <w:rPr>
          <w:rFonts w:ascii="Times New Roman" w:eastAsia="Times New Roman" w:hAnsi="Times New Roman"/>
          <w:sz w:val="24"/>
          <w:szCs w:val="24"/>
        </w:rPr>
        <w:lastRenderedPageBreak/>
        <w:t>pracowników na zasadach określonych w art. 23</w:t>
      </w:r>
      <w:r w:rsidRPr="002A77C6">
        <w:rPr>
          <w:rFonts w:ascii="Times New Roman" w:eastAsia="Times New Roman" w:hAnsi="Times New Roman"/>
          <w:sz w:val="24"/>
          <w:szCs w:val="24"/>
          <w:vertAlign w:val="superscript"/>
        </w:rPr>
        <w:t>1</w:t>
      </w:r>
      <w:r w:rsidRPr="002A77C6">
        <w:rPr>
          <w:rFonts w:ascii="Times New Roman" w:eastAsia="Times New Roman" w:hAnsi="Times New Roman"/>
          <w:sz w:val="24"/>
          <w:szCs w:val="24"/>
        </w:rPr>
        <w:t xml:space="preserve"> </w:t>
      </w:r>
      <w:r w:rsidR="00BE3E11">
        <w:rPr>
          <w:rFonts w:ascii="Times New Roman" w:eastAsia="Times New Roman" w:hAnsi="Times New Roman"/>
          <w:sz w:val="24"/>
          <w:szCs w:val="24"/>
        </w:rPr>
        <w:t>K</w:t>
      </w:r>
      <w:r w:rsidR="002A77C6" w:rsidRPr="002A77C6">
        <w:rPr>
          <w:rFonts w:ascii="Times New Roman" w:eastAsia="Times New Roman" w:hAnsi="Times New Roman"/>
          <w:sz w:val="24"/>
          <w:szCs w:val="24"/>
        </w:rPr>
        <w:t>odeksu</w:t>
      </w:r>
      <w:r w:rsidRPr="002A77C6">
        <w:rPr>
          <w:rFonts w:ascii="Times New Roman" w:eastAsia="Times New Roman" w:hAnsi="Times New Roman"/>
          <w:sz w:val="24"/>
          <w:szCs w:val="24"/>
        </w:rPr>
        <w:t xml:space="preserve"> pracy. </w:t>
      </w:r>
    </w:p>
    <w:p w14:paraId="038E9B0C" w14:textId="521C68A1" w:rsidR="00055118" w:rsidRPr="002A77C6" w:rsidRDefault="00055118" w:rsidP="00055118">
      <w:pPr>
        <w:suppressAutoHyphens/>
        <w:spacing w:after="120" w:line="360" w:lineRule="auto"/>
        <w:ind w:firstLine="567"/>
        <w:jc w:val="both"/>
        <w:rPr>
          <w:rFonts w:ascii="Times New Roman" w:eastAsia="Times New Roman" w:hAnsi="Times New Roman"/>
          <w:sz w:val="24"/>
          <w:szCs w:val="24"/>
        </w:rPr>
      </w:pPr>
      <w:r w:rsidRPr="002A77C6">
        <w:rPr>
          <w:rFonts w:ascii="Times New Roman" w:eastAsia="Times New Roman" w:hAnsi="Times New Roman"/>
          <w:sz w:val="24"/>
          <w:szCs w:val="24"/>
        </w:rPr>
        <w:t>W zakresie mienia niezbędnego do wykonywania zadań spółki zakłada się, że spółka będzie mogła wykorzystywać mienie dotychczas wykorzystywane przez Agencję do realizacji ww. zadań. Nastąpi to na podstawie umów zawartych z Agencją</w:t>
      </w:r>
      <w:r>
        <w:rPr>
          <w:rFonts w:ascii="Times New Roman" w:eastAsia="Times New Roman" w:hAnsi="Times New Roman"/>
          <w:sz w:val="24"/>
          <w:szCs w:val="24"/>
        </w:rPr>
        <w:t>, a</w:t>
      </w:r>
      <w:r w:rsidRPr="002A77C6">
        <w:rPr>
          <w:rFonts w:ascii="Times New Roman" w:eastAsia="Times New Roman" w:hAnsi="Times New Roman"/>
          <w:sz w:val="24"/>
          <w:szCs w:val="24"/>
        </w:rPr>
        <w:t xml:space="preserve"> mienie takie zostanie wniesione do spółki aportem. </w:t>
      </w:r>
    </w:p>
    <w:p w14:paraId="10DEDD00" w14:textId="77777777" w:rsidR="00055118" w:rsidRPr="002A77C6" w:rsidRDefault="00055118" w:rsidP="00055118">
      <w:pPr>
        <w:suppressAutoHyphens/>
        <w:spacing w:after="120" w:line="360" w:lineRule="auto"/>
        <w:ind w:firstLine="567"/>
        <w:jc w:val="both"/>
        <w:rPr>
          <w:rFonts w:ascii="Times New Roman" w:eastAsia="Times New Roman" w:hAnsi="Times New Roman"/>
          <w:sz w:val="24"/>
          <w:szCs w:val="24"/>
        </w:rPr>
      </w:pPr>
      <w:r w:rsidRPr="002A77C6">
        <w:rPr>
          <w:rFonts w:ascii="Times New Roman" w:eastAsia="Times New Roman" w:hAnsi="Times New Roman"/>
          <w:sz w:val="24"/>
          <w:szCs w:val="24"/>
        </w:rPr>
        <w:t xml:space="preserve">W pozostałym zakresie spółka będzie samodzielnie nabywała mienie, w tym prawa do oprogramowana niezbędnego do realizacji zadań spółki. </w:t>
      </w:r>
    </w:p>
    <w:p w14:paraId="50D100F9" w14:textId="655593E6" w:rsidR="00055118" w:rsidRPr="002A77C6" w:rsidRDefault="00055118" w:rsidP="00055118">
      <w:pPr>
        <w:suppressAutoHyphens/>
        <w:spacing w:after="120" w:line="360" w:lineRule="auto"/>
        <w:ind w:firstLine="567"/>
        <w:jc w:val="both"/>
        <w:rPr>
          <w:rFonts w:ascii="Times New Roman" w:eastAsia="Times New Roman" w:hAnsi="Times New Roman"/>
          <w:sz w:val="24"/>
          <w:szCs w:val="24"/>
        </w:rPr>
      </w:pPr>
      <w:r w:rsidRPr="002A77C6">
        <w:rPr>
          <w:rFonts w:ascii="Times New Roman" w:eastAsia="Times New Roman" w:hAnsi="Times New Roman"/>
          <w:sz w:val="24"/>
          <w:szCs w:val="24"/>
        </w:rPr>
        <w:t xml:space="preserve">Do spółki, w zakresie nieuregulowanym w projektowanych przepisach, zastosowanie znajdą przepisy powszechnie obowiązujące, w szczególności przepisy ustawy </w:t>
      </w:r>
      <w:r>
        <w:rPr>
          <w:rFonts w:ascii="Times New Roman" w:eastAsia="Times New Roman" w:hAnsi="Times New Roman"/>
          <w:sz w:val="24"/>
          <w:szCs w:val="24"/>
        </w:rPr>
        <w:t>–</w:t>
      </w:r>
      <w:r w:rsidRPr="002A77C6">
        <w:rPr>
          <w:rFonts w:ascii="Times New Roman" w:eastAsia="Times New Roman" w:hAnsi="Times New Roman"/>
          <w:sz w:val="24"/>
          <w:szCs w:val="24"/>
        </w:rPr>
        <w:t xml:space="preserve"> Kodeks spółek handlowych.</w:t>
      </w:r>
    </w:p>
    <w:p w14:paraId="7D1F1E3B" w14:textId="77777777" w:rsidR="00055118" w:rsidRPr="002A77C6" w:rsidRDefault="00055118" w:rsidP="00055118">
      <w:pPr>
        <w:suppressAutoHyphens/>
        <w:spacing w:after="120" w:line="360" w:lineRule="auto"/>
        <w:ind w:firstLine="567"/>
        <w:jc w:val="both"/>
        <w:rPr>
          <w:rFonts w:ascii="Times New Roman" w:eastAsia="Times New Roman" w:hAnsi="Times New Roman"/>
          <w:sz w:val="24"/>
          <w:szCs w:val="24"/>
        </w:rPr>
      </w:pPr>
      <w:r w:rsidRPr="002A77C6">
        <w:rPr>
          <w:rFonts w:ascii="Times New Roman" w:eastAsia="Times New Roman" w:hAnsi="Times New Roman"/>
          <w:sz w:val="24"/>
          <w:szCs w:val="24"/>
        </w:rPr>
        <w:t>Do realizacji zdań spółki będą miały także zastosowanie przepisy o informatyzacji działalności podmiotów realizujących zadania publiczne. Zagwarantuje to bezpieczeństwo prowadzonych procesów oraz przetwarzanych danych.</w:t>
      </w:r>
    </w:p>
    <w:p w14:paraId="2DD7AC1B" w14:textId="77777777" w:rsidR="00055118" w:rsidRPr="002A77C6" w:rsidRDefault="00055118" w:rsidP="00055118">
      <w:pPr>
        <w:suppressAutoHyphens/>
        <w:spacing w:after="120" w:line="360" w:lineRule="auto"/>
        <w:ind w:firstLine="567"/>
        <w:jc w:val="both"/>
        <w:rPr>
          <w:rFonts w:ascii="Times New Roman" w:eastAsia="Times New Roman" w:hAnsi="Times New Roman"/>
          <w:sz w:val="24"/>
          <w:szCs w:val="24"/>
        </w:rPr>
      </w:pPr>
      <w:r w:rsidRPr="002A77C6">
        <w:rPr>
          <w:rFonts w:ascii="Times New Roman" w:eastAsia="Times New Roman" w:hAnsi="Times New Roman"/>
          <w:sz w:val="24"/>
          <w:szCs w:val="24"/>
        </w:rPr>
        <w:t xml:space="preserve">Jedynym wspólnikiem w spółce będzie Agencja, która obejmie 100% udziałów w kapitale zakładowym. Dzięki temu Agencja zachowa nadzór i kontrolę nad realizowanymi zadaniami. </w:t>
      </w:r>
    </w:p>
    <w:p w14:paraId="45F24639" w14:textId="603FA129" w:rsidR="00055118" w:rsidRPr="002A77C6" w:rsidRDefault="00055118" w:rsidP="00055118">
      <w:pPr>
        <w:suppressAutoHyphens/>
        <w:spacing w:after="120" w:line="360" w:lineRule="auto"/>
        <w:ind w:firstLine="567"/>
        <w:jc w:val="both"/>
        <w:rPr>
          <w:rFonts w:ascii="Times New Roman" w:eastAsia="Times New Roman" w:hAnsi="Times New Roman"/>
          <w:sz w:val="24"/>
          <w:szCs w:val="24"/>
        </w:rPr>
      </w:pPr>
      <w:r w:rsidRPr="002A77C6">
        <w:rPr>
          <w:rFonts w:ascii="Times New Roman" w:eastAsia="Times New Roman" w:hAnsi="Times New Roman"/>
          <w:sz w:val="24"/>
          <w:szCs w:val="24"/>
        </w:rPr>
        <w:t>Zgodnie z przepisami ustawy – Kodeks spółek handlowych wkłady wnoszone przez wspólników spółek kapitałowych mogą być wkładami pieniężnymi bądź niepieniężnymi. Projektowane przepisy nie wprowadzają szczególnych rozwiązań w tym zakresie, co oznacza, że wysokość kapitału zakładowego, a także wartość i liczba udziałów</w:t>
      </w:r>
      <w:r w:rsidR="00EA405B">
        <w:rPr>
          <w:rFonts w:ascii="Times New Roman" w:eastAsia="Times New Roman" w:hAnsi="Times New Roman"/>
          <w:sz w:val="24"/>
          <w:szCs w:val="24"/>
        </w:rPr>
        <w:t>,</w:t>
      </w:r>
      <w:r w:rsidRPr="002A77C6">
        <w:rPr>
          <w:rFonts w:ascii="Times New Roman" w:eastAsia="Times New Roman" w:hAnsi="Times New Roman"/>
          <w:sz w:val="24"/>
          <w:szCs w:val="24"/>
        </w:rPr>
        <w:t xml:space="preserve"> zostan</w:t>
      </w:r>
      <w:r w:rsidR="00EA405B">
        <w:rPr>
          <w:rFonts w:ascii="Times New Roman" w:eastAsia="Times New Roman" w:hAnsi="Times New Roman"/>
          <w:sz w:val="24"/>
          <w:szCs w:val="24"/>
        </w:rPr>
        <w:t>ą</w:t>
      </w:r>
      <w:r w:rsidRPr="002A77C6">
        <w:rPr>
          <w:rFonts w:ascii="Times New Roman" w:eastAsia="Times New Roman" w:hAnsi="Times New Roman"/>
          <w:sz w:val="24"/>
          <w:szCs w:val="24"/>
        </w:rPr>
        <w:t xml:space="preserve"> określon</w:t>
      </w:r>
      <w:r w:rsidR="00EA405B">
        <w:rPr>
          <w:rFonts w:ascii="Times New Roman" w:eastAsia="Times New Roman" w:hAnsi="Times New Roman"/>
          <w:sz w:val="24"/>
          <w:szCs w:val="24"/>
        </w:rPr>
        <w:t>e</w:t>
      </w:r>
      <w:r w:rsidRPr="002A77C6">
        <w:rPr>
          <w:rFonts w:ascii="Times New Roman" w:eastAsia="Times New Roman" w:hAnsi="Times New Roman"/>
          <w:sz w:val="24"/>
          <w:szCs w:val="24"/>
        </w:rPr>
        <w:t xml:space="preserve"> w akcie założycielskim spółki (w przypadku bowiem, gdy udziały w spółce kapitałowej obejmowane są przez tylko jednego wspólnika, zamiast umowy spółki sporządza się akt założycielski). W akcie założycielskim zostanie także wskazane, czy udziały mają być pokryte w całości lub w części wkładem niepieniężnym czy też pieniężnym.</w:t>
      </w:r>
    </w:p>
    <w:p w14:paraId="7A7CDE4E" w14:textId="47EB3F76" w:rsidR="00055118" w:rsidRPr="002A77C6" w:rsidRDefault="00055118" w:rsidP="00055118">
      <w:pPr>
        <w:suppressAutoHyphens/>
        <w:spacing w:after="120" w:line="360" w:lineRule="auto"/>
        <w:ind w:firstLine="567"/>
        <w:jc w:val="both"/>
        <w:rPr>
          <w:rFonts w:ascii="Times New Roman" w:eastAsia="Times New Roman" w:hAnsi="Times New Roman"/>
          <w:sz w:val="24"/>
          <w:szCs w:val="24"/>
        </w:rPr>
      </w:pPr>
      <w:r w:rsidRPr="002A77C6">
        <w:rPr>
          <w:rFonts w:ascii="Times New Roman" w:eastAsia="Times New Roman" w:hAnsi="Times New Roman"/>
          <w:sz w:val="24"/>
          <w:szCs w:val="24"/>
        </w:rPr>
        <w:t>Z uwagi na to, że Agencja jest agencją wykonawczą w rozumieniu ustawy z dnia 27</w:t>
      </w:r>
      <w:r w:rsidR="00670F3F">
        <w:rPr>
          <w:rFonts w:ascii="Times New Roman" w:eastAsia="Times New Roman" w:hAnsi="Times New Roman"/>
          <w:sz w:val="24"/>
          <w:szCs w:val="24"/>
        </w:rPr>
        <w:t> </w:t>
      </w:r>
      <w:r w:rsidRPr="002A77C6">
        <w:rPr>
          <w:rFonts w:ascii="Times New Roman" w:eastAsia="Times New Roman" w:hAnsi="Times New Roman"/>
          <w:sz w:val="24"/>
          <w:szCs w:val="24"/>
        </w:rPr>
        <w:t xml:space="preserve">sierpnia 2009 r. o finansach publicznych, to każda nadwyżka środków finansowych ustalona na koniec roku, pozostająca po uregulowaniu zobowiązań podatkowych, jest odprowadzana do budżetu państwa. Dlatego też, w przypadku pokrycia udziałów wkładem pieniężnym, minister właściwy do spraw rozwoju wsi udzieli Agencji dotacji celowej na pokrycie wkładu pieniężnego wnoszonego do spółki. </w:t>
      </w:r>
    </w:p>
    <w:p w14:paraId="2369623B" w14:textId="77777777" w:rsidR="00055118" w:rsidRPr="002A77C6" w:rsidRDefault="00055118" w:rsidP="00055118">
      <w:pPr>
        <w:suppressAutoHyphens/>
        <w:spacing w:after="120" w:line="360" w:lineRule="auto"/>
        <w:ind w:firstLine="567"/>
        <w:jc w:val="both"/>
        <w:rPr>
          <w:rFonts w:ascii="Times New Roman" w:eastAsia="Times New Roman" w:hAnsi="Times New Roman"/>
          <w:sz w:val="24"/>
          <w:szCs w:val="24"/>
        </w:rPr>
      </w:pPr>
      <w:r w:rsidRPr="002A77C6">
        <w:rPr>
          <w:rFonts w:ascii="Times New Roman" w:eastAsia="Times New Roman" w:hAnsi="Times New Roman"/>
          <w:sz w:val="24"/>
          <w:szCs w:val="24"/>
        </w:rPr>
        <w:t xml:space="preserve">Nie spowoduje to dodatkowego obciążenia dla budżetu państwa, bowiem w przypadku </w:t>
      </w:r>
      <w:r w:rsidRPr="002A77C6">
        <w:rPr>
          <w:rFonts w:ascii="Times New Roman" w:eastAsia="Times New Roman" w:hAnsi="Times New Roman"/>
          <w:sz w:val="24"/>
          <w:szCs w:val="24"/>
        </w:rPr>
        <w:lastRenderedPageBreak/>
        <w:t>utworzenia spółki i wydzielenia zadań w zakresie rozwoju i utrzymania systemów informatycznych z działalności Agencji, Agencja ta nie będzie otrzymywała środków z budżetu państwa na utrzymywanie infrastruktury (np. kosztów najmu nieruchomości, opłat eksploatacyjnych związanych z korzystaniem z nieruchomości, zakupu oprogramowania i sprzętu informatycznego, zakupu innych środków trwałych i materiałów niezbędnych do wykonywania zadań przez pracowników).</w:t>
      </w:r>
    </w:p>
    <w:p w14:paraId="1CEA29B5" w14:textId="140B0C61" w:rsidR="00055118" w:rsidRPr="002A77C6" w:rsidRDefault="00055118" w:rsidP="00055118">
      <w:pPr>
        <w:suppressAutoHyphens/>
        <w:spacing w:after="120" w:line="360" w:lineRule="auto"/>
        <w:ind w:firstLine="567"/>
        <w:jc w:val="both"/>
        <w:rPr>
          <w:rFonts w:ascii="Times New Roman" w:eastAsia="Times New Roman" w:hAnsi="Times New Roman"/>
          <w:sz w:val="24"/>
          <w:szCs w:val="24"/>
        </w:rPr>
      </w:pPr>
      <w:r w:rsidRPr="002A77C6">
        <w:rPr>
          <w:rFonts w:ascii="Times New Roman" w:eastAsia="Times New Roman" w:hAnsi="Times New Roman"/>
          <w:sz w:val="24"/>
          <w:szCs w:val="24"/>
        </w:rPr>
        <w:t xml:space="preserve">Jak zostało wskazane powyżej, podstawowym obszarem działalności spółki będzie rozwój i utrzymanie systemów niezbędnych do realizacji zadań Agencji. Jednakże, zgodnie z projektowanym art. 21b, przewiduje się, że minister właściwy do spraw rolnictwa, rozwoju wsi, rynków rolnych lub rybołówstwa może powierzyć spółce realizację zadań spółki na rzecz jednostek podległych temu ministrowi lub przez niego nadzorowanych, w tym na rzecz Agencji, przyznając na ten cel dotację. Powierzenie zadań nastąpi w umowie, o której mowa w art. 150 ustawy z dnia 27 sierpnia 2009 r. o finansach publicznych. </w:t>
      </w:r>
    </w:p>
    <w:p w14:paraId="5E4EC80A" w14:textId="77777777" w:rsidR="00055118" w:rsidRPr="002A77C6" w:rsidRDefault="00055118" w:rsidP="00055118">
      <w:pPr>
        <w:suppressAutoHyphens/>
        <w:spacing w:after="120" w:line="360" w:lineRule="auto"/>
        <w:ind w:firstLine="567"/>
        <w:jc w:val="both"/>
        <w:rPr>
          <w:rFonts w:ascii="Times New Roman" w:eastAsia="Times New Roman" w:hAnsi="Times New Roman"/>
          <w:sz w:val="24"/>
          <w:szCs w:val="24"/>
        </w:rPr>
      </w:pPr>
      <w:r w:rsidRPr="002A77C6">
        <w:rPr>
          <w:rFonts w:ascii="Times New Roman" w:eastAsia="Times New Roman" w:hAnsi="Times New Roman"/>
          <w:sz w:val="24"/>
          <w:szCs w:val="24"/>
        </w:rPr>
        <w:t xml:space="preserve">W przypadku zatem konieczności realizacji projektów teleinformatycznych na rzecz podmiotów i organów innych niż Agencja właściwy minister będzie mógł powierzyć spółce ich realizację, zapewniając finansowanie takich zadań. W takim przypadku powierzenie nastąpi w drodze umowy udzielania dotacji celowej, na zasadach określonych w ustawie o finansach publicznych. Rozwiązanie to pozwoli na powierzenie zadań wyspecjalizowanemu podmiotowi, znającemu zasady funkcjonowania podmiotów realizujących zadania na rzecz rolnictwa i tym samym gwarantującemu ich prawidłowe wykonanie. </w:t>
      </w:r>
    </w:p>
    <w:p w14:paraId="0F5D05D2" w14:textId="5F055E2D" w:rsidR="0081378F" w:rsidRPr="002A77C6" w:rsidRDefault="00055118" w:rsidP="0081378F">
      <w:pPr>
        <w:suppressAutoHyphens/>
        <w:spacing w:after="120" w:line="360" w:lineRule="auto"/>
        <w:ind w:firstLine="567"/>
        <w:jc w:val="both"/>
        <w:rPr>
          <w:rFonts w:ascii="Times New Roman" w:eastAsia="Times New Roman" w:hAnsi="Times New Roman"/>
          <w:sz w:val="24"/>
          <w:szCs w:val="24"/>
        </w:rPr>
      </w:pPr>
      <w:r w:rsidRPr="002A77C6">
        <w:rPr>
          <w:rFonts w:ascii="Times New Roman" w:hAnsi="Times New Roman"/>
          <w:iCs/>
          <w:color w:val="000000"/>
          <w:sz w:val="24"/>
          <w:szCs w:val="24"/>
        </w:rPr>
        <w:t xml:space="preserve">Uwzględniając model </w:t>
      </w:r>
      <w:r w:rsidRPr="002A77C6">
        <w:rPr>
          <w:rFonts w:ascii="Times New Roman" w:eastAsia="Times New Roman" w:hAnsi="Times New Roman"/>
          <w:sz w:val="24"/>
          <w:szCs w:val="24"/>
        </w:rPr>
        <w:t>finansowania</w:t>
      </w:r>
      <w:r w:rsidRPr="002A77C6">
        <w:rPr>
          <w:rFonts w:ascii="Times New Roman" w:hAnsi="Times New Roman"/>
          <w:iCs/>
          <w:color w:val="000000"/>
          <w:sz w:val="24"/>
          <w:szCs w:val="24"/>
        </w:rPr>
        <w:t xml:space="preserve"> spółki w początkowych latach działalności w większości w formie dotacji z budżetu państwa</w:t>
      </w:r>
      <w:r w:rsidR="00670F3F">
        <w:rPr>
          <w:rFonts w:ascii="Times New Roman" w:hAnsi="Times New Roman"/>
          <w:iCs/>
          <w:color w:val="000000"/>
          <w:sz w:val="24"/>
          <w:szCs w:val="24"/>
        </w:rPr>
        <w:t>,</w:t>
      </w:r>
      <w:r w:rsidRPr="002A77C6">
        <w:rPr>
          <w:rFonts w:ascii="Times New Roman" w:hAnsi="Times New Roman"/>
          <w:iCs/>
          <w:color w:val="000000"/>
          <w:sz w:val="24"/>
          <w:szCs w:val="24"/>
        </w:rPr>
        <w:t xml:space="preserve"> wprowadzono wyłączenie stosowania art.</w:t>
      </w:r>
      <w:r w:rsidR="00670F3F">
        <w:t> </w:t>
      </w:r>
      <w:r w:rsidRPr="002A77C6">
        <w:rPr>
          <w:rFonts w:ascii="Times New Roman" w:hAnsi="Times New Roman"/>
          <w:iCs/>
          <w:color w:val="000000"/>
          <w:sz w:val="24"/>
          <w:szCs w:val="24"/>
        </w:rPr>
        <w:t>133 ustawy z dnia 27 sierpnia 2009 r. o finansach publicznych, przewidującego ograniczenie dofinansowania inwestycji realizowanej przez jednostkę niezaliczaną do sektora finansów publicznych przyznawanych w formie dotacji z budżetu państwa do wysokości 50%</w:t>
      </w:r>
      <w:r w:rsidR="0081378F">
        <w:rPr>
          <w:rFonts w:ascii="Times New Roman" w:hAnsi="Times New Roman"/>
          <w:iCs/>
          <w:color w:val="000000"/>
          <w:sz w:val="24"/>
          <w:szCs w:val="24"/>
        </w:rPr>
        <w:t xml:space="preserve"> </w:t>
      </w:r>
      <w:r w:rsidR="0081378F" w:rsidRPr="002A77C6">
        <w:rPr>
          <w:rFonts w:ascii="Times New Roman" w:hAnsi="Times New Roman"/>
          <w:iCs/>
          <w:color w:val="000000"/>
          <w:sz w:val="24"/>
          <w:szCs w:val="24"/>
        </w:rPr>
        <w:t>planowanej wartości kosztorysowej inwestycji. Ze względu na ograniczoną dostępność innych źródeł finansowania utworzenie i funkcjonowanie spółki w początkowym okresie mogłoby okazać się niemożliwe przy zastosowaniu warunku wynikającego z przywołanego przepisu ustawy o finansach publicznych</w:t>
      </w:r>
      <w:r w:rsidR="0081378F" w:rsidRPr="002A77C6">
        <w:rPr>
          <w:rFonts w:ascii="Times New Roman" w:hAnsi="Times New Roman"/>
          <w:i/>
          <w:iCs/>
          <w:color w:val="000000"/>
          <w:sz w:val="24"/>
          <w:szCs w:val="24"/>
        </w:rPr>
        <w:t>.</w:t>
      </w:r>
    </w:p>
    <w:p w14:paraId="7EB50920" w14:textId="0416876D" w:rsidR="0081378F" w:rsidRPr="002A77C6" w:rsidRDefault="0081378F" w:rsidP="0081378F">
      <w:pPr>
        <w:suppressAutoHyphens/>
        <w:spacing w:after="120" w:line="360" w:lineRule="auto"/>
        <w:ind w:firstLine="567"/>
        <w:jc w:val="both"/>
        <w:rPr>
          <w:rFonts w:ascii="Times New Roman" w:eastAsia="Times New Roman" w:hAnsi="Times New Roman"/>
          <w:sz w:val="24"/>
          <w:szCs w:val="24"/>
        </w:rPr>
      </w:pPr>
      <w:r w:rsidRPr="002A77C6">
        <w:rPr>
          <w:rFonts w:ascii="Times New Roman" w:eastAsia="Times New Roman" w:hAnsi="Times New Roman"/>
          <w:sz w:val="24"/>
          <w:szCs w:val="24"/>
        </w:rPr>
        <w:t xml:space="preserve">Co więcej, właściwy minister będzie mógł także udzielić spółce dotacji celowej na realizację zadań na rzecz Agencji. Tym samym określone zadania w zakresie rozwoju czy utrzymania systemów informatycznych Agencji mogłyby nie być zlecane bezpośrednio przez </w:t>
      </w:r>
      <w:r w:rsidRPr="002A77C6">
        <w:rPr>
          <w:rFonts w:ascii="Times New Roman" w:eastAsia="Times New Roman" w:hAnsi="Times New Roman"/>
          <w:sz w:val="24"/>
          <w:szCs w:val="24"/>
        </w:rPr>
        <w:lastRenderedPageBreak/>
        <w:t>Agencję, ale przez właściwego ministra (który na ten cel udzielałby spółce dotacji celowej).</w:t>
      </w:r>
    </w:p>
    <w:p w14:paraId="022C078A" w14:textId="6F5618CB" w:rsidR="0081378F" w:rsidRPr="002A77C6" w:rsidRDefault="0081378F" w:rsidP="0081378F">
      <w:pPr>
        <w:suppressAutoHyphens/>
        <w:spacing w:after="120" w:line="360" w:lineRule="auto"/>
        <w:ind w:firstLine="567"/>
        <w:jc w:val="both"/>
        <w:rPr>
          <w:rFonts w:ascii="Times New Roman" w:eastAsia="Times New Roman" w:hAnsi="Times New Roman"/>
          <w:sz w:val="24"/>
          <w:szCs w:val="24"/>
        </w:rPr>
      </w:pPr>
      <w:r w:rsidRPr="002A77C6">
        <w:rPr>
          <w:rFonts w:ascii="Times New Roman" w:eastAsia="Times New Roman" w:hAnsi="Times New Roman"/>
          <w:sz w:val="24"/>
          <w:szCs w:val="24"/>
        </w:rPr>
        <w:t>W przeciwnym razie, gdyby zadania miały być zlecane bezpośrednio przez Agencję, zlecenie takie musiałoby nastąpić w trybie przepisów o zamówieniach publicznych. Przewiduje się przy tym, że zlecenie takich zadań spółce mogłoby następować w trybie art.</w:t>
      </w:r>
      <w:r w:rsidR="00670F3F">
        <w:rPr>
          <w:rFonts w:ascii="Times New Roman" w:eastAsia="Times New Roman" w:hAnsi="Times New Roman"/>
          <w:sz w:val="24"/>
          <w:szCs w:val="24"/>
        </w:rPr>
        <w:t> </w:t>
      </w:r>
      <w:r w:rsidRPr="002A77C6">
        <w:rPr>
          <w:rFonts w:ascii="Times New Roman" w:eastAsia="Times New Roman" w:hAnsi="Times New Roman"/>
          <w:sz w:val="24"/>
          <w:szCs w:val="24"/>
        </w:rPr>
        <w:t xml:space="preserve">214 ust. 1 pkt 13 ustawy z dnia 11 września 2019 r. </w:t>
      </w:r>
      <w:r w:rsidR="00670F3F">
        <w:rPr>
          <w:rFonts w:ascii="Times New Roman" w:eastAsia="Times New Roman" w:hAnsi="Times New Roman"/>
          <w:sz w:val="24"/>
          <w:szCs w:val="24"/>
        </w:rPr>
        <w:t>–</w:t>
      </w:r>
      <w:r w:rsidRPr="002A77C6">
        <w:rPr>
          <w:rFonts w:ascii="Times New Roman" w:eastAsia="Times New Roman" w:hAnsi="Times New Roman"/>
          <w:sz w:val="24"/>
          <w:szCs w:val="24"/>
        </w:rPr>
        <w:t xml:space="preserve"> Prawo zamówień publicznych (Dz.</w:t>
      </w:r>
      <w:r w:rsidR="00670F3F">
        <w:rPr>
          <w:rFonts w:ascii="Times New Roman" w:eastAsia="Times New Roman" w:hAnsi="Times New Roman"/>
          <w:sz w:val="24"/>
          <w:szCs w:val="24"/>
        </w:rPr>
        <w:t> </w:t>
      </w:r>
      <w:r w:rsidRPr="002A77C6">
        <w:rPr>
          <w:rFonts w:ascii="Times New Roman" w:eastAsia="Times New Roman" w:hAnsi="Times New Roman"/>
          <w:sz w:val="24"/>
          <w:szCs w:val="24"/>
        </w:rPr>
        <w:t>U. z 2021 r. poz. 1129, późn. zm.). Zgodnie z tym przepisem zamawiający będący jednostką sektora finansów publicznych może udzielić zamówienia w trybie z wolnej ręki osobie prawnej, jeżeli spełnione są łącznie następujące warunki:</w:t>
      </w:r>
    </w:p>
    <w:p w14:paraId="6E29F6CC" w14:textId="37B587B8" w:rsidR="0081378F" w:rsidRPr="002A77C6" w:rsidRDefault="0081378F" w:rsidP="00670F3F">
      <w:pPr>
        <w:suppressAutoHyphens/>
        <w:spacing w:after="120" w:line="360" w:lineRule="auto"/>
        <w:ind w:left="426" w:hanging="426"/>
        <w:jc w:val="both"/>
        <w:rPr>
          <w:rFonts w:ascii="Times New Roman" w:eastAsia="Times New Roman" w:hAnsi="Times New Roman"/>
          <w:sz w:val="24"/>
          <w:szCs w:val="24"/>
        </w:rPr>
      </w:pPr>
      <w:r w:rsidRPr="002A77C6">
        <w:rPr>
          <w:rFonts w:ascii="Times New Roman" w:eastAsia="Times New Roman" w:hAnsi="Times New Roman"/>
          <w:sz w:val="24"/>
          <w:szCs w:val="24"/>
        </w:rPr>
        <w:t xml:space="preserve">a) </w:t>
      </w:r>
      <w:r w:rsidR="00670F3F">
        <w:rPr>
          <w:rFonts w:ascii="Times New Roman" w:eastAsia="Times New Roman" w:hAnsi="Times New Roman"/>
          <w:sz w:val="24"/>
          <w:szCs w:val="24"/>
        </w:rPr>
        <w:tab/>
      </w:r>
      <w:r w:rsidRPr="002A77C6">
        <w:rPr>
          <w:rFonts w:ascii="Times New Roman" w:eastAsia="Times New Roman" w:hAnsi="Times New Roman"/>
          <w:sz w:val="24"/>
          <w:szCs w:val="24"/>
        </w:rPr>
        <w:t>zamawiający wspólnie z innymi zamawiającymi, o których mowa w art. 4 i art. 5 ust. 1 pkt 1, sprawuje nad daną osobą prawną kontrolę, która odpowiada kontroli sprawowanej przez nich nad własnymi jednostkami, przy czym wspólne sprawowanie kontroli ma miejsce, jeżeli spełnione są łącznie następujące warunki:</w:t>
      </w:r>
    </w:p>
    <w:p w14:paraId="5AEDDCC2" w14:textId="3E10AF88" w:rsidR="0081378F" w:rsidRPr="002A77C6" w:rsidRDefault="0081378F" w:rsidP="00670F3F">
      <w:pPr>
        <w:suppressAutoHyphens/>
        <w:spacing w:after="120" w:line="360" w:lineRule="auto"/>
        <w:ind w:left="709" w:hanging="283"/>
        <w:jc w:val="both"/>
        <w:rPr>
          <w:rFonts w:ascii="Times New Roman" w:eastAsia="Times New Roman" w:hAnsi="Times New Roman"/>
          <w:sz w:val="24"/>
          <w:szCs w:val="24"/>
        </w:rPr>
      </w:pPr>
      <w:r w:rsidRPr="002A77C6">
        <w:rPr>
          <w:rFonts w:ascii="Times New Roman" w:eastAsia="Times New Roman" w:hAnsi="Times New Roman"/>
          <w:sz w:val="24"/>
          <w:szCs w:val="24"/>
        </w:rPr>
        <w:t xml:space="preserve">– </w:t>
      </w:r>
      <w:r w:rsidR="00670F3F">
        <w:rPr>
          <w:rFonts w:ascii="Times New Roman" w:eastAsia="Times New Roman" w:hAnsi="Times New Roman"/>
          <w:sz w:val="24"/>
          <w:szCs w:val="24"/>
        </w:rPr>
        <w:t xml:space="preserve"> </w:t>
      </w:r>
      <w:r w:rsidRPr="002A77C6">
        <w:rPr>
          <w:rFonts w:ascii="Times New Roman" w:eastAsia="Times New Roman" w:hAnsi="Times New Roman"/>
          <w:sz w:val="24"/>
          <w:szCs w:val="24"/>
        </w:rPr>
        <w:t>w skład organów decyzyjnych kontrolowanej osoby prawnej wchodzą przedstawiciele wszystkich uczestniczących zamawiających, z zastrzeżeniem, że poszczególny przedstawiciel może reprezentować więcej niż jednego zamawiającego,</w:t>
      </w:r>
    </w:p>
    <w:p w14:paraId="723AD790" w14:textId="77777777" w:rsidR="0081378F" w:rsidRPr="002A77C6" w:rsidRDefault="0081378F" w:rsidP="00670F3F">
      <w:pPr>
        <w:suppressAutoHyphens/>
        <w:spacing w:after="120" w:line="360" w:lineRule="auto"/>
        <w:ind w:left="709" w:hanging="283"/>
        <w:jc w:val="both"/>
        <w:rPr>
          <w:rFonts w:ascii="Times New Roman" w:eastAsia="Times New Roman" w:hAnsi="Times New Roman"/>
          <w:sz w:val="24"/>
          <w:szCs w:val="24"/>
        </w:rPr>
      </w:pPr>
      <w:r w:rsidRPr="002A77C6">
        <w:rPr>
          <w:rFonts w:ascii="Times New Roman" w:eastAsia="Times New Roman" w:hAnsi="Times New Roman"/>
          <w:sz w:val="24"/>
          <w:szCs w:val="24"/>
        </w:rPr>
        <w:t>– uczestniczący zamawiający mogą wspólnie wywierać dominujący wpływ na cele strategiczne oraz istotne decyzje kontrolowanej osoby prawnej,</w:t>
      </w:r>
    </w:p>
    <w:p w14:paraId="566CAE64" w14:textId="15C27DF4" w:rsidR="0081378F" w:rsidRPr="002A77C6" w:rsidRDefault="0081378F" w:rsidP="00670F3F">
      <w:pPr>
        <w:suppressAutoHyphens/>
        <w:spacing w:after="120" w:line="360" w:lineRule="auto"/>
        <w:ind w:left="709" w:hanging="283"/>
        <w:jc w:val="both"/>
        <w:rPr>
          <w:rFonts w:ascii="Times New Roman" w:eastAsia="Times New Roman" w:hAnsi="Times New Roman"/>
          <w:sz w:val="24"/>
          <w:szCs w:val="24"/>
        </w:rPr>
      </w:pPr>
      <w:r w:rsidRPr="002A77C6">
        <w:rPr>
          <w:rFonts w:ascii="Times New Roman" w:eastAsia="Times New Roman" w:hAnsi="Times New Roman"/>
          <w:sz w:val="24"/>
          <w:szCs w:val="24"/>
        </w:rPr>
        <w:t>– kontrolowana osoba prawna nie działa w interesie sprzecznym z interesami zamawiających sprawujących nad nią kontrolę</w:t>
      </w:r>
      <w:r w:rsidR="002A77C6" w:rsidRPr="002A77C6">
        <w:rPr>
          <w:rFonts w:ascii="Times New Roman" w:eastAsia="Times New Roman" w:hAnsi="Times New Roman"/>
          <w:sz w:val="24"/>
          <w:szCs w:val="24"/>
        </w:rPr>
        <w:t>,</w:t>
      </w:r>
    </w:p>
    <w:p w14:paraId="226B0E91" w14:textId="57D63F7F" w:rsidR="0081378F" w:rsidRPr="002A77C6" w:rsidRDefault="0081378F" w:rsidP="00670F3F">
      <w:pPr>
        <w:suppressAutoHyphens/>
        <w:spacing w:after="120" w:line="360" w:lineRule="auto"/>
        <w:ind w:left="426" w:hanging="426"/>
        <w:jc w:val="both"/>
        <w:rPr>
          <w:rFonts w:ascii="Times New Roman" w:eastAsia="Times New Roman" w:hAnsi="Times New Roman"/>
          <w:sz w:val="24"/>
          <w:szCs w:val="24"/>
        </w:rPr>
      </w:pPr>
      <w:r w:rsidRPr="002A77C6">
        <w:rPr>
          <w:rFonts w:ascii="Times New Roman" w:eastAsia="Times New Roman" w:hAnsi="Times New Roman"/>
          <w:sz w:val="24"/>
          <w:szCs w:val="24"/>
        </w:rPr>
        <w:t xml:space="preserve">b) </w:t>
      </w:r>
      <w:r w:rsidR="00670F3F">
        <w:rPr>
          <w:rFonts w:ascii="Times New Roman" w:eastAsia="Times New Roman" w:hAnsi="Times New Roman"/>
          <w:sz w:val="24"/>
          <w:szCs w:val="24"/>
        </w:rPr>
        <w:tab/>
      </w:r>
      <w:r w:rsidRPr="002A77C6">
        <w:rPr>
          <w:rFonts w:ascii="Times New Roman" w:eastAsia="Times New Roman" w:hAnsi="Times New Roman"/>
          <w:sz w:val="24"/>
          <w:szCs w:val="24"/>
        </w:rPr>
        <w:t>ponad 90% działalności kontrolowanej osoby prawnej dotyczy wykonywania zadań powierzonych jej przez zamawiających sprawujących nad nią kontrolę lub przez inne osoby prawne kontrolowane przez tych zamawiających</w:t>
      </w:r>
      <w:r w:rsidR="002A77C6" w:rsidRPr="002A77C6">
        <w:rPr>
          <w:rFonts w:ascii="Times New Roman" w:eastAsia="Times New Roman" w:hAnsi="Times New Roman"/>
          <w:sz w:val="24"/>
          <w:szCs w:val="24"/>
        </w:rPr>
        <w:t>,</w:t>
      </w:r>
    </w:p>
    <w:p w14:paraId="001A9B29" w14:textId="5BC612EC" w:rsidR="0081378F" w:rsidRPr="002A77C6" w:rsidRDefault="0081378F" w:rsidP="00670F3F">
      <w:pPr>
        <w:suppressAutoHyphens/>
        <w:spacing w:after="120" w:line="360" w:lineRule="auto"/>
        <w:ind w:left="426" w:hanging="426"/>
        <w:jc w:val="both"/>
        <w:rPr>
          <w:rFonts w:ascii="Times New Roman" w:eastAsia="Times New Roman" w:hAnsi="Times New Roman"/>
          <w:sz w:val="24"/>
          <w:szCs w:val="24"/>
        </w:rPr>
      </w:pPr>
      <w:r w:rsidRPr="002A77C6">
        <w:rPr>
          <w:rFonts w:ascii="Times New Roman" w:eastAsia="Times New Roman" w:hAnsi="Times New Roman"/>
          <w:sz w:val="24"/>
          <w:szCs w:val="24"/>
        </w:rPr>
        <w:t xml:space="preserve">c) </w:t>
      </w:r>
      <w:r w:rsidR="00670F3F">
        <w:rPr>
          <w:rFonts w:ascii="Times New Roman" w:eastAsia="Times New Roman" w:hAnsi="Times New Roman"/>
          <w:sz w:val="24"/>
          <w:szCs w:val="24"/>
        </w:rPr>
        <w:tab/>
      </w:r>
      <w:r w:rsidRPr="002A77C6">
        <w:rPr>
          <w:rFonts w:ascii="Times New Roman" w:eastAsia="Times New Roman" w:hAnsi="Times New Roman"/>
          <w:sz w:val="24"/>
          <w:szCs w:val="24"/>
        </w:rPr>
        <w:t>w kontrolowanej osobie prawnej nie ma bezpośredniego udziału kapitału prywatnego.</w:t>
      </w:r>
    </w:p>
    <w:p w14:paraId="17BF1624" w14:textId="278E5FA1" w:rsidR="0081378F" w:rsidRPr="002A77C6" w:rsidRDefault="0081378F" w:rsidP="0081378F">
      <w:pPr>
        <w:suppressAutoHyphens/>
        <w:spacing w:after="120" w:line="360" w:lineRule="auto"/>
        <w:ind w:firstLine="567"/>
        <w:jc w:val="both"/>
        <w:rPr>
          <w:rFonts w:ascii="Times New Roman" w:eastAsia="Times New Roman" w:hAnsi="Times New Roman"/>
          <w:sz w:val="24"/>
          <w:szCs w:val="24"/>
        </w:rPr>
      </w:pPr>
      <w:r w:rsidRPr="002A77C6">
        <w:rPr>
          <w:rFonts w:ascii="Times New Roman" w:eastAsia="Times New Roman" w:hAnsi="Times New Roman"/>
          <w:sz w:val="24"/>
          <w:szCs w:val="24"/>
        </w:rPr>
        <w:t xml:space="preserve">Ponadto proponuje się, </w:t>
      </w:r>
      <w:r w:rsidR="00562024">
        <w:rPr>
          <w:rFonts w:ascii="Times New Roman" w:eastAsia="Times New Roman" w:hAnsi="Times New Roman"/>
          <w:sz w:val="24"/>
          <w:szCs w:val="24"/>
        </w:rPr>
        <w:t>a</w:t>
      </w:r>
      <w:r w:rsidRPr="002A77C6">
        <w:rPr>
          <w:rFonts w:ascii="Times New Roman" w:eastAsia="Times New Roman" w:hAnsi="Times New Roman"/>
          <w:sz w:val="24"/>
          <w:szCs w:val="24"/>
        </w:rPr>
        <w:t>by minister właściwy do spraw rozwoju wsi mógł udzielać spółce dotacji podmiotowej na dofinansowanie działalności bieżącej spółki. Zgodnie bowiem z art. 131 ustawy o finansach publicznych, dotacje podmiotowe obejmują środki dla podmiotu wskazanego w odrębnej ustawie lub w umowie międzynarodowej, wyłącznie na dofinansowanie działalności bieżącej w zakresie określonym w odrębnej ustawie lub umowie międzynarodowej.</w:t>
      </w:r>
    </w:p>
    <w:p w14:paraId="18C116EF" w14:textId="08E12C9F" w:rsidR="0081378F" w:rsidRPr="002A77C6" w:rsidRDefault="0081378F" w:rsidP="0081378F">
      <w:pPr>
        <w:suppressAutoHyphens/>
        <w:spacing w:after="120" w:line="360" w:lineRule="auto"/>
        <w:ind w:firstLine="567"/>
        <w:jc w:val="both"/>
        <w:rPr>
          <w:rFonts w:ascii="Times New Roman" w:eastAsia="Times New Roman" w:hAnsi="Times New Roman"/>
          <w:sz w:val="24"/>
          <w:szCs w:val="24"/>
        </w:rPr>
      </w:pPr>
      <w:r w:rsidRPr="002A77C6">
        <w:rPr>
          <w:rFonts w:ascii="Times New Roman" w:eastAsia="Times New Roman" w:hAnsi="Times New Roman"/>
          <w:sz w:val="24"/>
          <w:szCs w:val="24"/>
        </w:rPr>
        <w:t xml:space="preserve">Oprócz dotacji celowych i podmiotowych, udzielanych z budżetu państwa, </w:t>
      </w:r>
      <w:r w:rsidR="002A77C6" w:rsidRPr="002A77C6">
        <w:rPr>
          <w:rFonts w:ascii="Times New Roman" w:eastAsia="Times New Roman" w:hAnsi="Times New Roman"/>
          <w:sz w:val="24"/>
          <w:szCs w:val="24"/>
        </w:rPr>
        <w:lastRenderedPageBreak/>
        <w:t>w</w:t>
      </w:r>
      <w:r w:rsidR="00562024">
        <w:rPr>
          <w:rFonts w:ascii="Times New Roman" w:eastAsia="Times New Roman" w:hAnsi="Times New Roman"/>
          <w:sz w:val="24"/>
          <w:szCs w:val="24"/>
        </w:rPr>
        <w:t> </w:t>
      </w:r>
      <w:r w:rsidR="002A77C6" w:rsidRPr="002A77C6">
        <w:rPr>
          <w:rFonts w:ascii="Times New Roman" w:eastAsia="Times New Roman" w:hAnsi="Times New Roman"/>
          <w:sz w:val="24"/>
          <w:szCs w:val="24"/>
        </w:rPr>
        <w:t xml:space="preserve">pozostałym zakresie </w:t>
      </w:r>
      <w:r w:rsidRPr="002A77C6">
        <w:rPr>
          <w:rFonts w:ascii="Times New Roman" w:eastAsia="Times New Roman" w:hAnsi="Times New Roman"/>
          <w:sz w:val="24"/>
          <w:szCs w:val="24"/>
        </w:rPr>
        <w:t xml:space="preserve">przychody spółki będą pochodziły z </w:t>
      </w:r>
      <w:r w:rsidR="002A77C6" w:rsidRPr="002A77C6">
        <w:rPr>
          <w:rFonts w:ascii="Times New Roman" w:eastAsia="Times New Roman" w:hAnsi="Times New Roman"/>
          <w:sz w:val="24"/>
          <w:szCs w:val="24"/>
        </w:rPr>
        <w:t>działalności prowadzonej przez spółkę</w:t>
      </w:r>
      <w:r w:rsidRPr="002A77C6">
        <w:rPr>
          <w:rFonts w:ascii="Times New Roman" w:eastAsia="Times New Roman" w:hAnsi="Times New Roman"/>
          <w:sz w:val="24"/>
          <w:szCs w:val="24"/>
        </w:rPr>
        <w:t xml:space="preserve"> (co wynika z projektowanego art. 21e ustawy</w:t>
      </w:r>
      <w:r w:rsidR="00E84F90">
        <w:rPr>
          <w:rFonts w:ascii="Times New Roman" w:eastAsia="Times New Roman" w:hAnsi="Times New Roman"/>
          <w:sz w:val="24"/>
          <w:szCs w:val="24"/>
        </w:rPr>
        <w:t xml:space="preserve"> o Agencji</w:t>
      </w:r>
      <w:r w:rsidRPr="002A77C6">
        <w:rPr>
          <w:rFonts w:ascii="Times New Roman" w:eastAsia="Times New Roman" w:hAnsi="Times New Roman"/>
          <w:sz w:val="24"/>
          <w:szCs w:val="24"/>
        </w:rPr>
        <w:t xml:space="preserve">) na rzecz Agencji lub ministra właściwego do spraw rozwoju wsi. Zakłada się, że w przeważającej części będą to przychody z usług wykonywanych na rzecz Agencji lub ministra właściwego do spraw rozwoju wsi. Spółka nie będzie natomiast mogła świadczyć </w:t>
      </w:r>
      <w:r w:rsidR="002A77C6" w:rsidRPr="002A77C6">
        <w:rPr>
          <w:rFonts w:ascii="Times New Roman" w:eastAsia="Times New Roman" w:hAnsi="Times New Roman"/>
          <w:sz w:val="24"/>
          <w:szCs w:val="24"/>
        </w:rPr>
        <w:t>usług</w:t>
      </w:r>
      <w:r w:rsidRPr="002A77C6">
        <w:rPr>
          <w:rFonts w:ascii="Times New Roman" w:eastAsia="Times New Roman" w:hAnsi="Times New Roman"/>
          <w:sz w:val="24"/>
          <w:szCs w:val="24"/>
        </w:rPr>
        <w:t xml:space="preserve"> na rzecz innych podmiotów na zasadach rynkowych. Ponadto przewiduje się, że spółka będzie mogła uzyskiwać inne rodzaje przychodów (np. pochodzące z darowizn).</w:t>
      </w:r>
    </w:p>
    <w:p w14:paraId="429984FB" w14:textId="67978C63" w:rsidR="0081378F" w:rsidRPr="002A77C6" w:rsidRDefault="0081378F" w:rsidP="0081378F">
      <w:pPr>
        <w:suppressAutoHyphens/>
        <w:spacing w:after="120" w:line="360" w:lineRule="auto"/>
        <w:ind w:firstLine="567"/>
        <w:jc w:val="both"/>
        <w:rPr>
          <w:rFonts w:ascii="Times New Roman" w:eastAsia="Times New Roman" w:hAnsi="Times New Roman"/>
          <w:sz w:val="24"/>
          <w:szCs w:val="24"/>
        </w:rPr>
      </w:pPr>
      <w:r w:rsidRPr="002A77C6">
        <w:rPr>
          <w:rFonts w:ascii="Times New Roman" w:eastAsia="Times New Roman" w:hAnsi="Times New Roman"/>
          <w:sz w:val="24"/>
          <w:szCs w:val="24"/>
        </w:rPr>
        <w:t xml:space="preserve">Spółka będzie realizowała zadania wyłącznie na rzecz Agencji lub ministra właściwego do spraw rozwoju wsi, a zatem nie będzie prowadziła działalności gospodarczej na rzecz podmiotów sektora prywatnego </w:t>
      </w:r>
      <w:r w:rsidRPr="002A77C6">
        <w:rPr>
          <w:rFonts w:ascii="Times New Roman" w:hAnsi="Times New Roman"/>
          <w:sz w:val="24"/>
          <w:szCs w:val="24"/>
        </w:rPr>
        <w:t xml:space="preserve">w celu osiągnięcia zysku, na zasadach rynkowych. Uwzględniając powyższe, pozyskiwane przez nią dotacje nie będą stanowiły pomocy publicznej </w:t>
      </w:r>
      <w:r w:rsidRPr="002A77C6">
        <w:rPr>
          <w:rFonts w:ascii="Times New Roman" w:eastAsia="Times New Roman" w:hAnsi="Times New Roman"/>
          <w:sz w:val="24"/>
          <w:szCs w:val="24"/>
        </w:rPr>
        <w:t>zgodnie z art. 107 ust. 1 Traktatu o funkcjonowaniu Unii Europejskiej (TFUE)</w:t>
      </w:r>
      <w:r>
        <w:rPr>
          <w:rFonts w:ascii="Times New Roman" w:eastAsia="Times New Roman" w:hAnsi="Times New Roman"/>
          <w:sz w:val="24"/>
          <w:szCs w:val="24"/>
        </w:rPr>
        <w:t xml:space="preserve"> </w:t>
      </w:r>
      <w:r w:rsidRPr="007A1F47">
        <w:rPr>
          <w:rFonts w:ascii="Times New Roman" w:eastAsia="Times New Roman" w:hAnsi="Times New Roman"/>
          <w:sz w:val="24"/>
          <w:szCs w:val="24"/>
        </w:rPr>
        <w:t>(</w:t>
      </w:r>
      <w:r w:rsidRPr="007A1F47">
        <w:rPr>
          <w:rFonts w:ascii="Times New Roman" w:hAnsi="Times New Roman"/>
          <w:sz w:val="24"/>
          <w:szCs w:val="24"/>
        </w:rPr>
        <w:t>Dz. Urz. UE C 202 z 07.06.2016, str. 47, z późn. zm</w:t>
      </w:r>
      <w:r w:rsidR="00E84F90">
        <w:rPr>
          <w:rFonts w:ascii="Times New Roman" w:hAnsi="Times New Roman"/>
          <w:sz w:val="24"/>
          <w:szCs w:val="24"/>
        </w:rPr>
        <w:t>.</w:t>
      </w:r>
      <w:r w:rsidRPr="007A1F47">
        <w:rPr>
          <w:rFonts w:ascii="Times New Roman" w:hAnsi="Times New Roman"/>
          <w:sz w:val="24"/>
          <w:szCs w:val="24"/>
        </w:rPr>
        <w:t>)</w:t>
      </w:r>
      <w:r w:rsidRPr="002A77C6">
        <w:rPr>
          <w:rFonts w:ascii="Times New Roman" w:eastAsia="Times New Roman" w:hAnsi="Times New Roman"/>
          <w:sz w:val="24"/>
          <w:szCs w:val="24"/>
        </w:rPr>
        <w:t xml:space="preserve">. </w:t>
      </w:r>
    </w:p>
    <w:p w14:paraId="168F5906" w14:textId="57369E89" w:rsidR="0081378F" w:rsidRPr="002A77C6" w:rsidRDefault="0081378F" w:rsidP="0081378F">
      <w:pPr>
        <w:suppressAutoHyphens/>
        <w:spacing w:after="120" w:line="360" w:lineRule="auto"/>
        <w:ind w:firstLine="567"/>
        <w:jc w:val="both"/>
        <w:rPr>
          <w:rFonts w:ascii="Times New Roman" w:eastAsia="Times New Roman" w:hAnsi="Times New Roman"/>
          <w:sz w:val="24"/>
          <w:szCs w:val="24"/>
        </w:rPr>
      </w:pPr>
      <w:r w:rsidRPr="002A77C6">
        <w:rPr>
          <w:rFonts w:ascii="Times New Roman" w:eastAsia="Times New Roman" w:hAnsi="Times New Roman"/>
          <w:sz w:val="24"/>
          <w:szCs w:val="24"/>
        </w:rPr>
        <w:t xml:space="preserve">Zgodnie z projektowanym art. 21c ustawy </w:t>
      </w:r>
      <w:r w:rsidR="00E84F90">
        <w:rPr>
          <w:rFonts w:ascii="Times New Roman" w:eastAsia="Times New Roman" w:hAnsi="Times New Roman"/>
          <w:sz w:val="24"/>
          <w:szCs w:val="24"/>
        </w:rPr>
        <w:t xml:space="preserve">o Agencji </w:t>
      </w:r>
      <w:r w:rsidRPr="002A77C6">
        <w:rPr>
          <w:rFonts w:ascii="Times New Roman" w:eastAsia="Times New Roman" w:hAnsi="Times New Roman"/>
          <w:sz w:val="24"/>
          <w:szCs w:val="24"/>
        </w:rPr>
        <w:t>spółka nie będzie mogła nabywać lub obejmować akcji lub udziałów w spółkach prawa handlowego.</w:t>
      </w:r>
    </w:p>
    <w:p w14:paraId="1456FDF2" w14:textId="49BD65FA" w:rsidR="0081378F" w:rsidRPr="002A77C6" w:rsidRDefault="0081378F" w:rsidP="0081378F">
      <w:pPr>
        <w:suppressAutoHyphens/>
        <w:spacing w:after="120" w:line="360" w:lineRule="auto"/>
        <w:ind w:firstLine="567"/>
        <w:jc w:val="both"/>
        <w:rPr>
          <w:rFonts w:ascii="Times New Roman" w:eastAsia="Times New Roman" w:hAnsi="Times New Roman"/>
          <w:sz w:val="24"/>
          <w:szCs w:val="24"/>
        </w:rPr>
      </w:pPr>
      <w:r w:rsidRPr="002A77C6">
        <w:rPr>
          <w:rFonts w:ascii="Times New Roman" w:eastAsia="Times New Roman" w:hAnsi="Times New Roman"/>
          <w:sz w:val="24"/>
          <w:szCs w:val="24"/>
        </w:rPr>
        <w:t xml:space="preserve">Możliwość utworzenia spółki przez Agencję stanowi wyjątek wobec generalnej zasady wynikającej z art. 49 ust. 1 ustawy o finansach publicznych, zgodnie z którą jednostki sektora finansów publicznych co do zasady nie mogą posiadać, obejmować lub nabywać udziałów lub akcji w spółkach ani nabywać obligacji emitowanych przez podmioty inne niż Skarb Państwa lub jednostki samorządu terytorialnego. Spółka, co oczywiste, nie będzie miała statusu jednostki sektora finansów publicznych, niemniej jednak w celu zachowania jednolitości zasad tworzenia i funkcjonowania spółek z bezpośrednim lub pośrednim udziałem Skarbu Państwa proponuje się, </w:t>
      </w:r>
      <w:r w:rsidR="00562024">
        <w:rPr>
          <w:rFonts w:ascii="Times New Roman" w:eastAsia="Times New Roman" w:hAnsi="Times New Roman"/>
          <w:sz w:val="24"/>
          <w:szCs w:val="24"/>
        </w:rPr>
        <w:t>a</w:t>
      </w:r>
      <w:r w:rsidRPr="002A77C6">
        <w:rPr>
          <w:rFonts w:ascii="Times New Roman" w:eastAsia="Times New Roman" w:hAnsi="Times New Roman"/>
          <w:sz w:val="24"/>
          <w:szCs w:val="24"/>
        </w:rPr>
        <w:t>by spółka nie mogła być wspólnikiem w innych spółkach. Ponadto rozwiązanie takie ograniczy ryzyko finansowe po stronie spółki, w przypadku ponoszenia strat przez inne spółki.</w:t>
      </w:r>
    </w:p>
    <w:p w14:paraId="6858DA52" w14:textId="49AFE6A8" w:rsidR="0081378F" w:rsidRPr="002A77C6" w:rsidRDefault="0081378F" w:rsidP="0081378F">
      <w:pPr>
        <w:suppressAutoHyphens/>
        <w:spacing w:after="120" w:line="360" w:lineRule="auto"/>
        <w:ind w:firstLine="567"/>
        <w:jc w:val="both"/>
        <w:rPr>
          <w:rFonts w:ascii="Times New Roman" w:eastAsia="Times New Roman" w:hAnsi="Times New Roman"/>
          <w:sz w:val="24"/>
          <w:szCs w:val="24"/>
        </w:rPr>
      </w:pPr>
      <w:r w:rsidRPr="002A77C6">
        <w:rPr>
          <w:rFonts w:ascii="Times New Roman" w:eastAsia="Times New Roman" w:hAnsi="Times New Roman"/>
          <w:sz w:val="24"/>
          <w:szCs w:val="24"/>
        </w:rPr>
        <w:t>Organy spółki zostaną powołane zgodnie z przepisami ustawy – Kodeks spółek handlowych. Szczegółowe zasady w tym zakresie określi akt założycielski spółki.</w:t>
      </w:r>
    </w:p>
    <w:p w14:paraId="33BC587A" w14:textId="01FE149F" w:rsidR="0081378F" w:rsidRPr="002A77C6" w:rsidRDefault="0081378F" w:rsidP="0081378F">
      <w:pPr>
        <w:suppressAutoHyphens/>
        <w:spacing w:after="120" w:line="360" w:lineRule="auto"/>
        <w:ind w:firstLine="567"/>
        <w:jc w:val="both"/>
        <w:rPr>
          <w:rFonts w:ascii="Times New Roman" w:eastAsia="Times New Roman" w:hAnsi="Times New Roman"/>
          <w:sz w:val="24"/>
          <w:szCs w:val="24"/>
        </w:rPr>
      </w:pPr>
      <w:r w:rsidRPr="002A77C6">
        <w:rPr>
          <w:rFonts w:ascii="Times New Roman" w:eastAsia="Times New Roman" w:hAnsi="Times New Roman"/>
          <w:sz w:val="24"/>
          <w:szCs w:val="24"/>
        </w:rPr>
        <w:t xml:space="preserve">Proponuje się jednak, </w:t>
      </w:r>
      <w:r w:rsidR="00E0179A">
        <w:rPr>
          <w:rFonts w:ascii="Times New Roman" w:eastAsia="Times New Roman" w:hAnsi="Times New Roman"/>
          <w:sz w:val="24"/>
          <w:szCs w:val="24"/>
        </w:rPr>
        <w:t>a</w:t>
      </w:r>
      <w:r w:rsidRPr="002A77C6">
        <w:rPr>
          <w:rFonts w:ascii="Times New Roman" w:eastAsia="Times New Roman" w:hAnsi="Times New Roman"/>
          <w:sz w:val="24"/>
          <w:szCs w:val="24"/>
        </w:rPr>
        <w:t xml:space="preserve">by Agencja, jako jedyny wspólnik, mogła udzielać zarządowi spółki wiążących poleceń w zakresie realizacji celów określonych w ustawie lub akcie założycielskim. Rozwiązanie takie stanowić będzie rozszerzenie, wynikającej z art. 212 ustawy – Kodeks spółek handlowych, zasady indywidualnej kontroli wspólnika. Zgodnie bowiem z tym przepisem prawo kontroli polega na przeglądaniu ksiąg i dokumentów spółki, </w:t>
      </w:r>
      <w:r w:rsidRPr="002A77C6">
        <w:rPr>
          <w:rFonts w:ascii="Times New Roman" w:eastAsia="Times New Roman" w:hAnsi="Times New Roman"/>
          <w:sz w:val="24"/>
          <w:szCs w:val="24"/>
        </w:rPr>
        <w:lastRenderedPageBreak/>
        <w:t>sporządzaniu bilansu dla sw</w:t>
      </w:r>
      <w:r w:rsidR="00E0179A">
        <w:rPr>
          <w:rFonts w:ascii="Times New Roman" w:eastAsia="Times New Roman" w:hAnsi="Times New Roman"/>
          <w:sz w:val="24"/>
          <w:szCs w:val="24"/>
        </w:rPr>
        <w:t>oj</w:t>
      </w:r>
      <w:r w:rsidRPr="002A77C6">
        <w:rPr>
          <w:rFonts w:ascii="Times New Roman" w:eastAsia="Times New Roman" w:hAnsi="Times New Roman"/>
          <w:sz w:val="24"/>
          <w:szCs w:val="24"/>
        </w:rPr>
        <w:t>ego użytku lub żądaniu wyjaśnień od zarządu.</w:t>
      </w:r>
    </w:p>
    <w:p w14:paraId="5B9B0E3F" w14:textId="77777777" w:rsidR="0081378F" w:rsidRPr="002A77C6" w:rsidRDefault="0081378F" w:rsidP="0081378F">
      <w:pPr>
        <w:suppressAutoHyphens/>
        <w:spacing w:after="120" w:line="360" w:lineRule="auto"/>
        <w:ind w:firstLine="567"/>
        <w:jc w:val="both"/>
        <w:rPr>
          <w:rFonts w:ascii="Times New Roman" w:eastAsia="Times New Roman" w:hAnsi="Times New Roman"/>
          <w:sz w:val="24"/>
          <w:szCs w:val="24"/>
        </w:rPr>
      </w:pPr>
      <w:r w:rsidRPr="002A77C6">
        <w:rPr>
          <w:rFonts w:ascii="Times New Roman" w:eastAsia="Times New Roman" w:hAnsi="Times New Roman"/>
          <w:sz w:val="24"/>
          <w:szCs w:val="24"/>
        </w:rPr>
        <w:t xml:space="preserve">Uprawnienia te w dalszym ciągu będą mogły być realizowane przez Agencję, oprócz tego zaś będą mogły być wydawane wiążące polecenia. Polecenia będą wydawane zarządowi, jako organowi uprawnionemu do prowadzenia spraw spółki i jej reprezentowania. </w:t>
      </w:r>
    </w:p>
    <w:p w14:paraId="667E5D21" w14:textId="0B69C15A" w:rsidR="0081378F" w:rsidRPr="002A77C6" w:rsidRDefault="0081378F" w:rsidP="0081378F">
      <w:pPr>
        <w:suppressAutoHyphens/>
        <w:spacing w:after="120" w:line="360" w:lineRule="auto"/>
        <w:ind w:firstLine="567"/>
        <w:jc w:val="both"/>
        <w:rPr>
          <w:rFonts w:ascii="Times New Roman" w:eastAsia="Times New Roman" w:hAnsi="Times New Roman"/>
          <w:sz w:val="24"/>
          <w:szCs w:val="24"/>
        </w:rPr>
      </w:pPr>
      <w:r w:rsidRPr="002A77C6">
        <w:rPr>
          <w:rFonts w:ascii="Times New Roman" w:eastAsia="Times New Roman" w:hAnsi="Times New Roman"/>
          <w:sz w:val="24"/>
          <w:szCs w:val="24"/>
        </w:rPr>
        <w:t>Jednocześnie proponuje się</w:t>
      </w:r>
      <w:r w:rsidR="00915CBE">
        <w:rPr>
          <w:rFonts w:ascii="Times New Roman" w:eastAsia="Times New Roman" w:hAnsi="Times New Roman"/>
          <w:sz w:val="24"/>
          <w:szCs w:val="24"/>
        </w:rPr>
        <w:t>,</w:t>
      </w:r>
      <w:r w:rsidRPr="002A77C6">
        <w:rPr>
          <w:rFonts w:ascii="Times New Roman" w:eastAsia="Times New Roman" w:hAnsi="Times New Roman"/>
          <w:sz w:val="24"/>
          <w:szCs w:val="24"/>
        </w:rPr>
        <w:t xml:space="preserve"> </w:t>
      </w:r>
      <w:r w:rsidR="00915CBE">
        <w:rPr>
          <w:rFonts w:ascii="Times New Roman" w:eastAsia="Times New Roman" w:hAnsi="Times New Roman"/>
          <w:sz w:val="24"/>
          <w:szCs w:val="24"/>
        </w:rPr>
        <w:t>a</w:t>
      </w:r>
      <w:r w:rsidRPr="002A77C6">
        <w:rPr>
          <w:rFonts w:ascii="Times New Roman" w:eastAsia="Times New Roman" w:hAnsi="Times New Roman"/>
          <w:sz w:val="24"/>
          <w:szCs w:val="24"/>
        </w:rPr>
        <w:t>by rada nadzorcza spółki była uprawniona do uchylania  uchwał zarządu spółki niezgodnych z przepisami prawa, postanowieniami aktu założycielskiego lub poleceniami wydawanymi przez Agencję (projektowany art. 21</w:t>
      </w:r>
      <w:r>
        <w:rPr>
          <w:rFonts w:ascii="Times New Roman" w:eastAsia="Times New Roman" w:hAnsi="Times New Roman"/>
          <w:sz w:val="24"/>
          <w:szCs w:val="24"/>
        </w:rPr>
        <w:t>d ust. 2</w:t>
      </w:r>
      <w:r w:rsidRPr="002A77C6">
        <w:rPr>
          <w:rFonts w:ascii="Times New Roman" w:eastAsia="Times New Roman" w:hAnsi="Times New Roman"/>
          <w:sz w:val="24"/>
          <w:szCs w:val="24"/>
        </w:rPr>
        <w:t>).</w:t>
      </w:r>
    </w:p>
    <w:p w14:paraId="18C79774" w14:textId="77777777" w:rsidR="0081378F" w:rsidRPr="002A77C6" w:rsidRDefault="0081378F" w:rsidP="0081378F">
      <w:pPr>
        <w:suppressAutoHyphens/>
        <w:spacing w:after="120" w:line="360" w:lineRule="auto"/>
        <w:ind w:firstLine="567"/>
        <w:jc w:val="both"/>
        <w:rPr>
          <w:rFonts w:ascii="Times New Roman" w:eastAsia="Times New Roman" w:hAnsi="Times New Roman"/>
          <w:sz w:val="24"/>
          <w:szCs w:val="24"/>
        </w:rPr>
      </w:pPr>
      <w:r w:rsidRPr="002A77C6">
        <w:rPr>
          <w:rFonts w:ascii="Times New Roman" w:eastAsia="Times New Roman" w:hAnsi="Times New Roman"/>
          <w:sz w:val="24"/>
          <w:szCs w:val="24"/>
        </w:rPr>
        <w:t xml:space="preserve">Przyczyni się to do wzmocnienia kontroli Agencji jako wspólnika nad zadaniami realizowanymi przez spółkę, które to zadania, w założeniach, mają mieć podstawowe znaczenie dla realizacji ustawowych zadań Agencji. </w:t>
      </w:r>
    </w:p>
    <w:p w14:paraId="3C09F629" w14:textId="732B45E7" w:rsidR="0081378F" w:rsidRPr="002A77C6" w:rsidRDefault="0081378F" w:rsidP="0081378F">
      <w:pPr>
        <w:suppressAutoHyphens/>
        <w:spacing w:after="120" w:line="360" w:lineRule="auto"/>
        <w:ind w:firstLine="567"/>
        <w:jc w:val="both"/>
      </w:pPr>
      <w:r w:rsidRPr="002A77C6">
        <w:rPr>
          <w:rFonts w:ascii="Times New Roman" w:eastAsia="Times New Roman" w:hAnsi="Times New Roman"/>
          <w:sz w:val="24"/>
          <w:szCs w:val="24"/>
        </w:rPr>
        <w:t>Powyższe rozwiązania nie są rozwiązaniami nowymi w polskim porządku prawnym. Analogiczne uprawnienie dla rady nadzorczej do uchylania uchwał zarządu przewidują przepisy ustawy z dnia 29 kwietnia 2016 r. o szczególnych zasadach wykonywania niektórych zadań dotyczących informatyzacji w zakresie działów administracji rządowej budżet i finanse publiczne (Dz. U. z 2021 r. poz. 186). Ponadto, odnosząc się do kwestii wiążących poleceń w spółce z ograniczoną odpowiedzialnością, wskazać należy, że w doktrynie prawa istnieją różne poglądy w tym zakresie. Nie budzi wątpliwości, że w obecnym stanie prawnym zakaz wydawania zarządowi wiążących poleceń, w przypadku spółki z ograniczoną odpowiedzialnością, dotyczy rady nadzorczej (co wprost wynika z art. 219 § 2 ustawy – Kodeks spółek handlowych). Brak jest natomiast takiego wyraźnego zakazu w przypadku zgromadzenia wspólników (inaczej niż w przypadku spółki akcyjnej, zgodnie bowiem z art. 375</w:t>
      </w:r>
      <w:r w:rsidRPr="002A77C6">
        <w:rPr>
          <w:rFonts w:ascii="Times New Roman" w:eastAsia="Times New Roman" w:hAnsi="Times New Roman"/>
          <w:sz w:val="24"/>
          <w:szCs w:val="24"/>
          <w:vertAlign w:val="superscript"/>
        </w:rPr>
        <w:t>1</w:t>
      </w:r>
      <w:r w:rsidRPr="002A77C6">
        <w:rPr>
          <w:rFonts w:ascii="Times New Roman" w:eastAsia="Times New Roman" w:hAnsi="Times New Roman"/>
          <w:sz w:val="24"/>
          <w:szCs w:val="24"/>
        </w:rPr>
        <w:t xml:space="preserve"> ustawy – Kodeks spółek handlowych, walne zgromadzenie i rada nadzorcza nie mogą wydawać zarządowi wiążących poleceń dotyczących prowadzenia spraw spółki). Co więcej, orzecznictwo sądów powszechnych dopuszcza wydawanie wiążących poleceń przez zgromadzenie wspólników w spółce z ograniczoną odpowiedzialnością (stosownie do wyroku Sądu Okręgowego w Szczecinie z dnia 31 grudnia 2015 r. sygn. akt VIII GC 189/15, „Zgromadzenie wspólników spółki z ograniczoną odpowiedzialnością może, co do zasady, wydawać zarządowi tej spółki wiążące polecenia.”).</w:t>
      </w:r>
    </w:p>
    <w:p w14:paraId="65356580" w14:textId="65659D76" w:rsidR="0081378F" w:rsidRPr="002A77C6" w:rsidRDefault="0081378F" w:rsidP="0081378F">
      <w:pPr>
        <w:suppressAutoHyphens/>
        <w:spacing w:after="120" w:line="360" w:lineRule="auto"/>
        <w:ind w:firstLine="567"/>
        <w:jc w:val="both"/>
        <w:rPr>
          <w:rFonts w:ascii="Times New Roman" w:eastAsia="Times New Roman" w:hAnsi="Times New Roman"/>
          <w:sz w:val="24"/>
          <w:szCs w:val="24"/>
        </w:rPr>
      </w:pPr>
      <w:r w:rsidRPr="002A77C6">
        <w:rPr>
          <w:rFonts w:ascii="Times New Roman" w:eastAsia="Times New Roman" w:hAnsi="Times New Roman"/>
          <w:sz w:val="24"/>
          <w:szCs w:val="24"/>
        </w:rPr>
        <w:t xml:space="preserve">Projektowany art. 21d ust. 1 zatem ma na celu jednoznaczne wskazanie, że Agencja (która będzie wykonywać prawa zgromadzenia wspólników) takie polecenia zarządowi będzie mogła wydawać, przy czym polecenia dotyczyć będą mogły jedynie realizacji zadań spółki określonych w ustawie lub akcie założycielskim. Proponowane rozwiązanie ma na </w:t>
      </w:r>
      <w:r w:rsidRPr="002A77C6">
        <w:rPr>
          <w:rFonts w:ascii="Times New Roman" w:eastAsia="Times New Roman" w:hAnsi="Times New Roman"/>
          <w:sz w:val="24"/>
          <w:szCs w:val="24"/>
        </w:rPr>
        <w:lastRenderedPageBreak/>
        <w:t xml:space="preserve">celu, jak zostało wskazane powyżej, zapewnienie szerokiej kontroli wspólnika nad spółką, wynikającej ze szczególnego charakteru spółki. Jednocześnie podkreślenia wymaga, że wydawanie poleceń zarządowi nie będzie obowiązkiem Agencji, ale jedynie uprawnieniem. Ponadto, aby nie ingerować w sposób nadmierny w prowadzenie spraw spółki, nie przewiduje się, </w:t>
      </w:r>
      <w:r w:rsidR="005A4120">
        <w:rPr>
          <w:rFonts w:ascii="Times New Roman" w:eastAsia="Times New Roman" w:hAnsi="Times New Roman"/>
          <w:sz w:val="24"/>
          <w:szCs w:val="24"/>
        </w:rPr>
        <w:t>a</w:t>
      </w:r>
      <w:r w:rsidRPr="002A77C6">
        <w:rPr>
          <w:rFonts w:ascii="Times New Roman" w:eastAsia="Times New Roman" w:hAnsi="Times New Roman"/>
          <w:sz w:val="24"/>
          <w:szCs w:val="24"/>
        </w:rPr>
        <w:t xml:space="preserve">by inne podmioty bądź organy miały prawo wydawać zarządowi wiążące polecenia. W szczególności nie przewiduje się, </w:t>
      </w:r>
      <w:r w:rsidR="005A4120">
        <w:rPr>
          <w:rFonts w:ascii="Times New Roman" w:eastAsia="Times New Roman" w:hAnsi="Times New Roman"/>
          <w:sz w:val="24"/>
          <w:szCs w:val="24"/>
        </w:rPr>
        <w:t>a</w:t>
      </w:r>
      <w:r w:rsidRPr="002A77C6">
        <w:rPr>
          <w:rFonts w:ascii="Times New Roman" w:eastAsia="Times New Roman" w:hAnsi="Times New Roman"/>
          <w:sz w:val="24"/>
          <w:szCs w:val="24"/>
        </w:rPr>
        <w:t xml:space="preserve">by takie polecenia mógł wydawać minister właściwy do </w:t>
      </w:r>
      <w:r w:rsidR="002A77C6" w:rsidRPr="002A77C6">
        <w:rPr>
          <w:rFonts w:ascii="Times New Roman" w:eastAsia="Times New Roman" w:hAnsi="Times New Roman"/>
          <w:sz w:val="24"/>
          <w:szCs w:val="24"/>
        </w:rPr>
        <w:t xml:space="preserve">spraw rolnictwa, </w:t>
      </w:r>
      <w:r w:rsidRPr="002A77C6">
        <w:rPr>
          <w:rFonts w:ascii="Times New Roman" w:eastAsia="Times New Roman" w:hAnsi="Times New Roman"/>
          <w:sz w:val="24"/>
          <w:szCs w:val="24"/>
        </w:rPr>
        <w:t>rozwoju wsi</w:t>
      </w:r>
      <w:r w:rsidR="002A77C6" w:rsidRPr="002A77C6">
        <w:rPr>
          <w:rFonts w:ascii="Times New Roman" w:eastAsia="Times New Roman" w:hAnsi="Times New Roman"/>
          <w:sz w:val="24"/>
          <w:szCs w:val="24"/>
        </w:rPr>
        <w:t>, rynków rolnych lub rybołówstwa</w:t>
      </w:r>
      <w:r>
        <w:rPr>
          <w:rFonts w:ascii="Times New Roman" w:eastAsia="Times New Roman" w:hAnsi="Times New Roman"/>
          <w:sz w:val="24"/>
          <w:szCs w:val="24"/>
        </w:rPr>
        <w:t>,</w:t>
      </w:r>
      <w:r w:rsidRPr="002A77C6">
        <w:rPr>
          <w:rFonts w:ascii="Times New Roman" w:eastAsia="Times New Roman" w:hAnsi="Times New Roman"/>
          <w:sz w:val="24"/>
          <w:szCs w:val="24"/>
        </w:rPr>
        <w:t xml:space="preserve"> który może powierzyć spółce realizację zadań spółki na rzecz jednostek podległych temu ministrowi lub przez niego nadzorowanych, w tym na rzecz Agencji, przyznając na ten cel dotację (zgodnie z art. 21b ust. 1 projektu ustawy). Taka kompetencja dla ministra wydaje się być zbędną z jednej strony z uwagi na zapewnienie reguł ładu korporacyjnego, z drugiej zaś z uwagi na fakt, że sposób realizacji powierzonych zadań powinien wynikać z umowy zawartej ze spółką zgodnie z</w:t>
      </w:r>
      <w:r w:rsidR="005A4120">
        <w:rPr>
          <w:rFonts w:ascii="Times New Roman" w:eastAsia="Times New Roman" w:hAnsi="Times New Roman"/>
          <w:sz w:val="24"/>
          <w:szCs w:val="24"/>
        </w:rPr>
        <w:t> </w:t>
      </w:r>
      <w:r w:rsidRPr="002A77C6">
        <w:rPr>
          <w:rFonts w:ascii="Times New Roman" w:eastAsia="Times New Roman" w:hAnsi="Times New Roman"/>
          <w:sz w:val="24"/>
          <w:szCs w:val="24"/>
        </w:rPr>
        <w:t>art.</w:t>
      </w:r>
      <w:r w:rsidR="005A4120">
        <w:rPr>
          <w:rFonts w:ascii="Times New Roman" w:eastAsia="Times New Roman" w:hAnsi="Times New Roman"/>
          <w:sz w:val="24"/>
          <w:szCs w:val="24"/>
        </w:rPr>
        <w:t> </w:t>
      </w:r>
      <w:r w:rsidRPr="002A77C6">
        <w:rPr>
          <w:rFonts w:ascii="Times New Roman" w:eastAsia="Times New Roman" w:hAnsi="Times New Roman"/>
          <w:sz w:val="24"/>
          <w:szCs w:val="24"/>
        </w:rPr>
        <w:t>150 ustawy o finansach publicznych.</w:t>
      </w:r>
    </w:p>
    <w:p w14:paraId="4C83BAD6" w14:textId="065694C8" w:rsidR="0081378F" w:rsidRPr="002A77C6" w:rsidRDefault="0081378F" w:rsidP="0081378F">
      <w:pPr>
        <w:suppressAutoHyphens/>
        <w:spacing w:after="120" w:line="360" w:lineRule="auto"/>
        <w:ind w:firstLine="567"/>
        <w:jc w:val="both"/>
        <w:rPr>
          <w:rFonts w:ascii="Times New Roman" w:eastAsia="Times New Roman" w:hAnsi="Times New Roman"/>
          <w:sz w:val="24"/>
          <w:szCs w:val="24"/>
        </w:rPr>
      </w:pPr>
      <w:r w:rsidRPr="002A77C6">
        <w:rPr>
          <w:rFonts w:ascii="Times New Roman" w:eastAsia="Times New Roman" w:hAnsi="Times New Roman"/>
          <w:sz w:val="24"/>
          <w:szCs w:val="24"/>
        </w:rPr>
        <w:t xml:space="preserve">Z uwagi na fakt, że spółka ma zostać utworzona w celu realizacji zadań polegających na zapewnieniu rozwoju systemów i rozwiązań teleinformatycznych służących do realizacji zadań Agencji, a także do realizacji innych zadań w zakresie działów administracji rządowej </w:t>
      </w:r>
      <w:r w:rsidR="00EB3BFC">
        <w:rPr>
          <w:rFonts w:ascii="Times New Roman" w:eastAsia="Times New Roman" w:hAnsi="Times New Roman"/>
          <w:sz w:val="24"/>
          <w:szCs w:val="24"/>
        </w:rPr>
        <w:t xml:space="preserve">– </w:t>
      </w:r>
      <w:r w:rsidRPr="002A77C6">
        <w:rPr>
          <w:rFonts w:ascii="Times New Roman" w:eastAsia="Times New Roman" w:hAnsi="Times New Roman"/>
          <w:sz w:val="24"/>
          <w:szCs w:val="24"/>
        </w:rPr>
        <w:t xml:space="preserve">rolnictwo, rozwój wsi, rynki rolne lub rybołówstwo, proponuje się, </w:t>
      </w:r>
      <w:r w:rsidR="005A4120">
        <w:rPr>
          <w:rFonts w:ascii="Times New Roman" w:eastAsia="Times New Roman" w:hAnsi="Times New Roman"/>
          <w:sz w:val="24"/>
          <w:szCs w:val="24"/>
        </w:rPr>
        <w:t>a</w:t>
      </w:r>
      <w:r w:rsidRPr="002A77C6">
        <w:rPr>
          <w:rFonts w:ascii="Times New Roman" w:eastAsia="Times New Roman" w:hAnsi="Times New Roman"/>
          <w:sz w:val="24"/>
          <w:szCs w:val="24"/>
        </w:rPr>
        <w:t>by systemy lub rozwiązania teleinformatyczne zbudowane, rozbudowane lub unowocześnione w ramach zadań spółki spółka mogła przekazać nieodpłatnie na rzecz Agencji lub innego podmiotu, na rzecz którego wykonywała zadanie. Szczegółowy sposób i tryb przekazania takich systemów lub rozwiązań określi umowa zawarta na piśmie między spółką a Agencją lub ww. podmiotem (jak wynika z projektowanego art. 21f ustawy</w:t>
      </w:r>
      <w:r w:rsidR="00E84F90">
        <w:rPr>
          <w:rFonts w:ascii="Times New Roman" w:eastAsia="Times New Roman" w:hAnsi="Times New Roman"/>
          <w:sz w:val="24"/>
          <w:szCs w:val="24"/>
        </w:rPr>
        <w:t xml:space="preserve"> o Agencji</w:t>
      </w:r>
      <w:r w:rsidRPr="002A77C6">
        <w:rPr>
          <w:rFonts w:ascii="Times New Roman" w:eastAsia="Times New Roman" w:hAnsi="Times New Roman"/>
          <w:sz w:val="24"/>
          <w:szCs w:val="24"/>
        </w:rPr>
        <w:t>).</w:t>
      </w:r>
    </w:p>
    <w:p w14:paraId="74A38DB0" w14:textId="3861930C" w:rsidR="0081378F" w:rsidRPr="002A77C6" w:rsidRDefault="0081378F" w:rsidP="0081378F">
      <w:pPr>
        <w:suppressAutoHyphens/>
        <w:spacing w:after="120" w:line="360" w:lineRule="auto"/>
        <w:ind w:firstLine="567"/>
        <w:jc w:val="both"/>
        <w:rPr>
          <w:rFonts w:ascii="Times New Roman" w:eastAsia="Times New Roman" w:hAnsi="Times New Roman"/>
          <w:sz w:val="24"/>
          <w:szCs w:val="24"/>
        </w:rPr>
      </w:pPr>
      <w:r w:rsidRPr="002A77C6">
        <w:rPr>
          <w:rFonts w:ascii="Times New Roman" w:eastAsia="Times New Roman" w:hAnsi="Times New Roman"/>
          <w:sz w:val="24"/>
          <w:szCs w:val="24"/>
        </w:rPr>
        <w:t>W umowie takiej strony powinny określić w szczególności kwestie dotyczące praw autorskich (bądź tam</w:t>
      </w:r>
      <w:r w:rsidR="005A4120">
        <w:rPr>
          <w:rFonts w:ascii="Times New Roman" w:eastAsia="Times New Roman" w:hAnsi="Times New Roman"/>
          <w:sz w:val="24"/>
          <w:szCs w:val="24"/>
        </w:rPr>
        <w:t>,</w:t>
      </w:r>
      <w:r w:rsidRPr="002A77C6">
        <w:rPr>
          <w:rFonts w:ascii="Times New Roman" w:eastAsia="Times New Roman" w:hAnsi="Times New Roman"/>
          <w:sz w:val="24"/>
          <w:szCs w:val="24"/>
        </w:rPr>
        <w:t xml:space="preserve"> gdzie to niezbędne</w:t>
      </w:r>
      <w:r w:rsidR="005A4120">
        <w:rPr>
          <w:rFonts w:ascii="Times New Roman" w:eastAsia="Times New Roman" w:hAnsi="Times New Roman"/>
          <w:sz w:val="24"/>
          <w:szCs w:val="24"/>
        </w:rPr>
        <w:t xml:space="preserve"> </w:t>
      </w:r>
      <w:r>
        <w:rPr>
          <w:rFonts w:ascii="Times New Roman" w:eastAsia="Times New Roman" w:hAnsi="Times New Roman"/>
          <w:sz w:val="24"/>
          <w:szCs w:val="24"/>
        </w:rPr>
        <w:t>–</w:t>
      </w:r>
      <w:r w:rsidRPr="002A77C6">
        <w:rPr>
          <w:rFonts w:ascii="Times New Roman" w:eastAsia="Times New Roman" w:hAnsi="Times New Roman"/>
          <w:sz w:val="24"/>
          <w:szCs w:val="24"/>
        </w:rPr>
        <w:t xml:space="preserve"> licencji) do systemów lub innych rozwiązań.</w:t>
      </w:r>
    </w:p>
    <w:p w14:paraId="417F92FF" w14:textId="42967920" w:rsidR="0081378F" w:rsidRPr="002A77C6" w:rsidRDefault="0081378F" w:rsidP="0081378F">
      <w:pPr>
        <w:suppressAutoHyphens/>
        <w:spacing w:after="120" w:line="360" w:lineRule="auto"/>
        <w:ind w:firstLine="567"/>
        <w:jc w:val="both"/>
        <w:rPr>
          <w:rFonts w:ascii="Times New Roman" w:eastAsia="Times New Roman" w:hAnsi="Times New Roman"/>
          <w:sz w:val="24"/>
          <w:szCs w:val="24"/>
        </w:rPr>
      </w:pPr>
      <w:r w:rsidRPr="002A77C6">
        <w:rPr>
          <w:rFonts w:ascii="Times New Roman" w:eastAsia="Times New Roman" w:hAnsi="Times New Roman"/>
          <w:sz w:val="24"/>
          <w:szCs w:val="24"/>
        </w:rPr>
        <w:t xml:space="preserve">Podkreślenia wymaga, że powyższe projektowane przepisy nie wprowadzają obowiązku przekazania rozwiązań teleinformatycznych. Każdorazowo zatem, w razie istnienia takiej konieczności, spółka oraz druga zainteresowana strona (na rzecz której dany projekt został wykonany) rozważą, uwzględniając charakter projektu, jakie prawa powinna zachować do niego spółka bądź też czy projekt powinien zostać przekazany na rzecz podmiotu wskazanego w przepisie. Zawarcie odpowiedniej umowy odbywać się będzie z zachowaniem zasad ładu korporacyjnego obowiązującego w spółce (w szczególności po uzyskaniu odpowiednich zgód korporacyjnych, gdy taki obowiązek będzie wynikał z aktu </w:t>
      </w:r>
      <w:r w:rsidRPr="002A77C6">
        <w:rPr>
          <w:rFonts w:ascii="Times New Roman" w:eastAsia="Times New Roman" w:hAnsi="Times New Roman"/>
          <w:sz w:val="24"/>
          <w:szCs w:val="24"/>
        </w:rPr>
        <w:lastRenderedPageBreak/>
        <w:t>założycielskiego).</w:t>
      </w:r>
    </w:p>
    <w:p w14:paraId="5637166E" w14:textId="32BDA5A1" w:rsidR="0081378F" w:rsidRPr="002A77C6" w:rsidRDefault="0081378F" w:rsidP="0081378F">
      <w:pPr>
        <w:suppressAutoHyphens/>
        <w:spacing w:after="120" w:line="360" w:lineRule="auto"/>
        <w:ind w:firstLine="567"/>
        <w:jc w:val="both"/>
        <w:rPr>
          <w:rFonts w:ascii="Times New Roman" w:eastAsia="Times New Roman" w:hAnsi="Times New Roman"/>
          <w:sz w:val="24"/>
          <w:szCs w:val="24"/>
        </w:rPr>
      </w:pPr>
      <w:r w:rsidRPr="002A77C6">
        <w:rPr>
          <w:rFonts w:ascii="Times New Roman" w:hAnsi="Times New Roman"/>
          <w:sz w:val="24"/>
          <w:szCs w:val="24"/>
        </w:rPr>
        <w:t>Powyższa możliwość przekazania rozwiązań teleinformatycznych (a nie obowiązek ich przekazania) wynika ze specyfiki zadań, które ma realizować spółka. Każdy taki przypadek będzie musiał być rozpatrywany indywidua</w:t>
      </w:r>
      <w:r w:rsidR="008C4669">
        <w:rPr>
          <w:rFonts w:ascii="Times New Roman" w:hAnsi="Times New Roman"/>
          <w:sz w:val="24"/>
          <w:szCs w:val="24"/>
        </w:rPr>
        <w:t>l</w:t>
      </w:r>
      <w:r w:rsidRPr="002A77C6">
        <w:rPr>
          <w:rFonts w:ascii="Times New Roman" w:hAnsi="Times New Roman"/>
          <w:sz w:val="24"/>
          <w:szCs w:val="24"/>
        </w:rPr>
        <w:t>nie, w konkretnej sytuacji okazać się bowiem może rozwiązaniem bardziej efektywnym pod względem organizacyjnym i finansowym</w:t>
      </w:r>
      <w:r w:rsidR="008C4669">
        <w:rPr>
          <w:rFonts w:ascii="Times New Roman" w:hAnsi="Times New Roman"/>
          <w:sz w:val="24"/>
          <w:szCs w:val="24"/>
        </w:rPr>
        <w:t xml:space="preserve">, </w:t>
      </w:r>
      <w:r w:rsidR="002A77C6" w:rsidRPr="002A77C6">
        <w:rPr>
          <w:rFonts w:ascii="Times New Roman" w:hAnsi="Times New Roman"/>
          <w:sz w:val="24"/>
          <w:szCs w:val="24"/>
        </w:rPr>
        <w:t>może okazać się</w:t>
      </w:r>
      <w:r w:rsidRPr="002A77C6">
        <w:rPr>
          <w:rFonts w:ascii="Times New Roman" w:hAnsi="Times New Roman"/>
          <w:sz w:val="24"/>
          <w:szCs w:val="24"/>
        </w:rPr>
        <w:t xml:space="preserve"> sytuacja, w której to spółka będzie posiadała prawa do danego systemu (rozwiązania). Taka okoliczność może nastąpić w szczególności w przypadku wykorzystania do stworzenia nowego rozwiązania komponentów, do których prawa mają podmioty trzecie (prawa autorskie</w:t>
      </w:r>
      <w:r w:rsidR="002A77C6" w:rsidRPr="002A77C6">
        <w:rPr>
          <w:rFonts w:ascii="Times New Roman" w:hAnsi="Times New Roman"/>
          <w:sz w:val="24"/>
          <w:szCs w:val="24"/>
        </w:rPr>
        <w:t xml:space="preserve"> czy </w:t>
      </w:r>
      <w:r w:rsidRPr="002A77C6">
        <w:rPr>
          <w:rFonts w:ascii="Times New Roman" w:hAnsi="Times New Roman"/>
          <w:sz w:val="24"/>
          <w:szCs w:val="24"/>
        </w:rPr>
        <w:t xml:space="preserve">licencje). W przypadku gdy spółka, oprócz stworzenia systemu (rozwiązania), będzie także system (rozwiązanie) utrzymywała i rozwijała, to efektywniejsze może się okazać podejście, </w:t>
      </w:r>
      <w:r w:rsidR="00BE6060">
        <w:rPr>
          <w:rFonts w:ascii="Times New Roman" w:hAnsi="Times New Roman"/>
          <w:sz w:val="24"/>
          <w:szCs w:val="24"/>
        </w:rPr>
        <w:t>a</w:t>
      </w:r>
      <w:r w:rsidRPr="002A77C6">
        <w:rPr>
          <w:rFonts w:ascii="Times New Roman" w:hAnsi="Times New Roman"/>
          <w:sz w:val="24"/>
          <w:szCs w:val="24"/>
        </w:rPr>
        <w:t>by prawa do systemu posiadała spółka (spółka bowiem będzie mogła chociażby, w razie takiej konieczności, nabyć nowe bądź zaktualizowane licencje i na tej podstawie rozwijać i utrzymywać system). Każdorazowo zatem, w przypadku zlecania spółce określonego zadania, kwestia taka będzie analizowana pod kątem formalnoprawnym i finansowym.</w:t>
      </w:r>
    </w:p>
    <w:p w14:paraId="1A6452FA" w14:textId="21B18A82" w:rsidR="0081378F" w:rsidRPr="002A77C6" w:rsidRDefault="0081378F" w:rsidP="0081378F">
      <w:pPr>
        <w:suppressAutoHyphens/>
        <w:spacing w:after="120" w:line="360" w:lineRule="auto"/>
        <w:ind w:firstLine="567"/>
        <w:jc w:val="both"/>
        <w:rPr>
          <w:rFonts w:ascii="Times New Roman" w:eastAsia="Times New Roman" w:hAnsi="Times New Roman"/>
          <w:sz w:val="24"/>
          <w:szCs w:val="24"/>
        </w:rPr>
      </w:pPr>
      <w:r w:rsidRPr="002A77C6">
        <w:rPr>
          <w:rFonts w:ascii="Times New Roman" w:eastAsia="Times New Roman" w:hAnsi="Times New Roman"/>
          <w:sz w:val="24"/>
          <w:szCs w:val="24"/>
        </w:rPr>
        <w:t xml:space="preserve">Powyższe uprawnienie stanowi odzwierciedlenie szczególnego charakteru spółki, której głównym celem ma być wsparcie instytucji działających na rzecz polskiego rolnictwa. Spółka bowiem ma mieć charakter usługowy, wykonawczy w stosunku do tych instytucji. Z tego też powodu, jak zostało wskazane powyżej, przewiduje się finansowanie usług realizowanych przez spółkę w drodze dotacji z budżetu państwa. Celem spółki nie będzie zatem generowanie jak najwyższego zysku i zwiększanie jej majątku, ale zapewnienie podmiotom publicznym realizacji ich zadań. Proponuje się także, w projektowanym art. 21g, </w:t>
      </w:r>
      <w:r w:rsidR="00BE6060">
        <w:rPr>
          <w:rFonts w:ascii="Times New Roman" w:eastAsia="Times New Roman" w:hAnsi="Times New Roman"/>
          <w:sz w:val="24"/>
          <w:szCs w:val="24"/>
        </w:rPr>
        <w:t>a</w:t>
      </w:r>
      <w:r w:rsidRPr="002A77C6">
        <w:rPr>
          <w:rFonts w:ascii="Times New Roman" w:eastAsia="Times New Roman" w:hAnsi="Times New Roman"/>
          <w:sz w:val="24"/>
          <w:szCs w:val="24"/>
        </w:rPr>
        <w:t>by spółka mogła nieodpłatnie uzyskiwać dane z systemów teleinformatycznych Agencji oraz innych podmiotów, na rzecz których realizuje zadania. W tym celu spółka będzie zawierać z administratorami zbiorów danych na piśmie umowy o udostępnianiu informacji zgromadzonych w zbiorach w drodze teletransmisji bez konieczności składania każdorazowo pisemnych wniosków o udostępnienie danych.</w:t>
      </w:r>
    </w:p>
    <w:p w14:paraId="15D01292" w14:textId="77777777" w:rsidR="0081378F" w:rsidRPr="002A77C6" w:rsidRDefault="0081378F" w:rsidP="0081378F">
      <w:pPr>
        <w:suppressAutoHyphens/>
        <w:spacing w:after="120" w:line="360" w:lineRule="auto"/>
        <w:ind w:firstLine="567"/>
        <w:jc w:val="both"/>
        <w:rPr>
          <w:rFonts w:ascii="Times New Roman" w:eastAsia="Times New Roman" w:hAnsi="Times New Roman"/>
          <w:sz w:val="24"/>
          <w:szCs w:val="24"/>
        </w:rPr>
      </w:pPr>
      <w:r w:rsidRPr="002A77C6">
        <w:rPr>
          <w:rFonts w:ascii="Times New Roman" w:eastAsia="Times New Roman" w:hAnsi="Times New Roman"/>
          <w:sz w:val="24"/>
          <w:szCs w:val="24"/>
        </w:rPr>
        <w:t>Analogicznie spółka będzie mogła nieodpłatnie uzyskiwać dane ze zbiorów danych, w tym zbiorów danych osobowych, prowadzonych przez organy władzy publicznej oraz państwowe jednostki organizacyjne.</w:t>
      </w:r>
    </w:p>
    <w:p w14:paraId="6A652508" w14:textId="2A8C3319" w:rsidR="0081378F" w:rsidRPr="002A77C6" w:rsidRDefault="0081378F" w:rsidP="0081378F">
      <w:pPr>
        <w:suppressAutoHyphens/>
        <w:spacing w:after="120" w:line="360" w:lineRule="auto"/>
        <w:ind w:firstLine="567"/>
        <w:jc w:val="both"/>
        <w:rPr>
          <w:rFonts w:ascii="Times New Roman" w:eastAsia="Times New Roman" w:hAnsi="Times New Roman"/>
          <w:sz w:val="24"/>
          <w:szCs w:val="24"/>
        </w:rPr>
      </w:pPr>
      <w:r w:rsidRPr="002A77C6">
        <w:rPr>
          <w:rFonts w:ascii="Times New Roman" w:eastAsia="Times New Roman" w:hAnsi="Times New Roman"/>
          <w:sz w:val="24"/>
          <w:szCs w:val="24"/>
        </w:rPr>
        <w:t xml:space="preserve">Tak </w:t>
      </w:r>
      <w:r w:rsidR="002A77C6" w:rsidRPr="002A77C6">
        <w:rPr>
          <w:rFonts w:ascii="Times New Roman" w:eastAsia="Times New Roman" w:hAnsi="Times New Roman"/>
          <w:sz w:val="24"/>
          <w:szCs w:val="24"/>
        </w:rPr>
        <w:t>przetwarzane</w:t>
      </w:r>
      <w:r w:rsidRPr="002A77C6">
        <w:rPr>
          <w:rFonts w:ascii="Times New Roman" w:eastAsia="Times New Roman" w:hAnsi="Times New Roman"/>
          <w:sz w:val="24"/>
          <w:szCs w:val="24"/>
        </w:rPr>
        <w:t xml:space="preserve"> dane będą mogły być przetwarzane przez spółkę w celu realizacji jej zadań, a do udostępniania danych będą miały zastosowanie przepisy ustawy z dnia 17 lutego </w:t>
      </w:r>
      <w:r w:rsidRPr="002A77C6">
        <w:rPr>
          <w:rFonts w:ascii="Times New Roman" w:eastAsia="Times New Roman" w:hAnsi="Times New Roman"/>
          <w:sz w:val="24"/>
          <w:szCs w:val="24"/>
        </w:rPr>
        <w:lastRenderedPageBreak/>
        <w:t>2005 r. o informatyzacji działalności podmiotów realizujących zadania publiczne (</w:t>
      </w:r>
      <w:r w:rsidR="00E84F90">
        <w:rPr>
          <w:rFonts w:ascii="Times New Roman" w:eastAsia="Times New Roman" w:hAnsi="Times New Roman"/>
          <w:sz w:val="24"/>
          <w:szCs w:val="24"/>
        </w:rPr>
        <w:t xml:space="preserve">Dz. U. z 2021 r. poz. 2070), </w:t>
      </w:r>
      <w:r w:rsidRPr="002A77C6">
        <w:rPr>
          <w:rFonts w:ascii="Times New Roman" w:eastAsia="Times New Roman" w:hAnsi="Times New Roman"/>
          <w:sz w:val="24"/>
          <w:szCs w:val="24"/>
        </w:rPr>
        <w:t>z tym wyjątkiem, że w przypadku danych od Agencji i innych podmiotów, na rzecz których będzie realizowała zadania, nie będzie wymagany wniosek, o którym mowa w tej ustawie.</w:t>
      </w:r>
    </w:p>
    <w:p w14:paraId="454A9460" w14:textId="726C718C" w:rsidR="0081378F" w:rsidRPr="002A77C6" w:rsidRDefault="0081378F" w:rsidP="0081378F">
      <w:pPr>
        <w:suppressAutoHyphens/>
        <w:spacing w:after="120" w:line="360" w:lineRule="auto"/>
        <w:ind w:firstLine="567"/>
        <w:jc w:val="both"/>
      </w:pPr>
      <w:r w:rsidRPr="002A77C6">
        <w:rPr>
          <w:rFonts w:ascii="Times New Roman" w:eastAsia="Times New Roman" w:hAnsi="Times New Roman"/>
          <w:sz w:val="24"/>
          <w:szCs w:val="24"/>
        </w:rPr>
        <w:t>Projektowany art. 21g wzorowany jest na rozwiązaniach przewidzianych w ustawie z</w:t>
      </w:r>
      <w:r w:rsidR="00BE6060">
        <w:rPr>
          <w:rFonts w:ascii="Times New Roman" w:eastAsia="Times New Roman" w:hAnsi="Times New Roman"/>
          <w:sz w:val="24"/>
          <w:szCs w:val="24"/>
        </w:rPr>
        <w:t> </w:t>
      </w:r>
      <w:r w:rsidRPr="002A77C6">
        <w:rPr>
          <w:rFonts w:ascii="Times New Roman" w:eastAsia="Times New Roman" w:hAnsi="Times New Roman"/>
          <w:sz w:val="24"/>
          <w:szCs w:val="24"/>
        </w:rPr>
        <w:t>dnia 29 kwietnia 2016 r. o szczególnych zasadach wykonywania niektórych zadań dotyczących informatyzacji w zakresie działów administracji rządowej budżet i finanse publiczne.</w:t>
      </w:r>
    </w:p>
    <w:p w14:paraId="592AF300" w14:textId="5070D716" w:rsidR="0081378F" w:rsidRPr="002A77C6" w:rsidRDefault="0081378F" w:rsidP="0081378F">
      <w:pPr>
        <w:suppressAutoHyphens/>
        <w:spacing w:after="120" w:line="360" w:lineRule="auto"/>
        <w:ind w:firstLine="567"/>
        <w:jc w:val="both"/>
      </w:pPr>
      <w:r w:rsidRPr="002A77C6">
        <w:rPr>
          <w:rFonts w:ascii="Times New Roman" w:eastAsia="Times New Roman" w:hAnsi="Times New Roman"/>
          <w:sz w:val="24"/>
          <w:szCs w:val="24"/>
        </w:rPr>
        <w:t>Podkreślenia wymaga, że ww. przepisy nie dotyczą wyłącznie danych osobowych. Ust.</w:t>
      </w:r>
      <w:r w:rsidR="002B4AF3">
        <w:rPr>
          <w:rFonts w:ascii="Times New Roman" w:eastAsia="Times New Roman" w:hAnsi="Times New Roman"/>
          <w:sz w:val="24"/>
          <w:szCs w:val="24"/>
        </w:rPr>
        <w:t> </w:t>
      </w:r>
      <w:r w:rsidRPr="002A77C6">
        <w:rPr>
          <w:rFonts w:ascii="Times New Roman" w:eastAsia="Times New Roman" w:hAnsi="Times New Roman"/>
          <w:sz w:val="24"/>
          <w:szCs w:val="24"/>
        </w:rPr>
        <w:t>1 i 2 projektowanego przepisu dotyczą uzyskiwania danych z systemów teleinformatycznych (przy czym nie muszą to być dane osobowe). W tym zakresie zastosowanie znajdą przepisy ustawy z dnia 17 lutego 2005 r. o informatyzacji działalności podmiotów realizujących zadania publiczne, z tym zastrzeżeniem, że spółka nie będzie musiała każdorazowo składać wniosków o udostępnianie takich danych (w tym zakresie zatem projektowana ustawa czyni wyjątek w stosunku do ustawy o informatyzacji działalności podmiotów realizujących zadania publiczne).</w:t>
      </w:r>
    </w:p>
    <w:p w14:paraId="5FB935D1" w14:textId="3A839499" w:rsidR="0081378F" w:rsidRPr="002A77C6" w:rsidRDefault="0081378F" w:rsidP="00E84F90">
      <w:pPr>
        <w:suppressAutoHyphens/>
        <w:spacing w:after="120" w:line="360" w:lineRule="auto"/>
        <w:ind w:firstLine="567"/>
        <w:jc w:val="both"/>
      </w:pPr>
      <w:r w:rsidRPr="002A77C6">
        <w:rPr>
          <w:rFonts w:ascii="Times New Roman" w:eastAsia="Times New Roman" w:hAnsi="Times New Roman"/>
          <w:sz w:val="24"/>
          <w:szCs w:val="24"/>
        </w:rPr>
        <w:t>Umowa o udostępnianiu informacji zgromadzonych w zbiorach w drodze teletransmisji, o której mowa w tym przepisie, będzie  każdorazowo regulować prawo spółki do korzystania z danych z systemów (czyli innymi słowy – umowa taka będzie podstawą udostępniania przez określony organ danych spółce). Proponowane rozwiązania w żadnym przypadku nie wyłączają ani nie ograniczają zasad wynikających z przepisów o ochronie danych osobowych, w szczególności rozporządzenia Parlamentu Europejskiego i Rady 2016/679 z dnia 27</w:t>
      </w:r>
      <w:r w:rsidR="002B4AF3">
        <w:rPr>
          <w:rFonts w:ascii="Times New Roman" w:eastAsia="Times New Roman" w:hAnsi="Times New Roman"/>
          <w:sz w:val="24"/>
          <w:szCs w:val="24"/>
        </w:rPr>
        <w:t xml:space="preserve"> kwietnia </w:t>
      </w:r>
      <w:r w:rsidRPr="002A77C6">
        <w:rPr>
          <w:rFonts w:ascii="Times New Roman" w:eastAsia="Times New Roman" w:hAnsi="Times New Roman"/>
          <w:sz w:val="24"/>
          <w:szCs w:val="24"/>
        </w:rPr>
        <w:t>2016 r. w sprawie ochrony osób fizycznych w związku z przetwarzaniem danych osobowych i w sprawie swobodnego przepływu takich danych oraz uchylenia dyrektywy 95/46/WE (ogólne rozporządzenie o ochronie danych) (Dz. Urz. UE L 119</w:t>
      </w:r>
      <w:r>
        <w:rPr>
          <w:rFonts w:ascii="Times New Roman" w:eastAsia="Times New Roman" w:hAnsi="Times New Roman"/>
          <w:sz w:val="24"/>
          <w:szCs w:val="24"/>
        </w:rPr>
        <w:t xml:space="preserve"> z 04.05.2016</w:t>
      </w:r>
      <w:r w:rsidR="002B4AF3">
        <w:rPr>
          <w:rFonts w:ascii="Times New Roman" w:eastAsia="Times New Roman" w:hAnsi="Times New Roman"/>
          <w:sz w:val="24"/>
          <w:szCs w:val="24"/>
        </w:rPr>
        <w:t>,</w:t>
      </w:r>
      <w:r w:rsidRPr="002A77C6">
        <w:rPr>
          <w:rFonts w:ascii="Times New Roman" w:eastAsia="Times New Roman" w:hAnsi="Times New Roman"/>
          <w:sz w:val="24"/>
          <w:szCs w:val="24"/>
        </w:rPr>
        <w:t xml:space="preserve"> s</w:t>
      </w:r>
      <w:r w:rsidR="00E84F90">
        <w:rPr>
          <w:rFonts w:ascii="Times New Roman" w:eastAsia="Times New Roman" w:hAnsi="Times New Roman"/>
          <w:sz w:val="24"/>
          <w:szCs w:val="24"/>
        </w:rPr>
        <w:t>tr</w:t>
      </w:r>
      <w:r w:rsidRPr="002A77C6">
        <w:rPr>
          <w:rFonts w:ascii="Times New Roman" w:eastAsia="Times New Roman" w:hAnsi="Times New Roman"/>
          <w:sz w:val="24"/>
          <w:szCs w:val="24"/>
        </w:rPr>
        <w:t>. 1</w:t>
      </w:r>
      <w:r>
        <w:rPr>
          <w:rFonts w:ascii="Times New Roman" w:eastAsia="Times New Roman" w:hAnsi="Times New Roman"/>
          <w:sz w:val="24"/>
          <w:szCs w:val="24"/>
        </w:rPr>
        <w:t xml:space="preserve">, </w:t>
      </w:r>
      <w:r w:rsidR="00E84F90">
        <w:rPr>
          <w:rFonts w:ascii="Times New Roman" w:eastAsia="Times New Roman" w:hAnsi="Times New Roman"/>
          <w:sz w:val="24"/>
          <w:szCs w:val="24"/>
        </w:rPr>
        <w:t>z późn. zm.</w:t>
      </w:r>
      <w:r w:rsidRPr="002A77C6">
        <w:rPr>
          <w:rFonts w:ascii="Times New Roman" w:eastAsia="Times New Roman" w:hAnsi="Times New Roman"/>
          <w:sz w:val="24"/>
          <w:szCs w:val="24"/>
        </w:rPr>
        <w:t>), zwane dalej „RODO”.</w:t>
      </w:r>
    </w:p>
    <w:p w14:paraId="5F528591" w14:textId="64E87CBC" w:rsidR="0081378F" w:rsidRPr="002A77C6" w:rsidRDefault="0081378F" w:rsidP="0081378F">
      <w:pPr>
        <w:suppressAutoHyphens/>
        <w:spacing w:after="120" w:line="360" w:lineRule="auto"/>
        <w:ind w:firstLine="567"/>
        <w:jc w:val="both"/>
      </w:pPr>
      <w:r w:rsidRPr="002A77C6">
        <w:rPr>
          <w:rFonts w:ascii="Times New Roman" w:eastAsia="Times New Roman" w:hAnsi="Times New Roman"/>
          <w:sz w:val="24"/>
          <w:szCs w:val="24"/>
        </w:rPr>
        <w:t xml:space="preserve">Podkreślenia również wymaga, że zgodnie z art. 4 pkt 1 ustawy o informatyzacji działalności podmiotów realizujących zadania publiczne, przepisy tej ustawy nie naruszają przepisów o ochronie danych osobowych. </w:t>
      </w:r>
    </w:p>
    <w:p w14:paraId="7BDAE211" w14:textId="7303AE19" w:rsidR="0081378F" w:rsidRPr="002A77C6" w:rsidRDefault="0081378F" w:rsidP="0081378F">
      <w:pPr>
        <w:suppressAutoHyphens/>
        <w:spacing w:after="120" w:line="360" w:lineRule="auto"/>
        <w:ind w:firstLine="567"/>
        <w:jc w:val="both"/>
      </w:pPr>
      <w:r w:rsidRPr="002A77C6">
        <w:rPr>
          <w:rFonts w:ascii="Times New Roman" w:eastAsia="Times New Roman" w:hAnsi="Times New Roman"/>
          <w:sz w:val="24"/>
          <w:szCs w:val="24"/>
        </w:rPr>
        <w:t xml:space="preserve">Ustawa ta zaś nie reguluje w sposób szczególny kwestii ochrony danych osobowych – kwestie te bowiem regulują przepisy szczególne (w tym RODO). Analogicznie z tych samych powodów projektowana ustawa nie reguluje tych kwestii. Jeżeli bowiem spółka będzie </w:t>
      </w:r>
      <w:r w:rsidRPr="002A77C6">
        <w:rPr>
          <w:rFonts w:ascii="Times New Roman" w:eastAsia="Times New Roman" w:hAnsi="Times New Roman"/>
          <w:sz w:val="24"/>
          <w:szCs w:val="24"/>
        </w:rPr>
        <w:lastRenderedPageBreak/>
        <w:t>przetwarzała dane osobowe, to dane te będą przetwarzane zgodnie z RODO.</w:t>
      </w:r>
    </w:p>
    <w:p w14:paraId="171F9094" w14:textId="38533784" w:rsidR="0081378F" w:rsidRPr="002A77C6" w:rsidRDefault="0081378F" w:rsidP="0081378F">
      <w:pPr>
        <w:suppressAutoHyphens/>
        <w:spacing w:after="120" w:line="360" w:lineRule="auto"/>
        <w:ind w:firstLine="567"/>
        <w:jc w:val="both"/>
      </w:pPr>
      <w:r w:rsidRPr="002A77C6">
        <w:rPr>
          <w:rFonts w:ascii="Times New Roman" w:eastAsia="Times New Roman" w:hAnsi="Times New Roman"/>
          <w:sz w:val="24"/>
          <w:szCs w:val="24"/>
        </w:rPr>
        <w:t>Projektowany art. 21g ust. 3 i 4 stanowią zaś materialną podstawę przetwarzania danych osobowych przez spółkę – które będą mogły być przetwarzane jedynie w celu wykonywania zadań spółki (zdefiniowanych w projektowanym art. 21a). W tym zakresie projektowane przepisy stanowić powinny w szczególności podstawę przetwarzania, o której mowa w art. 6 ust. 1 lit. f RODO.</w:t>
      </w:r>
    </w:p>
    <w:p w14:paraId="30FA2E8C" w14:textId="6F3AECF7" w:rsidR="0081378F" w:rsidRPr="002A77C6" w:rsidRDefault="0081378F" w:rsidP="0081378F">
      <w:pPr>
        <w:suppressAutoHyphens/>
        <w:spacing w:after="120" w:line="360" w:lineRule="auto"/>
        <w:ind w:firstLine="567"/>
        <w:jc w:val="both"/>
      </w:pPr>
      <w:r w:rsidRPr="002A77C6">
        <w:rPr>
          <w:rFonts w:ascii="Times New Roman" w:eastAsia="Times New Roman" w:hAnsi="Times New Roman"/>
          <w:sz w:val="24"/>
          <w:szCs w:val="24"/>
        </w:rPr>
        <w:t xml:space="preserve">W tym miejscu wskazać także należy, że projektowane regulacje zgodne są z zasadami określonymi w art. 5 RODO. Po pierwsze bowiem przepisy rangi ustawowej będą stanowiły podstawę ewentualnego przetwarzania danych. Jednocześnie przetwarzanie takich danych będzie niezbędne, </w:t>
      </w:r>
      <w:r w:rsidR="00FF3B31">
        <w:rPr>
          <w:rFonts w:ascii="Times New Roman" w:eastAsia="Times New Roman" w:hAnsi="Times New Roman"/>
          <w:sz w:val="24"/>
          <w:szCs w:val="24"/>
        </w:rPr>
        <w:t>a</w:t>
      </w:r>
      <w:r w:rsidRPr="002A77C6">
        <w:rPr>
          <w:rFonts w:ascii="Times New Roman" w:eastAsia="Times New Roman" w:hAnsi="Times New Roman"/>
          <w:sz w:val="24"/>
          <w:szCs w:val="24"/>
        </w:rPr>
        <w:t xml:space="preserve">by spółka mogła realizować swoje zadania. Ponadto, mając na uwadze, że Agencja jest „faktycznym centrum informatyki w obszarze rolnictwa” (co zostało szczegółowo wyjaśnione powyżej), to spółka, „przyjmując” od Agencji zadania w zakresie szeroko rozumianego IT, musi mieć możliwość przetwarzania takich danych. Jak zostało bowiem wskazane powyżej, Agencja obsługuje szereg mechanizmów krajowych i unijnych, przetwarzając dane osobowe beneficjentów. Spółka, jeżeli zostanie jej zlecony rozwój bądź utrzymanie określonego systemu do obsługi takiego mechanizmu, będzie przetwarzać dane na podstawie projektowanej ustawy, wyłącznie jednak w celu wykonywania swoich zadań, zdefiniowanych w ustawie. W tym zakresie przetwarzanie danych będzie adekwatne i zachowana zostanie zasada minimalizacji tych danych. Dodatkowo spółka nie będzie uzyskiwać „dostępu” do wszystkich danych osobowych, przetwarzanych w szczególności przez Agencję, ale przetwarzanie takie związane będzie każdorazowo z określonym zadaniem wykonywanym przez spółkę. Tym samym nie będzie miało miejsca przetwarzanie danych, które potencjalnie </w:t>
      </w:r>
      <w:r w:rsidR="002A77C6" w:rsidRPr="002A77C6">
        <w:rPr>
          <w:rFonts w:ascii="Times New Roman" w:eastAsia="Times New Roman" w:hAnsi="Times New Roman"/>
          <w:sz w:val="24"/>
          <w:szCs w:val="24"/>
        </w:rPr>
        <w:t xml:space="preserve">w przyszłości </w:t>
      </w:r>
      <w:r w:rsidRPr="002A77C6">
        <w:rPr>
          <w:rFonts w:ascii="Times New Roman" w:eastAsia="Times New Roman" w:hAnsi="Times New Roman"/>
          <w:sz w:val="24"/>
          <w:szCs w:val="24"/>
        </w:rPr>
        <w:t xml:space="preserve">będą mogły być wykorzystane. </w:t>
      </w:r>
    </w:p>
    <w:p w14:paraId="08D86DDB" w14:textId="4E17E97A" w:rsidR="0081378F" w:rsidRPr="002A77C6" w:rsidRDefault="0081378F" w:rsidP="0081378F">
      <w:pPr>
        <w:suppressAutoHyphens/>
        <w:spacing w:after="120" w:line="360" w:lineRule="auto"/>
        <w:ind w:firstLine="567"/>
        <w:jc w:val="both"/>
        <w:rPr>
          <w:rFonts w:ascii="Times New Roman" w:eastAsia="Times New Roman" w:hAnsi="Times New Roman"/>
          <w:sz w:val="24"/>
          <w:szCs w:val="24"/>
        </w:rPr>
      </w:pPr>
      <w:r w:rsidRPr="002A77C6">
        <w:rPr>
          <w:rFonts w:ascii="Times New Roman" w:eastAsia="Times New Roman" w:hAnsi="Times New Roman"/>
          <w:sz w:val="24"/>
          <w:szCs w:val="24"/>
        </w:rPr>
        <w:t xml:space="preserve">W kontekście powyższego niecelowe jest wskazywanie konkretnych systemów czy zbiorów danych, z których dane może pozyskiwać spółka, tym bardziej, że w przepisach powszechnie </w:t>
      </w:r>
      <w:r w:rsidR="002A77C6" w:rsidRPr="002A77C6">
        <w:rPr>
          <w:rFonts w:ascii="Times New Roman" w:eastAsia="Times New Roman" w:hAnsi="Times New Roman"/>
          <w:sz w:val="24"/>
          <w:szCs w:val="24"/>
        </w:rPr>
        <w:t>obowiązujący</w:t>
      </w:r>
      <w:r w:rsidR="006A6A11">
        <w:rPr>
          <w:rFonts w:ascii="Times New Roman" w:eastAsia="Times New Roman" w:hAnsi="Times New Roman"/>
          <w:sz w:val="24"/>
          <w:szCs w:val="24"/>
        </w:rPr>
        <w:t>ch</w:t>
      </w:r>
      <w:r w:rsidRPr="002A77C6">
        <w:rPr>
          <w:rFonts w:ascii="Times New Roman" w:eastAsia="Times New Roman" w:hAnsi="Times New Roman"/>
          <w:sz w:val="24"/>
          <w:szCs w:val="24"/>
        </w:rPr>
        <w:t xml:space="preserve"> brak jest zamkniętego katalogu takich zbiorów i systemów. W szczególności przepisy dotyczące Agencji nie wymieniają takich systemów czy zbiorów. Jak zostało wskazane powyżej, dostęp spółki do danych (w tym danych osobowych) odbywał się będzie na podstawie przepisów powszechnie obowiązujących (w tym RODO) oraz stosownych umów (o których mowa w projektowanym art. 21g ust. 2 bądź umów uregulowanych przepisami RODO).</w:t>
      </w:r>
    </w:p>
    <w:p w14:paraId="71FB187D" w14:textId="50251E67" w:rsidR="0081378F" w:rsidRPr="002A77C6" w:rsidRDefault="0081378F" w:rsidP="0081378F">
      <w:pPr>
        <w:suppressAutoHyphens/>
        <w:spacing w:after="120" w:line="360" w:lineRule="auto"/>
        <w:ind w:firstLine="510"/>
        <w:jc w:val="both"/>
        <w:rPr>
          <w:rFonts w:ascii="Times New Roman" w:eastAsia="Times New Roman" w:hAnsi="Times New Roman"/>
          <w:sz w:val="24"/>
          <w:szCs w:val="24"/>
        </w:rPr>
      </w:pPr>
      <w:r w:rsidRPr="002A77C6">
        <w:rPr>
          <w:rFonts w:ascii="Times New Roman" w:eastAsia="Times New Roman" w:hAnsi="Times New Roman"/>
          <w:sz w:val="24"/>
          <w:szCs w:val="24"/>
        </w:rPr>
        <w:t xml:space="preserve">Zmiany zaproponowane w art. 1 pkt 8 mają na celu uregulowanie umarzania należności </w:t>
      </w:r>
      <w:r w:rsidRPr="002A77C6">
        <w:rPr>
          <w:rFonts w:ascii="Times New Roman" w:eastAsia="Times New Roman" w:hAnsi="Times New Roman"/>
          <w:sz w:val="24"/>
          <w:szCs w:val="24"/>
        </w:rPr>
        <w:lastRenderedPageBreak/>
        <w:t xml:space="preserve">z </w:t>
      </w:r>
      <w:r w:rsidR="002A77C6" w:rsidRPr="002A77C6">
        <w:rPr>
          <w:rFonts w:ascii="Times New Roman" w:eastAsia="Times New Roman" w:hAnsi="Times New Roman"/>
          <w:sz w:val="24"/>
          <w:szCs w:val="24"/>
        </w:rPr>
        <w:t>programu przedakcesyjnego SAPARD.</w:t>
      </w:r>
      <w:r w:rsidRPr="002A77C6">
        <w:rPr>
          <w:rFonts w:ascii="Times New Roman" w:eastAsia="Times New Roman" w:hAnsi="Times New Roman"/>
          <w:sz w:val="24"/>
          <w:szCs w:val="24"/>
        </w:rPr>
        <w:t xml:space="preserve"> Proponowane zmiany ustawy o </w:t>
      </w:r>
      <w:r>
        <w:rPr>
          <w:rFonts w:ascii="Times New Roman" w:eastAsia="Times New Roman" w:hAnsi="Times New Roman"/>
          <w:sz w:val="24"/>
          <w:szCs w:val="24"/>
        </w:rPr>
        <w:t>Agencji</w:t>
      </w:r>
      <w:r w:rsidRPr="002A77C6">
        <w:rPr>
          <w:rFonts w:ascii="Times New Roman" w:eastAsia="Times New Roman" w:hAnsi="Times New Roman"/>
          <w:sz w:val="24"/>
          <w:szCs w:val="24"/>
        </w:rPr>
        <w:t xml:space="preserve"> wynikają z faktu, że w obecnym stanie prawnym brak jest przepisów regulujących tę kwestię. Należy wskazać, że zasady dokonywania rozliczeń z Komisją Europejską określają postanowienia Wieloletniej Umowy Finansowej. Zgodnie z art. 14.2.8 rozdziału A Wieloletniej Umowy Finansowej, należności w części unijnej po dwóch latach od daty wpisu do księgi dłużników zostały odpisane na należności krajowe. Zatem obecnie należności w ramach </w:t>
      </w:r>
      <w:r w:rsidRPr="007C1D94">
        <w:rPr>
          <w:rFonts w:ascii="Times New Roman" w:eastAsia="Times New Roman" w:hAnsi="Times New Roman"/>
          <w:sz w:val="24"/>
          <w:szCs w:val="24"/>
        </w:rPr>
        <w:t xml:space="preserve">Programu </w:t>
      </w:r>
      <w:r w:rsidR="002A77C6" w:rsidRPr="002A77C6">
        <w:rPr>
          <w:rFonts w:ascii="Times New Roman" w:eastAsia="Times New Roman" w:hAnsi="Times New Roman"/>
          <w:sz w:val="24"/>
          <w:szCs w:val="24"/>
        </w:rPr>
        <w:t>SAPARD</w:t>
      </w:r>
      <w:r w:rsidRPr="007C1D94" w:rsidDel="007C1D94">
        <w:rPr>
          <w:rFonts w:ascii="Times New Roman" w:eastAsia="Times New Roman" w:hAnsi="Times New Roman"/>
          <w:sz w:val="24"/>
          <w:szCs w:val="24"/>
        </w:rPr>
        <w:t xml:space="preserve"> </w:t>
      </w:r>
      <w:r w:rsidRPr="002A77C6">
        <w:rPr>
          <w:rFonts w:ascii="Times New Roman" w:eastAsia="Times New Roman" w:hAnsi="Times New Roman"/>
          <w:sz w:val="24"/>
          <w:szCs w:val="24"/>
        </w:rPr>
        <w:t xml:space="preserve">zarejestrowane w księgach rachunkowych Agencji są należnościami obciążającymi budżet krajowy. Obecnie w księgach rachunkowych </w:t>
      </w:r>
      <w:r w:rsidR="002A77C6" w:rsidRPr="002A77C6">
        <w:rPr>
          <w:rFonts w:ascii="Times New Roman" w:eastAsia="Times New Roman" w:hAnsi="Times New Roman"/>
          <w:sz w:val="24"/>
          <w:szCs w:val="24"/>
        </w:rPr>
        <w:t>ARiMR</w:t>
      </w:r>
      <w:r w:rsidRPr="002A77C6">
        <w:rPr>
          <w:rFonts w:ascii="Times New Roman" w:eastAsia="Times New Roman" w:hAnsi="Times New Roman"/>
          <w:sz w:val="24"/>
          <w:szCs w:val="24"/>
        </w:rPr>
        <w:t xml:space="preserve"> czynn</w:t>
      </w:r>
      <w:r w:rsidR="00FF3B31">
        <w:rPr>
          <w:rFonts w:ascii="Times New Roman" w:eastAsia="Times New Roman" w:hAnsi="Times New Roman"/>
          <w:sz w:val="24"/>
          <w:szCs w:val="24"/>
        </w:rPr>
        <w:t>e</w:t>
      </w:r>
      <w:r w:rsidRPr="002A77C6">
        <w:rPr>
          <w:rFonts w:ascii="Times New Roman" w:eastAsia="Times New Roman" w:hAnsi="Times New Roman"/>
          <w:sz w:val="24"/>
          <w:szCs w:val="24"/>
        </w:rPr>
        <w:t xml:space="preserve"> pozostają 33 sprawy windykacyjne z otwartym saldem należności. Według stanu na dzień 31.08.2021</w:t>
      </w:r>
      <w:r w:rsidR="006A6A11">
        <w:rPr>
          <w:rFonts w:ascii="Times New Roman" w:eastAsia="Times New Roman" w:hAnsi="Times New Roman"/>
          <w:sz w:val="24"/>
          <w:szCs w:val="24"/>
        </w:rPr>
        <w:t xml:space="preserve"> </w:t>
      </w:r>
      <w:r w:rsidRPr="002A77C6">
        <w:rPr>
          <w:rFonts w:ascii="Times New Roman" w:eastAsia="Times New Roman" w:hAnsi="Times New Roman"/>
          <w:sz w:val="24"/>
          <w:szCs w:val="24"/>
        </w:rPr>
        <w:t>r. pozostaje do odzyskania łączna kwota 13 053 615,84 zł</w:t>
      </w:r>
      <w:r w:rsidR="006A6A11">
        <w:rPr>
          <w:rFonts w:ascii="Times New Roman" w:eastAsia="Times New Roman" w:hAnsi="Times New Roman"/>
          <w:sz w:val="24"/>
          <w:szCs w:val="24"/>
        </w:rPr>
        <w:t>,</w:t>
      </w:r>
      <w:r w:rsidRPr="002A77C6">
        <w:rPr>
          <w:rFonts w:ascii="Times New Roman" w:eastAsia="Times New Roman" w:hAnsi="Times New Roman"/>
          <w:sz w:val="24"/>
          <w:szCs w:val="24"/>
        </w:rPr>
        <w:t xml:space="preserve"> w tym: należność główna 5 590 398,29 zł, odsetki w kwocie 7 270 732,93 zł</w:t>
      </w:r>
      <w:r w:rsidR="002A77C6" w:rsidRPr="002A77C6">
        <w:rPr>
          <w:rFonts w:ascii="Times New Roman" w:eastAsia="Times New Roman" w:hAnsi="Times New Roman"/>
          <w:sz w:val="24"/>
          <w:szCs w:val="24"/>
        </w:rPr>
        <w:t>,</w:t>
      </w:r>
      <w:r w:rsidRPr="002A77C6">
        <w:rPr>
          <w:rFonts w:ascii="Times New Roman" w:eastAsia="Times New Roman" w:hAnsi="Times New Roman"/>
          <w:sz w:val="24"/>
          <w:szCs w:val="24"/>
        </w:rPr>
        <w:t xml:space="preserve"> koszty 192 484,62 zł. W 21 sprawach na łączną kwotę 7 238 945,60 zł, w tym</w:t>
      </w:r>
      <w:r>
        <w:rPr>
          <w:rFonts w:ascii="Times New Roman" w:eastAsia="Times New Roman" w:hAnsi="Times New Roman"/>
          <w:sz w:val="24"/>
          <w:szCs w:val="24"/>
        </w:rPr>
        <w:t>:</w:t>
      </w:r>
      <w:r w:rsidRPr="002A77C6">
        <w:rPr>
          <w:rFonts w:ascii="Times New Roman" w:eastAsia="Times New Roman" w:hAnsi="Times New Roman"/>
          <w:sz w:val="24"/>
          <w:szCs w:val="24"/>
        </w:rPr>
        <w:t xml:space="preserve"> należność główna 3 217 221,72 zł, odsetki 3 835 025,26 zł</w:t>
      </w:r>
      <w:r w:rsidR="002A77C6" w:rsidRPr="002A77C6">
        <w:rPr>
          <w:rFonts w:ascii="Times New Roman" w:eastAsia="Times New Roman" w:hAnsi="Times New Roman"/>
          <w:sz w:val="24"/>
          <w:szCs w:val="24"/>
        </w:rPr>
        <w:t>,</w:t>
      </w:r>
      <w:r w:rsidRPr="002A77C6">
        <w:rPr>
          <w:rFonts w:ascii="Times New Roman" w:eastAsia="Times New Roman" w:hAnsi="Times New Roman"/>
          <w:sz w:val="24"/>
          <w:szCs w:val="24"/>
        </w:rPr>
        <w:t xml:space="preserve"> koszty 186 698,62 zł</w:t>
      </w:r>
      <w:r w:rsidR="00BC6F09">
        <w:rPr>
          <w:rFonts w:ascii="Times New Roman" w:eastAsia="Times New Roman" w:hAnsi="Times New Roman"/>
          <w:sz w:val="24"/>
          <w:szCs w:val="24"/>
        </w:rPr>
        <w:t>,</w:t>
      </w:r>
      <w:r w:rsidRPr="002A77C6">
        <w:rPr>
          <w:rFonts w:ascii="Times New Roman" w:eastAsia="Times New Roman" w:hAnsi="Times New Roman"/>
          <w:sz w:val="24"/>
          <w:szCs w:val="24"/>
        </w:rPr>
        <w:t xml:space="preserve"> egzekucja okazała się bezskuteczna</w:t>
      </w:r>
      <w:r w:rsidR="002A77C6" w:rsidRPr="002A77C6">
        <w:rPr>
          <w:rFonts w:ascii="Times New Roman" w:eastAsia="Times New Roman" w:hAnsi="Times New Roman"/>
          <w:sz w:val="24"/>
          <w:szCs w:val="24"/>
        </w:rPr>
        <w:t>,</w:t>
      </w:r>
      <w:r w:rsidRPr="002A77C6">
        <w:rPr>
          <w:rFonts w:ascii="Times New Roman" w:eastAsia="Times New Roman" w:hAnsi="Times New Roman"/>
          <w:sz w:val="24"/>
          <w:szCs w:val="24"/>
        </w:rPr>
        <w:t xml:space="preserve"> co zostało stwierdzone przez komornika s</w:t>
      </w:r>
      <w:r w:rsidR="00FF3B31">
        <w:rPr>
          <w:rFonts w:ascii="Times New Roman" w:eastAsia="Times New Roman" w:hAnsi="Times New Roman"/>
          <w:sz w:val="24"/>
          <w:szCs w:val="24"/>
        </w:rPr>
        <w:t>ą</w:t>
      </w:r>
      <w:r w:rsidRPr="002A77C6">
        <w:rPr>
          <w:rFonts w:ascii="Times New Roman" w:eastAsia="Times New Roman" w:hAnsi="Times New Roman"/>
          <w:sz w:val="24"/>
          <w:szCs w:val="24"/>
        </w:rPr>
        <w:t>dowego. W postępowaniu egzekucyjnym nie uzyskano kwoty wyższej od kosztów dochodzenia i egzekucji wierzytelności Agencji lub postępowanie egzekucyjne okazało się nieskuteczne. Przy czym podkreślić należy, że w 6 z nich na łączną kwotę 1 818 583,72 zł (należność główna 747 240,06 zł, odsetki 1 031 958,80 zł</w:t>
      </w:r>
      <w:r w:rsidR="002A77C6" w:rsidRPr="002A77C6">
        <w:rPr>
          <w:rFonts w:ascii="Times New Roman" w:eastAsia="Times New Roman" w:hAnsi="Times New Roman"/>
          <w:sz w:val="24"/>
          <w:szCs w:val="24"/>
        </w:rPr>
        <w:t>,</w:t>
      </w:r>
      <w:r w:rsidRPr="002A77C6">
        <w:rPr>
          <w:rFonts w:ascii="Times New Roman" w:eastAsia="Times New Roman" w:hAnsi="Times New Roman"/>
          <w:sz w:val="24"/>
          <w:szCs w:val="24"/>
        </w:rPr>
        <w:t xml:space="preserve"> koszty 39 384,86 zł) nie można ustalić miejsca zamieszkania lub pobytu dłużnika będącego osobą fizyczną albo dłużnik zmarł, nie pozostawiwszy żadnego majątku lub pozostawił ruchomości niepodlegające egzekucji na podstawie odrębnych przepisów albo pozostawił przedmioty codziennego użytku domowego, których łączna wartość nie przekracza kwoty stanowiącej </w:t>
      </w:r>
      <w:r w:rsidR="002A77C6" w:rsidRPr="002A77C6">
        <w:rPr>
          <w:rFonts w:ascii="Times New Roman" w:eastAsia="Times New Roman" w:hAnsi="Times New Roman"/>
          <w:sz w:val="24"/>
          <w:szCs w:val="24"/>
        </w:rPr>
        <w:t>trzykrotność</w:t>
      </w:r>
      <w:r w:rsidRPr="002A77C6">
        <w:rPr>
          <w:rFonts w:ascii="Times New Roman" w:eastAsia="Times New Roman" w:hAnsi="Times New Roman"/>
          <w:sz w:val="24"/>
          <w:szCs w:val="24"/>
        </w:rPr>
        <w:t xml:space="preserve"> przeciętnego miesięcznego wynagrodzenia w roku poprzedzającym umorzenie, ogłaszanego przez Prezesa Głównego Urzędu Statystycznego w Dzienniku Urzędowym Rzeczypospolitej Polskiej „Monitor Polski” do celów naliczania odpisu na zakładowy fundusz świadczeń socjalnych. W 2 przypadkach nie odzyskano należności w wyniku przeprowadzonego postępowania likwidacyjnego albo upadłościowego, ponadto dłużnik będący osobą prawną został wykreślony z Krajowego Rejestru Sądowego i jednocześnie nie ma majątku, z którego można by egzekwować wierzytelność Agencji, a odpowiedzialność z tytułu wierzytelności Agencji nie przechodzi z mocy prawa na osoby trzecie. Kwota zadłużenia łącznie wynosi 3</w:t>
      </w:r>
      <w:r w:rsidR="00C15207">
        <w:rPr>
          <w:rFonts w:ascii="Times New Roman" w:eastAsia="Times New Roman" w:hAnsi="Times New Roman"/>
          <w:sz w:val="24"/>
          <w:szCs w:val="24"/>
        </w:rPr>
        <w:t> </w:t>
      </w:r>
      <w:r w:rsidRPr="002A77C6">
        <w:rPr>
          <w:rFonts w:ascii="Times New Roman" w:eastAsia="Times New Roman" w:hAnsi="Times New Roman"/>
          <w:sz w:val="24"/>
          <w:szCs w:val="24"/>
        </w:rPr>
        <w:t>038 256,87 zł, w tym</w:t>
      </w:r>
      <w:r>
        <w:rPr>
          <w:rFonts w:ascii="Times New Roman" w:eastAsia="Times New Roman" w:hAnsi="Times New Roman"/>
          <w:sz w:val="24"/>
          <w:szCs w:val="24"/>
        </w:rPr>
        <w:t>:</w:t>
      </w:r>
      <w:r w:rsidRPr="002A77C6">
        <w:rPr>
          <w:rFonts w:ascii="Times New Roman" w:eastAsia="Times New Roman" w:hAnsi="Times New Roman"/>
          <w:sz w:val="24"/>
          <w:szCs w:val="24"/>
        </w:rPr>
        <w:t xml:space="preserve"> należność główna 1 111 684,62 zł</w:t>
      </w:r>
      <w:r w:rsidR="002A77C6" w:rsidRPr="002A77C6">
        <w:rPr>
          <w:rFonts w:ascii="Times New Roman" w:eastAsia="Times New Roman" w:hAnsi="Times New Roman"/>
          <w:sz w:val="24"/>
          <w:szCs w:val="24"/>
        </w:rPr>
        <w:t>,</w:t>
      </w:r>
      <w:r w:rsidRPr="002A77C6">
        <w:rPr>
          <w:rFonts w:ascii="Times New Roman" w:eastAsia="Times New Roman" w:hAnsi="Times New Roman"/>
          <w:sz w:val="24"/>
          <w:szCs w:val="24"/>
        </w:rPr>
        <w:t xml:space="preserve"> odsetki w kwocie 1 926 572,25 zł.</w:t>
      </w:r>
    </w:p>
    <w:p w14:paraId="48E75A83" w14:textId="6AB41A92" w:rsidR="0081378F" w:rsidRPr="002A77C6" w:rsidRDefault="0081378F" w:rsidP="0081378F">
      <w:pPr>
        <w:suppressAutoHyphens/>
        <w:spacing w:after="120" w:line="360" w:lineRule="auto"/>
        <w:ind w:firstLine="510"/>
        <w:jc w:val="both"/>
        <w:rPr>
          <w:rFonts w:ascii="Times New Roman" w:eastAsia="Times New Roman" w:hAnsi="Times New Roman"/>
          <w:sz w:val="24"/>
          <w:szCs w:val="24"/>
        </w:rPr>
      </w:pPr>
      <w:r w:rsidRPr="002A77C6">
        <w:rPr>
          <w:rFonts w:ascii="Times New Roman" w:eastAsia="Times New Roman" w:hAnsi="Times New Roman"/>
          <w:sz w:val="24"/>
          <w:szCs w:val="24"/>
        </w:rPr>
        <w:t xml:space="preserve">Powyższe wskazuje, że dalsze koszty stosowania procedur windykacyjnych mogą być w ww. sprawach nieproporcjonalne w stosunku do kwot odzyskanych lub możliwych do odzyskania. W przypadku możliwości zastosowania przesłanek pozwalających na umorzenie </w:t>
      </w:r>
      <w:r w:rsidRPr="002A77C6">
        <w:rPr>
          <w:rFonts w:ascii="Times New Roman" w:eastAsia="Times New Roman" w:hAnsi="Times New Roman"/>
          <w:sz w:val="24"/>
          <w:szCs w:val="24"/>
        </w:rPr>
        <w:lastRenderedPageBreak/>
        <w:t>należności były podstawy do dochodzenia należności w stosunku do 9 dłużników. Kwota do odzyskania w ramach tych spraw wynosi łącznie 2 406 480,68 zł, w tym</w:t>
      </w:r>
      <w:r>
        <w:rPr>
          <w:rFonts w:ascii="Times New Roman" w:eastAsia="Times New Roman" w:hAnsi="Times New Roman"/>
          <w:sz w:val="24"/>
          <w:szCs w:val="24"/>
        </w:rPr>
        <w:t>:</w:t>
      </w:r>
      <w:r w:rsidRPr="002A77C6">
        <w:rPr>
          <w:rFonts w:ascii="Times New Roman" w:eastAsia="Times New Roman" w:hAnsi="Times New Roman"/>
          <w:sz w:val="24"/>
          <w:szCs w:val="24"/>
        </w:rPr>
        <w:t xml:space="preserve"> należność główna 1 088 531,03 zł</w:t>
      </w:r>
      <w:r>
        <w:rPr>
          <w:rFonts w:ascii="Times New Roman" w:eastAsia="Times New Roman" w:hAnsi="Times New Roman"/>
          <w:sz w:val="24"/>
          <w:szCs w:val="24"/>
        </w:rPr>
        <w:t xml:space="preserve"> i</w:t>
      </w:r>
      <w:r w:rsidRPr="002A77C6">
        <w:rPr>
          <w:rFonts w:ascii="Times New Roman" w:eastAsia="Times New Roman" w:hAnsi="Times New Roman"/>
          <w:sz w:val="24"/>
          <w:szCs w:val="24"/>
        </w:rPr>
        <w:t xml:space="preserve"> odsetki 1 317 949,65 zł. Zgodnie z art. 44 ust</w:t>
      </w:r>
      <w:r w:rsidR="00200162">
        <w:rPr>
          <w:rFonts w:ascii="Times New Roman" w:eastAsia="Times New Roman" w:hAnsi="Times New Roman"/>
          <w:sz w:val="24"/>
          <w:szCs w:val="24"/>
        </w:rPr>
        <w:t>.</w:t>
      </w:r>
      <w:r w:rsidRPr="002A77C6">
        <w:rPr>
          <w:rFonts w:ascii="Times New Roman" w:eastAsia="Times New Roman" w:hAnsi="Times New Roman"/>
          <w:sz w:val="24"/>
          <w:szCs w:val="24"/>
        </w:rPr>
        <w:t xml:space="preserve"> 3 pkt 1 ustawy z dnia 27</w:t>
      </w:r>
      <w:r w:rsidR="00200162">
        <w:rPr>
          <w:rFonts w:ascii="Times New Roman" w:eastAsia="Times New Roman" w:hAnsi="Times New Roman"/>
          <w:sz w:val="24"/>
          <w:szCs w:val="24"/>
        </w:rPr>
        <w:t> </w:t>
      </w:r>
      <w:r w:rsidRPr="002A77C6">
        <w:rPr>
          <w:rFonts w:ascii="Times New Roman" w:eastAsia="Times New Roman" w:hAnsi="Times New Roman"/>
          <w:sz w:val="24"/>
          <w:szCs w:val="24"/>
        </w:rPr>
        <w:t>sierpnia 2009 r. o finansach publicznych wydatki publiczne powinny być dokonywane: w sposób celowy i oszczędny, z zachowaniem zasad:</w:t>
      </w:r>
    </w:p>
    <w:p w14:paraId="6E882B07" w14:textId="1A6C4F1F" w:rsidR="0081378F" w:rsidRPr="002A77C6" w:rsidRDefault="0081378F" w:rsidP="00200162">
      <w:pPr>
        <w:suppressAutoHyphens/>
        <w:spacing w:after="120" w:line="360" w:lineRule="auto"/>
        <w:jc w:val="both"/>
        <w:rPr>
          <w:rFonts w:ascii="Times New Roman" w:eastAsia="Times New Roman" w:hAnsi="Times New Roman"/>
          <w:sz w:val="24"/>
          <w:szCs w:val="24"/>
        </w:rPr>
      </w:pPr>
      <w:r w:rsidRPr="002A77C6">
        <w:rPr>
          <w:rFonts w:ascii="Times New Roman" w:eastAsia="Times New Roman" w:hAnsi="Times New Roman"/>
          <w:sz w:val="24"/>
          <w:szCs w:val="24"/>
        </w:rPr>
        <w:t>1) uzyskiwania najlepszych efektów z danych nakładów</w:t>
      </w:r>
      <w:r>
        <w:rPr>
          <w:rFonts w:ascii="Times New Roman" w:eastAsia="Times New Roman" w:hAnsi="Times New Roman"/>
          <w:sz w:val="24"/>
          <w:szCs w:val="24"/>
        </w:rPr>
        <w:t>,</w:t>
      </w:r>
      <w:r w:rsidRPr="002A77C6">
        <w:rPr>
          <w:rFonts w:ascii="Times New Roman" w:eastAsia="Times New Roman" w:hAnsi="Times New Roman"/>
          <w:sz w:val="24"/>
          <w:szCs w:val="24"/>
        </w:rPr>
        <w:t xml:space="preserve"> </w:t>
      </w:r>
    </w:p>
    <w:p w14:paraId="78E7AAC5" w14:textId="77777777" w:rsidR="0081378F" w:rsidRPr="002A77C6" w:rsidRDefault="0081378F" w:rsidP="00200162">
      <w:pPr>
        <w:suppressAutoHyphens/>
        <w:spacing w:after="120" w:line="360" w:lineRule="auto"/>
        <w:jc w:val="both"/>
        <w:rPr>
          <w:rFonts w:ascii="Times New Roman" w:eastAsia="Times New Roman" w:hAnsi="Times New Roman"/>
          <w:sz w:val="24"/>
          <w:szCs w:val="24"/>
        </w:rPr>
      </w:pPr>
      <w:r w:rsidRPr="002A77C6">
        <w:rPr>
          <w:rFonts w:ascii="Times New Roman" w:eastAsia="Times New Roman" w:hAnsi="Times New Roman"/>
          <w:sz w:val="24"/>
          <w:szCs w:val="24"/>
        </w:rPr>
        <w:t xml:space="preserve">2) optymalnego doboru metod i środków służących osiągnięciu założonych celów, </w:t>
      </w:r>
    </w:p>
    <w:p w14:paraId="6A8F31E3" w14:textId="06BC2D5F" w:rsidR="0081378F" w:rsidRPr="002A77C6" w:rsidRDefault="0081378F" w:rsidP="0081378F">
      <w:pPr>
        <w:suppressAutoHyphens/>
        <w:spacing w:after="120" w:line="360" w:lineRule="auto"/>
        <w:jc w:val="both"/>
        <w:rPr>
          <w:rFonts w:ascii="Times New Roman" w:eastAsia="Times New Roman" w:hAnsi="Times New Roman"/>
          <w:sz w:val="24"/>
          <w:szCs w:val="24"/>
        </w:rPr>
      </w:pPr>
      <w:r w:rsidRPr="002A77C6">
        <w:rPr>
          <w:rFonts w:ascii="Times New Roman" w:eastAsia="Times New Roman" w:hAnsi="Times New Roman"/>
          <w:sz w:val="24"/>
          <w:szCs w:val="24"/>
        </w:rPr>
        <w:t xml:space="preserve">a niewątpliwie dalsze wydatkowanie środków związanych z tymi postępowaniami jest niecelowe, nieefektywne oraz nie przyniesie oczekiwanego skutku. W związku z tym, w pewnych przypadkach, państwo członkowskie powinno mieć możliwość ewentualnego odstąpienia od dalszego dochodzenia należności czy też jej umorzenia. Mając na uwadze, że ustawa o </w:t>
      </w:r>
      <w:r w:rsidR="002A77C6" w:rsidRPr="002A77C6">
        <w:rPr>
          <w:rFonts w:ascii="Times New Roman" w:eastAsia="Times New Roman" w:hAnsi="Times New Roman"/>
          <w:sz w:val="24"/>
          <w:szCs w:val="24"/>
        </w:rPr>
        <w:t>ARiMR</w:t>
      </w:r>
      <w:r w:rsidRPr="002A77C6">
        <w:rPr>
          <w:rFonts w:ascii="Times New Roman" w:eastAsia="Times New Roman" w:hAnsi="Times New Roman"/>
          <w:sz w:val="24"/>
          <w:szCs w:val="24"/>
        </w:rPr>
        <w:t xml:space="preserve"> wskazuje przesłanki i tryb umarzania (w tym również z urzędu) przez </w:t>
      </w:r>
      <w:r w:rsidR="002A77C6" w:rsidRPr="002A77C6">
        <w:rPr>
          <w:rFonts w:ascii="Times New Roman" w:eastAsia="Times New Roman" w:hAnsi="Times New Roman"/>
          <w:sz w:val="24"/>
          <w:szCs w:val="24"/>
        </w:rPr>
        <w:t>ARiMR</w:t>
      </w:r>
      <w:r w:rsidRPr="002A77C6">
        <w:rPr>
          <w:rFonts w:ascii="Times New Roman" w:eastAsia="Times New Roman" w:hAnsi="Times New Roman"/>
          <w:sz w:val="24"/>
          <w:szCs w:val="24"/>
        </w:rPr>
        <w:t xml:space="preserve"> należności, ale pochodzących wyłącznie z krajowych środków publicznych (art. 24 i nast. ustawy o </w:t>
      </w:r>
      <w:r w:rsidR="002A77C6" w:rsidRPr="002A77C6">
        <w:rPr>
          <w:rFonts w:ascii="Times New Roman" w:eastAsia="Times New Roman" w:hAnsi="Times New Roman"/>
          <w:sz w:val="24"/>
          <w:szCs w:val="24"/>
        </w:rPr>
        <w:t>ARiMR</w:t>
      </w:r>
      <w:r w:rsidRPr="002A77C6">
        <w:rPr>
          <w:rFonts w:ascii="Times New Roman" w:eastAsia="Times New Roman" w:hAnsi="Times New Roman"/>
          <w:sz w:val="24"/>
          <w:szCs w:val="24"/>
        </w:rPr>
        <w:t>)</w:t>
      </w:r>
      <w:r w:rsidR="00BD1D4D" w:rsidRPr="00BD1D4D">
        <w:rPr>
          <w:rFonts w:ascii="Times New Roman" w:eastAsia="Times New Roman" w:hAnsi="Times New Roman"/>
          <w:sz w:val="24"/>
          <w:szCs w:val="24"/>
        </w:rPr>
        <w:t xml:space="preserve">, </w:t>
      </w:r>
      <w:r w:rsidR="00BD1D4D" w:rsidRPr="00BD1D4D">
        <w:rPr>
          <w:rFonts w:ascii="Times New Roman" w:hAnsi="Times New Roman"/>
          <w:sz w:val="24"/>
          <w:szCs w:val="24"/>
        </w:rPr>
        <w:t>w projekcie proponuje się zmianę art. 24, co pozwoli na umarzanie, rozkładanie na raty lub odraczanie terminu spłaty wierzytelności powstałych w ramach Specjalnego Programu Akcesyjnego na Rzecz Rozwoju Rolnictwa i Obszarów wiejskich na podstawie art. 25–28 ustawy o Agencji</w:t>
      </w:r>
      <w:r w:rsidRPr="002A77C6">
        <w:rPr>
          <w:rFonts w:ascii="Times New Roman" w:eastAsia="Times New Roman" w:hAnsi="Times New Roman"/>
          <w:sz w:val="24"/>
          <w:szCs w:val="24"/>
        </w:rPr>
        <w:t>.</w:t>
      </w:r>
    </w:p>
    <w:p w14:paraId="1279C814" w14:textId="77777777" w:rsidR="0081378F" w:rsidRPr="002A77C6" w:rsidRDefault="0081378F" w:rsidP="0081378F">
      <w:pPr>
        <w:suppressAutoHyphens/>
        <w:spacing w:after="120" w:line="360" w:lineRule="auto"/>
        <w:ind w:firstLine="510"/>
        <w:jc w:val="both"/>
        <w:rPr>
          <w:rFonts w:ascii="Times New Roman" w:eastAsia="Times New Roman" w:hAnsi="Times New Roman"/>
          <w:sz w:val="24"/>
          <w:szCs w:val="24"/>
        </w:rPr>
      </w:pPr>
      <w:r w:rsidRPr="002A77C6">
        <w:rPr>
          <w:rFonts w:ascii="Times New Roman" w:eastAsia="Times New Roman" w:hAnsi="Times New Roman"/>
          <w:sz w:val="24"/>
          <w:szCs w:val="24"/>
        </w:rPr>
        <w:t xml:space="preserve">Zmiana zaproponowana w art. 1 pkt 9 </w:t>
      </w:r>
      <w:r>
        <w:rPr>
          <w:rFonts w:ascii="Times New Roman" w:eastAsia="Times New Roman" w:hAnsi="Times New Roman"/>
          <w:sz w:val="24"/>
          <w:szCs w:val="24"/>
        </w:rPr>
        <w:t xml:space="preserve">projektowanej </w:t>
      </w:r>
      <w:r w:rsidRPr="002A77C6">
        <w:rPr>
          <w:rFonts w:ascii="Times New Roman" w:eastAsia="Times New Roman" w:hAnsi="Times New Roman"/>
          <w:sz w:val="24"/>
          <w:szCs w:val="24"/>
        </w:rPr>
        <w:t xml:space="preserve">ustawy ma celu wykreślenie przepisów, zgodnie z którymi </w:t>
      </w:r>
      <w:r w:rsidRPr="002A77C6">
        <w:rPr>
          <w:rFonts w:ascii="Times New Roman" w:hAnsi="Times New Roman"/>
          <w:sz w:val="24"/>
          <w:szCs w:val="24"/>
        </w:rPr>
        <w:t xml:space="preserve">umorzenie wierzytelności </w:t>
      </w:r>
      <w:r w:rsidRPr="002A77C6">
        <w:rPr>
          <w:rFonts w:ascii="Times New Roman" w:hAnsi="Times New Roman"/>
          <w:iCs/>
          <w:sz w:val="24"/>
          <w:szCs w:val="24"/>
        </w:rPr>
        <w:t>Agencji</w:t>
      </w:r>
      <w:r w:rsidRPr="002A77C6">
        <w:rPr>
          <w:rFonts w:ascii="Times New Roman" w:hAnsi="Times New Roman"/>
          <w:sz w:val="24"/>
          <w:szCs w:val="24"/>
        </w:rPr>
        <w:t>, której kwota przekracza 40 000 zł, wymaga uzyskania zgody ministra właściwego do spraw finansów publicznych.</w:t>
      </w:r>
      <w:r w:rsidRPr="002A77C6">
        <w:rPr>
          <w:rFonts w:ascii="Times New Roman" w:eastAsia="Times New Roman" w:hAnsi="Times New Roman"/>
          <w:sz w:val="24"/>
          <w:szCs w:val="24"/>
        </w:rPr>
        <w:t xml:space="preserve"> Powyższa propozycja związana jest z wykreśleniem przepisów, zgodnie z którymi minister właściwy do spraw finansów publicznych pełni nadzór nad Agencją.</w:t>
      </w:r>
    </w:p>
    <w:p w14:paraId="64FD6F58" w14:textId="0AD52742" w:rsidR="0081378F" w:rsidRPr="002A77C6" w:rsidRDefault="0081378F" w:rsidP="0081378F">
      <w:pPr>
        <w:suppressAutoHyphens/>
        <w:spacing w:after="120" w:line="360" w:lineRule="auto"/>
        <w:ind w:firstLine="510"/>
        <w:jc w:val="both"/>
        <w:rPr>
          <w:rFonts w:ascii="Times New Roman" w:eastAsia="Times New Roman" w:hAnsi="Times New Roman"/>
          <w:sz w:val="24"/>
          <w:szCs w:val="24"/>
        </w:rPr>
      </w:pPr>
      <w:r w:rsidRPr="002A77C6">
        <w:rPr>
          <w:rFonts w:ascii="Times New Roman" w:eastAsia="Times New Roman" w:hAnsi="Times New Roman"/>
          <w:sz w:val="24"/>
          <w:szCs w:val="24"/>
        </w:rPr>
        <w:t>Zmiana zaproponowana w art. 1 pkt 10 ustawy jest wzorowana na rozwiązaniu przyjętym w art. 209 ust. 1b ustawy z dnia 27 sierpnia 2009 r. o finansach publicznych.</w:t>
      </w:r>
      <w:r w:rsidRPr="002A77C6">
        <w:rPr>
          <w:rFonts w:eastAsia="Times New Roman"/>
        </w:rPr>
        <w:t xml:space="preserve"> </w:t>
      </w:r>
      <w:r w:rsidRPr="002A77C6">
        <w:rPr>
          <w:rFonts w:ascii="Times New Roman" w:eastAsia="Times New Roman" w:hAnsi="Times New Roman"/>
          <w:sz w:val="24"/>
          <w:szCs w:val="24"/>
        </w:rPr>
        <w:t>Przepis ten został wprowadzony ustawą z dnia 16 kwietnia 2020 r. o szczególnych instrumentach wsparcia w związku z rozprzestrzenianiem się wirusa SARS-CoV-2 (Dz. U. z 2021 r. poz. 737</w:t>
      </w:r>
      <w:r w:rsidR="00390E72">
        <w:rPr>
          <w:rFonts w:ascii="Times New Roman" w:eastAsia="Times New Roman" w:hAnsi="Times New Roman"/>
          <w:sz w:val="24"/>
          <w:szCs w:val="24"/>
        </w:rPr>
        <w:t>,</w:t>
      </w:r>
      <w:r w:rsidRPr="002A77C6">
        <w:rPr>
          <w:rFonts w:ascii="Times New Roman" w:eastAsia="Times New Roman" w:hAnsi="Times New Roman"/>
          <w:sz w:val="24"/>
          <w:szCs w:val="24"/>
        </w:rPr>
        <w:t xml:space="preserve"> z późn. zm</w:t>
      </w:r>
      <w:r w:rsidR="00DE1D83">
        <w:rPr>
          <w:rFonts w:ascii="Times New Roman" w:eastAsia="Times New Roman" w:hAnsi="Times New Roman"/>
          <w:sz w:val="24"/>
          <w:szCs w:val="24"/>
        </w:rPr>
        <w:t>.</w:t>
      </w:r>
      <w:r w:rsidR="002A77C6" w:rsidRPr="002A77C6">
        <w:rPr>
          <w:rFonts w:ascii="Times New Roman" w:eastAsia="Times New Roman" w:hAnsi="Times New Roman"/>
          <w:sz w:val="24"/>
          <w:szCs w:val="24"/>
        </w:rPr>
        <w:t>).</w:t>
      </w:r>
      <w:r w:rsidRPr="002A77C6">
        <w:rPr>
          <w:rFonts w:ascii="Times New Roman" w:eastAsia="Times New Roman" w:hAnsi="Times New Roman"/>
          <w:sz w:val="24"/>
          <w:szCs w:val="24"/>
        </w:rPr>
        <w:t xml:space="preserve"> Celem wprowadzenia wskazanego art. 209 ust. 1b ustawy z dnia 27 sierpnia 2009 r. o finansach publicznych było nienaliczanie odsetek za zwłokę w okresie stanu zagrożenia epidemicznego lub stanu epidemii. Stan zagrożenia epidemicznego w związku z zakażeniami wirusem SARS-CoV-2 w Polsce obowiązywał od 14 do 19 marca 2020 r. na podstawie rozporządzenia Ministra Zdrowia z 13 marca 2020 r. w sprawie ogłoszenia na obszarze Rzeczypospolitej Polskiej stanu zagrożenia epidemicznego (Dz.</w:t>
      </w:r>
      <w:r>
        <w:rPr>
          <w:rFonts w:ascii="Times New Roman" w:eastAsia="Times New Roman" w:hAnsi="Times New Roman"/>
          <w:sz w:val="24"/>
          <w:szCs w:val="24"/>
        </w:rPr>
        <w:t xml:space="preserve"> </w:t>
      </w:r>
      <w:r w:rsidRPr="002A77C6">
        <w:rPr>
          <w:rFonts w:ascii="Times New Roman" w:eastAsia="Times New Roman" w:hAnsi="Times New Roman"/>
          <w:sz w:val="24"/>
          <w:szCs w:val="24"/>
        </w:rPr>
        <w:t xml:space="preserve">U. </w:t>
      </w:r>
      <w:r w:rsidRPr="002A77C6">
        <w:rPr>
          <w:rFonts w:ascii="Times New Roman" w:eastAsia="Times New Roman" w:hAnsi="Times New Roman"/>
          <w:sz w:val="24"/>
          <w:szCs w:val="24"/>
        </w:rPr>
        <w:lastRenderedPageBreak/>
        <w:t>poz. 433</w:t>
      </w:r>
      <w:r w:rsidR="00DE1D83">
        <w:rPr>
          <w:rFonts w:ascii="Times New Roman" w:eastAsia="Times New Roman" w:hAnsi="Times New Roman"/>
          <w:sz w:val="24"/>
          <w:szCs w:val="24"/>
        </w:rPr>
        <w:t>, z późn. zm.</w:t>
      </w:r>
      <w:r w:rsidR="002A77C6" w:rsidRPr="002A77C6">
        <w:rPr>
          <w:rFonts w:ascii="Times New Roman" w:eastAsia="Times New Roman" w:hAnsi="Times New Roman"/>
          <w:sz w:val="24"/>
          <w:szCs w:val="24"/>
        </w:rPr>
        <w:t>).</w:t>
      </w:r>
      <w:r w:rsidRPr="002A77C6">
        <w:rPr>
          <w:rFonts w:ascii="Times New Roman" w:eastAsia="Times New Roman" w:hAnsi="Times New Roman"/>
          <w:sz w:val="24"/>
          <w:szCs w:val="24"/>
        </w:rPr>
        <w:t xml:space="preserve"> Stan epidemii w związku z zakażeniami wirusem SARS-CoV-2 w Polsce obowiązuje od 20 marca 2020 r. do odwołania na podstawie rozporządzenia Ministra Zdrowia z dnia 20 marca 2020 r.</w:t>
      </w:r>
      <w:r w:rsidRPr="002A77C6">
        <w:rPr>
          <w:rFonts w:ascii="Times New Roman" w:eastAsia="Times New Roman" w:hAnsi="Times New Roman"/>
          <w:b/>
          <w:bCs/>
          <w:sz w:val="24"/>
          <w:szCs w:val="24"/>
        </w:rPr>
        <w:t xml:space="preserve"> </w:t>
      </w:r>
      <w:r w:rsidRPr="002A77C6">
        <w:rPr>
          <w:rFonts w:ascii="Times New Roman" w:eastAsia="Times New Roman" w:hAnsi="Times New Roman"/>
          <w:sz w:val="24"/>
          <w:szCs w:val="24"/>
        </w:rPr>
        <w:t>w sprawie ogłoszenia na obszarze Rzeczypospolitej Polskiej stanu epidemii (Dz. U. poz. 491, z późn. zm.).</w:t>
      </w:r>
    </w:p>
    <w:p w14:paraId="69A57921" w14:textId="5C4FF63A" w:rsidR="0081378F" w:rsidRPr="002A77C6" w:rsidRDefault="0081378F" w:rsidP="0081378F">
      <w:pPr>
        <w:suppressAutoHyphens/>
        <w:spacing w:after="120" w:line="360" w:lineRule="auto"/>
        <w:ind w:firstLine="510"/>
        <w:jc w:val="both"/>
        <w:rPr>
          <w:rFonts w:ascii="Times New Roman" w:eastAsia="Times New Roman" w:hAnsi="Times New Roman"/>
          <w:sz w:val="24"/>
          <w:szCs w:val="24"/>
        </w:rPr>
      </w:pPr>
      <w:r w:rsidRPr="002A77C6">
        <w:rPr>
          <w:rFonts w:ascii="Times New Roman" w:eastAsia="Times New Roman" w:hAnsi="Times New Roman"/>
          <w:sz w:val="24"/>
          <w:szCs w:val="24"/>
        </w:rPr>
        <w:t>Przepis art. 209 ust. 1b ustawy z dnia 27 sierpnia 2009 r. o finansach publicznych dotyczy jednak wyłącznie należności przypadających Agencji w ramach Wspólnej Polityki Rolnej. Takie rozwiązanie nie jest przewidziane w odniesieniu do wierzytelności przypadających Agencji w związku z wykonywaniem przez nią zadań finansowanych wyłącznie z krajowych środków publicznych (o tych wierzytelnościach jest mowa art. 24 ustawy o Agencji). Uzasadnione jest zatem wprowadzenie w art. 27 ustawy o Agencji analogicznego rozwiązania jak przewidziane w przywołanym wyżej przepisie. W ten sposób można usunąć nierówność w traktowaniu dłużników Agencji, ze względu na rodzaj ich długu. Od dnia ogłoszenia w kraju stanu zagrożenia epidemicznego związanego z rozprzestrzenianiem się wirusa SARS-CoV-2, tj. od dnia 14 marca 2020 r.</w:t>
      </w:r>
      <w:r w:rsidR="00560630">
        <w:rPr>
          <w:rFonts w:ascii="Times New Roman" w:eastAsia="Times New Roman" w:hAnsi="Times New Roman"/>
          <w:sz w:val="24"/>
          <w:szCs w:val="24"/>
        </w:rPr>
        <w:t>,</w:t>
      </w:r>
      <w:r w:rsidRPr="002A77C6">
        <w:rPr>
          <w:rFonts w:ascii="Times New Roman" w:eastAsia="Times New Roman" w:hAnsi="Times New Roman"/>
          <w:sz w:val="24"/>
          <w:szCs w:val="24"/>
        </w:rPr>
        <w:t xml:space="preserve"> złożonych zostało 28 wniosków o rozłożenie należności na raty lub odroczenie, o których mowa w art. 24 ustawy o Agencji. Na dzień 2 lutego 2021 r. do rozpatrzenia pozostaje 7 wniosków dotyczących należności krajowych. Na dzień 31 grudnia 2020 r. należności krajowe wynosiły łącznie 263 581 219,28 zł, w tym z tytułu: należności głównej 85 953 856,65 zł, odsetek 176</w:t>
      </w:r>
      <w:r w:rsidR="00560630">
        <w:rPr>
          <w:rFonts w:ascii="Times New Roman" w:eastAsia="Times New Roman" w:hAnsi="Times New Roman"/>
          <w:sz w:val="24"/>
          <w:szCs w:val="24"/>
        </w:rPr>
        <w:t> </w:t>
      </w:r>
      <w:r w:rsidRPr="002A77C6">
        <w:rPr>
          <w:rFonts w:ascii="Times New Roman" w:eastAsia="Times New Roman" w:hAnsi="Times New Roman"/>
          <w:sz w:val="24"/>
          <w:szCs w:val="24"/>
        </w:rPr>
        <w:t>326 831,14 zł</w:t>
      </w:r>
      <w:r w:rsidR="002A77C6" w:rsidRPr="002A77C6">
        <w:rPr>
          <w:rFonts w:ascii="Times New Roman" w:eastAsia="Times New Roman" w:hAnsi="Times New Roman"/>
          <w:sz w:val="24"/>
          <w:szCs w:val="24"/>
        </w:rPr>
        <w:t>,</w:t>
      </w:r>
      <w:r w:rsidRPr="002A77C6">
        <w:rPr>
          <w:rFonts w:ascii="Times New Roman" w:eastAsia="Times New Roman" w:hAnsi="Times New Roman"/>
          <w:sz w:val="24"/>
          <w:szCs w:val="24"/>
        </w:rPr>
        <w:t xml:space="preserve"> kosztów 1 300 531,49 zł. Łączna wartość należności do rozłożenia na raty lub odroczenia według stanu na dzień 31 stycznia 2021</w:t>
      </w:r>
      <w:r w:rsidR="00BC6F09">
        <w:rPr>
          <w:rFonts w:ascii="Times New Roman" w:eastAsia="Times New Roman" w:hAnsi="Times New Roman"/>
          <w:sz w:val="24"/>
          <w:szCs w:val="24"/>
        </w:rPr>
        <w:t xml:space="preserve"> </w:t>
      </w:r>
      <w:r w:rsidRPr="002A77C6">
        <w:rPr>
          <w:rFonts w:ascii="Times New Roman" w:eastAsia="Times New Roman" w:hAnsi="Times New Roman"/>
          <w:sz w:val="24"/>
          <w:szCs w:val="24"/>
        </w:rPr>
        <w:t xml:space="preserve">r. wynosi 925 585,06 zł, w tym z tytułu należności głównej 592 612,93 zł. Wdrożenie tej zmiany do 7 spraw pozostających do rozpatrzenia wiązałoby się z wprowadzeniem ulgi odsetkowej około 100 zł za każdy dzień od dnia złożenia wniosku w okresie trwania stanu epidemicznego lub stanu epidemii w kraju. Na dzień 31 stycznia 2021 r. saldo odsetek przedmiotowych spraw pozostających w rozpatrywaniu (327 730,40 zł na dzień 31.01.2021 r.) uległoby zmniejszeniu o łączną kwotę około 3 tys. zł. </w:t>
      </w:r>
    </w:p>
    <w:p w14:paraId="0C24D1FD" w14:textId="02B3940F" w:rsidR="0081378F" w:rsidRPr="002A77C6" w:rsidRDefault="0081378F" w:rsidP="0081378F">
      <w:pPr>
        <w:suppressAutoHyphens/>
        <w:spacing w:after="120" w:line="360" w:lineRule="auto"/>
        <w:ind w:firstLine="510"/>
        <w:jc w:val="both"/>
        <w:rPr>
          <w:rFonts w:ascii="Times New Roman" w:hAnsi="Times New Roman"/>
          <w:sz w:val="24"/>
          <w:szCs w:val="24"/>
        </w:rPr>
      </w:pPr>
      <w:r w:rsidRPr="002A77C6">
        <w:rPr>
          <w:rFonts w:ascii="Times New Roman" w:eastAsia="Times New Roman" w:hAnsi="Times New Roman"/>
          <w:sz w:val="24"/>
          <w:szCs w:val="24"/>
        </w:rPr>
        <w:t xml:space="preserve">W art. 1 pkt 11 proponuje się jednoznaczne wskazanie (w dodawanym art. 27a), że zarówno pomoc określona w art. 24 ustawy o Agencji, jak i dodawanym ust. 1a w art. 27, w przypadku gdy jest udzielana podmiotowi </w:t>
      </w:r>
      <w:r w:rsidRPr="002A77C6">
        <w:rPr>
          <w:rFonts w:ascii="Times New Roman" w:hAnsi="Times New Roman"/>
          <w:sz w:val="24"/>
          <w:szCs w:val="24"/>
        </w:rPr>
        <w:t>prowadzącemu działalność w zakresie podstawowej produkcji produktów rolnych,</w:t>
      </w:r>
      <w:r w:rsidRPr="002A77C6">
        <w:rPr>
          <w:rFonts w:ascii="Times New Roman" w:hAnsi="Times New Roman"/>
          <w:color w:val="000000"/>
          <w:sz w:val="24"/>
          <w:szCs w:val="24"/>
        </w:rPr>
        <w:t xml:space="preserve"> stanowi pomoc </w:t>
      </w:r>
      <w:r w:rsidRPr="002A77C6">
        <w:rPr>
          <w:rFonts w:ascii="Times New Roman" w:hAnsi="Times New Roman"/>
          <w:i/>
          <w:color w:val="000000"/>
          <w:sz w:val="24"/>
          <w:szCs w:val="24"/>
        </w:rPr>
        <w:t>de minims</w:t>
      </w:r>
      <w:r w:rsidRPr="002A77C6">
        <w:rPr>
          <w:rFonts w:ascii="Times New Roman" w:hAnsi="Times New Roman"/>
          <w:color w:val="000000"/>
          <w:sz w:val="24"/>
          <w:szCs w:val="24"/>
        </w:rPr>
        <w:t xml:space="preserve"> w rolnictwie i może być udzielona </w:t>
      </w:r>
      <w:r w:rsidRPr="002A77C6">
        <w:rPr>
          <w:rFonts w:ascii="Times New Roman" w:hAnsi="Times New Roman"/>
          <w:sz w:val="24"/>
          <w:szCs w:val="24"/>
        </w:rPr>
        <w:t>zgodnie z przepisami rozporządzenia Komisji (UE) nr 1408/2013 z dnia 18</w:t>
      </w:r>
      <w:r w:rsidR="00560630">
        <w:rPr>
          <w:rFonts w:ascii="Times New Roman" w:hAnsi="Times New Roman"/>
          <w:sz w:val="24"/>
          <w:szCs w:val="24"/>
        </w:rPr>
        <w:t> </w:t>
      </w:r>
      <w:r w:rsidRPr="002A77C6">
        <w:rPr>
          <w:rFonts w:ascii="Times New Roman" w:hAnsi="Times New Roman"/>
          <w:sz w:val="24"/>
          <w:szCs w:val="24"/>
        </w:rPr>
        <w:t xml:space="preserve">grudnia 2013 r. w sprawie stosowania art. 107 i 108 Traktatu o funkcjonowaniu Unii </w:t>
      </w:r>
      <w:r w:rsidRPr="002A77C6">
        <w:rPr>
          <w:rFonts w:ascii="Times New Roman" w:hAnsi="Times New Roman"/>
          <w:sz w:val="24"/>
          <w:szCs w:val="24"/>
        </w:rPr>
        <w:lastRenderedPageBreak/>
        <w:t xml:space="preserve">Europejskiej do pomocy </w:t>
      </w:r>
      <w:r w:rsidRPr="002A77C6">
        <w:rPr>
          <w:rFonts w:ascii="Times New Roman" w:hAnsi="Times New Roman"/>
          <w:i/>
          <w:iCs/>
          <w:sz w:val="24"/>
          <w:szCs w:val="24"/>
        </w:rPr>
        <w:t>de minimis</w:t>
      </w:r>
      <w:r w:rsidRPr="002A77C6">
        <w:rPr>
          <w:rFonts w:ascii="Times New Roman" w:hAnsi="Times New Roman"/>
          <w:sz w:val="24"/>
          <w:szCs w:val="24"/>
        </w:rPr>
        <w:t xml:space="preserve"> w sektorze rolnym oraz przepisami o postępowaniu w sprawach dotyczących pomocy publicznej. </w:t>
      </w:r>
    </w:p>
    <w:p w14:paraId="7B989912" w14:textId="336ED29A" w:rsidR="0081378F" w:rsidRPr="00560630" w:rsidRDefault="0081378F" w:rsidP="00560630">
      <w:pPr>
        <w:pStyle w:val="Tekstkomentarza"/>
        <w:ind w:firstLine="567"/>
        <w:jc w:val="both"/>
      </w:pPr>
      <w:r w:rsidRPr="009421CA">
        <w:rPr>
          <w:rFonts w:ascii="Times New Roman" w:hAnsi="Times New Roman"/>
        </w:rPr>
        <w:t xml:space="preserve">Proponowana w art. 1 pkt 12 zmiana art. 29 ustawy o </w:t>
      </w:r>
      <w:r>
        <w:rPr>
          <w:rFonts w:ascii="Times New Roman" w:hAnsi="Times New Roman"/>
        </w:rPr>
        <w:t>Agencji</w:t>
      </w:r>
      <w:r w:rsidRPr="009421CA">
        <w:rPr>
          <w:rFonts w:ascii="Times New Roman" w:hAnsi="Times New Roman"/>
        </w:rPr>
        <w:t xml:space="preserve"> polega na dodaniu przepisu,</w:t>
      </w:r>
      <w:r w:rsidRPr="00637183">
        <w:rPr>
          <w:rFonts w:ascii="Times New Roman" w:hAnsi="Times New Roman"/>
        </w:rPr>
        <w:t xml:space="preserve"> zgodnie z którym do ustalenia kwoty nienależnie lub nadmiernie pobranych środków publicznych nie jest konieczne uprzednie wzruszenie decyzji przyznającej pomoc lub płatność w trybach nadzwyczajnych określonych w ustawie z </w:t>
      </w:r>
      <w:r w:rsidR="009777CF">
        <w:rPr>
          <w:rFonts w:ascii="Times New Roman" w:hAnsi="Times New Roman"/>
        </w:rPr>
        <w:t xml:space="preserve">dnia </w:t>
      </w:r>
      <w:r w:rsidRPr="00637183">
        <w:rPr>
          <w:rFonts w:ascii="Times New Roman" w:hAnsi="Times New Roman"/>
        </w:rPr>
        <w:t xml:space="preserve">14 czerwca 1960 r. </w:t>
      </w:r>
      <w:r w:rsidR="00560630">
        <w:rPr>
          <w:rFonts w:ascii="Times New Roman" w:hAnsi="Times New Roman"/>
        </w:rPr>
        <w:t>–</w:t>
      </w:r>
      <w:r w:rsidRPr="002A77C6">
        <w:rPr>
          <w:rFonts w:ascii="Times New Roman" w:hAnsi="Times New Roman"/>
        </w:rPr>
        <w:t xml:space="preserve"> </w:t>
      </w:r>
      <w:r w:rsidRPr="009421CA">
        <w:rPr>
          <w:rFonts w:ascii="Times New Roman" w:hAnsi="Times New Roman"/>
        </w:rPr>
        <w:t>Kodeks postępowania administracyjnego</w:t>
      </w:r>
      <w:r>
        <w:rPr>
          <w:rFonts w:ascii="Times New Roman" w:hAnsi="Times New Roman"/>
        </w:rPr>
        <w:t xml:space="preserve"> (Dz. </w:t>
      </w:r>
      <w:r w:rsidRPr="009421CA">
        <w:rPr>
          <w:rFonts w:ascii="Times New Roman" w:hAnsi="Times New Roman"/>
        </w:rPr>
        <w:t xml:space="preserve">U. z 2021 r. poz. </w:t>
      </w:r>
      <w:r>
        <w:rPr>
          <w:rFonts w:ascii="Times New Roman" w:hAnsi="Times New Roman"/>
        </w:rPr>
        <w:t>735, z późn. zm.)</w:t>
      </w:r>
      <w:r w:rsidRPr="002A77C6">
        <w:rPr>
          <w:rFonts w:ascii="Times New Roman" w:hAnsi="Times New Roman"/>
        </w:rPr>
        <w:t>.</w:t>
      </w:r>
      <w:r w:rsidRPr="009421CA">
        <w:rPr>
          <w:rFonts w:ascii="Times New Roman" w:hAnsi="Times New Roman"/>
        </w:rPr>
        <w:t xml:space="preserve"> W obecnym stanie prawnym kwestia ta nie jest precyzyjnie uregulowana w ustawie, co w wielu przypadkach skutkuje powstaniem wątpliwości interpretacyjnych. Wątpliwości interpretacyjne dotycz</w:t>
      </w:r>
      <w:r w:rsidRPr="00637183">
        <w:rPr>
          <w:rFonts w:ascii="Times New Roman" w:hAnsi="Times New Roman"/>
        </w:rPr>
        <w:t xml:space="preserve">ą przede wszystkim przypadków, w których podstawą do ustalenia kwoty środków nienależnie pobranych są okoliczności podlegające ocenie w toku postępowania w sprawie przyznania pomocy lub płatności, które zostało już zakończone decyzją administracyjną. Przedmiotowa kwestia jest szczególnie istotna z uwagi na obowiązki agencji płatniczej dotyczące przeciwdziałania nieprawidłowościom i odzyskiwania środków nienależnie pobranych określone w rozporządzeniu Parlamentu Europejskiego i Rady (UE) </w:t>
      </w:r>
      <w:r w:rsidR="009777CF">
        <w:rPr>
          <w:rFonts w:ascii="Times New Roman" w:hAnsi="Times New Roman"/>
        </w:rPr>
        <w:t>n</w:t>
      </w:r>
      <w:r w:rsidRPr="00637183">
        <w:rPr>
          <w:rFonts w:ascii="Times New Roman" w:hAnsi="Times New Roman"/>
        </w:rPr>
        <w:t>r 1306/2013 z dnia 17 grudnia 2013 r. w sprawie finansowania wspólnej polityki rolnej, zarządzania nią i monitorowania jej oraz uchylając</w:t>
      </w:r>
      <w:r w:rsidR="00560630">
        <w:rPr>
          <w:rFonts w:ascii="Times New Roman" w:hAnsi="Times New Roman"/>
        </w:rPr>
        <w:t>ym</w:t>
      </w:r>
      <w:r w:rsidRPr="00637183">
        <w:rPr>
          <w:rFonts w:ascii="Times New Roman" w:hAnsi="Times New Roman"/>
        </w:rPr>
        <w:t xml:space="preserve"> rozporządzenia Rady (EWG) nr</w:t>
      </w:r>
      <w:r w:rsidR="00560630">
        <w:rPr>
          <w:rFonts w:ascii="Times New Roman" w:hAnsi="Times New Roman"/>
        </w:rPr>
        <w:t> </w:t>
      </w:r>
      <w:r w:rsidRPr="00637183">
        <w:rPr>
          <w:rFonts w:ascii="Times New Roman" w:hAnsi="Times New Roman"/>
        </w:rPr>
        <w:t>352/78, (WE) nr 165/94, (WE) nr 2799/98, (WE) nr 814/2000, (WE) nr 1290/2005 i (WE) nr 485/2008</w:t>
      </w:r>
      <w:r>
        <w:rPr>
          <w:rFonts w:ascii="Times New Roman" w:hAnsi="Times New Roman"/>
        </w:rPr>
        <w:t xml:space="preserve"> (</w:t>
      </w:r>
      <w:r>
        <w:t>Dz. Urz. UE L 347 z 20.12.2013, str. 549, z późn. zm.)</w:t>
      </w:r>
      <w:r w:rsidRPr="002A77C6">
        <w:rPr>
          <w:rFonts w:ascii="Times New Roman" w:hAnsi="Times New Roman"/>
        </w:rPr>
        <w:t>.</w:t>
      </w:r>
      <w:r w:rsidRPr="009421CA">
        <w:rPr>
          <w:rFonts w:ascii="Times New Roman" w:hAnsi="Times New Roman"/>
        </w:rPr>
        <w:t xml:space="preserve"> </w:t>
      </w:r>
    </w:p>
    <w:p w14:paraId="2835304A" w14:textId="32F34714" w:rsidR="0081378F" w:rsidRPr="002A77C6" w:rsidRDefault="0081378F" w:rsidP="0081378F">
      <w:pPr>
        <w:suppressAutoHyphens/>
        <w:spacing w:after="120" w:line="360" w:lineRule="auto"/>
        <w:ind w:firstLine="510"/>
        <w:jc w:val="both"/>
        <w:rPr>
          <w:rFonts w:ascii="Times New Roman" w:hAnsi="Times New Roman"/>
          <w:sz w:val="24"/>
          <w:szCs w:val="24"/>
        </w:rPr>
      </w:pPr>
      <w:r w:rsidRPr="002A77C6">
        <w:rPr>
          <w:rFonts w:ascii="Times New Roman" w:hAnsi="Times New Roman"/>
          <w:sz w:val="24"/>
          <w:szCs w:val="24"/>
        </w:rPr>
        <w:t>Zgodnie z art. 58 ust. 1 tego rozporządzenia państwa członkowskie przyjmują, w ramach Wspólnej Polityki Rolnej, wszystkie przepisy ustawowe, wykonawcze i administracyjne, a także podejmują wszelkie inne środki niezbędne do zapewnienia skutecznej ochrony interesów finansowych Unii. Jednocześnie zgodnie z art. 54 ust. 1 rozporządzenia, w przypadku jakichkolwiek nienależnych płatności wynikających z nieprawidłowości lub zaniedbań, państwa członkowskie występują do beneficjenta o zwrot kwoty w ciągu 18</w:t>
      </w:r>
      <w:r w:rsidR="00560630">
        <w:rPr>
          <w:rFonts w:ascii="Times New Roman" w:hAnsi="Times New Roman"/>
          <w:sz w:val="24"/>
          <w:szCs w:val="24"/>
        </w:rPr>
        <w:t> </w:t>
      </w:r>
      <w:r w:rsidRPr="002A77C6">
        <w:rPr>
          <w:rFonts w:ascii="Times New Roman" w:hAnsi="Times New Roman"/>
          <w:sz w:val="24"/>
          <w:szCs w:val="24"/>
        </w:rPr>
        <w:t>miesięcy po zatwierdzeniu, a w stosownych przypadkach po otrzymaniu dokumentu stwierdzającego, że miała miejsce nieprawidłowość. Niedochowanie wskazanego 18</w:t>
      </w:r>
      <w:r w:rsidR="00560630">
        <w:rPr>
          <w:rFonts w:ascii="Times New Roman" w:hAnsi="Times New Roman"/>
          <w:sz w:val="24"/>
          <w:szCs w:val="24"/>
        </w:rPr>
        <w:noBreakHyphen/>
      </w:r>
      <w:r w:rsidRPr="002A77C6">
        <w:rPr>
          <w:rFonts w:ascii="Times New Roman" w:hAnsi="Times New Roman"/>
          <w:sz w:val="24"/>
          <w:szCs w:val="24"/>
        </w:rPr>
        <w:t xml:space="preserve">miesięcznego terminu może skutkować wyłączeniem z finansowania UE kwot, zgodnie z art. 54 ust. 5 lit. a rozporządzenia. Dotychczasowe orzecznictwo sądów administracyjnych w sposób ogólny odnosi się do przesłanek ustalenia w decyzji nienależnie lub nadmiernie pobranych środków wobec wcześniejszego przyznania środków na podstawie decyzji administracyjnej. Najbardziej reprezentatywnym poglądem w orzecznictwie jest pogląd zakładający, że warunkiem koniecznym wydania w omawianym trybie decyzji ustalającej </w:t>
      </w:r>
      <w:r w:rsidRPr="002A77C6">
        <w:rPr>
          <w:rFonts w:ascii="Times New Roman" w:hAnsi="Times New Roman"/>
          <w:sz w:val="24"/>
          <w:szCs w:val="24"/>
        </w:rPr>
        <w:lastRenderedPageBreak/>
        <w:t>kwoty nienależnie czy nadmiernie pobranych środków nie jest przy tym uprzednie wzruszenie ostatecznych decyzji przyznających płatności (por. wyroki NSA: z 11 kwietnia 2013 r., sygn. akt II GSK 96/12 oraz z 15 listopada 2012 r.</w:t>
      </w:r>
      <w:r w:rsidR="00560630">
        <w:rPr>
          <w:rFonts w:ascii="Times New Roman" w:hAnsi="Times New Roman"/>
          <w:sz w:val="24"/>
          <w:szCs w:val="24"/>
        </w:rPr>
        <w:t>,</w:t>
      </w:r>
      <w:r w:rsidRPr="002A77C6">
        <w:rPr>
          <w:rFonts w:ascii="Times New Roman" w:hAnsi="Times New Roman"/>
          <w:sz w:val="24"/>
          <w:szCs w:val="24"/>
        </w:rPr>
        <w:t xml:space="preserve"> sygn. akt II GSK 1518/11). Jednakże należy zauważyć, że punktem odniesienia w orzecznictwie były w większości przypadków sytuacje, w których przepisy szczególne określały wprost, w jakich sytuacjach następuje zwrot środków nienależnie lub nadmiernie pobranych, których wysokość jest ustalana na podstawie art. 29 ust. 1 ustawy o </w:t>
      </w:r>
      <w:r>
        <w:rPr>
          <w:rFonts w:ascii="Times New Roman" w:hAnsi="Times New Roman"/>
          <w:sz w:val="24"/>
          <w:szCs w:val="24"/>
        </w:rPr>
        <w:t>Agencji</w:t>
      </w:r>
      <w:r w:rsidRPr="002A77C6">
        <w:rPr>
          <w:rFonts w:ascii="Times New Roman" w:hAnsi="Times New Roman"/>
          <w:sz w:val="24"/>
          <w:szCs w:val="24"/>
        </w:rPr>
        <w:t xml:space="preserve">. </w:t>
      </w:r>
    </w:p>
    <w:p w14:paraId="1B8A5E54" w14:textId="3D921BD7" w:rsidR="0081378F" w:rsidRPr="002A77C6" w:rsidRDefault="0081378F" w:rsidP="0081378F">
      <w:pPr>
        <w:suppressAutoHyphens/>
        <w:spacing w:after="120" w:line="360" w:lineRule="auto"/>
        <w:ind w:firstLine="510"/>
        <w:jc w:val="both"/>
        <w:rPr>
          <w:rFonts w:ascii="Times New Roman" w:hAnsi="Times New Roman"/>
          <w:sz w:val="24"/>
          <w:szCs w:val="24"/>
        </w:rPr>
      </w:pPr>
      <w:r w:rsidRPr="002A77C6">
        <w:rPr>
          <w:rFonts w:ascii="Times New Roman" w:hAnsi="Times New Roman"/>
          <w:sz w:val="24"/>
          <w:szCs w:val="24"/>
        </w:rPr>
        <w:t>W świetle powyższego zasadn</w:t>
      </w:r>
      <w:r w:rsidR="00641966">
        <w:rPr>
          <w:rFonts w:ascii="Times New Roman" w:hAnsi="Times New Roman"/>
          <w:sz w:val="24"/>
          <w:szCs w:val="24"/>
        </w:rPr>
        <w:t>e</w:t>
      </w:r>
      <w:r w:rsidRPr="002A77C6">
        <w:rPr>
          <w:rFonts w:ascii="Times New Roman" w:hAnsi="Times New Roman"/>
          <w:sz w:val="24"/>
          <w:szCs w:val="24"/>
        </w:rPr>
        <w:t xml:space="preserve"> jest wprowadzenie wskazanej zmiany do art. 29 ustawy o </w:t>
      </w:r>
      <w:r>
        <w:rPr>
          <w:rFonts w:ascii="Times New Roman" w:hAnsi="Times New Roman"/>
          <w:sz w:val="24"/>
          <w:szCs w:val="24"/>
        </w:rPr>
        <w:t>Agencji</w:t>
      </w:r>
      <w:r w:rsidRPr="002A77C6">
        <w:rPr>
          <w:rFonts w:ascii="Times New Roman" w:hAnsi="Times New Roman"/>
          <w:sz w:val="24"/>
          <w:szCs w:val="24"/>
        </w:rPr>
        <w:t xml:space="preserve">, zgodnie z którą przesłanką materialną zwrotu środków będzie naruszenie prawa, które wystąpiło na jakimkolwiek etapie przed przyznaniem lub wypłatą środków, skutkujące wypłaceniem środków przyznanych nienależnie lub pobranych w nadmiernej wysokości przy jednoczesnym braku konieczności wzruszenia decyzji stanowiącej podstawę przyznania płatności lub pomocy finansowej ze środków publicznych w jednym z trybów nadzwyczajnych uregulowanych w Kodeksie postępowania administracyjnego. Projektowane rozwiązanie będzie miało zastosowanie do wszystkich przypadków uzasadniających ustalenie kwoty środków nienależnie lub nadmiernie pobranych. Pojęcie środków przyznanych nienależnie </w:t>
      </w:r>
      <w:bookmarkStart w:id="5" w:name="_Hlk85446733"/>
      <w:r w:rsidRPr="002A77C6">
        <w:rPr>
          <w:rFonts w:ascii="Times New Roman" w:hAnsi="Times New Roman"/>
          <w:sz w:val="24"/>
          <w:szCs w:val="24"/>
        </w:rPr>
        <w:t>w wyniku naruszenia prawa</w:t>
      </w:r>
      <w:bookmarkEnd w:id="5"/>
      <w:r w:rsidRPr="002A77C6">
        <w:rPr>
          <w:rFonts w:ascii="Times New Roman" w:hAnsi="Times New Roman"/>
          <w:sz w:val="24"/>
          <w:szCs w:val="24"/>
        </w:rPr>
        <w:t xml:space="preserve"> powinno być rozumiane szeroko. Należy wskazać, że art. 207 ustawy z dnia 27 sierpnia 2009 r. o finansach publicznych posługuje się pojęciem „z</w:t>
      </w:r>
      <w:r w:rsidR="00641966">
        <w:rPr>
          <w:rFonts w:ascii="Times New Roman" w:hAnsi="Times New Roman"/>
          <w:sz w:val="24"/>
          <w:szCs w:val="24"/>
        </w:rPr>
        <w:t> </w:t>
      </w:r>
      <w:r w:rsidRPr="002A77C6">
        <w:rPr>
          <w:rFonts w:ascii="Times New Roman" w:hAnsi="Times New Roman"/>
          <w:sz w:val="24"/>
          <w:szCs w:val="24"/>
        </w:rPr>
        <w:t>naruszeniem procedur”, gdzie płatności w takim przypadku podlegają zwrotowi niezależnie od przyczyny wystąpienia takich nieprawidłowości. W związku z tym przesłanki zwrotu środków przewidziane w zmienianym art. 29 ust. 1 będą odnosiły się do pojęć, które również mają zastosowanie w oparciu o art. 207 ust.</w:t>
      </w:r>
      <w:r>
        <w:rPr>
          <w:rFonts w:ascii="Times New Roman" w:hAnsi="Times New Roman"/>
          <w:sz w:val="24"/>
          <w:szCs w:val="24"/>
        </w:rPr>
        <w:t xml:space="preserve"> </w:t>
      </w:r>
      <w:r w:rsidRPr="002A77C6">
        <w:rPr>
          <w:rFonts w:ascii="Times New Roman" w:hAnsi="Times New Roman"/>
          <w:sz w:val="24"/>
          <w:szCs w:val="24"/>
        </w:rPr>
        <w:t>1 ustawy o finansach publicznych.</w:t>
      </w:r>
    </w:p>
    <w:p w14:paraId="26516F05" w14:textId="2942D2EF" w:rsidR="0081378F" w:rsidRPr="002A77C6" w:rsidRDefault="0081378F" w:rsidP="0081378F">
      <w:pPr>
        <w:suppressAutoHyphens/>
        <w:spacing w:after="120" w:line="360" w:lineRule="auto"/>
        <w:ind w:firstLine="510"/>
        <w:jc w:val="both"/>
        <w:rPr>
          <w:rFonts w:ascii="Times New Roman" w:hAnsi="Times New Roman"/>
          <w:sz w:val="24"/>
          <w:szCs w:val="24"/>
        </w:rPr>
      </w:pPr>
      <w:r w:rsidRPr="002A77C6">
        <w:rPr>
          <w:rFonts w:ascii="Times New Roman" w:hAnsi="Times New Roman"/>
          <w:sz w:val="24"/>
          <w:szCs w:val="24"/>
        </w:rPr>
        <w:t xml:space="preserve">Kolejna zmiana przewiduje wyłączenie ze stosowania przepisów dotyczących oprocentowania nadpłaty wynikających z ustawy z dnia 29 sierpnia 1997 r. </w:t>
      </w:r>
      <w:r w:rsidR="00390E72">
        <w:rPr>
          <w:rFonts w:ascii="Times New Roman" w:hAnsi="Times New Roman"/>
          <w:sz w:val="24"/>
          <w:szCs w:val="24"/>
        </w:rPr>
        <w:t xml:space="preserve">– </w:t>
      </w:r>
      <w:r w:rsidRPr="002A77C6">
        <w:rPr>
          <w:rFonts w:ascii="Times New Roman" w:hAnsi="Times New Roman"/>
          <w:sz w:val="24"/>
          <w:szCs w:val="24"/>
        </w:rPr>
        <w:t>Ordynacja podatkowa</w:t>
      </w:r>
      <w:r>
        <w:rPr>
          <w:rFonts w:ascii="Times New Roman" w:hAnsi="Times New Roman"/>
          <w:sz w:val="24"/>
          <w:szCs w:val="24"/>
        </w:rPr>
        <w:t xml:space="preserve"> (Dz. U. z 2021 r. poz. 1540, z późn. zm.)</w:t>
      </w:r>
      <w:r w:rsidRPr="002A77C6">
        <w:rPr>
          <w:rFonts w:ascii="Times New Roman" w:hAnsi="Times New Roman"/>
          <w:sz w:val="24"/>
          <w:szCs w:val="24"/>
        </w:rPr>
        <w:t xml:space="preserve">. Zgodnie z art. 29 ust. 7 ustawy o </w:t>
      </w:r>
      <w:r>
        <w:rPr>
          <w:rFonts w:ascii="Times New Roman" w:hAnsi="Times New Roman"/>
          <w:sz w:val="24"/>
          <w:szCs w:val="24"/>
        </w:rPr>
        <w:t>Agencji</w:t>
      </w:r>
      <w:r w:rsidRPr="002A77C6">
        <w:rPr>
          <w:rFonts w:ascii="Times New Roman" w:hAnsi="Times New Roman"/>
          <w:sz w:val="24"/>
          <w:szCs w:val="24"/>
        </w:rPr>
        <w:t xml:space="preserve"> do należności ustalanych tytułem kwot nienależnie lub nadmiernie pobranych środków publicznych stosuje się odpowiednio przepisy działu III Ordynacji podatkowej. Jednocześnie art. 54 oraz </w:t>
      </w:r>
      <w:r w:rsidR="00390E72">
        <w:rPr>
          <w:rFonts w:ascii="Times New Roman" w:hAnsi="Times New Roman"/>
          <w:sz w:val="24"/>
          <w:szCs w:val="24"/>
        </w:rPr>
        <w:t xml:space="preserve">art. </w:t>
      </w:r>
      <w:r w:rsidRPr="002A77C6">
        <w:rPr>
          <w:rFonts w:ascii="Times New Roman" w:hAnsi="Times New Roman"/>
          <w:sz w:val="24"/>
          <w:szCs w:val="24"/>
        </w:rPr>
        <w:t xml:space="preserve">58 ust. 1 rozporządzenia </w:t>
      </w:r>
      <w:r w:rsidR="005448E4">
        <w:rPr>
          <w:rFonts w:ascii="Times New Roman" w:hAnsi="Times New Roman"/>
          <w:sz w:val="24"/>
          <w:szCs w:val="24"/>
        </w:rPr>
        <w:t xml:space="preserve">nr </w:t>
      </w:r>
      <w:r w:rsidRPr="002A77C6">
        <w:rPr>
          <w:rFonts w:ascii="Times New Roman" w:hAnsi="Times New Roman"/>
          <w:sz w:val="24"/>
          <w:szCs w:val="24"/>
        </w:rPr>
        <w:t xml:space="preserve">1306/2013 wymagają ustanowienia skutecznych przepisów oraz innych środków niezbędnych do zapewnienia skutecznej ochrony interesów finansowych Unii, a także do zachowania szczególnej dbałości, w tym przestrzegania terminów w przypadku wystąpienia do podmiotu o zwrot środków nienależnie pobranych, wynikających z nieprawidłowości lub zaniedbań. Ponadto obowiązkiem </w:t>
      </w:r>
      <w:r w:rsidR="002A77C6" w:rsidRPr="002A77C6">
        <w:rPr>
          <w:rFonts w:ascii="Times New Roman" w:hAnsi="Times New Roman"/>
          <w:sz w:val="24"/>
          <w:szCs w:val="24"/>
        </w:rPr>
        <w:t>ARiMR</w:t>
      </w:r>
      <w:r w:rsidRPr="002A77C6">
        <w:rPr>
          <w:rFonts w:ascii="Times New Roman" w:hAnsi="Times New Roman"/>
          <w:sz w:val="24"/>
          <w:szCs w:val="24"/>
        </w:rPr>
        <w:t xml:space="preserve"> </w:t>
      </w:r>
      <w:r w:rsidRPr="002A77C6">
        <w:rPr>
          <w:rFonts w:ascii="Times New Roman" w:hAnsi="Times New Roman"/>
          <w:sz w:val="24"/>
          <w:szCs w:val="24"/>
        </w:rPr>
        <w:lastRenderedPageBreak/>
        <w:t xml:space="preserve">jest stosowanie potrąceń, w przypadkach określonych w art. 31 ustawy o </w:t>
      </w:r>
      <w:r w:rsidR="002A77C6" w:rsidRPr="002A77C6">
        <w:rPr>
          <w:rFonts w:ascii="Times New Roman" w:hAnsi="Times New Roman"/>
          <w:sz w:val="24"/>
          <w:szCs w:val="24"/>
        </w:rPr>
        <w:t>ARiMR</w:t>
      </w:r>
      <w:r w:rsidRPr="002A77C6">
        <w:rPr>
          <w:rFonts w:ascii="Times New Roman" w:hAnsi="Times New Roman"/>
          <w:sz w:val="24"/>
          <w:szCs w:val="24"/>
        </w:rPr>
        <w:t xml:space="preserve">, przy czym zasady dokonywania potrąceń określone w tym przepisie zostały wprowadzone w związku z art. 28 rozporządzenia wykonawczego Komisji (UE) </w:t>
      </w:r>
      <w:r>
        <w:rPr>
          <w:rFonts w:ascii="Times New Roman" w:hAnsi="Times New Roman"/>
          <w:sz w:val="24"/>
          <w:szCs w:val="24"/>
        </w:rPr>
        <w:t>n</w:t>
      </w:r>
      <w:r w:rsidRPr="002A77C6">
        <w:rPr>
          <w:rFonts w:ascii="Times New Roman" w:hAnsi="Times New Roman"/>
          <w:sz w:val="24"/>
          <w:szCs w:val="24"/>
        </w:rPr>
        <w:t>r 908/2014 z dnia 6 sierpnia 2014 r. ustanawiającego zasady dotyczące stosowania rozporządzenia Parlamentu Europejskiego i Rady (UE) nr 1306/2013 w odniesieniu do agencji płatniczych i innych organów, zarządzania finansami, rozliczania rachunków, przepisów dotyczących kontroli, zabezpieczeń i przejrzystości</w:t>
      </w:r>
      <w:r>
        <w:rPr>
          <w:rFonts w:ascii="Times New Roman" w:hAnsi="Times New Roman"/>
          <w:sz w:val="24"/>
          <w:szCs w:val="24"/>
        </w:rPr>
        <w:t xml:space="preserve"> (</w:t>
      </w:r>
      <w:r w:rsidRPr="007A1F47">
        <w:rPr>
          <w:rFonts w:ascii="Times New Roman" w:hAnsi="Times New Roman"/>
          <w:sz w:val="24"/>
          <w:szCs w:val="24"/>
        </w:rPr>
        <w:t>Dz. Urz. UE L 255 z 28.08.2014, str. 59, z późn. zm.</w:t>
      </w:r>
      <w:r>
        <w:rPr>
          <w:rFonts w:ascii="Times New Roman" w:hAnsi="Times New Roman"/>
          <w:sz w:val="24"/>
          <w:szCs w:val="24"/>
        </w:rPr>
        <w:t>)</w:t>
      </w:r>
      <w:r w:rsidRPr="002A77C6">
        <w:rPr>
          <w:rFonts w:ascii="Times New Roman" w:hAnsi="Times New Roman"/>
          <w:sz w:val="24"/>
          <w:szCs w:val="24"/>
        </w:rPr>
        <w:t>. W przypadku zaistnienia przesłanek warunkujących powstanie nadpłaty w rozumieniu art. 72 Ordynacji podatkowej, zwrot nadpłaty rozliczany jest w ramach odpowiednich środków przeznaczonych na Wspólną Politykę Rolną, natomiast zasada ta nie dotyczy ewentualnych odsetek wynikających z oprocentowania nadpłaty, wskazanego w art. 78 Ordynacji podatkowej.</w:t>
      </w:r>
    </w:p>
    <w:p w14:paraId="1D1CD6A1" w14:textId="77777777" w:rsidR="0081378F" w:rsidRPr="002A77C6" w:rsidRDefault="0081378F" w:rsidP="0081378F">
      <w:pPr>
        <w:widowControl/>
        <w:suppressAutoHyphens/>
        <w:spacing w:line="360" w:lineRule="auto"/>
        <w:ind w:firstLine="510"/>
        <w:jc w:val="both"/>
        <w:rPr>
          <w:rFonts w:ascii="Times New Roman" w:hAnsi="Times New Roman"/>
          <w:bCs/>
          <w:sz w:val="24"/>
          <w:szCs w:val="24"/>
        </w:rPr>
      </w:pPr>
      <w:r w:rsidRPr="002A77C6">
        <w:rPr>
          <w:rFonts w:ascii="Times New Roman" w:hAnsi="Times New Roman"/>
          <w:bCs/>
          <w:sz w:val="24"/>
          <w:szCs w:val="24"/>
        </w:rPr>
        <w:t xml:space="preserve">Zmiana proponowana w art. 1 pkt 13 </w:t>
      </w:r>
      <w:r>
        <w:rPr>
          <w:rFonts w:ascii="Times New Roman" w:hAnsi="Times New Roman"/>
          <w:bCs/>
          <w:sz w:val="24"/>
          <w:szCs w:val="24"/>
        </w:rPr>
        <w:t xml:space="preserve">projektowanej </w:t>
      </w:r>
      <w:r w:rsidRPr="002A77C6">
        <w:rPr>
          <w:rFonts w:ascii="Times New Roman" w:hAnsi="Times New Roman"/>
          <w:bCs/>
          <w:sz w:val="24"/>
          <w:szCs w:val="24"/>
        </w:rPr>
        <w:t>ustawy polega na rozszerzeniu katalogu przesłanek, w oparciu o które mogą być umarzane wierzytelności Agencji wskazane w art. 39 ustawy o Agencji, tj. wierzytelności finansowe Funduszu Restrukturyzacji i Oddłużenia Rolnictwa (dalej: „FRiOR</w:t>
      </w:r>
      <w:r w:rsidRPr="002A77C6">
        <w:rPr>
          <w:rFonts w:ascii="Times New Roman" w:hAnsi="Times New Roman"/>
          <w:b/>
          <w:bCs/>
          <w:sz w:val="24"/>
          <w:szCs w:val="24"/>
        </w:rPr>
        <w:t>”</w:t>
      </w:r>
      <w:r w:rsidRPr="002A77C6">
        <w:rPr>
          <w:rFonts w:ascii="Times New Roman" w:hAnsi="Times New Roman"/>
          <w:bCs/>
          <w:sz w:val="24"/>
          <w:szCs w:val="24"/>
        </w:rPr>
        <w:t xml:space="preserve">) oraz wierzytelności </w:t>
      </w:r>
      <w:r w:rsidRPr="002A77C6">
        <w:rPr>
          <w:rFonts w:ascii="Times New Roman" w:eastAsia="Times New Roman" w:hAnsi="Times New Roman" w:cs="Arial"/>
          <w:sz w:val="24"/>
          <w:szCs w:val="24"/>
        </w:rPr>
        <w:t>z tytułu zwrotnej pomocy budżetowej udzielonej przez ministra właściwego do spraw rozwoju wsi na restrukturyzację</w:t>
      </w:r>
      <w:r w:rsidRPr="002A77C6">
        <w:rPr>
          <w:rFonts w:ascii="Times New Roman" w:eastAsia="Times New Roman" w:hAnsi="Times New Roman" w:cs="Arial"/>
          <w:b/>
          <w:sz w:val="24"/>
          <w:szCs w:val="24"/>
        </w:rPr>
        <w:t xml:space="preserve"> </w:t>
      </w:r>
      <w:r w:rsidRPr="002A77C6">
        <w:rPr>
          <w:rFonts w:ascii="Times New Roman" w:hAnsi="Times New Roman" w:cs="Arial"/>
          <w:bCs/>
          <w:sz w:val="24"/>
          <w:szCs w:val="24"/>
          <w:shd w:val="clear" w:color="auto" w:fill="FFFFFF"/>
        </w:rPr>
        <w:t>i modernizację rolnictwa oraz jego otoczenia przed utworzeniem FRiOR.</w:t>
      </w:r>
    </w:p>
    <w:p w14:paraId="7662A0B9" w14:textId="27330901" w:rsidR="0081378F" w:rsidRPr="002A77C6" w:rsidRDefault="0081378F" w:rsidP="0081378F">
      <w:pPr>
        <w:widowControl/>
        <w:suppressAutoHyphens/>
        <w:spacing w:line="360" w:lineRule="auto"/>
        <w:ind w:firstLine="510"/>
        <w:jc w:val="both"/>
        <w:rPr>
          <w:rFonts w:ascii="Times New Roman" w:hAnsi="Times New Roman"/>
          <w:bCs/>
          <w:sz w:val="24"/>
          <w:szCs w:val="24"/>
        </w:rPr>
      </w:pPr>
      <w:r w:rsidRPr="002A77C6">
        <w:rPr>
          <w:rFonts w:ascii="Times New Roman" w:hAnsi="Times New Roman"/>
          <w:bCs/>
          <w:sz w:val="24"/>
          <w:szCs w:val="24"/>
        </w:rPr>
        <w:t xml:space="preserve">Zasady funkcjonowania oraz źródła zasilania FRiOR określone zostały w rozporządzeniu Rady Ministrów z dnia </w:t>
      </w:r>
      <w:r w:rsidRPr="002A77C6">
        <w:rPr>
          <w:rFonts w:ascii="Times New Roman" w:hAnsi="Times New Roman"/>
          <w:bCs/>
          <w:sz w:val="24"/>
          <w:szCs w:val="24"/>
          <w:shd w:val="clear" w:color="auto" w:fill="FFFFFF"/>
        </w:rPr>
        <w:t xml:space="preserve">11 </w:t>
      </w:r>
      <w:r w:rsidRPr="002A77C6">
        <w:rPr>
          <w:rFonts w:ascii="Times New Roman" w:hAnsi="Times New Roman"/>
          <w:bCs/>
          <w:sz w:val="24"/>
          <w:szCs w:val="24"/>
        </w:rPr>
        <w:t xml:space="preserve">czerwca 1992 r. w sprawie zasad funkcjonowania oraz źródeł zasilania Funduszu Restrukturyzacji i Oddłużenia Rolnictwa (Dz. U. </w:t>
      </w:r>
      <w:hyperlink r:id="rId13" w:history="1">
        <w:r w:rsidRPr="002A77C6">
          <w:rPr>
            <w:rFonts w:ascii="Times New Roman" w:hAnsi="Times New Roman"/>
            <w:bCs/>
            <w:sz w:val="24"/>
            <w:szCs w:val="24"/>
          </w:rPr>
          <w:t>poz. 222</w:t>
        </w:r>
      </w:hyperlink>
      <w:r w:rsidR="002A77C6" w:rsidRPr="002A77C6">
        <w:rPr>
          <w:rFonts w:ascii="Times New Roman" w:hAnsi="Times New Roman"/>
          <w:bCs/>
          <w:sz w:val="24"/>
          <w:szCs w:val="24"/>
        </w:rPr>
        <w:t>).</w:t>
      </w:r>
      <w:r w:rsidRPr="002A77C6">
        <w:rPr>
          <w:rFonts w:ascii="Times New Roman" w:hAnsi="Times New Roman"/>
          <w:bCs/>
          <w:sz w:val="24"/>
          <w:szCs w:val="24"/>
        </w:rPr>
        <w:t xml:space="preserve"> </w:t>
      </w:r>
    </w:p>
    <w:p w14:paraId="40BCC8ED" w14:textId="525E8514" w:rsidR="0081378F" w:rsidRPr="002A77C6" w:rsidRDefault="0081378F" w:rsidP="0081378F">
      <w:pPr>
        <w:widowControl/>
        <w:suppressAutoHyphens/>
        <w:spacing w:line="360" w:lineRule="auto"/>
        <w:ind w:firstLine="510"/>
        <w:jc w:val="both"/>
        <w:rPr>
          <w:rFonts w:ascii="Times New Roman" w:hAnsi="Times New Roman"/>
          <w:bCs/>
          <w:sz w:val="24"/>
          <w:szCs w:val="24"/>
        </w:rPr>
      </w:pPr>
      <w:r w:rsidRPr="002A77C6">
        <w:rPr>
          <w:rFonts w:ascii="Times New Roman" w:hAnsi="Times New Roman"/>
          <w:bCs/>
          <w:sz w:val="24"/>
          <w:szCs w:val="24"/>
        </w:rPr>
        <w:t>Zgodnie z § 3 ust. 1 tego rozporządzenia środki FRiOR były przeznaczone na następujące cele: 1) modernizację gospodarstw rolnych, 2) rozwój infrastruktury techniczno</w:t>
      </w:r>
      <w:r w:rsidR="00685674">
        <w:rPr>
          <w:rFonts w:ascii="Times New Roman" w:hAnsi="Times New Roman"/>
          <w:bCs/>
          <w:sz w:val="24"/>
          <w:szCs w:val="24"/>
        </w:rPr>
        <w:noBreakHyphen/>
      </w:r>
      <w:r w:rsidRPr="002A77C6">
        <w:rPr>
          <w:rFonts w:ascii="Times New Roman" w:hAnsi="Times New Roman"/>
          <w:bCs/>
          <w:sz w:val="24"/>
          <w:szCs w:val="24"/>
        </w:rPr>
        <w:t>produkcyjnej wsi, 3) rozwój, restrukturyzację i modernizację przetwórstwa rolno</w:t>
      </w:r>
      <w:r w:rsidR="00685674">
        <w:rPr>
          <w:rFonts w:ascii="Times New Roman" w:hAnsi="Times New Roman"/>
          <w:bCs/>
          <w:sz w:val="24"/>
          <w:szCs w:val="24"/>
        </w:rPr>
        <w:noBreakHyphen/>
      </w:r>
      <w:r w:rsidRPr="002A77C6">
        <w:rPr>
          <w:rFonts w:ascii="Times New Roman" w:hAnsi="Times New Roman"/>
          <w:bCs/>
          <w:sz w:val="24"/>
          <w:szCs w:val="24"/>
        </w:rPr>
        <w:t xml:space="preserve">spożywczego oraz usług w zakresie rolnictwa, 4) pomoc w spłacie zadłużenia, polegającą na wydłużeniu okresu spłaty rat kapitału, wraz z odsetkami, 5) inne cele związane z restrukturyzacją i modernizacją rolnictwa i jego otoczenia, określone przez Ministra Rolnictwa i Gospodarki Żywnościowej. </w:t>
      </w:r>
    </w:p>
    <w:p w14:paraId="2574FF58" w14:textId="77777777" w:rsidR="0081378F" w:rsidRPr="002A77C6" w:rsidRDefault="0081378F" w:rsidP="0081378F">
      <w:pPr>
        <w:widowControl/>
        <w:suppressAutoHyphens/>
        <w:spacing w:line="360" w:lineRule="auto"/>
        <w:ind w:firstLine="510"/>
        <w:jc w:val="both"/>
        <w:rPr>
          <w:rFonts w:ascii="Times New Roman" w:hAnsi="Times New Roman"/>
          <w:bCs/>
          <w:sz w:val="24"/>
          <w:szCs w:val="24"/>
        </w:rPr>
      </w:pPr>
      <w:r w:rsidRPr="002A77C6">
        <w:rPr>
          <w:rFonts w:ascii="Times New Roman" w:hAnsi="Times New Roman"/>
          <w:bCs/>
          <w:sz w:val="24"/>
          <w:szCs w:val="24"/>
        </w:rPr>
        <w:t xml:space="preserve">Z kolei sposób korzystania ze środków FRiOR uregulowano w § 3 ust. 2 tego rozporządzenia. Zgodnie z tym przepisem środki FRiOR na podstawie umów zawieranych przez Ministra Rolnictwa i Gospodarki Żywnościowej z bankami mogły być wykorzystywane na: 1) udzielanie za pośrednictwem banków kredytów, pożyczek i pomocy w spłacie odsetek od kredytów udzielonych ze środków bankowych, 2) dofinansowanie szczególnie ważnych przedsięwzięć określonych w rocznych planach finansowych Funduszu, 3) sfinansowanie </w:t>
      </w:r>
      <w:r w:rsidRPr="002A77C6">
        <w:rPr>
          <w:rFonts w:ascii="Times New Roman" w:hAnsi="Times New Roman"/>
          <w:bCs/>
          <w:sz w:val="24"/>
          <w:szCs w:val="24"/>
        </w:rPr>
        <w:lastRenderedPageBreak/>
        <w:t xml:space="preserve">skutków odroczeń spłaty rat kapitału i odsetek od kredytów, konwersji zadłużenia oraz zaniechania postępowania egzekucyjnego wobec kredytobiorców, 4) lokaty terminowe </w:t>
      </w:r>
      <w:r w:rsidRPr="002A77C6">
        <w:rPr>
          <w:rFonts w:ascii="Times New Roman" w:hAnsi="Times New Roman"/>
          <w:bCs/>
          <w:sz w:val="24"/>
          <w:szCs w:val="24"/>
        </w:rPr>
        <w:br/>
        <w:t>w bankach.</w:t>
      </w:r>
    </w:p>
    <w:p w14:paraId="1474A53E" w14:textId="1C887B55" w:rsidR="0081378F" w:rsidRPr="002A77C6" w:rsidRDefault="0081378F" w:rsidP="0081378F">
      <w:pPr>
        <w:widowControl/>
        <w:suppressAutoHyphens/>
        <w:spacing w:line="360" w:lineRule="auto"/>
        <w:ind w:firstLine="510"/>
        <w:jc w:val="both"/>
        <w:rPr>
          <w:rFonts w:ascii="Times New Roman" w:hAnsi="Times New Roman"/>
          <w:bCs/>
          <w:sz w:val="24"/>
          <w:szCs w:val="24"/>
          <w:shd w:val="clear" w:color="auto" w:fill="FFFFFF"/>
        </w:rPr>
      </w:pPr>
      <w:r w:rsidRPr="002A77C6">
        <w:rPr>
          <w:rFonts w:ascii="Times New Roman" w:hAnsi="Times New Roman"/>
          <w:bCs/>
          <w:sz w:val="24"/>
          <w:szCs w:val="24"/>
          <w:shd w:val="clear" w:color="auto" w:fill="FFFFFF"/>
        </w:rPr>
        <w:t xml:space="preserve">Umowy o spłatę zrestrukturyzowanego długu (wykup długu bankowego) lub umowy </w:t>
      </w:r>
      <w:r w:rsidRPr="002A77C6">
        <w:rPr>
          <w:rFonts w:ascii="Times New Roman" w:hAnsi="Times New Roman"/>
          <w:bCs/>
          <w:sz w:val="24"/>
          <w:szCs w:val="24"/>
          <w:shd w:val="clear" w:color="auto" w:fill="FFFFFF"/>
        </w:rPr>
        <w:br/>
        <w:t>o kredyt ze środków FRiOR zawierane były w latach 1992</w:t>
      </w:r>
      <w:r w:rsidR="00685674">
        <w:rPr>
          <w:rFonts w:ascii="Times New Roman" w:hAnsi="Times New Roman"/>
          <w:bCs/>
          <w:sz w:val="24"/>
          <w:szCs w:val="24"/>
          <w:shd w:val="clear" w:color="auto" w:fill="FFFFFF"/>
        </w:rPr>
        <w:t xml:space="preserve"> i </w:t>
      </w:r>
      <w:r w:rsidRPr="002A77C6">
        <w:rPr>
          <w:rFonts w:ascii="Times New Roman" w:hAnsi="Times New Roman"/>
          <w:bCs/>
          <w:sz w:val="24"/>
          <w:szCs w:val="24"/>
          <w:shd w:val="clear" w:color="auto" w:fill="FFFFFF"/>
        </w:rPr>
        <w:t>1993 przez banki z rolnikami oraz przedsiębiorcami prowadzącymi działalność związaną z przetwórstwem rolno</w:t>
      </w:r>
      <w:r w:rsidR="00685674">
        <w:rPr>
          <w:rFonts w:ascii="Times New Roman" w:hAnsi="Times New Roman"/>
          <w:bCs/>
          <w:sz w:val="24"/>
          <w:szCs w:val="24"/>
          <w:shd w:val="clear" w:color="auto" w:fill="FFFFFF"/>
        </w:rPr>
        <w:noBreakHyphen/>
      </w:r>
      <w:r w:rsidRPr="002A77C6">
        <w:rPr>
          <w:rFonts w:ascii="Times New Roman" w:hAnsi="Times New Roman"/>
          <w:bCs/>
          <w:sz w:val="24"/>
          <w:szCs w:val="24"/>
          <w:shd w:val="clear" w:color="auto" w:fill="FFFFFF"/>
        </w:rPr>
        <w:t xml:space="preserve">spożywczym. Banki te działały w imieniu i na rzecz FRiOR. Podstawą działalności ww. banków w zakresie dysponowania </w:t>
      </w:r>
      <w:r w:rsidRPr="002A77C6">
        <w:rPr>
          <w:rFonts w:ascii="Times New Roman" w:hAnsi="Times New Roman"/>
          <w:bCs/>
          <w:sz w:val="24"/>
          <w:szCs w:val="24"/>
        </w:rPr>
        <w:t xml:space="preserve">środkami FRiOR były odpowiednie umowy </w:t>
      </w:r>
      <w:r w:rsidRPr="002A77C6">
        <w:rPr>
          <w:rFonts w:ascii="Times New Roman" w:hAnsi="Times New Roman"/>
          <w:bCs/>
          <w:sz w:val="24"/>
          <w:szCs w:val="24"/>
          <w:shd w:val="clear" w:color="auto" w:fill="FFFFFF"/>
        </w:rPr>
        <w:t xml:space="preserve">zawarte z Ministrem Rolnictwa i Gospodarki Żywnościowej – reprezentującym Skarb Państwa </w:t>
      </w:r>
      <w:r w:rsidR="00685674">
        <w:rPr>
          <w:rFonts w:ascii="Times New Roman" w:hAnsi="Times New Roman"/>
          <w:bCs/>
          <w:sz w:val="24"/>
          <w:szCs w:val="24"/>
          <w:shd w:val="clear" w:color="auto" w:fill="FFFFFF"/>
        </w:rPr>
        <w:t>–</w:t>
      </w:r>
      <w:r w:rsidRPr="002A77C6">
        <w:rPr>
          <w:rFonts w:ascii="Times New Roman" w:hAnsi="Times New Roman"/>
          <w:bCs/>
          <w:sz w:val="24"/>
          <w:szCs w:val="24"/>
          <w:shd w:val="clear" w:color="auto" w:fill="FFFFFF"/>
        </w:rPr>
        <w:t xml:space="preserve"> jako dysponentem Funduszu. </w:t>
      </w:r>
    </w:p>
    <w:p w14:paraId="59F3FFEF" w14:textId="17FE423E" w:rsidR="0081378F" w:rsidRPr="002A77C6" w:rsidRDefault="0081378F" w:rsidP="0081378F">
      <w:pPr>
        <w:spacing w:line="360" w:lineRule="auto"/>
        <w:jc w:val="both"/>
        <w:rPr>
          <w:rFonts w:ascii="Times New Roman" w:hAnsi="Times New Roman"/>
          <w:sz w:val="24"/>
          <w:szCs w:val="24"/>
          <w:shd w:val="clear" w:color="auto" w:fill="FFFFFF"/>
        </w:rPr>
      </w:pPr>
      <w:r w:rsidRPr="002A77C6">
        <w:rPr>
          <w:rFonts w:ascii="Times New Roman" w:hAnsi="Times New Roman"/>
          <w:sz w:val="24"/>
          <w:szCs w:val="24"/>
          <w:shd w:val="clear" w:color="auto" w:fill="FFFFFF"/>
        </w:rPr>
        <w:t xml:space="preserve">Na podstawie ustawy z dnia 29 grudnia 1993 r. o utworzeniu Agencji Restrukturyzacji </w:t>
      </w:r>
      <w:r w:rsidRPr="002A77C6">
        <w:rPr>
          <w:rFonts w:ascii="Times New Roman" w:hAnsi="Times New Roman"/>
          <w:sz w:val="24"/>
          <w:szCs w:val="24"/>
          <w:shd w:val="clear" w:color="auto" w:fill="FFFFFF"/>
        </w:rPr>
        <w:br/>
        <w:t>i Modernizacji Rolnictwa powstała Agencja, która przejęła wszelkie zobowiązania i wierzytelności FRiOR. Zgodnie z art. 12 tej ustawy z dniem jej wejścia w życie do Agencji przeszły środki finansowe i inne mienie dotychczasowego FRiOR oraz zobowiązania i wierzytelności finansowe tego Funduszu</w:t>
      </w:r>
      <w:bookmarkStart w:id="6" w:name="mip11256310"/>
      <w:bookmarkEnd w:id="6"/>
      <w:r w:rsidRPr="002A77C6">
        <w:rPr>
          <w:rFonts w:ascii="Times New Roman" w:hAnsi="Times New Roman"/>
          <w:sz w:val="24"/>
          <w:szCs w:val="24"/>
          <w:shd w:val="clear" w:color="auto" w:fill="FFFFFF"/>
        </w:rPr>
        <w:t xml:space="preserve">. Agencja przejęła zobowiązania i wierzytelności powstałe z tytułu zwrotnej pomocy budżetowej udzielonej przez ministra właściwego do spraw rozwoju wsi, przed powstaniem FRiOR, na restrukturyzację i modernizację rolnictwa oraz jego otoczenia. </w:t>
      </w:r>
    </w:p>
    <w:p w14:paraId="00AE4773" w14:textId="3AF01A69" w:rsidR="0081378F" w:rsidRPr="002A77C6" w:rsidRDefault="0081378F" w:rsidP="0081378F">
      <w:pPr>
        <w:widowControl/>
        <w:suppressAutoHyphens/>
        <w:spacing w:line="360" w:lineRule="auto"/>
        <w:ind w:firstLine="510"/>
        <w:jc w:val="both"/>
        <w:rPr>
          <w:rFonts w:ascii="Times New Roman" w:hAnsi="Times New Roman" w:cs="Arial"/>
          <w:bCs/>
          <w:sz w:val="24"/>
          <w:szCs w:val="24"/>
          <w:shd w:val="clear" w:color="auto" w:fill="FFFFFF"/>
        </w:rPr>
      </w:pPr>
      <w:r w:rsidRPr="002A77C6">
        <w:rPr>
          <w:rFonts w:ascii="Times New Roman" w:hAnsi="Times New Roman"/>
          <w:bCs/>
          <w:sz w:val="24"/>
          <w:szCs w:val="24"/>
          <w:shd w:val="clear" w:color="auto" w:fill="FFFFFF"/>
        </w:rPr>
        <w:t xml:space="preserve">Obecnie na podstawie </w:t>
      </w:r>
      <w:bookmarkStart w:id="7" w:name="_Hlk39484156"/>
      <w:r w:rsidRPr="002A77C6">
        <w:rPr>
          <w:rFonts w:ascii="Times New Roman" w:hAnsi="Times New Roman"/>
          <w:bCs/>
          <w:sz w:val="24"/>
          <w:szCs w:val="24"/>
        </w:rPr>
        <w:fldChar w:fldCharType="begin"/>
      </w:r>
      <w:r w:rsidRPr="002A77C6">
        <w:rPr>
          <w:rFonts w:ascii="Times New Roman" w:hAnsi="Times New Roman"/>
          <w:bCs/>
          <w:sz w:val="24"/>
          <w:szCs w:val="24"/>
        </w:rPr>
        <w:instrText xml:space="preserve"> HYPERLINK "https://sip.legalis.pl/document-view.seam?documentId=mfrxilrtgu3dambzgy2daltqmfyc4mzwgeztgnrxgq" </w:instrText>
      </w:r>
      <w:r w:rsidRPr="002A77C6">
        <w:rPr>
          <w:rFonts w:ascii="Times New Roman" w:hAnsi="Times New Roman"/>
          <w:bCs/>
          <w:sz w:val="24"/>
          <w:szCs w:val="24"/>
        </w:rPr>
        <w:fldChar w:fldCharType="separate"/>
      </w:r>
      <w:r w:rsidRPr="002A77C6">
        <w:rPr>
          <w:rFonts w:ascii="Times New Roman" w:hAnsi="Times New Roman"/>
          <w:bCs/>
          <w:sz w:val="24"/>
          <w:szCs w:val="24"/>
          <w:shd w:val="clear" w:color="auto" w:fill="FFFFFF"/>
        </w:rPr>
        <w:t>art. 39</w:t>
      </w:r>
      <w:r w:rsidRPr="002A77C6">
        <w:rPr>
          <w:rFonts w:ascii="Times New Roman" w:hAnsi="Times New Roman"/>
          <w:bCs/>
          <w:sz w:val="24"/>
          <w:szCs w:val="24"/>
          <w:shd w:val="clear" w:color="auto" w:fill="FFFFFF"/>
        </w:rPr>
        <w:fldChar w:fldCharType="end"/>
      </w:r>
      <w:r w:rsidRPr="002A77C6">
        <w:rPr>
          <w:rFonts w:ascii="Times New Roman" w:hAnsi="Times New Roman"/>
          <w:bCs/>
          <w:sz w:val="24"/>
          <w:szCs w:val="24"/>
          <w:shd w:val="clear" w:color="auto" w:fill="FFFFFF"/>
        </w:rPr>
        <w:t xml:space="preserve"> </w:t>
      </w:r>
      <w:r w:rsidRPr="002A77C6">
        <w:rPr>
          <w:rFonts w:ascii="Times New Roman" w:hAnsi="Times New Roman" w:cs="Arial"/>
          <w:bCs/>
          <w:sz w:val="24"/>
          <w:szCs w:val="24"/>
          <w:shd w:val="clear" w:color="auto" w:fill="FFFFFF"/>
        </w:rPr>
        <w:t>ustawy o Agencji</w:t>
      </w:r>
      <w:bookmarkEnd w:id="7"/>
      <w:r w:rsidRPr="002A77C6">
        <w:rPr>
          <w:rFonts w:ascii="Times New Roman" w:hAnsi="Times New Roman"/>
          <w:bCs/>
          <w:sz w:val="24"/>
          <w:szCs w:val="24"/>
          <w:shd w:val="clear" w:color="auto" w:fill="FFFFFF"/>
        </w:rPr>
        <w:t xml:space="preserve"> Agencja w dalszym ciągu prowadzi sprawy przejęte od FRiOR</w:t>
      </w:r>
      <w:r w:rsidRPr="002A77C6">
        <w:rPr>
          <w:rFonts w:ascii="Times New Roman" w:hAnsi="Times New Roman" w:cs="Arial"/>
          <w:bCs/>
          <w:sz w:val="24"/>
          <w:szCs w:val="24"/>
          <w:shd w:val="clear" w:color="auto" w:fill="FFFFFF"/>
        </w:rPr>
        <w:t>:</w:t>
      </w:r>
    </w:p>
    <w:p w14:paraId="38F7AF2A" w14:textId="77777777" w:rsidR="0081378F" w:rsidRPr="002A77C6" w:rsidRDefault="0081378F" w:rsidP="004C12B6">
      <w:pPr>
        <w:widowControl/>
        <w:numPr>
          <w:ilvl w:val="0"/>
          <w:numId w:val="12"/>
        </w:numPr>
        <w:autoSpaceDE/>
        <w:autoSpaceDN/>
        <w:adjustRightInd/>
        <w:spacing w:line="360" w:lineRule="auto"/>
        <w:ind w:left="567" w:hanging="567"/>
        <w:contextualSpacing/>
        <w:jc w:val="both"/>
        <w:rPr>
          <w:rFonts w:ascii="Times New Roman" w:eastAsia="Times New Roman" w:hAnsi="Times New Roman"/>
          <w:sz w:val="24"/>
          <w:szCs w:val="24"/>
          <w:lang w:eastAsia="en-US"/>
        </w:rPr>
      </w:pPr>
      <w:r w:rsidRPr="002A77C6">
        <w:rPr>
          <w:rFonts w:ascii="Times New Roman" w:eastAsia="Times New Roman" w:hAnsi="Times New Roman"/>
          <w:sz w:val="24"/>
          <w:szCs w:val="24"/>
          <w:lang w:eastAsia="en-US"/>
        </w:rPr>
        <w:t xml:space="preserve">w zakresie zobowiązań i </w:t>
      </w:r>
      <w:r w:rsidRPr="002A77C6">
        <w:rPr>
          <w:rFonts w:ascii="Times New Roman" w:eastAsia="Times New Roman" w:hAnsi="Times New Roman"/>
          <w:bCs/>
          <w:sz w:val="24"/>
          <w:szCs w:val="24"/>
          <w:lang w:eastAsia="en-US"/>
        </w:rPr>
        <w:t>wierzytelności finansowych tego funduszu</w:t>
      </w:r>
      <w:r w:rsidRPr="002A77C6">
        <w:rPr>
          <w:rFonts w:ascii="Times New Roman" w:eastAsia="Times New Roman" w:hAnsi="Times New Roman"/>
          <w:sz w:val="24"/>
          <w:szCs w:val="24"/>
          <w:lang w:eastAsia="en-US"/>
        </w:rPr>
        <w:t xml:space="preserve"> (ust. 1);</w:t>
      </w:r>
    </w:p>
    <w:p w14:paraId="1107B46E" w14:textId="1DB12D2F" w:rsidR="0081378F" w:rsidRPr="002A77C6" w:rsidRDefault="0081378F" w:rsidP="004C12B6">
      <w:pPr>
        <w:widowControl/>
        <w:numPr>
          <w:ilvl w:val="0"/>
          <w:numId w:val="12"/>
        </w:numPr>
        <w:autoSpaceDE/>
        <w:autoSpaceDN/>
        <w:adjustRightInd/>
        <w:spacing w:line="360" w:lineRule="auto"/>
        <w:ind w:left="567" w:hanging="567"/>
        <w:contextualSpacing/>
        <w:jc w:val="both"/>
        <w:rPr>
          <w:rFonts w:ascii="Times New Roman" w:eastAsia="Calibri" w:hAnsi="Times New Roman"/>
          <w:sz w:val="24"/>
          <w:szCs w:val="24"/>
          <w:shd w:val="clear" w:color="auto" w:fill="FFFFFF"/>
          <w:lang w:eastAsia="en-US"/>
        </w:rPr>
      </w:pPr>
      <w:r w:rsidRPr="002A77C6">
        <w:rPr>
          <w:rFonts w:ascii="Times New Roman" w:eastAsia="Times New Roman" w:hAnsi="Times New Roman"/>
          <w:sz w:val="24"/>
          <w:szCs w:val="24"/>
          <w:lang w:eastAsia="en-US"/>
        </w:rPr>
        <w:t xml:space="preserve">w zakresie zobowiązań i </w:t>
      </w:r>
      <w:r w:rsidRPr="002A77C6">
        <w:rPr>
          <w:rFonts w:ascii="Times New Roman" w:eastAsia="Times New Roman" w:hAnsi="Times New Roman"/>
          <w:bCs/>
          <w:sz w:val="24"/>
          <w:szCs w:val="24"/>
          <w:lang w:eastAsia="en-US"/>
        </w:rPr>
        <w:t>wierzytelności z tytułu zwrotnej pomocy budżetowej udzielonej przez ministra właściwego do spraw rozwoju wsi na restrukturyzację</w:t>
      </w:r>
      <w:r w:rsidRPr="002A77C6">
        <w:rPr>
          <w:rFonts w:ascii="Times New Roman" w:eastAsia="Times New Roman" w:hAnsi="Times New Roman"/>
          <w:b/>
          <w:bCs/>
          <w:sz w:val="24"/>
          <w:szCs w:val="24"/>
          <w:lang w:eastAsia="en-US"/>
        </w:rPr>
        <w:t xml:space="preserve"> </w:t>
      </w:r>
      <w:r w:rsidRPr="002A77C6">
        <w:rPr>
          <w:rFonts w:ascii="Times New Roman" w:eastAsia="Calibri" w:hAnsi="Times New Roman"/>
          <w:sz w:val="24"/>
          <w:szCs w:val="24"/>
          <w:shd w:val="clear" w:color="auto" w:fill="FFFFFF"/>
          <w:lang w:eastAsia="en-US"/>
        </w:rPr>
        <w:t xml:space="preserve">i modernizację rolnictwa oraz jego otoczenia przed utworzeniem FRiOR (ust. 2). </w:t>
      </w:r>
    </w:p>
    <w:p w14:paraId="6FA19A8D" w14:textId="69A23555" w:rsidR="0081378F" w:rsidRPr="002A77C6" w:rsidRDefault="0081378F" w:rsidP="0081378F">
      <w:pPr>
        <w:widowControl/>
        <w:suppressAutoHyphens/>
        <w:spacing w:line="360" w:lineRule="auto"/>
        <w:ind w:firstLine="510"/>
        <w:jc w:val="both"/>
        <w:rPr>
          <w:rFonts w:ascii="Times New Roman" w:hAnsi="Times New Roman"/>
          <w:bCs/>
          <w:sz w:val="24"/>
          <w:szCs w:val="24"/>
          <w:shd w:val="clear" w:color="auto" w:fill="FFFFFF"/>
        </w:rPr>
      </w:pPr>
      <w:r w:rsidRPr="002A77C6">
        <w:rPr>
          <w:rFonts w:ascii="Times New Roman" w:hAnsi="Times New Roman"/>
          <w:bCs/>
          <w:sz w:val="24"/>
          <w:szCs w:val="24"/>
          <w:shd w:val="clear" w:color="auto" w:fill="FFFFFF"/>
        </w:rPr>
        <w:t xml:space="preserve">Według stanu na dzień 31 grudnia 2020 r. łączna kwota zadłużenia z tytułu FRiOR oraz należności powstałych przed utworzeniem FRiOR wynosi 209 503 363,22 zł </w:t>
      </w:r>
      <w:r w:rsidR="002A77C6" w:rsidRPr="002A77C6">
        <w:rPr>
          <w:rFonts w:ascii="Times New Roman" w:hAnsi="Times New Roman"/>
          <w:bCs/>
          <w:sz w:val="24"/>
          <w:szCs w:val="24"/>
          <w:shd w:val="clear" w:color="auto" w:fill="FFFFFF"/>
        </w:rPr>
        <w:t>(słownie: dwieście dziewięć milionów pięćset trzy tysiące trzysta sześćdziesiąt trzy złote 22/100).</w:t>
      </w:r>
      <w:r w:rsidRPr="002A77C6">
        <w:rPr>
          <w:rFonts w:ascii="Times New Roman" w:hAnsi="Times New Roman"/>
          <w:bCs/>
          <w:sz w:val="24"/>
          <w:szCs w:val="24"/>
          <w:shd w:val="clear" w:color="auto" w:fill="FFFFFF"/>
        </w:rPr>
        <w:t xml:space="preserve"> </w:t>
      </w:r>
    </w:p>
    <w:p w14:paraId="25B31513" w14:textId="17BE1775" w:rsidR="0081378F" w:rsidRPr="002A77C6" w:rsidRDefault="0081378F" w:rsidP="0081378F">
      <w:pPr>
        <w:widowControl/>
        <w:suppressAutoHyphens/>
        <w:spacing w:line="360" w:lineRule="auto"/>
        <w:ind w:firstLine="510"/>
        <w:jc w:val="both"/>
        <w:rPr>
          <w:rFonts w:ascii="Times New Roman" w:hAnsi="Times New Roman"/>
          <w:bCs/>
          <w:sz w:val="24"/>
          <w:szCs w:val="24"/>
          <w:shd w:val="clear" w:color="auto" w:fill="FFFFFF"/>
        </w:rPr>
      </w:pPr>
      <w:r w:rsidRPr="002A77C6">
        <w:rPr>
          <w:rFonts w:ascii="Times New Roman" w:hAnsi="Times New Roman"/>
          <w:bCs/>
          <w:sz w:val="24"/>
          <w:szCs w:val="24"/>
          <w:shd w:val="clear" w:color="auto" w:fill="FFFFFF"/>
        </w:rPr>
        <w:t xml:space="preserve">Istotna jest przy tym struktura powyższego zadłużenia. Otóż zadłużenie z tytułu kapitału (należności głównej) wynosi tylko około 48 691 482,64 </w:t>
      </w:r>
      <w:r w:rsidR="002A77C6" w:rsidRPr="002A77C6">
        <w:rPr>
          <w:rFonts w:ascii="Times New Roman" w:hAnsi="Times New Roman"/>
          <w:bCs/>
          <w:sz w:val="24"/>
          <w:szCs w:val="24"/>
          <w:shd w:val="clear" w:color="auto" w:fill="FFFFFF"/>
        </w:rPr>
        <w:t>zł (słownie: czterdzieści osiem milionów sześćset dziewięćdziesiąt jeden tysięcy czterysta osiemdziesiąt dwa złote 64/100).</w:t>
      </w:r>
      <w:r w:rsidRPr="002A77C6">
        <w:rPr>
          <w:rFonts w:ascii="Times New Roman" w:hAnsi="Times New Roman"/>
          <w:bCs/>
          <w:sz w:val="24"/>
          <w:szCs w:val="24"/>
          <w:shd w:val="clear" w:color="auto" w:fill="FFFFFF"/>
        </w:rPr>
        <w:t xml:space="preserve"> Pozostała część zadłużenia to zadłużenie z tytułu odsetek </w:t>
      </w:r>
      <w:r w:rsidR="004C12B6">
        <w:rPr>
          <w:rFonts w:ascii="Times New Roman" w:hAnsi="Times New Roman"/>
          <w:bCs/>
          <w:sz w:val="24"/>
          <w:szCs w:val="24"/>
          <w:shd w:val="clear" w:color="auto" w:fill="FFFFFF"/>
        </w:rPr>
        <w:t>–</w:t>
      </w:r>
      <w:r w:rsidRPr="002A77C6">
        <w:rPr>
          <w:rFonts w:ascii="Times New Roman" w:hAnsi="Times New Roman"/>
          <w:bCs/>
          <w:sz w:val="24"/>
          <w:szCs w:val="24"/>
          <w:shd w:val="clear" w:color="auto" w:fill="FFFFFF"/>
        </w:rPr>
        <w:t xml:space="preserve"> 159 999 370,77 </w:t>
      </w:r>
      <w:r w:rsidR="002A77C6" w:rsidRPr="002A77C6">
        <w:rPr>
          <w:rFonts w:ascii="Times New Roman" w:hAnsi="Times New Roman"/>
          <w:bCs/>
          <w:sz w:val="24"/>
          <w:szCs w:val="24"/>
          <w:shd w:val="clear" w:color="auto" w:fill="FFFFFF"/>
        </w:rPr>
        <w:t>zł (słownie: sto pięćdziesiąt dziewięć milionów dziewięćset dziewięćdziesiąt dziewięć tysięcy trzysta siedemdziesiąt złotych 77/100)</w:t>
      </w:r>
      <w:r w:rsidRPr="002A77C6">
        <w:rPr>
          <w:rFonts w:ascii="Times New Roman" w:hAnsi="Times New Roman"/>
          <w:bCs/>
          <w:sz w:val="24"/>
          <w:szCs w:val="24"/>
          <w:shd w:val="clear" w:color="auto" w:fill="FFFFFF"/>
        </w:rPr>
        <w:t xml:space="preserve"> oraz zadłużenie z tytułu kosztów dochodzenia ww. roszczeń </w:t>
      </w:r>
      <w:r w:rsidRPr="002A77C6">
        <w:rPr>
          <w:rFonts w:ascii="Times New Roman" w:hAnsi="Times New Roman"/>
          <w:bCs/>
          <w:sz w:val="24"/>
          <w:szCs w:val="24"/>
          <w:shd w:val="clear" w:color="auto" w:fill="FFFFFF"/>
        </w:rPr>
        <w:lastRenderedPageBreak/>
        <w:t xml:space="preserve">przez </w:t>
      </w:r>
      <w:r w:rsidR="002A77C6" w:rsidRPr="002A77C6">
        <w:rPr>
          <w:rFonts w:ascii="Times New Roman" w:hAnsi="Times New Roman"/>
          <w:bCs/>
          <w:sz w:val="24"/>
          <w:szCs w:val="24"/>
          <w:shd w:val="clear" w:color="auto" w:fill="FFFFFF"/>
        </w:rPr>
        <w:t>ARiMR</w:t>
      </w:r>
      <w:r w:rsidRPr="002A77C6">
        <w:rPr>
          <w:rFonts w:ascii="Times New Roman" w:hAnsi="Times New Roman"/>
          <w:bCs/>
          <w:sz w:val="24"/>
          <w:szCs w:val="24"/>
          <w:shd w:val="clear" w:color="auto" w:fill="FFFFFF"/>
        </w:rPr>
        <w:t xml:space="preserve">, w tym kosztów sądowych i egzekucyjnych </w:t>
      </w:r>
      <w:r w:rsidR="004C12B6">
        <w:rPr>
          <w:rFonts w:ascii="Times New Roman" w:hAnsi="Times New Roman"/>
          <w:bCs/>
          <w:sz w:val="24"/>
          <w:szCs w:val="24"/>
          <w:shd w:val="clear" w:color="auto" w:fill="FFFFFF"/>
        </w:rPr>
        <w:t>–</w:t>
      </w:r>
      <w:r w:rsidRPr="002A77C6">
        <w:rPr>
          <w:rFonts w:ascii="Times New Roman" w:hAnsi="Times New Roman"/>
          <w:bCs/>
          <w:sz w:val="24"/>
          <w:szCs w:val="24"/>
          <w:shd w:val="clear" w:color="auto" w:fill="FFFFFF"/>
        </w:rPr>
        <w:t xml:space="preserve"> 812 509,81 </w:t>
      </w:r>
      <w:r w:rsidR="002A77C6" w:rsidRPr="002A77C6">
        <w:rPr>
          <w:rFonts w:ascii="Times New Roman" w:hAnsi="Times New Roman"/>
          <w:bCs/>
          <w:sz w:val="24"/>
          <w:szCs w:val="24"/>
          <w:shd w:val="clear" w:color="auto" w:fill="FFFFFF"/>
        </w:rPr>
        <w:t>zł (słownie: osiemset dwanaście tysięcy pięćset dziewięć złotych 81/100).</w:t>
      </w:r>
      <w:r w:rsidRPr="002A77C6">
        <w:rPr>
          <w:rFonts w:ascii="Times New Roman" w:hAnsi="Times New Roman"/>
          <w:bCs/>
          <w:sz w:val="24"/>
          <w:szCs w:val="24"/>
          <w:shd w:val="clear" w:color="auto" w:fill="FFFFFF"/>
        </w:rPr>
        <w:t xml:space="preserve"> Podkreślenia przy tym wymaga, że wskazane zadłużenie z tytułu odsetek oraz kosztów dochodzenia wierzytelności finansowych ze środków FRiOR ma stałą tendencję wzrostową. </w:t>
      </w:r>
    </w:p>
    <w:p w14:paraId="623C4B7F" w14:textId="77777777" w:rsidR="0081378F" w:rsidRPr="002A77C6" w:rsidRDefault="0081378F" w:rsidP="0081378F">
      <w:pPr>
        <w:widowControl/>
        <w:suppressAutoHyphens/>
        <w:spacing w:line="360" w:lineRule="auto"/>
        <w:ind w:firstLine="510"/>
        <w:jc w:val="both"/>
        <w:rPr>
          <w:rFonts w:ascii="Times New Roman" w:eastAsia="Times New Roman" w:hAnsi="Times New Roman"/>
          <w:sz w:val="24"/>
          <w:szCs w:val="24"/>
        </w:rPr>
      </w:pPr>
      <w:r w:rsidRPr="002A77C6">
        <w:rPr>
          <w:rFonts w:ascii="Times New Roman" w:eastAsia="Times New Roman" w:hAnsi="Times New Roman"/>
          <w:bCs/>
          <w:sz w:val="24"/>
          <w:szCs w:val="24"/>
        </w:rPr>
        <w:t xml:space="preserve">Każdego roku </w:t>
      </w:r>
      <w:r w:rsidRPr="002A77C6">
        <w:rPr>
          <w:rFonts w:ascii="Times New Roman" w:hAnsi="Times New Roman"/>
          <w:bCs/>
          <w:sz w:val="24"/>
          <w:szCs w:val="24"/>
          <w:shd w:val="clear" w:color="auto" w:fill="FFFFFF"/>
        </w:rPr>
        <w:t>narastające</w:t>
      </w:r>
      <w:r w:rsidRPr="002A77C6">
        <w:rPr>
          <w:rFonts w:ascii="Times New Roman" w:eastAsia="Times New Roman" w:hAnsi="Times New Roman"/>
          <w:bCs/>
          <w:sz w:val="24"/>
          <w:szCs w:val="24"/>
        </w:rPr>
        <w:t xml:space="preserve"> </w:t>
      </w:r>
      <w:r w:rsidRPr="002A77C6">
        <w:rPr>
          <w:rFonts w:ascii="Times New Roman" w:hAnsi="Times New Roman"/>
          <w:bCs/>
          <w:sz w:val="24"/>
          <w:szCs w:val="24"/>
          <w:shd w:val="clear" w:color="auto" w:fill="FFFFFF"/>
        </w:rPr>
        <w:t>zadłużenie z tytułu ww. odsetek jest wyższe niż odsetki spłacone. P</w:t>
      </w:r>
      <w:r w:rsidRPr="002A77C6">
        <w:rPr>
          <w:rFonts w:ascii="Times New Roman" w:eastAsia="Times New Roman" w:hAnsi="Times New Roman"/>
          <w:bCs/>
          <w:sz w:val="24"/>
          <w:szCs w:val="24"/>
        </w:rPr>
        <w:t xml:space="preserve">oziom zadłużenia odsetkowego </w:t>
      </w:r>
      <w:r w:rsidRPr="002A77C6">
        <w:rPr>
          <w:rFonts w:ascii="Times New Roman" w:hAnsi="Times New Roman"/>
          <w:bCs/>
          <w:sz w:val="24"/>
          <w:szCs w:val="24"/>
          <w:shd w:val="clear" w:color="auto" w:fill="FFFFFF"/>
        </w:rPr>
        <w:t xml:space="preserve">obsługiwanego przez spłatę nie osiąga nawet poziomu 50% </w:t>
      </w:r>
      <w:r w:rsidRPr="002A77C6">
        <w:rPr>
          <w:rFonts w:ascii="Times New Roman" w:eastAsia="Times New Roman" w:hAnsi="Times New Roman"/>
          <w:bCs/>
          <w:sz w:val="24"/>
          <w:szCs w:val="24"/>
        </w:rPr>
        <w:t xml:space="preserve">narastającego </w:t>
      </w:r>
      <w:r w:rsidRPr="002A77C6">
        <w:rPr>
          <w:rFonts w:ascii="Times New Roman" w:hAnsi="Times New Roman"/>
          <w:bCs/>
          <w:sz w:val="24"/>
          <w:szCs w:val="24"/>
          <w:shd w:val="clear" w:color="auto" w:fill="FFFFFF"/>
        </w:rPr>
        <w:t xml:space="preserve">zadłużenia z ww. tytułu. Podobnie wygląda obsługa zadłużenia kosztów dochodzenia ww. </w:t>
      </w:r>
      <w:r w:rsidRPr="002A77C6">
        <w:rPr>
          <w:rFonts w:ascii="Times New Roman" w:eastAsia="Times New Roman" w:hAnsi="Times New Roman"/>
          <w:bCs/>
          <w:sz w:val="24"/>
          <w:szCs w:val="24"/>
        </w:rPr>
        <w:t xml:space="preserve">wierzytelności, przy czym w tym zakresie poziom zadłużenia </w:t>
      </w:r>
      <w:r w:rsidRPr="002A77C6">
        <w:rPr>
          <w:rFonts w:ascii="Times New Roman" w:hAnsi="Times New Roman"/>
          <w:bCs/>
          <w:sz w:val="24"/>
          <w:szCs w:val="24"/>
          <w:shd w:val="clear" w:color="auto" w:fill="FFFFFF"/>
        </w:rPr>
        <w:t xml:space="preserve">obsługiwanego przez spłatę, osiąga poziom oscylujący wokół </w:t>
      </w:r>
      <w:r w:rsidRPr="002A77C6">
        <w:rPr>
          <w:rFonts w:ascii="Times New Roman" w:eastAsia="Times New Roman" w:hAnsi="Times New Roman"/>
          <w:bCs/>
          <w:sz w:val="24"/>
          <w:szCs w:val="24"/>
        </w:rPr>
        <w:t xml:space="preserve">narastającego </w:t>
      </w:r>
      <w:r w:rsidRPr="002A77C6">
        <w:rPr>
          <w:rFonts w:ascii="Times New Roman" w:hAnsi="Times New Roman"/>
          <w:bCs/>
          <w:sz w:val="24"/>
          <w:szCs w:val="24"/>
          <w:shd w:val="clear" w:color="auto" w:fill="FFFFFF"/>
        </w:rPr>
        <w:t>zadłużenia z ww. tytułu.</w:t>
      </w:r>
    </w:p>
    <w:p w14:paraId="3E293FEC" w14:textId="77777777" w:rsidR="0081378F" w:rsidRPr="002A77C6" w:rsidRDefault="0081378F" w:rsidP="0081378F">
      <w:pPr>
        <w:widowControl/>
        <w:suppressAutoHyphens/>
        <w:spacing w:line="360" w:lineRule="auto"/>
        <w:ind w:firstLine="510"/>
        <w:jc w:val="both"/>
        <w:rPr>
          <w:rFonts w:ascii="Times New Roman" w:hAnsi="Times New Roman" w:cs="Arial"/>
          <w:bCs/>
          <w:sz w:val="24"/>
          <w:szCs w:val="24"/>
          <w:shd w:val="clear" w:color="auto" w:fill="FFFFFF"/>
        </w:rPr>
      </w:pPr>
      <w:r w:rsidRPr="002A77C6">
        <w:rPr>
          <w:rFonts w:ascii="Times New Roman" w:eastAsia="Times New Roman" w:hAnsi="Times New Roman"/>
          <w:bCs/>
          <w:sz w:val="24"/>
          <w:szCs w:val="24"/>
        </w:rPr>
        <w:t>Szczegółowe</w:t>
      </w:r>
      <w:r w:rsidRPr="002A77C6">
        <w:rPr>
          <w:rFonts w:ascii="Times New Roman" w:hAnsi="Times New Roman" w:cs="Arial"/>
          <w:bCs/>
          <w:sz w:val="24"/>
          <w:szCs w:val="24"/>
          <w:shd w:val="clear" w:color="auto" w:fill="FFFFFF"/>
        </w:rPr>
        <w:t xml:space="preserve"> dane w poszczególnych latach, odnośnie do naliczanych odsetek oraz powstałych w związku z dochodzeniem tych należności kosztów, przedstawia tabela poniżej. </w:t>
      </w:r>
    </w:p>
    <w:p w14:paraId="4F861314" w14:textId="77777777" w:rsidR="0081378F" w:rsidRPr="002A77C6" w:rsidRDefault="0081378F" w:rsidP="0081378F">
      <w:pPr>
        <w:spacing w:line="360" w:lineRule="auto"/>
        <w:jc w:val="both"/>
        <w:rPr>
          <w:rFonts w:ascii="Times New Roman" w:hAnsi="Times New Roman"/>
          <w:sz w:val="24"/>
          <w:szCs w:val="24"/>
          <w:shd w:val="clear" w:color="auto" w:fill="FFFFFF"/>
        </w:rPr>
      </w:pPr>
      <w:r w:rsidRPr="002A77C6">
        <w:rPr>
          <w:rFonts w:ascii="Times New Roman" w:hAnsi="Times New Roman"/>
          <w:noProof/>
          <w:sz w:val="24"/>
          <w:szCs w:val="24"/>
        </w:rPr>
        <w:drawing>
          <wp:inline distT="0" distB="0" distL="0" distR="0" wp14:anchorId="78D0B556" wp14:editId="79C9941B">
            <wp:extent cx="5760720" cy="497205"/>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60720" cy="497205"/>
                    </a:xfrm>
                    <a:prstGeom prst="rect">
                      <a:avLst/>
                    </a:prstGeom>
                    <a:noFill/>
                    <a:ln>
                      <a:noFill/>
                    </a:ln>
                  </pic:spPr>
                </pic:pic>
              </a:graphicData>
            </a:graphic>
          </wp:inline>
        </w:drawing>
      </w:r>
    </w:p>
    <w:p w14:paraId="6596D801" w14:textId="77777777" w:rsidR="0081378F" w:rsidRPr="002A77C6" w:rsidRDefault="0081378F" w:rsidP="0081378F">
      <w:pPr>
        <w:widowControl/>
        <w:suppressAutoHyphens/>
        <w:spacing w:line="360" w:lineRule="auto"/>
        <w:ind w:firstLine="510"/>
        <w:jc w:val="both"/>
        <w:rPr>
          <w:rFonts w:ascii="Times New Roman" w:hAnsi="Times New Roman"/>
          <w:bCs/>
          <w:sz w:val="24"/>
          <w:szCs w:val="24"/>
          <w:shd w:val="clear" w:color="auto" w:fill="FFFFFF"/>
        </w:rPr>
      </w:pPr>
      <w:r w:rsidRPr="002A77C6">
        <w:rPr>
          <w:rFonts w:ascii="Times New Roman" w:hAnsi="Times New Roman"/>
          <w:bCs/>
          <w:sz w:val="24"/>
          <w:szCs w:val="24"/>
          <w:shd w:val="clear" w:color="auto" w:fill="FFFFFF"/>
        </w:rPr>
        <w:t xml:space="preserve">Biorąc pod uwagę genezę przedstawionego zadłużenia, jego obecną strukturę, a przede wszystkim właściwe mu tendencje (brak możliwości spłaty zadłużenia w przewidywalnej </w:t>
      </w:r>
      <w:r w:rsidRPr="002A77C6">
        <w:rPr>
          <w:rFonts w:ascii="Times New Roman" w:hAnsi="Times New Roman"/>
          <w:bCs/>
          <w:sz w:val="24"/>
          <w:szCs w:val="24"/>
          <w:shd w:val="clear" w:color="auto" w:fill="FFFFFF"/>
        </w:rPr>
        <w:br/>
        <w:t xml:space="preserve">i racjonalnej z punktu widzenia zasad zarządzania należnościami pespektywie), nie można pominąć właściwości podmiotów (dłużników), przeciwko którym proces dochodzenia </w:t>
      </w:r>
      <w:r w:rsidRPr="002A77C6">
        <w:rPr>
          <w:rFonts w:ascii="Times New Roman" w:hAnsi="Times New Roman"/>
          <w:bCs/>
          <w:sz w:val="24"/>
          <w:szCs w:val="24"/>
          <w:shd w:val="clear" w:color="auto" w:fill="FFFFFF"/>
        </w:rPr>
        <w:br/>
        <w:t xml:space="preserve">ww. należności jest obecnie skierowany. </w:t>
      </w:r>
    </w:p>
    <w:p w14:paraId="66E99439" w14:textId="7296AB22" w:rsidR="0081378F" w:rsidRPr="002A77C6" w:rsidRDefault="0081378F" w:rsidP="0081378F">
      <w:pPr>
        <w:widowControl/>
        <w:suppressAutoHyphens/>
        <w:spacing w:line="360" w:lineRule="auto"/>
        <w:ind w:firstLine="510"/>
        <w:jc w:val="both"/>
        <w:rPr>
          <w:rFonts w:ascii="Times New Roman" w:hAnsi="Times New Roman"/>
          <w:bCs/>
          <w:sz w:val="24"/>
          <w:szCs w:val="24"/>
          <w:shd w:val="clear" w:color="auto" w:fill="FFFFFF"/>
        </w:rPr>
      </w:pPr>
      <w:r w:rsidRPr="002A77C6">
        <w:rPr>
          <w:rFonts w:ascii="Times New Roman" w:hAnsi="Times New Roman"/>
          <w:bCs/>
          <w:sz w:val="24"/>
          <w:szCs w:val="24"/>
          <w:shd w:val="clear" w:color="auto" w:fill="FFFFFF"/>
        </w:rPr>
        <w:t xml:space="preserve">Trzeba bowiem pamiętać, że dłużnikami z tytułu FRiOR są przede wszystkim rolnicy prowadzący gospodarstwa rolne na początku lat 90. Oznacza to, że obecnie dochodzenie </w:t>
      </w:r>
      <w:r w:rsidRPr="002A77C6">
        <w:rPr>
          <w:rFonts w:ascii="Times New Roman" w:hAnsi="Times New Roman"/>
          <w:bCs/>
          <w:sz w:val="24"/>
          <w:szCs w:val="24"/>
          <w:shd w:val="clear" w:color="auto" w:fill="FFFFFF"/>
        </w:rPr>
        <w:br/>
        <w:t xml:space="preserve">tych roszczeń następuje od osób będących w wieku emerytalnym (które ukończyły 60. </w:t>
      </w:r>
      <w:r w:rsidRPr="002A77C6">
        <w:rPr>
          <w:rFonts w:ascii="Times New Roman" w:hAnsi="Times New Roman"/>
          <w:bCs/>
          <w:sz w:val="24"/>
          <w:szCs w:val="24"/>
          <w:shd w:val="clear" w:color="auto" w:fill="FFFFFF"/>
        </w:rPr>
        <w:br/>
        <w:t>i 65. rok życia) i sprowadza się do windykacji lub egzekucji tych roszczeń z przysługujących im świadczeń emerytalno-rentowych z rolniczego ubezpieczenia społecznego. Liczba spraw, w których wszystkim zobowiązanym do spłaty długu przysługuje prawo do emerytury lub renty</w:t>
      </w:r>
      <w:r w:rsidR="004C12B6">
        <w:rPr>
          <w:rFonts w:ascii="Times New Roman" w:hAnsi="Times New Roman"/>
          <w:bCs/>
          <w:sz w:val="24"/>
          <w:szCs w:val="24"/>
          <w:shd w:val="clear" w:color="auto" w:fill="FFFFFF"/>
        </w:rPr>
        <w:t>,</w:t>
      </w:r>
      <w:r w:rsidRPr="002A77C6">
        <w:rPr>
          <w:rFonts w:ascii="Times New Roman" w:hAnsi="Times New Roman"/>
          <w:bCs/>
          <w:sz w:val="24"/>
          <w:szCs w:val="24"/>
          <w:shd w:val="clear" w:color="auto" w:fill="FFFFFF"/>
        </w:rPr>
        <w:t xml:space="preserve"> wynosi 177, co stanowi około 37% ogółu spraw z tytułu FRiOR. Jest to znacząca liczba spraw, w których prowadzenie egzekucji z przysługujących świadczeń emerytalno</w:t>
      </w:r>
      <w:r w:rsidR="004C12B6">
        <w:rPr>
          <w:rFonts w:ascii="Times New Roman" w:hAnsi="Times New Roman"/>
          <w:bCs/>
          <w:sz w:val="24"/>
          <w:szCs w:val="24"/>
          <w:shd w:val="clear" w:color="auto" w:fill="FFFFFF"/>
        </w:rPr>
        <w:noBreakHyphen/>
      </w:r>
      <w:r w:rsidRPr="002A77C6">
        <w:rPr>
          <w:rFonts w:ascii="Times New Roman" w:hAnsi="Times New Roman"/>
          <w:bCs/>
          <w:sz w:val="24"/>
          <w:szCs w:val="24"/>
          <w:shd w:val="clear" w:color="auto" w:fill="FFFFFF"/>
        </w:rPr>
        <w:t>rentowych może prowadzić do zagrożenia egzystencji dłużników. Łączne zadłużenie w tej grupie według stanu na dzień 31.12.2020 r. wynosiło 69 529 858,51 zł, w tym z tytułu należności głównej 14 312 161,29 zł. W pozostałych 307 sprawach zobowiązanymi są:</w:t>
      </w:r>
    </w:p>
    <w:p w14:paraId="29E84432" w14:textId="19302A12" w:rsidR="0081378F" w:rsidRPr="002A77C6" w:rsidRDefault="0081378F" w:rsidP="0081378F">
      <w:pPr>
        <w:widowControl/>
        <w:numPr>
          <w:ilvl w:val="0"/>
          <w:numId w:val="11"/>
        </w:numPr>
        <w:autoSpaceDE/>
        <w:autoSpaceDN/>
        <w:adjustRightInd/>
        <w:spacing w:after="160" w:line="360" w:lineRule="auto"/>
        <w:contextualSpacing/>
        <w:jc w:val="both"/>
        <w:rPr>
          <w:rFonts w:ascii="Times New Roman" w:eastAsia="Calibri" w:hAnsi="Times New Roman"/>
          <w:sz w:val="24"/>
          <w:szCs w:val="24"/>
          <w:shd w:val="clear" w:color="auto" w:fill="FFFFFF"/>
          <w:lang w:eastAsia="en-US"/>
        </w:rPr>
      </w:pPr>
      <w:r w:rsidRPr="002A77C6">
        <w:rPr>
          <w:rFonts w:ascii="Times New Roman" w:eastAsia="Calibri" w:hAnsi="Times New Roman"/>
          <w:sz w:val="24"/>
          <w:szCs w:val="24"/>
          <w:shd w:val="clear" w:color="auto" w:fill="FFFFFF"/>
          <w:lang w:eastAsia="en-US"/>
        </w:rPr>
        <w:t>emeryci lub renciści oraz inne osoby nieposiadające takich uprawnień,</w:t>
      </w:r>
    </w:p>
    <w:p w14:paraId="4E8D04CF" w14:textId="67CAAB9C" w:rsidR="0081378F" w:rsidRPr="002A77C6" w:rsidRDefault="0081378F" w:rsidP="0081378F">
      <w:pPr>
        <w:widowControl/>
        <w:numPr>
          <w:ilvl w:val="0"/>
          <w:numId w:val="11"/>
        </w:numPr>
        <w:autoSpaceDE/>
        <w:autoSpaceDN/>
        <w:adjustRightInd/>
        <w:spacing w:after="160" w:line="360" w:lineRule="auto"/>
        <w:contextualSpacing/>
        <w:jc w:val="both"/>
        <w:rPr>
          <w:rFonts w:ascii="Times New Roman" w:eastAsia="Calibri" w:hAnsi="Times New Roman"/>
          <w:sz w:val="24"/>
          <w:szCs w:val="24"/>
          <w:shd w:val="clear" w:color="auto" w:fill="FFFFFF"/>
          <w:lang w:eastAsia="en-US"/>
        </w:rPr>
      </w:pPr>
      <w:r w:rsidRPr="002A77C6">
        <w:rPr>
          <w:rFonts w:ascii="Times New Roman" w:eastAsia="Calibri" w:hAnsi="Times New Roman"/>
          <w:sz w:val="24"/>
          <w:szCs w:val="24"/>
          <w:shd w:val="clear" w:color="auto" w:fill="FFFFFF"/>
          <w:lang w:eastAsia="en-US"/>
        </w:rPr>
        <w:t>osoby nieposiadające uprawnień emerytalno-rentowych.</w:t>
      </w:r>
    </w:p>
    <w:p w14:paraId="12FE6074" w14:textId="7A00AD68" w:rsidR="0081378F" w:rsidRPr="002A77C6" w:rsidRDefault="0081378F" w:rsidP="0081378F">
      <w:pPr>
        <w:widowControl/>
        <w:suppressAutoHyphens/>
        <w:spacing w:line="360" w:lineRule="auto"/>
        <w:ind w:firstLine="510"/>
        <w:jc w:val="both"/>
        <w:rPr>
          <w:rFonts w:ascii="Times New Roman" w:hAnsi="Times New Roman"/>
          <w:bCs/>
          <w:sz w:val="24"/>
          <w:szCs w:val="24"/>
          <w:shd w:val="clear" w:color="auto" w:fill="FFFFFF"/>
        </w:rPr>
      </w:pPr>
      <w:r w:rsidRPr="002A77C6">
        <w:rPr>
          <w:rFonts w:ascii="Times New Roman" w:hAnsi="Times New Roman"/>
          <w:bCs/>
          <w:sz w:val="24"/>
          <w:szCs w:val="24"/>
          <w:shd w:val="clear" w:color="auto" w:fill="FFFFFF"/>
        </w:rPr>
        <w:lastRenderedPageBreak/>
        <w:t xml:space="preserve">Nie można również pominąć, że w znacznej liczbie spraw istniejące zadłużenie sprowadza się w istocie do zadłużenia z tytułu odsetek (ew. odsetek i kosztów), z uwagi na spłacenie przez zobowiązanych należności głównej. Na 484 prowadzonych postępowań windykacyjnych 96 z nich dotyczy zadłużenia, które ogranicza się wyłącznie do należności odsetkowych lub należności odsetkowych i kosztów. W związku z tym, że środki wydatkowane z FRiOR </w:t>
      </w:r>
      <w:r w:rsidR="002F4772">
        <w:rPr>
          <w:rFonts w:ascii="Times New Roman" w:hAnsi="Times New Roman"/>
          <w:bCs/>
          <w:sz w:val="24"/>
          <w:szCs w:val="24"/>
          <w:shd w:val="clear" w:color="auto" w:fill="FFFFFF"/>
        </w:rPr>
        <w:t>–</w:t>
      </w:r>
      <w:r w:rsidRPr="002A77C6">
        <w:rPr>
          <w:rFonts w:ascii="Times New Roman" w:hAnsi="Times New Roman"/>
          <w:bCs/>
          <w:sz w:val="24"/>
          <w:szCs w:val="24"/>
          <w:shd w:val="clear" w:color="auto" w:fill="FFFFFF"/>
        </w:rPr>
        <w:t xml:space="preserve"> tzw. kapitał pierwotny stanowiący część należności głównej, zostały spłacone, zasadn</w:t>
      </w:r>
      <w:r w:rsidR="002F4772">
        <w:rPr>
          <w:rFonts w:ascii="Times New Roman" w:hAnsi="Times New Roman"/>
          <w:bCs/>
          <w:sz w:val="24"/>
          <w:szCs w:val="24"/>
          <w:shd w:val="clear" w:color="auto" w:fill="FFFFFF"/>
        </w:rPr>
        <w:t>e</w:t>
      </w:r>
      <w:r w:rsidRPr="002A77C6">
        <w:rPr>
          <w:rFonts w:ascii="Times New Roman" w:hAnsi="Times New Roman"/>
          <w:bCs/>
          <w:sz w:val="24"/>
          <w:szCs w:val="24"/>
          <w:shd w:val="clear" w:color="auto" w:fill="FFFFFF"/>
        </w:rPr>
        <w:t xml:space="preserve"> jest wprowadzenie możliwości umorzenia pozostałych należności z urzędu. Według stanu na dzień 31.12.2020 r. kwota tych należności wynosi 5 322 069,29 zł i stanowi ona 2,5% całości zadłużenia z tytułu FRiOR. </w:t>
      </w:r>
    </w:p>
    <w:p w14:paraId="43C70128" w14:textId="1140FC4C" w:rsidR="0081378F" w:rsidRPr="002A77C6" w:rsidRDefault="0081378F" w:rsidP="0081378F">
      <w:pPr>
        <w:widowControl/>
        <w:suppressAutoHyphens/>
        <w:spacing w:line="360" w:lineRule="auto"/>
        <w:ind w:firstLine="510"/>
        <w:jc w:val="both"/>
        <w:rPr>
          <w:rFonts w:ascii="Times New Roman" w:hAnsi="Times New Roman"/>
          <w:bCs/>
          <w:sz w:val="24"/>
          <w:szCs w:val="24"/>
          <w:shd w:val="clear" w:color="auto" w:fill="FFFFFF"/>
        </w:rPr>
      </w:pPr>
      <w:r w:rsidRPr="002A77C6">
        <w:rPr>
          <w:rFonts w:ascii="Times New Roman" w:hAnsi="Times New Roman"/>
          <w:bCs/>
          <w:sz w:val="24"/>
          <w:szCs w:val="24"/>
          <w:shd w:val="clear" w:color="auto" w:fill="FFFFFF"/>
        </w:rPr>
        <w:t xml:space="preserve">Dochodzenie </w:t>
      </w:r>
      <w:bookmarkStart w:id="8" w:name="_Hlk63346505"/>
      <w:r w:rsidRPr="002A77C6">
        <w:rPr>
          <w:rFonts w:ascii="Times New Roman" w:hAnsi="Times New Roman"/>
          <w:bCs/>
          <w:sz w:val="24"/>
          <w:szCs w:val="24"/>
          <w:shd w:val="clear" w:color="auto" w:fill="FFFFFF"/>
        </w:rPr>
        <w:t>wierzytelności</w:t>
      </w:r>
      <w:r w:rsidRPr="002A77C6">
        <w:rPr>
          <w:rFonts w:ascii="Times New Roman" w:eastAsia="Times New Roman" w:hAnsi="Times New Roman"/>
          <w:bCs/>
          <w:sz w:val="24"/>
          <w:szCs w:val="24"/>
        </w:rPr>
        <w:t xml:space="preserve"> finansowych ze środków FRiOR</w:t>
      </w:r>
      <w:bookmarkEnd w:id="8"/>
      <w:r w:rsidRPr="002A77C6">
        <w:rPr>
          <w:rFonts w:ascii="Times New Roman" w:hAnsi="Times New Roman"/>
          <w:bCs/>
          <w:sz w:val="24"/>
          <w:szCs w:val="24"/>
          <w:shd w:val="clear" w:color="auto" w:fill="FFFFFF"/>
        </w:rPr>
        <w:t>, nierzadko ograniczających się wyłącznie do należności odsetkowych, prowadzi do windykacji tych należności ze świadczeń emerytalno-rentowych lub konieczności dochodzenia ich przez przymusową sprzedaż nieruchomości, co stawia dawnych beneficjentów FRiOR</w:t>
      </w:r>
      <w:r w:rsidRPr="002A77C6">
        <w:rPr>
          <w:rFonts w:ascii="Times New Roman" w:eastAsia="Times New Roman" w:hAnsi="Times New Roman"/>
          <w:bCs/>
          <w:sz w:val="24"/>
          <w:szCs w:val="24"/>
        </w:rPr>
        <w:t xml:space="preserve">, a dziś </w:t>
      </w:r>
      <w:r w:rsidRPr="002A77C6">
        <w:rPr>
          <w:rFonts w:ascii="Times New Roman" w:hAnsi="Times New Roman"/>
          <w:bCs/>
          <w:sz w:val="24"/>
          <w:szCs w:val="24"/>
          <w:shd w:val="clear" w:color="auto" w:fill="FFFFFF"/>
        </w:rPr>
        <w:t xml:space="preserve">rolników emerytów, w szczególnie trudnej sytuacji. </w:t>
      </w:r>
    </w:p>
    <w:p w14:paraId="44842C27" w14:textId="09B83F41" w:rsidR="0081378F" w:rsidRPr="002A77C6" w:rsidRDefault="0081378F" w:rsidP="002F4772">
      <w:pPr>
        <w:spacing w:line="360" w:lineRule="auto"/>
        <w:ind w:firstLine="567"/>
        <w:jc w:val="both"/>
        <w:rPr>
          <w:rFonts w:ascii="Times New Roman" w:hAnsi="Times New Roman"/>
          <w:sz w:val="24"/>
          <w:szCs w:val="24"/>
          <w:shd w:val="clear" w:color="auto" w:fill="FFFFFF"/>
        </w:rPr>
      </w:pPr>
      <w:r w:rsidRPr="002A77C6">
        <w:rPr>
          <w:rFonts w:ascii="Times New Roman" w:hAnsi="Times New Roman"/>
          <w:sz w:val="24"/>
          <w:szCs w:val="24"/>
          <w:shd w:val="clear" w:color="auto" w:fill="FFFFFF"/>
        </w:rPr>
        <w:t xml:space="preserve">Nieuniknione wydaje się być zjawisko narastającej spirali zadłużenia oraz dziedziczenia długów (a nawet dziedziczenia ubóstwa), skoro na mocy </w:t>
      </w:r>
      <w:hyperlink r:id="rId15" w:history="1">
        <w:r w:rsidRPr="002A77C6">
          <w:rPr>
            <w:rFonts w:ascii="Times New Roman" w:hAnsi="Times New Roman"/>
            <w:sz w:val="24"/>
            <w:szCs w:val="24"/>
            <w:shd w:val="clear" w:color="auto" w:fill="FFFFFF"/>
          </w:rPr>
          <w:t>art. 39 ust. 1</w:t>
        </w:r>
      </w:hyperlink>
      <w:r w:rsidRPr="002A77C6">
        <w:rPr>
          <w:rFonts w:ascii="Times New Roman" w:hAnsi="Times New Roman"/>
          <w:sz w:val="24"/>
          <w:szCs w:val="24"/>
          <w:shd w:val="clear" w:color="auto" w:fill="FFFFFF"/>
        </w:rPr>
        <w:t xml:space="preserve"> ustawy o Agencji Agencja pozostaje zobowiązana do dochodzenia wierzytelności finansowych z FRiOR. </w:t>
      </w:r>
    </w:p>
    <w:p w14:paraId="1D9EBF18" w14:textId="0544B0EB" w:rsidR="0081378F" w:rsidRPr="002A77C6" w:rsidRDefault="0081378F" w:rsidP="0081378F">
      <w:pPr>
        <w:widowControl/>
        <w:suppressAutoHyphens/>
        <w:spacing w:line="360" w:lineRule="auto"/>
        <w:ind w:firstLine="510"/>
        <w:jc w:val="both"/>
        <w:rPr>
          <w:rFonts w:ascii="Times New Roman" w:hAnsi="Times New Roman" w:cs="Arial"/>
          <w:bCs/>
          <w:sz w:val="24"/>
          <w:szCs w:val="24"/>
        </w:rPr>
      </w:pPr>
      <w:r w:rsidRPr="002A77C6">
        <w:rPr>
          <w:rFonts w:ascii="Times New Roman" w:hAnsi="Times New Roman"/>
          <w:bCs/>
          <w:sz w:val="24"/>
          <w:szCs w:val="24"/>
          <w:shd w:val="clear" w:color="auto" w:fill="FFFFFF"/>
        </w:rPr>
        <w:t>Uwzględniając</w:t>
      </w:r>
      <w:r w:rsidRPr="002A77C6">
        <w:rPr>
          <w:rFonts w:ascii="Times New Roman" w:hAnsi="Times New Roman" w:cs="Arial"/>
          <w:bCs/>
          <w:sz w:val="24"/>
          <w:szCs w:val="24"/>
          <w:shd w:val="clear" w:color="auto" w:fill="FFFFFF"/>
        </w:rPr>
        <w:t xml:space="preserve"> powyższe</w:t>
      </w:r>
      <w:r w:rsidR="005549A9">
        <w:rPr>
          <w:rFonts w:ascii="Times New Roman" w:hAnsi="Times New Roman" w:cs="Arial"/>
          <w:bCs/>
          <w:sz w:val="24"/>
          <w:szCs w:val="24"/>
          <w:shd w:val="clear" w:color="auto" w:fill="FFFFFF"/>
        </w:rPr>
        <w:t>,</w:t>
      </w:r>
      <w:r w:rsidRPr="002A77C6">
        <w:rPr>
          <w:rFonts w:ascii="Times New Roman" w:hAnsi="Times New Roman" w:cs="Arial"/>
          <w:bCs/>
          <w:sz w:val="24"/>
          <w:szCs w:val="24"/>
          <w:shd w:val="clear" w:color="auto" w:fill="FFFFFF"/>
        </w:rPr>
        <w:t xml:space="preserve"> w projekcie ustawy proponuje się wprowadzenie możliwości umorzenia wierzytelności z tytułu FRiOR </w:t>
      </w:r>
      <w:r w:rsidRPr="002A77C6">
        <w:rPr>
          <w:rFonts w:ascii="Times New Roman" w:hAnsi="Times New Roman" w:cs="Arial"/>
          <w:bCs/>
          <w:sz w:val="24"/>
          <w:szCs w:val="24"/>
        </w:rPr>
        <w:t>na wniosek</w:t>
      </w:r>
      <w:r w:rsidRPr="002A77C6">
        <w:rPr>
          <w:rFonts w:ascii="Times" w:hAnsi="Times" w:cs="Arial"/>
          <w:bCs/>
          <w:sz w:val="24"/>
        </w:rPr>
        <w:t xml:space="preserve"> osoby, która była stroną umowy o kredyt udzielony ze środków Funduszu Restrukturyzacji i Oddłużenia Rolnictwa, umowy o spłatę zrestrukturyzowanego długu, umowy o kredyt udzielony ze środków budżetowych lub umowy o kredyt z gwarancją Ministerstwa Rolnictwa i Gospodarki Żywnościowej bądź jej następcy prawnego</w:t>
      </w:r>
      <w:r w:rsidRPr="002A77C6">
        <w:rPr>
          <w:rFonts w:ascii="Times New Roman" w:hAnsi="Times New Roman" w:cs="Arial"/>
          <w:bCs/>
          <w:sz w:val="24"/>
          <w:szCs w:val="24"/>
        </w:rPr>
        <w:t>, która ma ustalone prawo do emerytury lub renty z tytułu niezdolności do pracy na podstawie przepisów o ubezpieczeniu społecznym rolników lub prawo do emerytury lub renty z tytułu niezdolności do pracy z Funduszu Ubezpieczeń Społecznych oraz nie posiada innej nieruchomości niż ta</w:t>
      </w:r>
      <w:r w:rsidR="005549A9">
        <w:rPr>
          <w:rFonts w:ascii="Times New Roman" w:hAnsi="Times New Roman" w:cs="Arial"/>
          <w:bCs/>
          <w:sz w:val="24"/>
          <w:szCs w:val="24"/>
        </w:rPr>
        <w:t>,</w:t>
      </w:r>
      <w:r w:rsidRPr="002A77C6">
        <w:rPr>
          <w:rFonts w:ascii="Times New Roman" w:hAnsi="Times New Roman" w:cs="Arial"/>
          <w:bCs/>
          <w:sz w:val="24"/>
          <w:szCs w:val="24"/>
        </w:rPr>
        <w:t xml:space="preserve"> w której zamieszkuje. </w:t>
      </w:r>
    </w:p>
    <w:p w14:paraId="6E15B6E9" w14:textId="77777777" w:rsidR="0081378F" w:rsidRPr="002A77C6" w:rsidRDefault="0081378F" w:rsidP="0081378F">
      <w:pPr>
        <w:widowControl/>
        <w:suppressAutoHyphens/>
        <w:spacing w:line="360" w:lineRule="auto"/>
        <w:ind w:firstLine="510"/>
        <w:jc w:val="both"/>
        <w:rPr>
          <w:rFonts w:ascii="Times New Roman" w:hAnsi="Times New Roman" w:cs="Arial"/>
          <w:bCs/>
          <w:color w:val="000000"/>
          <w:sz w:val="24"/>
          <w:szCs w:val="24"/>
        </w:rPr>
      </w:pPr>
      <w:r w:rsidRPr="002A77C6">
        <w:rPr>
          <w:rFonts w:ascii="Times New Roman" w:hAnsi="Times New Roman" w:cs="Arial"/>
          <w:bCs/>
          <w:sz w:val="24"/>
          <w:szCs w:val="24"/>
        </w:rPr>
        <w:t xml:space="preserve">Ponadto w projekcie proponuje się wprowadzenie możliwości umorzenia na wniosek </w:t>
      </w:r>
      <w:r w:rsidRPr="002A77C6">
        <w:rPr>
          <w:rFonts w:ascii="Times" w:hAnsi="Times" w:cs="Arial"/>
          <w:bCs/>
          <w:sz w:val="24"/>
        </w:rPr>
        <w:t>osoby, która była stroną umowy o kredyt udzielony ze środków Funduszu Restrukturyzacji i Oddłużenia Rolnictwa, umowy o spłatę zrestrukturyzowanego długu, umowy o kredyt udzielony ze środków budżetowych lub umowy o kredyt z gwarancją Ministerstwa Rolnictwa i Gospodarki Żywnościowej bądź jej następcy prawnego</w:t>
      </w:r>
      <w:r w:rsidRPr="002A77C6">
        <w:rPr>
          <w:rFonts w:ascii="Times New Roman" w:hAnsi="Times New Roman" w:cs="Arial"/>
          <w:bCs/>
          <w:color w:val="000000"/>
          <w:sz w:val="24"/>
          <w:szCs w:val="24"/>
        </w:rPr>
        <w:t xml:space="preserve">, jeżeli </w:t>
      </w:r>
      <w:r w:rsidRPr="002A77C6">
        <w:rPr>
          <w:rFonts w:ascii="Times New Roman" w:hAnsi="Times New Roman" w:cs="Arial"/>
          <w:bCs/>
          <w:sz w:val="24"/>
          <w:szCs w:val="24"/>
        </w:rPr>
        <w:t>wyłączną</w:t>
      </w:r>
      <w:r w:rsidRPr="002A77C6">
        <w:rPr>
          <w:rFonts w:ascii="Times New Roman" w:hAnsi="Times New Roman" w:cs="Arial"/>
          <w:bCs/>
          <w:color w:val="000000"/>
          <w:sz w:val="24"/>
          <w:szCs w:val="24"/>
        </w:rPr>
        <w:t xml:space="preserve"> wierzytelnością jest wierzytelność z tytułu odsetek.</w:t>
      </w:r>
    </w:p>
    <w:p w14:paraId="5216F584" w14:textId="2D68B2AB" w:rsidR="0081378F" w:rsidRPr="002A77C6" w:rsidRDefault="0081378F" w:rsidP="0081378F">
      <w:pPr>
        <w:widowControl/>
        <w:autoSpaceDE/>
        <w:autoSpaceDN/>
        <w:adjustRightInd/>
        <w:spacing w:line="360" w:lineRule="auto"/>
        <w:ind w:firstLine="567"/>
        <w:jc w:val="both"/>
        <w:rPr>
          <w:rFonts w:ascii="Times" w:eastAsiaTheme="minorHAnsi" w:hAnsi="Times" w:cs="Arial"/>
          <w:bCs/>
          <w:sz w:val="24"/>
        </w:rPr>
      </w:pPr>
      <w:r w:rsidRPr="002A77C6">
        <w:rPr>
          <w:rFonts w:ascii="Times New Roman" w:hAnsi="Times New Roman" w:cs="Arial"/>
          <w:bCs/>
          <w:sz w:val="24"/>
          <w:szCs w:val="24"/>
        </w:rPr>
        <w:lastRenderedPageBreak/>
        <w:t>Należy zauważyć, że przepisy art. 24</w:t>
      </w:r>
      <w:r w:rsidR="00140803">
        <w:rPr>
          <w:rFonts w:ascii="Times New Roman" w:hAnsi="Times New Roman" w:cs="Arial"/>
          <w:bCs/>
          <w:sz w:val="24"/>
          <w:szCs w:val="24"/>
        </w:rPr>
        <w:t>–</w:t>
      </w:r>
      <w:r w:rsidRPr="002A77C6">
        <w:rPr>
          <w:rFonts w:ascii="Times New Roman" w:hAnsi="Times New Roman" w:cs="Arial"/>
          <w:bCs/>
          <w:sz w:val="24"/>
          <w:szCs w:val="24"/>
        </w:rPr>
        <w:t xml:space="preserve">28 ustawy o Agencji analogicznie </w:t>
      </w:r>
      <w:r w:rsidR="00140803">
        <w:rPr>
          <w:rFonts w:ascii="Times New Roman" w:hAnsi="Times New Roman" w:cs="Arial"/>
          <w:bCs/>
          <w:sz w:val="24"/>
          <w:szCs w:val="24"/>
        </w:rPr>
        <w:t>do</w:t>
      </w:r>
      <w:r w:rsidRPr="002A77C6">
        <w:rPr>
          <w:rFonts w:ascii="Times New Roman" w:hAnsi="Times New Roman" w:cs="Arial"/>
          <w:bCs/>
          <w:sz w:val="24"/>
          <w:szCs w:val="24"/>
        </w:rPr>
        <w:t xml:space="preserve"> przepis</w:t>
      </w:r>
      <w:r w:rsidR="00140803">
        <w:rPr>
          <w:rFonts w:ascii="Times New Roman" w:hAnsi="Times New Roman" w:cs="Arial"/>
          <w:bCs/>
          <w:sz w:val="24"/>
          <w:szCs w:val="24"/>
        </w:rPr>
        <w:t>ów</w:t>
      </w:r>
      <w:r w:rsidRPr="002A77C6">
        <w:rPr>
          <w:rFonts w:ascii="Times New Roman" w:hAnsi="Times New Roman" w:cs="Arial"/>
          <w:bCs/>
          <w:sz w:val="24"/>
          <w:szCs w:val="24"/>
        </w:rPr>
        <w:t xml:space="preserve"> art. 55</w:t>
      </w:r>
      <w:r w:rsidR="00140803">
        <w:rPr>
          <w:rFonts w:ascii="Times New Roman" w:hAnsi="Times New Roman" w:cs="Arial"/>
          <w:bCs/>
          <w:sz w:val="24"/>
          <w:szCs w:val="24"/>
        </w:rPr>
        <w:t>–</w:t>
      </w:r>
      <w:r w:rsidRPr="002A77C6">
        <w:rPr>
          <w:rFonts w:ascii="Times New Roman" w:hAnsi="Times New Roman" w:cs="Arial"/>
          <w:bCs/>
          <w:sz w:val="24"/>
          <w:szCs w:val="24"/>
        </w:rPr>
        <w:t>58 ustawy o</w:t>
      </w:r>
      <w:r w:rsidR="00140803">
        <w:rPr>
          <w:rFonts w:ascii="Times New Roman" w:hAnsi="Times New Roman" w:cs="Arial"/>
          <w:bCs/>
          <w:sz w:val="24"/>
          <w:szCs w:val="24"/>
        </w:rPr>
        <w:t xml:space="preserve"> </w:t>
      </w:r>
      <w:r w:rsidRPr="002A77C6">
        <w:rPr>
          <w:rFonts w:ascii="Times New Roman" w:hAnsi="Times New Roman" w:cs="Arial"/>
          <w:bCs/>
          <w:sz w:val="24"/>
          <w:szCs w:val="24"/>
        </w:rPr>
        <w:t>finansach publicznych stanowią reżim umorzeniowy należności cywilnoprawnych, całkowicie odrębny od reżimu umorzeniowego odnoszącego się do należności publicznoprawnych, którego wyrazem są uregulowania art. 60</w:t>
      </w:r>
      <w:r w:rsidR="00140803">
        <w:rPr>
          <w:rFonts w:ascii="Times New Roman" w:hAnsi="Times New Roman" w:cs="Arial"/>
          <w:bCs/>
          <w:sz w:val="24"/>
          <w:szCs w:val="24"/>
        </w:rPr>
        <w:t xml:space="preserve"> i art. </w:t>
      </w:r>
      <w:r w:rsidRPr="002A77C6">
        <w:rPr>
          <w:rFonts w:ascii="Times New Roman" w:hAnsi="Times New Roman" w:cs="Arial"/>
          <w:bCs/>
          <w:sz w:val="24"/>
          <w:szCs w:val="24"/>
        </w:rPr>
        <w:t xml:space="preserve">61 ustawy o finansach publicznych, stanowiące o należnościach </w:t>
      </w:r>
      <w:r w:rsidR="002A77C6" w:rsidRPr="002A77C6">
        <w:rPr>
          <w:rFonts w:ascii="Times New Roman" w:hAnsi="Times New Roman" w:cs="Arial"/>
          <w:bCs/>
          <w:sz w:val="24"/>
          <w:szCs w:val="24"/>
        </w:rPr>
        <w:t>publicznoprawnych</w:t>
      </w:r>
      <w:r w:rsidRPr="002A77C6">
        <w:rPr>
          <w:rFonts w:ascii="Times New Roman" w:hAnsi="Times New Roman" w:cs="Arial"/>
          <w:bCs/>
          <w:sz w:val="24"/>
          <w:szCs w:val="24"/>
        </w:rPr>
        <w:t xml:space="preserve"> budżetu, oraz dyspozycja art. 67a ustawy z dnia 29 sierpnia 1997 r. </w:t>
      </w:r>
      <w:r w:rsidR="00140803">
        <w:rPr>
          <w:rFonts w:ascii="Times New Roman" w:hAnsi="Times New Roman" w:cs="Arial"/>
          <w:bCs/>
          <w:sz w:val="24"/>
          <w:szCs w:val="24"/>
        </w:rPr>
        <w:t>–</w:t>
      </w:r>
      <w:r w:rsidRPr="002A77C6">
        <w:rPr>
          <w:rFonts w:ascii="Times New Roman" w:hAnsi="Times New Roman" w:cs="Arial"/>
          <w:bCs/>
          <w:sz w:val="24"/>
          <w:szCs w:val="24"/>
        </w:rPr>
        <w:t xml:space="preserve"> Ordynacja podatkowa w zw</w:t>
      </w:r>
      <w:r w:rsidR="009777CF">
        <w:rPr>
          <w:rFonts w:ascii="Times New Roman" w:hAnsi="Times New Roman" w:cs="Arial"/>
          <w:bCs/>
          <w:sz w:val="24"/>
          <w:szCs w:val="24"/>
        </w:rPr>
        <w:t>iązku</w:t>
      </w:r>
      <w:r w:rsidRPr="002A77C6">
        <w:rPr>
          <w:rFonts w:ascii="Times New Roman" w:hAnsi="Times New Roman" w:cs="Arial"/>
          <w:bCs/>
          <w:sz w:val="24"/>
          <w:szCs w:val="24"/>
        </w:rPr>
        <w:t xml:space="preserve"> z art. 2 tej ustawy, odnosząca się do podatków, opłat oraz niepodatkowych należności budżetu państwa. </w:t>
      </w:r>
    </w:p>
    <w:p w14:paraId="55D59FF2" w14:textId="7A52AAA8" w:rsidR="0081378F" w:rsidRPr="002A77C6" w:rsidRDefault="0081378F" w:rsidP="0081378F">
      <w:pPr>
        <w:widowControl/>
        <w:autoSpaceDE/>
        <w:autoSpaceDN/>
        <w:adjustRightInd/>
        <w:spacing w:line="360" w:lineRule="auto"/>
        <w:ind w:firstLine="567"/>
        <w:jc w:val="both"/>
        <w:rPr>
          <w:rFonts w:ascii="Times" w:hAnsi="Times" w:cs="Arial"/>
          <w:bCs/>
          <w:color w:val="000000"/>
          <w:sz w:val="24"/>
        </w:rPr>
      </w:pPr>
      <w:r w:rsidRPr="002A77C6">
        <w:rPr>
          <w:rFonts w:ascii="Times New Roman" w:hAnsi="Times New Roman" w:cs="Arial"/>
          <w:bCs/>
          <w:sz w:val="24"/>
          <w:szCs w:val="24"/>
        </w:rPr>
        <w:t xml:space="preserve">W </w:t>
      </w:r>
      <w:r w:rsidRPr="002A77C6">
        <w:rPr>
          <w:rFonts w:ascii="Times" w:hAnsi="Times" w:cs="Arial"/>
          <w:bCs/>
          <w:color w:val="000000"/>
          <w:sz w:val="24"/>
        </w:rPr>
        <w:t>konsekwencji</w:t>
      </w:r>
      <w:r w:rsidRPr="002A77C6">
        <w:rPr>
          <w:rFonts w:ascii="Times New Roman" w:hAnsi="Times New Roman" w:cs="Arial"/>
          <w:bCs/>
          <w:sz w:val="24"/>
          <w:szCs w:val="24"/>
        </w:rPr>
        <w:t xml:space="preserve"> w stosunku do wierzytelności </w:t>
      </w:r>
      <w:r w:rsidR="002A77C6" w:rsidRPr="002A77C6">
        <w:rPr>
          <w:rFonts w:ascii="Times New Roman" w:hAnsi="Times New Roman" w:cs="Arial"/>
          <w:bCs/>
          <w:sz w:val="24"/>
          <w:szCs w:val="24"/>
        </w:rPr>
        <w:t>ARiMR</w:t>
      </w:r>
      <w:r w:rsidRPr="002A77C6">
        <w:rPr>
          <w:rFonts w:ascii="Times New Roman" w:hAnsi="Times New Roman" w:cs="Arial"/>
          <w:bCs/>
          <w:sz w:val="24"/>
          <w:szCs w:val="24"/>
        </w:rPr>
        <w:t xml:space="preserve">, o których mowa w art. 39 ustawy o </w:t>
      </w:r>
      <w:r w:rsidR="006505B6">
        <w:rPr>
          <w:rFonts w:ascii="Times New Roman" w:hAnsi="Times New Roman" w:cs="Arial"/>
          <w:bCs/>
          <w:sz w:val="24"/>
          <w:szCs w:val="24"/>
        </w:rPr>
        <w:t xml:space="preserve">Agencji </w:t>
      </w:r>
      <w:r w:rsidRPr="002A77C6">
        <w:rPr>
          <w:rFonts w:ascii="Times New Roman" w:hAnsi="Times New Roman" w:cs="Arial"/>
          <w:bCs/>
          <w:sz w:val="24"/>
          <w:szCs w:val="24"/>
        </w:rPr>
        <w:t xml:space="preserve">(przejęte od Funduszu Restrukturyzacji i Oddłużenia Rolnictwa w zakresie zobowiązań i wierzytelności finansowych tego Funduszu), nie mają zastosowania przepisy: art. 64 ust. 1 pkt 2b ustawy o finansach publicznych (należności, o których mowa w art. 60, właściwy organ może  umarzać w całości - w przypadkach uzasadnionych ważnym interesem zobowiązanego lub interesem publicznym), a także art. 67a § 1 pkt 3 ustawy – Ordynacja podatkowa.  Oznacza to, że obecne przepisy nie pozwalają na umorzenie wierzytelności Agencji w przypadkach uzasadnionych ważnym interesem dłużnika lub interesem publicznym. </w:t>
      </w:r>
    </w:p>
    <w:p w14:paraId="7F65DC54" w14:textId="0D555221" w:rsidR="0081378F" w:rsidRPr="002A77C6" w:rsidRDefault="0081378F" w:rsidP="0081378F">
      <w:pPr>
        <w:widowControl/>
        <w:autoSpaceDE/>
        <w:autoSpaceDN/>
        <w:adjustRightInd/>
        <w:spacing w:line="360" w:lineRule="auto"/>
        <w:ind w:firstLine="567"/>
        <w:jc w:val="both"/>
        <w:rPr>
          <w:rFonts w:ascii="Times" w:hAnsi="Times" w:cs="Arial"/>
          <w:bCs/>
          <w:color w:val="000000"/>
          <w:sz w:val="24"/>
          <w:szCs w:val="24"/>
        </w:rPr>
      </w:pPr>
      <w:r w:rsidRPr="002A77C6">
        <w:rPr>
          <w:rFonts w:ascii="Times" w:hAnsi="Times" w:cs="Arial"/>
          <w:bCs/>
          <w:color w:val="000000"/>
          <w:sz w:val="24"/>
        </w:rPr>
        <w:t xml:space="preserve">W projekcie wskazano, że jeżeli wnioskodawcą jest dłużnik </w:t>
      </w:r>
      <w:r w:rsidRPr="002A77C6">
        <w:rPr>
          <w:rFonts w:ascii="Times" w:hAnsi="Times" w:cs="Arial"/>
          <w:bCs/>
          <w:sz w:val="24"/>
        </w:rPr>
        <w:t>prowadzący działalność w zakresie podstawowej produkcji produktów rolnych,</w:t>
      </w:r>
      <w:r w:rsidRPr="002A77C6">
        <w:rPr>
          <w:rFonts w:ascii="Times" w:hAnsi="Times" w:cs="Arial"/>
          <w:bCs/>
          <w:color w:val="000000"/>
          <w:sz w:val="24"/>
        </w:rPr>
        <w:t xml:space="preserve"> pomoc w zakresie umorzenia odsetek będzie stanowić pomoc </w:t>
      </w:r>
      <w:r w:rsidRPr="002A77C6">
        <w:rPr>
          <w:rFonts w:ascii="Times" w:hAnsi="Times" w:cs="Arial"/>
          <w:bCs/>
          <w:i/>
          <w:color w:val="000000"/>
          <w:sz w:val="24"/>
        </w:rPr>
        <w:t>de minims</w:t>
      </w:r>
      <w:r w:rsidRPr="002A77C6">
        <w:rPr>
          <w:rFonts w:ascii="Times" w:hAnsi="Times" w:cs="Arial"/>
          <w:bCs/>
          <w:color w:val="000000"/>
          <w:sz w:val="24"/>
        </w:rPr>
        <w:t xml:space="preserve"> w rolnictwie i może być udzielona tylko raz </w:t>
      </w:r>
      <w:r w:rsidRPr="002A77C6">
        <w:rPr>
          <w:rFonts w:ascii="Times" w:hAnsi="Times" w:cs="Arial"/>
          <w:bCs/>
          <w:sz w:val="24"/>
        </w:rPr>
        <w:t xml:space="preserve">zgodnie z przepisami rozporządzenia Komisji (UE) nr 1408/2013 z dnia 18 grudnia 2013 r. w sprawie stosowania art. 107 i 108 Traktatu o funkcjonowaniu Unii Europejskiej do pomocy </w:t>
      </w:r>
      <w:r w:rsidRPr="002A77C6">
        <w:rPr>
          <w:rFonts w:ascii="Times" w:hAnsi="Times" w:cs="Arial"/>
          <w:bCs/>
          <w:i/>
          <w:iCs/>
          <w:sz w:val="24"/>
        </w:rPr>
        <w:t>de minimis</w:t>
      </w:r>
      <w:r w:rsidRPr="002A77C6">
        <w:rPr>
          <w:rFonts w:ascii="Times" w:hAnsi="Times" w:cs="Arial"/>
          <w:bCs/>
          <w:sz w:val="24"/>
        </w:rPr>
        <w:t xml:space="preserve"> w sektorze rolnym oraz przepisami o postępowaniu w sprawach dotyczących pomocy publicznej.</w:t>
      </w:r>
      <w:r w:rsidRPr="002A77C6">
        <w:rPr>
          <w:rFonts w:ascii="Times" w:hAnsi="Times" w:cs="Arial"/>
          <w:bCs/>
          <w:color w:val="000000"/>
          <w:sz w:val="24"/>
        </w:rPr>
        <w:t xml:space="preserve"> </w:t>
      </w:r>
    </w:p>
    <w:p w14:paraId="01C2856B" w14:textId="249B2563" w:rsidR="0081378F" w:rsidRPr="002A77C6" w:rsidRDefault="0081378F" w:rsidP="0081378F">
      <w:pPr>
        <w:widowControl/>
        <w:suppressAutoHyphens/>
        <w:spacing w:line="360" w:lineRule="auto"/>
        <w:ind w:firstLine="510"/>
        <w:jc w:val="both"/>
        <w:rPr>
          <w:rFonts w:ascii="Times" w:eastAsia="Calibri" w:hAnsi="Times" w:cs="Arial"/>
          <w:bCs/>
          <w:sz w:val="24"/>
          <w:lang w:eastAsia="en-US"/>
        </w:rPr>
      </w:pPr>
      <w:r w:rsidRPr="002A77C6">
        <w:rPr>
          <w:rFonts w:ascii="Times" w:eastAsia="Calibri" w:hAnsi="Times" w:cs="Times"/>
          <w:bCs/>
          <w:sz w:val="24"/>
          <w:szCs w:val="24"/>
          <w:lang w:eastAsia="en-US"/>
        </w:rPr>
        <w:t xml:space="preserve">Umorzenie wierzytelności finansowych ze środków FRiOR w trybie projektowanego art. 39a ustawy o Agencji spowoduje obciążenie Agencji kosztami związanymi z zakończeniem trwających postępowań sądowych i egzekucyjnych. </w:t>
      </w:r>
      <w:r w:rsidRPr="002A77C6">
        <w:rPr>
          <w:rFonts w:ascii="Times" w:eastAsia="Calibri" w:hAnsi="Times" w:cs="Arial"/>
          <w:bCs/>
          <w:sz w:val="24"/>
          <w:lang w:eastAsia="en-US"/>
        </w:rPr>
        <w:t xml:space="preserve">Agencja prowadzi nadal szereg postępowań sądowych i egzekucyjnych, w których – po umorzeniu wierzytelności – będzie zobligowana do odpowiednio cofnięcia powództw i złożenia wniosków o umorzenie egzekucji. W takim przypadku, na podstawie art. 203 </w:t>
      </w:r>
      <w:r w:rsidR="00721B64">
        <w:rPr>
          <w:rFonts w:ascii="Times" w:eastAsia="Calibri" w:hAnsi="Times" w:cs="Arial"/>
          <w:bCs/>
          <w:sz w:val="24"/>
          <w:lang w:eastAsia="en-US"/>
        </w:rPr>
        <w:t xml:space="preserve">ustawy z dnia 17 listopada 1964 r. </w:t>
      </w:r>
      <w:r w:rsidR="00AC5E8C">
        <w:rPr>
          <w:rFonts w:ascii="Times" w:eastAsia="Calibri" w:hAnsi="Times" w:cs="Arial"/>
          <w:bCs/>
          <w:sz w:val="24"/>
          <w:lang w:eastAsia="en-US"/>
        </w:rPr>
        <w:t>–</w:t>
      </w:r>
      <w:r w:rsidR="00721B64">
        <w:rPr>
          <w:rFonts w:ascii="Times" w:eastAsia="Calibri" w:hAnsi="Times" w:cs="Arial"/>
          <w:bCs/>
          <w:sz w:val="24"/>
          <w:lang w:eastAsia="en-US"/>
        </w:rPr>
        <w:t xml:space="preserve"> </w:t>
      </w:r>
      <w:r w:rsidRPr="002A77C6">
        <w:rPr>
          <w:rFonts w:ascii="Times" w:eastAsia="Calibri" w:hAnsi="Times" w:cs="Arial"/>
          <w:bCs/>
          <w:sz w:val="24"/>
          <w:lang w:eastAsia="en-US"/>
        </w:rPr>
        <w:t>Kodeks postępowania cywilnego (Dz. U. z 2021 r. poz. 1805</w:t>
      </w:r>
      <w:r>
        <w:rPr>
          <w:rFonts w:ascii="Times" w:eastAsia="Calibri" w:hAnsi="Times" w:cs="Arial"/>
          <w:bCs/>
          <w:sz w:val="24"/>
          <w:lang w:eastAsia="en-US"/>
        </w:rPr>
        <w:t>, z późn. zm.</w:t>
      </w:r>
      <w:r w:rsidRPr="002A77C6">
        <w:rPr>
          <w:rFonts w:ascii="Times" w:eastAsia="Calibri" w:hAnsi="Times" w:cs="Arial"/>
          <w:bCs/>
          <w:sz w:val="24"/>
          <w:lang w:eastAsia="en-US"/>
        </w:rPr>
        <w:t>) oraz art. 29 ustawy z dnia 28 lutego 2018 r. o kosztach komorniczych (Dz. U. z 2021 r. poz. 210)</w:t>
      </w:r>
      <w:r w:rsidR="00AC5E8C">
        <w:rPr>
          <w:rFonts w:ascii="Times" w:eastAsia="Calibri" w:hAnsi="Times" w:cs="Arial"/>
          <w:bCs/>
          <w:sz w:val="24"/>
          <w:lang w:eastAsia="en-US"/>
        </w:rPr>
        <w:t>,</w:t>
      </w:r>
      <w:r w:rsidRPr="002A77C6">
        <w:rPr>
          <w:rFonts w:ascii="Times" w:eastAsia="Calibri" w:hAnsi="Times" w:cs="Arial"/>
          <w:bCs/>
          <w:sz w:val="24"/>
          <w:lang w:eastAsia="en-US"/>
        </w:rPr>
        <w:t xml:space="preserve"> na Agencję może zostać nałożony obowiązek zapłaty kosztów umorzonych postępowań. Szczególnie </w:t>
      </w:r>
      <w:r w:rsidRPr="002A77C6">
        <w:rPr>
          <w:rFonts w:ascii="Times" w:eastAsia="Calibri" w:hAnsi="Times" w:cs="Arial"/>
          <w:bCs/>
          <w:sz w:val="24"/>
          <w:lang w:eastAsia="en-US"/>
        </w:rPr>
        <w:lastRenderedPageBreak/>
        <w:t>wysokie koszty mogą wiązać się z obciążającą wierzyciela na postawie art. 29 ust. 1 ustawy o kosztach komorniczych opłatą stosunkową w wysokości 5% wartości świadczenia pozostałego do wyegzekwowania.</w:t>
      </w:r>
    </w:p>
    <w:p w14:paraId="1E8519F0" w14:textId="6EF60394" w:rsidR="0081378F" w:rsidRPr="00DB185C" w:rsidRDefault="0081378F" w:rsidP="0081378F">
      <w:pPr>
        <w:widowControl/>
        <w:suppressAutoHyphens/>
        <w:spacing w:line="360" w:lineRule="auto"/>
        <w:ind w:firstLine="510"/>
        <w:jc w:val="both"/>
        <w:rPr>
          <w:rFonts w:ascii="Times" w:hAnsi="Times"/>
          <w:sz w:val="24"/>
        </w:rPr>
      </w:pPr>
      <w:r w:rsidRPr="002A77C6">
        <w:rPr>
          <w:rFonts w:ascii="Times New Roman" w:eastAsia="Calibri" w:hAnsi="Times New Roman" w:cs="Arial"/>
          <w:bCs/>
          <w:sz w:val="24"/>
          <w:szCs w:val="24"/>
          <w:lang w:eastAsia="en-US"/>
        </w:rPr>
        <w:t>Mając powyższe na uwadze, konieczn</w:t>
      </w:r>
      <w:r w:rsidR="00DB185C">
        <w:rPr>
          <w:rFonts w:ascii="Times New Roman" w:eastAsia="Calibri" w:hAnsi="Times New Roman" w:cs="Arial"/>
          <w:bCs/>
          <w:sz w:val="24"/>
          <w:szCs w:val="24"/>
          <w:lang w:eastAsia="en-US"/>
        </w:rPr>
        <w:t>e</w:t>
      </w:r>
      <w:r w:rsidRPr="002A77C6">
        <w:rPr>
          <w:rFonts w:ascii="Times New Roman" w:eastAsia="Calibri" w:hAnsi="Times New Roman" w:cs="Arial"/>
          <w:bCs/>
          <w:sz w:val="24"/>
          <w:szCs w:val="24"/>
          <w:lang w:eastAsia="en-US"/>
        </w:rPr>
        <w:t xml:space="preserve"> jest zawarcie wyraźnej regulacji ustawowej wyłączającej możliwość obciążenia Agencji kosztami w niezakończonych do dnia wejścia w życie ustawy postępowaniach mających za przedmiot dochodzenie, ustalenie, zabezpieczenie i egzekucję wierzytelności umorzonych w trybie art. 39a ustawy o Agencji.</w:t>
      </w:r>
    </w:p>
    <w:p w14:paraId="7340CB47" w14:textId="77777777" w:rsidR="0081378F" w:rsidRPr="002A77C6" w:rsidRDefault="0081378F" w:rsidP="0081378F">
      <w:pPr>
        <w:widowControl/>
        <w:suppressAutoHyphens/>
        <w:spacing w:line="360" w:lineRule="auto"/>
        <w:ind w:firstLine="510"/>
        <w:jc w:val="both"/>
        <w:rPr>
          <w:rFonts w:ascii="Times" w:eastAsia="Times New Roman" w:hAnsi="Times" w:cs="Arial"/>
          <w:bCs/>
          <w:sz w:val="24"/>
        </w:rPr>
      </w:pPr>
      <w:r w:rsidRPr="002A77C6">
        <w:rPr>
          <w:rFonts w:ascii="Times" w:eastAsia="Times New Roman" w:hAnsi="Times" w:cs="Arial"/>
          <w:bCs/>
          <w:sz w:val="24"/>
        </w:rPr>
        <w:t xml:space="preserve">Wprowadzenie przewidzianych projektowaną ustawą zmian wymaga uregulowania wpływu nowych rozwiązań na stosunki prawne powstałe pod rządami dotychczasowych przepisów. </w:t>
      </w:r>
    </w:p>
    <w:p w14:paraId="17C35164" w14:textId="77777777" w:rsidR="0081378F" w:rsidRPr="002A77C6" w:rsidRDefault="0081378F" w:rsidP="0081378F">
      <w:pPr>
        <w:widowControl/>
        <w:suppressAutoHyphens/>
        <w:spacing w:line="360" w:lineRule="auto"/>
        <w:ind w:firstLine="510"/>
        <w:jc w:val="both"/>
        <w:rPr>
          <w:rFonts w:ascii="Times" w:eastAsia="Times New Roman" w:hAnsi="Times" w:cs="Arial"/>
          <w:bCs/>
          <w:sz w:val="24"/>
        </w:rPr>
      </w:pPr>
      <w:r w:rsidRPr="002A77C6">
        <w:rPr>
          <w:rFonts w:ascii="Times" w:eastAsia="Times New Roman" w:hAnsi="Times" w:cs="Arial"/>
          <w:bCs/>
          <w:sz w:val="24"/>
        </w:rPr>
        <w:t xml:space="preserve">W celu zapewnienia płynnego przejścia z zasad przeprowadzania postępowań w sprawie wyboru kandydatów do zatrudniania na wolne stanowiska pracy w Agencji, określonych </w:t>
      </w:r>
      <w:r w:rsidRPr="002A77C6">
        <w:rPr>
          <w:rFonts w:ascii="Times" w:eastAsia="Times New Roman" w:hAnsi="Times" w:cs="Arial"/>
          <w:bCs/>
          <w:sz w:val="24"/>
        </w:rPr>
        <w:br/>
        <w:t>w obowiązujących przepisach ustawy o Agencji, na zasady zaproponowane w niniejszym projekcie proponuje się w art. 2 ustawy przepis przejściowy stanowiący, że do postępowań, które zostały wszczęte na podstawie dotychczasowych przepisów i niezakończone do dnia wejścia w życie projektowanej ustawy, mi</w:t>
      </w:r>
      <w:r>
        <w:rPr>
          <w:rFonts w:ascii="Times" w:eastAsia="Times New Roman" w:hAnsi="Times" w:cs="Arial"/>
          <w:bCs/>
          <w:sz w:val="24"/>
        </w:rPr>
        <w:t xml:space="preserve">ałyby </w:t>
      </w:r>
      <w:r w:rsidRPr="002A77C6">
        <w:rPr>
          <w:rFonts w:ascii="Times" w:eastAsia="Times New Roman" w:hAnsi="Times" w:cs="Arial"/>
          <w:bCs/>
          <w:sz w:val="24"/>
        </w:rPr>
        <w:t>zastosowanie</w:t>
      </w:r>
      <w:r>
        <w:rPr>
          <w:rFonts w:ascii="Times" w:eastAsia="Times New Roman" w:hAnsi="Times" w:cs="Arial"/>
          <w:bCs/>
          <w:sz w:val="24"/>
        </w:rPr>
        <w:t xml:space="preserve"> </w:t>
      </w:r>
      <w:r w:rsidRPr="002A77C6">
        <w:rPr>
          <w:rFonts w:ascii="Times" w:eastAsia="Times New Roman" w:hAnsi="Times" w:cs="Arial"/>
          <w:bCs/>
          <w:sz w:val="24"/>
        </w:rPr>
        <w:t>przepisy dotychczasowe.</w:t>
      </w:r>
    </w:p>
    <w:p w14:paraId="3B1620B3" w14:textId="7624A09E" w:rsidR="0081378F" w:rsidRPr="002A77C6" w:rsidRDefault="0081378F" w:rsidP="0081378F">
      <w:pPr>
        <w:widowControl/>
        <w:suppressAutoHyphens/>
        <w:spacing w:line="360" w:lineRule="auto"/>
        <w:ind w:firstLine="510"/>
        <w:jc w:val="both"/>
        <w:rPr>
          <w:rFonts w:ascii="Times New Roman" w:eastAsia="Times New Roman" w:hAnsi="Times New Roman" w:cs="Arial"/>
          <w:bCs/>
          <w:sz w:val="24"/>
          <w:szCs w:val="24"/>
        </w:rPr>
      </w:pPr>
      <w:r w:rsidRPr="002A77C6">
        <w:rPr>
          <w:rFonts w:ascii="Times New Roman" w:eastAsia="Times New Roman" w:hAnsi="Times New Roman" w:cs="Arial"/>
          <w:bCs/>
          <w:sz w:val="24"/>
          <w:szCs w:val="24"/>
        </w:rPr>
        <w:t xml:space="preserve">W art. 3 ustawy wprowadza się przepis, zgodnie z którym postępowania dotyczące naboru kandydatów do zatrudnienia na stanowisko doradcy Prezesa Agencji, wszczęte na podstawie dotychczasowych przepisów i niezakończone do dnia wejścia w życie ustawy, ulegają zakończeniu z tym dniem. Jest to uzasadnione dodaniem stanowiska doradcy Prezesa Agencji w art. 9 ust. 4 ustawy o Agencji, co powoduje, że zgodnie z art. 12 ust. </w:t>
      </w:r>
      <w:r w:rsidR="002A77C6" w:rsidRPr="002A77C6">
        <w:rPr>
          <w:rFonts w:ascii="Times New Roman" w:eastAsia="Times New Roman" w:hAnsi="Times New Roman" w:cs="Arial"/>
          <w:bCs/>
          <w:sz w:val="24"/>
          <w:szCs w:val="24"/>
        </w:rPr>
        <w:t>1 ustawy o Agencji</w:t>
      </w:r>
      <w:r w:rsidRPr="002A77C6">
        <w:rPr>
          <w:rFonts w:ascii="Times New Roman" w:eastAsia="Times New Roman" w:hAnsi="Times New Roman" w:cs="Arial"/>
          <w:bCs/>
          <w:sz w:val="24"/>
          <w:szCs w:val="24"/>
        </w:rPr>
        <w:t xml:space="preserve"> na to stanowisko nie przeprowadza się naboru na zasadach określonych w art. 12–18</w:t>
      </w:r>
      <w:r w:rsidR="002A77C6" w:rsidRPr="002A77C6">
        <w:rPr>
          <w:rFonts w:ascii="Times New Roman" w:eastAsia="Times New Roman" w:hAnsi="Times New Roman" w:cs="Arial"/>
          <w:bCs/>
          <w:sz w:val="24"/>
          <w:szCs w:val="24"/>
        </w:rPr>
        <w:t xml:space="preserve"> ustawy o Agencji.</w:t>
      </w:r>
      <w:r w:rsidRPr="002A77C6">
        <w:rPr>
          <w:rFonts w:ascii="Times New Roman" w:eastAsia="Times New Roman" w:hAnsi="Times New Roman" w:cs="Arial"/>
          <w:bCs/>
          <w:sz w:val="24"/>
          <w:szCs w:val="24"/>
        </w:rPr>
        <w:t xml:space="preserve"> Jednocześnie w art. 4 ustawy</w:t>
      </w:r>
      <w:r>
        <w:rPr>
          <w:rFonts w:ascii="Times New Roman" w:eastAsia="Times New Roman" w:hAnsi="Times New Roman" w:cs="Arial"/>
          <w:bCs/>
          <w:sz w:val="24"/>
          <w:szCs w:val="24"/>
        </w:rPr>
        <w:t xml:space="preserve"> o Agencji</w:t>
      </w:r>
      <w:r w:rsidRPr="002A77C6">
        <w:rPr>
          <w:rFonts w:ascii="Times New Roman" w:eastAsia="Times New Roman" w:hAnsi="Times New Roman" w:cs="Arial"/>
          <w:bCs/>
          <w:sz w:val="24"/>
          <w:szCs w:val="24"/>
        </w:rPr>
        <w:t xml:space="preserve"> wprowadza się przepis, zgodnie z którym stosunki pracy pracowników Agencji zatrudnionych na stanowisku doradcy Prezesa Agencji w dniu wejścia w życie ustawy stają się z dniem wejścia w życie ustawy stosunkami pracy na podstawie powołania w rozumieniu przepisów ustawy z dnia 26 czerwca 1974 r. – Kodeks pracy.</w:t>
      </w:r>
    </w:p>
    <w:p w14:paraId="5AF155C8" w14:textId="157812D2" w:rsidR="0081378F" w:rsidRPr="002A77C6" w:rsidRDefault="0081378F" w:rsidP="0081378F">
      <w:pPr>
        <w:widowControl/>
        <w:suppressAutoHyphens/>
        <w:spacing w:line="360" w:lineRule="auto"/>
        <w:ind w:firstLine="510"/>
        <w:jc w:val="both"/>
        <w:rPr>
          <w:rFonts w:ascii="Times New Roman" w:eastAsia="Times New Roman" w:hAnsi="Times New Roman" w:cs="Arial"/>
          <w:bCs/>
          <w:sz w:val="24"/>
          <w:szCs w:val="24"/>
        </w:rPr>
      </w:pPr>
      <w:r w:rsidRPr="002A77C6">
        <w:rPr>
          <w:rFonts w:ascii="Times New Roman" w:eastAsia="Times New Roman" w:hAnsi="Times New Roman" w:cs="Arial"/>
          <w:sz w:val="24"/>
          <w:szCs w:val="24"/>
        </w:rPr>
        <w:t xml:space="preserve">W art. 5 zawarto regulację przejściową dotyczącą </w:t>
      </w:r>
      <w:r w:rsidRPr="002A77C6">
        <w:rPr>
          <w:rFonts w:ascii="Times New Roman" w:hAnsi="Times New Roman" w:cs="Arial"/>
          <w:sz w:val="24"/>
        </w:rPr>
        <w:t>postępowań w sprawach, o których mowa w art. 10a ustawy zmienianej w art. 1, wszczętych i niezakończonych ostateczną decyzją przed dniem wejścia w życie niniejszej ustawy. Określono, że w postępowaniach tych stosuje się przepisy art. 10a ustawy zmienianej w art. 1 w brzmieniu dotychczasowym.</w:t>
      </w:r>
    </w:p>
    <w:p w14:paraId="7774C2ED" w14:textId="77777777" w:rsidR="0081378F" w:rsidRPr="002A77C6" w:rsidRDefault="0081378F" w:rsidP="0081378F">
      <w:pPr>
        <w:widowControl/>
        <w:suppressAutoHyphens/>
        <w:spacing w:line="360" w:lineRule="auto"/>
        <w:ind w:firstLine="510"/>
        <w:jc w:val="both"/>
        <w:rPr>
          <w:rFonts w:ascii="Times New Roman" w:eastAsia="Times New Roman" w:hAnsi="Times New Roman" w:cs="Arial"/>
          <w:bCs/>
          <w:sz w:val="24"/>
          <w:szCs w:val="24"/>
        </w:rPr>
      </w:pPr>
      <w:r w:rsidRPr="002A77C6">
        <w:rPr>
          <w:rFonts w:ascii="Times New Roman" w:eastAsia="Times New Roman" w:hAnsi="Times New Roman" w:cs="Arial"/>
          <w:bCs/>
          <w:sz w:val="24"/>
          <w:szCs w:val="24"/>
        </w:rPr>
        <w:lastRenderedPageBreak/>
        <w:t>Przepisy art. 6 są przepisami przejściowymi mającymi na celu dokonanie jednorazowej korekty, tak aby utworzony na mocy projektowanych przepisów fundusz Agencji odzwierciedlał wartość mienia własnego Agencji w dniu jej utworzenia.</w:t>
      </w:r>
    </w:p>
    <w:p w14:paraId="5567062B" w14:textId="6501AF38" w:rsidR="0081378F" w:rsidRPr="002A77C6" w:rsidRDefault="0081378F" w:rsidP="0081378F">
      <w:pPr>
        <w:widowControl/>
        <w:suppressAutoHyphens/>
        <w:spacing w:line="360" w:lineRule="auto"/>
        <w:ind w:firstLine="510"/>
        <w:jc w:val="both"/>
        <w:rPr>
          <w:rFonts w:ascii="Times New Roman" w:eastAsia="Times New Roman" w:hAnsi="Times New Roman" w:cs="Arial"/>
          <w:bCs/>
          <w:sz w:val="24"/>
          <w:szCs w:val="24"/>
        </w:rPr>
      </w:pPr>
      <w:r w:rsidRPr="002A77C6">
        <w:rPr>
          <w:rFonts w:ascii="Times New Roman" w:eastAsia="Times New Roman" w:hAnsi="Times New Roman" w:cs="Arial"/>
          <w:bCs/>
          <w:sz w:val="24"/>
          <w:szCs w:val="24"/>
        </w:rPr>
        <w:t xml:space="preserve">W art. 7 ustawy zaproponowano wprowadzenie regulacji przejściowej dotyczącej odraczania i rozkładania na raty spłaty wierzytelności, o których mowa w art. 24 ustawy </w:t>
      </w:r>
      <w:r w:rsidRPr="002A77C6">
        <w:rPr>
          <w:rFonts w:ascii="Times New Roman" w:eastAsia="Times New Roman" w:hAnsi="Times New Roman" w:cs="Arial"/>
          <w:bCs/>
          <w:sz w:val="24"/>
          <w:szCs w:val="24"/>
        </w:rPr>
        <w:br/>
        <w:t>o Agencji, w związku z wprowadzeniem zmiany w art. 27 ustawy o Agencji. Biorąc pod uwagę, że wprowadzane rozwiązanie jest korzystne dla dłużników Agencji w zakresie naliczania odsetek, proponuje się</w:t>
      </w:r>
      <w:r w:rsidR="00E4188F">
        <w:rPr>
          <w:rFonts w:ascii="Times New Roman" w:eastAsia="Times New Roman" w:hAnsi="Times New Roman" w:cs="Arial"/>
          <w:bCs/>
          <w:sz w:val="24"/>
          <w:szCs w:val="24"/>
        </w:rPr>
        <w:t>,</w:t>
      </w:r>
      <w:r w:rsidRPr="002A77C6">
        <w:rPr>
          <w:rFonts w:ascii="Times New Roman" w:eastAsia="Times New Roman" w:hAnsi="Times New Roman" w:cs="Arial"/>
          <w:bCs/>
          <w:sz w:val="24"/>
          <w:szCs w:val="24"/>
        </w:rPr>
        <w:t xml:space="preserve"> aby nowe przepisy miały zastosowanie do toczących się obecnie postępowań w sprawach odraczania lub rozkładania na raty spłaty wierzytelności, o których mowa w art. 24 zmienianej ustawy. </w:t>
      </w:r>
    </w:p>
    <w:p w14:paraId="6C647410" w14:textId="7632BED6" w:rsidR="0081378F" w:rsidRPr="002A77C6" w:rsidRDefault="0081378F" w:rsidP="0081378F">
      <w:pPr>
        <w:widowControl/>
        <w:suppressAutoHyphens/>
        <w:spacing w:line="360" w:lineRule="auto"/>
        <w:ind w:firstLine="510"/>
        <w:jc w:val="both"/>
        <w:rPr>
          <w:rFonts w:ascii="Times" w:hAnsi="Times" w:cs="Arial"/>
          <w:bCs/>
          <w:sz w:val="24"/>
        </w:rPr>
      </w:pPr>
      <w:r w:rsidRPr="002A77C6">
        <w:rPr>
          <w:rFonts w:ascii="Times New Roman" w:eastAsia="Times New Roman" w:hAnsi="Times New Roman" w:cs="Arial"/>
          <w:bCs/>
          <w:sz w:val="24"/>
          <w:szCs w:val="24"/>
        </w:rPr>
        <w:t>W art. 8 zaproponowano</w:t>
      </w:r>
      <w:r w:rsidR="00C968EF">
        <w:rPr>
          <w:rFonts w:ascii="Times New Roman" w:eastAsia="Times New Roman" w:hAnsi="Times New Roman" w:cs="Arial"/>
          <w:bCs/>
          <w:sz w:val="24"/>
          <w:szCs w:val="24"/>
        </w:rPr>
        <w:t>,</w:t>
      </w:r>
      <w:r w:rsidRPr="002A77C6">
        <w:rPr>
          <w:rFonts w:ascii="Times New Roman" w:eastAsia="Times New Roman" w:hAnsi="Times New Roman" w:cs="Arial"/>
          <w:bCs/>
          <w:sz w:val="24"/>
          <w:szCs w:val="24"/>
        </w:rPr>
        <w:t xml:space="preserve"> aby </w:t>
      </w:r>
      <w:r w:rsidRPr="002A77C6">
        <w:rPr>
          <w:rFonts w:ascii="Times" w:hAnsi="Times" w:cs="Arial"/>
          <w:bCs/>
          <w:sz w:val="24"/>
        </w:rPr>
        <w:t>Agencja nie była obciążana kosztami w niezakończonych do dnia wejścia w życie ustawy postępowa</w:t>
      </w:r>
      <w:r w:rsidR="00E4188F">
        <w:rPr>
          <w:rFonts w:ascii="Times" w:hAnsi="Times" w:cs="Arial"/>
          <w:bCs/>
          <w:sz w:val="24"/>
        </w:rPr>
        <w:t>niach</w:t>
      </w:r>
      <w:r w:rsidRPr="002A77C6">
        <w:rPr>
          <w:rFonts w:ascii="Times" w:hAnsi="Times" w:cs="Arial"/>
          <w:bCs/>
          <w:sz w:val="24"/>
        </w:rPr>
        <w:t xml:space="preserve"> w sprawach dochodzenia, ustalenia, zabezpieczenia i egzekucji wierzytelności FRiOR</w:t>
      </w:r>
      <w:r>
        <w:rPr>
          <w:rFonts w:ascii="Times" w:hAnsi="Times" w:cs="Arial"/>
          <w:bCs/>
          <w:sz w:val="24"/>
        </w:rPr>
        <w:t>,</w:t>
      </w:r>
      <w:r w:rsidRPr="002A77C6">
        <w:rPr>
          <w:rFonts w:ascii="Times" w:hAnsi="Times" w:cs="Arial"/>
          <w:bCs/>
          <w:sz w:val="24"/>
        </w:rPr>
        <w:t xml:space="preserve"> </w:t>
      </w:r>
      <w:r>
        <w:rPr>
          <w:rFonts w:ascii="Times" w:hAnsi="Times" w:cs="Arial"/>
          <w:bCs/>
          <w:sz w:val="24"/>
        </w:rPr>
        <w:t xml:space="preserve">o ile taka wierzytelność zostanie umorzona </w:t>
      </w:r>
      <w:r w:rsidRPr="002A77C6">
        <w:rPr>
          <w:rFonts w:ascii="Times" w:hAnsi="Times" w:cs="Arial"/>
          <w:bCs/>
          <w:sz w:val="24"/>
        </w:rPr>
        <w:t>w trybie art. 39a.</w:t>
      </w:r>
    </w:p>
    <w:p w14:paraId="64C57ED9" w14:textId="77777777" w:rsidR="0081378F" w:rsidRPr="002A77C6" w:rsidRDefault="0081378F" w:rsidP="00C968EF">
      <w:pPr>
        <w:widowControl/>
        <w:spacing w:line="360" w:lineRule="auto"/>
        <w:ind w:firstLine="567"/>
        <w:jc w:val="both"/>
        <w:rPr>
          <w:rFonts w:ascii="Times New Roman" w:eastAsia="Times New Roman" w:hAnsi="Times New Roman"/>
          <w:sz w:val="24"/>
          <w:szCs w:val="24"/>
        </w:rPr>
      </w:pPr>
      <w:r w:rsidRPr="002A77C6">
        <w:rPr>
          <w:rFonts w:ascii="Times New Roman" w:eastAsia="Times New Roman" w:hAnsi="Times New Roman"/>
          <w:sz w:val="24"/>
          <w:szCs w:val="24"/>
        </w:rPr>
        <w:t>Art. 9 projektowanej ustawy zawiera delegację umożliwiającą, w razie takiej potrzeby, wydanie rozporządzenia umożliwiającego przeniesienie odpowiednich wydatków w ramach budżetu na utworzenie spółki .</w:t>
      </w:r>
    </w:p>
    <w:p w14:paraId="07A0408C" w14:textId="13D0183F" w:rsidR="0081378F" w:rsidRPr="002A77C6" w:rsidRDefault="0081378F" w:rsidP="0081378F">
      <w:pPr>
        <w:suppressAutoHyphens/>
        <w:spacing w:line="360" w:lineRule="auto"/>
        <w:ind w:firstLine="510"/>
        <w:jc w:val="both"/>
        <w:rPr>
          <w:rFonts w:ascii="Times New Roman" w:eastAsia="Times New Roman" w:hAnsi="Times New Roman"/>
          <w:sz w:val="24"/>
          <w:szCs w:val="24"/>
        </w:rPr>
      </w:pPr>
      <w:r w:rsidRPr="002A77C6">
        <w:rPr>
          <w:rFonts w:ascii="Times New Roman" w:eastAsia="Times New Roman" w:hAnsi="Times New Roman"/>
          <w:sz w:val="24"/>
          <w:szCs w:val="24"/>
        </w:rPr>
        <w:t xml:space="preserve">Zgodnie z art. 10 projektowana ustawa wejdzie w życie </w:t>
      </w:r>
      <w:r>
        <w:rPr>
          <w:rFonts w:ascii="Times New Roman" w:eastAsia="Times New Roman" w:hAnsi="Times New Roman"/>
          <w:sz w:val="24"/>
          <w:szCs w:val="24"/>
        </w:rPr>
        <w:t>po upływie 7 dni od dnia ogłoszenia</w:t>
      </w:r>
      <w:r w:rsidR="00C968EF">
        <w:rPr>
          <w:rFonts w:ascii="Times New Roman" w:eastAsia="Times New Roman" w:hAnsi="Times New Roman"/>
          <w:sz w:val="24"/>
          <w:szCs w:val="24"/>
        </w:rPr>
        <w:t>,</w:t>
      </w:r>
      <w:r w:rsidRPr="002A77C6">
        <w:rPr>
          <w:rFonts w:ascii="Times New Roman" w:eastAsia="Times New Roman" w:hAnsi="Times New Roman"/>
          <w:sz w:val="24"/>
          <w:szCs w:val="24"/>
        </w:rPr>
        <w:t xml:space="preserve"> z wyjątkiem przepisów art. 1 pkt 6, które wchodzą w życie z dniem 1 stycznia 202</w:t>
      </w:r>
      <w:r>
        <w:rPr>
          <w:rFonts w:ascii="Times New Roman" w:eastAsia="Times New Roman" w:hAnsi="Times New Roman"/>
          <w:sz w:val="24"/>
          <w:szCs w:val="24"/>
        </w:rPr>
        <w:t>3</w:t>
      </w:r>
      <w:r w:rsidR="00C968EF">
        <w:rPr>
          <w:rFonts w:ascii="Times New Roman" w:eastAsia="Times New Roman" w:hAnsi="Times New Roman"/>
          <w:sz w:val="24"/>
          <w:szCs w:val="24"/>
        </w:rPr>
        <w:t xml:space="preserve"> </w:t>
      </w:r>
      <w:r w:rsidRPr="002A77C6">
        <w:rPr>
          <w:rFonts w:ascii="Times New Roman" w:eastAsia="Times New Roman" w:hAnsi="Times New Roman"/>
          <w:sz w:val="24"/>
          <w:szCs w:val="24"/>
        </w:rPr>
        <w:t xml:space="preserve">r. Proponowany termin wejścia w życie ustawy nie narusza zasad demokratycznego państwa prawnego. Z drugiej strony zapewnienie odpowiedniego </w:t>
      </w:r>
      <w:r w:rsidRPr="002A77C6">
        <w:rPr>
          <w:rFonts w:ascii="Times New Roman" w:eastAsia="Times New Roman" w:hAnsi="Times New Roman"/>
          <w:i/>
          <w:sz w:val="24"/>
          <w:szCs w:val="24"/>
        </w:rPr>
        <w:t>vacatio legis</w:t>
      </w:r>
      <w:r w:rsidRPr="002A77C6">
        <w:rPr>
          <w:rFonts w:ascii="Times New Roman" w:eastAsia="Times New Roman" w:hAnsi="Times New Roman"/>
          <w:sz w:val="24"/>
          <w:szCs w:val="24"/>
        </w:rPr>
        <w:t xml:space="preserve"> dla przepisów proponowanych w art. 1 pkt </w:t>
      </w:r>
      <w:r>
        <w:rPr>
          <w:rFonts w:ascii="Times New Roman" w:eastAsia="Times New Roman" w:hAnsi="Times New Roman"/>
          <w:sz w:val="24"/>
          <w:szCs w:val="24"/>
        </w:rPr>
        <w:t>6</w:t>
      </w:r>
      <w:r w:rsidRPr="002A77C6">
        <w:rPr>
          <w:rFonts w:ascii="Times New Roman" w:eastAsia="Times New Roman" w:hAnsi="Times New Roman"/>
          <w:sz w:val="24"/>
          <w:szCs w:val="24"/>
        </w:rPr>
        <w:t xml:space="preserve"> wynika z konieczności </w:t>
      </w:r>
      <w:r w:rsidRPr="002A77C6">
        <w:rPr>
          <w:rFonts w:ascii="Times New Roman" w:hAnsi="Times New Roman"/>
          <w:iCs/>
          <w:sz w:val="24"/>
          <w:szCs w:val="24"/>
        </w:rPr>
        <w:t>dokonania aktualizacji</w:t>
      </w:r>
      <w:r w:rsidRPr="002A77C6">
        <w:rPr>
          <w:rFonts w:ascii="TimesNewRomanPSMT" w:hAnsi="TimesNewRomanPSMT"/>
          <w:iCs/>
          <w:sz w:val="24"/>
          <w:szCs w:val="24"/>
        </w:rPr>
        <w:t xml:space="preserve"> </w:t>
      </w:r>
      <w:r w:rsidRPr="002A77C6">
        <w:rPr>
          <w:rFonts w:ascii="Times New Roman" w:hAnsi="Times New Roman"/>
          <w:iCs/>
          <w:sz w:val="24"/>
          <w:szCs w:val="24"/>
        </w:rPr>
        <w:t>Zasad (Polityki) rachunkowości Agencji, która wejdzie w życie od pierwszego dnia roku obrotowego następującego po roku wejścia w życie niniejszej ustawy (tj. 1 stycznia 202</w:t>
      </w:r>
      <w:r>
        <w:rPr>
          <w:rFonts w:ascii="Times New Roman" w:hAnsi="Times New Roman"/>
          <w:iCs/>
          <w:sz w:val="24"/>
          <w:szCs w:val="24"/>
        </w:rPr>
        <w:t>3</w:t>
      </w:r>
      <w:r w:rsidRPr="002A77C6">
        <w:rPr>
          <w:rFonts w:ascii="Times New Roman" w:hAnsi="Times New Roman"/>
          <w:iCs/>
          <w:sz w:val="24"/>
          <w:szCs w:val="24"/>
        </w:rPr>
        <w:t xml:space="preserve"> r.). Na dzień 1</w:t>
      </w:r>
      <w:r w:rsidR="00E4188F">
        <w:rPr>
          <w:rFonts w:ascii="Times New Roman" w:hAnsi="Times New Roman"/>
          <w:iCs/>
          <w:sz w:val="24"/>
          <w:szCs w:val="24"/>
        </w:rPr>
        <w:t> </w:t>
      </w:r>
      <w:r w:rsidRPr="002A77C6">
        <w:rPr>
          <w:rFonts w:ascii="Times New Roman" w:hAnsi="Times New Roman"/>
          <w:iCs/>
          <w:sz w:val="24"/>
          <w:szCs w:val="24"/>
        </w:rPr>
        <w:t>stycznia 202</w:t>
      </w:r>
      <w:r>
        <w:rPr>
          <w:rFonts w:ascii="Times New Roman" w:hAnsi="Times New Roman"/>
          <w:iCs/>
          <w:sz w:val="24"/>
          <w:szCs w:val="24"/>
        </w:rPr>
        <w:t>3</w:t>
      </w:r>
      <w:r w:rsidRPr="002A77C6">
        <w:rPr>
          <w:rFonts w:ascii="Times New Roman" w:hAnsi="Times New Roman"/>
          <w:iCs/>
          <w:sz w:val="24"/>
          <w:szCs w:val="24"/>
        </w:rPr>
        <w:t xml:space="preserve"> r. (czyli w księgach rachunkowych roku 2022) zostanie dokonana jednorazowa korekta funduszu Agencji tak, aby utworzony na</w:t>
      </w:r>
      <w:r w:rsidRPr="002A77C6">
        <w:rPr>
          <w:rFonts w:ascii="TimesNewRomanPSMT" w:hAnsi="TimesNewRomanPSMT"/>
          <w:iCs/>
          <w:sz w:val="24"/>
          <w:szCs w:val="24"/>
        </w:rPr>
        <w:t xml:space="preserve"> </w:t>
      </w:r>
      <w:r w:rsidRPr="002A77C6">
        <w:rPr>
          <w:rFonts w:ascii="Times New Roman" w:hAnsi="Times New Roman"/>
          <w:iCs/>
          <w:sz w:val="24"/>
          <w:szCs w:val="24"/>
        </w:rPr>
        <w:t>mocy projektowanych przepisów fundusz Agencji odzwierciedlał wartość mienia własnego Agencji w dniu jej utworzenia</w:t>
      </w:r>
      <w:r w:rsidRPr="002A77C6">
        <w:rPr>
          <w:rFonts w:ascii="Times New Roman" w:eastAsia="Times New Roman" w:hAnsi="Times New Roman"/>
          <w:sz w:val="24"/>
          <w:szCs w:val="24"/>
        </w:rPr>
        <w:t xml:space="preserve">. </w:t>
      </w:r>
      <w:r w:rsidRPr="002A77C6">
        <w:rPr>
          <w:rFonts w:ascii="Times New Roman" w:hAnsi="Times New Roman"/>
          <w:iCs/>
          <w:sz w:val="24"/>
          <w:szCs w:val="24"/>
        </w:rPr>
        <w:t>Jednocześnie do dnia 31 grudnia 202</w:t>
      </w:r>
      <w:r>
        <w:rPr>
          <w:rFonts w:ascii="Times New Roman" w:hAnsi="Times New Roman"/>
          <w:iCs/>
          <w:sz w:val="24"/>
          <w:szCs w:val="24"/>
        </w:rPr>
        <w:t>2</w:t>
      </w:r>
      <w:r w:rsidRPr="002A77C6">
        <w:rPr>
          <w:rFonts w:ascii="Times New Roman" w:hAnsi="Times New Roman"/>
          <w:iCs/>
          <w:sz w:val="24"/>
          <w:szCs w:val="24"/>
        </w:rPr>
        <w:t xml:space="preserve"> r. będą miały zastosowanie dotychczasowe przepisy rozporządzenia Ministra Finansów z dnia 28 stycznia 2009 r. w sprawie szczegółowych zasad gospodarki finansowej Agencji, a co za tym idzie, badanie rocznego sprawozdania finansowego Agencji za rok 2021 zostanie zrealizowane zgodnie z umową z firmą audytorską zawartą przez Agencję w dniu 8 stycznia 2019 r. i kończącą się </w:t>
      </w:r>
      <w:r w:rsidR="00E4188F">
        <w:rPr>
          <w:rFonts w:ascii="Times New Roman" w:hAnsi="Times New Roman"/>
          <w:iCs/>
          <w:sz w:val="24"/>
          <w:szCs w:val="24"/>
        </w:rPr>
        <w:t xml:space="preserve">dnia </w:t>
      </w:r>
      <w:r w:rsidRPr="002A77C6">
        <w:rPr>
          <w:rFonts w:ascii="Times New Roman" w:hAnsi="Times New Roman"/>
          <w:iCs/>
          <w:sz w:val="24"/>
          <w:szCs w:val="24"/>
        </w:rPr>
        <w:t>22</w:t>
      </w:r>
      <w:r w:rsidR="00E4188F">
        <w:rPr>
          <w:rFonts w:ascii="Times New Roman" w:hAnsi="Times New Roman"/>
          <w:iCs/>
          <w:sz w:val="24"/>
          <w:szCs w:val="24"/>
        </w:rPr>
        <w:t> </w:t>
      </w:r>
      <w:r w:rsidRPr="002A77C6">
        <w:rPr>
          <w:rFonts w:ascii="Times New Roman" w:hAnsi="Times New Roman"/>
          <w:iCs/>
          <w:sz w:val="24"/>
          <w:szCs w:val="24"/>
        </w:rPr>
        <w:t xml:space="preserve">kwietnia 2022 r., której przedmiotem jest badanie sprawozdań finansowych Agencji za </w:t>
      </w:r>
      <w:r w:rsidRPr="002A77C6">
        <w:rPr>
          <w:rFonts w:ascii="Times New Roman" w:hAnsi="Times New Roman"/>
          <w:iCs/>
          <w:sz w:val="24"/>
          <w:szCs w:val="24"/>
        </w:rPr>
        <w:lastRenderedPageBreak/>
        <w:t>lata 2018–2021.</w:t>
      </w:r>
    </w:p>
    <w:p w14:paraId="29D8FC0C" w14:textId="77777777" w:rsidR="0081378F" w:rsidRPr="002A77C6" w:rsidRDefault="0081378F" w:rsidP="0081378F">
      <w:pPr>
        <w:widowControl/>
        <w:suppressAutoHyphens/>
        <w:spacing w:before="120" w:after="120" w:line="360" w:lineRule="auto"/>
        <w:ind w:firstLine="510"/>
        <w:jc w:val="both"/>
        <w:rPr>
          <w:rFonts w:ascii="Times New Roman" w:eastAsia="Times New Roman" w:hAnsi="Times New Roman"/>
          <w:bCs/>
          <w:sz w:val="24"/>
          <w:lang w:eastAsia="en-US"/>
        </w:rPr>
      </w:pPr>
      <w:r w:rsidRPr="002A77C6">
        <w:rPr>
          <w:rFonts w:ascii="Times New Roman" w:eastAsia="Times New Roman" w:hAnsi="Times New Roman"/>
          <w:bCs/>
          <w:sz w:val="24"/>
          <w:lang w:eastAsia="en-US"/>
        </w:rPr>
        <w:t>Projektowana ustawa jest zgodna z prawem Unii Europejskiej.</w:t>
      </w:r>
    </w:p>
    <w:p w14:paraId="044A3340" w14:textId="77777777" w:rsidR="0081378F" w:rsidRPr="002A77C6" w:rsidRDefault="0081378F" w:rsidP="0081378F">
      <w:pPr>
        <w:widowControl/>
        <w:suppressAutoHyphens/>
        <w:spacing w:after="120" w:line="360" w:lineRule="auto"/>
        <w:ind w:firstLine="510"/>
        <w:jc w:val="both"/>
        <w:rPr>
          <w:rFonts w:ascii="Times New Roman" w:eastAsia="Times New Roman" w:hAnsi="Times New Roman"/>
          <w:bCs/>
          <w:sz w:val="24"/>
          <w:lang w:eastAsia="en-US"/>
        </w:rPr>
      </w:pPr>
      <w:r w:rsidRPr="002A77C6">
        <w:rPr>
          <w:rFonts w:ascii="Times New Roman" w:eastAsia="Times New Roman" w:hAnsi="Times New Roman"/>
          <w:bCs/>
          <w:sz w:val="24"/>
          <w:lang w:eastAsia="en-US"/>
        </w:rPr>
        <w:t>Projekt ustawy wraz z dokumentami dotyczącymi prac nad tym projektem został udostępniony w Biuletynie Informacji Publicznej na stronie podmiotowej Ministerstwa Rolnictwa i Rozwoju Wsi, zgodnie z przepisami ustawy z dnia 7 lipca 2005 r. o działalności lobbingowej w procesie stanowienia prawa (Dz. U. z 2017 r. poz. 248), oraz w Biuletynie Informacji Publicznej na stronie podmiotowej Rządowego Centrum Legislacji.</w:t>
      </w:r>
    </w:p>
    <w:p w14:paraId="2D9CDE64" w14:textId="77777777" w:rsidR="0081378F" w:rsidRPr="002A77C6" w:rsidRDefault="0081378F" w:rsidP="0081378F">
      <w:pPr>
        <w:widowControl/>
        <w:suppressAutoHyphens/>
        <w:spacing w:after="120" w:line="360" w:lineRule="auto"/>
        <w:ind w:firstLine="510"/>
        <w:jc w:val="both"/>
        <w:rPr>
          <w:rFonts w:ascii="Times New Roman" w:eastAsia="Times New Roman" w:hAnsi="Times New Roman"/>
          <w:bCs/>
          <w:sz w:val="24"/>
          <w:lang w:eastAsia="en-US"/>
        </w:rPr>
      </w:pPr>
      <w:r w:rsidRPr="002A77C6">
        <w:rPr>
          <w:rFonts w:ascii="Times New Roman" w:eastAsia="Times New Roman" w:hAnsi="Times New Roman"/>
          <w:bCs/>
          <w:sz w:val="24"/>
          <w:lang w:eastAsia="en-US"/>
        </w:rPr>
        <w:t>Projekt ustawy nie wymagał zasięgnięcia opinii, dokonania konsultacji albo uzgodnienia z organami i instytucjami Unii Europejskiej, w tym Europejskim Bankiem Centralnym.</w:t>
      </w:r>
    </w:p>
    <w:p w14:paraId="760C6862" w14:textId="415C3440" w:rsidR="0081378F" w:rsidRPr="002A77C6" w:rsidRDefault="0081378F" w:rsidP="0081378F">
      <w:pPr>
        <w:widowControl/>
        <w:suppressAutoHyphens/>
        <w:spacing w:after="120" w:line="360" w:lineRule="auto"/>
        <w:ind w:firstLine="510"/>
        <w:jc w:val="both"/>
        <w:rPr>
          <w:rFonts w:ascii="Times New Roman" w:eastAsia="Times New Roman" w:hAnsi="Times New Roman"/>
          <w:bCs/>
          <w:sz w:val="24"/>
          <w:lang w:eastAsia="en-US"/>
        </w:rPr>
      </w:pPr>
      <w:r w:rsidRPr="002A77C6">
        <w:rPr>
          <w:rFonts w:ascii="Times New Roman" w:eastAsia="Times New Roman" w:hAnsi="Times New Roman"/>
          <w:bCs/>
          <w:sz w:val="24"/>
          <w:lang w:eastAsia="en-US"/>
        </w:rPr>
        <w:t xml:space="preserve">Projekt ustawy </w:t>
      </w:r>
      <w:r w:rsidRPr="002A77C6">
        <w:rPr>
          <w:rFonts w:ascii="Times New Roman" w:eastAsia="Times New Roman" w:hAnsi="Times New Roman"/>
          <w:bCs/>
          <w:sz w:val="24"/>
          <w:szCs w:val="24"/>
          <w:lang w:eastAsia="en-US"/>
        </w:rPr>
        <w:t>nie zawiera przepisów technicznych</w:t>
      </w:r>
      <w:r w:rsidRPr="002A77C6">
        <w:rPr>
          <w:rFonts w:ascii="Times New Roman" w:eastAsia="Times New Roman" w:hAnsi="Times New Roman"/>
          <w:bCs/>
          <w:sz w:val="24"/>
          <w:lang w:eastAsia="en-US"/>
        </w:rPr>
        <w:t>, w związku z tym nie podlega procedurze notyfikacji zgodnie z rozporządzeniem Rady Ministrów z dnia 23 grudnia 2002 r. w sprawie sposobu funkcjonowania krajowego systemu notyfikacji norm i aktów prawnych (Dz. U. poz. 2039</w:t>
      </w:r>
      <w:r>
        <w:rPr>
          <w:rFonts w:ascii="Times New Roman" w:eastAsia="Times New Roman" w:hAnsi="Times New Roman"/>
          <w:bCs/>
          <w:sz w:val="24"/>
          <w:lang w:eastAsia="en-US"/>
        </w:rPr>
        <w:t>, z późn. zm.</w:t>
      </w:r>
      <w:r w:rsidRPr="002A77C6">
        <w:rPr>
          <w:rFonts w:ascii="Times New Roman" w:eastAsia="Times New Roman" w:hAnsi="Times New Roman"/>
          <w:bCs/>
          <w:sz w:val="24"/>
          <w:lang w:eastAsia="en-US"/>
        </w:rPr>
        <w:t>).</w:t>
      </w:r>
    </w:p>
    <w:p w14:paraId="550D716F" w14:textId="313EF025" w:rsidR="0081378F" w:rsidRPr="002A77C6" w:rsidRDefault="0081378F" w:rsidP="0081378F">
      <w:pPr>
        <w:widowControl/>
        <w:suppressAutoHyphens/>
        <w:spacing w:after="120" w:line="360" w:lineRule="auto"/>
        <w:ind w:firstLine="510"/>
        <w:jc w:val="both"/>
        <w:rPr>
          <w:rFonts w:ascii="Times New Roman" w:eastAsia="Times New Roman" w:hAnsi="Times New Roman"/>
          <w:bCs/>
          <w:sz w:val="24"/>
          <w:lang w:eastAsia="en-US"/>
        </w:rPr>
      </w:pPr>
      <w:r w:rsidRPr="002A77C6">
        <w:rPr>
          <w:rFonts w:ascii="Times New Roman" w:eastAsia="Times New Roman" w:hAnsi="Times New Roman"/>
          <w:bCs/>
          <w:sz w:val="24"/>
          <w:lang w:eastAsia="en-US"/>
        </w:rPr>
        <w:t>Projekt ustawy został zamieszczony w Wykazie prac legislacyjnych i programowych Rady Ministrów pod numerem UD63.</w:t>
      </w:r>
    </w:p>
    <w:p w14:paraId="32A2E549" w14:textId="77777777" w:rsidR="002A77C6" w:rsidRPr="00AA091C" w:rsidRDefault="002A77C6" w:rsidP="00E4188F">
      <w:pPr>
        <w:widowControl/>
        <w:suppressAutoHyphens/>
        <w:spacing w:line="360" w:lineRule="auto"/>
        <w:ind w:firstLine="510"/>
        <w:jc w:val="both"/>
      </w:pPr>
    </w:p>
    <w:sectPr w:rsidR="002A77C6" w:rsidRPr="00AA091C" w:rsidSect="00783718">
      <w:footerReference w:type="default" r:id="rId16"/>
      <w:footerReference w:type="first" r:id="rId17"/>
      <w:footnotePr>
        <w:numRestart w:val="eachSect"/>
      </w:footnotePr>
      <w:pgSz w:w="11906" w:h="16838"/>
      <w:pgMar w:top="1560" w:right="1434" w:bottom="1560" w:left="1418" w:header="709" w:footer="709"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4B0F5D" w14:textId="77777777" w:rsidR="00925172" w:rsidRDefault="00925172">
      <w:r>
        <w:separator/>
      </w:r>
    </w:p>
  </w:endnote>
  <w:endnote w:type="continuationSeparator" w:id="0">
    <w:p w14:paraId="744D1112" w14:textId="77777777" w:rsidR="00925172" w:rsidRDefault="00925172">
      <w:r>
        <w:continuationSeparator/>
      </w:r>
    </w:p>
  </w:endnote>
  <w:endnote w:type="continuationNotice" w:id="1">
    <w:p w14:paraId="25E8B559" w14:textId="77777777" w:rsidR="00925172" w:rsidRDefault="0092517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EE"/>
    <w:family w:val="roman"/>
    <w:pitch w:val="variable"/>
    <w:sig w:usb0="E0002EFF" w:usb1="C000785B" w:usb2="00000009" w:usb3="00000000" w:csb0="000001FF" w:csb1="00000000"/>
  </w:font>
  <w:font w:name="A">
    <w:altName w:val="Calibri"/>
    <w:panose1 w:val="00000000000000000000"/>
    <w:charset w:val="EE"/>
    <w:family w:val="auto"/>
    <w:notTrueType/>
    <w:pitch w:val="default"/>
    <w:sig w:usb0="00000005" w:usb1="00000000" w:usb2="00000000" w:usb3="00000000" w:csb0="00000002"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Georgia">
    <w:panose1 w:val="020405020504050203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Consolas">
    <w:panose1 w:val="020B0609020204030204"/>
    <w:charset w:val="EE"/>
    <w:family w:val="modern"/>
    <w:pitch w:val="fixed"/>
    <w:sig w:usb0="E00006FF" w:usb1="0000F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Liberation Serif">
    <w:altName w:val="Times New Roman"/>
    <w:charset w:val="EE"/>
    <w:family w:val="roman"/>
    <w:pitch w:val="variable"/>
    <w:sig w:usb0="00000005" w:usb1="00000000" w:usb2="00000000" w:usb3="00000000" w:csb0="00000002" w:csb1="00000000"/>
  </w:font>
  <w:font w:name="TimesNewRomanPSMT">
    <w:altName w:val="Times New Roman"/>
    <w:panose1 w:val="00000000000000000000"/>
    <w:charset w:val="00"/>
    <w:family w:val="swiss"/>
    <w:notTrueType/>
    <w:pitch w:val="default"/>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82252346"/>
      <w:docPartObj>
        <w:docPartGallery w:val="Page Numbers (Bottom of Page)"/>
        <w:docPartUnique/>
      </w:docPartObj>
    </w:sdtPr>
    <w:sdtEndPr/>
    <w:sdtContent>
      <w:p w14:paraId="20954638" w14:textId="7F1A4BBC" w:rsidR="00EA405B" w:rsidRDefault="00EA405B">
        <w:pPr>
          <w:pStyle w:val="Stopka"/>
          <w:jc w:val="center"/>
        </w:pPr>
        <w:r>
          <w:fldChar w:fldCharType="begin"/>
        </w:r>
        <w:r>
          <w:instrText>PAGE   \* MERGEFORMAT</w:instrText>
        </w:r>
        <w:r>
          <w:fldChar w:fldCharType="separate"/>
        </w:r>
        <w:r w:rsidR="00822650">
          <w:rPr>
            <w:noProof/>
          </w:rPr>
          <w:t>1</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24479770"/>
      <w:docPartObj>
        <w:docPartGallery w:val="Page Numbers (Bottom of Page)"/>
        <w:docPartUnique/>
      </w:docPartObj>
    </w:sdtPr>
    <w:sdtEndPr/>
    <w:sdtContent>
      <w:p w14:paraId="356AB53C" w14:textId="6AD218F8" w:rsidR="00EA405B" w:rsidRDefault="00EA405B">
        <w:pPr>
          <w:pStyle w:val="Stopka"/>
          <w:jc w:val="center"/>
        </w:pPr>
        <w:r>
          <w:fldChar w:fldCharType="begin"/>
        </w:r>
        <w:r>
          <w:instrText>PAGE   \* MERGEFORMAT</w:instrText>
        </w:r>
        <w:r>
          <w:fldChar w:fldCharType="separate"/>
        </w:r>
        <w:r>
          <w:rPr>
            <w:noProof/>
          </w:rPr>
          <w:t>1</w:t>
        </w:r>
        <w:r>
          <w:fldChar w:fldCharType="end"/>
        </w:r>
      </w:p>
    </w:sdtContent>
  </w:sdt>
  <w:p w14:paraId="0EBEAF58" w14:textId="77777777" w:rsidR="00EA405B" w:rsidRDefault="00EA405B">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8656B3" w14:textId="77777777" w:rsidR="00925172" w:rsidRDefault="00925172">
      <w:r>
        <w:separator/>
      </w:r>
    </w:p>
  </w:footnote>
  <w:footnote w:type="continuationSeparator" w:id="0">
    <w:p w14:paraId="15B81115" w14:textId="77777777" w:rsidR="00925172" w:rsidRDefault="00925172">
      <w:r>
        <w:continuationSeparator/>
      </w:r>
    </w:p>
  </w:footnote>
  <w:footnote w:type="continuationNotice" w:id="1">
    <w:p w14:paraId="6AF2CD4A" w14:textId="77777777" w:rsidR="00925172" w:rsidRDefault="00925172"/>
  </w:footnote>
  <w:footnote w:id="2">
    <w:p w14:paraId="1F915D81" w14:textId="214EB18A" w:rsidR="00EA405B" w:rsidRDefault="00EA405B" w:rsidP="00C548FC">
      <w:pPr>
        <w:pStyle w:val="ODNONIKtreodnonika"/>
        <w:rPr>
          <w:rFonts w:eastAsia="SimSun"/>
        </w:rPr>
      </w:pPr>
      <w:r w:rsidRPr="00AD7EE7">
        <w:rPr>
          <w:rFonts w:eastAsia="SimSun"/>
          <w:vertAlign w:val="superscript"/>
        </w:rPr>
        <w:footnoteRef/>
      </w:r>
      <w:r w:rsidRPr="00AD7EE7">
        <w:rPr>
          <w:rFonts w:eastAsia="SimSun"/>
          <w:vertAlign w:val="superscript"/>
        </w:rPr>
        <w:t>)</w:t>
      </w:r>
      <w:r>
        <w:rPr>
          <w:rFonts w:eastAsia="SimSun"/>
        </w:rPr>
        <w:tab/>
        <w:t>Dane dost</w:t>
      </w:r>
      <w:r w:rsidRPr="00C548FC">
        <w:rPr>
          <w:rFonts w:eastAsia="SimSun" w:cs="Times New Roman"/>
        </w:rPr>
        <w:t>ęp</w:t>
      </w:r>
      <w:r>
        <w:rPr>
          <w:rFonts w:eastAsia="SimSun"/>
        </w:rPr>
        <w:t>ne na stronie internetowej https://www.arimr.gov.pl/pomoc-unijna/wdrazane-programy-i-dzialania-dane-liczbowe/zrealizowane-platnosci-obszarowe.html.</w:t>
      </w:r>
    </w:p>
  </w:footnote>
  <w:footnote w:id="3">
    <w:p w14:paraId="26BCDF0E" w14:textId="5C825D41" w:rsidR="00EA405B" w:rsidRDefault="00EA405B" w:rsidP="00055118">
      <w:pPr>
        <w:snapToGrid w:val="0"/>
        <w:ind w:left="339" w:hanging="339"/>
        <w:rPr>
          <w:rFonts w:ascii="Liberation Serif" w:eastAsia="SimSun" w:hAnsi="SimSun" w:cs="SimSun"/>
        </w:rPr>
      </w:pPr>
      <w:r w:rsidRPr="006309A8">
        <w:rPr>
          <w:rFonts w:ascii="Liberation Serif" w:eastAsia="SimSun" w:hAnsi="SimSun" w:cs="SimSun"/>
          <w:vertAlign w:val="superscript"/>
        </w:rPr>
        <w:footnoteRef/>
      </w:r>
      <w:r w:rsidRPr="006309A8">
        <w:rPr>
          <w:rFonts w:ascii="Liberation Serif" w:eastAsia="SimSun" w:hAnsi="SimSun" w:cs="SimSun"/>
          <w:vertAlign w:val="superscript"/>
        </w:rPr>
        <w:t>)</w:t>
      </w:r>
      <w:r>
        <w:rPr>
          <w:rFonts w:ascii="Liberation Serif" w:eastAsia="SimSun" w:hAnsi="SimSun" w:cs="SimSun"/>
        </w:rPr>
        <w:tab/>
        <w:t xml:space="preserve">Raport </w:t>
      </w:r>
      <w:r w:rsidRPr="005E4E7F">
        <w:rPr>
          <w:rFonts w:ascii="Times New Roman" w:eastAsia="SimSun" w:hAnsi="Times New Roman"/>
        </w:rPr>
        <w:t>płac</w:t>
      </w:r>
      <w:r>
        <w:rPr>
          <w:rFonts w:ascii="Liberation Serif" w:eastAsia="SimSun" w:hAnsi="SimSun" w:cs="SimSun"/>
        </w:rPr>
        <w:t xml:space="preserve">owy 2021 HAYS Poland; </w:t>
      </w:r>
      <w:hyperlink r:id="rId1" w:history="1">
        <w:r w:rsidRPr="002C3278">
          <w:rPr>
            <w:rFonts w:ascii="Liberation Serif" w:eastAsia="SimSun" w:hAnsi="SimSun" w:cs="SimSun"/>
          </w:rPr>
          <w:t>www.hays.pl</w:t>
        </w:r>
      </w:hyperlink>
      <w:r>
        <w:rPr>
          <w:rFonts w:ascii="Liberation Serif" w:eastAsia="SimSun" w:hAnsi="SimSun" w:cs="SimSun"/>
        </w:rPr>
        <w:t>.</w:t>
      </w:r>
      <w:r w:rsidRPr="002C3278">
        <w:rPr>
          <w:rFonts w:ascii="Liberation Serif" w:eastAsia="SimSun" w:hAnsi="SimSun" w:cs="SimSun"/>
        </w:rPr>
        <w:t xml:space="preserve"> </w:t>
      </w:r>
    </w:p>
  </w:footnote>
  <w:footnote w:id="4">
    <w:p w14:paraId="36C5D09D" w14:textId="37010C34" w:rsidR="00EA405B" w:rsidRDefault="00EA405B" w:rsidP="00055118">
      <w:pPr>
        <w:snapToGrid w:val="0"/>
        <w:ind w:left="339" w:hanging="339"/>
        <w:rPr>
          <w:rFonts w:ascii="Liberation Serif" w:eastAsia="SimSun" w:hAnsi="SimSun" w:cs="SimSun"/>
        </w:rPr>
      </w:pPr>
      <w:r w:rsidRPr="006309A8">
        <w:rPr>
          <w:rFonts w:ascii="Liberation Serif" w:eastAsia="SimSun" w:hAnsi="SimSun" w:cs="SimSun"/>
          <w:vertAlign w:val="superscript"/>
        </w:rPr>
        <w:footnoteRef/>
      </w:r>
      <w:r w:rsidRPr="006309A8">
        <w:rPr>
          <w:rFonts w:ascii="Liberation Serif" w:eastAsia="SimSun" w:hAnsi="SimSun" w:cs="SimSun"/>
          <w:vertAlign w:val="superscript"/>
        </w:rPr>
        <w:t>)</w:t>
      </w:r>
      <w:r>
        <w:rPr>
          <w:rFonts w:ascii="Liberation Serif" w:eastAsia="SimSun" w:hAnsi="SimSun" w:cs="SimSun"/>
        </w:rPr>
        <w:tab/>
        <w:t xml:space="preserve">Ibidem. </w:t>
      </w:r>
    </w:p>
  </w:footnote>
  <w:footnote w:id="5">
    <w:p w14:paraId="5DE0D72C" w14:textId="3E3DFF3B" w:rsidR="00EA405B" w:rsidRDefault="00EA405B" w:rsidP="00055118">
      <w:pPr>
        <w:snapToGrid w:val="0"/>
        <w:ind w:left="339" w:hanging="339"/>
        <w:rPr>
          <w:rFonts w:ascii="Liberation Serif" w:eastAsia="SimSun" w:hAnsi="SimSun" w:cs="SimSun"/>
        </w:rPr>
      </w:pPr>
      <w:r w:rsidRPr="006309A8">
        <w:rPr>
          <w:rFonts w:ascii="Liberation Serif" w:eastAsia="SimSun" w:hAnsi="SimSun" w:cs="SimSun"/>
          <w:vertAlign w:val="superscript"/>
        </w:rPr>
        <w:footnoteRef/>
      </w:r>
      <w:r w:rsidRPr="006309A8">
        <w:rPr>
          <w:rFonts w:ascii="Liberation Serif" w:eastAsia="SimSun" w:hAnsi="SimSun" w:cs="SimSun"/>
          <w:vertAlign w:val="superscript"/>
        </w:rPr>
        <w:t>)</w:t>
      </w:r>
      <w:r>
        <w:rPr>
          <w:rFonts w:ascii="Liberation Serif" w:eastAsia="SimSun" w:hAnsi="SimSun" w:cs="SimSun"/>
        </w:rPr>
        <w:tab/>
        <w:t xml:space="preserve">Ibidem.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name w:val="WW8Num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00003"/>
    <w:multiLevelType w:val="multilevel"/>
    <w:tmpl w:val="00000003"/>
    <w:name w:val="WWNum18"/>
    <w:lvl w:ilvl="0">
      <w:start w:val="1"/>
      <w:numFmt w:val="decimal"/>
      <w:lvlText w:val="%1)"/>
      <w:lvlJc w:val="left"/>
      <w:pPr>
        <w:tabs>
          <w:tab w:val="num" w:pos="0"/>
        </w:tabs>
        <w:ind w:left="502" w:hanging="360"/>
      </w:pPr>
    </w:lvl>
    <w:lvl w:ilvl="1">
      <w:start w:val="1"/>
      <w:numFmt w:val="lowerLetter"/>
      <w:lvlText w:val="%2)"/>
      <w:lvlJc w:val="left"/>
      <w:pPr>
        <w:tabs>
          <w:tab w:val="num" w:pos="0"/>
        </w:tabs>
        <w:ind w:left="1432" w:hanging="570"/>
      </w:pPr>
    </w:lvl>
    <w:lvl w:ilvl="2">
      <w:start w:val="1"/>
      <w:numFmt w:val="lowerRoman"/>
      <w:lvlText w:val="%3."/>
      <w:lvlJc w:val="right"/>
      <w:pPr>
        <w:tabs>
          <w:tab w:val="num" w:pos="0"/>
        </w:tabs>
        <w:ind w:left="1942" w:hanging="180"/>
      </w:pPr>
    </w:lvl>
    <w:lvl w:ilvl="3">
      <w:start w:val="1"/>
      <w:numFmt w:val="decimal"/>
      <w:lvlText w:val="%4."/>
      <w:lvlJc w:val="left"/>
      <w:pPr>
        <w:tabs>
          <w:tab w:val="num" w:pos="0"/>
        </w:tabs>
        <w:ind w:left="2662" w:hanging="360"/>
      </w:pPr>
    </w:lvl>
    <w:lvl w:ilvl="4">
      <w:start w:val="1"/>
      <w:numFmt w:val="lowerLetter"/>
      <w:lvlText w:val="%5."/>
      <w:lvlJc w:val="left"/>
      <w:pPr>
        <w:tabs>
          <w:tab w:val="num" w:pos="0"/>
        </w:tabs>
        <w:ind w:left="3382" w:hanging="360"/>
      </w:pPr>
    </w:lvl>
    <w:lvl w:ilvl="5">
      <w:start w:val="1"/>
      <w:numFmt w:val="lowerRoman"/>
      <w:lvlText w:val="%6."/>
      <w:lvlJc w:val="right"/>
      <w:pPr>
        <w:tabs>
          <w:tab w:val="num" w:pos="0"/>
        </w:tabs>
        <w:ind w:left="4102" w:hanging="180"/>
      </w:pPr>
    </w:lvl>
    <w:lvl w:ilvl="6">
      <w:start w:val="1"/>
      <w:numFmt w:val="decimal"/>
      <w:lvlText w:val="%7."/>
      <w:lvlJc w:val="left"/>
      <w:pPr>
        <w:tabs>
          <w:tab w:val="num" w:pos="0"/>
        </w:tabs>
        <w:ind w:left="4822" w:hanging="360"/>
      </w:pPr>
    </w:lvl>
    <w:lvl w:ilvl="7">
      <w:start w:val="1"/>
      <w:numFmt w:val="lowerLetter"/>
      <w:lvlText w:val="%8."/>
      <w:lvlJc w:val="left"/>
      <w:pPr>
        <w:tabs>
          <w:tab w:val="num" w:pos="0"/>
        </w:tabs>
        <w:ind w:left="5542" w:hanging="360"/>
      </w:pPr>
    </w:lvl>
    <w:lvl w:ilvl="8">
      <w:start w:val="1"/>
      <w:numFmt w:val="lowerRoman"/>
      <w:lvlText w:val="%9."/>
      <w:lvlJc w:val="right"/>
      <w:pPr>
        <w:tabs>
          <w:tab w:val="num" w:pos="0"/>
        </w:tabs>
        <w:ind w:left="6262" w:hanging="180"/>
      </w:pPr>
    </w:lvl>
  </w:abstractNum>
  <w:abstractNum w:abstractNumId="2" w15:restartNumberingAfterBreak="0">
    <w:nsid w:val="00000004"/>
    <w:multiLevelType w:val="multilevel"/>
    <w:tmpl w:val="00000004"/>
    <w:name w:val="WWNum19"/>
    <w:lvl w:ilvl="0">
      <w:start w:val="1"/>
      <w:numFmt w:val="lowerLetter"/>
      <w:lvlText w:val="%1)"/>
      <w:lvlJc w:val="left"/>
      <w:pPr>
        <w:tabs>
          <w:tab w:val="num" w:pos="0"/>
        </w:tabs>
        <w:ind w:left="720" w:hanging="360"/>
      </w:pPr>
    </w:lvl>
    <w:lvl w:ilvl="1">
      <w:start w:val="1"/>
      <w:numFmt w:val="lowerLetter"/>
      <w:lvlText w:val="%2)"/>
      <w:lvlJc w:val="left"/>
      <w:pPr>
        <w:tabs>
          <w:tab w:val="num" w:pos="0"/>
        </w:tabs>
        <w:ind w:left="644" w:hanging="360"/>
      </w:pPr>
    </w:lvl>
    <w:lvl w:ilvl="2">
      <w:start w:val="1"/>
      <w:numFmt w:val="decimal"/>
      <w:lvlText w:val="%3)"/>
      <w:lvlJc w:val="left"/>
      <w:pPr>
        <w:tabs>
          <w:tab w:val="num" w:pos="0"/>
        </w:tabs>
        <w:ind w:left="360" w:hanging="360"/>
      </w:pPr>
      <w:rPr>
        <w:rFonts w:ascii="Arial" w:hAnsi="Arial"/>
        <w:i w:val="0"/>
      </w:r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00000005"/>
    <w:multiLevelType w:val="multilevel"/>
    <w:tmpl w:val="00000005"/>
    <w:name w:val="WWNum20"/>
    <w:lvl w:ilvl="0">
      <w:start w:val="1"/>
      <w:numFmt w:val="lowerLetter"/>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4" w15:restartNumberingAfterBreak="0">
    <w:nsid w:val="00684A49"/>
    <w:multiLevelType w:val="hybridMultilevel"/>
    <w:tmpl w:val="B0E6FC6C"/>
    <w:lvl w:ilvl="0" w:tplc="31FAC99A">
      <w:start w:val="1"/>
      <w:numFmt w:val="decimal"/>
      <w:lvlText w:val="%1."/>
      <w:lvlJc w:val="left"/>
      <w:pPr>
        <w:ind w:left="750" w:hanging="39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3264CE1"/>
    <w:multiLevelType w:val="hybridMultilevel"/>
    <w:tmpl w:val="51D4A350"/>
    <w:lvl w:ilvl="0" w:tplc="0415000F">
      <w:start w:val="1"/>
      <w:numFmt w:val="decimal"/>
      <w:lvlText w:val="%1."/>
      <w:lvlJc w:val="left"/>
      <w:pPr>
        <w:tabs>
          <w:tab w:val="num" w:pos="720"/>
        </w:tabs>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6" w15:restartNumberingAfterBreak="0">
    <w:nsid w:val="19F345BB"/>
    <w:multiLevelType w:val="hybridMultilevel"/>
    <w:tmpl w:val="983E2440"/>
    <w:lvl w:ilvl="0" w:tplc="0415000F">
      <w:start w:val="1"/>
      <w:numFmt w:val="decimal"/>
      <w:lvlText w:val="%1."/>
      <w:lvlJc w:val="left"/>
      <w:pPr>
        <w:ind w:left="360" w:hanging="360"/>
      </w:pPr>
    </w:lvl>
    <w:lvl w:ilvl="1" w:tplc="04150003">
      <w:start w:val="1"/>
      <w:numFmt w:val="bullet"/>
      <w:lvlText w:val="o"/>
      <w:lvlJc w:val="left"/>
      <w:pPr>
        <w:ind w:left="1080" w:hanging="360"/>
      </w:pPr>
      <w:rPr>
        <w:rFonts w:ascii="Courier New" w:hAnsi="Courier New" w:cs="Courier New" w:hint="default"/>
      </w:rPr>
    </w:lvl>
    <w:lvl w:ilvl="2" w:tplc="04150005">
      <w:start w:val="1"/>
      <w:numFmt w:val="bullet"/>
      <w:lvlText w:val=""/>
      <w:lvlJc w:val="left"/>
      <w:pPr>
        <w:ind w:left="1800" w:hanging="360"/>
      </w:pPr>
      <w:rPr>
        <w:rFonts w:ascii="Wingdings" w:hAnsi="Wingdings" w:hint="default"/>
      </w:rPr>
    </w:lvl>
    <w:lvl w:ilvl="3" w:tplc="04150001">
      <w:start w:val="1"/>
      <w:numFmt w:val="bullet"/>
      <w:lvlText w:val=""/>
      <w:lvlJc w:val="left"/>
      <w:pPr>
        <w:ind w:left="2520" w:hanging="360"/>
      </w:pPr>
      <w:rPr>
        <w:rFonts w:ascii="Symbol" w:hAnsi="Symbol" w:hint="default"/>
      </w:rPr>
    </w:lvl>
    <w:lvl w:ilvl="4" w:tplc="04150003">
      <w:start w:val="1"/>
      <w:numFmt w:val="bullet"/>
      <w:lvlText w:val="o"/>
      <w:lvlJc w:val="left"/>
      <w:pPr>
        <w:ind w:left="3240" w:hanging="360"/>
      </w:pPr>
      <w:rPr>
        <w:rFonts w:ascii="Courier New" w:hAnsi="Courier New" w:cs="Courier New" w:hint="default"/>
      </w:rPr>
    </w:lvl>
    <w:lvl w:ilvl="5" w:tplc="04150005">
      <w:start w:val="1"/>
      <w:numFmt w:val="bullet"/>
      <w:lvlText w:val=""/>
      <w:lvlJc w:val="left"/>
      <w:pPr>
        <w:ind w:left="3960" w:hanging="360"/>
      </w:pPr>
      <w:rPr>
        <w:rFonts w:ascii="Wingdings" w:hAnsi="Wingdings" w:hint="default"/>
      </w:rPr>
    </w:lvl>
    <w:lvl w:ilvl="6" w:tplc="04150001">
      <w:start w:val="1"/>
      <w:numFmt w:val="bullet"/>
      <w:lvlText w:val=""/>
      <w:lvlJc w:val="left"/>
      <w:pPr>
        <w:ind w:left="4680" w:hanging="360"/>
      </w:pPr>
      <w:rPr>
        <w:rFonts w:ascii="Symbol" w:hAnsi="Symbol" w:hint="default"/>
      </w:rPr>
    </w:lvl>
    <w:lvl w:ilvl="7" w:tplc="04150003">
      <w:start w:val="1"/>
      <w:numFmt w:val="bullet"/>
      <w:lvlText w:val="o"/>
      <w:lvlJc w:val="left"/>
      <w:pPr>
        <w:ind w:left="5400" w:hanging="360"/>
      </w:pPr>
      <w:rPr>
        <w:rFonts w:ascii="Courier New" w:hAnsi="Courier New" w:cs="Courier New" w:hint="default"/>
      </w:rPr>
    </w:lvl>
    <w:lvl w:ilvl="8" w:tplc="04150005">
      <w:start w:val="1"/>
      <w:numFmt w:val="bullet"/>
      <w:lvlText w:val=""/>
      <w:lvlJc w:val="left"/>
      <w:pPr>
        <w:ind w:left="6120" w:hanging="360"/>
      </w:pPr>
      <w:rPr>
        <w:rFonts w:ascii="Wingdings" w:hAnsi="Wingdings" w:hint="default"/>
      </w:rPr>
    </w:lvl>
  </w:abstractNum>
  <w:abstractNum w:abstractNumId="7" w15:restartNumberingAfterBreak="0">
    <w:nsid w:val="241735D1"/>
    <w:multiLevelType w:val="hybridMultilevel"/>
    <w:tmpl w:val="C46E5DE4"/>
    <w:lvl w:ilvl="0" w:tplc="BF0840D8">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8" w15:restartNumberingAfterBreak="0">
    <w:nsid w:val="2C457F0F"/>
    <w:multiLevelType w:val="multilevel"/>
    <w:tmpl w:val="6BE23AAE"/>
    <w:lvl w:ilvl="0">
      <w:start w:val="1"/>
      <w:numFmt w:val="bullet"/>
      <w:lvlText w:val="-"/>
      <w:lvlJc w:val="left"/>
      <w:rPr>
        <w:rFonts w:ascii="Arial" w:eastAsia="Arial" w:hAnsi="Arial" w:cs="Arial"/>
        <w:b w:val="0"/>
        <w:bCs w:val="0"/>
        <w:i w:val="0"/>
        <w:iCs w:val="0"/>
        <w:smallCaps w:val="0"/>
        <w:strike w:val="0"/>
        <w:color w:val="000000"/>
        <w:spacing w:val="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CB1421D"/>
    <w:multiLevelType w:val="multilevel"/>
    <w:tmpl w:val="4F2CD09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1DF76C6"/>
    <w:multiLevelType w:val="hybridMultilevel"/>
    <w:tmpl w:val="A4FA9876"/>
    <w:lvl w:ilvl="0" w:tplc="41DAC594">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1" w15:restartNumberingAfterBreak="0">
    <w:nsid w:val="326038FE"/>
    <w:multiLevelType w:val="hybridMultilevel"/>
    <w:tmpl w:val="ECE82AB2"/>
    <w:lvl w:ilvl="0" w:tplc="04150011">
      <w:start w:val="1"/>
      <w:numFmt w:val="decimal"/>
      <w:lvlText w:val="%1)"/>
      <w:lvlJc w:val="left"/>
      <w:pPr>
        <w:ind w:left="1740" w:hanging="360"/>
      </w:pPr>
      <w:rPr>
        <w:rFonts w:hint="default"/>
        <w:b w:val="0"/>
      </w:rPr>
    </w:lvl>
    <w:lvl w:ilvl="1" w:tplc="04150003" w:tentative="1">
      <w:start w:val="1"/>
      <w:numFmt w:val="bullet"/>
      <w:lvlText w:val="o"/>
      <w:lvlJc w:val="left"/>
      <w:pPr>
        <w:ind w:left="2460" w:hanging="360"/>
      </w:pPr>
      <w:rPr>
        <w:rFonts w:ascii="Courier New" w:hAnsi="Courier New" w:cs="Courier New" w:hint="default"/>
      </w:rPr>
    </w:lvl>
    <w:lvl w:ilvl="2" w:tplc="04150005" w:tentative="1">
      <w:start w:val="1"/>
      <w:numFmt w:val="bullet"/>
      <w:lvlText w:val=""/>
      <w:lvlJc w:val="left"/>
      <w:pPr>
        <w:ind w:left="3180" w:hanging="360"/>
      </w:pPr>
      <w:rPr>
        <w:rFonts w:ascii="Wingdings" w:hAnsi="Wingdings" w:hint="default"/>
      </w:rPr>
    </w:lvl>
    <w:lvl w:ilvl="3" w:tplc="04150001" w:tentative="1">
      <w:start w:val="1"/>
      <w:numFmt w:val="bullet"/>
      <w:lvlText w:val=""/>
      <w:lvlJc w:val="left"/>
      <w:pPr>
        <w:ind w:left="3900" w:hanging="360"/>
      </w:pPr>
      <w:rPr>
        <w:rFonts w:ascii="Symbol" w:hAnsi="Symbol" w:hint="default"/>
      </w:rPr>
    </w:lvl>
    <w:lvl w:ilvl="4" w:tplc="04150003" w:tentative="1">
      <w:start w:val="1"/>
      <w:numFmt w:val="bullet"/>
      <w:lvlText w:val="o"/>
      <w:lvlJc w:val="left"/>
      <w:pPr>
        <w:ind w:left="4620" w:hanging="360"/>
      </w:pPr>
      <w:rPr>
        <w:rFonts w:ascii="Courier New" w:hAnsi="Courier New" w:cs="Courier New" w:hint="default"/>
      </w:rPr>
    </w:lvl>
    <w:lvl w:ilvl="5" w:tplc="04150005" w:tentative="1">
      <w:start w:val="1"/>
      <w:numFmt w:val="bullet"/>
      <w:lvlText w:val=""/>
      <w:lvlJc w:val="left"/>
      <w:pPr>
        <w:ind w:left="5340" w:hanging="360"/>
      </w:pPr>
      <w:rPr>
        <w:rFonts w:ascii="Wingdings" w:hAnsi="Wingdings" w:hint="default"/>
      </w:rPr>
    </w:lvl>
    <w:lvl w:ilvl="6" w:tplc="04150001" w:tentative="1">
      <w:start w:val="1"/>
      <w:numFmt w:val="bullet"/>
      <w:lvlText w:val=""/>
      <w:lvlJc w:val="left"/>
      <w:pPr>
        <w:ind w:left="6060" w:hanging="360"/>
      </w:pPr>
      <w:rPr>
        <w:rFonts w:ascii="Symbol" w:hAnsi="Symbol" w:hint="default"/>
      </w:rPr>
    </w:lvl>
    <w:lvl w:ilvl="7" w:tplc="04150003" w:tentative="1">
      <w:start w:val="1"/>
      <w:numFmt w:val="bullet"/>
      <w:lvlText w:val="o"/>
      <w:lvlJc w:val="left"/>
      <w:pPr>
        <w:ind w:left="6780" w:hanging="360"/>
      </w:pPr>
      <w:rPr>
        <w:rFonts w:ascii="Courier New" w:hAnsi="Courier New" w:cs="Courier New" w:hint="default"/>
      </w:rPr>
    </w:lvl>
    <w:lvl w:ilvl="8" w:tplc="04150005" w:tentative="1">
      <w:start w:val="1"/>
      <w:numFmt w:val="bullet"/>
      <w:lvlText w:val=""/>
      <w:lvlJc w:val="left"/>
      <w:pPr>
        <w:ind w:left="7500" w:hanging="360"/>
      </w:pPr>
      <w:rPr>
        <w:rFonts w:ascii="Wingdings" w:hAnsi="Wingdings" w:hint="default"/>
      </w:rPr>
    </w:lvl>
  </w:abstractNum>
  <w:abstractNum w:abstractNumId="12" w15:restartNumberingAfterBreak="0">
    <w:nsid w:val="33836D76"/>
    <w:multiLevelType w:val="multilevel"/>
    <w:tmpl w:val="47DE5D4A"/>
    <w:lvl w:ilvl="0">
      <w:start w:val="1"/>
      <w:numFmt w:val="bullet"/>
      <w:lvlText w:val="•"/>
      <w:lvlJc w:val="left"/>
      <w:rPr>
        <w:rFonts w:ascii="Arial" w:eastAsia="Arial" w:hAnsi="Arial" w:cs="Arial"/>
        <w:b w:val="0"/>
        <w:bCs w:val="0"/>
        <w:i w:val="0"/>
        <w:iCs w:val="0"/>
        <w:smallCaps w:val="0"/>
        <w:strike w:val="0"/>
        <w:color w:val="000000"/>
        <w:spacing w:val="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33AC0B08"/>
    <w:multiLevelType w:val="hybridMultilevel"/>
    <w:tmpl w:val="C95A406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350A76FA"/>
    <w:multiLevelType w:val="hybridMultilevel"/>
    <w:tmpl w:val="95D237D6"/>
    <w:lvl w:ilvl="0" w:tplc="ABCA0770">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5" w15:restartNumberingAfterBreak="0">
    <w:nsid w:val="392A41E7"/>
    <w:multiLevelType w:val="hybridMultilevel"/>
    <w:tmpl w:val="F374424C"/>
    <w:lvl w:ilvl="0" w:tplc="680E46FE">
      <w:start w:val="1"/>
      <w:numFmt w:val="decimal"/>
      <w:lvlText w:val="%1."/>
      <w:lvlJc w:val="left"/>
      <w:pPr>
        <w:tabs>
          <w:tab w:val="num" w:pos="360"/>
        </w:tabs>
        <w:ind w:left="360" w:hanging="360"/>
      </w:pPr>
      <w:rPr>
        <w:rFonts w:cs="Times New Roman"/>
        <w:b/>
      </w:rPr>
    </w:lvl>
    <w:lvl w:ilvl="1" w:tplc="B88AFC7C">
      <w:start w:val="1"/>
      <w:numFmt w:val="bullet"/>
      <w:lvlText w:val=""/>
      <w:lvlJc w:val="left"/>
      <w:pPr>
        <w:tabs>
          <w:tab w:val="num" w:pos="1440"/>
        </w:tabs>
        <w:ind w:left="1440" w:hanging="360"/>
      </w:pPr>
      <w:rPr>
        <w:rFonts w:ascii="Symbol" w:hAnsi="Symbol" w:hint="default"/>
        <w:b/>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16" w15:restartNumberingAfterBreak="0">
    <w:nsid w:val="39B91BA4"/>
    <w:multiLevelType w:val="hybridMultilevel"/>
    <w:tmpl w:val="C70EF564"/>
    <w:lvl w:ilvl="0" w:tplc="3454C994">
      <w:start w:val="1"/>
      <w:numFmt w:val="decimal"/>
      <w:lvlText w:val="%1)"/>
      <w:lvlJc w:val="left"/>
      <w:pPr>
        <w:ind w:left="1380" w:hanging="360"/>
      </w:pPr>
      <w:rPr>
        <w:rFonts w:hint="default"/>
      </w:rPr>
    </w:lvl>
    <w:lvl w:ilvl="1" w:tplc="04150019" w:tentative="1">
      <w:start w:val="1"/>
      <w:numFmt w:val="lowerLetter"/>
      <w:lvlText w:val="%2."/>
      <w:lvlJc w:val="left"/>
      <w:pPr>
        <w:ind w:left="2100" w:hanging="360"/>
      </w:pPr>
    </w:lvl>
    <w:lvl w:ilvl="2" w:tplc="0415001B" w:tentative="1">
      <w:start w:val="1"/>
      <w:numFmt w:val="lowerRoman"/>
      <w:lvlText w:val="%3."/>
      <w:lvlJc w:val="right"/>
      <w:pPr>
        <w:ind w:left="2820" w:hanging="180"/>
      </w:pPr>
    </w:lvl>
    <w:lvl w:ilvl="3" w:tplc="0415000F" w:tentative="1">
      <w:start w:val="1"/>
      <w:numFmt w:val="decimal"/>
      <w:lvlText w:val="%4."/>
      <w:lvlJc w:val="left"/>
      <w:pPr>
        <w:ind w:left="3540" w:hanging="360"/>
      </w:pPr>
    </w:lvl>
    <w:lvl w:ilvl="4" w:tplc="04150019" w:tentative="1">
      <w:start w:val="1"/>
      <w:numFmt w:val="lowerLetter"/>
      <w:lvlText w:val="%5."/>
      <w:lvlJc w:val="left"/>
      <w:pPr>
        <w:ind w:left="4260" w:hanging="360"/>
      </w:pPr>
    </w:lvl>
    <w:lvl w:ilvl="5" w:tplc="0415001B" w:tentative="1">
      <w:start w:val="1"/>
      <w:numFmt w:val="lowerRoman"/>
      <w:lvlText w:val="%6."/>
      <w:lvlJc w:val="right"/>
      <w:pPr>
        <w:ind w:left="4980" w:hanging="180"/>
      </w:pPr>
    </w:lvl>
    <w:lvl w:ilvl="6" w:tplc="0415000F" w:tentative="1">
      <w:start w:val="1"/>
      <w:numFmt w:val="decimal"/>
      <w:lvlText w:val="%7."/>
      <w:lvlJc w:val="left"/>
      <w:pPr>
        <w:ind w:left="5700" w:hanging="360"/>
      </w:pPr>
    </w:lvl>
    <w:lvl w:ilvl="7" w:tplc="04150019" w:tentative="1">
      <w:start w:val="1"/>
      <w:numFmt w:val="lowerLetter"/>
      <w:lvlText w:val="%8."/>
      <w:lvlJc w:val="left"/>
      <w:pPr>
        <w:ind w:left="6420" w:hanging="360"/>
      </w:pPr>
    </w:lvl>
    <w:lvl w:ilvl="8" w:tplc="0415001B" w:tentative="1">
      <w:start w:val="1"/>
      <w:numFmt w:val="lowerRoman"/>
      <w:lvlText w:val="%9."/>
      <w:lvlJc w:val="right"/>
      <w:pPr>
        <w:ind w:left="7140" w:hanging="180"/>
      </w:pPr>
    </w:lvl>
  </w:abstractNum>
  <w:abstractNum w:abstractNumId="17" w15:restartNumberingAfterBreak="0">
    <w:nsid w:val="3BD21AD4"/>
    <w:multiLevelType w:val="hybridMultilevel"/>
    <w:tmpl w:val="374A8A74"/>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3C013378"/>
    <w:multiLevelType w:val="hybridMultilevel"/>
    <w:tmpl w:val="5DEA44DA"/>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9" w15:restartNumberingAfterBreak="0">
    <w:nsid w:val="3E6905D7"/>
    <w:multiLevelType w:val="hybridMultilevel"/>
    <w:tmpl w:val="C0C27FDE"/>
    <w:lvl w:ilvl="0" w:tplc="593CDF30">
      <w:start w:val="1"/>
      <w:numFmt w:val="lowerLetter"/>
      <w:lvlText w:val="%1)"/>
      <w:lvlJc w:val="left"/>
      <w:pPr>
        <w:ind w:left="1720" w:hanging="360"/>
      </w:pPr>
      <w:rPr>
        <w:rFonts w:hint="default"/>
      </w:rPr>
    </w:lvl>
    <w:lvl w:ilvl="1" w:tplc="04150019" w:tentative="1">
      <w:start w:val="1"/>
      <w:numFmt w:val="lowerLetter"/>
      <w:lvlText w:val="%2."/>
      <w:lvlJc w:val="left"/>
      <w:pPr>
        <w:ind w:left="2440" w:hanging="360"/>
      </w:pPr>
    </w:lvl>
    <w:lvl w:ilvl="2" w:tplc="0415001B" w:tentative="1">
      <w:start w:val="1"/>
      <w:numFmt w:val="lowerRoman"/>
      <w:lvlText w:val="%3."/>
      <w:lvlJc w:val="right"/>
      <w:pPr>
        <w:ind w:left="3160" w:hanging="180"/>
      </w:pPr>
    </w:lvl>
    <w:lvl w:ilvl="3" w:tplc="0415000F" w:tentative="1">
      <w:start w:val="1"/>
      <w:numFmt w:val="decimal"/>
      <w:lvlText w:val="%4."/>
      <w:lvlJc w:val="left"/>
      <w:pPr>
        <w:ind w:left="3880" w:hanging="360"/>
      </w:pPr>
    </w:lvl>
    <w:lvl w:ilvl="4" w:tplc="04150019" w:tentative="1">
      <w:start w:val="1"/>
      <w:numFmt w:val="lowerLetter"/>
      <w:lvlText w:val="%5."/>
      <w:lvlJc w:val="left"/>
      <w:pPr>
        <w:ind w:left="4600" w:hanging="360"/>
      </w:pPr>
    </w:lvl>
    <w:lvl w:ilvl="5" w:tplc="0415001B" w:tentative="1">
      <w:start w:val="1"/>
      <w:numFmt w:val="lowerRoman"/>
      <w:lvlText w:val="%6."/>
      <w:lvlJc w:val="right"/>
      <w:pPr>
        <w:ind w:left="5320" w:hanging="180"/>
      </w:pPr>
    </w:lvl>
    <w:lvl w:ilvl="6" w:tplc="0415000F" w:tentative="1">
      <w:start w:val="1"/>
      <w:numFmt w:val="decimal"/>
      <w:lvlText w:val="%7."/>
      <w:lvlJc w:val="left"/>
      <w:pPr>
        <w:ind w:left="6040" w:hanging="360"/>
      </w:pPr>
    </w:lvl>
    <w:lvl w:ilvl="7" w:tplc="04150019" w:tentative="1">
      <w:start w:val="1"/>
      <w:numFmt w:val="lowerLetter"/>
      <w:lvlText w:val="%8."/>
      <w:lvlJc w:val="left"/>
      <w:pPr>
        <w:ind w:left="6760" w:hanging="360"/>
      </w:pPr>
    </w:lvl>
    <w:lvl w:ilvl="8" w:tplc="0415001B" w:tentative="1">
      <w:start w:val="1"/>
      <w:numFmt w:val="lowerRoman"/>
      <w:lvlText w:val="%9."/>
      <w:lvlJc w:val="right"/>
      <w:pPr>
        <w:ind w:left="7480" w:hanging="180"/>
      </w:pPr>
    </w:lvl>
  </w:abstractNum>
  <w:abstractNum w:abstractNumId="20" w15:restartNumberingAfterBreak="0">
    <w:nsid w:val="40764204"/>
    <w:multiLevelType w:val="hybridMultilevel"/>
    <w:tmpl w:val="7C7646A6"/>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1" w15:restartNumberingAfterBreak="0">
    <w:nsid w:val="4320588F"/>
    <w:multiLevelType w:val="multilevel"/>
    <w:tmpl w:val="8FDEC9E8"/>
    <w:lvl w:ilvl="0">
      <w:start w:val="1"/>
      <w:numFmt w:val="decimal"/>
      <w:lvlText w:val="%1)"/>
      <w:lvlJc w:val="left"/>
      <w:rPr>
        <w:rFonts w:ascii="Times New Roman" w:eastAsia="Arial" w:hAnsi="Times New Roman" w:cs="Times New Roman" w:hint="default"/>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44BE76F2"/>
    <w:multiLevelType w:val="hybridMultilevel"/>
    <w:tmpl w:val="EFBA7822"/>
    <w:lvl w:ilvl="0" w:tplc="BF0840D8">
      <w:start w:val="1"/>
      <w:numFmt w:val="bullet"/>
      <w:lvlText w:val=""/>
      <w:lvlJc w:val="left"/>
      <w:pPr>
        <w:ind w:left="720" w:hanging="360"/>
      </w:pPr>
      <w:rPr>
        <w:rFonts w:ascii="Symbol" w:hAnsi="Symbol" w:hint="default"/>
      </w:rPr>
    </w:lvl>
    <w:lvl w:ilvl="1" w:tplc="BF0840D8">
      <w:start w:val="1"/>
      <w:numFmt w:val="bullet"/>
      <w:lvlText w:val=""/>
      <w:lvlJc w:val="left"/>
      <w:pPr>
        <w:ind w:left="1440" w:hanging="360"/>
      </w:pPr>
      <w:rPr>
        <w:rFonts w:ascii="Symbol" w:hAnsi="Symbol" w:hint="default"/>
      </w:r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3" w15:restartNumberingAfterBreak="0">
    <w:nsid w:val="4922647D"/>
    <w:multiLevelType w:val="hybridMultilevel"/>
    <w:tmpl w:val="AB3E1F2E"/>
    <w:lvl w:ilvl="0" w:tplc="2B269612">
      <w:start w:val="1"/>
      <w:numFmt w:val="decimal"/>
      <w:lvlText w:val="%1)"/>
      <w:lvlJc w:val="left"/>
      <w:pPr>
        <w:ind w:left="720" w:hanging="360"/>
      </w:pPr>
      <w:rPr>
        <w:rFonts w:eastAsiaTheme="minorEastAsia"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4FB4024A"/>
    <w:multiLevelType w:val="hybridMultilevel"/>
    <w:tmpl w:val="D8CA42DC"/>
    <w:lvl w:ilvl="0" w:tplc="4EAC897C">
      <w:start w:val="1"/>
      <w:numFmt w:val="lowerLetter"/>
      <w:lvlText w:val="%1)"/>
      <w:lvlJc w:val="left"/>
      <w:pPr>
        <w:ind w:left="1422" w:hanging="360"/>
      </w:pPr>
      <w:rPr>
        <w:rFonts w:hint="default"/>
      </w:rPr>
    </w:lvl>
    <w:lvl w:ilvl="1" w:tplc="04150019" w:tentative="1">
      <w:start w:val="1"/>
      <w:numFmt w:val="lowerLetter"/>
      <w:lvlText w:val="%2."/>
      <w:lvlJc w:val="left"/>
      <w:pPr>
        <w:ind w:left="2142" w:hanging="360"/>
      </w:pPr>
    </w:lvl>
    <w:lvl w:ilvl="2" w:tplc="0415001B" w:tentative="1">
      <w:start w:val="1"/>
      <w:numFmt w:val="lowerRoman"/>
      <w:lvlText w:val="%3."/>
      <w:lvlJc w:val="right"/>
      <w:pPr>
        <w:ind w:left="2862" w:hanging="180"/>
      </w:pPr>
    </w:lvl>
    <w:lvl w:ilvl="3" w:tplc="0415000F" w:tentative="1">
      <w:start w:val="1"/>
      <w:numFmt w:val="decimal"/>
      <w:lvlText w:val="%4."/>
      <w:lvlJc w:val="left"/>
      <w:pPr>
        <w:ind w:left="3582" w:hanging="360"/>
      </w:pPr>
    </w:lvl>
    <w:lvl w:ilvl="4" w:tplc="04150019" w:tentative="1">
      <w:start w:val="1"/>
      <w:numFmt w:val="lowerLetter"/>
      <w:lvlText w:val="%5."/>
      <w:lvlJc w:val="left"/>
      <w:pPr>
        <w:ind w:left="4302" w:hanging="360"/>
      </w:pPr>
    </w:lvl>
    <w:lvl w:ilvl="5" w:tplc="0415001B" w:tentative="1">
      <w:start w:val="1"/>
      <w:numFmt w:val="lowerRoman"/>
      <w:lvlText w:val="%6."/>
      <w:lvlJc w:val="right"/>
      <w:pPr>
        <w:ind w:left="5022" w:hanging="180"/>
      </w:pPr>
    </w:lvl>
    <w:lvl w:ilvl="6" w:tplc="0415000F" w:tentative="1">
      <w:start w:val="1"/>
      <w:numFmt w:val="decimal"/>
      <w:lvlText w:val="%7."/>
      <w:lvlJc w:val="left"/>
      <w:pPr>
        <w:ind w:left="5742" w:hanging="360"/>
      </w:pPr>
    </w:lvl>
    <w:lvl w:ilvl="7" w:tplc="04150019" w:tentative="1">
      <w:start w:val="1"/>
      <w:numFmt w:val="lowerLetter"/>
      <w:lvlText w:val="%8."/>
      <w:lvlJc w:val="left"/>
      <w:pPr>
        <w:ind w:left="6462" w:hanging="360"/>
      </w:pPr>
    </w:lvl>
    <w:lvl w:ilvl="8" w:tplc="0415001B" w:tentative="1">
      <w:start w:val="1"/>
      <w:numFmt w:val="lowerRoman"/>
      <w:lvlText w:val="%9."/>
      <w:lvlJc w:val="right"/>
      <w:pPr>
        <w:ind w:left="7182" w:hanging="180"/>
      </w:pPr>
    </w:lvl>
  </w:abstractNum>
  <w:abstractNum w:abstractNumId="25" w15:restartNumberingAfterBreak="0">
    <w:nsid w:val="53BC2C7D"/>
    <w:multiLevelType w:val="hybridMultilevel"/>
    <w:tmpl w:val="A6685D0E"/>
    <w:lvl w:ilvl="0" w:tplc="F6D04F10">
      <w:start w:val="1"/>
      <w:numFmt w:val="decimal"/>
      <w:lvlText w:val="%1)"/>
      <w:lvlJc w:val="left"/>
      <w:pPr>
        <w:ind w:left="510" w:hanging="510"/>
      </w:pPr>
      <w:rPr>
        <w:rFonts w:eastAsia="Times New Roman"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6" w15:restartNumberingAfterBreak="0">
    <w:nsid w:val="557D7305"/>
    <w:multiLevelType w:val="hybridMultilevel"/>
    <w:tmpl w:val="A5F05064"/>
    <w:lvl w:ilvl="0" w:tplc="04150017">
      <w:start w:val="1"/>
      <w:numFmt w:val="lowerLetter"/>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7" w15:restartNumberingAfterBreak="0">
    <w:nsid w:val="5B2B546C"/>
    <w:multiLevelType w:val="hybridMultilevel"/>
    <w:tmpl w:val="D3EA468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5B800630"/>
    <w:multiLevelType w:val="hybridMultilevel"/>
    <w:tmpl w:val="70F84868"/>
    <w:lvl w:ilvl="0" w:tplc="5920BBCE">
      <w:start w:val="1"/>
      <w:numFmt w:val="decimal"/>
      <w:lvlText w:val="%1)"/>
      <w:lvlJc w:val="left"/>
      <w:pPr>
        <w:ind w:left="1778" w:hanging="360"/>
      </w:pPr>
      <w:rPr>
        <w:rFonts w:hint="default"/>
      </w:rPr>
    </w:lvl>
    <w:lvl w:ilvl="1" w:tplc="04150019" w:tentative="1">
      <w:start w:val="1"/>
      <w:numFmt w:val="lowerLetter"/>
      <w:lvlText w:val="%2."/>
      <w:lvlJc w:val="left"/>
      <w:pPr>
        <w:ind w:left="2100" w:hanging="360"/>
      </w:pPr>
    </w:lvl>
    <w:lvl w:ilvl="2" w:tplc="0415001B" w:tentative="1">
      <w:start w:val="1"/>
      <w:numFmt w:val="lowerRoman"/>
      <w:lvlText w:val="%3."/>
      <w:lvlJc w:val="right"/>
      <w:pPr>
        <w:ind w:left="2820" w:hanging="180"/>
      </w:pPr>
    </w:lvl>
    <w:lvl w:ilvl="3" w:tplc="0415000F" w:tentative="1">
      <w:start w:val="1"/>
      <w:numFmt w:val="decimal"/>
      <w:lvlText w:val="%4."/>
      <w:lvlJc w:val="left"/>
      <w:pPr>
        <w:ind w:left="3540" w:hanging="360"/>
      </w:pPr>
    </w:lvl>
    <w:lvl w:ilvl="4" w:tplc="04150019" w:tentative="1">
      <w:start w:val="1"/>
      <w:numFmt w:val="lowerLetter"/>
      <w:lvlText w:val="%5."/>
      <w:lvlJc w:val="left"/>
      <w:pPr>
        <w:ind w:left="4260" w:hanging="360"/>
      </w:pPr>
    </w:lvl>
    <w:lvl w:ilvl="5" w:tplc="0415001B" w:tentative="1">
      <w:start w:val="1"/>
      <w:numFmt w:val="lowerRoman"/>
      <w:lvlText w:val="%6."/>
      <w:lvlJc w:val="right"/>
      <w:pPr>
        <w:ind w:left="4980" w:hanging="180"/>
      </w:pPr>
    </w:lvl>
    <w:lvl w:ilvl="6" w:tplc="0415000F" w:tentative="1">
      <w:start w:val="1"/>
      <w:numFmt w:val="decimal"/>
      <w:lvlText w:val="%7."/>
      <w:lvlJc w:val="left"/>
      <w:pPr>
        <w:ind w:left="5700" w:hanging="360"/>
      </w:pPr>
    </w:lvl>
    <w:lvl w:ilvl="7" w:tplc="04150019" w:tentative="1">
      <w:start w:val="1"/>
      <w:numFmt w:val="lowerLetter"/>
      <w:lvlText w:val="%8."/>
      <w:lvlJc w:val="left"/>
      <w:pPr>
        <w:ind w:left="6420" w:hanging="360"/>
      </w:pPr>
    </w:lvl>
    <w:lvl w:ilvl="8" w:tplc="0415001B" w:tentative="1">
      <w:start w:val="1"/>
      <w:numFmt w:val="lowerRoman"/>
      <w:lvlText w:val="%9."/>
      <w:lvlJc w:val="right"/>
      <w:pPr>
        <w:ind w:left="7140" w:hanging="180"/>
      </w:pPr>
    </w:lvl>
  </w:abstractNum>
  <w:abstractNum w:abstractNumId="29" w15:restartNumberingAfterBreak="0">
    <w:nsid w:val="634468F9"/>
    <w:multiLevelType w:val="multilevel"/>
    <w:tmpl w:val="E0221726"/>
    <w:lvl w:ilvl="0">
      <w:start w:val="1"/>
      <w:numFmt w:val="decimal"/>
      <w:lvlText w:val="%1)"/>
      <w:lvlJc w:val="left"/>
      <w:rPr>
        <w:rFonts w:ascii="Times New Roman" w:eastAsia="Arial" w:hAnsi="Times New Roman" w:cs="Times New Roman" w:hint="default"/>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64E74D02"/>
    <w:multiLevelType w:val="hybridMultilevel"/>
    <w:tmpl w:val="310C22EC"/>
    <w:lvl w:ilvl="0" w:tplc="D8EC79E8">
      <w:start w:val="1"/>
      <w:numFmt w:val="decimal"/>
      <w:lvlText w:val="%1)"/>
      <w:lvlJc w:val="left"/>
      <w:pPr>
        <w:ind w:left="1380" w:hanging="360"/>
      </w:pPr>
      <w:rPr>
        <w:rFonts w:hint="default"/>
      </w:rPr>
    </w:lvl>
    <w:lvl w:ilvl="1" w:tplc="04150019" w:tentative="1">
      <w:start w:val="1"/>
      <w:numFmt w:val="lowerLetter"/>
      <w:lvlText w:val="%2."/>
      <w:lvlJc w:val="left"/>
      <w:pPr>
        <w:ind w:left="2100" w:hanging="360"/>
      </w:pPr>
    </w:lvl>
    <w:lvl w:ilvl="2" w:tplc="0415001B" w:tentative="1">
      <w:start w:val="1"/>
      <w:numFmt w:val="lowerRoman"/>
      <w:lvlText w:val="%3."/>
      <w:lvlJc w:val="right"/>
      <w:pPr>
        <w:ind w:left="2820" w:hanging="180"/>
      </w:pPr>
    </w:lvl>
    <w:lvl w:ilvl="3" w:tplc="0415000F" w:tentative="1">
      <w:start w:val="1"/>
      <w:numFmt w:val="decimal"/>
      <w:lvlText w:val="%4."/>
      <w:lvlJc w:val="left"/>
      <w:pPr>
        <w:ind w:left="3540" w:hanging="360"/>
      </w:pPr>
    </w:lvl>
    <w:lvl w:ilvl="4" w:tplc="04150019" w:tentative="1">
      <w:start w:val="1"/>
      <w:numFmt w:val="lowerLetter"/>
      <w:lvlText w:val="%5."/>
      <w:lvlJc w:val="left"/>
      <w:pPr>
        <w:ind w:left="4260" w:hanging="360"/>
      </w:pPr>
    </w:lvl>
    <w:lvl w:ilvl="5" w:tplc="0415001B" w:tentative="1">
      <w:start w:val="1"/>
      <w:numFmt w:val="lowerRoman"/>
      <w:lvlText w:val="%6."/>
      <w:lvlJc w:val="right"/>
      <w:pPr>
        <w:ind w:left="4980" w:hanging="180"/>
      </w:pPr>
    </w:lvl>
    <w:lvl w:ilvl="6" w:tplc="0415000F" w:tentative="1">
      <w:start w:val="1"/>
      <w:numFmt w:val="decimal"/>
      <w:lvlText w:val="%7."/>
      <w:lvlJc w:val="left"/>
      <w:pPr>
        <w:ind w:left="5700" w:hanging="360"/>
      </w:pPr>
    </w:lvl>
    <w:lvl w:ilvl="7" w:tplc="04150019" w:tentative="1">
      <w:start w:val="1"/>
      <w:numFmt w:val="lowerLetter"/>
      <w:lvlText w:val="%8."/>
      <w:lvlJc w:val="left"/>
      <w:pPr>
        <w:ind w:left="6420" w:hanging="360"/>
      </w:pPr>
    </w:lvl>
    <w:lvl w:ilvl="8" w:tplc="0415001B" w:tentative="1">
      <w:start w:val="1"/>
      <w:numFmt w:val="lowerRoman"/>
      <w:lvlText w:val="%9."/>
      <w:lvlJc w:val="right"/>
      <w:pPr>
        <w:ind w:left="7140" w:hanging="180"/>
      </w:pPr>
    </w:lvl>
  </w:abstractNum>
  <w:abstractNum w:abstractNumId="31" w15:restartNumberingAfterBreak="0">
    <w:nsid w:val="6CA8353F"/>
    <w:multiLevelType w:val="multilevel"/>
    <w:tmpl w:val="E0B64E22"/>
    <w:lvl w:ilvl="0">
      <w:start w:val="1"/>
      <w:numFmt w:val="decimal"/>
      <w:lvlText w:val="%1)"/>
      <w:lvlJc w:val="left"/>
      <w:rPr>
        <w:rFonts w:ascii="Times New Roman" w:eastAsia="Arial" w:hAnsi="Times New Roman" w:cs="Times New Roman" w:hint="default"/>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6D6750E9"/>
    <w:multiLevelType w:val="hybridMultilevel"/>
    <w:tmpl w:val="61824B7C"/>
    <w:lvl w:ilvl="0" w:tplc="2BF818CE">
      <w:start w:val="1"/>
      <w:numFmt w:val="decimal"/>
      <w:lvlText w:val="%1)"/>
      <w:lvlJc w:val="left"/>
      <w:pPr>
        <w:ind w:left="1740" w:hanging="360"/>
      </w:pPr>
      <w:rPr>
        <w:rFonts w:hint="default"/>
        <w:b w:val="0"/>
      </w:rPr>
    </w:lvl>
    <w:lvl w:ilvl="1" w:tplc="04150003" w:tentative="1">
      <w:start w:val="1"/>
      <w:numFmt w:val="bullet"/>
      <w:lvlText w:val="o"/>
      <w:lvlJc w:val="left"/>
      <w:pPr>
        <w:ind w:left="2460" w:hanging="360"/>
      </w:pPr>
      <w:rPr>
        <w:rFonts w:ascii="Courier New" w:hAnsi="Courier New" w:cs="Courier New" w:hint="default"/>
      </w:rPr>
    </w:lvl>
    <w:lvl w:ilvl="2" w:tplc="04150005" w:tentative="1">
      <w:start w:val="1"/>
      <w:numFmt w:val="bullet"/>
      <w:lvlText w:val=""/>
      <w:lvlJc w:val="left"/>
      <w:pPr>
        <w:ind w:left="3180" w:hanging="360"/>
      </w:pPr>
      <w:rPr>
        <w:rFonts w:ascii="Wingdings" w:hAnsi="Wingdings" w:hint="default"/>
      </w:rPr>
    </w:lvl>
    <w:lvl w:ilvl="3" w:tplc="04150001" w:tentative="1">
      <w:start w:val="1"/>
      <w:numFmt w:val="bullet"/>
      <w:lvlText w:val=""/>
      <w:lvlJc w:val="left"/>
      <w:pPr>
        <w:ind w:left="3900" w:hanging="360"/>
      </w:pPr>
      <w:rPr>
        <w:rFonts w:ascii="Symbol" w:hAnsi="Symbol" w:hint="default"/>
      </w:rPr>
    </w:lvl>
    <w:lvl w:ilvl="4" w:tplc="04150003" w:tentative="1">
      <w:start w:val="1"/>
      <w:numFmt w:val="bullet"/>
      <w:lvlText w:val="o"/>
      <w:lvlJc w:val="left"/>
      <w:pPr>
        <w:ind w:left="4620" w:hanging="360"/>
      </w:pPr>
      <w:rPr>
        <w:rFonts w:ascii="Courier New" w:hAnsi="Courier New" w:cs="Courier New" w:hint="default"/>
      </w:rPr>
    </w:lvl>
    <w:lvl w:ilvl="5" w:tplc="04150005" w:tentative="1">
      <w:start w:val="1"/>
      <w:numFmt w:val="bullet"/>
      <w:lvlText w:val=""/>
      <w:lvlJc w:val="left"/>
      <w:pPr>
        <w:ind w:left="5340" w:hanging="360"/>
      </w:pPr>
      <w:rPr>
        <w:rFonts w:ascii="Wingdings" w:hAnsi="Wingdings" w:hint="default"/>
      </w:rPr>
    </w:lvl>
    <w:lvl w:ilvl="6" w:tplc="04150001" w:tentative="1">
      <w:start w:val="1"/>
      <w:numFmt w:val="bullet"/>
      <w:lvlText w:val=""/>
      <w:lvlJc w:val="left"/>
      <w:pPr>
        <w:ind w:left="6060" w:hanging="360"/>
      </w:pPr>
      <w:rPr>
        <w:rFonts w:ascii="Symbol" w:hAnsi="Symbol" w:hint="default"/>
      </w:rPr>
    </w:lvl>
    <w:lvl w:ilvl="7" w:tplc="04150003" w:tentative="1">
      <w:start w:val="1"/>
      <w:numFmt w:val="bullet"/>
      <w:lvlText w:val="o"/>
      <w:lvlJc w:val="left"/>
      <w:pPr>
        <w:ind w:left="6780" w:hanging="360"/>
      </w:pPr>
      <w:rPr>
        <w:rFonts w:ascii="Courier New" w:hAnsi="Courier New" w:cs="Courier New" w:hint="default"/>
      </w:rPr>
    </w:lvl>
    <w:lvl w:ilvl="8" w:tplc="04150005" w:tentative="1">
      <w:start w:val="1"/>
      <w:numFmt w:val="bullet"/>
      <w:lvlText w:val=""/>
      <w:lvlJc w:val="left"/>
      <w:pPr>
        <w:ind w:left="7500" w:hanging="360"/>
      </w:pPr>
      <w:rPr>
        <w:rFonts w:ascii="Wingdings" w:hAnsi="Wingdings" w:hint="default"/>
      </w:rPr>
    </w:lvl>
  </w:abstractNum>
  <w:abstractNum w:abstractNumId="33" w15:restartNumberingAfterBreak="0">
    <w:nsid w:val="6E626911"/>
    <w:multiLevelType w:val="hybridMultilevel"/>
    <w:tmpl w:val="E1C8663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72585AC2"/>
    <w:multiLevelType w:val="hybridMultilevel"/>
    <w:tmpl w:val="287A4B8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74C02925"/>
    <w:multiLevelType w:val="hybridMultilevel"/>
    <w:tmpl w:val="F7A65B86"/>
    <w:lvl w:ilvl="0" w:tplc="04150011">
      <w:start w:val="1"/>
      <w:numFmt w:val="decimal"/>
      <w:lvlText w:val="%1)"/>
      <w:lvlJc w:val="left"/>
      <w:pPr>
        <w:ind w:left="870"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36" w15:restartNumberingAfterBreak="0">
    <w:nsid w:val="75D12141"/>
    <w:multiLevelType w:val="hybridMultilevel"/>
    <w:tmpl w:val="4A80A356"/>
    <w:lvl w:ilvl="0" w:tplc="67DE449A">
      <w:start w:val="2"/>
      <w:numFmt w:val="lowerLetter"/>
      <w:lvlText w:val="%1)"/>
      <w:lvlJc w:val="left"/>
      <w:pPr>
        <w:ind w:left="870"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37" w15:restartNumberingAfterBreak="0">
    <w:nsid w:val="7A3348BB"/>
    <w:multiLevelType w:val="hybridMultilevel"/>
    <w:tmpl w:val="0C882B14"/>
    <w:lvl w:ilvl="0" w:tplc="393E68E0">
      <w:start w:val="1"/>
      <w:numFmt w:val="decimal"/>
      <w:lvlText w:val="%1)"/>
      <w:lvlJc w:val="left"/>
      <w:pPr>
        <w:ind w:left="1062" w:hanging="552"/>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38" w15:restartNumberingAfterBreak="0">
    <w:nsid w:val="7FE95E10"/>
    <w:multiLevelType w:val="hybridMultilevel"/>
    <w:tmpl w:val="AC8A9402"/>
    <w:lvl w:ilvl="0" w:tplc="04150001">
      <w:start w:val="1"/>
      <w:numFmt w:val="bullet"/>
      <w:lvlText w:val=""/>
      <w:lvlJc w:val="left"/>
      <w:pPr>
        <w:ind w:left="714" w:hanging="360"/>
      </w:pPr>
      <w:rPr>
        <w:rFonts w:ascii="Symbol" w:hAnsi="Symbol" w:hint="default"/>
      </w:rPr>
    </w:lvl>
    <w:lvl w:ilvl="1" w:tplc="04150003">
      <w:start w:val="1"/>
      <w:numFmt w:val="bullet"/>
      <w:lvlText w:val="o"/>
      <w:lvlJc w:val="left"/>
      <w:pPr>
        <w:ind w:left="1434" w:hanging="360"/>
      </w:pPr>
      <w:rPr>
        <w:rFonts w:ascii="Courier New" w:hAnsi="Courier New" w:cs="Courier New" w:hint="default"/>
      </w:rPr>
    </w:lvl>
    <w:lvl w:ilvl="2" w:tplc="04150005">
      <w:start w:val="1"/>
      <w:numFmt w:val="bullet"/>
      <w:lvlText w:val=""/>
      <w:lvlJc w:val="left"/>
      <w:pPr>
        <w:ind w:left="2154" w:hanging="360"/>
      </w:pPr>
      <w:rPr>
        <w:rFonts w:ascii="Wingdings" w:hAnsi="Wingdings" w:hint="default"/>
      </w:rPr>
    </w:lvl>
    <w:lvl w:ilvl="3" w:tplc="04150001">
      <w:start w:val="1"/>
      <w:numFmt w:val="bullet"/>
      <w:lvlText w:val=""/>
      <w:lvlJc w:val="left"/>
      <w:pPr>
        <w:ind w:left="2874" w:hanging="360"/>
      </w:pPr>
      <w:rPr>
        <w:rFonts w:ascii="Symbol" w:hAnsi="Symbol" w:hint="default"/>
      </w:rPr>
    </w:lvl>
    <w:lvl w:ilvl="4" w:tplc="04150003">
      <w:start w:val="1"/>
      <w:numFmt w:val="bullet"/>
      <w:lvlText w:val="o"/>
      <w:lvlJc w:val="left"/>
      <w:pPr>
        <w:ind w:left="3594" w:hanging="360"/>
      </w:pPr>
      <w:rPr>
        <w:rFonts w:ascii="Courier New" w:hAnsi="Courier New" w:cs="Courier New" w:hint="default"/>
      </w:rPr>
    </w:lvl>
    <w:lvl w:ilvl="5" w:tplc="04150005">
      <w:start w:val="1"/>
      <w:numFmt w:val="bullet"/>
      <w:lvlText w:val=""/>
      <w:lvlJc w:val="left"/>
      <w:pPr>
        <w:ind w:left="4314" w:hanging="360"/>
      </w:pPr>
      <w:rPr>
        <w:rFonts w:ascii="Wingdings" w:hAnsi="Wingdings" w:hint="default"/>
      </w:rPr>
    </w:lvl>
    <w:lvl w:ilvl="6" w:tplc="04150001">
      <w:start w:val="1"/>
      <w:numFmt w:val="bullet"/>
      <w:lvlText w:val=""/>
      <w:lvlJc w:val="left"/>
      <w:pPr>
        <w:ind w:left="5034" w:hanging="360"/>
      </w:pPr>
      <w:rPr>
        <w:rFonts w:ascii="Symbol" w:hAnsi="Symbol" w:hint="default"/>
      </w:rPr>
    </w:lvl>
    <w:lvl w:ilvl="7" w:tplc="04150003">
      <w:start w:val="1"/>
      <w:numFmt w:val="bullet"/>
      <w:lvlText w:val="o"/>
      <w:lvlJc w:val="left"/>
      <w:pPr>
        <w:ind w:left="5754" w:hanging="360"/>
      </w:pPr>
      <w:rPr>
        <w:rFonts w:ascii="Courier New" w:hAnsi="Courier New" w:cs="Courier New" w:hint="default"/>
      </w:rPr>
    </w:lvl>
    <w:lvl w:ilvl="8" w:tplc="04150005">
      <w:start w:val="1"/>
      <w:numFmt w:val="bullet"/>
      <w:lvlText w:val=""/>
      <w:lvlJc w:val="left"/>
      <w:pPr>
        <w:ind w:left="6474" w:hanging="360"/>
      </w:pPr>
      <w:rPr>
        <w:rFonts w:ascii="Wingdings" w:hAnsi="Wingdings" w:hint="default"/>
      </w:rPr>
    </w:lvl>
  </w:abstractNum>
  <w:num w:numId="1">
    <w:abstractNumId w:val="15"/>
  </w:num>
  <w:num w:numId="2">
    <w:abstractNumId w:val="20"/>
  </w:num>
  <w:num w:numId="3">
    <w:abstractNumId w:val="10"/>
  </w:num>
  <w:num w:numId="4">
    <w:abstractNumId w:val="35"/>
  </w:num>
  <w:num w:numId="5">
    <w:abstractNumId w:val="34"/>
  </w:num>
  <w:num w:numId="6">
    <w:abstractNumId w:val="17"/>
  </w:num>
  <w:num w:numId="7">
    <w:abstractNumId w:val="32"/>
  </w:num>
  <w:num w:numId="8">
    <w:abstractNumId w:val="11"/>
  </w:num>
  <w:num w:numId="9">
    <w:abstractNumId w:val="25"/>
  </w:num>
  <w:num w:numId="10">
    <w:abstractNumId w:val="36"/>
  </w:num>
  <w:num w:numId="11">
    <w:abstractNumId w:val="13"/>
  </w:num>
  <w:num w:numId="12">
    <w:abstractNumId w:val="23"/>
  </w:num>
  <w:num w:numId="13">
    <w:abstractNumId w:val="14"/>
  </w:num>
  <w:num w:numId="14">
    <w:abstractNumId w:val="18"/>
  </w:num>
  <w:num w:numId="1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0"/>
  </w:num>
  <w:num w:numId="17">
    <w:abstractNumId w:val="4"/>
  </w:num>
  <w:num w:numId="18">
    <w:abstractNumId w:val="1"/>
  </w:num>
  <w:num w:numId="19">
    <w:abstractNumId w:val="2"/>
  </w:num>
  <w:num w:numId="20">
    <w:abstractNumId w:val="3"/>
  </w:num>
  <w:num w:numId="21">
    <w:abstractNumId w:val="30"/>
  </w:num>
  <w:num w:numId="22">
    <w:abstractNumId w:val="28"/>
  </w:num>
  <w:num w:numId="23">
    <w:abstractNumId w:val="19"/>
  </w:num>
  <w:num w:numId="24">
    <w:abstractNumId w:val="6"/>
    <w:lvlOverride w:ilvl="0">
      <w:startOverride w:val="1"/>
    </w:lvlOverride>
    <w:lvlOverride w:ilvl="1"/>
    <w:lvlOverride w:ilvl="2"/>
    <w:lvlOverride w:ilvl="3"/>
    <w:lvlOverride w:ilvl="4"/>
    <w:lvlOverride w:ilvl="5"/>
    <w:lvlOverride w:ilvl="6"/>
    <w:lvlOverride w:ilvl="7"/>
    <w:lvlOverride w:ilvl="8"/>
  </w:num>
  <w:num w:numId="25">
    <w:abstractNumId w:val="6"/>
  </w:num>
  <w:num w:numId="26">
    <w:abstractNumId w:val="38"/>
  </w:num>
  <w:num w:numId="27">
    <w:abstractNumId w:val="31"/>
  </w:num>
  <w:num w:numId="28">
    <w:abstractNumId w:val="21"/>
  </w:num>
  <w:num w:numId="29">
    <w:abstractNumId w:val="9"/>
  </w:num>
  <w:num w:numId="30">
    <w:abstractNumId w:val="29"/>
  </w:num>
  <w:num w:numId="31">
    <w:abstractNumId w:val="12"/>
  </w:num>
  <w:num w:numId="32">
    <w:abstractNumId w:val="8"/>
  </w:num>
  <w:num w:numId="33">
    <w:abstractNumId w:val="27"/>
  </w:num>
  <w:num w:numId="34">
    <w:abstractNumId w:val="26"/>
  </w:num>
  <w:num w:numId="35">
    <w:abstractNumId w:val="33"/>
  </w:num>
  <w:num w:numId="3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7"/>
  </w:num>
  <w:num w:numId="39">
    <w:abstractNumId w:val="16"/>
  </w:num>
  <w:num w:numId="40">
    <w:abstractNumId w:val="37"/>
  </w:num>
  <w:num w:numId="41">
    <w:abstractNumId w:val="2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NotTrackFormatting/>
  <w:documentProtection w:formatting="1" w:enforcement="0"/>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024F"/>
    <w:rsid w:val="00000A82"/>
    <w:rsid w:val="00001155"/>
    <w:rsid w:val="000012DA"/>
    <w:rsid w:val="0000213D"/>
    <w:rsid w:val="00002182"/>
    <w:rsid w:val="0000246E"/>
    <w:rsid w:val="00002B74"/>
    <w:rsid w:val="00003862"/>
    <w:rsid w:val="00003B37"/>
    <w:rsid w:val="00004677"/>
    <w:rsid w:val="000055A9"/>
    <w:rsid w:val="00006A1F"/>
    <w:rsid w:val="00006B63"/>
    <w:rsid w:val="00006BBA"/>
    <w:rsid w:val="00006C95"/>
    <w:rsid w:val="00006E56"/>
    <w:rsid w:val="000072B4"/>
    <w:rsid w:val="00007426"/>
    <w:rsid w:val="0000794A"/>
    <w:rsid w:val="00010871"/>
    <w:rsid w:val="00011E93"/>
    <w:rsid w:val="00012A35"/>
    <w:rsid w:val="00012BCB"/>
    <w:rsid w:val="00012F18"/>
    <w:rsid w:val="00012F97"/>
    <w:rsid w:val="00012FF0"/>
    <w:rsid w:val="00013EAB"/>
    <w:rsid w:val="0001405B"/>
    <w:rsid w:val="00014B4C"/>
    <w:rsid w:val="0001588C"/>
    <w:rsid w:val="00016099"/>
    <w:rsid w:val="00016882"/>
    <w:rsid w:val="00017BD9"/>
    <w:rsid w:val="00017DC2"/>
    <w:rsid w:val="00017EEC"/>
    <w:rsid w:val="00021522"/>
    <w:rsid w:val="000224AB"/>
    <w:rsid w:val="00022896"/>
    <w:rsid w:val="00022D9B"/>
    <w:rsid w:val="00023471"/>
    <w:rsid w:val="00023EA5"/>
    <w:rsid w:val="00023F13"/>
    <w:rsid w:val="00023F7A"/>
    <w:rsid w:val="000249D9"/>
    <w:rsid w:val="00024BCC"/>
    <w:rsid w:val="00025EA3"/>
    <w:rsid w:val="0002751E"/>
    <w:rsid w:val="00027B03"/>
    <w:rsid w:val="00027B1E"/>
    <w:rsid w:val="00027E63"/>
    <w:rsid w:val="000305F0"/>
    <w:rsid w:val="00030634"/>
    <w:rsid w:val="000317DA"/>
    <w:rsid w:val="000319C1"/>
    <w:rsid w:val="00031A8B"/>
    <w:rsid w:val="00031BCA"/>
    <w:rsid w:val="00031EAC"/>
    <w:rsid w:val="0003211F"/>
    <w:rsid w:val="00032361"/>
    <w:rsid w:val="000323BC"/>
    <w:rsid w:val="000329E2"/>
    <w:rsid w:val="00032B7F"/>
    <w:rsid w:val="00032C89"/>
    <w:rsid w:val="0003301E"/>
    <w:rsid w:val="000330FA"/>
    <w:rsid w:val="0003362F"/>
    <w:rsid w:val="00034C13"/>
    <w:rsid w:val="000350D9"/>
    <w:rsid w:val="00035C45"/>
    <w:rsid w:val="000368F9"/>
    <w:rsid w:val="00036B63"/>
    <w:rsid w:val="0003702B"/>
    <w:rsid w:val="00037694"/>
    <w:rsid w:val="00037E1A"/>
    <w:rsid w:val="00040027"/>
    <w:rsid w:val="000409C1"/>
    <w:rsid w:val="00040DD2"/>
    <w:rsid w:val="000420C5"/>
    <w:rsid w:val="00043495"/>
    <w:rsid w:val="00043879"/>
    <w:rsid w:val="00043FAD"/>
    <w:rsid w:val="00044A90"/>
    <w:rsid w:val="0004515F"/>
    <w:rsid w:val="00045523"/>
    <w:rsid w:val="000455D1"/>
    <w:rsid w:val="000457D1"/>
    <w:rsid w:val="0004609E"/>
    <w:rsid w:val="00046A75"/>
    <w:rsid w:val="00046D18"/>
    <w:rsid w:val="00047312"/>
    <w:rsid w:val="00047FD4"/>
    <w:rsid w:val="00050441"/>
    <w:rsid w:val="000508BD"/>
    <w:rsid w:val="000517AB"/>
    <w:rsid w:val="00051F9D"/>
    <w:rsid w:val="00052EB6"/>
    <w:rsid w:val="0005339C"/>
    <w:rsid w:val="000541A7"/>
    <w:rsid w:val="00055118"/>
    <w:rsid w:val="0005571B"/>
    <w:rsid w:val="0005611C"/>
    <w:rsid w:val="000579DD"/>
    <w:rsid w:val="00057AB3"/>
    <w:rsid w:val="00057B65"/>
    <w:rsid w:val="00060076"/>
    <w:rsid w:val="00060432"/>
    <w:rsid w:val="00060916"/>
    <w:rsid w:val="00060D87"/>
    <w:rsid w:val="000613F0"/>
    <w:rsid w:val="00061548"/>
    <w:rsid w:val="000615A5"/>
    <w:rsid w:val="00061688"/>
    <w:rsid w:val="0006478E"/>
    <w:rsid w:val="00064E4C"/>
    <w:rsid w:val="00065911"/>
    <w:rsid w:val="00065C1D"/>
    <w:rsid w:val="00065F46"/>
    <w:rsid w:val="00066901"/>
    <w:rsid w:val="00066DA9"/>
    <w:rsid w:val="00067978"/>
    <w:rsid w:val="00067CA0"/>
    <w:rsid w:val="000705F8"/>
    <w:rsid w:val="00070B34"/>
    <w:rsid w:val="00070B95"/>
    <w:rsid w:val="00071509"/>
    <w:rsid w:val="000715F8"/>
    <w:rsid w:val="00071BEE"/>
    <w:rsid w:val="00072003"/>
    <w:rsid w:val="000720F7"/>
    <w:rsid w:val="000730EE"/>
    <w:rsid w:val="000736CD"/>
    <w:rsid w:val="0007482B"/>
    <w:rsid w:val="000752DA"/>
    <w:rsid w:val="0007533B"/>
    <w:rsid w:val="0007545D"/>
    <w:rsid w:val="00075884"/>
    <w:rsid w:val="00075B83"/>
    <w:rsid w:val="00075C86"/>
    <w:rsid w:val="000760BF"/>
    <w:rsid w:val="0007613E"/>
    <w:rsid w:val="000765E9"/>
    <w:rsid w:val="0007667D"/>
    <w:rsid w:val="00076BFC"/>
    <w:rsid w:val="00077AD5"/>
    <w:rsid w:val="000802AF"/>
    <w:rsid w:val="000805B3"/>
    <w:rsid w:val="00080644"/>
    <w:rsid w:val="000810CA"/>
    <w:rsid w:val="000814A7"/>
    <w:rsid w:val="0008322A"/>
    <w:rsid w:val="00083AB7"/>
    <w:rsid w:val="00083AFF"/>
    <w:rsid w:val="00084406"/>
    <w:rsid w:val="00085417"/>
    <w:rsid w:val="0008557B"/>
    <w:rsid w:val="00085CE7"/>
    <w:rsid w:val="00085EE6"/>
    <w:rsid w:val="000862D2"/>
    <w:rsid w:val="00086D72"/>
    <w:rsid w:val="0008788E"/>
    <w:rsid w:val="000906EE"/>
    <w:rsid w:val="00091BA2"/>
    <w:rsid w:val="000944EF"/>
    <w:rsid w:val="000956A9"/>
    <w:rsid w:val="00095C0D"/>
    <w:rsid w:val="00095DB7"/>
    <w:rsid w:val="000969DD"/>
    <w:rsid w:val="00096DBB"/>
    <w:rsid w:val="0009704B"/>
    <w:rsid w:val="0009732D"/>
    <w:rsid w:val="000973F0"/>
    <w:rsid w:val="000A044A"/>
    <w:rsid w:val="000A0C37"/>
    <w:rsid w:val="000A1296"/>
    <w:rsid w:val="000A1C27"/>
    <w:rsid w:val="000A1DAD"/>
    <w:rsid w:val="000A2649"/>
    <w:rsid w:val="000A323B"/>
    <w:rsid w:val="000A47D0"/>
    <w:rsid w:val="000A69C6"/>
    <w:rsid w:val="000A7326"/>
    <w:rsid w:val="000A75C7"/>
    <w:rsid w:val="000A7B45"/>
    <w:rsid w:val="000B0270"/>
    <w:rsid w:val="000B112D"/>
    <w:rsid w:val="000B1257"/>
    <w:rsid w:val="000B298D"/>
    <w:rsid w:val="000B428B"/>
    <w:rsid w:val="000B4D2D"/>
    <w:rsid w:val="000B5B2D"/>
    <w:rsid w:val="000B5D5E"/>
    <w:rsid w:val="000B5DCE"/>
    <w:rsid w:val="000B7CFB"/>
    <w:rsid w:val="000C05BA"/>
    <w:rsid w:val="000C0E8F"/>
    <w:rsid w:val="000C17A9"/>
    <w:rsid w:val="000C25F3"/>
    <w:rsid w:val="000C32CB"/>
    <w:rsid w:val="000C3317"/>
    <w:rsid w:val="000C3519"/>
    <w:rsid w:val="000C4092"/>
    <w:rsid w:val="000C4BC4"/>
    <w:rsid w:val="000C4C09"/>
    <w:rsid w:val="000C4DDC"/>
    <w:rsid w:val="000C4E8B"/>
    <w:rsid w:val="000C537B"/>
    <w:rsid w:val="000C5ACC"/>
    <w:rsid w:val="000C5C93"/>
    <w:rsid w:val="000C5D89"/>
    <w:rsid w:val="000C5E0E"/>
    <w:rsid w:val="000C5FF1"/>
    <w:rsid w:val="000C6D50"/>
    <w:rsid w:val="000C6F4C"/>
    <w:rsid w:val="000C75A2"/>
    <w:rsid w:val="000C763E"/>
    <w:rsid w:val="000C779F"/>
    <w:rsid w:val="000D0110"/>
    <w:rsid w:val="000D0250"/>
    <w:rsid w:val="000D0AC9"/>
    <w:rsid w:val="000D0F69"/>
    <w:rsid w:val="000D1C06"/>
    <w:rsid w:val="000D2468"/>
    <w:rsid w:val="000D314E"/>
    <w:rsid w:val="000D318A"/>
    <w:rsid w:val="000D3A87"/>
    <w:rsid w:val="000D421F"/>
    <w:rsid w:val="000D4950"/>
    <w:rsid w:val="000D511E"/>
    <w:rsid w:val="000D6173"/>
    <w:rsid w:val="000D68CC"/>
    <w:rsid w:val="000D6D15"/>
    <w:rsid w:val="000D6F83"/>
    <w:rsid w:val="000E02FB"/>
    <w:rsid w:val="000E0FF4"/>
    <w:rsid w:val="000E1C70"/>
    <w:rsid w:val="000E1FBD"/>
    <w:rsid w:val="000E25CC"/>
    <w:rsid w:val="000E3694"/>
    <w:rsid w:val="000E3721"/>
    <w:rsid w:val="000E3C8C"/>
    <w:rsid w:val="000E3EB7"/>
    <w:rsid w:val="000E4687"/>
    <w:rsid w:val="000E4837"/>
    <w:rsid w:val="000E490F"/>
    <w:rsid w:val="000E5446"/>
    <w:rsid w:val="000E5B0E"/>
    <w:rsid w:val="000E5BA0"/>
    <w:rsid w:val="000E6241"/>
    <w:rsid w:val="000F064D"/>
    <w:rsid w:val="000F1572"/>
    <w:rsid w:val="000F1743"/>
    <w:rsid w:val="000F2113"/>
    <w:rsid w:val="000F251F"/>
    <w:rsid w:val="000F2650"/>
    <w:rsid w:val="000F2BE3"/>
    <w:rsid w:val="000F2D99"/>
    <w:rsid w:val="000F2DBA"/>
    <w:rsid w:val="000F3D0D"/>
    <w:rsid w:val="000F51CB"/>
    <w:rsid w:val="000F5257"/>
    <w:rsid w:val="000F5493"/>
    <w:rsid w:val="000F6ED4"/>
    <w:rsid w:val="000F7A6E"/>
    <w:rsid w:val="00100C52"/>
    <w:rsid w:val="00101916"/>
    <w:rsid w:val="00101D1E"/>
    <w:rsid w:val="00101DEF"/>
    <w:rsid w:val="001023FB"/>
    <w:rsid w:val="00102B2D"/>
    <w:rsid w:val="001042BA"/>
    <w:rsid w:val="001046AF"/>
    <w:rsid w:val="00105D56"/>
    <w:rsid w:val="00105F82"/>
    <w:rsid w:val="0010638B"/>
    <w:rsid w:val="001069CB"/>
    <w:rsid w:val="00106B62"/>
    <w:rsid w:val="00106D03"/>
    <w:rsid w:val="00110465"/>
    <w:rsid w:val="00110535"/>
    <w:rsid w:val="00110628"/>
    <w:rsid w:val="00110AA5"/>
    <w:rsid w:val="00111AFC"/>
    <w:rsid w:val="001120ED"/>
    <w:rsid w:val="0011245A"/>
    <w:rsid w:val="00112653"/>
    <w:rsid w:val="0011289B"/>
    <w:rsid w:val="00113FB1"/>
    <w:rsid w:val="00113FC2"/>
    <w:rsid w:val="0011493E"/>
    <w:rsid w:val="00114C40"/>
    <w:rsid w:val="001154CA"/>
    <w:rsid w:val="00115B72"/>
    <w:rsid w:val="00117A0C"/>
    <w:rsid w:val="00117DCD"/>
    <w:rsid w:val="00120616"/>
    <w:rsid w:val="001209EC"/>
    <w:rsid w:val="00120A9E"/>
    <w:rsid w:val="00121B7A"/>
    <w:rsid w:val="0012429B"/>
    <w:rsid w:val="001247DF"/>
    <w:rsid w:val="00125A9C"/>
    <w:rsid w:val="001270A2"/>
    <w:rsid w:val="00127488"/>
    <w:rsid w:val="00127D5B"/>
    <w:rsid w:val="0013063E"/>
    <w:rsid w:val="00130B8B"/>
    <w:rsid w:val="00130E65"/>
    <w:rsid w:val="00131237"/>
    <w:rsid w:val="001329AC"/>
    <w:rsid w:val="001337B6"/>
    <w:rsid w:val="00134454"/>
    <w:rsid w:val="00134CA0"/>
    <w:rsid w:val="00135792"/>
    <w:rsid w:val="0013591C"/>
    <w:rsid w:val="001371A8"/>
    <w:rsid w:val="00137A4D"/>
    <w:rsid w:val="0014026F"/>
    <w:rsid w:val="001402D5"/>
    <w:rsid w:val="00140471"/>
    <w:rsid w:val="001404F6"/>
    <w:rsid w:val="00140803"/>
    <w:rsid w:val="00141490"/>
    <w:rsid w:val="0014150A"/>
    <w:rsid w:val="00141567"/>
    <w:rsid w:val="001418A6"/>
    <w:rsid w:val="0014204A"/>
    <w:rsid w:val="00142325"/>
    <w:rsid w:val="00142503"/>
    <w:rsid w:val="00143032"/>
    <w:rsid w:val="001438DA"/>
    <w:rsid w:val="00143CBB"/>
    <w:rsid w:val="00147030"/>
    <w:rsid w:val="00147A47"/>
    <w:rsid w:val="00147AA1"/>
    <w:rsid w:val="001500B5"/>
    <w:rsid w:val="001504EA"/>
    <w:rsid w:val="001514DE"/>
    <w:rsid w:val="001520CF"/>
    <w:rsid w:val="00152B4A"/>
    <w:rsid w:val="00154A05"/>
    <w:rsid w:val="00155A45"/>
    <w:rsid w:val="0015667C"/>
    <w:rsid w:val="00157110"/>
    <w:rsid w:val="00157135"/>
    <w:rsid w:val="0015742A"/>
    <w:rsid w:val="00157DA1"/>
    <w:rsid w:val="001604FD"/>
    <w:rsid w:val="00161CD0"/>
    <w:rsid w:val="00163147"/>
    <w:rsid w:val="0016447A"/>
    <w:rsid w:val="00164C57"/>
    <w:rsid w:val="00164C9D"/>
    <w:rsid w:val="00165373"/>
    <w:rsid w:val="00166001"/>
    <w:rsid w:val="00166496"/>
    <w:rsid w:val="00167822"/>
    <w:rsid w:val="00170F08"/>
    <w:rsid w:val="00171986"/>
    <w:rsid w:val="001724C1"/>
    <w:rsid w:val="001727F3"/>
    <w:rsid w:val="00172F7A"/>
    <w:rsid w:val="00173150"/>
    <w:rsid w:val="00173390"/>
    <w:rsid w:val="001736F0"/>
    <w:rsid w:val="00173863"/>
    <w:rsid w:val="00173BB3"/>
    <w:rsid w:val="001740D0"/>
    <w:rsid w:val="00174F2C"/>
    <w:rsid w:val="00176D58"/>
    <w:rsid w:val="00176F70"/>
    <w:rsid w:val="00177567"/>
    <w:rsid w:val="00180279"/>
    <w:rsid w:val="00180844"/>
    <w:rsid w:val="00180E2A"/>
    <w:rsid w:val="00180F2A"/>
    <w:rsid w:val="001812F6"/>
    <w:rsid w:val="00181FEE"/>
    <w:rsid w:val="0018257F"/>
    <w:rsid w:val="00182803"/>
    <w:rsid w:val="001847FC"/>
    <w:rsid w:val="00184B91"/>
    <w:rsid w:val="00184D4A"/>
    <w:rsid w:val="00185100"/>
    <w:rsid w:val="00186CFB"/>
    <w:rsid w:val="00186EC1"/>
    <w:rsid w:val="0018766D"/>
    <w:rsid w:val="00190F67"/>
    <w:rsid w:val="00191E1F"/>
    <w:rsid w:val="00193946"/>
    <w:rsid w:val="0019473B"/>
    <w:rsid w:val="001947FB"/>
    <w:rsid w:val="001952B1"/>
    <w:rsid w:val="001959E9"/>
    <w:rsid w:val="00195B82"/>
    <w:rsid w:val="00196E39"/>
    <w:rsid w:val="00197649"/>
    <w:rsid w:val="00197654"/>
    <w:rsid w:val="001976FF"/>
    <w:rsid w:val="00197B92"/>
    <w:rsid w:val="001A01BD"/>
    <w:rsid w:val="001A01FB"/>
    <w:rsid w:val="001A0D07"/>
    <w:rsid w:val="001A10E9"/>
    <w:rsid w:val="001A12CE"/>
    <w:rsid w:val="001A166A"/>
    <w:rsid w:val="001A1753"/>
    <w:rsid w:val="001A183D"/>
    <w:rsid w:val="001A263D"/>
    <w:rsid w:val="001A2920"/>
    <w:rsid w:val="001A2B65"/>
    <w:rsid w:val="001A3B57"/>
    <w:rsid w:val="001A3CD3"/>
    <w:rsid w:val="001A57BC"/>
    <w:rsid w:val="001A5BEF"/>
    <w:rsid w:val="001A5C8C"/>
    <w:rsid w:val="001A675B"/>
    <w:rsid w:val="001A6785"/>
    <w:rsid w:val="001A7F15"/>
    <w:rsid w:val="001B0398"/>
    <w:rsid w:val="001B06B6"/>
    <w:rsid w:val="001B216E"/>
    <w:rsid w:val="001B260F"/>
    <w:rsid w:val="001B3395"/>
    <w:rsid w:val="001B33CD"/>
    <w:rsid w:val="001B342E"/>
    <w:rsid w:val="001B46D5"/>
    <w:rsid w:val="001B5486"/>
    <w:rsid w:val="001B5A7C"/>
    <w:rsid w:val="001B5F9D"/>
    <w:rsid w:val="001B796B"/>
    <w:rsid w:val="001C074D"/>
    <w:rsid w:val="001C0A4B"/>
    <w:rsid w:val="001C106B"/>
    <w:rsid w:val="001C17B7"/>
    <w:rsid w:val="001C1832"/>
    <w:rsid w:val="001C188C"/>
    <w:rsid w:val="001C2A1A"/>
    <w:rsid w:val="001C2BC9"/>
    <w:rsid w:val="001C4DE9"/>
    <w:rsid w:val="001C577A"/>
    <w:rsid w:val="001C6537"/>
    <w:rsid w:val="001C68DD"/>
    <w:rsid w:val="001C789B"/>
    <w:rsid w:val="001D05FA"/>
    <w:rsid w:val="001D1783"/>
    <w:rsid w:val="001D2FB9"/>
    <w:rsid w:val="001D53CD"/>
    <w:rsid w:val="001D55A3"/>
    <w:rsid w:val="001D577F"/>
    <w:rsid w:val="001D5AF5"/>
    <w:rsid w:val="001D5D2F"/>
    <w:rsid w:val="001D6EE6"/>
    <w:rsid w:val="001D792A"/>
    <w:rsid w:val="001D7E71"/>
    <w:rsid w:val="001E0661"/>
    <w:rsid w:val="001E079C"/>
    <w:rsid w:val="001E1E73"/>
    <w:rsid w:val="001E23BA"/>
    <w:rsid w:val="001E4E0C"/>
    <w:rsid w:val="001E526D"/>
    <w:rsid w:val="001E5655"/>
    <w:rsid w:val="001E5C1D"/>
    <w:rsid w:val="001E5C2A"/>
    <w:rsid w:val="001E6758"/>
    <w:rsid w:val="001E6A08"/>
    <w:rsid w:val="001E6FCD"/>
    <w:rsid w:val="001E7905"/>
    <w:rsid w:val="001F088E"/>
    <w:rsid w:val="001F15F9"/>
    <w:rsid w:val="001F1773"/>
    <w:rsid w:val="001F1832"/>
    <w:rsid w:val="001F220F"/>
    <w:rsid w:val="001F23C9"/>
    <w:rsid w:val="001F25B3"/>
    <w:rsid w:val="001F25CF"/>
    <w:rsid w:val="001F26B3"/>
    <w:rsid w:val="001F2755"/>
    <w:rsid w:val="001F2D6A"/>
    <w:rsid w:val="001F3A8A"/>
    <w:rsid w:val="001F3F88"/>
    <w:rsid w:val="001F6616"/>
    <w:rsid w:val="001F7861"/>
    <w:rsid w:val="001F7C31"/>
    <w:rsid w:val="00200162"/>
    <w:rsid w:val="00202434"/>
    <w:rsid w:val="002028A8"/>
    <w:rsid w:val="00202BD4"/>
    <w:rsid w:val="0020316F"/>
    <w:rsid w:val="002031C4"/>
    <w:rsid w:val="0020336D"/>
    <w:rsid w:val="00203813"/>
    <w:rsid w:val="00204786"/>
    <w:rsid w:val="00204A97"/>
    <w:rsid w:val="00205BB9"/>
    <w:rsid w:val="002063B9"/>
    <w:rsid w:val="00206684"/>
    <w:rsid w:val="0020776E"/>
    <w:rsid w:val="00207E39"/>
    <w:rsid w:val="002114EF"/>
    <w:rsid w:val="00212683"/>
    <w:rsid w:val="002134B8"/>
    <w:rsid w:val="0021555E"/>
    <w:rsid w:val="002166AD"/>
    <w:rsid w:val="002174F1"/>
    <w:rsid w:val="00217871"/>
    <w:rsid w:val="00217F43"/>
    <w:rsid w:val="002205B7"/>
    <w:rsid w:val="00220F68"/>
    <w:rsid w:val="0022173C"/>
    <w:rsid w:val="00221B8A"/>
    <w:rsid w:val="00221ED8"/>
    <w:rsid w:val="00221EFE"/>
    <w:rsid w:val="0022226A"/>
    <w:rsid w:val="00222D4F"/>
    <w:rsid w:val="002231EA"/>
    <w:rsid w:val="00223398"/>
    <w:rsid w:val="0022393C"/>
    <w:rsid w:val="00223FDF"/>
    <w:rsid w:val="002258A3"/>
    <w:rsid w:val="0022669E"/>
    <w:rsid w:val="002279C0"/>
    <w:rsid w:val="00233FC4"/>
    <w:rsid w:val="0023496F"/>
    <w:rsid w:val="00234A26"/>
    <w:rsid w:val="00234ABC"/>
    <w:rsid w:val="00234E77"/>
    <w:rsid w:val="00234FBB"/>
    <w:rsid w:val="00235799"/>
    <w:rsid w:val="00235B6E"/>
    <w:rsid w:val="002367E1"/>
    <w:rsid w:val="0023727E"/>
    <w:rsid w:val="00237655"/>
    <w:rsid w:val="00237A19"/>
    <w:rsid w:val="002405DA"/>
    <w:rsid w:val="00241352"/>
    <w:rsid w:val="00242081"/>
    <w:rsid w:val="0024265B"/>
    <w:rsid w:val="00243777"/>
    <w:rsid w:val="002441CD"/>
    <w:rsid w:val="00244C49"/>
    <w:rsid w:val="002455EE"/>
    <w:rsid w:val="002477A1"/>
    <w:rsid w:val="002501A3"/>
    <w:rsid w:val="00250E33"/>
    <w:rsid w:val="00251297"/>
    <w:rsid w:val="00251310"/>
    <w:rsid w:val="0025166C"/>
    <w:rsid w:val="00252BAF"/>
    <w:rsid w:val="00252C33"/>
    <w:rsid w:val="0025427F"/>
    <w:rsid w:val="00254AA1"/>
    <w:rsid w:val="00255390"/>
    <w:rsid w:val="002554CE"/>
    <w:rsid w:val="002555D4"/>
    <w:rsid w:val="00256842"/>
    <w:rsid w:val="00257D96"/>
    <w:rsid w:val="00260B68"/>
    <w:rsid w:val="0026104A"/>
    <w:rsid w:val="00261A16"/>
    <w:rsid w:val="0026327A"/>
    <w:rsid w:val="00263522"/>
    <w:rsid w:val="00264EC6"/>
    <w:rsid w:val="00267349"/>
    <w:rsid w:val="00267A96"/>
    <w:rsid w:val="00267BA1"/>
    <w:rsid w:val="00267BE7"/>
    <w:rsid w:val="0027084F"/>
    <w:rsid w:val="00270D7F"/>
    <w:rsid w:val="00271013"/>
    <w:rsid w:val="002716C6"/>
    <w:rsid w:val="00271F5E"/>
    <w:rsid w:val="0027210B"/>
    <w:rsid w:val="00272356"/>
    <w:rsid w:val="0027307C"/>
    <w:rsid w:val="002735A5"/>
    <w:rsid w:val="00273FE4"/>
    <w:rsid w:val="00275CE4"/>
    <w:rsid w:val="00275F17"/>
    <w:rsid w:val="002760C4"/>
    <w:rsid w:val="00276227"/>
    <w:rsid w:val="002765B4"/>
    <w:rsid w:val="00276A94"/>
    <w:rsid w:val="00277777"/>
    <w:rsid w:val="002777D9"/>
    <w:rsid w:val="00281FF6"/>
    <w:rsid w:val="00284D9D"/>
    <w:rsid w:val="002850E0"/>
    <w:rsid w:val="00285F2D"/>
    <w:rsid w:val="002860AA"/>
    <w:rsid w:val="002879AC"/>
    <w:rsid w:val="002904FD"/>
    <w:rsid w:val="002905D5"/>
    <w:rsid w:val="00291E3D"/>
    <w:rsid w:val="00291FB2"/>
    <w:rsid w:val="002934EA"/>
    <w:rsid w:val="0029405D"/>
    <w:rsid w:val="00294F03"/>
    <w:rsid w:val="00294FA6"/>
    <w:rsid w:val="00295A6F"/>
    <w:rsid w:val="0029602D"/>
    <w:rsid w:val="00296EB7"/>
    <w:rsid w:val="002A013E"/>
    <w:rsid w:val="002A087D"/>
    <w:rsid w:val="002A0E3A"/>
    <w:rsid w:val="002A1D59"/>
    <w:rsid w:val="002A1E4E"/>
    <w:rsid w:val="002A20C4"/>
    <w:rsid w:val="002A36F8"/>
    <w:rsid w:val="002A3EB9"/>
    <w:rsid w:val="002A40CC"/>
    <w:rsid w:val="002A570F"/>
    <w:rsid w:val="002A60B6"/>
    <w:rsid w:val="002A6E02"/>
    <w:rsid w:val="002A7292"/>
    <w:rsid w:val="002A7358"/>
    <w:rsid w:val="002A7408"/>
    <w:rsid w:val="002A77C6"/>
    <w:rsid w:val="002A7902"/>
    <w:rsid w:val="002A7C93"/>
    <w:rsid w:val="002B07D3"/>
    <w:rsid w:val="002B0824"/>
    <w:rsid w:val="002B0F6B"/>
    <w:rsid w:val="002B233E"/>
    <w:rsid w:val="002B23B8"/>
    <w:rsid w:val="002B2A01"/>
    <w:rsid w:val="002B3420"/>
    <w:rsid w:val="002B37F2"/>
    <w:rsid w:val="002B4429"/>
    <w:rsid w:val="002B4AF3"/>
    <w:rsid w:val="002B68A6"/>
    <w:rsid w:val="002B706A"/>
    <w:rsid w:val="002B79F4"/>
    <w:rsid w:val="002B7FAF"/>
    <w:rsid w:val="002C054A"/>
    <w:rsid w:val="002C12B0"/>
    <w:rsid w:val="002C1972"/>
    <w:rsid w:val="002C1F47"/>
    <w:rsid w:val="002C28AD"/>
    <w:rsid w:val="002C37AC"/>
    <w:rsid w:val="002C38C4"/>
    <w:rsid w:val="002C3F02"/>
    <w:rsid w:val="002C460E"/>
    <w:rsid w:val="002C4902"/>
    <w:rsid w:val="002C687E"/>
    <w:rsid w:val="002C6E23"/>
    <w:rsid w:val="002D064E"/>
    <w:rsid w:val="002D0BF2"/>
    <w:rsid w:val="002D0C4F"/>
    <w:rsid w:val="002D1364"/>
    <w:rsid w:val="002D2DE1"/>
    <w:rsid w:val="002D4D30"/>
    <w:rsid w:val="002D5000"/>
    <w:rsid w:val="002D5971"/>
    <w:rsid w:val="002D598D"/>
    <w:rsid w:val="002D5E04"/>
    <w:rsid w:val="002D65E1"/>
    <w:rsid w:val="002D7188"/>
    <w:rsid w:val="002D7F82"/>
    <w:rsid w:val="002E064F"/>
    <w:rsid w:val="002E0A8D"/>
    <w:rsid w:val="002E1DE3"/>
    <w:rsid w:val="002E27EA"/>
    <w:rsid w:val="002E296D"/>
    <w:rsid w:val="002E2AB6"/>
    <w:rsid w:val="002E38EF"/>
    <w:rsid w:val="002E399C"/>
    <w:rsid w:val="002E3B8A"/>
    <w:rsid w:val="002E3F34"/>
    <w:rsid w:val="002E5263"/>
    <w:rsid w:val="002E5F79"/>
    <w:rsid w:val="002E61ED"/>
    <w:rsid w:val="002E64FA"/>
    <w:rsid w:val="002E6E57"/>
    <w:rsid w:val="002E7002"/>
    <w:rsid w:val="002E75D5"/>
    <w:rsid w:val="002E79F7"/>
    <w:rsid w:val="002F007D"/>
    <w:rsid w:val="002F0422"/>
    <w:rsid w:val="002F0A00"/>
    <w:rsid w:val="002F0AC1"/>
    <w:rsid w:val="002F0CFA"/>
    <w:rsid w:val="002F0E59"/>
    <w:rsid w:val="002F16FE"/>
    <w:rsid w:val="002F216A"/>
    <w:rsid w:val="002F29F6"/>
    <w:rsid w:val="002F3109"/>
    <w:rsid w:val="002F3792"/>
    <w:rsid w:val="002F417B"/>
    <w:rsid w:val="002F4772"/>
    <w:rsid w:val="002F48CC"/>
    <w:rsid w:val="002F50B3"/>
    <w:rsid w:val="002F5884"/>
    <w:rsid w:val="002F669F"/>
    <w:rsid w:val="002F6DD3"/>
    <w:rsid w:val="002F7808"/>
    <w:rsid w:val="002F7A8F"/>
    <w:rsid w:val="00300147"/>
    <w:rsid w:val="003001FF"/>
    <w:rsid w:val="00300649"/>
    <w:rsid w:val="00300EC7"/>
    <w:rsid w:val="003011D6"/>
    <w:rsid w:val="003015FB"/>
    <w:rsid w:val="00301C97"/>
    <w:rsid w:val="003035D4"/>
    <w:rsid w:val="003051D3"/>
    <w:rsid w:val="00305CEF"/>
    <w:rsid w:val="0030651A"/>
    <w:rsid w:val="00306B5C"/>
    <w:rsid w:val="0031004C"/>
    <w:rsid w:val="003105F6"/>
    <w:rsid w:val="00310720"/>
    <w:rsid w:val="003108A0"/>
    <w:rsid w:val="00310C23"/>
    <w:rsid w:val="00311247"/>
    <w:rsid w:val="00311297"/>
    <w:rsid w:val="003113BE"/>
    <w:rsid w:val="00311798"/>
    <w:rsid w:val="003122CA"/>
    <w:rsid w:val="00313167"/>
    <w:rsid w:val="003131CF"/>
    <w:rsid w:val="003137A4"/>
    <w:rsid w:val="00313E51"/>
    <w:rsid w:val="0031469C"/>
    <w:rsid w:val="0031483B"/>
    <w:rsid w:val="003148CF"/>
    <w:rsid w:val="003148FD"/>
    <w:rsid w:val="0031500C"/>
    <w:rsid w:val="00316C48"/>
    <w:rsid w:val="003179C6"/>
    <w:rsid w:val="00317AC5"/>
    <w:rsid w:val="003200F7"/>
    <w:rsid w:val="00320D8B"/>
    <w:rsid w:val="00321080"/>
    <w:rsid w:val="00322D45"/>
    <w:rsid w:val="003236E6"/>
    <w:rsid w:val="00323B3E"/>
    <w:rsid w:val="00323E1D"/>
    <w:rsid w:val="003243F5"/>
    <w:rsid w:val="003245EF"/>
    <w:rsid w:val="00324A35"/>
    <w:rsid w:val="0032569A"/>
    <w:rsid w:val="00325A1F"/>
    <w:rsid w:val="0032608D"/>
    <w:rsid w:val="003268F9"/>
    <w:rsid w:val="00330A0E"/>
    <w:rsid w:val="00330BAF"/>
    <w:rsid w:val="00332DA6"/>
    <w:rsid w:val="00332FF6"/>
    <w:rsid w:val="00333875"/>
    <w:rsid w:val="00333898"/>
    <w:rsid w:val="00334187"/>
    <w:rsid w:val="00334403"/>
    <w:rsid w:val="00334535"/>
    <w:rsid w:val="00334E3A"/>
    <w:rsid w:val="003361DD"/>
    <w:rsid w:val="003370C4"/>
    <w:rsid w:val="00340403"/>
    <w:rsid w:val="00341A6A"/>
    <w:rsid w:val="003436A6"/>
    <w:rsid w:val="00344E09"/>
    <w:rsid w:val="003457E5"/>
    <w:rsid w:val="00345B9C"/>
    <w:rsid w:val="0034664F"/>
    <w:rsid w:val="00346FAB"/>
    <w:rsid w:val="00350209"/>
    <w:rsid w:val="00350682"/>
    <w:rsid w:val="0035156B"/>
    <w:rsid w:val="00351C3E"/>
    <w:rsid w:val="00352DAE"/>
    <w:rsid w:val="003540D1"/>
    <w:rsid w:val="00354EB9"/>
    <w:rsid w:val="003551FB"/>
    <w:rsid w:val="00355D5F"/>
    <w:rsid w:val="00356081"/>
    <w:rsid w:val="003574B0"/>
    <w:rsid w:val="0035797E"/>
    <w:rsid w:val="003602AE"/>
    <w:rsid w:val="003606D8"/>
    <w:rsid w:val="00360929"/>
    <w:rsid w:val="003609E1"/>
    <w:rsid w:val="0036125B"/>
    <w:rsid w:val="00361831"/>
    <w:rsid w:val="00361B43"/>
    <w:rsid w:val="00361C54"/>
    <w:rsid w:val="00362312"/>
    <w:rsid w:val="00363263"/>
    <w:rsid w:val="0036352D"/>
    <w:rsid w:val="00364023"/>
    <w:rsid w:val="003647D5"/>
    <w:rsid w:val="00364E26"/>
    <w:rsid w:val="00365816"/>
    <w:rsid w:val="00365EB1"/>
    <w:rsid w:val="00366F6E"/>
    <w:rsid w:val="00366F82"/>
    <w:rsid w:val="0036730B"/>
    <w:rsid w:val="003674B0"/>
    <w:rsid w:val="003679E0"/>
    <w:rsid w:val="00367C54"/>
    <w:rsid w:val="00370FC1"/>
    <w:rsid w:val="0037289D"/>
    <w:rsid w:val="00372F3A"/>
    <w:rsid w:val="00374665"/>
    <w:rsid w:val="00375F5B"/>
    <w:rsid w:val="003761DB"/>
    <w:rsid w:val="00376B3C"/>
    <w:rsid w:val="00376C6D"/>
    <w:rsid w:val="0037727C"/>
    <w:rsid w:val="0037763C"/>
    <w:rsid w:val="00377C8C"/>
    <w:rsid w:val="00377E70"/>
    <w:rsid w:val="00380214"/>
    <w:rsid w:val="003808F2"/>
    <w:rsid w:val="00380904"/>
    <w:rsid w:val="00381ACA"/>
    <w:rsid w:val="00381E7D"/>
    <w:rsid w:val="003823EE"/>
    <w:rsid w:val="003826A8"/>
    <w:rsid w:val="00382960"/>
    <w:rsid w:val="00382F61"/>
    <w:rsid w:val="0038364D"/>
    <w:rsid w:val="00384521"/>
    <w:rsid w:val="003846F7"/>
    <w:rsid w:val="00384816"/>
    <w:rsid w:val="00384BC1"/>
    <w:rsid w:val="00384BEF"/>
    <w:rsid w:val="003851ED"/>
    <w:rsid w:val="00385B39"/>
    <w:rsid w:val="00385D4A"/>
    <w:rsid w:val="00386612"/>
    <w:rsid w:val="00386785"/>
    <w:rsid w:val="0038697F"/>
    <w:rsid w:val="00386A91"/>
    <w:rsid w:val="00386CCF"/>
    <w:rsid w:val="0038751A"/>
    <w:rsid w:val="0039021D"/>
    <w:rsid w:val="003906E8"/>
    <w:rsid w:val="00390B57"/>
    <w:rsid w:val="00390E72"/>
    <w:rsid w:val="00390E89"/>
    <w:rsid w:val="00391202"/>
    <w:rsid w:val="00391B1A"/>
    <w:rsid w:val="00391C0F"/>
    <w:rsid w:val="00392E33"/>
    <w:rsid w:val="00393E8A"/>
    <w:rsid w:val="00394423"/>
    <w:rsid w:val="00395550"/>
    <w:rsid w:val="00395E20"/>
    <w:rsid w:val="00396942"/>
    <w:rsid w:val="00396B49"/>
    <w:rsid w:val="00396E3E"/>
    <w:rsid w:val="003979A0"/>
    <w:rsid w:val="00397BF1"/>
    <w:rsid w:val="003A1478"/>
    <w:rsid w:val="003A2181"/>
    <w:rsid w:val="003A2563"/>
    <w:rsid w:val="003A306E"/>
    <w:rsid w:val="003A4D79"/>
    <w:rsid w:val="003A57C7"/>
    <w:rsid w:val="003A595F"/>
    <w:rsid w:val="003A609A"/>
    <w:rsid w:val="003A60DC"/>
    <w:rsid w:val="003A6A46"/>
    <w:rsid w:val="003A7231"/>
    <w:rsid w:val="003A7393"/>
    <w:rsid w:val="003A7A63"/>
    <w:rsid w:val="003B000C"/>
    <w:rsid w:val="003B0E73"/>
    <w:rsid w:val="003B0F1D"/>
    <w:rsid w:val="003B11BC"/>
    <w:rsid w:val="003B37FE"/>
    <w:rsid w:val="003B468E"/>
    <w:rsid w:val="003B4A57"/>
    <w:rsid w:val="003B50E2"/>
    <w:rsid w:val="003B7393"/>
    <w:rsid w:val="003B7D1E"/>
    <w:rsid w:val="003C0AD9"/>
    <w:rsid w:val="003C0ED0"/>
    <w:rsid w:val="003C16AD"/>
    <w:rsid w:val="003C1D49"/>
    <w:rsid w:val="003C35C4"/>
    <w:rsid w:val="003C3879"/>
    <w:rsid w:val="003C3A26"/>
    <w:rsid w:val="003C6C8B"/>
    <w:rsid w:val="003C6E05"/>
    <w:rsid w:val="003C7AB1"/>
    <w:rsid w:val="003D065F"/>
    <w:rsid w:val="003D12C2"/>
    <w:rsid w:val="003D133F"/>
    <w:rsid w:val="003D25B0"/>
    <w:rsid w:val="003D28C7"/>
    <w:rsid w:val="003D2F74"/>
    <w:rsid w:val="003D31B9"/>
    <w:rsid w:val="003D37D0"/>
    <w:rsid w:val="003D3867"/>
    <w:rsid w:val="003D3EE9"/>
    <w:rsid w:val="003D61E3"/>
    <w:rsid w:val="003D69D4"/>
    <w:rsid w:val="003E055D"/>
    <w:rsid w:val="003E09EA"/>
    <w:rsid w:val="003E0D1A"/>
    <w:rsid w:val="003E1382"/>
    <w:rsid w:val="003E20D7"/>
    <w:rsid w:val="003E23B0"/>
    <w:rsid w:val="003E2AF2"/>
    <w:rsid w:val="003E2DA3"/>
    <w:rsid w:val="003E4215"/>
    <w:rsid w:val="003E4470"/>
    <w:rsid w:val="003E5534"/>
    <w:rsid w:val="003E6042"/>
    <w:rsid w:val="003F020D"/>
    <w:rsid w:val="003F0287"/>
    <w:rsid w:val="003F03D9"/>
    <w:rsid w:val="003F08D8"/>
    <w:rsid w:val="003F0E16"/>
    <w:rsid w:val="003F2FBE"/>
    <w:rsid w:val="003F318D"/>
    <w:rsid w:val="003F3EF1"/>
    <w:rsid w:val="003F4113"/>
    <w:rsid w:val="003F492C"/>
    <w:rsid w:val="003F499B"/>
    <w:rsid w:val="003F57C3"/>
    <w:rsid w:val="003F5BAE"/>
    <w:rsid w:val="003F6748"/>
    <w:rsid w:val="003F6A20"/>
    <w:rsid w:val="003F6ED7"/>
    <w:rsid w:val="003F707C"/>
    <w:rsid w:val="004006CA"/>
    <w:rsid w:val="00401C84"/>
    <w:rsid w:val="004031FF"/>
    <w:rsid w:val="00403210"/>
    <w:rsid w:val="004035BB"/>
    <w:rsid w:val="004035EB"/>
    <w:rsid w:val="00405206"/>
    <w:rsid w:val="00406195"/>
    <w:rsid w:val="004064AF"/>
    <w:rsid w:val="00406EB1"/>
    <w:rsid w:val="00407332"/>
    <w:rsid w:val="00407828"/>
    <w:rsid w:val="00407E2A"/>
    <w:rsid w:val="0041003E"/>
    <w:rsid w:val="004103C8"/>
    <w:rsid w:val="0041268B"/>
    <w:rsid w:val="00413D8E"/>
    <w:rsid w:val="004140F2"/>
    <w:rsid w:val="00414762"/>
    <w:rsid w:val="00415599"/>
    <w:rsid w:val="00415AFD"/>
    <w:rsid w:val="00415CB1"/>
    <w:rsid w:val="0041620C"/>
    <w:rsid w:val="004164D2"/>
    <w:rsid w:val="00416CFA"/>
    <w:rsid w:val="004177CE"/>
    <w:rsid w:val="00417B22"/>
    <w:rsid w:val="004200C9"/>
    <w:rsid w:val="00420AD1"/>
    <w:rsid w:val="00421085"/>
    <w:rsid w:val="0042202C"/>
    <w:rsid w:val="004234FC"/>
    <w:rsid w:val="00423A7C"/>
    <w:rsid w:val="0042465E"/>
    <w:rsid w:val="00424DF7"/>
    <w:rsid w:val="0042509B"/>
    <w:rsid w:val="00425677"/>
    <w:rsid w:val="0042576C"/>
    <w:rsid w:val="0042590E"/>
    <w:rsid w:val="00427060"/>
    <w:rsid w:val="004300E3"/>
    <w:rsid w:val="00430DF9"/>
    <w:rsid w:val="0043159B"/>
    <w:rsid w:val="00431CF1"/>
    <w:rsid w:val="00432B76"/>
    <w:rsid w:val="00433ACB"/>
    <w:rsid w:val="004347EB"/>
    <w:rsid w:val="00434D01"/>
    <w:rsid w:val="00434F21"/>
    <w:rsid w:val="00435D26"/>
    <w:rsid w:val="004361F3"/>
    <w:rsid w:val="00437A44"/>
    <w:rsid w:val="00440080"/>
    <w:rsid w:val="00440C99"/>
    <w:rsid w:val="00440D65"/>
    <w:rsid w:val="0044175C"/>
    <w:rsid w:val="004424AC"/>
    <w:rsid w:val="00442D04"/>
    <w:rsid w:val="00445F4D"/>
    <w:rsid w:val="00447C7F"/>
    <w:rsid w:val="004504C0"/>
    <w:rsid w:val="00450920"/>
    <w:rsid w:val="00450D51"/>
    <w:rsid w:val="004514C6"/>
    <w:rsid w:val="00451652"/>
    <w:rsid w:val="004517DB"/>
    <w:rsid w:val="00451ABD"/>
    <w:rsid w:val="00452B07"/>
    <w:rsid w:val="00453730"/>
    <w:rsid w:val="00453AC0"/>
    <w:rsid w:val="0045434C"/>
    <w:rsid w:val="0045455D"/>
    <w:rsid w:val="004550FB"/>
    <w:rsid w:val="004560C9"/>
    <w:rsid w:val="00456BE1"/>
    <w:rsid w:val="00456CF7"/>
    <w:rsid w:val="00457819"/>
    <w:rsid w:val="00457DEF"/>
    <w:rsid w:val="00460691"/>
    <w:rsid w:val="0046111A"/>
    <w:rsid w:val="004624A4"/>
    <w:rsid w:val="00462946"/>
    <w:rsid w:val="00462F68"/>
    <w:rsid w:val="00463274"/>
    <w:rsid w:val="004633A9"/>
    <w:rsid w:val="00463555"/>
    <w:rsid w:val="004639CA"/>
    <w:rsid w:val="00463F43"/>
    <w:rsid w:val="00464B94"/>
    <w:rsid w:val="0046535D"/>
    <w:rsid w:val="004653A8"/>
    <w:rsid w:val="004657E7"/>
    <w:rsid w:val="00465A0B"/>
    <w:rsid w:val="0046649F"/>
    <w:rsid w:val="004669AE"/>
    <w:rsid w:val="00466C70"/>
    <w:rsid w:val="00467365"/>
    <w:rsid w:val="0047077C"/>
    <w:rsid w:val="00470B05"/>
    <w:rsid w:val="0047207C"/>
    <w:rsid w:val="00472164"/>
    <w:rsid w:val="0047276A"/>
    <w:rsid w:val="00472CD6"/>
    <w:rsid w:val="00473DBB"/>
    <w:rsid w:val="00474205"/>
    <w:rsid w:val="00474E3C"/>
    <w:rsid w:val="004750EF"/>
    <w:rsid w:val="004759B1"/>
    <w:rsid w:val="0047638A"/>
    <w:rsid w:val="004765B0"/>
    <w:rsid w:val="00476FA3"/>
    <w:rsid w:val="00480A58"/>
    <w:rsid w:val="00481843"/>
    <w:rsid w:val="00481F8F"/>
    <w:rsid w:val="00482151"/>
    <w:rsid w:val="00482409"/>
    <w:rsid w:val="004826AD"/>
    <w:rsid w:val="004826F4"/>
    <w:rsid w:val="00482F76"/>
    <w:rsid w:val="004850E5"/>
    <w:rsid w:val="0048582A"/>
    <w:rsid w:val="00485CD6"/>
    <w:rsid w:val="00485EB6"/>
    <w:rsid w:val="00485F6B"/>
    <w:rsid w:val="00485FAD"/>
    <w:rsid w:val="00487AED"/>
    <w:rsid w:val="004907A5"/>
    <w:rsid w:val="00491144"/>
    <w:rsid w:val="0049131A"/>
    <w:rsid w:val="00491709"/>
    <w:rsid w:val="00491EDF"/>
    <w:rsid w:val="00492210"/>
    <w:rsid w:val="00492768"/>
    <w:rsid w:val="00492A3F"/>
    <w:rsid w:val="0049302F"/>
    <w:rsid w:val="004939DC"/>
    <w:rsid w:val="00493A6E"/>
    <w:rsid w:val="00494F62"/>
    <w:rsid w:val="00495787"/>
    <w:rsid w:val="00495CF4"/>
    <w:rsid w:val="0049646E"/>
    <w:rsid w:val="0049666B"/>
    <w:rsid w:val="0049688E"/>
    <w:rsid w:val="00496892"/>
    <w:rsid w:val="00497AF9"/>
    <w:rsid w:val="00497FE7"/>
    <w:rsid w:val="004A0063"/>
    <w:rsid w:val="004A1A9A"/>
    <w:rsid w:val="004A1D88"/>
    <w:rsid w:val="004A1FCB"/>
    <w:rsid w:val="004A2001"/>
    <w:rsid w:val="004A2937"/>
    <w:rsid w:val="004A3590"/>
    <w:rsid w:val="004A3DAF"/>
    <w:rsid w:val="004A403A"/>
    <w:rsid w:val="004A4D5A"/>
    <w:rsid w:val="004A51BB"/>
    <w:rsid w:val="004A64BA"/>
    <w:rsid w:val="004A6D3D"/>
    <w:rsid w:val="004A6D68"/>
    <w:rsid w:val="004A70D7"/>
    <w:rsid w:val="004A759A"/>
    <w:rsid w:val="004A7EFA"/>
    <w:rsid w:val="004B00A7"/>
    <w:rsid w:val="004B0F42"/>
    <w:rsid w:val="004B10F7"/>
    <w:rsid w:val="004B18D0"/>
    <w:rsid w:val="004B1A42"/>
    <w:rsid w:val="004B25E2"/>
    <w:rsid w:val="004B29D7"/>
    <w:rsid w:val="004B34D7"/>
    <w:rsid w:val="004B5037"/>
    <w:rsid w:val="004B50F0"/>
    <w:rsid w:val="004B57B4"/>
    <w:rsid w:val="004B5B2F"/>
    <w:rsid w:val="004B61EC"/>
    <w:rsid w:val="004B626A"/>
    <w:rsid w:val="004B660E"/>
    <w:rsid w:val="004B7023"/>
    <w:rsid w:val="004B704B"/>
    <w:rsid w:val="004C05BD"/>
    <w:rsid w:val="004C0DD5"/>
    <w:rsid w:val="004C12B6"/>
    <w:rsid w:val="004C21AA"/>
    <w:rsid w:val="004C3309"/>
    <w:rsid w:val="004C3B06"/>
    <w:rsid w:val="004C3F97"/>
    <w:rsid w:val="004C6603"/>
    <w:rsid w:val="004C6A49"/>
    <w:rsid w:val="004C75F9"/>
    <w:rsid w:val="004C7EE7"/>
    <w:rsid w:val="004D0004"/>
    <w:rsid w:val="004D0C36"/>
    <w:rsid w:val="004D0E63"/>
    <w:rsid w:val="004D2341"/>
    <w:rsid w:val="004D2DEE"/>
    <w:rsid w:val="004D2E1F"/>
    <w:rsid w:val="004D3420"/>
    <w:rsid w:val="004D3A9D"/>
    <w:rsid w:val="004D63E0"/>
    <w:rsid w:val="004D7FD9"/>
    <w:rsid w:val="004E1324"/>
    <w:rsid w:val="004E18D6"/>
    <w:rsid w:val="004E19A5"/>
    <w:rsid w:val="004E3307"/>
    <w:rsid w:val="004E37E5"/>
    <w:rsid w:val="004E3FDB"/>
    <w:rsid w:val="004E462F"/>
    <w:rsid w:val="004F0C28"/>
    <w:rsid w:val="004F0C97"/>
    <w:rsid w:val="004F0E4C"/>
    <w:rsid w:val="004F0F2F"/>
    <w:rsid w:val="004F16CB"/>
    <w:rsid w:val="004F17EE"/>
    <w:rsid w:val="004F1877"/>
    <w:rsid w:val="004F1970"/>
    <w:rsid w:val="004F1F4A"/>
    <w:rsid w:val="004F277B"/>
    <w:rsid w:val="004F296D"/>
    <w:rsid w:val="004F45B3"/>
    <w:rsid w:val="004F4F46"/>
    <w:rsid w:val="004F508B"/>
    <w:rsid w:val="004F582B"/>
    <w:rsid w:val="004F695F"/>
    <w:rsid w:val="004F6CA4"/>
    <w:rsid w:val="004F6CE9"/>
    <w:rsid w:val="004F7F4C"/>
    <w:rsid w:val="00500752"/>
    <w:rsid w:val="00501082"/>
    <w:rsid w:val="005014CB"/>
    <w:rsid w:val="0050168E"/>
    <w:rsid w:val="00501A50"/>
    <w:rsid w:val="0050222D"/>
    <w:rsid w:val="00502A4D"/>
    <w:rsid w:val="00503428"/>
    <w:rsid w:val="005038A5"/>
    <w:rsid w:val="00503A0C"/>
    <w:rsid w:val="00503AF3"/>
    <w:rsid w:val="0050461B"/>
    <w:rsid w:val="00505B47"/>
    <w:rsid w:val="0050696D"/>
    <w:rsid w:val="00507FAA"/>
    <w:rsid w:val="0051094B"/>
    <w:rsid w:val="00511078"/>
    <w:rsid w:val="005110D7"/>
    <w:rsid w:val="0051164E"/>
    <w:rsid w:val="00511C90"/>
    <w:rsid w:val="00511D99"/>
    <w:rsid w:val="005125D9"/>
    <w:rsid w:val="005128D3"/>
    <w:rsid w:val="00512D27"/>
    <w:rsid w:val="005132D8"/>
    <w:rsid w:val="00513992"/>
    <w:rsid w:val="00513C36"/>
    <w:rsid w:val="005147E8"/>
    <w:rsid w:val="00514876"/>
    <w:rsid w:val="005153B7"/>
    <w:rsid w:val="005157A5"/>
    <w:rsid w:val="005158F2"/>
    <w:rsid w:val="00516058"/>
    <w:rsid w:val="00516804"/>
    <w:rsid w:val="00516CCA"/>
    <w:rsid w:val="00517489"/>
    <w:rsid w:val="005177E4"/>
    <w:rsid w:val="00517934"/>
    <w:rsid w:val="00517B47"/>
    <w:rsid w:val="005203B6"/>
    <w:rsid w:val="0052081F"/>
    <w:rsid w:val="00521A47"/>
    <w:rsid w:val="005237A9"/>
    <w:rsid w:val="00523E8C"/>
    <w:rsid w:val="00524AC7"/>
    <w:rsid w:val="0052588E"/>
    <w:rsid w:val="00526DFC"/>
    <w:rsid w:val="00526F43"/>
    <w:rsid w:val="005273A0"/>
    <w:rsid w:val="00527651"/>
    <w:rsid w:val="00527A83"/>
    <w:rsid w:val="00530767"/>
    <w:rsid w:val="005315C0"/>
    <w:rsid w:val="005325E4"/>
    <w:rsid w:val="00532802"/>
    <w:rsid w:val="00534743"/>
    <w:rsid w:val="005363AB"/>
    <w:rsid w:val="005368F0"/>
    <w:rsid w:val="00536C2B"/>
    <w:rsid w:val="00542873"/>
    <w:rsid w:val="005445E9"/>
    <w:rsid w:val="00544770"/>
    <w:rsid w:val="005448E4"/>
    <w:rsid w:val="00544EF4"/>
    <w:rsid w:val="00545E53"/>
    <w:rsid w:val="0054751B"/>
    <w:rsid w:val="005476B9"/>
    <w:rsid w:val="005479D9"/>
    <w:rsid w:val="00547F66"/>
    <w:rsid w:val="0055049A"/>
    <w:rsid w:val="00550C4A"/>
    <w:rsid w:val="00550D37"/>
    <w:rsid w:val="00550F12"/>
    <w:rsid w:val="005511B5"/>
    <w:rsid w:val="005524F8"/>
    <w:rsid w:val="00553F7B"/>
    <w:rsid w:val="005549A9"/>
    <w:rsid w:val="0055563E"/>
    <w:rsid w:val="00555CAD"/>
    <w:rsid w:val="005562A2"/>
    <w:rsid w:val="005572BD"/>
    <w:rsid w:val="00557A12"/>
    <w:rsid w:val="00557C90"/>
    <w:rsid w:val="00560630"/>
    <w:rsid w:val="005607D8"/>
    <w:rsid w:val="00560AC7"/>
    <w:rsid w:val="00560F49"/>
    <w:rsid w:val="00561681"/>
    <w:rsid w:val="00561AFB"/>
    <w:rsid w:val="00561FA8"/>
    <w:rsid w:val="00562024"/>
    <w:rsid w:val="005635ED"/>
    <w:rsid w:val="0056425A"/>
    <w:rsid w:val="00564C74"/>
    <w:rsid w:val="00564E09"/>
    <w:rsid w:val="00565253"/>
    <w:rsid w:val="00565841"/>
    <w:rsid w:val="00566356"/>
    <w:rsid w:val="00566477"/>
    <w:rsid w:val="00566E4C"/>
    <w:rsid w:val="00567C81"/>
    <w:rsid w:val="00570191"/>
    <w:rsid w:val="00570570"/>
    <w:rsid w:val="00570A9A"/>
    <w:rsid w:val="00571750"/>
    <w:rsid w:val="005722CD"/>
    <w:rsid w:val="00572512"/>
    <w:rsid w:val="00572CA4"/>
    <w:rsid w:val="00573EE6"/>
    <w:rsid w:val="0057547F"/>
    <w:rsid w:val="005754EE"/>
    <w:rsid w:val="0057617E"/>
    <w:rsid w:val="00576497"/>
    <w:rsid w:val="00577D97"/>
    <w:rsid w:val="00577E64"/>
    <w:rsid w:val="005804A8"/>
    <w:rsid w:val="00580922"/>
    <w:rsid w:val="0058185E"/>
    <w:rsid w:val="00582331"/>
    <w:rsid w:val="0058261C"/>
    <w:rsid w:val="00582D37"/>
    <w:rsid w:val="005835E7"/>
    <w:rsid w:val="00583795"/>
    <w:rsid w:val="005838B9"/>
    <w:rsid w:val="0058397F"/>
    <w:rsid w:val="00583BF8"/>
    <w:rsid w:val="00583F6F"/>
    <w:rsid w:val="00585F33"/>
    <w:rsid w:val="00586868"/>
    <w:rsid w:val="00586A40"/>
    <w:rsid w:val="005871C7"/>
    <w:rsid w:val="00590314"/>
    <w:rsid w:val="00591124"/>
    <w:rsid w:val="0059117B"/>
    <w:rsid w:val="005927DA"/>
    <w:rsid w:val="00592A3F"/>
    <w:rsid w:val="00592E70"/>
    <w:rsid w:val="005939E9"/>
    <w:rsid w:val="00593E43"/>
    <w:rsid w:val="00595B7D"/>
    <w:rsid w:val="005960B0"/>
    <w:rsid w:val="00596296"/>
    <w:rsid w:val="00596738"/>
    <w:rsid w:val="00596761"/>
    <w:rsid w:val="00597024"/>
    <w:rsid w:val="00597C30"/>
    <w:rsid w:val="005A0274"/>
    <w:rsid w:val="005A02AE"/>
    <w:rsid w:val="005A095C"/>
    <w:rsid w:val="005A2312"/>
    <w:rsid w:val="005A2B81"/>
    <w:rsid w:val="005A3F9F"/>
    <w:rsid w:val="005A4088"/>
    <w:rsid w:val="005A4120"/>
    <w:rsid w:val="005A5215"/>
    <w:rsid w:val="005A5B5D"/>
    <w:rsid w:val="005A669D"/>
    <w:rsid w:val="005A6B26"/>
    <w:rsid w:val="005A75D8"/>
    <w:rsid w:val="005B06EE"/>
    <w:rsid w:val="005B159E"/>
    <w:rsid w:val="005B2965"/>
    <w:rsid w:val="005B3509"/>
    <w:rsid w:val="005B3DD5"/>
    <w:rsid w:val="005B3F4A"/>
    <w:rsid w:val="005B4063"/>
    <w:rsid w:val="005B470A"/>
    <w:rsid w:val="005B4E73"/>
    <w:rsid w:val="005B59EF"/>
    <w:rsid w:val="005B6562"/>
    <w:rsid w:val="005B713E"/>
    <w:rsid w:val="005B7333"/>
    <w:rsid w:val="005B741B"/>
    <w:rsid w:val="005C03B6"/>
    <w:rsid w:val="005C17AF"/>
    <w:rsid w:val="005C2C5D"/>
    <w:rsid w:val="005C348E"/>
    <w:rsid w:val="005C3968"/>
    <w:rsid w:val="005C3DEB"/>
    <w:rsid w:val="005C464C"/>
    <w:rsid w:val="005C56E8"/>
    <w:rsid w:val="005C68E1"/>
    <w:rsid w:val="005C7F20"/>
    <w:rsid w:val="005D1211"/>
    <w:rsid w:val="005D16F0"/>
    <w:rsid w:val="005D1B6A"/>
    <w:rsid w:val="005D2204"/>
    <w:rsid w:val="005D3763"/>
    <w:rsid w:val="005D4A35"/>
    <w:rsid w:val="005D4F3C"/>
    <w:rsid w:val="005D50AA"/>
    <w:rsid w:val="005D55E1"/>
    <w:rsid w:val="005D797F"/>
    <w:rsid w:val="005D7A17"/>
    <w:rsid w:val="005E07D8"/>
    <w:rsid w:val="005E099C"/>
    <w:rsid w:val="005E19F7"/>
    <w:rsid w:val="005E1AE3"/>
    <w:rsid w:val="005E1EA9"/>
    <w:rsid w:val="005E32B6"/>
    <w:rsid w:val="005E4E7F"/>
    <w:rsid w:val="005E4F04"/>
    <w:rsid w:val="005E62C2"/>
    <w:rsid w:val="005E634B"/>
    <w:rsid w:val="005E64A3"/>
    <w:rsid w:val="005E6851"/>
    <w:rsid w:val="005E68EC"/>
    <w:rsid w:val="005E6C71"/>
    <w:rsid w:val="005E714D"/>
    <w:rsid w:val="005F039B"/>
    <w:rsid w:val="005F0963"/>
    <w:rsid w:val="005F0A64"/>
    <w:rsid w:val="005F0E08"/>
    <w:rsid w:val="005F1006"/>
    <w:rsid w:val="005F25C8"/>
    <w:rsid w:val="005F2824"/>
    <w:rsid w:val="005F2EBA"/>
    <w:rsid w:val="005F30BD"/>
    <w:rsid w:val="005F35ED"/>
    <w:rsid w:val="005F456F"/>
    <w:rsid w:val="005F5A73"/>
    <w:rsid w:val="005F646F"/>
    <w:rsid w:val="005F6A41"/>
    <w:rsid w:val="005F7812"/>
    <w:rsid w:val="005F7A88"/>
    <w:rsid w:val="006004C6"/>
    <w:rsid w:val="006004CC"/>
    <w:rsid w:val="006006DF"/>
    <w:rsid w:val="006012F2"/>
    <w:rsid w:val="006029A0"/>
    <w:rsid w:val="00603A1A"/>
    <w:rsid w:val="006046D5"/>
    <w:rsid w:val="006047FD"/>
    <w:rsid w:val="00605211"/>
    <w:rsid w:val="00606D47"/>
    <w:rsid w:val="00606F9C"/>
    <w:rsid w:val="00607A93"/>
    <w:rsid w:val="00610161"/>
    <w:rsid w:val="006108FC"/>
    <w:rsid w:val="00610C08"/>
    <w:rsid w:val="00610EB9"/>
    <w:rsid w:val="00611F74"/>
    <w:rsid w:val="00613966"/>
    <w:rsid w:val="00613BE3"/>
    <w:rsid w:val="00615647"/>
    <w:rsid w:val="00615772"/>
    <w:rsid w:val="006159A7"/>
    <w:rsid w:val="006178A5"/>
    <w:rsid w:val="00621256"/>
    <w:rsid w:val="00621FCC"/>
    <w:rsid w:val="00622816"/>
    <w:rsid w:val="00622C85"/>
    <w:rsid w:val="00622E4B"/>
    <w:rsid w:val="00623201"/>
    <w:rsid w:val="00623565"/>
    <w:rsid w:val="00623A29"/>
    <w:rsid w:val="00623EF5"/>
    <w:rsid w:val="006268C1"/>
    <w:rsid w:val="00627121"/>
    <w:rsid w:val="00630802"/>
    <w:rsid w:val="00631ABD"/>
    <w:rsid w:val="0063234D"/>
    <w:rsid w:val="006323B7"/>
    <w:rsid w:val="00632BAF"/>
    <w:rsid w:val="006333DA"/>
    <w:rsid w:val="00634631"/>
    <w:rsid w:val="00634C79"/>
    <w:rsid w:val="00635134"/>
    <w:rsid w:val="006356E2"/>
    <w:rsid w:val="00635C41"/>
    <w:rsid w:val="00635FE7"/>
    <w:rsid w:val="00637183"/>
    <w:rsid w:val="00637C80"/>
    <w:rsid w:val="0064067E"/>
    <w:rsid w:val="006416F2"/>
    <w:rsid w:val="00641966"/>
    <w:rsid w:val="006424FB"/>
    <w:rsid w:val="00642A65"/>
    <w:rsid w:val="00642CBF"/>
    <w:rsid w:val="0064374B"/>
    <w:rsid w:val="00643C6B"/>
    <w:rsid w:val="006443EA"/>
    <w:rsid w:val="00644FE4"/>
    <w:rsid w:val="00645751"/>
    <w:rsid w:val="00645DCE"/>
    <w:rsid w:val="006465AC"/>
    <w:rsid w:val="006465BF"/>
    <w:rsid w:val="00646A0B"/>
    <w:rsid w:val="0064751F"/>
    <w:rsid w:val="006479F1"/>
    <w:rsid w:val="00647DBF"/>
    <w:rsid w:val="00650296"/>
    <w:rsid w:val="006505B6"/>
    <w:rsid w:val="00651A14"/>
    <w:rsid w:val="00652136"/>
    <w:rsid w:val="0065276F"/>
    <w:rsid w:val="00653B22"/>
    <w:rsid w:val="006550C3"/>
    <w:rsid w:val="00655C50"/>
    <w:rsid w:val="00656B90"/>
    <w:rsid w:val="00656C92"/>
    <w:rsid w:val="00657071"/>
    <w:rsid w:val="00657BF4"/>
    <w:rsid w:val="00657E96"/>
    <w:rsid w:val="006603FB"/>
    <w:rsid w:val="006608DF"/>
    <w:rsid w:val="006615D6"/>
    <w:rsid w:val="006623AC"/>
    <w:rsid w:val="006625C8"/>
    <w:rsid w:val="006633F7"/>
    <w:rsid w:val="00664015"/>
    <w:rsid w:val="006645E9"/>
    <w:rsid w:val="006649B9"/>
    <w:rsid w:val="00666CF2"/>
    <w:rsid w:val="006678AF"/>
    <w:rsid w:val="0066793B"/>
    <w:rsid w:val="00667E45"/>
    <w:rsid w:val="006701EF"/>
    <w:rsid w:val="00670F3F"/>
    <w:rsid w:val="00671A2F"/>
    <w:rsid w:val="00671A3D"/>
    <w:rsid w:val="00671A99"/>
    <w:rsid w:val="0067211A"/>
    <w:rsid w:val="0067334F"/>
    <w:rsid w:val="00673BA5"/>
    <w:rsid w:val="0067458D"/>
    <w:rsid w:val="0067585D"/>
    <w:rsid w:val="00676317"/>
    <w:rsid w:val="006769CB"/>
    <w:rsid w:val="00677907"/>
    <w:rsid w:val="00677CA7"/>
    <w:rsid w:val="00680058"/>
    <w:rsid w:val="00680099"/>
    <w:rsid w:val="00680B75"/>
    <w:rsid w:val="00680D7A"/>
    <w:rsid w:val="006810D9"/>
    <w:rsid w:val="00681F9F"/>
    <w:rsid w:val="0068240A"/>
    <w:rsid w:val="00683096"/>
    <w:rsid w:val="006833FB"/>
    <w:rsid w:val="00683A78"/>
    <w:rsid w:val="006840EA"/>
    <w:rsid w:val="006844E2"/>
    <w:rsid w:val="00685267"/>
    <w:rsid w:val="00685674"/>
    <w:rsid w:val="00686194"/>
    <w:rsid w:val="00686460"/>
    <w:rsid w:val="00686466"/>
    <w:rsid w:val="00686AE9"/>
    <w:rsid w:val="006872AE"/>
    <w:rsid w:val="00687DB9"/>
    <w:rsid w:val="00690082"/>
    <w:rsid w:val="00690252"/>
    <w:rsid w:val="006921E6"/>
    <w:rsid w:val="0069255F"/>
    <w:rsid w:val="0069291E"/>
    <w:rsid w:val="006929DD"/>
    <w:rsid w:val="00693123"/>
    <w:rsid w:val="00693F1D"/>
    <w:rsid w:val="00694195"/>
    <w:rsid w:val="006946BB"/>
    <w:rsid w:val="00694E21"/>
    <w:rsid w:val="006963E1"/>
    <w:rsid w:val="006969FA"/>
    <w:rsid w:val="006A0FE1"/>
    <w:rsid w:val="006A2702"/>
    <w:rsid w:val="006A35D5"/>
    <w:rsid w:val="006A4885"/>
    <w:rsid w:val="006A6A11"/>
    <w:rsid w:val="006A6AE6"/>
    <w:rsid w:val="006A748A"/>
    <w:rsid w:val="006A7DD4"/>
    <w:rsid w:val="006B043E"/>
    <w:rsid w:val="006B1CFD"/>
    <w:rsid w:val="006B24EE"/>
    <w:rsid w:val="006B3343"/>
    <w:rsid w:val="006B3EC8"/>
    <w:rsid w:val="006B4114"/>
    <w:rsid w:val="006B4199"/>
    <w:rsid w:val="006B51F1"/>
    <w:rsid w:val="006B560F"/>
    <w:rsid w:val="006B614E"/>
    <w:rsid w:val="006B72BB"/>
    <w:rsid w:val="006C04A4"/>
    <w:rsid w:val="006C12D0"/>
    <w:rsid w:val="006C1943"/>
    <w:rsid w:val="006C2676"/>
    <w:rsid w:val="006C28EC"/>
    <w:rsid w:val="006C2960"/>
    <w:rsid w:val="006C418E"/>
    <w:rsid w:val="006C419E"/>
    <w:rsid w:val="006C4A31"/>
    <w:rsid w:val="006C4BAA"/>
    <w:rsid w:val="006C5AC2"/>
    <w:rsid w:val="006C6AFB"/>
    <w:rsid w:val="006C6BC1"/>
    <w:rsid w:val="006C7FE5"/>
    <w:rsid w:val="006D0174"/>
    <w:rsid w:val="006D1455"/>
    <w:rsid w:val="006D175F"/>
    <w:rsid w:val="006D2242"/>
    <w:rsid w:val="006D2735"/>
    <w:rsid w:val="006D2DFB"/>
    <w:rsid w:val="006D3BFF"/>
    <w:rsid w:val="006D45B2"/>
    <w:rsid w:val="006D4B2A"/>
    <w:rsid w:val="006D5C9D"/>
    <w:rsid w:val="006D5F8A"/>
    <w:rsid w:val="006D762B"/>
    <w:rsid w:val="006E045B"/>
    <w:rsid w:val="006E07FB"/>
    <w:rsid w:val="006E0DF1"/>
    <w:rsid w:val="006E0FCC"/>
    <w:rsid w:val="006E0FD0"/>
    <w:rsid w:val="006E19A1"/>
    <w:rsid w:val="006E1E96"/>
    <w:rsid w:val="006E29DC"/>
    <w:rsid w:val="006E2AB0"/>
    <w:rsid w:val="006E2EB0"/>
    <w:rsid w:val="006E3E05"/>
    <w:rsid w:val="006E4450"/>
    <w:rsid w:val="006E5095"/>
    <w:rsid w:val="006E5598"/>
    <w:rsid w:val="006E5B32"/>
    <w:rsid w:val="006E5E21"/>
    <w:rsid w:val="006F12DE"/>
    <w:rsid w:val="006F1A4F"/>
    <w:rsid w:val="006F1B83"/>
    <w:rsid w:val="006F2648"/>
    <w:rsid w:val="006F28C3"/>
    <w:rsid w:val="006F29BB"/>
    <w:rsid w:val="006F2D3E"/>
    <w:rsid w:val="006F2F10"/>
    <w:rsid w:val="006F30B4"/>
    <w:rsid w:val="006F39B8"/>
    <w:rsid w:val="006F3A65"/>
    <w:rsid w:val="006F3DF5"/>
    <w:rsid w:val="006F482B"/>
    <w:rsid w:val="006F4C43"/>
    <w:rsid w:val="006F5D9D"/>
    <w:rsid w:val="006F617E"/>
    <w:rsid w:val="006F6311"/>
    <w:rsid w:val="006F6775"/>
    <w:rsid w:val="006F6E05"/>
    <w:rsid w:val="006F6E8B"/>
    <w:rsid w:val="006F71F7"/>
    <w:rsid w:val="006F78A8"/>
    <w:rsid w:val="00700102"/>
    <w:rsid w:val="00701119"/>
    <w:rsid w:val="0070117B"/>
    <w:rsid w:val="00701952"/>
    <w:rsid w:val="00702062"/>
    <w:rsid w:val="0070210D"/>
    <w:rsid w:val="007021D2"/>
    <w:rsid w:val="007022F4"/>
    <w:rsid w:val="00702556"/>
    <w:rsid w:val="0070277E"/>
    <w:rsid w:val="00702C30"/>
    <w:rsid w:val="00703292"/>
    <w:rsid w:val="00704156"/>
    <w:rsid w:val="00704D0E"/>
    <w:rsid w:val="007068F7"/>
    <w:rsid w:val="007069FC"/>
    <w:rsid w:val="0070751A"/>
    <w:rsid w:val="00707777"/>
    <w:rsid w:val="007077B6"/>
    <w:rsid w:val="00707DF9"/>
    <w:rsid w:val="00711221"/>
    <w:rsid w:val="0071178A"/>
    <w:rsid w:val="00711F4B"/>
    <w:rsid w:val="00712675"/>
    <w:rsid w:val="007131B3"/>
    <w:rsid w:val="00713808"/>
    <w:rsid w:val="00714C3E"/>
    <w:rsid w:val="007151B6"/>
    <w:rsid w:val="007151DC"/>
    <w:rsid w:val="0071520D"/>
    <w:rsid w:val="00715EDB"/>
    <w:rsid w:val="007160D5"/>
    <w:rsid w:val="007163FB"/>
    <w:rsid w:val="00717029"/>
    <w:rsid w:val="00717C2E"/>
    <w:rsid w:val="007204FA"/>
    <w:rsid w:val="007213B3"/>
    <w:rsid w:val="00721B64"/>
    <w:rsid w:val="00722571"/>
    <w:rsid w:val="00722F71"/>
    <w:rsid w:val="00723286"/>
    <w:rsid w:val="007233CC"/>
    <w:rsid w:val="0072444A"/>
    <w:rsid w:val="0072457F"/>
    <w:rsid w:val="0072497D"/>
    <w:rsid w:val="00725356"/>
    <w:rsid w:val="00725406"/>
    <w:rsid w:val="00725FD3"/>
    <w:rsid w:val="0072621B"/>
    <w:rsid w:val="007262A9"/>
    <w:rsid w:val="0072636F"/>
    <w:rsid w:val="00726D90"/>
    <w:rsid w:val="007270AE"/>
    <w:rsid w:val="00730555"/>
    <w:rsid w:val="00730835"/>
    <w:rsid w:val="00730A3F"/>
    <w:rsid w:val="007312CC"/>
    <w:rsid w:val="007317D3"/>
    <w:rsid w:val="007319BA"/>
    <w:rsid w:val="00731F27"/>
    <w:rsid w:val="00732339"/>
    <w:rsid w:val="007348D3"/>
    <w:rsid w:val="007354BE"/>
    <w:rsid w:val="00736A64"/>
    <w:rsid w:val="00736B54"/>
    <w:rsid w:val="00737151"/>
    <w:rsid w:val="00737795"/>
    <w:rsid w:val="00737D08"/>
    <w:rsid w:val="00737F6A"/>
    <w:rsid w:val="00740578"/>
    <w:rsid w:val="007410B6"/>
    <w:rsid w:val="00741C6E"/>
    <w:rsid w:val="00741DE6"/>
    <w:rsid w:val="007424CB"/>
    <w:rsid w:val="0074287F"/>
    <w:rsid w:val="00742A86"/>
    <w:rsid w:val="00742CCA"/>
    <w:rsid w:val="00742CFD"/>
    <w:rsid w:val="00742E87"/>
    <w:rsid w:val="00744C6F"/>
    <w:rsid w:val="007450EF"/>
    <w:rsid w:val="007457F6"/>
    <w:rsid w:val="00745ABB"/>
    <w:rsid w:val="00746441"/>
    <w:rsid w:val="0074673A"/>
    <w:rsid w:val="00746A8D"/>
    <w:rsid w:val="00746D88"/>
    <w:rsid w:val="00746E38"/>
    <w:rsid w:val="00747906"/>
    <w:rsid w:val="00747CD5"/>
    <w:rsid w:val="00751665"/>
    <w:rsid w:val="00752698"/>
    <w:rsid w:val="007530FE"/>
    <w:rsid w:val="007535FB"/>
    <w:rsid w:val="00753B51"/>
    <w:rsid w:val="00755332"/>
    <w:rsid w:val="00755A7C"/>
    <w:rsid w:val="00755FB5"/>
    <w:rsid w:val="00756629"/>
    <w:rsid w:val="007568AD"/>
    <w:rsid w:val="00756AE5"/>
    <w:rsid w:val="007575D2"/>
    <w:rsid w:val="00757B4F"/>
    <w:rsid w:val="00757B6A"/>
    <w:rsid w:val="00757E23"/>
    <w:rsid w:val="007610E0"/>
    <w:rsid w:val="007621AA"/>
    <w:rsid w:val="0076260A"/>
    <w:rsid w:val="00762632"/>
    <w:rsid w:val="00762A2A"/>
    <w:rsid w:val="007638CB"/>
    <w:rsid w:val="00763E20"/>
    <w:rsid w:val="00764A67"/>
    <w:rsid w:val="00765206"/>
    <w:rsid w:val="0076533E"/>
    <w:rsid w:val="00765FFF"/>
    <w:rsid w:val="00766714"/>
    <w:rsid w:val="00766CDC"/>
    <w:rsid w:val="007675AC"/>
    <w:rsid w:val="00767985"/>
    <w:rsid w:val="00770F6B"/>
    <w:rsid w:val="00771883"/>
    <w:rsid w:val="00771D33"/>
    <w:rsid w:val="00772DCB"/>
    <w:rsid w:val="00773CF3"/>
    <w:rsid w:val="00774B1B"/>
    <w:rsid w:val="00775B96"/>
    <w:rsid w:val="00776DC2"/>
    <w:rsid w:val="007779C2"/>
    <w:rsid w:val="00780122"/>
    <w:rsid w:val="00780F1D"/>
    <w:rsid w:val="00781761"/>
    <w:rsid w:val="0078214B"/>
    <w:rsid w:val="00783718"/>
    <w:rsid w:val="00783CC2"/>
    <w:rsid w:val="00784965"/>
    <w:rsid w:val="0078498A"/>
    <w:rsid w:val="00785894"/>
    <w:rsid w:val="00785D82"/>
    <w:rsid w:val="00786CAE"/>
    <w:rsid w:val="00786CDB"/>
    <w:rsid w:val="00786FB2"/>
    <w:rsid w:val="007904F5"/>
    <w:rsid w:val="00790C06"/>
    <w:rsid w:val="0079168D"/>
    <w:rsid w:val="00791AEC"/>
    <w:rsid w:val="00791C5B"/>
    <w:rsid w:val="007920F9"/>
    <w:rsid w:val="00792124"/>
    <w:rsid w:val="00792135"/>
    <w:rsid w:val="00792207"/>
    <w:rsid w:val="00792B64"/>
    <w:rsid w:val="00792D1C"/>
    <w:rsid w:val="00792E29"/>
    <w:rsid w:val="0079379A"/>
    <w:rsid w:val="00794953"/>
    <w:rsid w:val="00794AD0"/>
    <w:rsid w:val="00794D03"/>
    <w:rsid w:val="00795BC3"/>
    <w:rsid w:val="007967C8"/>
    <w:rsid w:val="007978B9"/>
    <w:rsid w:val="00797A99"/>
    <w:rsid w:val="007A0CED"/>
    <w:rsid w:val="007A1941"/>
    <w:rsid w:val="007A1F2F"/>
    <w:rsid w:val="007A2A5C"/>
    <w:rsid w:val="007A3656"/>
    <w:rsid w:val="007A390B"/>
    <w:rsid w:val="007A4349"/>
    <w:rsid w:val="007A4766"/>
    <w:rsid w:val="007A5150"/>
    <w:rsid w:val="007A5373"/>
    <w:rsid w:val="007A58B7"/>
    <w:rsid w:val="007A58FB"/>
    <w:rsid w:val="007A789F"/>
    <w:rsid w:val="007B10A5"/>
    <w:rsid w:val="007B162E"/>
    <w:rsid w:val="007B1C67"/>
    <w:rsid w:val="007B201E"/>
    <w:rsid w:val="007B3058"/>
    <w:rsid w:val="007B3652"/>
    <w:rsid w:val="007B384A"/>
    <w:rsid w:val="007B5DF2"/>
    <w:rsid w:val="007B75BC"/>
    <w:rsid w:val="007B78F3"/>
    <w:rsid w:val="007B7AFD"/>
    <w:rsid w:val="007C002D"/>
    <w:rsid w:val="007C0BD6"/>
    <w:rsid w:val="007C0F57"/>
    <w:rsid w:val="007C153C"/>
    <w:rsid w:val="007C159B"/>
    <w:rsid w:val="007C3806"/>
    <w:rsid w:val="007C5BB7"/>
    <w:rsid w:val="007C5BD4"/>
    <w:rsid w:val="007C7280"/>
    <w:rsid w:val="007D07D5"/>
    <w:rsid w:val="007D1C64"/>
    <w:rsid w:val="007D29E9"/>
    <w:rsid w:val="007D3047"/>
    <w:rsid w:val="007D32DD"/>
    <w:rsid w:val="007D355A"/>
    <w:rsid w:val="007D3BA4"/>
    <w:rsid w:val="007D5165"/>
    <w:rsid w:val="007D544E"/>
    <w:rsid w:val="007D5D76"/>
    <w:rsid w:val="007D699E"/>
    <w:rsid w:val="007D6DCE"/>
    <w:rsid w:val="007D72C4"/>
    <w:rsid w:val="007D7E63"/>
    <w:rsid w:val="007E06A8"/>
    <w:rsid w:val="007E1731"/>
    <w:rsid w:val="007E19CC"/>
    <w:rsid w:val="007E23C0"/>
    <w:rsid w:val="007E28E5"/>
    <w:rsid w:val="007E2C2A"/>
    <w:rsid w:val="007E2CFE"/>
    <w:rsid w:val="007E2EA1"/>
    <w:rsid w:val="007E42DA"/>
    <w:rsid w:val="007E59C9"/>
    <w:rsid w:val="007E6CD8"/>
    <w:rsid w:val="007E7B0D"/>
    <w:rsid w:val="007F0072"/>
    <w:rsid w:val="007F00FB"/>
    <w:rsid w:val="007F041B"/>
    <w:rsid w:val="007F04AE"/>
    <w:rsid w:val="007F183E"/>
    <w:rsid w:val="007F1984"/>
    <w:rsid w:val="007F2B1F"/>
    <w:rsid w:val="007F2EB6"/>
    <w:rsid w:val="007F2FFA"/>
    <w:rsid w:val="007F54C3"/>
    <w:rsid w:val="007F6219"/>
    <w:rsid w:val="007F7BF5"/>
    <w:rsid w:val="00800171"/>
    <w:rsid w:val="008005A9"/>
    <w:rsid w:val="008008DA"/>
    <w:rsid w:val="00802949"/>
    <w:rsid w:val="00802BE1"/>
    <w:rsid w:val="0080301E"/>
    <w:rsid w:val="0080365F"/>
    <w:rsid w:val="00804E80"/>
    <w:rsid w:val="00805A4F"/>
    <w:rsid w:val="00805EE9"/>
    <w:rsid w:val="00806553"/>
    <w:rsid w:val="0081042D"/>
    <w:rsid w:val="0081060E"/>
    <w:rsid w:val="0081135C"/>
    <w:rsid w:val="00811753"/>
    <w:rsid w:val="008123BD"/>
    <w:rsid w:val="00812BE5"/>
    <w:rsid w:val="00812E16"/>
    <w:rsid w:val="0081378F"/>
    <w:rsid w:val="00814F97"/>
    <w:rsid w:val="00816569"/>
    <w:rsid w:val="0081714A"/>
    <w:rsid w:val="00817429"/>
    <w:rsid w:val="00817A00"/>
    <w:rsid w:val="00817EC7"/>
    <w:rsid w:val="00820118"/>
    <w:rsid w:val="008204F2"/>
    <w:rsid w:val="00821514"/>
    <w:rsid w:val="00821E35"/>
    <w:rsid w:val="008225DA"/>
    <w:rsid w:val="00822650"/>
    <w:rsid w:val="008227FB"/>
    <w:rsid w:val="008237F1"/>
    <w:rsid w:val="00823D3C"/>
    <w:rsid w:val="00824591"/>
    <w:rsid w:val="00824AED"/>
    <w:rsid w:val="008252C8"/>
    <w:rsid w:val="00825550"/>
    <w:rsid w:val="00825CF7"/>
    <w:rsid w:val="0082685A"/>
    <w:rsid w:val="00827820"/>
    <w:rsid w:val="008301FF"/>
    <w:rsid w:val="008307F7"/>
    <w:rsid w:val="00831B8B"/>
    <w:rsid w:val="00832F09"/>
    <w:rsid w:val="008333B5"/>
    <w:rsid w:val="0083405D"/>
    <w:rsid w:val="00834335"/>
    <w:rsid w:val="008352D4"/>
    <w:rsid w:val="00835F1B"/>
    <w:rsid w:val="008361AE"/>
    <w:rsid w:val="00836DB9"/>
    <w:rsid w:val="00837AA2"/>
    <w:rsid w:val="00837C67"/>
    <w:rsid w:val="008415B0"/>
    <w:rsid w:val="00842028"/>
    <w:rsid w:val="00842A5B"/>
    <w:rsid w:val="008436B8"/>
    <w:rsid w:val="008446A1"/>
    <w:rsid w:val="00844E0D"/>
    <w:rsid w:val="00845DCB"/>
    <w:rsid w:val="008460B6"/>
    <w:rsid w:val="00846974"/>
    <w:rsid w:val="0084745B"/>
    <w:rsid w:val="00847D6E"/>
    <w:rsid w:val="00850283"/>
    <w:rsid w:val="008502C7"/>
    <w:rsid w:val="00850AFB"/>
    <w:rsid w:val="00850C9D"/>
    <w:rsid w:val="00850DC9"/>
    <w:rsid w:val="0085119C"/>
    <w:rsid w:val="00851F6C"/>
    <w:rsid w:val="008521C6"/>
    <w:rsid w:val="00852B59"/>
    <w:rsid w:val="00852CF5"/>
    <w:rsid w:val="008542CE"/>
    <w:rsid w:val="00854470"/>
    <w:rsid w:val="00855328"/>
    <w:rsid w:val="008553A0"/>
    <w:rsid w:val="00855C98"/>
    <w:rsid w:val="00855EA0"/>
    <w:rsid w:val="0085604B"/>
    <w:rsid w:val="00856272"/>
    <w:rsid w:val="008563FF"/>
    <w:rsid w:val="00856CC2"/>
    <w:rsid w:val="00856D4F"/>
    <w:rsid w:val="0085730D"/>
    <w:rsid w:val="0085747A"/>
    <w:rsid w:val="008578D9"/>
    <w:rsid w:val="00857D54"/>
    <w:rsid w:val="0086018B"/>
    <w:rsid w:val="00860E18"/>
    <w:rsid w:val="00861013"/>
    <w:rsid w:val="008611DD"/>
    <w:rsid w:val="008620DE"/>
    <w:rsid w:val="00864367"/>
    <w:rsid w:val="008645AF"/>
    <w:rsid w:val="00864A8C"/>
    <w:rsid w:val="00864F8E"/>
    <w:rsid w:val="008653B3"/>
    <w:rsid w:val="00865D7A"/>
    <w:rsid w:val="008663C3"/>
    <w:rsid w:val="00866867"/>
    <w:rsid w:val="00867E8F"/>
    <w:rsid w:val="00870CB8"/>
    <w:rsid w:val="00872257"/>
    <w:rsid w:val="00874DB5"/>
    <w:rsid w:val="00874EC1"/>
    <w:rsid w:val="008753E6"/>
    <w:rsid w:val="00875BDB"/>
    <w:rsid w:val="008764A6"/>
    <w:rsid w:val="0087738C"/>
    <w:rsid w:val="00877F5D"/>
    <w:rsid w:val="00880184"/>
    <w:rsid w:val="008802AF"/>
    <w:rsid w:val="008811EE"/>
    <w:rsid w:val="00881926"/>
    <w:rsid w:val="00882153"/>
    <w:rsid w:val="008827FB"/>
    <w:rsid w:val="00882E49"/>
    <w:rsid w:val="00883097"/>
    <w:rsid w:val="0088318F"/>
    <w:rsid w:val="0088331D"/>
    <w:rsid w:val="008847BC"/>
    <w:rsid w:val="00884818"/>
    <w:rsid w:val="008848C5"/>
    <w:rsid w:val="008852B0"/>
    <w:rsid w:val="008857C0"/>
    <w:rsid w:val="00885AE7"/>
    <w:rsid w:val="00886797"/>
    <w:rsid w:val="00886AD4"/>
    <w:rsid w:val="00886B60"/>
    <w:rsid w:val="008875B4"/>
    <w:rsid w:val="00887889"/>
    <w:rsid w:val="008920FF"/>
    <w:rsid w:val="008926E8"/>
    <w:rsid w:val="008930AD"/>
    <w:rsid w:val="00893C5F"/>
    <w:rsid w:val="00893C82"/>
    <w:rsid w:val="00894F19"/>
    <w:rsid w:val="0089551A"/>
    <w:rsid w:val="008957F8"/>
    <w:rsid w:val="008960D5"/>
    <w:rsid w:val="0089627C"/>
    <w:rsid w:val="00896A10"/>
    <w:rsid w:val="00896D74"/>
    <w:rsid w:val="008971B5"/>
    <w:rsid w:val="008A0C68"/>
    <w:rsid w:val="008A25AB"/>
    <w:rsid w:val="008A2E9B"/>
    <w:rsid w:val="008A2F18"/>
    <w:rsid w:val="008A3455"/>
    <w:rsid w:val="008A363A"/>
    <w:rsid w:val="008A3A6A"/>
    <w:rsid w:val="008A522B"/>
    <w:rsid w:val="008A5D26"/>
    <w:rsid w:val="008A635C"/>
    <w:rsid w:val="008A6B13"/>
    <w:rsid w:val="008A6ECB"/>
    <w:rsid w:val="008A78B5"/>
    <w:rsid w:val="008B0296"/>
    <w:rsid w:val="008B07AE"/>
    <w:rsid w:val="008B0BF9"/>
    <w:rsid w:val="008B2866"/>
    <w:rsid w:val="008B36DE"/>
    <w:rsid w:val="008B3859"/>
    <w:rsid w:val="008B436D"/>
    <w:rsid w:val="008B4E49"/>
    <w:rsid w:val="008B7712"/>
    <w:rsid w:val="008B7B26"/>
    <w:rsid w:val="008B7C6A"/>
    <w:rsid w:val="008C04BF"/>
    <w:rsid w:val="008C079D"/>
    <w:rsid w:val="008C0CC0"/>
    <w:rsid w:val="008C126A"/>
    <w:rsid w:val="008C19C3"/>
    <w:rsid w:val="008C2DEF"/>
    <w:rsid w:val="008C3391"/>
    <w:rsid w:val="008C3524"/>
    <w:rsid w:val="008C4061"/>
    <w:rsid w:val="008C4229"/>
    <w:rsid w:val="008C4261"/>
    <w:rsid w:val="008C4404"/>
    <w:rsid w:val="008C4669"/>
    <w:rsid w:val="008C52CF"/>
    <w:rsid w:val="008C5BE0"/>
    <w:rsid w:val="008C5BE2"/>
    <w:rsid w:val="008C6573"/>
    <w:rsid w:val="008C6758"/>
    <w:rsid w:val="008C7233"/>
    <w:rsid w:val="008C73F8"/>
    <w:rsid w:val="008C79EE"/>
    <w:rsid w:val="008D0606"/>
    <w:rsid w:val="008D135F"/>
    <w:rsid w:val="008D2434"/>
    <w:rsid w:val="008D2ED1"/>
    <w:rsid w:val="008D3348"/>
    <w:rsid w:val="008D3D63"/>
    <w:rsid w:val="008D4724"/>
    <w:rsid w:val="008D4B1F"/>
    <w:rsid w:val="008D52C1"/>
    <w:rsid w:val="008D6D4E"/>
    <w:rsid w:val="008D740C"/>
    <w:rsid w:val="008D75F8"/>
    <w:rsid w:val="008D789F"/>
    <w:rsid w:val="008D7C95"/>
    <w:rsid w:val="008E0775"/>
    <w:rsid w:val="008E11D6"/>
    <w:rsid w:val="008E171D"/>
    <w:rsid w:val="008E2785"/>
    <w:rsid w:val="008E2FDF"/>
    <w:rsid w:val="008E3268"/>
    <w:rsid w:val="008E3871"/>
    <w:rsid w:val="008E3A38"/>
    <w:rsid w:val="008E4581"/>
    <w:rsid w:val="008E5784"/>
    <w:rsid w:val="008E5DCF"/>
    <w:rsid w:val="008E5E51"/>
    <w:rsid w:val="008E6766"/>
    <w:rsid w:val="008E72CE"/>
    <w:rsid w:val="008E78A3"/>
    <w:rsid w:val="008F0401"/>
    <w:rsid w:val="008F0654"/>
    <w:rsid w:val="008F06CB"/>
    <w:rsid w:val="008F118D"/>
    <w:rsid w:val="008F232A"/>
    <w:rsid w:val="008F23A1"/>
    <w:rsid w:val="008F2E49"/>
    <w:rsid w:val="008F2E83"/>
    <w:rsid w:val="008F3625"/>
    <w:rsid w:val="008F40DA"/>
    <w:rsid w:val="008F612A"/>
    <w:rsid w:val="008F6149"/>
    <w:rsid w:val="008F6A19"/>
    <w:rsid w:val="008F7FEC"/>
    <w:rsid w:val="0090231E"/>
    <w:rsid w:val="0090293D"/>
    <w:rsid w:val="00902E8A"/>
    <w:rsid w:val="00902FF5"/>
    <w:rsid w:val="009034DE"/>
    <w:rsid w:val="0090366E"/>
    <w:rsid w:val="009039A4"/>
    <w:rsid w:val="00903AFE"/>
    <w:rsid w:val="00903BC9"/>
    <w:rsid w:val="00904E15"/>
    <w:rsid w:val="00905396"/>
    <w:rsid w:val="0090605D"/>
    <w:rsid w:val="00906278"/>
    <w:rsid w:val="0090629F"/>
    <w:rsid w:val="00906419"/>
    <w:rsid w:val="009078B5"/>
    <w:rsid w:val="00907B69"/>
    <w:rsid w:val="00910256"/>
    <w:rsid w:val="00911068"/>
    <w:rsid w:val="00911972"/>
    <w:rsid w:val="00912713"/>
    <w:rsid w:val="00912889"/>
    <w:rsid w:val="00912C40"/>
    <w:rsid w:val="00913435"/>
    <w:rsid w:val="00913843"/>
    <w:rsid w:val="00913A42"/>
    <w:rsid w:val="00914167"/>
    <w:rsid w:val="009143DB"/>
    <w:rsid w:val="00914C45"/>
    <w:rsid w:val="00915065"/>
    <w:rsid w:val="009151C8"/>
    <w:rsid w:val="00915CBE"/>
    <w:rsid w:val="00916135"/>
    <w:rsid w:val="00916AD6"/>
    <w:rsid w:val="0091786E"/>
    <w:rsid w:val="00917CE5"/>
    <w:rsid w:val="009204A0"/>
    <w:rsid w:val="00920970"/>
    <w:rsid w:val="009215D2"/>
    <w:rsid w:val="009217C0"/>
    <w:rsid w:val="00922048"/>
    <w:rsid w:val="009227F6"/>
    <w:rsid w:val="00923EE7"/>
    <w:rsid w:val="00924181"/>
    <w:rsid w:val="0092459C"/>
    <w:rsid w:val="00924EC6"/>
    <w:rsid w:val="00925172"/>
    <w:rsid w:val="00925241"/>
    <w:rsid w:val="00925B0F"/>
    <w:rsid w:val="00925CEC"/>
    <w:rsid w:val="00926A3F"/>
    <w:rsid w:val="009274E5"/>
    <w:rsid w:val="00927763"/>
    <w:rsid w:val="0092794E"/>
    <w:rsid w:val="009300F1"/>
    <w:rsid w:val="00930C31"/>
    <w:rsid w:val="00930D30"/>
    <w:rsid w:val="00931BEA"/>
    <w:rsid w:val="00931E28"/>
    <w:rsid w:val="009329D4"/>
    <w:rsid w:val="00932D1C"/>
    <w:rsid w:val="00932E22"/>
    <w:rsid w:val="009332A2"/>
    <w:rsid w:val="00933EC0"/>
    <w:rsid w:val="00934068"/>
    <w:rsid w:val="009344B7"/>
    <w:rsid w:val="00934A0D"/>
    <w:rsid w:val="00934A27"/>
    <w:rsid w:val="00935023"/>
    <w:rsid w:val="00937598"/>
    <w:rsid w:val="0093790B"/>
    <w:rsid w:val="0094026B"/>
    <w:rsid w:val="00941983"/>
    <w:rsid w:val="009421CA"/>
    <w:rsid w:val="0094268A"/>
    <w:rsid w:val="00942F06"/>
    <w:rsid w:val="009430F6"/>
    <w:rsid w:val="00943751"/>
    <w:rsid w:val="00944A7B"/>
    <w:rsid w:val="00944F51"/>
    <w:rsid w:val="009456DF"/>
    <w:rsid w:val="00946DD0"/>
    <w:rsid w:val="00947B5E"/>
    <w:rsid w:val="00950014"/>
    <w:rsid w:val="009509E6"/>
    <w:rsid w:val="00951F64"/>
    <w:rsid w:val="00952018"/>
    <w:rsid w:val="00952800"/>
    <w:rsid w:val="00952CC6"/>
    <w:rsid w:val="0095300D"/>
    <w:rsid w:val="0095487C"/>
    <w:rsid w:val="00955500"/>
    <w:rsid w:val="00956812"/>
    <w:rsid w:val="0095719A"/>
    <w:rsid w:val="00960E50"/>
    <w:rsid w:val="00960FB5"/>
    <w:rsid w:val="009610CC"/>
    <w:rsid w:val="00961688"/>
    <w:rsid w:val="009623E9"/>
    <w:rsid w:val="00962B35"/>
    <w:rsid w:val="00962D75"/>
    <w:rsid w:val="00963EEB"/>
    <w:rsid w:val="00964062"/>
    <w:rsid w:val="0096406E"/>
    <w:rsid w:val="00964494"/>
    <w:rsid w:val="009648BC"/>
    <w:rsid w:val="00964C2F"/>
    <w:rsid w:val="00965F88"/>
    <w:rsid w:val="00967CB3"/>
    <w:rsid w:val="00970055"/>
    <w:rsid w:val="00970587"/>
    <w:rsid w:val="00970BA7"/>
    <w:rsid w:val="0097147F"/>
    <w:rsid w:val="009738E2"/>
    <w:rsid w:val="00973BA0"/>
    <w:rsid w:val="00973DD3"/>
    <w:rsid w:val="00974030"/>
    <w:rsid w:val="00974058"/>
    <w:rsid w:val="0097415D"/>
    <w:rsid w:val="00974AD9"/>
    <w:rsid w:val="00975947"/>
    <w:rsid w:val="009777CF"/>
    <w:rsid w:val="009807C0"/>
    <w:rsid w:val="00980EBF"/>
    <w:rsid w:val="00981CC3"/>
    <w:rsid w:val="009820BC"/>
    <w:rsid w:val="00984DDB"/>
    <w:rsid w:val="00984E03"/>
    <w:rsid w:val="00985211"/>
    <w:rsid w:val="0098583B"/>
    <w:rsid w:val="00986555"/>
    <w:rsid w:val="009878D1"/>
    <w:rsid w:val="00987E85"/>
    <w:rsid w:val="00990945"/>
    <w:rsid w:val="00992F97"/>
    <w:rsid w:val="009948DF"/>
    <w:rsid w:val="00995334"/>
    <w:rsid w:val="00995885"/>
    <w:rsid w:val="00995C9C"/>
    <w:rsid w:val="009A0142"/>
    <w:rsid w:val="009A0D12"/>
    <w:rsid w:val="009A1987"/>
    <w:rsid w:val="009A237A"/>
    <w:rsid w:val="009A239C"/>
    <w:rsid w:val="009A2A7D"/>
    <w:rsid w:val="009A2B4F"/>
    <w:rsid w:val="009A2BEE"/>
    <w:rsid w:val="009A4006"/>
    <w:rsid w:val="009A50F5"/>
    <w:rsid w:val="009A5289"/>
    <w:rsid w:val="009A748E"/>
    <w:rsid w:val="009A7A53"/>
    <w:rsid w:val="009A7DF0"/>
    <w:rsid w:val="009B0402"/>
    <w:rsid w:val="009B08D7"/>
    <w:rsid w:val="009B0B75"/>
    <w:rsid w:val="009B16DF"/>
    <w:rsid w:val="009B1F26"/>
    <w:rsid w:val="009B1F98"/>
    <w:rsid w:val="009B201B"/>
    <w:rsid w:val="009B2B2F"/>
    <w:rsid w:val="009B4CB2"/>
    <w:rsid w:val="009B51AD"/>
    <w:rsid w:val="009B5895"/>
    <w:rsid w:val="009B6701"/>
    <w:rsid w:val="009B6E2B"/>
    <w:rsid w:val="009B6EF7"/>
    <w:rsid w:val="009B6F57"/>
    <w:rsid w:val="009B6FB9"/>
    <w:rsid w:val="009B7000"/>
    <w:rsid w:val="009B739C"/>
    <w:rsid w:val="009C0465"/>
    <w:rsid w:val="009C04EC"/>
    <w:rsid w:val="009C05E3"/>
    <w:rsid w:val="009C0C39"/>
    <w:rsid w:val="009C162E"/>
    <w:rsid w:val="009C2757"/>
    <w:rsid w:val="009C2E08"/>
    <w:rsid w:val="009C2ECA"/>
    <w:rsid w:val="009C328C"/>
    <w:rsid w:val="009C3325"/>
    <w:rsid w:val="009C4444"/>
    <w:rsid w:val="009C4AD1"/>
    <w:rsid w:val="009C4AFB"/>
    <w:rsid w:val="009C646F"/>
    <w:rsid w:val="009C6549"/>
    <w:rsid w:val="009C6F0F"/>
    <w:rsid w:val="009C72D0"/>
    <w:rsid w:val="009C73AA"/>
    <w:rsid w:val="009C7482"/>
    <w:rsid w:val="009C789D"/>
    <w:rsid w:val="009C79AD"/>
    <w:rsid w:val="009C7CA6"/>
    <w:rsid w:val="009D0559"/>
    <w:rsid w:val="009D0856"/>
    <w:rsid w:val="009D148C"/>
    <w:rsid w:val="009D3316"/>
    <w:rsid w:val="009D3E1E"/>
    <w:rsid w:val="009D48AC"/>
    <w:rsid w:val="009D533A"/>
    <w:rsid w:val="009D55AA"/>
    <w:rsid w:val="009D6ACD"/>
    <w:rsid w:val="009E0462"/>
    <w:rsid w:val="009E3263"/>
    <w:rsid w:val="009E3E44"/>
    <w:rsid w:val="009E3E77"/>
    <w:rsid w:val="009E3FAB"/>
    <w:rsid w:val="009E4B73"/>
    <w:rsid w:val="009E5B3F"/>
    <w:rsid w:val="009E60D5"/>
    <w:rsid w:val="009E6932"/>
    <w:rsid w:val="009E7AFB"/>
    <w:rsid w:val="009E7D90"/>
    <w:rsid w:val="009F061A"/>
    <w:rsid w:val="009F09D1"/>
    <w:rsid w:val="009F0DF3"/>
    <w:rsid w:val="009F1083"/>
    <w:rsid w:val="009F1AB0"/>
    <w:rsid w:val="009F209A"/>
    <w:rsid w:val="009F213C"/>
    <w:rsid w:val="009F3742"/>
    <w:rsid w:val="009F501D"/>
    <w:rsid w:val="00A01EFF"/>
    <w:rsid w:val="00A02249"/>
    <w:rsid w:val="00A0336D"/>
    <w:rsid w:val="00A039D5"/>
    <w:rsid w:val="00A046AD"/>
    <w:rsid w:val="00A0486F"/>
    <w:rsid w:val="00A052D5"/>
    <w:rsid w:val="00A064E2"/>
    <w:rsid w:val="00A0667D"/>
    <w:rsid w:val="00A06688"/>
    <w:rsid w:val="00A06D1E"/>
    <w:rsid w:val="00A079C1"/>
    <w:rsid w:val="00A07C0F"/>
    <w:rsid w:val="00A10EE5"/>
    <w:rsid w:val="00A11535"/>
    <w:rsid w:val="00A12520"/>
    <w:rsid w:val="00A130FD"/>
    <w:rsid w:val="00A13370"/>
    <w:rsid w:val="00A1351B"/>
    <w:rsid w:val="00A13908"/>
    <w:rsid w:val="00A13D6D"/>
    <w:rsid w:val="00A141B6"/>
    <w:rsid w:val="00A144FF"/>
    <w:rsid w:val="00A145AF"/>
    <w:rsid w:val="00A14769"/>
    <w:rsid w:val="00A14CC3"/>
    <w:rsid w:val="00A15D1F"/>
    <w:rsid w:val="00A16151"/>
    <w:rsid w:val="00A16368"/>
    <w:rsid w:val="00A16EC6"/>
    <w:rsid w:val="00A17404"/>
    <w:rsid w:val="00A17686"/>
    <w:rsid w:val="00A17C06"/>
    <w:rsid w:val="00A17DE1"/>
    <w:rsid w:val="00A2024F"/>
    <w:rsid w:val="00A20634"/>
    <w:rsid w:val="00A20739"/>
    <w:rsid w:val="00A2126E"/>
    <w:rsid w:val="00A216D1"/>
    <w:rsid w:val="00A21706"/>
    <w:rsid w:val="00A22D8A"/>
    <w:rsid w:val="00A231DF"/>
    <w:rsid w:val="00A236F6"/>
    <w:rsid w:val="00A2423F"/>
    <w:rsid w:val="00A2489B"/>
    <w:rsid w:val="00A24FCC"/>
    <w:rsid w:val="00A257F4"/>
    <w:rsid w:val="00A26462"/>
    <w:rsid w:val="00A26957"/>
    <w:rsid w:val="00A26A90"/>
    <w:rsid w:val="00A26B27"/>
    <w:rsid w:val="00A2739C"/>
    <w:rsid w:val="00A306D4"/>
    <w:rsid w:val="00A30C54"/>
    <w:rsid w:val="00A30E4F"/>
    <w:rsid w:val="00A315F6"/>
    <w:rsid w:val="00A31C7D"/>
    <w:rsid w:val="00A32253"/>
    <w:rsid w:val="00A3290F"/>
    <w:rsid w:val="00A33019"/>
    <w:rsid w:val="00A3310E"/>
    <w:rsid w:val="00A333A0"/>
    <w:rsid w:val="00A343D1"/>
    <w:rsid w:val="00A3452D"/>
    <w:rsid w:val="00A34C83"/>
    <w:rsid w:val="00A3674F"/>
    <w:rsid w:val="00A37A72"/>
    <w:rsid w:val="00A37D7E"/>
    <w:rsid w:val="00A37E70"/>
    <w:rsid w:val="00A4030F"/>
    <w:rsid w:val="00A413CD"/>
    <w:rsid w:val="00A430AD"/>
    <w:rsid w:val="00A437E1"/>
    <w:rsid w:val="00A43A1D"/>
    <w:rsid w:val="00A43CE9"/>
    <w:rsid w:val="00A4504D"/>
    <w:rsid w:val="00A46083"/>
    <w:rsid w:val="00A46177"/>
    <w:rsid w:val="00A4685E"/>
    <w:rsid w:val="00A47C30"/>
    <w:rsid w:val="00A50BB9"/>
    <w:rsid w:val="00A50CD4"/>
    <w:rsid w:val="00A51191"/>
    <w:rsid w:val="00A5451B"/>
    <w:rsid w:val="00A55332"/>
    <w:rsid w:val="00A56409"/>
    <w:rsid w:val="00A568B6"/>
    <w:rsid w:val="00A56D62"/>
    <w:rsid w:val="00A56F07"/>
    <w:rsid w:val="00A5762C"/>
    <w:rsid w:val="00A600FC"/>
    <w:rsid w:val="00A60821"/>
    <w:rsid w:val="00A60BCA"/>
    <w:rsid w:val="00A624D7"/>
    <w:rsid w:val="00A62E0E"/>
    <w:rsid w:val="00A632EE"/>
    <w:rsid w:val="00A638DA"/>
    <w:rsid w:val="00A642D0"/>
    <w:rsid w:val="00A64443"/>
    <w:rsid w:val="00A6492C"/>
    <w:rsid w:val="00A6572E"/>
    <w:rsid w:val="00A65B41"/>
    <w:rsid w:val="00A65B57"/>
    <w:rsid w:val="00A65DAF"/>
    <w:rsid w:val="00A65E00"/>
    <w:rsid w:val="00A66A78"/>
    <w:rsid w:val="00A702B4"/>
    <w:rsid w:val="00A70A6F"/>
    <w:rsid w:val="00A719F0"/>
    <w:rsid w:val="00A722FB"/>
    <w:rsid w:val="00A7326B"/>
    <w:rsid w:val="00A73D05"/>
    <w:rsid w:val="00A73ED6"/>
    <w:rsid w:val="00A7436E"/>
    <w:rsid w:val="00A74E96"/>
    <w:rsid w:val="00A7536E"/>
    <w:rsid w:val="00A75430"/>
    <w:rsid w:val="00A75A8E"/>
    <w:rsid w:val="00A7624E"/>
    <w:rsid w:val="00A764E8"/>
    <w:rsid w:val="00A769C0"/>
    <w:rsid w:val="00A76F08"/>
    <w:rsid w:val="00A774BC"/>
    <w:rsid w:val="00A8087D"/>
    <w:rsid w:val="00A809A0"/>
    <w:rsid w:val="00A80B76"/>
    <w:rsid w:val="00A81ED8"/>
    <w:rsid w:val="00A824DD"/>
    <w:rsid w:val="00A825BF"/>
    <w:rsid w:val="00A83331"/>
    <w:rsid w:val="00A83676"/>
    <w:rsid w:val="00A8370F"/>
    <w:rsid w:val="00A83B7B"/>
    <w:rsid w:val="00A84274"/>
    <w:rsid w:val="00A850F3"/>
    <w:rsid w:val="00A85608"/>
    <w:rsid w:val="00A860C1"/>
    <w:rsid w:val="00A864E3"/>
    <w:rsid w:val="00A86FE7"/>
    <w:rsid w:val="00A87829"/>
    <w:rsid w:val="00A900EF"/>
    <w:rsid w:val="00A90296"/>
    <w:rsid w:val="00A9081B"/>
    <w:rsid w:val="00A91223"/>
    <w:rsid w:val="00A92DE4"/>
    <w:rsid w:val="00A935FD"/>
    <w:rsid w:val="00A94574"/>
    <w:rsid w:val="00A95387"/>
    <w:rsid w:val="00A95936"/>
    <w:rsid w:val="00A95F18"/>
    <w:rsid w:val="00A96026"/>
    <w:rsid w:val="00A96265"/>
    <w:rsid w:val="00A9651D"/>
    <w:rsid w:val="00A96761"/>
    <w:rsid w:val="00A96B92"/>
    <w:rsid w:val="00A97084"/>
    <w:rsid w:val="00A97203"/>
    <w:rsid w:val="00AA091C"/>
    <w:rsid w:val="00AA0A63"/>
    <w:rsid w:val="00AA168D"/>
    <w:rsid w:val="00AA1B57"/>
    <w:rsid w:val="00AA1C2C"/>
    <w:rsid w:val="00AA23CA"/>
    <w:rsid w:val="00AA29F8"/>
    <w:rsid w:val="00AA2DC3"/>
    <w:rsid w:val="00AA31CD"/>
    <w:rsid w:val="00AA3326"/>
    <w:rsid w:val="00AA35F6"/>
    <w:rsid w:val="00AA38FD"/>
    <w:rsid w:val="00AA46A2"/>
    <w:rsid w:val="00AA5EDB"/>
    <w:rsid w:val="00AA667C"/>
    <w:rsid w:val="00AA6E1D"/>
    <w:rsid w:val="00AA6E91"/>
    <w:rsid w:val="00AA7439"/>
    <w:rsid w:val="00AA7A5D"/>
    <w:rsid w:val="00AB047E"/>
    <w:rsid w:val="00AB0995"/>
    <w:rsid w:val="00AB0B0A"/>
    <w:rsid w:val="00AB0BB7"/>
    <w:rsid w:val="00AB0CBB"/>
    <w:rsid w:val="00AB17AC"/>
    <w:rsid w:val="00AB22C6"/>
    <w:rsid w:val="00AB2AD0"/>
    <w:rsid w:val="00AB2FFC"/>
    <w:rsid w:val="00AB4421"/>
    <w:rsid w:val="00AB513D"/>
    <w:rsid w:val="00AB5AE2"/>
    <w:rsid w:val="00AB67FC"/>
    <w:rsid w:val="00AB6964"/>
    <w:rsid w:val="00AB6D01"/>
    <w:rsid w:val="00AC00F2"/>
    <w:rsid w:val="00AC0FD9"/>
    <w:rsid w:val="00AC17F2"/>
    <w:rsid w:val="00AC2C07"/>
    <w:rsid w:val="00AC31B5"/>
    <w:rsid w:val="00AC449A"/>
    <w:rsid w:val="00AC4EA1"/>
    <w:rsid w:val="00AC5381"/>
    <w:rsid w:val="00AC549F"/>
    <w:rsid w:val="00AC5920"/>
    <w:rsid w:val="00AC5E8C"/>
    <w:rsid w:val="00AD0B6B"/>
    <w:rsid w:val="00AD0DB8"/>
    <w:rsid w:val="00AD0E65"/>
    <w:rsid w:val="00AD2069"/>
    <w:rsid w:val="00AD23F1"/>
    <w:rsid w:val="00AD2484"/>
    <w:rsid w:val="00AD2BF2"/>
    <w:rsid w:val="00AD2C1D"/>
    <w:rsid w:val="00AD2DF8"/>
    <w:rsid w:val="00AD310A"/>
    <w:rsid w:val="00AD34C4"/>
    <w:rsid w:val="00AD470D"/>
    <w:rsid w:val="00AD4E90"/>
    <w:rsid w:val="00AD5422"/>
    <w:rsid w:val="00AD6D1B"/>
    <w:rsid w:val="00AE0683"/>
    <w:rsid w:val="00AE074B"/>
    <w:rsid w:val="00AE0924"/>
    <w:rsid w:val="00AE0C20"/>
    <w:rsid w:val="00AE20D2"/>
    <w:rsid w:val="00AE2168"/>
    <w:rsid w:val="00AE2C20"/>
    <w:rsid w:val="00AE2E55"/>
    <w:rsid w:val="00AE4179"/>
    <w:rsid w:val="00AE4253"/>
    <w:rsid w:val="00AE4425"/>
    <w:rsid w:val="00AE4FBE"/>
    <w:rsid w:val="00AE643B"/>
    <w:rsid w:val="00AE6458"/>
    <w:rsid w:val="00AE650F"/>
    <w:rsid w:val="00AE6555"/>
    <w:rsid w:val="00AE6F8D"/>
    <w:rsid w:val="00AE7D16"/>
    <w:rsid w:val="00AF3E55"/>
    <w:rsid w:val="00AF4CAA"/>
    <w:rsid w:val="00AF5369"/>
    <w:rsid w:val="00AF5639"/>
    <w:rsid w:val="00AF571A"/>
    <w:rsid w:val="00AF60A0"/>
    <w:rsid w:val="00AF67FC"/>
    <w:rsid w:val="00AF69FD"/>
    <w:rsid w:val="00AF711B"/>
    <w:rsid w:val="00AF7309"/>
    <w:rsid w:val="00AF7A83"/>
    <w:rsid w:val="00AF7DF5"/>
    <w:rsid w:val="00B006E5"/>
    <w:rsid w:val="00B024C2"/>
    <w:rsid w:val="00B02788"/>
    <w:rsid w:val="00B02F39"/>
    <w:rsid w:val="00B035D2"/>
    <w:rsid w:val="00B041DF"/>
    <w:rsid w:val="00B044D7"/>
    <w:rsid w:val="00B05C16"/>
    <w:rsid w:val="00B06B36"/>
    <w:rsid w:val="00B0706B"/>
    <w:rsid w:val="00B07332"/>
    <w:rsid w:val="00B07700"/>
    <w:rsid w:val="00B10BD9"/>
    <w:rsid w:val="00B10D98"/>
    <w:rsid w:val="00B113E8"/>
    <w:rsid w:val="00B11B32"/>
    <w:rsid w:val="00B130CF"/>
    <w:rsid w:val="00B134B9"/>
    <w:rsid w:val="00B13921"/>
    <w:rsid w:val="00B13E18"/>
    <w:rsid w:val="00B14167"/>
    <w:rsid w:val="00B144D1"/>
    <w:rsid w:val="00B1528C"/>
    <w:rsid w:val="00B15485"/>
    <w:rsid w:val="00B16331"/>
    <w:rsid w:val="00B16ACD"/>
    <w:rsid w:val="00B17498"/>
    <w:rsid w:val="00B17BF6"/>
    <w:rsid w:val="00B210ED"/>
    <w:rsid w:val="00B21487"/>
    <w:rsid w:val="00B226A0"/>
    <w:rsid w:val="00B232D1"/>
    <w:rsid w:val="00B23AE5"/>
    <w:rsid w:val="00B24C3F"/>
    <w:rsid w:val="00B24DB5"/>
    <w:rsid w:val="00B25CDC"/>
    <w:rsid w:val="00B2606F"/>
    <w:rsid w:val="00B2733C"/>
    <w:rsid w:val="00B273FD"/>
    <w:rsid w:val="00B3047B"/>
    <w:rsid w:val="00B314FD"/>
    <w:rsid w:val="00B31F9E"/>
    <w:rsid w:val="00B3268F"/>
    <w:rsid w:val="00B32C2C"/>
    <w:rsid w:val="00B333AD"/>
    <w:rsid w:val="00B33A1A"/>
    <w:rsid w:val="00B33E6C"/>
    <w:rsid w:val="00B34437"/>
    <w:rsid w:val="00B34C85"/>
    <w:rsid w:val="00B36ADB"/>
    <w:rsid w:val="00B371CC"/>
    <w:rsid w:val="00B4020B"/>
    <w:rsid w:val="00B412A0"/>
    <w:rsid w:val="00B41CD9"/>
    <w:rsid w:val="00B4247C"/>
    <w:rsid w:val="00B427E6"/>
    <w:rsid w:val="00B428A6"/>
    <w:rsid w:val="00B43E1F"/>
    <w:rsid w:val="00B45FBC"/>
    <w:rsid w:val="00B46070"/>
    <w:rsid w:val="00B462F3"/>
    <w:rsid w:val="00B4645A"/>
    <w:rsid w:val="00B4718C"/>
    <w:rsid w:val="00B5011D"/>
    <w:rsid w:val="00B50516"/>
    <w:rsid w:val="00B51A7D"/>
    <w:rsid w:val="00B52BC1"/>
    <w:rsid w:val="00B5324D"/>
    <w:rsid w:val="00B535C2"/>
    <w:rsid w:val="00B54B8B"/>
    <w:rsid w:val="00B55544"/>
    <w:rsid w:val="00B558E1"/>
    <w:rsid w:val="00B55B95"/>
    <w:rsid w:val="00B57EFB"/>
    <w:rsid w:val="00B613D5"/>
    <w:rsid w:val="00B61EF1"/>
    <w:rsid w:val="00B62014"/>
    <w:rsid w:val="00B62B15"/>
    <w:rsid w:val="00B63D03"/>
    <w:rsid w:val="00B642FC"/>
    <w:rsid w:val="00B64498"/>
    <w:rsid w:val="00B64799"/>
    <w:rsid w:val="00B64D26"/>
    <w:rsid w:val="00B64FBB"/>
    <w:rsid w:val="00B6691A"/>
    <w:rsid w:val="00B66977"/>
    <w:rsid w:val="00B7029C"/>
    <w:rsid w:val="00B70E22"/>
    <w:rsid w:val="00B721FB"/>
    <w:rsid w:val="00B72830"/>
    <w:rsid w:val="00B72B99"/>
    <w:rsid w:val="00B72CEA"/>
    <w:rsid w:val="00B744F2"/>
    <w:rsid w:val="00B75307"/>
    <w:rsid w:val="00B7710E"/>
    <w:rsid w:val="00B774CB"/>
    <w:rsid w:val="00B80402"/>
    <w:rsid w:val="00B8080F"/>
    <w:rsid w:val="00B80B45"/>
    <w:rsid w:val="00B80B9A"/>
    <w:rsid w:val="00B80C92"/>
    <w:rsid w:val="00B81916"/>
    <w:rsid w:val="00B82AE3"/>
    <w:rsid w:val="00B82C7A"/>
    <w:rsid w:val="00B830B7"/>
    <w:rsid w:val="00B84452"/>
    <w:rsid w:val="00B848EA"/>
    <w:rsid w:val="00B84B2B"/>
    <w:rsid w:val="00B84FFD"/>
    <w:rsid w:val="00B85B5C"/>
    <w:rsid w:val="00B86212"/>
    <w:rsid w:val="00B90500"/>
    <w:rsid w:val="00B90773"/>
    <w:rsid w:val="00B916C6"/>
    <w:rsid w:val="00B9176C"/>
    <w:rsid w:val="00B91C3B"/>
    <w:rsid w:val="00B920CC"/>
    <w:rsid w:val="00B935A4"/>
    <w:rsid w:val="00B946B5"/>
    <w:rsid w:val="00B94DA3"/>
    <w:rsid w:val="00B96A3F"/>
    <w:rsid w:val="00B97134"/>
    <w:rsid w:val="00B972E9"/>
    <w:rsid w:val="00B97DD8"/>
    <w:rsid w:val="00B97EBA"/>
    <w:rsid w:val="00BA0562"/>
    <w:rsid w:val="00BA06DC"/>
    <w:rsid w:val="00BA0A92"/>
    <w:rsid w:val="00BA1D24"/>
    <w:rsid w:val="00BA1F00"/>
    <w:rsid w:val="00BA5228"/>
    <w:rsid w:val="00BA561A"/>
    <w:rsid w:val="00BA6D55"/>
    <w:rsid w:val="00BA735B"/>
    <w:rsid w:val="00BB0613"/>
    <w:rsid w:val="00BB0DC6"/>
    <w:rsid w:val="00BB1426"/>
    <w:rsid w:val="00BB15E4"/>
    <w:rsid w:val="00BB1E19"/>
    <w:rsid w:val="00BB1E1E"/>
    <w:rsid w:val="00BB21AA"/>
    <w:rsid w:val="00BB21D1"/>
    <w:rsid w:val="00BB2817"/>
    <w:rsid w:val="00BB32F2"/>
    <w:rsid w:val="00BB4338"/>
    <w:rsid w:val="00BB49D8"/>
    <w:rsid w:val="00BB54AF"/>
    <w:rsid w:val="00BB6C0E"/>
    <w:rsid w:val="00BB76B3"/>
    <w:rsid w:val="00BB7B38"/>
    <w:rsid w:val="00BC11E5"/>
    <w:rsid w:val="00BC38D8"/>
    <w:rsid w:val="00BC41EF"/>
    <w:rsid w:val="00BC4BC6"/>
    <w:rsid w:val="00BC52FD"/>
    <w:rsid w:val="00BC53D3"/>
    <w:rsid w:val="00BC6E62"/>
    <w:rsid w:val="00BC6F09"/>
    <w:rsid w:val="00BC705D"/>
    <w:rsid w:val="00BC7443"/>
    <w:rsid w:val="00BC7EA2"/>
    <w:rsid w:val="00BD0648"/>
    <w:rsid w:val="00BD1040"/>
    <w:rsid w:val="00BD12E7"/>
    <w:rsid w:val="00BD1759"/>
    <w:rsid w:val="00BD1D4D"/>
    <w:rsid w:val="00BD3453"/>
    <w:rsid w:val="00BD34AA"/>
    <w:rsid w:val="00BD3A7A"/>
    <w:rsid w:val="00BD3BD3"/>
    <w:rsid w:val="00BD5285"/>
    <w:rsid w:val="00BD56CE"/>
    <w:rsid w:val="00BD7F3D"/>
    <w:rsid w:val="00BE0018"/>
    <w:rsid w:val="00BE0C44"/>
    <w:rsid w:val="00BE1940"/>
    <w:rsid w:val="00BE1B8B"/>
    <w:rsid w:val="00BE2148"/>
    <w:rsid w:val="00BE2A18"/>
    <w:rsid w:val="00BE2C01"/>
    <w:rsid w:val="00BE3AD2"/>
    <w:rsid w:val="00BE3E11"/>
    <w:rsid w:val="00BE41EC"/>
    <w:rsid w:val="00BE50DE"/>
    <w:rsid w:val="00BE56FB"/>
    <w:rsid w:val="00BE6060"/>
    <w:rsid w:val="00BE720A"/>
    <w:rsid w:val="00BE78B5"/>
    <w:rsid w:val="00BE7A63"/>
    <w:rsid w:val="00BF0C7E"/>
    <w:rsid w:val="00BF23AF"/>
    <w:rsid w:val="00BF2EED"/>
    <w:rsid w:val="00BF3D75"/>
    <w:rsid w:val="00BF3DDE"/>
    <w:rsid w:val="00BF4006"/>
    <w:rsid w:val="00BF435C"/>
    <w:rsid w:val="00BF6589"/>
    <w:rsid w:val="00BF6F1F"/>
    <w:rsid w:val="00BF6F7F"/>
    <w:rsid w:val="00BF7206"/>
    <w:rsid w:val="00C00647"/>
    <w:rsid w:val="00C0066A"/>
    <w:rsid w:val="00C00E4E"/>
    <w:rsid w:val="00C01C28"/>
    <w:rsid w:val="00C01F6D"/>
    <w:rsid w:val="00C02764"/>
    <w:rsid w:val="00C03605"/>
    <w:rsid w:val="00C043AB"/>
    <w:rsid w:val="00C04CEF"/>
    <w:rsid w:val="00C04CFD"/>
    <w:rsid w:val="00C04E19"/>
    <w:rsid w:val="00C05EEE"/>
    <w:rsid w:val="00C05F45"/>
    <w:rsid w:val="00C0662F"/>
    <w:rsid w:val="00C06AC0"/>
    <w:rsid w:val="00C06D5D"/>
    <w:rsid w:val="00C06ED4"/>
    <w:rsid w:val="00C10439"/>
    <w:rsid w:val="00C10478"/>
    <w:rsid w:val="00C11943"/>
    <w:rsid w:val="00C11E1C"/>
    <w:rsid w:val="00C12E96"/>
    <w:rsid w:val="00C12FA3"/>
    <w:rsid w:val="00C13504"/>
    <w:rsid w:val="00C1404B"/>
    <w:rsid w:val="00C14763"/>
    <w:rsid w:val="00C15207"/>
    <w:rsid w:val="00C16141"/>
    <w:rsid w:val="00C169B8"/>
    <w:rsid w:val="00C16C7D"/>
    <w:rsid w:val="00C177D1"/>
    <w:rsid w:val="00C200E3"/>
    <w:rsid w:val="00C201ED"/>
    <w:rsid w:val="00C20207"/>
    <w:rsid w:val="00C20CF7"/>
    <w:rsid w:val="00C20FED"/>
    <w:rsid w:val="00C2169A"/>
    <w:rsid w:val="00C2285E"/>
    <w:rsid w:val="00C2363F"/>
    <w:rsid w:val="00C236C8"/>
    <w:rsid w:val="00C2372D"/>
    <w:rsid w:val="00C23B9E"/>
    <w:rsid w:val="00C246E8"/>
    <w:rsid w:val="00C2535B"/>
    <w:rsid w:val="00C260B1"/>
    <w:rsid w:val="00C26122"/>
    <w:rsid w:val="00C26E56"/>
    <w:rsid w:val="00C27989"/>
    <w:rsid w:val="00C27B05"/>
    <w:rsid w:val="00C27EFE"/>
    <w:rsid w:val="00C307AF"/>
    <w:rsid w:val="00C31406"/>
    <w:rsid w:val="00C3159E"/>
    <w:rsid w:val="00C32A7B"/>
    <w:rsid w:val="00C34B95"/>
    <w:rsid w:val="00C34ED4"/>
    <w:rsid w:val="00C34F5C"/>
    <w:rsid w:val="00C361D3"/>
    <w:rsid w:val="00C363B4"/>
    <w:rsid w:val="00C37194"/>
    <w:rsid w:val="00C37553"/>
    <w:rsid w:val="00C40637"/>
    <w:rsid w:val="00C40828"/>
    <w:rsid w:val="00C40F6C"/>
    <w:rsid w:val="00C433DC"/>
    <w:rsid w:val="00C43C65"/>
    <w:rsid w:val="00C44426"/>
    <w:rsid w:val="00C445F3"/>
    <w:rsid w:val="00C451F4"/>
    <w:rsid w:val="00C45B8C"/>
    <w:rsid w:val="00C45EB1"/>
    <w:rsid w:val="00C47089"/>
    <w:rsid w:val="00C504E6"/>
    <w:rsid w:val="00C504F9"/>
    <w:rsid w:val="00C514DE"/>
    <w:rsid w:val="00C51A9F"/>
    <w:rsid w:val="00C52256"/>
    <w:rsid w:val="00C527F4"/>
    <w:rsid w:val="00C54012"/>
    <w:rsid w:val="00C54591"/>
    <w:rsid w:val="00C548FC"/>
    <w:rsid w:val="00C54A3A"/>
    <w:rsid w:val="00C55566"/>
    <w:rsid w:val="00C56448"/>
    <w:rsid w:val="00C56A84"/>
    <w:rsid w:val="00C56B5E"/>
    <w:rsid w:val="00C57A13"/>
    <w:rsid w:val="00C60244"/>
    <w:rsid w:val="00C61201"/>
    <w:rsid w:val="00C615FE"/>
    <w:rsid w:val="00C616B1"/>
    <w:rsid w:val="00C616B3"/>
    <w:rsid w:val="00C6295F"/>
    <w:rsid w:val="00C62A55"/>
    <w:rsid w:val="00C638E8"/>
    <w:rsid w:val="00C641F5"/>
    <w:rsid w:val="00C64BC2"/>
    <w:rsid w:val="00C65BDE"/>
    <w:rsid w:val="00C66297"/>
    <w:rsid w:val="00C6645B"/>
    <w:rsid w:val="00C667BE"/>
    <w:rsid w:val="00C6766B"/>
    <w:rsid w:val="00C67A79"/>
    <w:rsid w:val="00C702EF"/>
    <w:rsid w:val="00C7123D"/>
    <w:rsid w:val="00C72223"/>
    <w:rsid w:val="00C7227D"/>
    <w:rsid w:val="00C73539"/>
    <w:rsid w:val="00C74108"/>
    <w:rsid w:val="00C75233"/>
    <w:rsid w:val="00C75B03"/>
    <w:rsid w:val="00C75B82"/>
    <w:rsid w:val="00C76417"/>
    <w:rsid w:val="00C766D7"/>
    <w:rsid w:val="00C7726F"/>
    <w:rsid w:val="00C805FC"/>
    <w:rsid w:val="00C81604"/>
    <w:rsid w:val="00C81956"/>
    <w:rsid w:val="00C81B06"/>
    <w:rsid w:val="00C823DA"/>
    <w:rsid w:val="00C8259F"/>
    <w:rsid w:val="00C82746"/>
    <w:rsid w:val="00C8312F"/>
    <w:rsid w:val="00C83310"/>
    <w:rsid w:val="00C8476D"/>
    <w:rsid w:val="00C84996"/>
    <w:rsid w:val="00C84A52"/>
    <w:rsid w:val="00C84C47"/>
    <w:rsid w:val="00C8568A"/>
    <w:rsid w:val="00C858A4"/>
    <w:rsid w:val="00C86AFA"/>
    <w:rsid w:val="00C87686"/>
    <w:rsid w:val="00C878EE"/>
    <w:rsid w:val="00C90284"/>
    <w:rsid w:val="00C90622"/>
    <w:rsid w:val="00C906D4"/>
    <w:rsid w:val="00C9098A"/>
    <w:rsid w:val="00C915AF"/>
    <w:rsid w:val="00C925CB"/>
    <w:rsid w:val="00C92695"/>
    <w:rsid w:val="00C92B10"/>
    <w:rsid w:val="00C938D4"/>
    <w:rsid w:val="00C93936"/>
    <w:rsid w:val="00C93F44"/>
    <w:rsid w:val="00C94613"/>
    <w:rsid w:val="00C94F70"/>
    <w:rsid w:val="00C95600"/>
    <w:rsid w:val="00C956E0"/>
    <w:rsid w:val="00C968EF"/>
    <w:rsid w:val="00C9696C"/>
    <w:rsid w:val="00C978A0"/>
    <w:rsid w:val="00C97CB6"/>
    <w:rsid w:val="00CA02DB"/>
    <w:rsid w:val="00CA0F24"/>
    <w:rsid w:val="00CA1B6A"/>
    <w:rsid w:val="00CA21F8"/>
    <w:rsid w:val="00CA306F"/>
    <w:rsid w:val="00CA40B1"/>
    <w:rsid w:val="00CA4776"/>
    <w:rsid w:val="00CA4FF0"/>
    <w:rsid w:val="00CA5C6E"/>
    <w:rsid w:val="00CA684E"/>
    <w:rsid w:val="00CA7E19"/>
    <w:rsid w:val="00CB0BD1"/>
    <w:rsid w:val="00CB18D0"/>
    <w:rsid w:val="00CB1C8A"/>
    <w:rsid w:val="00CB24F5"/>
    <w:rsid w:val="00CB2663"/>
    <w:rsid w:val="00CB2DE8"/>
    <w:rsid w:val="00CB3ADD"/>
    <w:rsid w:val="00CB3BBE"/>
    <w:rsid w:val="00CB42E6"/>
    <w:rsid w:val="00CB5067"/>
    <w:rsid w:val="00CB59E9"/>
    <w:rsid w:val="00CB6C96"/>
    <w:rsid w:val="00CB72A2"/>
    <w:rsid w:val="00CC07E6"/>
    <w:rsid w:val="00CC0D6A"/>
    <w:rsid w:val="00CC3831"/>
    <w:rsid w:val="00CC3E3D"/>
    <w:rsid w:val="00CC473F"/>
    <w:rsid w:val="00CC4ABF"/>
    <w:rsid w:val="00CC519B"/>
    <w:rsid w:val="00CC5457"/>
    <w:rsid w:val="00CC72D6"/>
    <w:rsid w:val="00CC78F5"/>
    <w:rsid w:val="00CD0184"/>
    <w:rsid w:val="00CD0898"/>
    <w:rsid w:val="00CD12C1"/>
    <w:rsid w:val="00CD214E"/>
    <w:rsid w:val="00CD232A"/>
    <w:rsid w:val="00CD2F50"/>
    <w:rsid w:val="00CD2F96"/>
    <w:rsid w:val="00CD4221"/>
    <w:rsid w:val="00CD43C0"/>
    <w:rsid w:val="00CD46FA"/>
    <w:rsid w:val="00CD52D9"/>
    <w:rsid w:val="00CD571A"/>
    <w:rsid w:val="00CD5973"/>
    <w:rsid w:val="00CD602D"/>
    <w:rsid w:val="00CD7BE3"/>
    <w:rsid w:val="00CE0941"/>
    <w:rsid w:val="00CE0E98"/>
    <w:rsid w:val="00CE10A4"/>
    <w:rsid w:val="00CE2855"/>
    <w:rsid w:val="00CE31A6"/>
    <w:rsid w:val="00CE3E36"/>
    <w:rsid w:val="00CE42C0"/>
    <w:rsid w:val="00CE4988"/>
    <w:rsid w:val="00CE6FCC"/>
    <w:rsid w:val="00CE7BDC"/>
    <w:rsid w:val="00CF09AA"/>
    <w:rsid w:val="00CF28D1"/>
    <w:rsid w:val="00CF3790"/>
    <w:rsid w:val="00CF3D39"/>
    <w:rsid w:val="00CF4813"/>
    <w:rsid w:val="00CF4A2B"/>
    <w:rsid w:val="00CF5233"/>
    <w:rsid w:val="00CF7504"/>
    <w:rsid w:val="00D00AF5"/>
    <w:rsid w:val="00D01E22"/>
    <w:rsid w:val="00D029B8"/>
    <w:rsid w:val="00D02F60"/>
    <w:rsid w:val="00D031A8"/>
    <w:rsid w:val="00D03AEB"/>
    <w:rsid w:val="00D03D99"/>
    <w:rsid w:val="00D0464E"/>
    <w:rsid w:val="00D04A96"/>
    <w:rsid w:val="00D051A1"/>
    <w:rsid w:val="00D05665"/>
    <w:rsid w:val="00D05AD7"/>
    <w:rsid w:val="00D06CF9"/>
    <w:rsid w:val="00D0770E"/>
    <w:rsid w:val="00D07A7B"/>
    <w:rsid w:val="00D10A90"/>
    <w:rsid w:val="00D10B6F"/>
    <w:rsid w:val="00D10E06"/>
    <w:rsid w:val="00D1152C"/>
    <w:rsid w:val="00D115F8"/>
    <w:rsid w:val="00D11B19"/>
    <w:rsid w:val="00D12015"/>
    <w:rsid w:val="00D12254"/>
    <w:rsid w:val="00D1428E"/>
    <w:rsid w:val="00D15197"/>
    <w:rsid w:val="00D159A0"/>
    <w:rsid w:val="00D16820"/>
    <w:rsid w:val="00D169C8"/>
    <w:rsid w:val="00D170A8"/>
    <w:rsid w:val="00D1793F"/>
    <w:rsid w:val="00D17AE8"/>
    <w:rsid w:val="00D225B0"/>
    <w:rsid w:val="00D2276D"/>
    <w:rsid w:val="00D2290E"/>
    <w:rsid w:val="00D22AF5"/>
    <w:rsid w:val="00D235EA"/>
    <w:rsid w:val="00D23D45"/>
    <w:rsid w:val="00D2471C"/>
    <w:rsid w:val="00D247A9"/>
    <w:rsid w:val="00D248CF"/>
    <w:rsid w:val="00D25173"/>
    <w:rsid w:val="00D2630B"/>
    <w:rsid w:val="00D2661A"/>
    <w:rsid w:val="00D266C7"/>
    <w:rsid w:val="00D278D4"/>
    <w:rsid w:val="00D27949"/>
    <w:rsid w:val="00D30541"/>
    <w:rsid w:val="00D311E7"/>
    <w:rsid w:val="00D32721"/>
    <w:rsid w:val="00D328DC"/>
    <w:rsid w:val="00D33347"/>
    <w:rsid w:val="00D33387"/>
    <w:rsid w:val="00D33559"/>
    <w:rsid w:val="00D3390B"/>
    <w:rsid w:val="00D345CF"/>
    <w:rsid w:val="00D3474E"/>
    <w:rsid w:val="00D34D5D"/>
    <w:rsid w:val="00D34E01"/>
    <w:rsid w:val="00D36641"/>
    <w:rsid w:val="00D375FE"/>
    <w:rsid w:val="00D37F36"/>
    <w:rsid w:val="00D40033"/>
    <w:rsid w:val="00D402FB"/>
    <w:rsid w:val="00D40F47"/>
    <w:rsid w:val="00D412AB"/>
    <w:rsid w:val="00D41A4A"/>
    <w:rsid w:val="00D430A1"/>
    <w:rsid w:val="00D4313E"/>
    <w:rsid w:val="00D431BE"/>
    <w:rsid w:val="00D4512B"/>
    <w:rsid w:val="00D4550A"/>
    <w:rsid w:val="00D467AA"/>
    <w:rsid w:val="00D4757E"/>
    <w:rsid w:val="00D47D7A"/>
    <w:rsid w:val="00D50ABD"/>
    <w:rsid w:val="00D5170A"/>
    <w:rsid w:val="00D51AAC"/>
    <w:rsid w:val="00D549A4"/>
    <w:rsid w:val="00D54D25"/>
    <w:rsid w:val="00D55290"/>
    <w:rsid w:val="00D55B0F"/>
    <w:rsid w:val="00D55EE4"/>
    <w:rsid w:val="00D563E6"/>
    <w:rsid w:val="00D56FDC"/>
    <w:rsid w:val="00D5778B"/>
    <w:rsid w:val="00D57791"/>
    <w:rsid w:val="00D5798A"/>
    <w:rsid w:val="00D57BE9"/>
    <w:rsid w:val="00D60183"/>
    <w:rsid w:val="00D6046A"/>
    <w:rsid w:val="00D60FA0"/>
    <w:rsid w:val="00D62870"/>
    <w:rsid w:val="00D62DBB"/>
    <w:rsid w:val="00D630D8"/>
    <w:rsid w:val="00D64193"/>
    <w:rsid w:val="00D64958"/>
    <w:rsid w:val="00D65046"/>
    <w:rsid w:val="00D655D9"/>
    <w:rsid w:val="00D65844"/>
    <w:rsid w:val="00D65872"/>
    <w:rsid w:val="00D65FB3"/>
    <w:rsid w:val="00D661A8"/>
    <w:rsid w:val="00D676F3"/>
    <w:rsid w:val="00D67DA1"/>
    <w:rsid w:val="00D707EA"/>
    <w:rsid w:val="00D70EF5"/>
    <w:rsid w:val="00D71024"/>
    <w:rsid w:val="00D71A25"/>
    <w:rsid w:val="00D71FCF"/>
    <w:rsid w:val="00D7248F"/>
    <w:rsid w:val="00D72A54"/>
    <w:rsid w:val="00D72CC1"/>
    <w:rsid w:val="00D7365E"/>
    <w:rsid w:val="00D740F6"/>
    <w:rsid w:val="00D74787"/>
    <w:rsid w:val="00D74DB4"/>
    <w:rsid w:val="00D75BAE"/>
    <w:rsid w:val="00D768F7"/>
    <w:rsid w:val="00D76EC9"/>
    <w:rsid w:val="00D803DC"/>
    <w:rsid w:val="00D808F8"/>
    <w:rsid w:val="00D80E5D"/>
    <w:rsid w:val="00D80E7D"/>
    <w:rsid w:val="00D81397"/>
    <w:rsid w:val="00D81649"/>
    <w:rsid w:val="00D81E6B"/>
    <w:rsid w:val="00D838C6"/>
    <w:rsid w:val="00D83F06"/>
    <w:rsid w:val="00D848B9"/>
    <w:rsid w:val="00D85D0E"/>
    <w:rsid w:val="00D86A1C"/>
    <w:rsid w:val="00D90020"/>
    <w:rsid w:val="00D90DC5"/>
    <w:rsid w:val="00D90E69"/>
    <w:rsid w:val="00D91203"/>
    <w:rsid w:val="00D91368"/>
    <w:rsid w:val="00D929FF"/>
    <w:rsid w:val="00D93106"/>
    <w:rsid w:val="00D933E9"/>
    <w:rsid w:val="00D9505D"/>
    <w:rsid w:val="00D953D0"/>
    <w:rsid w:val="00D959F5"/>
    <w:rsid w:val="00D96884"/>
    <w:rsid w:val="00D9717E"/>
    <w:rsid w:val="00DA061F"/>
    <w:rsid w:val="00DA2197"/>
    <w:rsid w:val="00DA2AE8"/>
    <w:rsid w:val="00DA3FDD"/>
    <w:rsid w:val="00DA52F8"/>
    <w:rsid w:val="00DA5B49"/>
    <w:rsid w:val="00DA5DB9"/>
    <w:rsid w:val="00DA6A5E"/>
    <w:rsid w:val="00DA7017"/>
    <w:rsid w:val="00DA7028"/>
    <w:rsid w:val="00DA70C5"/>
    <w:rsid w:val="00DB0A1D"/>
    <w:rsid w:val="00DB1612"/>
    <w:rsid w:val="00DB185C"/>
    <w:rsid w:val="00DB1AD2"/>
    <w:rsid w:val="00DB1B89"/>
    <w:rsid w:val="00DB296A"/>
    <w:rsid w:val="00DB2B58"/>
    <w:rsid w:val="00DB3A10"/>
    <w:rsid w:val="00DB5206"/>
    <w:rsid w:val="00DB6276"/>
    <w:rsid w:val="00DB63F5"/>
    <w:rsid w:val="00DB6485"/>
    <w:rsid w:val="00DB64EF"/>
    <w:rsid w:val="00DC02A4"/>
    <w:rsid w:val="00DC1C6B"/>
    <w:rsid w:val="00DC2C2E"/>
    <w:rsid w:val="00DC3B36"/>
    <w:rsid w:val="00DC4AF0"/>
    <w:rsid w:val="00DC4ED0"/>
    <w:rsid w:val="00DC5264"/>
    <w:rsid w:val="00DC5818"/>
    <w:rsid w:val="00DC59A4"/>
    <w:rsid w:val="00DC7886"/>
    <w:rsid w:val="00DD05AA"/>
    <w:rsid w:val="00DD0A68"/>
    <w:rsid w:val="00DD0CF2"/>
    <w:rsid w:val="00DD0FB7"/>
    <w:rsid w:val="00DD1E85"/>
    <w:rsid w:val="00DD2980"/>
    <w:rsid w:val="00DD332C"/>
    <w:rsid w:val="00DD3DFE"/>
    <w:rsid w:val="00DD4385"/>
    <w:rsid w:val="00DD48F0"/>
    <w:rsid w:val="00DD5A5A"/>
    <w:rsid w:val="00DD6289"/>
    <w:rsid w:val="00DD67D4"/>
    <w:rsid w:val="00DD71CA"/>
    <w:rsid w:val="00DD793A"/>
    <w:rsid w:val="00DD7AF0"/>
    <w:rsid w:val="00DE041B"/>
    <w:rsid w:val="00DE0DA2"/>
    <w:rsid w:val="00DE1554"/>
    <w:rsid w:val="00DE1D83"/>
    <w:rsid w:val="00DE1F65"/>
    <w:rsid w:val="00DE2369"/>
    <w:rsid w:val="00DE2395"/>
    <w:rsid w:val="00DE2901"/>
    <w:rsid w:val="00DE2B26"/>
    <w:rsid w:val="00DE2D42"/>
    <w:rsid w:val="00DE2F29"/>
    <w:rsid w:val="00DE572C"/>
    <w:rsid w:val="00DE590F"/>
    <w:rsid w:val="00DE59A0"/>
    <w:rsid w:val="00DE5E93"/>
    <w:rsid w:val="00DE7DC1"/>
    <w:rsid w:val="00DF0179"/>
    <w:rsid w:val="00DF0476"/>
    <w:rsid w:val="00DF0940"/>
    <w:rsid w:val="00DF0C16"/>
    <w:rsid w:val="00DF2C28"/>
    <w:rsid w:val="00DF2CB8"/>
    <w:rsid w:val="00DF3F7E"/>
    <w:rsid w:val="00DF4435"/>
    <w:rsid w:val="00DF4F3A"/>
    <w:rsid w:val="00DF5C6F"/>
    <w:rsid w:val="00DF60B7"/>
    <w:rsid w:val="00DF7648"/>
    <w:rsid w:val="00DF7FF8"/>
    <w:rsid w:val="00E00427"/>
    <w:rsid w:val="00E00626"/>
    <w:rsid w:val="00E00E29"/>
    <w:rsid w:val="00E00F05"/>
    <w:rsid w:val="00E0179A"/>
    <w:rsid w:val="00E01EBB"/>
    <w:rsid w:val="00E021E3"/>
    <w:rsid w:val="00E02BAB"/>
    <w:rsid w:val="00E043EF"/>
    <w:rsid w:val="00E04CEB"/>
    <w:rsid w:val="00E0566D"/>
    <w:rsid w:val="00E060BC"/>
    <w:rsid w:val="00E103EF"/>
    <w:rsid w:val="00E10639"/>
    <w:rsid w:val="00E11420"/>
    <w:rsid w:val="00E11A47"/>
    <w:rsid w:val="00E12BC8"/>
    <w:rsid w:val="00E12E74"/>
    <w:rsid w:val="00E132FB"/>
    <w:rsid w:val="00E13AF8"/>
    <w:rsid w:val="00E13EC9"/>
    <w:rsid w:val="00E158CE"/>
    <w:rsid w:val="00E15D8E"/>
    <w:rsid w:val="00E15FD9"/>
    <w:rsid w:val="00E1689A"/>
    <w:rsid w:val="00E170B7"/>
    <w:rsid w:val="00E1740E"/>
    <w:rsid w:val="00E17725"/>
    <w:rsid w:val="00E177DD"/>
    <w:rsid w:val="00E20900"/>
    <w:rsid w:val="00E20C7F"/>
    <w:rsid w:val="00E22402"/>
    <w:rsid w:val="00E2328A"/>
    <w:rsid w:val="00E2396E"/>
    <w:rsid w:val="00E23BBC"/>
    <w:rsid w:val="00E24259"/>
    <w:rsid w:val="00E24728"/>
    <w:rsid w:val="00E255C7"/>
    <w:rsid w:val="00E25A2F"/>
    <w:rsid w:val="00E264DC"/>
    <w:rsid w:val="00E2662E"/>
    <w:rsid w:val="00E276AC"/>
    <w:rsid w:val="00E27890"/>
    <w:rsid w:val="00E279B3"/>
    <w:rsid w:val="00E30DFF"/>
    <w:rsid w:val="00E311B2"/>
    <w:rsid w:val="00E32789"/>
    <w:rsid w:val="00E33157"/>
    <w:rsid w:val="00E33FFC"/>
    <w:rsid w:val="00E34201"/>
    <w:rsid w:val="00E34A35"/>
    <w:rsid w:val="00E37C2F"/>
    <w:rsid w:val="00E40012"/>
    <w:rsid w:val="00E402FF"/>
    <w:rsid w:val="00E40369"/>
    <w:rsid w:val="00E40746"/>
    <w:rsid w:val="00E4188F"/>
    <w:rsid w:val="00E41BF1"/>
    <w:rsid w:val="00E41C28"/>
    <w:rsid w:val="00E42F9C"/>
    <w:rsid w:val="00E43E6E"/>
    <w:rsid w:val="00E4487A"/>
    <w:rsid w:val="00E44B2B"/>
    <w:rsid w:val="00E46308"/>
    <w:rsid w:val="00E509D6"/>
    <w:rsid w:val="00E50B58"/>
    <w:rsid w:val="00E50F4F"/>
    <w:rsid w:val="00E519C4"/>
    <w:rsid w:val="00E51E17"/>
    <w:rsid w:val="00E5247C"/>
    <w:rsid w:val="00E52DAB"/>
    <w:rsid w:val="00E52EAA"/>
    <w:rsid w:val="00E533A1"/>
    <w:rsid w:val="00E539B0"/>
    <w:rsid w:val="00E539C0"/>
    <w:rsid w:val="00E54B9A"/>
    <w:rsid w:val="00E54E63"/>
    <w:rsid w:val="00E557BA"/>
    <w:rsid w:val="00E558CC"/>
    <w:rsid w:val="00E55994"/>
    <w:rsid w:val="00E55D33"/>
    <w:rsid w:val="00E60606"/>
    <w:rsid w:val="00E60C66"/>
    <w:rsid w:val="00E60E79"/>
    <w:rsid w:val="00E6116E"/>
    <w:rsid w:val="00E61432"/>
    <w:rsid w:val="00E6164D"/>
    <w:rsid w:val="00E618C9"/>
    <w:rsid w:val="00E61922"/>
    <w:rsid w:val="00E62774"/>
    <w:rsid w:val="00E62B43"/>
    <w:rsid w:val="00E6307C"/>
    <w:rsid w:val="00E636FA"/>
    <w:rsid w:val="00E64409"/>
    <w:rsid w:val="00E64FB9"/>
    <w:rsid w:val="00E650D7"/>
    <w:rsid w:val="00E657EE"/>
    <w:rsid w:val="00E659E3"/>
    <w:rsid w:val="00E65FFF"/>
    <w:rsid w:val="00E661BC"/>
    <w:rsid w:val="00E6622A"/>
    <w:rsid w:val="00E66719"/>
    <w:rsid w:val="00E66B8A"/>
    <w:rsid w:val="00E66C50"/>
    <w:rsid w:val="00E679D3"/>
    <w:rsid w:val="00E7000F"/>
    <w:rsid w:val="00E7079B"/>
    <w:rsid w:val="00E71208"/>
    <w:rsid w:val="00E71444"/>
    <w:rsid w:val="00E71C91"/>
    <w:rsid w:val="00E720A1"/>
    <w:rsid w:val="00E720D1"/>
    <w:rsid w:val="00E72825"/>
    <w:rsid w:val="00E72FE0"/>
    <w:rsid w:val="00E73CDD"/>
    <w:rsid w:val="00E7594D"/>
    <w:rsid w:val="00E75DDA"/>
    <w:rsid w:val="00E75FC3"/>
    <w:rsid w:val="00E7626A"/>
    <w:rsid w:val="00E76703"/>
    <w:rsid w:val="00E7683D"/>
    <w:rsid w:val="00E773E8"/>
    <w:rsid w:val="00E77711"/>
    <w:rsid w:val="00E77FE1"/>
    <w:rsid w:val="00E80C0F"/>
    <w:rsid w:val="00E811B5"/>
    <w:rsid w:val="00E82866"/>
    <w:rsid w:val="00E83ADD"/>
    <w:rsid w:val="00E83C13"/>
    <w:rsid w:val="00E84E17"/>
    <w:rsid w:val="00E84F38"/>
    <w:rsid w:val="00E84F90"/>
    <w:rsid w:val="00E85156"/>
    <w:rsid w:val="00E851D2"/>
    <w:rsid w:val="00E85623"/>
    <w:rsid w:val="00E8583E"/>
    <w:rsid w:val="00E87441"/>
    <w:rsid w:val="00E874BF"/>
    <w:rsid w:val="00E8787A"/>
    <w:rsid w:val="00E87CDF"/>
    <w:rsid w:val="00E912E9"/>
    <w:rsid w:val="00E91FAE"/>
    <w:rsid w:val="00E92161"/>
    <w:rsid w:val="00E9290B"/>
    <w:rsid w:val="00E9340B"/>
    <w:rsid w:val="00E939D6"/>
    <w:rsid w:val="00E94143"/>
    <w:rsid w:val="00E94D61"/>
    <w:rsid w:val="00E968F2"/>
    <w:rsid w:val="00E96E3F"/>
    <w:rsid w:val="00EA0B96"/>
    <w:rsid w:val="00EA270C"/>
    <w:rsid w:val="00EA35DB"/>
    <w:rsid w:val="00EA405B"/>
    <w:rsid w:val="00EA46F9"/>
    <w:rsid w:val="00EA4974"/>
    <w:rsid w:val="00EA532E"/>
    <w:rsid w:val="00EA5346"/>
    <w:rsid w:val="00EA59C7"/>
    <w:rsid w:val="00EA648B"/>
    <w:rsid w:val="00EA6F30"/>
    <w:rsid w:val="00EA7355"/>
    <w:rsid w:val="00EA7907"/>
    <w:rsid w:val="00EA7A04"/>
    <w:rsid w:val="00EA7B04"/>
    <w:rsid w:val="00EB06D9"/>
    <w:rsid w:val="00EB0FB8"/>
    <w:rsid w:val="00EB192B"/>
    <w:rsid w:val="00EB19ED"/>
    <w:rsid w:val="00EB1A22"/>
    <w:rsid w:val="00EB1CAB"/>
    <w:rsid w:val="00EB2163"/>
    <w:rsid w:val="00EB3A60"/>
    <w:rsid w:val="00EB3BFC"/>
    <w:rsid w:val="00EB3C21"/>
    <w:rsid w:val="00EB3DFF"/>
    <w:rsid w:val="00EB402C"/>
    <w:rsid w:val="00EB4D7B"/>
    <w:rsid w:val="00EB56BC"/>
    <w:rsid w:val="00EB5994"/>
    <w:rsid w:val="00EB63A3"/>
    <w:rsid w:val="00EB6BBB"/>
    <w:rsid w:val="00EB7D59"/>
    <w:rsid w:val="00EB7DD4"/>
    <w:rsid w:val="00EC0685"/>
    <w:rsid w:val="00EC0F5A"/>
    <w:rsid w:val="00EC2A99"/>
    <w:rsid w:val="00EC3263"/>
    <w:rsid w:val="00EC3D7F"/>
    <w:rsid w:val="00EC4265"/>
    <w:rsid w:val="00EC450F"/>
    <w:rsid w:val="00EC4949"/>
    <w:rsid w:val="00EC4AD4"/>
    <w:rsid w:val="00EC4CEB"/>
    <w:rsid w:val="00EC555B"/>
    <w:rsid w:val="00EC5E5A"/>
    <w:rsid w:val="00EC62EE"/>
    <w:rsid w:val="00EC659E"/>
    <w:rsid w:val="00EC677E"/>
    <w:rsid w:val="00EC7BD9"/>
    <w:rsid w:val="00ED0388"/>
    <w:rsid w:val="00ED0913"/>
    <w:rsid w:val="00ED0E0F"/>
    <w:rsid w:val="00ED1EB5"/>
    <w:rsid w:val="00ED203D"/>
    <w:rsid w:val="00ED2072"/>
    <w:rsid w:val="00ED246B"/>
    <w:rsid w:val="00ED28FA"/>
    <w:rsid w:val="00ED2AE0"/>
    <w:rsid w:val="00ED30F1"/>
    <w:rsid w:val="00ED4AF4"/>
    <w:rsid w:val="00ED5553"/>
    <w:rsid w:val="00ED5E36"/>
    <w:rsid w:val="00ED6961"/>
    <w:rsid w:val="00ED74CB"/>
    <w:rsid w:val="00EE1138"/>
    <w:rsid w:val="00EE1F60"/>
    <w:rsid w:val="00EE24AE"/>
    <w:rsid w:val="00EE3D84"/>
    <w:rsid w:val="00EE40C1"/>
    <w:rsid w:val="00EE448E"/>
    <w:rsid w:val="00EE5B80"/>
    <w:rsid w:val="00EE63EA"/>
    <w:rsid w:val="00EF0B96"/>
    <w:rsid w:val="00EF11C9"/>
    <w:rsid w:val="00EF25D6"/>
    <w:rsid w:val="00EF2817"/>
    <w:rsid w:val="00EF2A8A"/>
    <w:rsid w:val="00EF2EB8"/>
    <w:rsid w:val="00EF30EA"/>
    <w:rsid w:val="00EF3486"/>
    <w:rsid w:val="00EF3527"/>
    <w:rsid w:val="00EF3989"/>
    <w:rsid w:val="00EF47AF"/>
    <w:rsid w:val="00EF53B6"/>
    <w:rsid w:val="00EF5BC6"/>
    <w:rsid w:val="00EF68E2"/>
    <w:rsid w:val="00EF69DC"/>
    <w:rsid w:val="00EF6D96"/>
    <w:rsid w:val="00EF7A6B"/>
    <w:rsid w:val="00EF7AA2"/>
    <w:rsid w:val="00EF7F2F"/>
    <w:rsid w:val="00F00203"/>
    <w:rsid w:val="00F006EB"/>
    <w:rsid w:val="00F00B73"/>
    <w:rsid w:val="00F00B75"/>
    <w:rsid w:val="00F02ACA"/>
    <w:rsid w:val="00F02DA4"/>
    <w:rsid w:val="00F03DA4"/>
    <w:rsid w:val="00F040C5"/>
    <w:rsid w:val="00F045F6"/>
    <w:rsid w:val="00F069DF"/>
    <w:rsid w:val="00F07A08"/>
    <w:rsid w:val="00F07EC8"/>
    <w:rsid w:val="00F103B3"/>
    <w:rsid w:val="00F1145A"/>
    <w:rsid w:val="00F115CA"/>
    <w:rsid w:val="00F11CC3"/>
    <w:rsid w:val="00F12D9C"/>
    <w:rsid w:val="00F14817"/>
    <w:rsid w:val="00F14EBA"/>
    <w:rsid w:val="00F150DC"/>
    <w:rsid w:val="00F1510F"/>
    <w:rsid w:val="00F1533A"/>
    <w:rsid w:val="00F15E5A"/>
    <w:rsid w:val="00F17F0A"/>
    <w:rsid w:val="00F20EB4"/>
    <w:rsid w:val="00F21E8E"/>
    <w:rsid w:val="00F22C87"/>
    <w:rsid w:val="00F232EB"/>
    <w:rsid w:val="00F24B7A"/>
    <w:rsid w:val="00F25B8D"/>
    <w:rsid w:val="00F2668F"/>
    <w:rsid w:val="00F2742F"/>
    <w:rsid w:val="00F2753B"/>
    <w:rsid w:val="00F27937"/>
    <w:rsid w:val="00F309D5"/>
    <w:rsid w:val="00F31483"/>
    <w:rsid w:val="00F32414"/>
    <w:rsid w:val="00F32861"/>
    <w:rsid w:val="00F33420"/>
    <w:rsid w:val="00F33F8B"/>
    <w:rsid w:val="00F340B2"/>
    <w:rsid w:val="00F34378"/>
    <w:rsid w:val="00F3490A"/>
    <w:rsid w:val="00F36E8C"/>
    <w:rsid w:val="00F3787C"/>
    <w:rsid w:val="00F41667"/>
    <w:rsid w:val="00F43390"/>
    <w:rsid w:val="00F436D8"/>
    <w:rsid w:val="00F44354"/>
    <w:rsid w:val="00F443B2"/>
    <w:rsid w:val="00F44533"/>
    <w:rsid w:val="00F449D9"/>
    <w:rsid w:val="00F45433"/>
    <w:rsid w:val="00F4543A"/>
    <w:rsid w:val="00F455A9"/>
    <w:rsid w:val="00F458D8"/>
    <w:rsid w:val="00F4617C"/>
    <w:rsid w:val="00F46465"/>
    <w:rsid w:val="00F50237"/>
    <w:rsid w:val="00F51848"/>
    <w:rsid w:val="00F53596"/>
    <w:rsid w:val="00F53796"/>
    <w:rsid w:val="00F53BBA"/>
    <w:rsid w:val="00F54778"/>
    <w:rsid w:val="00F547CF"/>
    <w:rsid w:val="00F55732"/>
    <w:rsid w:val="00F55745"/>
    <w:rsid w:val="00F557A1"/>
    <w:rsid w:val="00F55BA8"/>
    <w:rsid w:val="00F55C47"/>
    <w:rsid w:val="00F55DB1"/>
    <w:rsid w:val="00F55E79"/>
    <w:rsid w:val="00F56ACA"/>
    <w:rsid w:val="00F57906"/>
    <w:rsid w:val="00F57B0C"/>
    <w:rsid w:val="00F57D07"/>
    <w:rsid w:val="00F600FE"/>
    <w:rsid w:val="00F6041A"/>
    <w:rsid w:val="00F61D96"/>
    <w:rsid w:val="00F62E4D"/>
    <w:rsid w:val="00F633C6"/>
    <w:rsid w:val="00F637C2"/>
    <w:rsid w:val="00F64315"/>
    <w:rsid w:val="00F64645"/>
    <w:rsid w:val="00F652F3"/>
    <w:rsid w:val="00F65A37"/>
    <w:rsid w:val="00F65CE8"/>
    <w:rsid w:val="00F66014"/>
    <w:rsid w:val="00F66B34"/>
    <w:rsid w:val="00F675B9"/>
    <w:rsid w:val="00F67FA4"/>
    <w:rsid w:val="00F70962"/>
    <w:rsid w:val="00F70AAB"/>
    <w:rsid w:val="00F70E94"/>
    <w:rsid w:val="00F711C9"/>
    <w:rsid w:val="00F72845"/>
    <w:rsid w:val="00F736CA"/>
    <w:rsid w:val="00F74C59"/>
    <w:rsid w:val="00F75C3A"/>
    <w:rsid w:val="00F76291"/>
    <w:rsid w:val="00F76BCA"/>
    <w:rsid w:val="00F77A54"/>
    <w:rsid w:val="00F77D22"/>
    <w:rsid w:val="00F77DEF"/>
    <w:rsid w:val="00F77E01"/>
    <w:rsid w:val="00F8089E"/>
    <w:rsid w:val="00F816B9"/>
    <w:rsid w:val="00F81A27"/>
    <w:rsid w:val="00F82852"/>
    <w:rsid w:val="00F82A63"/>
    <w:rsid w:val="00F82C83"/>
    <w:rsid w:val="00F82E30"/>
    <w:rsid w:val="00F831CB"/>
    <w:rsid w:val="00F847A6"/>
    <w:rsid w:val="00F848A3"/>
    <w:rsid w:val="00F84903"/>
    <w:rsid w:val="00F84ACF"/>
    <w:rsid w:val="00F84AFC"/>
    <w:rsid w:val="00F84D15"/>
    <w:rsid w:val="00F854F1"/>
    <w:rsid w:val="00F85742"/>
    <w:rsid w:val="00F85A85"/>
    <w:rsid w:val="00F85BF8"/>
    <w:rsid w:val="00F864A0"/>
    <w:rsid w:val="00F86E07"/>
    <w:rsid w:val="00F87062"/>
    <w:rsid w:val="00F871CE"/>
    <w:rsid w:val="00F87802"/>
    <w:rsid w:val="00F87F7F"/>
    <w:rsid w:val="00F92B39"/>
    <w:rsid w:val="00F92C0A"/>
    <w:rsid w:val="00F92EB3"/>
    <w:rsid w:val="00F933D9"/>
    <w:rsid w:val="00F9415B"/>
    <w:rsid w:val="00F94279"/>
    <w:rsid w:val="00F95B0A"/>
    <w:rsid w:val="00F95BC5"/>
    <w:rsid w:val="00F95FFE"/>
    <w:rsid w:val="00F9681E"/>
    <w:rsid w:val="00F96875"/>
    <w:rsid w:val="00F96AA3"/>
    <w:rsid w:val="00F96F8E"/>
    <w:rsid w:val="00F9740D"/>
    <w:rsid w:val="00FA13C2"/>
    <w:rsid w:val="00FA2832"/>
    <w:rsid w:val="00FA3AAA"/>
    <w:rsid w:val="00FA4548"/>
    <w:rsid w:val="00FA4597"/>
    <w:rsid w:val="00FA578B"/>
    <w:rsid w:val="00FA5C3D"/>
    <w:rsid w:val="00FA68A6"/>
    <w:rsid w:val="00FA7C3B"/>
    <w:rsid w:val="00FA7F91"/>
    <w:rsid w:val="00FB121C"/>
    <w:rsid w:val="00FB147E"/>
    <w:rsid w:val="00FB1CDD"/>
    <w:rsid w:val="00FB2A1A"/>
    <w:rsid w:val="00FB2C2F"/>
    <w:rsid w:val="00FB305C"/>
    <w:rsid w:val="00FB3AB3"/>
    <w:rsid w:val="00FB3C3A"/>
    <w:rsid w:val="00FB475D"/>
    <w:rsid w:val="00FB5962"/>
    <w:rsid w:val="00FB597B"/>
    <w:rsid w:val="00FB70F6"/>
    <w:rsid w:val="00FB74F0"/>
    <w:rsid w:val="00FB7761"/>
    <w:rsid w:val="00FB7E46"/>
    <w:rsid w:val="00FC23FA"/>
    <w:rsid w:val="00FC270B"/>
    <w:rsid w:val="00FC2772"/>
    <w:rsid w:val="00FC2ACC"/>
    <w:rsid w:val="00FC2E3D"/>
    <w:rsid w:val="00FC3BDE"/>
    <w:rsid w:val="00FC56DD"/>
    <w:rsid w:val="00FC5831"/>
    <w:rsid w:val="00FC6BDC"/>
    <w:rsid w:val="00FC6DD0"/>
    <w:rsid w:val="00FC6F23"/>
    <w:rsid w:val="00FC7C16"/>
    <w:rsid w:val="00FD01BB"/>
    <w:rsid w:val="00FD058B"/>
    <w:rsid w:val="00FD1007"/>
    <w:rsid w:val="00FD19B8"/>
    <w:rsid w:val="00FD1DBE"/>
    <w:rsid w:val="00FD25A7"/>
    <w:rsid w:val="00FD26A8"/>
    <w:rsid w:val="00FD27B6"/>
    <w:rsid w:val="00FD2FB3"/>
    <w:rsid w:val="00FD356E"/>
    <w:rsid w:val="00FD3689"/>
    <w:rsid w:val="00FD42A3"/>
    <w:rsid w:val="00FD45B1"/>
    <w:rsid w:val="00FD4851"/>
    <w:rsid w:val="00FD4AEC"/>
    <w:rsid w:val="00FD5268"/>
    <w:rsid w:val="00FD555D"/>
    <w:rsid w:val="00FD6EC0"/>
    <w:rsid w:val="00FD7468"/>
    <w:rsid w:val="00FD7784"/>
    <w:rsid w:val="00FD7CE0"/>
    <w:rsid w:val="00FE01C0"/>
    <w:rsid w:val="00FE01D6"/>
    <w:rsid w:val="00FE0B3B"/>
    <w:rsid w:val="00FE0BA4"/>
    <w:rsid w:val="00FE15B2"/>
    <w:rsid w:val="00FE1BE2"/>
    <w:rsid w:val="00FE2472"/>
    <w:rsid w:val="00FE2B01"/>
    <w:rsid w:val="00FE2BEE"/>
    <w:rsid w:val="00FE452F"/>
    <w:rsid w:val="00FE5729"/>
    <w:rsid w:val="00FE711E"/>
    <w:rsid w:val="00FE730A"/>
    <w:rsid w:val="00FF0039"/>
    <w:rsid w:val="00FF1195"/>
    <w:rsid w:val="00FF1DD7"/>
    <w:rsid w:val="00FF2976"/>
    <w:rsid w:val="00FF3374"/>
    <w:rsid w:val="00FF3812"/>
    <w:rsid w:val="00FF3B31"/>
    <w:rsid w:val="00FF3EDD"/>
    <w:rsid w:val="00FF4446"/>
    <w:rsid w:val="00FF4453"/>
    <w:rsid w:val="00FF4C61"/>
    <w:rsid w:val="00FF5412"/>
    <w:rsid w:val="00FF59A0"/>
    <w:rsid w:val="00FF5BF8"/>
    <w:rsid w:val="00FF604F"/>
    <w:rsid w:val="00FF662E"/>
    <w:rsid w:val="00FF706C"/>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AEA13A5"/>
  <w15:docId w15:val="{ACA2EEDF-EA34-4D5C-BC64-5B238ADEEB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39"/>
    <w:lsdException w:name="Table Theme" w:locked="1" w:semiHidden="1" w:uiPriority="0" w:unhideWhenUsed="1"/>
    <w:lsdException w:name="Placeholder Text" w:semiHidden="1"/>
    <w:lsdException w:name="No Spacing" w:uiPriority="1" w:qFormat="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uiPriority="34" w:qFormat="1"/>
    <w:lsdException w:name="Quote"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E557BA"/>
    <w:pPr>
      <w:widowControl w:val="0"/>
      <w:autoSpaceDE w:val="0"/>
      <w:autoSpaceDN w:val="0"/>
      <w:adjustRightInd w:val="0"/>
      <w:spacing w:line="240" w:lineRule="auto"/>
    </w:pPr>
    <w:rPr>
      <w:rFonts w:ascii="A" w:eastAsiaTheme="minorEastAsia" w:hAnsi="A"/>
      <w:sz w:val="20"/>
      <w:szCs w:val="20"/>
    </w:rPr>
  </w:style>
  <w:style w:type="paragraph" w:styleId="Nagwek1">
    <w:name w:val="heading 1"/>
    <w:basedOn w:val="Normalny"/>
    <w:next w:val="Normalny"/>
    <w:link w:val="Nagwek1Znak"/>
    <w:qFormat/>
    <w:rsid w:val="001E1E73"/>
    <w:pPr>
      <w:keepNext/>
      <w:keepLines/>
      <w:suppressAutoHyphens/>
      <w:autoSpaceDE/>
      <w:autoSpaceDN/>
      <w:adjustRightInd/>
      <w:spacing w:before="480" w:line="360" w:lineRule="auto"/>
      <w:outlineLvl w:val="0"/>
    </w:pPr>
    <w:rPr>
      <w:rFonts w:asciiTheme="majorHAnsi" w:eastAsiaTheme="majorEastAsia" w:hAnsiTheme="majorHAnsi" w:cstheme="majorBidi"/>
      <w:b/>
      <w:bCs/>
      <w:color w:val="365F91" w:themeColor="accent1" w:themeShade="BF"/>
      <w:kern w:val="1"/>
      <w:sz w:val="28"/>
      <w:szCs w:val="28"/>
      <w:lang w:eastAsia="ar-SA"/>
    </w:rPr>
  </w:style>
  <w:style w:type="paragraph" w:styleId="Nagwek3">
    <w:name w:val="heading 3"/>
    <w:basedOn w:val="Normalny"/>
    <w:next w:val="Normalny"/>
    <w:link w:val="Nagwek3Znak"/>
    <w:unhideWhenUsed/>
    <w:qFormat/>
    <w:rsid w:val="002D65E1"/>
    <w:pPr>
      <w:keepNext/>
      <w:keepLines/>
      <w:spacing w:before="20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9"/>
    <w:semiHidden/>
    <w:unhideWhenUsed/>
    <w:qFormat/>
    <w:rsid w:val="004D63E0"/>
    <w:pPr>
      <w:keepNext/>
      <w:keepLines/>
      <w:spacing w:before="200"/>
      <w:outlineLvl w:val="3"/>
    </w:pPr>
    <w:rPr>
      <w:rFonts w:asciiTheme="majorHAnsi" w:eastAsiaTheme="majorEastAsia" w:hAnsiTheme="majorHAnsi" w:cstheme="majorBidi"/>
      <w:b/>
      <w:bCs/>
      <w:i/>
      <w:iCs/>
      <w:color w:val="4F81BD" w:themeColor="accent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4504C0"/>
    <w:rPr>
      <w:rFonts w:asciiTheme="majorHAnsi" w:eastAsiaTheme="majorEastAsia" w:hAnsiTheme="majorHAnsi" w:cstheme="majorBidi"/>
      <w:b/>
      <w:bCs/>
      <w:color w:val="365F91" w:themeColor="accent1" w:themeShade="BF"/>
      <w:kern w:val="1"/>
      <w:sz w:val="28"/>
      <w:szCs w:val="28"/>
      <w:lang w:eastAsia="ar-SA"/>
    </w:rPr>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LITlitera">
    <w:name w:val="LIT – litera"/>
    <w:basedOn w:val="PKTpunkt"/>
    <w:uiPriority w:val="14"/>
    <w:qFormat/>
    <w:rsid w:val="005147E8"/>
    <w:pPr>
      <w:ind w:left="986" w:hanging="476"/>
    </w:p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TIRtiret">
    <w:name w:val="TIR – tiret"/>
    <w:basedOn w:val="LITlitera"/>
    <w:uiPriority w:val="15"/>
    <w:qFormat/>
    <w:rsid w:val="005147E8"/>
    <w:pPr>
      <w:ind w:left="1384" w:hanging="397"/>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aliases w:val="Odwołanie przypisu,Footnote Reference Number,Footnote symbol,Nota,Footnote number,de nota al pie,Ref,Char,SUPERS,Voetnootmarkering,Char1,fr,o,(NECG) Footnote Reference,Appel note de bas de p,BVI fnr"/>
    <w:rsid w:val="004C3F97"/>
    <w:rPr>
      <w:rFonts w:cs="Times New Roman"/>
      <w:vertAlign w:val="superscript"/>
    </w:rPr>
  </w:style>
  <w:style w:type="paragraph" w:styleId="Nagwek">
    <w:name w:val="header"/>
    <w:basedOn w:val="Normalny"/>
    <w:link w:val="NagwekZnak"/>
    <w:uiPriority w:val="99"/>
    <w:rsid w:val="004C3F97"/>
    <w:pPr>
      <w:tabs>
        <w:tab w:val="center" w:pos="4536"/>
        <w:tab w:val="right" w:pos="9072"/>
      </w:tabs>
      <w:suppressAutoHyphens/>
      <w:autoSpaceDE/>
      <w:autoSpaceDN/>
      <w:adjustRightInd/>
      <w:spacing w:line="360" w:lineRule="auto"/>
    </w:pPr>
    <w:rPr>
      <w:rFonts w:ascii="Times" w:eastAsia="Times New Roman" w:hAnsi="Times"/>
      <w:kern w:val="1"/>
      <w:sz w:val="24"/>
      <w:szCs w:val="24"/>
      <w:lang w:eastAsia="ar-SA"/>
    </w:rPr>
  </w:style>
  <w:style w:type="character" w:customStyle="1" w:styleId="NagwekZnak">
    <w:name w:val="Nagłówek Znak"/>
    <w:link w:val="Nagwek"/>
    <w:uiPriority w:val="99"/>
    <w:rsid w:val="00060076"/>
    <w:rPr>
      <w:rFonts w:eastAsiaTheme="minorEastAsia" w:cs="Arial"/>
      <w:kern w:val="1"/>
      <w:sz w:val="20"/>
      <w:szCs w:val="20"/>
      <w:lang w:eastAsia="ar-SA"/>
    </w:rPr>
  </w:style>
  <w:style w:type="paragraph" w:styleId="Stopka">
    <w:name w:val="footer"/>
    <w:basedOn w:val="Normalny"/>
    <w:link w:val="StopkaZnak"/>
    <w:uiPriority w:val="99"/>
    <w:rsid w:val="004C3F97"/>
    <w:pPr>
      <w:tabs>
        <w:tab w:val="center" w:pos="4536"/>
        <w:tab w:val="right" w:pos="9072"/>
      </w:tabs>
      <w:suppressAutoHyphens/>
      <w:autoSpaceDE/>
      <w:autoSpaceDN/>
      <w:adjustRightInd/>
      <w:spacing w:line="360" w:lineRule="auto"/>
    </w:pPr>
    <w:rPr>
      <w:rFonts w:ascii="Times" w:eastAsia="Times New Roman" w:hAnsi="Times"/>
      <w:kern w:val="1"/>
      <w:sz w:val="24"/>
      <w:szCs w:val="24"/>
      <w:lang w:eastAsia="ar-SA"/>
    </w:rPr>
  </w:style>
  <w:style w:type="character" w:customStyle="1" w:styleId="StopkaZnak">
    <w:name w:val="Stopka Znak"/>
    <w:link w:val="Stopka"/>
    <w:uiPriority w:val="99"/>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rsid w:val="004C3F97"/>
    <w:rPr>
      <w:rFonts w:ascii="Tahoma" w:eastAsiaTheme="minorEastAsia" w:hAnsi="Tahoma" w:cs="Tahoma"/>
      <w:kern w:val="1"/>
      <w:sz w:val="16"/>
      <w:szCs w:val="16"/>
      <w:lang w:eastAsia="ar-SA"/>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ZPKTzmpktartykuempunktem">
    <w:name w:val="Z/PKT – zm. pkt artykułem (punktem)"/>
    <w:basedOn w:val="PKTpunkt"/>
    <w:uiPriority w:val="31"/>
    <w:qFormat/>
    <w:rsid w:val="006A748A"/>
    <w:pPr>
      <w:ind w:left="1020"/>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paragraph" w:customStyle="1" w:styleId="ZLITzmlitartykuempunktem">
    <w:name w:val="Z/LIT – zm. lit. artykułem (punktem)"/>
    <w:basedOn w:val="LITlitera"/>
    <w:uiPriority w:val="32"/>
    <w:qFormat/>
    <w:rsid w:val="006A748A"/>
  </w:style>
  <w:style w:type="paragraph" w:styleId="Bezodstpw">
    <w:name w:val="No Spacing"/>
    <w:uiPriority w:val="1"/>
    <w:qFormat/>
    <w:rsid w:val="004C3F97"/>
    <w:pPr>
      <w:widowControl w:val="0"/>
      <w:suppressAutoHyphens/>
    </w:pPr>
    <w:rPr>
      <w:kern w:val="1"/>
      <w:lang w:eastAsia="ar-SA"/>
    </w:r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PKTzmianazmpkt">
    <w:name w:val="ZZ/PKT – zmiana zm. pkt"/>
    <w:basedOn w:val="ZPKTzmpktartykuempunktem"/>
    <w:uiPriority w:val="66"/>
    <w:qFormat/>
    <w:rsid w:val="006A748A"/>
    <w:pPr>
      <w:ind w:left="2404"/>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ZARTzmianazmart">
    <w:name w:val="ZZ/ART(§) – zmiana zm. art. (§)"/>
    <w:basedOn w:val="ZARTzmartartykuempunktem"/>
    <w:uiPriority w:val="65"/>
    <w:qFormat/>
    <w:rsid w:val="006A748A"/>
    <w:pPr>
      <w:ind w:left="1894"/>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pPr>
      <w:spacing w:line="360" w:lineRule="auto"/>
    </w:pPr>
    <w:rPr>
      <w:rFonts w:ascii="Times" w:eastAsia="Times New Roman" w:hAnsi="Times"/>
      <w:sz w:val="24"/>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ZZUSTzmianazmust">
    <w:name w:val="ZZ/UST(§) – zmiana zm. ust. (§)"/>
    <w:basedOn w:val="ZZARTzmianazmart"/>
    <w:uiPriority w:val="65"/>
    <w:qFormat/>
    <w:rsid w:val="006A748A"/>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rsid w:val="00023F13"/>
    <w:pPr>
      <w:spacing w:line="360" w:lineRule="auto"/>
    </w:pPr>
    <w:rPr>
      <w:rFonts w:ascii="Times" w:eastAsia="Times New Roman" w:hAnsi="Times"/>
      <w:sz w:val="24"/>
      <w:szCs w:val="24"/>
    </w:rPr>
  </w:style>
  <w:style w:type="character" w:customStyle="1" w:styleId="TekstkomentarzaZnak">
    <w:name w:val="Tekst komentarza Znak"/>
    <w:basedOn w:val="Domylnaczcionkaakapitu"/>
    <w:link w:val="Tekstkomentarza"/>
    <w:uiPriority w:val="99"/>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USTzmustartykuempunktem">
    <w:name w:val="Z/UST(§) – zm. ust. (§) artykułem (punktem)"/>
    <w:basedOn w:val="ZARTzmartartykuempunktem"/>
    <w:uiPriority w:val="30"/>
    <w:qFormat/>
    <w:rsid w:val="006A748A"/>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pPr>
      <w:spacing w:line="360" w:lineRule="auto"/>
    </w:pPr>
    <w:rPr>
      <w:rFonts w:ascii="Times New Roman" w:hAnsi="Times New Roman" w:cs="Arial"/>
      <w:b/>
      <w:i/>
      <w:sz w:val="24"/>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ind w:left="283" w:hanging="170"/>
    </w:pPr>
    <w:rPr>
      <w:rFonts w:ascii="Times New Roman" w:hAnsi="Times New Roman" w:cs="Arial"/>
    </w:rPr>
  </w:style>
  <w:style w:type="paragraph" w:customStyle="1" w:styleId="TEKSTwTABELItekstzwcitympierwwierszem">
    <w:name w:val="TEKST_w_TABELI – tekst z wciętym pierw. wierszem"/>
    <w:basedOn w:val="Normalny"/>
    <w:uiPriority w:val="23"/>
    <w:qFormat/>
    <w:rsid w:val="007A789F"/>
    <w:pPr>
      <w:widowControl/>
      <w:suppressAutoHyphens/>
      <w:spacing w:line="360" w:lineRule="auto"/>
      <w:ind w:firstLine="510"/>
    </w:pPr>
    <w:rPr>
      <w:rFonts w:ascii="Times" w:hAnsi="Times" w:cs="Arial"/>
      <w:bCs/>
      <w:kern w:val="24"/>
      <w:sz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spacing w:line="360" w:lineRule="auto"/>
      <w:jc w:val="center"/>
    </w:pPr>
    <w:rPr>
      <w:rFonts w:ascii="Times" w:hAnsi="Times" w:cs="Arial"/>
      <w:bCs/>
      <w:kern w:val="24"/>
      <w:sz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uiPriority w:val="39"/>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paragraph" w:styleId="Akapitzlist">
    <w:name w:val="List Paragraph"/>
    <w:basedOn w:val="Normalny"/>
    <w:link w:val="AkapitzlistZnak"/>
    <w:uiPriority w:val="34"/>
    <w:qFormat/>
    <w:rsid w:val="00517934"/>
    <w:pPr>
      <w:widowControl/>
      <w:autoSpaceDE/>
      <w:autoSpaceDN/>
      <w:adjustRightInd/>
      <w:spacing w:line="275" w:lineRule="atLeast"/>
      <w:ind w:left="720"/>
      <w:contextualSpacing/>
    </w:pPr>
    <w:rPr>
      <w:rFonts w:ascii="Georgia" w:eastAsia="Calibri" w:hAnsi="Georgia"/>
      <w:sz w:val="22"/>
      <w:szCs w:val="22"/>
      <w:lang w:eastAsia="en-US"/>
    </w:rPr>
  </w:style>
  <w:style w:type="character" w:styleId="Hipercze">
    <w:name w:val="Hyperlink"/>
    <w:uiPriority w:val="99"/>
    <w:rsid w:val="00517934"/>
    <w:rPr>
      <w:rFonts w:cs="Times New Roman"/>
      <w:color w:val="0000FF"/>
      <w:u w:val="single"/>
    </w:rPr>
  </w:style>
  <w:style w:type="paragraph" w:styleId="Poprawka">
    <w:name w:val="Revision"/>
    <w:hidden/>
    <w:uiPriority w:val="99"/>
    <w:semiHidden/>
    <w:rsid w:val="00517934"/>
    <w:pPr>
      <w:spacing w:line="240" w:lineRule="auto"/>
    </w:pPr>
    <w:rPr>
      <w:rFonts w:ascii="Georgia" w:eastAsia="Calibri" w:hAnsi="Georgia"/>
      <w:sz w:val="22"/>
      <w:szCs w:val="22"/>
      <w:lang w:eastAsia="en-US"/>
    </w:rPr>
  </w:style>
  <w:style w:type="character" w:styleId="UyteHipercze">
    <w:name w:val="FollowedHyperlink"/>
    <w:uiPriority w:val="99"/>
    <w:semiHidden/>
    <w:rsid w:val="00517934"/>
    <w:rPr>
      <w:rFonts w:cs="Times New Roman"/>
      <w:color w:val="800080"/>
      <w:u w:val="single"/>
    </w:rPr>
  </w:style>
  <w:style w:type="paragraph" w:styleId="Tekstprzypisukocowego">
    <w:name w:val="endnote text"/>
    <w:basedOn w:val="Normalny"/>
    <w:link w:val="TekstprzypisukocowegoZnak"/>
    <w:uiPriority w:val="99"/>
    <w:semiHidden/>
    <w:unhideWhenUsed/>
    <w:rsid w:val="00517934"/>
    <w:pPr>
      <w:widowControl/>
      <w:autoSpaceDE/>
      <w:autoSpaceDN/>
      <w:adjustRightInd/>
    </w:pPr>
    <w:rPr>
      <w:rFonts w:ascii="Georgia" w:eastAsia="Calibri" w:hAnsi="Georgia"/>
      <w:lang w:eastAsia="en-US"/>
    </w:rPr>
  </w:style>
  <w:style w:type="character" w:customStyle="1" w:styleId="TekstprzypisukocowegoZnak">
    <w:name w:val="Tekst przypisu końcowego Znak"/>
    <w:basedOn w:val="Domylnaczcionkaakapitu"/>
    <w:link w:val="Tekstprzypisukocowego"/>
    <w:uiPriority w:val="99"/>
    <w:semiHidden/>
    <w:rsid w:val="00517934"/>
    <w:rPr>
      <w:rFonts w:ascii="Georgia" w:eastAsia="Calibri" w:hAnsi="Georgia"/>
      <w:sz w:val="20"/>
      <w:szCs w:val="20"/>
      <w:lang w:eastAsia="en-US"/>
    </w:rPr>
  </w:style>
  <w:style w:type="character" w:styleId="Odwoanieprzypisukocowego">
    <w:name w:val="endnote reference"/>
    <w:basedOn w:val="Domylnaczcionkaakapitu"/>
    <w:uiPriority w:val="99"/>
    <w:semiHidden/>
    <w:unhideWhenUsed/>
    <w:rsid w:val="00517934"/>
    <w:rPr>
      <w:vertAlign w:val="superscript"/>
    </w:rPr>
  </w:style>
  <w:style w:type="character" w:styleId="Pogrubienie">
    <w:name w:val="Strong"/>
    <w:basedOn w:val="Domylnaczcionkaakapitu"/>
    <w:uiPriority w:val="99"/>
    <w:qFormat/>
    <w:rsid w:val="00D36641"/>
    <w:rPr>
      <w:rFonts w:ascii="Times New Roman" w:hAnsi="Times New Roman" w:cs="Times New Roman" w:hint="default"/>
      <w:b/>
      <w:bCs/>
    </w:rPr>
  </w:style>
  <w:style w:type="character" w:styleId="Numerstrony">
    <w:name w:val="page number"/>
    <w:basedOn w:val="Domylnaczcionkaakapitu"/>
    <w:uiPriority w:val="99"/>
    <w:rsid w:val="00A2024F"/>
  </w:style>
  <w:style w:type="character" w:customStyle="1" w:styleId="Nagwek4Znak">
    <w:name w:val="Nagłówek 4 Znak"/>
    <w:basedOn w:val="Domylnaczcionkaakapitu"/>
    <w:link w:val="Nagwek4"/>
    <w:uiPriority w:val="99"/>
    <w:semiHidden/>
    <w:rsid w:val="004D63E0"/>
    <w:rPr>
      <w:rFonts w:asciiTheme="majorHAnsi" w:eastAsiaTheme="majorEastAsia" w:hAnsiTheme="majorHAnsi" w:cstheme="majorBidi"/>
      <w:b/>
      <w:bCs/>
      <w:i/>
      <w:iCs/>
      <w:color w:val="4F81BD" w:themeColor="accent1"/>
      <w:sz w:val="20"/>
      <w:szCs w:val="20"/>
    </w:rPr>
  </w:style>
  <w:style w:type="character" w:customStyle="1" w:styleId="articletitle">
    <w:name w:val="articletitle"/>
    <w:basedOn w:val="Domylnaczcionkaakapitu"/>
    <w:rsid w:val="00C363B4"/>
  </w:style>
  <w:style w:type="character" w:customStyle="1" w:styleId="Nagwek3Znak">
    <w:name w:val="Nagłówek 3 Znak"/>
    <w:basedOn w:val="Domylnaczcionkaakapitu"/>
    <w:link w:val="Nagwek3"/>
    <w:rsid w:val="002D65E1"/>
    <w:rPr>
      <w:rFonts w:asciiTheme="majorHAnsi" w:eastAsiaTheme="majorEastAsia" w:hAnsiTheme="majorHAnsi" w:cstheme="majorBidi"/>
      <w:b/>
      <w:bCs/>
      <w:color w:val="4F81BD" w:themeColor="accent1"/>
      <w:sz w:val="20"/>
      <w:szCs w:val="20"/>
    </w:rPr>
  </w:style>
  <w:style w:type="paragraph" w:customStyle="1" w:styleId="parinner">
    <w:name w:val="parinner"/>
    <w:basedOn w:val="Normalny"/>
    <w:rsid w:val="00694E21"/>
    <w:pPr>
      <w:widowControl/>
      <w:autoSpaceDE/>
      <w:autoSpaceDN/>
      <w:adjustRightInd/>
      <w:spacing w:before="100" w:beforeAutospacing="1" w:after="100" w:afterAutospacing="1"/>
    </w:pPr>
    <w:rPr>
      <w:rFonts w:ascii="Times New Roman" w:eastAsia="Times New Roman" w:hAnsi="Times New Roman"/>
      <w:sz w:val="24"/>
      <w:szCs w:val="24"/>
    </w:rPr>
  </w:style>
  <w:style w:type="character" w:customStyle="1" w:styleId="footnote">
    <w:name w:val="footnote"/>
    <w:basedOn w:val="Domylnaczcionkaakapitu"/>
    <w:rsid w:val="00694E21"/>
  </w:style>
  <w:style w:type="paragraph" w:customStyle="1" w:styleId="Style34">
    <w:name w:val="Style34"/>
    <w:basedOn w:val="Normalny"/>
    <w:uiPriority w:val="99"/>
    <w:rsid w:val="00051F9D"/>
    <w:pPr>
      <w:spacing w:line="283" w:lineRule="exact"/>
      <w:jc w:val="both"/>
    </w:pPr>
    <w:rPr>
      <w:rFonts w:ascii="Arial" w:hAnsi="Arial" w:cs="Arial"/>
      <w:sz w:val="24"/>
      <w:szCs w:val="24"/>
    </w:rPr>
  </w:style>
  <w:style w:type="numbering" w:customStyle="1" w:styleId="Bezlisty1">
    <w:name w:val="Bez listy1"/>
    <w:next w:val="Bezlisty"/>
    <w:uiPriority w:val="99"/>
    <w:semiHidden/>
    <w:unhideWhenUsed/>
    <w:rsid w:val="00723286"/>
  </w:style>
  <w:style w:type="table" w:customStyle="1" w:styleId="Tabela-Siatka1">
    <w:name w:val="Tabela - Siatka1"/>
    <w:basedOn w:val="Standardowy"/>
    <w:next w:val="Tabela-Siatka"/>
    <w:uiPriority w:val="99"/>
    <w:rsid w:val="00723286"/>
    <w:pPr>
      <w:spacing w:line="240" w:lineRule="auto"/>
    </w:pPr>
    <w:rPr>
      <w:rFonts w:ascii="Calibri" w:eastAsia="Calibri"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Style34">
    <w:name w:val="Char Style 34"/>
    <w:basedOn w:val="Domylnaczcionkaakapitu"/>
    <w:link w:val="Style33"/>
    <w:rsid w:val="00AA38FD"/>
    <w:rPr>
      <w:sz w:val="22"/>
      <w:szCs w:val="22"/>
      <w:shd w:val="clear" w:color="auto" w:fill="FFFFFF"/>
    </w:rPr>
  </w:style>
  <w:style w:type="paragraph" w:customStyle="1" w:styleId="Style33">
    <w:name w:val="Style 33"/>
    <w:basedOn w:val="Normalny"/>
    <w:link w:val="CharStyle34"/>
    <w:qFormat/>
    <w:rsid w:val="00AA38FD"/>
    <w:pPr>
      <w:shd w:val="clear" w:color="auto" w:fill="FFFFFF"/>
      <w:autoSpaceDE/>
      <w:autoSpaceDN/>
      <w:adjustRightInd/>
      <w:spacing w:before="1500" w:after="280" w:line="277" w:lineRule="exact"/>
      <w:ind w:hanging="420"/>
      <w:jc w:val="both"/>
    </w:pPr>
    <w:rPr>
      <w:rFonts w:ascii="Times" w:eastAsia="Times New Roman" w:hAnsi="Times"/>
      <w:sz w:val="22"/>
      <w:szCs w:val="22"/>
    </w:rPr>
  </w:style>
  <w:style w:type="character" w:customStyle="1" w:styleId="highlight">
    <w:name w:val="highlight"/>
    <w:basedOn w:val="Domylnaczcionkaakapitu"/>
    <w:rsid w:val="00C615FE"/>
  </w:style>
  <w:style w:type="paragraph" w:customStyle="1" w:styleId="doc-ti">
    <w:name w:val="doc-ti"/>
    <w:basedOn w:val="Normalny"/>
    <w:rsid w:val="00834335"/>
    <w:pPr>
      <w:widowControl/>
      <w:autoSpaceDE/>
      <w:autoSpaceDN/>
      <w:adjustRightInd/>
      <w:spacing w:before="240" w:after="120"/>
      <w:jc w:val="center"/>
    </w:pPr>
    <w:rPr>
      <w:rFonts w:ascii="Times New Roman" w:eastAsia="Times New Roman" w:hAnsi="Times New Roman"/>
      <w:b/>
      <w:bCs/>
      <w:sz w:val="24"/>
      <w:szCs w:val="24"/>
    </w:rPr>
  </w:style>
  <w:style w:type="character" w:customStyle="1" w:styleId="italic">
    <w:name w:val="italic"/>
    <w:basedOn w:val="Domylnaczcionkaakapitu"/>
    <w:rsid w:val="00834335"/>
    <w:rPr>
      <w:i/>
      <w:iCs/>
    </w:rPr>
  </w:style>
  <w:style w:type="paragraph" w:styleId="Zwykytekst">
    <w:name w:val="Plain Text"/>
    <w:basedOn w:val="Normalny"/>
    <w:link w:val="ZwykytekstZnak"/>
    <w:uiPriority w:val="99"/>
    <w:semiHidden/>
    <w:unhideWhenUsed/>
    <w:rsid w:val="00B412A0"/>
    <w:rPr>
      <w:rFonts w:ascii="Consolas" w:hAnsi="Consolas"/>
      <w:sz w:val="21"/>
      <w:szCs w:val="21"/>
    </w:rPr>
  </w:style>
  <w:style w:type="character" w:customStyle="1" w:styleId="ZwykytekstZnak">
    <w:name w:val="Zwykły tekst Znak"/>
    <w:basedOn w:val="Domylnaczcionkaakapitu"/>
    <w:link w:val="Zwykytekst"/>
    <w:uiPriority w:val="99"/>
    <w:semiHidden/>
    <w:rsid w:val="00B412A0"/>
    <w:rPr>
      <w:rFonts w:ascii="Consolas" w:eastAsiaTheme="minorEastAsia" w:hAnsi="Consolas"/>
      <w:sz w:val="21"/>
      <w:szCs w:val="21"/>
    </w:rPr>
  </w:style>
  <w:style w:type="paragraph" w:customStyle="1" w:styleId="Style1">
    <w:name w:val="Style1"/>
    <w:basedOn w:val="Normalny"/>
    <w:rsid w:val="0074287F"/>
    <w:rPr>
      <w:rFonts w:ascii="Arial" w:eastAsia="Times New Roman" w:hAnsi="Arial"/>
      <w:sz w:val="24"/>
      <w:szCs w:val="24"/>
    </w:rPr>
  </w:style>
  <w:style w:type="paragraph" w:customStyle="1" w:styleId="Style5">
    <w:name w:val="Style5"/>
    <w:basedOn w:val="Normalny"/>
    <w:rsid w:val="0074287F"/>
    <w:rPr>
      <w:rFonts w:ascii="Arial" w:eastAsia="Times New Roman" w:hAnsi="Arial"/>
      <w:sz w:val="24"/>
      <w:szCs w:val="24"/>
    </w:rPr>
  </w:style>
  <w:style w:type="paragraph" w:customStyle="1" w:styleId="Style6">
    <w:name w:val="Style6"/>
    <w:basedOn w:val="Normalny"/>
    <w:rsid w:val="0074287F"/>
    <w:pPr>
      <w:spacing w:line="278" w:lineRule="exact"/>
      <w:ind w:hanging="384"/>
    </w:pPr>
    <w:rPr>
      <w:rFonts w:ascii="Arial" w:eastAsia="Times New Roman" w:hAnsi="Arial"/>
      <w:sz w:val="24"/>
      <w:szCs w:val="24"/>
    </w:rPr>
  </w:style>
  <w:style w:type="paragraph" w:customStyle="1" w:styleId="Style7">
    <w:name w:val="Style7"/>
    <w:basedOn w:val="Normalny"/>
    <w:rsid w:val="0074287F"/>
    <w:pPr>
      <w:spacing w:line="274" w:lineRule="exact"/>
      <w:jc w:val="both"/>
    </w:pPr>
    <w:rPr>
      <w:rFonts w:ascii="Arial" w:eastAsia="Times New Roman" w:hAnsi="Arial"/>
      <w:sz w:val="24"/>
      <w:szCs w:val="24"/>
    </w:rPr>
  </w:style>
  <w:style w:type="character" w:customStyle="1" w:styleId="FontStyle13">
    <w:name w:val="Font Style13"/>
    <w:rsid w:val="0074287F"/>
    <w:rPr>
      <w:rFonts w:ascii="Arial" w:hAnsi="Arial" w:cs="Arial"/>
      <w:sz w:val="22"/>
      <w:szCs w:val="22"/>
    </w:rPr>
  </w:style>
  <w:style w:type="character" w:customStyle="1" w:styleId="FontStyle14">
    <w:name w:val="Font Style14"/>
    <w:rsid w:val="0074287F"/>
    <w:rPr>
      <w:rFonts w:ascii="Arial" w:hAnsi="Arial" w:cs="Arial"/>
      <w:b/>
      <w:bCs/>
      <w:sz w:val="22"/>
      <w:szCs w:val="22"/>
    </w:rPr>
  </w:style>
  <w:style w:type="character" w:customStyle="1" w:styleId="markedcontent">
    <w:name w:val="markedcontent"/>
    <w:basedOn w:val="Domylnaczcionkaakapitu"/>
    <w:rsid w:val="00FE01D6"/>
  </w:style>
  <w:style w:type="paragraph" w:customStyle="1" w:styleId="Bezodstpw1">
    <w:name w:val="Bez odstępów1"/>
    <w:rsid w:val="00E7079B"/>
    <w:pPr>
      <w:suppressAutoHyphens/>
      <w:spacing w:line="240" w:lineRule="auto"/>
    </w:pPr>
    <w:rPr>
      <w:rFonts w:ascii="Times New Roman" w:eastAsia="Calibri" w:hAnsi="Times New Roman"/>
      <w:kern w:val="1"/>
    </w:rPr>
  </w:style>
  <w:style w:type="character" w:customStyle="1" w:styleId="AkapitzlistZnak">
    <w:name w:val="Akapit z listą Znak"/>
    <w:basedOn w:val="Domylnaczcionkaakapitu"/>
    <w:link w:val="Akapitzlist"/>
    <w:uiPriority w:val="34"/>
    <w:locked/>
    <w:rsid w:val="002A77C6"/>
    <w:rPr>
      <w:rFonts w:ascii="Georgia" w:eastAsia="Calibri" w:hAnsi="Georgia"/>
      <w:sz w:val="22"/>
      <w:szCs w:val="22"/>
      <w:lang w:eastAsia="en-US"/>
    </w:rPr>
  </w:style>
  <w:style w:type="character" w:customStyle="1" w:styleId="info-list-value-uzasadnienie">
    <w:name w:val="info-list-value-uzasadnienie"/>
    <w:basedOn w:val="Domylnaczcionkaakapitu"/>
    <w:rsid w:val="002A77C6"/>
  </w:style>
  <w:style w:type="character" w:customStyle="1" w:styleId="CharStyle19">
    <w:name w:val="Char Style 19"/>
    <w:basedOn w:val="Domylnaczcionkaakapitu"/>
    <w:link w:val="Style18"/>
    <w:rsid w:val="002A77C6"/>
    <w:rPr>
      <w:rFonts w:ascii="Arial" w:eastAsia="Arial" w:hAnsi="Arial" w:cs="Arial"/>
      <w:sz w:val="20"/>
      <w:szCs w:val="20"/>
      <w:shd w:val="clear" w:color="auto" w:fill="FFFFFF"/>
    </w:rPr>
  </w:style>
  <w:style w:type="paragraph" w:customStyle="1" w:styleId="Style18">
    <w:name w:val="Style 18"/>
    <w:basedOn w:val="Normalny"/>
    <w:link w:val="CharStyle19"/>
    <w:qFormat/>
    <w:rsid w:val="002A77C6"/>
    <w:pPr>
      <w:shd w:val="clear" w:color="auto" w:fill="FFFFFF"/>
      <w:autoSpaceDE/>
      <w:autoSpaceDN/>
      <w:adjustRightInd/>
      <w:spacing w:before="580" w:after="920" w:line="224" w:lineRule="exact"/>
      <w:ind w:hanging="360"/>
      <w:jc w:val="both"/>
    </w:pPr>
    <w:rPr>
      <w:rFonts w:ascii="Arial" w:eastAsia="Arial" w:hAnsi="Arial" w:cs="Arial"/>
    </w:rPr>
  </w:style>
  <w:style w:type="character" w:customStyle="1" w:styleId="CharStyle15">
    <w:name w:val="Char Style 15"/>
    <w:basedOn w:val="Domylnaczcionkaakapitu"/>
    <w:link w:val="Style4"/>
    <w:rsid w:val="002A77C6"/>
    <w:rPr>
      <w:sz w:val="19"/>
      <w:szCs w:val="19"/>
      <w:shd w:val="clear" w:color="auto" w:fill="FFFFFF"/>
    </w:rPr>
  </w:style>
  <w:style w:type="character" w:customStyle="1" w:styleId="CharStyle24">
    <w:name w:val="Char Style 24"/>
    <w:basedOn w:val="CharStyle15"/>
    <w:semiHidden/>
    <w:unhideWhenUsed/>
    <w:rsid w:val="002A77C6"/>
    <w:rPr>
      <w:rFonts w:ascii="Times New Roman" w:eastAsia="Times New Roman" w:hAnsi="Times New Roman" w:cs="Times New Roman"/>
      <w:color w:val="000000"/>
      <w:spacing w:val="0"/>
      <w:w w:val="100"/>
      <w:position w:val="0"/>
      <w:sz w:val="19"/>
      <w:szCs w:val="19"/>
      <w:u w:val="single"/>
      <w:shd w:val="clear" w:color="auto" w:fill="FFFFFF"/>
      <w:lang w:val="en-US" w:eastAsia="en-US" w:bidi="en-US"/>
    </w:rPr>
  </w:style>
  <w:style w:type="paragraph" w:customStyle="1" w:styleId="Style4">
    <w:name w:val="Style 4"/>
    <w:basedOn w:val="Normalny"/>
    <w:link w:val="CharStyle15"/>
    <w:rsid w:val="002A77C6"/>
    <w:pPr>
      <w:shd w:val="clear" w:color="auto" w:fill="FFFFFF"/>
      <w:autoSpaceDE/>
      <w:autoSpaceDN/>
      <w:adjustRightInd/>
      <w:spacing w:before="820" w:line="266" w:lineRule="exact"/>
      <w:ind w:hanging="380"/>
      <w:jc w:val="both"/>
    </w:pPr>
    <w:rPr>
      <w:rFonts w:ascii="Times" w:eastAsia="Times New Roman" w:hAnsi="Times"/>
      <w:sz w:val="19"/>
      <w:szCs w:val="19"/>
    </w:rPr>
  </w:style>
  <w:style w:type="character" w:customStyle="1" w:styleId="CharStyle29">
    <w:name w:val="Char Style 29"/>
    <w:basedOn w:val="Domylnaczcionkaakapitu"/>
    <w:link w:val="Style28"/>
    <w:rsid w:val="002A77C6"/>
    <w:rPr>
      <w:rFonts w:ascii="Arial" w:eastAsia="Arial" w:hAnsi="Arial" w:cs="Arial"/>
      <w:i/>
      <w:iCs/>
      <w:sz w:val="18"/>
      <w:szCs w:val="18"/>
      <w:shd w:val="clear" w:color="auto" w:fill="FFFFFF"/>
    </w:rPr>
  </w:style>
  <w:style w:type="character" w:customStyle="1" w:styleId="CharStyle31">
    <w:name w:val="Char Style 31"/>
    <w:basedOn w:val="Domylnaczcionkaakapitu"/>
    <w:link w:val="Style30"/>
    <w:rsid w:val="002A77C6"/>
    <w:rPr>
      <w:rFonts w:ascii="Arial" w:eastAsia="Arial" w:hAnsi="Arial" w:cs="Arial"/>
      <w:i/>
      <w:iCs/>
      <w:sz w:val="16"/>
      <w:szCs w:val="16"/>
      <w:shd w:val="clear" w:color="auto" w:fill="FFFFFF"/>
    </w:rPr>
  </w:style>
  <w:style w:type="character" w:customStyle="1" w:styleId="CharStyle32">
    <w:name w:val="Char Style 32"/>
    <w:basedOn w:val="CharStyle31"/>
    <w:semiHidden/>
    <w:unhideWhenUsed/>
    <w:rsid w:val="002A77C6"/>
    <w:rPr>
      <w:rFonts w:ascii="Arial" w:eastAsia="Arial" w:hAnsi="Arial" w:cs="Arial"/>
      <w:i/>
      <w:iCs/>
      <w:color w:val="000000"/>
      <w:spacing w:val="0"/>
      <w:w w:val="100"/>
      <w:position w:val="0"/>
      <w:sz w:val="8"/>
      <w:szCs w:val="8"/>
      <w:shd w:val="clear" w:color="auto" w:fill="FFFFFF"/>
      <w:lang w:val="pl-PL" w:eastAsia="pl-PL" w:bidi="pl-PL"/>
    </w:rPr>
  </w:style>
  <w:style w:type="character" w:customStyle="1" w:styleId="CharStyle33">
    <w:name w:val="Char Style 33"/>
    <w:basedOn w:val="CharStyle19"/>
    <w:semiHidden/>
    <w:unhideWhenUsed/>
    <w:rsid w:val="002A77C6"/>
    <w:rPr>
      <w:rFonts w:ascii="Arial" w:eastAsia="Arial" w:hAnsi="Arial" w:cs="Arial"/>
      <w:b w:val="0"/>
      <w:bCs w:val="0"/>
      <w:i w:val="0"/>
      <w:iCs w:val="0"/>
      <w:smallCaps w:val="0"/>
      <w:strike w:val="0"/>
      <w:color w:val="000000"/>
      <w:spacing w:val="0"/>
      <w:w w:val="100"/>
      <w:position w:val="0"/>
      <w:sz w:val="10"/>
      <w:szCs w:val="10"/>
      <w:u w:val="none"/>
      <w:shd w:val="clear" w:color="auto" w:fill="FFFFFF"/>
      <w:lang w:val="pl-PL" w:eastAsia="pl-PL" w:bidi="pl-PL"/>
    </w:rPr>
  </w:style>
  <w:style w:type="character" w:customStyle="1" w:styleId="CharStyle35">
    <w:name w:val="Char Style 35"/>
    <w:basedOn w:val="CharStyle19"/>
    <w:semiHidden/>
    <w:unhideWhenUsed/>
    <w:rsid w:val="002A77C6"/>
    <w:rPr>
      <w:rFonts w:ascii="Arial" w:eastAsia="Arial" w:hAnsi="Arial" w:cs="Arial"/>
      <w:b w:val="0"/>
      <w:bCs w:val="0"/>
      <w:i w:val="0"/>
      <w:iCs w:val="0"/>
      <w:smallCaps w:val="0"/>
      <w:strike w:val="0"/>
      <w:color w:val="000000"/>
      <w:spacing w:val="0"/>
      <w:w w:val="100"/>
      <w:position w:val="0"/>
      <w:sz w:val="8"/>
      <w:szCs w:val="8"/>
      <w:u w:val="none"/>
      <w:shd w:val="clear" w:color="auto" w:fill="FFFFFF"/>
      <w:lang w:val="pl-PL" w:eastAsia="pl-PL" w:bidi="pl-PL"/>
    </w:rPr>
  </w:style>
  <w:style w:type="paragraph" w:customStyle="1" w:styleId="Style28">
    <w:name w:val="Style 28"/>
    <w:basedOn w:val="Normalny"/>
    <w:link w:val="CharStyle29"/>
    <w:rsid w:val="002A77C6"/>
    <w:pPr>
      <w:shd w:val="clear" w:color="auto" w:fill="FFFFFF"/>
      <w:autoSpaceDE/>
      <w:autoSpaceDN/>
      <w:adjustRightInd/>
      <w:spacing w:line="241" w:lineRule="exact"/>
      <w:jc w:val="both"/>
    </w:pPr>
    <w:rPr>
      <w:rFonts w:ascii="Arial" w:eastAsia="Arial" w:hAnsi="Arial" w:cs="Arial"/>
      <w:i/>
      <w:iCs/>
      <w:sz w:val="18"/>
      <w:szCs w:val="18"/>
    </w:rPr>
  </w:style>
  <w:style w:type="paragraph" w:customStyle="1" w:styleId="Style30">
    <w:name w:val="Style 30"/>
    <w:basedOn w:val="Normalny"/>
    <w:link w:val="CharStyle31"/>
    <w:qFormat/>
    <w:rsid w:val="002A77C6"/>
    <w:pPr>
      <w:shd w:val="clear" w:color="auto" w:fill="FFFFFF"/>
      <w:autoSpaceDE/>
      <w:autoSpaceDN/>
      <w:adjustRightInd/>
      <w:spacing w:line="184" w:lineRule="exact"/>
    </w:pPr>
    <w:rPr>
      <w:rFonts w:ascii="Arial" w:eastAsia="Arial" w:hAnsi="Arial" w:cs="Arial"/>
      <w:i/>
      <w:iCs/>
      <w:sz w:val="16"/>
      <w:szCs w:val="16"/>
    </w:rPr>
  </w:style>
  <w:style w:type="paragraph" w:styleId="Tekstpodstawowy">
    <w:name w:val="Body Text"/>
    <w:basedOn w:val="Normalny"/>
    <w:link w:val="TekstpodstawowyZnak"/>
    <w:qFormat/>
    <w:rsid w:val="002A77C6"/>
    <w:pPr>
      <w:widowControl/>
      <w:autoSpaceDE/>
      <w:autoSpaceDN/>
      <w:adjustRightInd/>
      <w:spacing w:before="120" w:after="120"/>
      <w:jc w:val="both"/>
    </w:pPr>
    <w:rPr>
      <w:rFonts w:ascii="Arial" w:eastAsia="Times New Roman" w:hAnsi="Arial"/>
      <w:sz w:val="22"/>
      <w:lang w:val="en-US" w:eastAsia="en-US"/>
    </w:rPr>
  </w:style>
  <w:style w:type="character" w:customStyle="1" w:styleId="TekstpodstawowyZnak">
    <w:name w:val="Tekst podstawowy Znak"/>
    <w:basedOn w:val="Domylnaczcionkaakapitu"/>
    <w:link w:val="Tekstpodstawowy"/>
    <w:rsid w:val="002A77C6"/>
    <w:rPr>
      <w:rFonts w:ascii="Arial" w:hAnsi="Arial"/>
      <w:sz w:val="22"/>
      <w:szCs w:val="20"/>
      <w:lang w:val="en-US" w:eastAsia="en-US"/>
    </w:rPr>
  </w:style>
  <w:style w:type="paragraph" w:customStyle="1" w:styleId="Default">
    <w:name w:val="Default"/>
    <w:uiPriority w:val="99"/>
    <w:rsid w:val="002A77C6"/>
    <w:pPr>
      <w:autoSpaceDE w:val="0"/>
      <w:autoSpaceDN w:val="0"/>
      <w:adjustRightInd w:val="0"/>
      <w:spacing w:line="240" w:lineRule="auto"/>
    </w:pPr>
    <w:rPr>
      <w:rFonts w:ascii="Times New Roman" w:eastAsia="Calibri" w:hAnsi="Times New Roman"/>
      <w:color w:val="000000"/>
    </w:rPr>
  </w:style>
  <w:style w:type="character" w:customStyle="1" w:styleId="normaltextrun">
    <w:name w:val="normaltextrun"/>
    <w:basedOn w:val="Domylnaczcionkaakapitu"/>
    <w:rsid w:val="002A77C6"/>
  </w:style>
  <w:style w:type="character" w:customStyle="1" w:styleId="eop">
    <w:name w:val="eop"/>
    <w:basedOn w:val="Domylnaczcionkaakapitu"/>
    <w:rsid w:val="002A77C6"/>
  </w:style>
  <w:style w:type="character" w:customStyle="1" w:styleId="contextualspellingandgrammarerror">
    <w:name w:val="contextualspellingandgrammarerror"/>
    <w:basedOn w:val="Domylnaczcionkaakapitu"/>
    <w:rsid w:val="002A77C6"/>
  </w:style>
  <w:style w:type="character" w:styleId="Uwydatnienie">
    <w:name w:val="Emphasis"/>
    <w:basedOn w:val="Domylnaczcionkaakapitu"/>
    <w:uiPriority w:val="20"/>
    <w:qFormat/>
    <w:rsid w:val="002A77C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219611">
      <w:bodyDiv w:val="1"/>
      <w:marLeft w:val="0"/>
      <w:marRight w:val="0"/>
      <w:marTop w:val="0"/>
      <w:marBottom w:val="0"/>
      <w:divBdr>
        <w:top w:val="none" w:sz="0" w:space="0" w:color="auto"/>
        <w:left w:val="none" w:sz="0" w:space="0" w:color="auto"/>
        <w:bottom w:val="none" w:sz="0" w:space="0" w:color="auto"/>
        <w:right w:val="none" w:sz="0" w:space="0" w:color="auto"/>
      </w:divBdr>
      <w:divsChild>
        <w:div w:id="839389135">
          <w:marLeft w:val="0"/>
          <w:marRight w:val="0"/>
          <w:marTop w:val="0"/>
          <w:marBottom w:val="0"/>
          <w:divBdr>
            <w:top w:val="none" w:sz="0" w:space="0" w:color="auto"/>
            <w:left w:val="none" w:sz="0" w:space="0" w:color="auto"/>
            <w:bottom w:val="none" w:sz="0" w:space="0" w:color="auto"/>
            <w:right w:val="none" w:sz="0" w:space="0" w:color="auto"/>
          </w:divBdr>
        </w:div>
      </w:divsChild>
    </w:div>
    <w:div w:id="90973858">
      <w:bodyDiv w:val="1"/>
      <w:marLeft w:val="0"/>
      <w:marRight w:val="0"/>
      <w:marTop w:val="0"/>
      <w:marBottom w:val="0"/>
      <w:divBdr>
        <w:top w:val="none" w:sz="0" w:space="0" w:color="auto"/>
        <w:left w:val="none" w:sz="0" w:space="0" w:color="auto"/>
        <w:bottom w:val="none" w:sz="0" w:space="0" w:color="auto"/>
        <w:right w:val="none" w:sz="0" w:space="0" w:color="auto"/>
      </w:divBdr>
    </w:div>
    <w:div w:id="192229115">
      <w:bodyDiv w:val="1"/>
      <w:marLeft w:val="390"/>
      <w:marRight w:val="390"/>
      <w:marTop w:val="0"/>
      <w:marBottom w:val="0"/>
      <w:divBdr>
        <w:top w:val="none" w:sz="0" w:space="0" w:color="auto"/>
        <w:left w:val="none" w:sz="0" w:space="0" w:color="auto"/>
        <w:bottom w:val="none" w:sz="0" w:space="0" w:color="auto"/>
        <w:right w:val="none" w:sz="0" w:space="0" w:color="auto"/>
      </w:divBdr>
      <w:divsChild>
        <w:div w:id="204605407">
          <w:marLeft w:val="0"/>
          <w:marRight w:val="0"/>
          <w:marTop w:val="0"/>
          <w:marBottom w:val="0"/>
          <w:divBdr>
            <w:top w:val="none" w:sz="0" w:space="0" w:color="auto"/>
            <w:left w:val="none" w:sz="0" w:space="0" w:color="auto"/>
            <w:bottom w:val="none" w:sz="0" w:space="0" w:color="auto"/>
            <w:right w:val="none" w:sz="0" w:space="0" w:color="auto"/>
          </w:divBdr>
          <w:divsChild>
            <w:div w:id="506604314">
              <w:marLeft w:val="0"/>
              <w:marRight w:val="0"/>
              <w:marTop w:val="0"/>
              <w:marBottom w:val="0"/>
              <w:divBdr>
                <w:top w:val="none" w:sz="0" w:space="0" w:color="auto"/>
                <w:left w:val="none" w:sz="0" w:space="0" w:color="auto"/>
                <w:bottom w:val="none" w:sz="0" w:space="0" w:color="auto"/>
                <w:right w:val="none" w:sz="0" w:space="0" w:color="auto"/>
              </w:divBdr>
              <w:divsChild>
                <w:div w:id="13699664">
                  <w:marLeft w:val="-150"/>
                  <w:marRight w:val="-150"/>
                  <w:marTop w:val="0"/>
                  <w:marBottom w:val="0"/>
                  <w:divBdr>
                    <w:top w:val="none" w:sz="0" w:space="0" w:color="auto"/>
                    <w:left w:val="none" w:sz="0" w:space="0" w:color="auto"/>
                    <w:bottom w:val="none" w:sz="0" w:space="0" w:color="auto"/>
                    <w:right w:val="none" w:sz="0" w:space="0" w:color="auto"/>
                  </w:divBdr>
                  <w:divsChild>
                    <w:div w:id="431975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7606268">
      <w:bodyDiv w:val="1"/>
      <w:marLeft w:val="0"/>
      <w:marRight w:val="0"/>
      <w:marTop w:val="0"/>
      <w:marBottom w:val="0"/>
      <w:divBdr>
        <w:top w:val="none" w:sz="0" w:space="0" w:color="auto"/>
        <w:left w:val="none" w:sz="0" w:space="0" w:color="auto"/>
        <w:bottom w:val="none" w:sz="0" w:space="0" w:color="auto"/>
        <w:right w:val="none" w:sz="0" w:space="0" w:color="auto"/>
      </w:divBdr>
    </w:div>
    <w:div w:id="647324753">
      <w:bodyDiv w:val="1"/>
      <w:marLeft w:val="0"/>
      <w:marRight w:val="0"/>
      <w:marTop w:val="0"/>
      <w:marBottom w:val="0"/>
      <w:divBdr>
        <w:top w:val="none" w:sz="0" w:space="0" w:color="auto"/>
        <w:left w:val="none" w:sz="0" w:space="0" w:color="auto"/>
        <w:bottom w:val="none" w:sz="0" w:space="0" w:color="auto"/>
        <w:right w:val="none" w:sz="0" w:space="0" w:color="auto"/>
      </w:divBdr>
    </w:div>
    <w:div w:id="792863179">
      <w:bodyDiv w:val="1"/>
      <w:marLeft w:val="0"/>
      <w:marRight w:val="0"/>
      <w:marTop w:val="0"/>
      <w:marBottom w:val="0"/>
      <w:divBdr>
        <w:top w:val="none" w:sz="0" w:space="0" w:color="auto"/>
        <w:left w:val="none" w:sz="0" w:space="0" w:color="auto"/>
        <w:bottom w:val="none" w:sz="0" w:space="0" w:color="auto"/>
        <w:right w:val="none" w:sz="0" w:space="0" w:color="auto"/>
      </w:divBdr>
    </w:div>
    <w:div w:id="847671740">
      <w:bodyDiv w:val="1"/>
      <w:marLeft w:val="0"/>
      <w:marRight w:val="0"/>
      <w:marTop w:val="0"/>
      <w:marBottom w:val="0"/>
      <w:divBdr>
        <w:top w:val="none" w:sz="0" w:space="0" w:color="auto"/>
        <w:left w:val="none" w:sz="0" w:space="0" w:color="auto"/>
        <w:bottom w:val="none" w:sz="0" w:space="0" w:color="auto"/>
        <w:right w:val="none" w:sz="0" w:space="0" w:color="auto"/>
      </w:divBdr>
    </w:div>
    <w:div w:id="874661865">
      <w:bodyDiv w:val="1"/>
      <w:marLeft w:val="0"/>
      <w:marRight w:val="0"/>
      <w:marTop w:val="0"/>
      <w:marBottom w:val="0"/>
      <w:divBdr>
        <w:top w:val="none" w:sz="0" w:space="0" w:color="auto"/>
        <w:left w:val="none" w:sz="0" w:space="0" w:color="auto"/>
        <w:bottom w:val="none" w:sz="0" w:space="0" w:color="auto"/>
        <w:right w:val="none" w:sz="0" w:space="0" w:color="auto"/>
      </w:divBdr>
    </w:div>
    <w:div w:id="884029054">
      <w:bodyDiv w:val="1"/>
      <w:marLeft w:val="0"/>
      <w:marRight w:val="0"/>
      <w:marTop w:val="0"/>
      <w:marBottom w:val="0"/>
      <w:divBdr>
        <w:top w:val="none" w:sz="0" w:space="0" w:color="auto"/>
        <w:left w:val="none" w:sz="0" w:space="0" w:color="auto"/>
        <w:bottom w:val="none" w:sz="0" w:space="0" w:color="auto"/>
        <w:right w:val="none" w:sz="0" w:space="0" w:color="auto"/>
      </w:divBdr>
      <w:divsChild>
        <w:div w:id="1033649771">
          <w:marLeft w:val="0"/>
          <w:marRight w:val="0"/>
          <w:marTop w:val="0"/>
          <w:marBottom w:val="0"/>
          <w:divBdr>
            <w:top w:val="none" w:sz="0" w:space="0" w:color="auto"/>
            <w:left w:val="none" w:sz="0" w:space="0" w:color="auto"/>
            <w:bottom w:val="none" w:sz="0" w:space="0" w:color="auto"/>
            <w:right w:val="none" w:sz="0" w:space="0" w:color="auto"/>
          </w:divBdr>
        </w:div>
      </w:divsChild>
    </w:div>
    <w:div w:id="951938957">
      <w:bodyDiv w:val="1"/>
      <w:marLeft w:val="0"/>
      <w:marRight w:val="0"/>
      <w:marTop w:val="0"/>
      <w:marBottom w:val="0"/>
      <w:divBdr>
        <w:top w:val="none" w:sz="0" w:space="0" w:color="auto"/>
        <w:left w:val="none" w:sz="0" w:space="0" w:color="auto"/>
        <w:bottom w:val="none" w:sz="0" w:space="0" w:color="auto"/>
        <w:right w:val="none" w:sz="0" w:space="0" w:color="auto"/>
      </w:divBdr>
    </w:div>
    <w:div w:id="965236080">
      <w:bodyDiv w:val="1"/>
      <w:marLeft w:val="0"/>
      <w:marRight w:val="0"/>
      <w:marTop w:val="0"/>
      <w:marBottom w:val="0"/>
      <w:divBdr>
        <w:top w:val="none" w:sz="0" w:space="0" w:color="auto"/>
        <w:left w:val="none" w:sz="0" w:space="0" w:color="auto"/>
        <w:bottom w:val="none" w:sz="0" w:space="0" w:color="auto"/>
        <w:right w:val="none" w:sz="0" w:space="0" w:color="auto"/>
      </w:divBdr>
    </w:div>
    <w:div w:id="1118639751">
      <w:bodyDiv w:val="1"/>
      <w:marLeft w:val="0"/>
      <w:marRight w:val="0"/>
      <w:marTop w:val="0"/>
      <w:marBottom w:val="0"/>
      <w:divBdr>
        <w:top w:val="none" w:sz="0" w:space="0" w:color="auto"/>
        <w:left w:val="none" w:sz="0" w:space="0" w:color="auto"/>
        <w:bottom w:val="none" w:sz="0" w:space="0" w:color="auto"/>
        <w:right w:val="none" w:sz="0" w:space="0" w:color="auto"/>
      </w:divBdr>
      <w:divsChild>
        <w:div w:id="1109159902">
          <w:marLeft w:val="0"/>
          <w:marRight w:val="0"/>
          <w:marTop w:val="0"/>
          <w:marBottom w:val="0"/>
          <w:divBdr>
            <w:top w:val="none" w:sz="0" w:space="0" w:color="auto"/>
            <w:left w:val="none" w:sz="0" w:space="0" w:color="auto"/>
            <w:bottom w:val="none" w:sz="0" w:space="0" w:color="auto"/>
            <w:right w:val="none" w:sz="0" w:space="0" w:color="auto"/>
          </w:divBdr>
        </w:div>
      </w:divsChild>
    </w:div>
    <w:div w:id="1133137856">
      <w:bodyDiv w:val="1"/>
      <w:marLeft w:val="0"/>
      <w:marRight w:val="0"/>
      <w:marTop w:val="0"/>
      <w:marBottom w:val="0"/>
      <w:divBdr>
        <w:top w:val="none" w:sz="0" w:space="0" w:color="auto"/>
        <w:left w:val="none" w:sz="0" w:space="0" w:color="auto"/>
        <w:bottom w:val="none" w:sz="0" w:space="0" w:color="auto"/>
        <w:right w:val="none" w:sz="0" w:space="0" w:color="auto"/>
      </w:divBdr>
      <w:divsChild>
        <w:div w:id="1924728033">
          <w:marLeft w:val="0"/>
          <w:marRight w:val="0"/>
          <w:marTop w:val="0"/>
          <w:marBottom w:val="0"/>
          <w:divBdr>
            <w:top w:val="none" w:sz="0" w:space="0" w:color="auto"/>
            <w:left w:val="none" w:sz="0" w:space="0" w:color="auto"/>
            <w:bottom w:val="none" w:sz="0" w:space="0" w:color="auto"/>
            <w:right w:val="none" w:sz="0" w:space="0" w:color="auto"/>
          </w:divBdr>
          <w:divsChild>
            <w:div w:id="1084499590">
              <w:marLeft w:val="0"/>
              <w:marRight w:val="0"/>
              <w:marTop w:val="0"/>
              <w:marBottom w:val="0"/>
              <w:divBdr>
                <w:top w:val="none" w:sz="0" w:space="0" w:color="auto"/>
                <w:left w:val="none" w:sz="0" w:space="0" w:color="auto"/>
                <w:bottom w:val="none" w:sz="0" w:space="0" w:color="auto"/>
                <w:right w:val="none" w:sz="0" w:space="0" w:color="auto"/>
              </w:divBdr>
              <w:divsChild>
                <w:div w:id="432242288">
                  <w:marLeft w:val="0"/>
                  <w:marRight w:val="0"/>
                  <w:marTop w:val="0"/>
                  <w:marBottom w:val="0"/>
                  <w:divBdr>
                    <w:top w:val="none" w:sz="0" w:space="0" w:color="auto"/>
                    <w:left w:val="none" w:sz="0" w:space="0" w:color="auto"/>
                    <w:bottom w:val="none" w:sz="0" w:space="0" w:color="auto"/>
                    <w:right w:val="none" w:sz="0" w:space="0" w:color="auto"/>
                  </w:divBdr>
                  <w:divsChild>
                    <w:div w:id="461504966">
                      <w:marLeft w:val="0"/>
                      <w:marRight w:val="0"/>
                      <w:marTop w:val="0"/>
                      <w:marBottom w:val="0"/>
                      <w:divBdr>
                        <w:top w:val="none" w:sz="0" w:space="0" w:color="auto"/>
                        <w:left w:val="none" w:sz="0" w:space="0" w:color="auto"/>
                        <w:bottom w:val="none" w:sz="0" w:space="0" w:color="auto"/>
                        <w:right w:val="none" w:sz="0" w:space="0" w:color="auto"/>
                      </w:divBdr>
                      <w:divsChild>
                        <w:div w:id="1460882291">
                          <w:marLeft w:val="0"/>
                          <w:marRight w:val="0"/>
                          <w:marTop w:val="0"/>
                          <w:marBottom w:val="0"/>
                          <w:divBdr>
                            <w:top w:val="none" w:sz="0" w:space="0" w:color="auto"/>
                            <w:left w:val="none" w:sz="0" w:space="0" w:color="auto"/>
                            <w:bottom w:val="none" w:sz="0" w:space="0" w:color="auto"/>
                            <w:right w:val="none" w:sz="0" w:space="0" w:color="auto"/>
                          </w:divBdr>
                          <w:divsChild>
                            <w:div w:id="1791975563">
                              <w:marLeft w:val="0"/>
                              <w:marRight w:val="0"/>
                              <w:marTop w:val="0"/>
                              <w:marBottom w:val="0"/>
                              <w:divBdr>
                                <w:top w:val="none" w:sz="0" w:space="0" w:color="auto"/>
                                <w:left w:val="none" w:sz="0" w:space="0" w:color="auto"/>
                                <w:bottom w:val="none" w:sz="0" w:space="0" w:color="auto"/>
                                <w:right w:val="none" w:sz="0" w:space="0" w:color="auto"/>
                              </w:divBdr>
                              <w:divsChild>
                                <w:div w:id="388530061">
                                  <w:marLeft w:val="0"/>
                                  <w:marRight w:val="0"/>
                                  <w:marTop w:val="0"/>
                                  <w:marBottom w:val="0"/>
                                  <w:divBdr>
                                    <w:top w:val="none" w:sz="0" w:space="0" w:color="auto"/>
                                    <w:left w:val="none" w:sz="0" w:space="0" w:color="auto"/>
                                    <w:bottom w:val="none" w:sz="0" w:space="0" w:color="auto"/>
                                    <w:right w:val="none" w:sz="0" w:space="0" w:color="auto"/>
                                  </w:divBdr>
                                  <w:divsChild>
                                    <w:div w:id="573122600">
                                      <w:marLeft w:val="0"/>
                                      <w:marRight w:val="0"/>
                                      <w:marTop w:val="0"/>
                                      <w:marBottom w:val="0"/>
                                      <w:divBdr>
                                        <w:top w:val="none" w:sz="0" w:space="0" w:color="auto"/>
                                        <w:left w:val="none" w:sz="0" w:space="0" w:color="auto"/>
                                        <w:bottom w:val="none" w:sz="0" w:space="0" w:color="auto"/>
                                        <w:right w:val="none" w:sz="0" w:space="0" w:color="auto"/>
                                      </w:divBdr>
                                      <w:divsChild>
                                        <w:div w:id="1252276109">
                                          <w:marLeft w:val="0"/>
                                          <w:marRight w:val="0"/>
                                          <w:marTop w:val="0"/>
                                          <w:marBottom w:val="0"/>
                                          <w:divBdr>
                                            <w:top w:val="none" w:sz="0" w:space="0" w:color="auto"/>
                                            <w:left w:val="none" w:sz="0" w:space="0" w:color="auto"/>
                                            <w:bottom w:val="none" w:sz="0" w:space="0" w:color="auto"/>
                                            <w:right w:val="none" w:sz="0" w:space="0" w:color="auto"/>
                                          </w:divBdr>
                                          <w:divsChild>
                                            <w:div w:id="14500894">
                                              <w:marLeft w:val="0"/>
                                              <w:marRight w:val="0"/>
                                              <w:marTop w:val="0"/>
                                              <w:marBottom w:val="0"/>
                                              <w:divBdr>
                                                <w:top w:val="none" w:sz="0" w:space="0" w:color="auto"/>
                                                <w:left w:val="none" w:sz="0" w:space="0" w:color="auto"/>
                                                <w:bottom w:val="none" w:sz="0" w:space="0" w:color="auto"/>
                                                <w:right w:val="none" w:sz="0" w:space="0" w:color="auto"/>
                                              </w:divBdr>
                                              <w:divsChild>
                                                <w:div w:id="1293100891">
                                                  <w:marLeft w:val="0"/>
                                                  <w:marRight w:val="0"/>
                                                  <w:marTop w:val="0"/>
                                                  <w:marBottom w:val="0"/>
                                                  <w:divBdr>
                                                    <w:top w:val="none" w:sz="0" w:space="0" w:color="auto"/>
                                                    <w:left w:val="none" w:sz="0" w:space="0" w:color="auto"/>
                                                    <w:bottom w:val="none" w:sz="0" w:space="0" w:color="auto"/>
                                                    <w:right w:val="none" w:sz="0" w:space="0" w:color="auto"/>
                                                  </w:divBdr>
                                                </w:div>
                                                <w:div w:id="551233179">
                                                  <w:marLeft w:val="0"/>
                                                  <w:marRight w:val="0"/>
                                                  <w:marTop w:val="0"/>
                                                  <w:marBottom w:val="0"/>
                                                  <w:divBdr>
                                                    <w:top w:val="none" w:sz="0" w:space="0" w:color="auto"/>
                                                    <w:left w:val="none" w:sz="0" w:space="0" w:color="auto"/>
                                                    <w:bottom w:val="none" w:sz="0" w:space="0" w:color="auto"/>
                                                    <w:right w:val="none" w:sz="0" w:space="0" w:color="auto"/>
                                                  </w:divBdr>
                                                  <w:divsChild>
                                                    <w:div w:id="1440644848">
                                                      <w:marLeft w:val="0"/>
                                                      <w:marRight w:val="0"/>
                                                      <w:marTop w:val="0"/>
                                                      <w:marBottom w:val="0"/>
                                                      <w:divBdr>
                                                        <w:top w:val="none" w:sz="0" w:space="0" w:color="auto"/>
                                                        <w:left w:val="none" w:sz="0" w:space="0" w:color="auto"/>
                                                        <w:bottom w:val="none" w:sz="0" w:space="0" w:color="auto"/>
                                                        <w:right w:val="none" w:sz="0" w:space="0" w:color="auto"/>
                                                      </w:divBdr>
                                                    </w:div>
                                                    <w:div w:id="1603029218">
                                                      <w:marLeft w:val="0"/>
                                                      <w:marRight w:val="0"/>
                                                      <w:marTop w:val="0"/>
                                                      <w:marBottom w:val="0"/>
                                                      <w:divBdr>
                                                        <w:top w:val="none" w:sz="0" w:space="0" w:color="auto"/>
                                                        <w:left w:val="none" w:sz="0" w:space="0" w:color="auto"/>
                                                        <w:bottom w:val="none" w:sz="0" w:space="0" w:color="auto"/>
                                                        <w:right w:val="none" w:sz="0" w:space="0" w:color="auto"/>
                                                      </w:divBdr>
                                                    </w:div>
                                                  </w:divsChild>
                                                </w:div>
                                                <w:div w:id="736629181">
                                                  <w:marLeft w:val="0"/>
                                                  <w:marRight w:val="0"/>
                                                  <w:marTop w:val="0"/>
                                                  <w:marBottom w:val="0"/>
                                                  <w:divBdr>
                                                    <w:top w:val="none" w:sz="0" w:space="0" w:color="auto"/>
                                                    <w:left w:val="none" w:sz="0" w:space="0" w:color="auto"/>
                                                    <w:bottom w:val="none" w:sz="0" w:space="0" w:color="auto"/>
                                                    <w:right w:val="none" w:sz="0" w:space="0" w:color="auto"/>
                                                  </w:divBdr>
                                                  <w:divsChild>
                                                    <w:div w:id="750195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17146190">
      <w:bodyDiv w:val="1"/>
      <w:marLeft w:val="0"/>
      <w:marRight w:val="0"/>
      <w:marTop w:val="0"/>
      <w:marBottom w:val="0"/>
      <w:divBdr>
        <w:top w:val="none" w:sz="0" w:space="0" w:color="auto"/>
        <w:left w:val="none" w:sz="0" w:space="0" w:color="auto"/>
        <w:bottom w:val="none" w:sz="0" w:space="0" w:color="auto"/>
        <w:right w:val="none" w:sz="0" w:space="0" w:color="auto"/>
      </w:divBdr>
      <w:divsChild>
        <w:div w:id="934092871">
          <w:marLeft w:val="0"/>
          <w:marRight w:val="0"/>
          <w:marTop w:val="0"/>
          <w:marBottom w:val="0"/>
          <w:divBdr>
            <w:top w:val="none" w:sz="0" w:space="0" w:color="auto"/>
            <w:left w:val="none" w:sz="0" w:space="0" w:color="auto"/>
            <w:bottom w:val="none" w:sz="0" w:space="0" w:color="auto"/>
            <w:right w:val="none" w:sz="0" w:space="0" w:color="auto"/>
          </w:divBdr>
          <w:divsChild>
            <w:div w:id="265769724">
              <w:marLeft w:val="0"/>
              <w:marRight w:val="0"/>
              <w:marTop w:val="0"/>
              <w:marBottom w:val="0"/>
              <w:divBdr>
                <w:top w:val="none" w:sz="0" w:space="0" w:color="auto"/>
                <w:left w:val="none" w:sz="0" w:space="0" w:color="auto"/>
                <w:bottom w:val="none" w:sz="0" w:space="0" w:color="auto"/>
                <w:right w:val="none" w:sz="0" w:space="0" w:color="auto"/>
              </w:divBdr>
              <w:divsChild>
                <w:div w:id="310410292">
                  <w:marLeft w:val="0"/>
                  <w:marRight w:val="0"/>
                  <w:marTop w:val="0"/>
                  <w:marBottom w:val="0"/>
                  <w:divBdr>
                    <w:top w:val="none" w:sz="0" w:space="0" w:color="auto"/>
                    <w:left w:val="none" w:sz="0" w:space="0" w:color="auto"/>
                    <w:bottom w:val="none" w:sz="0" w:space="0" w:color="auto"/>
                    <w:right w:val="none" w:sz="0" w:space="0" w:color="auto"/>
                  </w:divBdr>
                  <w:divsChild>
                    <w:div w:id="80369283">
                      <w:marLeft w:val="0"/>
                      <w:marRight w:val="0"/>
                      <w:marTop w:val="0"/>
                      <w:marBottom w:val="0"/>
                      <w:divBdr>
                        <w:top w:val="none" w:sz="0" w:space="0" w:color="auto"/>
                        <w:left w:val="none" w:sz="0" w:space="0" w:color="auto"/>
                        <w:bottom w:val="none" w:sz="0" w:space="0" w:color="auto"/>
                        <w:right w:val="none" w:sz="0" w:space="0" w:color="auto"/>
                      </w:divBdr>
                      <w:divsChild>
                        <w:div w:id="1371878087">
                          <w:marLeft w:val="0"/>
                          <w:marRight w:val="0"/>
                          <w:marTop w:val="0"/>
                          <w:marBottom w:val="0"/>
                          <w:divBdr>
                            <w:top w:val="none" w:sz="0" w:space="0" w:color="auto"/>
                            <w:left w:val="none" w:sz="0" w:space="0" w:color="auto"/>
                            <w:bottom w:val="none" w:sz="0" w:space="0" w:color="auto"/>
                            <w:right w:val="none" w:sz="0" w:space="0" w:color="auto"/>
                          </w:divBdr>
                          <w:divsChild>
                            <w:div w:id="1068115095">
                              <w:marLeft w:val="0"/>
                              <w:marRight w:val="0"/>
                              <w:marTop w:val="0"/>
                              <w:marBottom w:val="0"/>
                              <w:divBdr>
                                <w:top w:val="none" w:sz="0" w:space="0" w:color="auto"/>
                                <w:left w:val="none" w:sz="0" w:space="0" w:color="auto"/>
                                <w:bottom w:val="none" w:sz="0" w:space="0" w:color="auto"/>
                                <w:right w:val="none" w:sz="0" w:space="0" w:color="auto"/>
                              </w:divBdr>
                              <w:divsChild>
                                <w:div w:id="1299142400">
                                  <w:marLeft w:val="0"/>
                                  <w:marRight w:val="0"/>
                                  <w:marTop w:val="0"/>
                                  <w:marBottom w:val="0"/>
                                  <w:divBdr>
                                    <w:top w:val="none" w:sz="0" w:space="0" w:color="auto"/>
                                    <w:left w:val="none" w:sz="0" w:space="0" w:color="auto"/>
                                    <w:bottom w:val="none" w:sz="0" w:space="0" w:color="auto"/>
                                    <w:right w:val="none" w:sz="0" w:space="0" w:color="auto"/>
                                  </w:divBdr>
                                  <w:divsChild>
                                    <w:div w:id="23557781">
                                      <w:marLeft w:val="0"/>
                                      <w:marRight w:val="0"/>
                                      <w:marTop w:val="0"/>
                                      <w:marBottom w:val="0"/>
                                      <w:divBdr>
                                        <w:top w:val="none" w:sz="0" w:space="0" w:color="auto"/>
                                        <w:left w:val="none" w:sz="0" w:space="0" w:color="auto"/>
                                        <w:bottom w:val="none" w:sz="0" w:space="0" w:color="auto"/>
                                        <w:right w:val="none" w:sz="0" w:space="0" w:color="auto"/>
                                      </w:divBdr>
                                      <w:divsChild>
                                        <w:div w:id="1012225053">
                                          <w:marLeft w:val="0"/>
                                          <w:marRight w:val="0"/>
                                          <w:marTop w:val="0"/>
                                          <w:marBottom w:val="0"/>
                                          <w:divBdr>
                                            <w:top w:val="none" w:sz="0" w:space="0" w:color="auto"/>
                                            <w:left w:val="none" w:sz="0" w:space="0" w:color="auto"/>
                                            <w:bottom w:val="none" w:sz="0" w:space="0" w:color="auto"/>
                                            <w:right w:val="none" w:sz="0" w:space="0" w:color="auto"/>
                                          </w:divBdr>
                                          <w:divsChild>
                                            <w:div w:id="1919169888">
                                              <w:marLeft w:val="0"/>
                                              <w:marRight w:val="0"/>
                                              <w:marTop w:val="0"/>
                                              <w:marBottom w:val="0"/>
                                              <w:divBdr>
                                                <w:top w:val="none" w:sz="0" w:space="0" w:color="auto"/>
                                                <w:left w:val="none" w:sz="0" w:space="0" w:color="auto"/>
                                                <w:bottom w:val="none" w:sz="0" w:space="0" w:color="auto"/>
                                                <w:right w:val="none" w:sz="0" w:space="0" w:color="auto"/>
                                              </w:divBdr>
                                              <w:divsChild>
                                                <w:div w:id="421730648">
                                                  <w:marLeft w:val="0"/>
                                                  <w:marRight w:val="0"/>
                                                  <w:marTop w:val="0"/>
                                                  <w:marBottom w:val="0"/>
                                                  <w:divBdr>
                                                    <w:top w:val="none" w:sz="0" w:space="0" w:color="auto"/>
                                                    <w:left w:val="none" w:sz="0" w:space="0" w:color="auto"/>
                                                    <w:bottom w:val="none" w:sz="0" w:space="0" w:color="auto"/>
                                                    <w:right w:val="none" w:sz="0" w:space="0" w:color="auto"/>
                                                  </w:divBdr>
                                                  <w:divsChild>
                                                    <w:div w:id="419109273">
                                                      <w:marLeft w:val="0"/>
                                                      <w:marRight w:val="0"/>
                                                      <w:marTop w:val="0"/>
                                                      <w:marBottom w:val="0"/>
                                                      <w:divBdr>
                                                        <w:top w:val="none" w:sz="0" w:space="0" w:color="auto"/>
                                                        <w:left w:val="none" w:sz="0" w:space="0" w:color="auto"/>
                                                        <w:bottom w:val="none" w:sz="0" w:space="0" w:color="auto"/>
                                                        <w:right w:val="none" w:sz="0" w:space="0" w:color="auto"/>
                                                      </w:divBdr>
                                                    </w:div>
                                                    <w:div w:id="1400446230">
                                                      <w:marLeft w:val="0"/>
                                                      <w:marRight w:val="0"/>
                                                      <w:marTop w:val="0"/>
                                                      <w:marBottom w:val="0"/>
                                                      <w:divBdr>
                                                        <w:top w:val="none" w:sz="0" w:space="0" w:color="auto"/>
                                                        <w:left w:val="none" w:sz="0" w:space="0" w:color="auto"/>
                                                        <w:bottom w:val="none" w:sz="0" w:space="0" w:color="auto"/>
                                                        <w:right w:val="none" w:sz="0" w:space="0" w:color="auto"/>
                                                      </w:divBdr>
                                                      <w:divsChild>
                                                        <w:div w:id="125585001">
                                                          <w:marLeft w:val="0"/>
                                                          <w:marRight w:val="0"/>
                                                          <w:marTop w:val="0"/>
                                                          <w:marBottom w:val="0"/>
                                                          <w:divBdr>
                                                            <w:top w:val="none" w:sz="0" w:space="0" w:color="auto"/>
                                                            <w:left w:val="none" w:sz="0" w:space="0" w:color="auto"/>
                                                            <w:bottom w:val="none" w:sz="0" w:space="0" w:color="auto"/>
                                                            <w:right w:val="none" w:sz="0" w:space="0" w:color="auto"/>
                                                          </w:divBdr>
                                                        </w:div>
                                                      </w:divsChild>
                                                    </w:div>
                                                    <w:div w:id="1919556583">
                                                      <w:marLeft w:val="0"/>
                                                      <w:marRight w:val="0"/>
                                                      <w:marTop w:val="0"/>
                                                      <w:marBottom w:val="0"/>
                                                      <w:divBdr>
                                                        <w:top w:val="none" w:sz="0" w:space="0" w:color="auto"/>
                                                        <w:left w:val="none" w:sz="0" w:space="0" w:color="auto"/>
                                                        <w:bottom w:val="none" w:sz="0" w:space="0" w:color="auto"/>
                                                        <w:right w:val="none" w:sz="0" w:space="0" w:color="auto"/>
                                                      </w:divBdr>
                                                      <w:divsChild>
                                                        <w:div w:id="1980727144">
                                                          <w:marLeft w:val="0"/>
                                                          <w:marRight w:val="0"/>
                                                          <w:marTop w:val="0"/>
                                                          <w:marBottom w:val="0"/>
                                                          <w:divBdr>
                                                            <w:top w:val="none" w:sz="0" w:space="0" w:color="auto"/>
                                                            <w:left w:val="none" w:sz="0" w:space="0" w:color="auto"/>
                                                            <w:bottom w:val="none" w:sz="0" w:space="0" w:color="auto"/>
                                                            <w:right w:val="none" w:sz="0" w:space="0" w:color="auto"/>
                                                          </w:divBdr>
                                                        </w:div>
                                                        <w:div w:id="1305545658">
                                                          <w:marLeft w:val="0"/>
                                                          <w:marRight w:val="0"/>
                                                          <w:marTop w:val="0"/>
                                                          <w:marBottom w:val="0"/>
                                                          <w:divBdr>
                                                            <w:top w:val="none" w:sz="0" w:space="0" w:color="auto"/>
                                                            <w:left w:val="none" w:sz="0" w:space="0" w:color="auto"/>
                                                            <w:bottom w:val="none" w:sz="0" w:space="0" w:color="auto"/>
                                                            <w:right w:val="none" w:sz="0" w:space="0" w:color="auto"/>
                                                          </w:divBdr>
                                                          <w:divsChild>
                                                            <w:div w:id="2046248550">
                                                              <w:marLeft w:val="0"/>
                                                              <w:marRight w:val="0"/>
                                                              <w:marTop w:val="0"/>
                                                              <w:marBottom w:val="0"/>
                                                              <w:divBdr>
                                                                <w:top w:val="none" w:sz="0" w:space="0" w:color="auto"/>
                                                                <w:left w:val="none" w:sz="0" w:space="0" w:color="auto"/>
                                                                <w:bottom w:val="none" w:sz="0" w:space="0" w:color="auto"/>
                                                                <w:right w:val="none" w:sz="0" w:space="0" w:color="auto"/>
                                                              </w:divBdr>
                                                              <w:divsChild>
                                                                <w:div w:id="1898665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6055863">
                                                          <w:marLeft w:val="0"/>
                                                          <w:marRight w:val="0"/>
                                                          <w:marTop w:val="0"/>
                                                          <w:marBottom w:val="0"/>
                                                          <w:divBdr>
                                                            <w:top w:val="none" w:sz="0" w:space="0" w:color="auto"/>
                                                            <w:left w:val="none" w:sz="0" w:space="0" w:color="auto"/>
                                                            <w:bottom w:val="none" w:sz="0" w:space="0" w:color="auto"/>
                                                            <w:right w:val="none" w:sz="0" w:space="0" w:color="auto"/>
                                                          </w:divBdr>
                                                          <w:divsChild>
                                                            <w:div w:id="38436495">
                                                              <w:marLeft w:val="0"/>
                                                              <w:marRight w:val="0"/>
                                                              <w:marTop w:val="0"/>
                                                              <w:marBottom w:val="0"/>
                                                              <w:divBdr>
                                                                <w:top w:val="none" w:sz="0" w:space="0" w:color="auto"/>
                                                                <w:left w:val="none" w:sz="0" w:space="0" w:color="auto"/>
                                                                <w:bottom w:val="none" w:sz="0" w:space="0" w:color="auto"/>
                                                                <w:right w:val="none" w:sz="0" w:space="0" w:color="auto"/>
                                                              </w:divBdr>
                                                              <w:divsChild>
                                                                <w:div w:id="1755515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5876504">
                                                      <w:marLeft w:val="0"/>
                                                      <w:marRight w:val="0"/>
                                                      <w:marTop w:val="0"/>
                                                      <w:marBottom w:val="0"/>
                                                      <w:divBdr>
                                                        <w:top w:val="none" w:sz="0" w:space="0" w:color="auto"/>
                                                        <w:left w:val="none" w:sz="0" w:space="0" w:color="auto"/>
                                                        <w:bottom w:val="none" w:sz="0" w:space="0" w:color="auto"/>
                                                        <w:right w:val="none" w:sz="0" w:space="0" w:color="auto"/>
                                                      </w:divBdr>
                                                      <w:divsChild>
                                                        <w:div w:id="243687877">
                                                          <w:marLeft w:val="0"/>
                                                          <w:marRight w:val="0"/>
                                                          <w:marTop w:val="0"/>
                                                          <w:marBottom w:val="0"/>
                                                          <w:divBdr>
                                                            <w:top w:val="none" w:sz="0" w:space="0" w:color="auto"/>
                                                            <w:left w:val="none" w:sz="0" w:space="0" w:color="auto"/>
                                                            <w:bottom w:val="none" w:sz="0" w:space="0" w:color="auto"/>
                                                            <w:right w:val="none" w:sz="0" w:space="0" w:color="auto"/>
                                                          </w:divBdr>
                                                        </w:div>
                                                      </w:divsChild>
                                                    </w:div>
                                                    <w:div w:id="1870678305">
                                                      <w:marLeft w:val="0"/>
                                                      <w:marRight w:val="0"/>
                                                      <w:marTop w:val="0"/>
                                                      <w:marBottom w:val="0"/>
                                                      <w:divBdr>
                                                        <w:top w:val="none" w:sz="0" w:space="0" w:color="auto"/>
                                                        <w:left w:val="none" w:sz="0" w:space="0" w:color="auto"/>
                                                        <w:bottom w:val="none" w:sz="0" w:space="0" w:color="auto"/>
                                                        <w:right w:val="none" w:sz="0" w:space="0" w:color="auto"/>
                                                      </w:divBdr>
                                                      <w:divsChild>
                                                        <w:div w:id="1303465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0821105">
                                                  <w:marLeft w:val="0"/>
                                                  <w:marRight w:val="0"/>
                                                  <w:marTop w:val="0"/>
                                                  <w:marBottom w:val="0"/>
                                                  <w:divBdr>
                                                    <w:top w:val="none" w:sz="0" w:space="0" w:color="auto"/>
                                                    <w:left w:val="none" w:sz="0" w:space="0" w:color="auto"/>
                                                    <w:bottom w:val="none" w:sz="0" w:space="0" w:color="auto"/>
                                                    <w:right w:val="none" w:sz="0" w:space="0" w:color="auto"/>
                                                  </w:divBdr>
                                                  <w:divsChild>
                                                    <w:div w:id="1330206512">
                                                      <w:marLeft w:val="0"/>
                                                      <w:marRight w:val="0"/>
                                                      <w:marTop w:val="0"/>
                                                      <w:marBottom w:val="0"/>
                                                      <w:divBdr>
                                                        <w:top w:val="none" w:sz="0" w:space="0" w:color="auto"/>
                                                        <w:left w:val="none" w:sz="0" w:space="0" w:color="auto"/>
                                                        <w:bottom w:val="none" w:sz="0" w:space="0" w:color="auto"/>
                                                        <w:right w:val="none" w:sz="0" w:space="0" w:color="auto"/>
                                                      </w:divBdr>
                                                    </w:div>
                                                    <w:div w:id="2006005938">
                                                      <w:marLeft w:val="0"/>
                                                      <w:marRight w:val="0"/>
                                                      <w:marTop w:val="0"/>
                                                      <w:marBottom w:val="0"/>
                                                      <w:divBdr>
                                                        <w:top w:val="none" w:sz="0" w:space="0" w:color="auto"/>
                                                        <w:left w:val="none" w:sz="0" w:space="0" w:color="auto"/>
                                                        <w:bottom w:val="none" w:sz="0" w:space="0" w:color="auto"/>
                                                        <w:right w:val="none" w:sz="0" w:space="0" w:color="auto"/>
                                                      </w:divBdr>
                                                    </w:div>
                                                    <w:div w:id="1654523298">
                                                      <w:marLeft w:val="0"/>
                                                      <w:marRight w:val="0"/>
                                                      <w:marTop w:val="0"/>
                                                      <w:marBottom w:val="0"/>
                                                      <w:divBdr>
                                                        <w:top w:val="none" w:sz="0" w:space="0" w:color="auto"/>
                                                        <w:left w:val="none" w:sz="0" w:space="0" w:color="auto"/>
                                                        <w:bottom w:val="none" w:sz="0" w:space="0" w:color="auto"/>
                                                        <w:right w:val="none" w:sz="0" w:space="0" w:color="auto"/>
                                                      </w:divBdr>
                                                      <w:divsChild>
                                                        <w:div w:id="607934719">
                                                          <w:marLeft w:val="0"/>
                                                          <w:marRight w:val="0"/>
                                                          <w:marTop w:val="0"/>
                                                          <w:marBottom w:val="0"/>
                                                          <w:divBdr>
                                                            <w:top w:val="none" w:sz="0" w:space="0" w:color="auto"/>
                                                            <w:left w:val="none" w:sz="0" w:space="0" w:color="auto"/>
                                                            <w:bottom w:val="none" w:sz="0" w:space="0" w:color="auto"/>
                                                            <w:right w:val="none" w:sz="0" w:space="0" w:color="auto"/>
                                                          </w:divBdr>
                                                        </w:div>
                                                      </w:divsChild>
                                                    </w:div>
                                                    <w:div w:id="2036885374">
                                                      <w:marLeft w:val="0"/>
                                                      <w:marRight w:val="0"/>
                                                      <w:marTop w:val="0"/>
                                                      <w:marBottom w:val="0"/>
                                                      <w:divBdr>
                                                        <w:top w:val="none" w:sz="0" w:space="0" w:color="auto"/>
                                                        <w:left w:val="none" w:sz="0" w:space="0" w:color="auto"/>
                                                        <w:bottom w:val="none" w:sz="0" w:space="0" w:color="auto"/>
                                                        <w:right w:val="none" w:sz="0" w:space="0" w:color="auto"/>
                                                      </w:divBdr>
                                                      <w:divsChild>
                                                        <w:div w:id="517934244">
                                                          <w:marLeft w:val="0"/>
                                                          <w:marRight w:val="0"/>
                                                          <w:marTop w:val="0"/>
                                                          <w:marBottom w:val="0"/>
                                                          <w:divBdr>
                                                            <w:top w:val="none" w:sz="0" w:space="0" w:color="auto"/>
                                                            <w:left w:val="none" w:sz="0" w:space="0" w:color="auto"/>
                                                            <w:bottom w:val="none" w:sz="0" w:space="0" w:color="auto"/>
                                                            <w:right w:val="none" w:sz="0" w:space="0" w:color="auto"/>
                                                          </w:divBdr>
                                                        </w:div>
                                                      </w:divsChild>
                                                    </w:div>
                                                    <w:div w:id="480200888">
                                                      <w:marLeft w:val="0"/>
                                                      <w:marRight w:val="0"/>
                                                      <w:marTop w:val="0"/>
                                                      <w:marBottom w:val="0"/>
                                                      <w:divBdr>
                                                        <w:top w:val="none" w:sz="0" w:space="0" w:color="auto"/>
                                                        <w:left w:val="none" w:sz="0" w:space="0" w:color="auto"/>
                                                        <w:bottom w:val="none" w:sz="0" w:space="0" w:color="auto"/>
                                                        <w:right w:val="none" w:sz="0" w:space="0" w:color="auto"/>
                                                      </w:divBdr>
                                                      <w:divsChild>
                                                        <w:div w:id="1627352256">
                                                          <w:marLeft w:val="0"/>
                                                          <w:marRight w:val="0"/>
                                                          <w:marTop w:val="0"/>
                                                          <w:marBottom w:val="0"/>
                                                          <w:divBdr>
                                                            <w:top w:val="none" w:sz="0" w:space="0" w:color="auto"/>
                                                            <w:left w:val="none" w:sz="0" w:space="0" w:color="auto"/>
                                                            <w:bottom w:val="none" w:sz="0" w:space="0" w:color="auto"/>
                                                            <w:right w:val="none" w:sz="0" w:space="0" w:color="auto"/>
                                                          </w:divBdr>
                                                        </w:div>
                                                      </w:divsChild>
                                                    </w:div>
                                                    <w:div w:id="767845624">
                                                      <w:marLeft w:val="0"/>
                                                      <w:marRight w:val="0"/>
                                                      <w:marTop w:val="0"/>
                                                      <w:marBottom w:val="0"/>
                                                      <w:divBdr>
                                                        <w:top w:val="none" w:sz="0" w:space="0" w:color="auto"/>
                                                        <w:left w:val="none" w:sz="0" w:space="0" w:color="auto"/>
                                                        <w:bottom w:val="none" w:sz="0" w:space="0" w:color="auto"/>
                                                        <w:right w:val="none" w:sz="0" w:space="0" w:color="auto"/>
                                                      </w:divBdr>
                                                      <w:divsChild>
                                                        <w:div w:id="1243837723">
                                                          <w:marLeft w:val="0"/>
                                                          <w:marRight w:val="0"/>
                                                          <w:marTop w:val="0"/>
                                                          <w:marBottom w:val="0"/>
                                                          <w:divBdr>
                                                            <w:top w:val="none" w:sz="0" w:space="0" w:color="auto"/>
                                                            <w:left w:val="none" w:sz="0" w:space="0" w:color="auto"/>
                                                            <w:bottom w:val="none" w:sz="0" w:space="0" w:color="auto"/>
                                                            <w:right w:val="none" w:sz="0" w:space="0" w:color="auto"/>
                                                          </w:divBdr>
                                                        </w:div>
                                                      </w:divsChild>
                                                    </w:div>
                                                    <w:div w:id="1608394049">
                                                      <w:marLeft w:val="0"/>
                                                      <w:marRight w:val="0"/>
                                                      <w:marTop w:val="0"/>
                                                      <w:marBottom w:val="0"/>
                                                      <w:divBdr>
                                                        <w:top w:val="none" w:sz="0" w:space="0" w:color="auto"/>
                                                        <w:left w:val="none" w:sz="0" w:space="0" w:color="auto"/>
                                                        <w:bottom w:val="none" w:sz="0" w:space="0" w:color="auto"/>
                                                        <w:right w:val="none" w:sz="0" w:space="0" w:color="auto"/>
                                                      </w:divBdr>
                                                      <w:divsChild>
                                                        <w:div w:id="895815712">
                                                          <w:marLeft w:val="0"/>
                                                          <w:marRight w:val="0"/>
                                                          <w:marTop w:val="0"/>
                                                          <w:marBottom w:val="0"/>
                                                          <w:divBdr>
                                                            <w:top w:val="none" w:sz="0" w:space="0" w:color="auto"/>
                                                            <w:left w:val="none" w:sz="0" w:space="0" w:color="auto"/>
                                                            <w:bottom w:val="none" w:sz="0" w:space="0" w:color="auto"/>
                                                            <w:right w:val="none" w:sz="0" w:space="0" w:color="auto"/>
                                                          </w:divBdr>
                                                        </w:div>
                                                        <w:div w:id="1216703428">
                                                          <w:marLeft w:val="0"/>
                                                          <w:marRight w:val="0"/>
                                                          <w:marTop w:val="0"/>
                                                          <w:marBottom w:val="0"/>
                                                          <w:divBdr>
                                                            <w:top w:val="none" w:sz="0" w:space="0" w:color="auto"/>
                                                            <w:left w:val="none" w:sz="0" w:space="0" w:color="auto"/>
                                                            <w:bottom w:val="none" w:sz="0" w:space="0" w:color="auto"/>
                                                            <w:right w:val="none" w:sz="0" w:space="0" w:color="auto"/>
                                                          </w:divBdr>
                                                          <w:divsChild>
                                                            <w:div w:id="1502157014">
                                                              <w:marLeft w:val="0"/>
                                                              <w:marRight w:val="0"/>
                                                              <w:marTop w:val="0"/>
                                                              <w:marBottom w:val="0"/>
                                                              <w:divBdr>
                                                                <w:top w:val="none" w:sz="0" w:space="0" w:color="auto"/>
                                                                <w:left w:val="none" w:sz="0" w:space="0" w:color="auto"/>
                                                                <w:bottom w:val="none" w:sz="0" w:space="0" w:color="auto"/>
                                                                <w:right w:val="none" w:sz="0" w:space="0" w:color="auto"/>
                                                              </w:divBdr>
                                                              <w:divsChild>
                                                                <w:div w:id="632639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3008606">
                                                          <w:marLeft w:val="0"/>
                                                          <w:marRight w:val="0"/>
                                                          <w:marTop w:val="0"/>
                                                          <w:marBottom w:val="0"/>
                                                          <w:divBdr>
                                                            <w:top w:val="none" w:sz="0" w:space="0" w:color="auto"/>
                                                            <w:left w:val="none" w:sz="0" w:space="0" w:color="auto"/>
                                                            <w:bottom w:val="none" w:sz="0" w:space="0" w:color="auto"/>
                                                            <w:right w:val="none" w:sz="0" w:space="0" w:color="auto"/>
                                                          </w:divBdr>
                                                          <w:divsChild>
                                                            <w:div w:id="512306601">
                                                              <w:marLeft w:val="0"/>
                                                              <w:marRight w:val="0"/>
                                                              <w:marTop w:val="0"/>
                                                              <w:marBottom w:val="0"/>
                                                              <w:divBdr>
                                                                <w:top w:val="none" w:sz="0" w:space="0" w:color="auto"/>
                                                                <w:left w:val="none" w:sz="0" w:space="0" w:color="auto"/>
                                                                <w:bottom w:val="none" w:sz="0" w:space="0" w:color="auto"/>
                                                                <w:right w:val="none" w:sz="0" w:space="0" w:color="auto"/>
                                                              </w:divBdr>
                                                              <w:divsChild>
                                                                <w:div w:id="1571114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2917271">
                                                      <w:marLeft w:val="0"/>
                                                      <w:marRight w:val="0"/>
                                                      <w:marTop w:val="0"/>
                                                      <w:marBottom w:val="0"/>
                                                      <w:divBdr>
                                                        <w:top w:val="none" w:sz="0" w:space="0" w:color="auto"/>
                                                        <w:left w:val="none" w:sz="0" w:space="0" w:color="auto"/>
                                                        <w:bottom w:val="none" w:sz="0" w:space="0" w:color="auto"/>
                                                        <w:right w:val="none" w:sz="0" w:space="0" w:color="auto"/>
                                                      </w:divBdr>
                                                      <w:divsChild>
                                                        <w:div w:id="1397819592">
                                                          <w:marLeft w:val="0"/>
                                                          <w:marRight w:val="0"/>
                                                          <w:marTop w:val="0"/>
                                                          <w:marBottom w:val="0"/>
                                                          <w:divBdr>
                                                            <w:top w:val="none" w:sz="0" w:space="0" w:color="auto"/>
                                                            <w:left w:val="none" w:sz="0" w:space="0" w:color="auto"/>
                                                            <w:bottom w:val="none" w:sz="0" w:space="0" w:color="auto"/>
                                                            <w:right w:val="none" w:sz="0" w:space="0" w:color="auto"/>
                                                          </w:divBdr>
                                                        </w:div>
                                                      </w:divsChild>
                                                    </w:div>
                                                    <w:div w:id="907498692">
                                                      <w:marLeft w:val="0"/>
                                                      <w:marRight w:val="0"/>
                                                      <w:marTop w:val="0"/>
                                                      <w:marBottom w:val="0"/>
                                                      <w:divBdr>
                                                        <w:top w:val="none" w:sz="0" w:space="0" w:color="auto"/>
                                                        <w:left w:val="none" w:sz="0" w:space="0" w:color="auto"/>
                                                        <w:bottom w:val="none" w:sz="0" w:space="0" w:color="auto"/>
                                                        <w:right w:val="none" w:sz="0" w:space="0" w:color="auto"/>
                                                      </w:divBdr>
                                                      <w:divsChild>
                                                        <w:div w:id="1991711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7011897">
                                                  <w:marLeft w:val="0"/>
                                                  <w:marRight w:val="0"/>
                                                  <w:marTop w:val="0"/>
                                                  <w:marBottom w:val="0"/>
                                                  <w:divBdr>
                                                    <w:top w:val="none" w:sz="0" w:space="0" w:color="auto"/>
                                                    <w:left w:val="none" w:sz="0" w:space="0" w:color="auto"/>
                                                    <w:bottom w:val="none" w:sz="0" w:space="0" w:color="auto"/>
                                                    <w:right w:val="none" w:sz="0" w:space="0" w:color="auto"/>
                                                  </w:divBdr>
                                                  <w:divsChild>
                                                    <w:div w:id="1187019679">
                                                      <w:marLeft w:val="0"/>
                                                      <w:marRight w:val="0"/>
                                                      <w:marTop w:val="0"/>
                                                      <w:marBottom w:val="0"/>
                                                      <w:divBdr>
                                                        <w:top w:val="none" w:sz="0" w:space="0" w:color="auto"/>
                                                        <w:left w:val="none" w:sz="0" w:space="0" w:color="auto"/>
                                                        <w:bottom w:val="none" w:sz="0" w:space="0" w:color="auto"/>
                                                        <w:right w:val="none" w:sz="0" w:space="0" w:color="auto"/>
                                                      </w:divBdr>
                                                    </w:div>
                                                    <w:div w:id="827402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90106951">
      <w:bodyDiv w:val="1"/>
      <w:marLeft w:val="0"/>
      <w:marRight w:val="0"/>
      <w:marTop w:val="0"/>
      <w:marBottom w:val="0"/>
      <w:divBdr>
        <w:top w:val="none" w:sz="0" w:space="0" w:color="auto"/>
        <w:left w:val="none" w:sz="0" w:space="0" w:color="auto"/>
        <w:bottom w:val="none" w:sz="0" w:space="0" w:color="auto"/>
        <w:right w:val="none" w:sz="0" w:space="0" w:color="auto"/>
      </w:divBdr>
    </w:div>
    <w:div w:id="1466777196">
      <w:bodyDiv w:val="1"/>
      <w:marLeft w:val="0"/>
      <w:marRight w:val="0"/>
      <w:marTop w:val="0"/>
      <w:marBottom w:val="0"/>
      <w:divBdr>
        <w:top w:val="none" w:sz="0" w:space="0" w:color="auto"/>
        <w:left w:val="none" w:sz="0" w:space="0" w:color="auto"/>
        <w:bottom w:val="none" w:sz="0" w:space="0" w:color="auto"/>
        <w:right w:val="none" w:sz="0" w:space="0" w:color="auto"/>
      </w:divBdr>
    </w:div>
    <w:div w:id="1555658837">
      <w:bodyDiv w:val="1"/>
      <w:marLeft w:val="0"/>
      <w:marRight w:val="0"/>
      <w:marTop w:val="0"/>
      <w:marBottom w:val="0"/>
      <w:divBdr>
        <w:top w:val="none" w:sz="0" w:space="0" w:color="auto"/>
        <w:left w:val="none" w:sz="0" w:space="0" w:color="auto"/>
        <w:bottom w:val="none" w:sz="0" w:space="0" w:color="auto"/>
        <w:right w:val="none" w:sz="0" w:space="0" w:color="auto"/>
      </w:divBdr>
    </w:div>
    <w:div w:id="1716005607">
      <w:bodyDiv w:val="1"/>
      <w:marLeft w:val="0"/>
      <w:marRight w:val="0"/>
      <w:marTop w:val="0"/>
      <w:marBottom w:val="0"/>
      <w:divBdr>
        <w:top w:val="none" w:sz="0" w:space="0" w:color="auto"/>
        <w:left w:val="none" w:sz="0" w:space="0" w:color="auto"/>
        <w:bottom w:val="none" w:sz="0" w:space="0" w:color="auto"/>
        <w:right w:val="none" w:sz="0" w:space="0" w:color="auto"/>
      </w:divBdr>
      <w:divsChild>
        <w:div w:id="1675645984">
          <w:marLeft w:val="0"/>
          <w:marRight w:val="0"/>
          <w:marTop w:val="0"/>
          <w:marBottom w:val="0"/>
          <w:divBdr>
            <w:top w:val="none" w:sz="0" w:space="0" w:color="auto"/>
            <w:left w:val="none" w:sz="0" w:space="0" w:color="auto"/>
            <w:bottom w:val="none" w:sz="0" w:space="0" w:color="auto"/>
            <w:right w:val="none" w:sz="0" w:space="0" w:color="auto"/>
          </w:divBdr>
          <w:divsChild>
            <w:div w:id="1652250159">
              <w:marLeft w:val="0"/>
              <w:marRight w:val="0"/>
              <w:marTop w:val="0"/>
              <w:marBottom w:val="0"/>
              <w:divBdr>
                <w:top w:val="none" w:sz="0" w:space="0" w:color="auto"/>
                <w:left w:val="none" w:sz="0" w:space="0" w:color="auto"/>
                <w:bottom w:val="none" w:sz="0" w:space="0" w:color="auto"/>
                <w:right w:val="none" w:sz="0" w:space="0" w:color="auto"/>
              </w:divBdr>
              <w:divsChild>
                <w:div w:id="456414777">
                  <w:marLeft w:val="0"/>
                  <w:marRight w:val="0"/>
                  <w:marTop w:val="0"/>
                  <w:marBottom w:val="0"/>
                  <w:divBdr>
                    <w:top w:val="none" w:sz="0" w:space="0" w:color="auto"/>
                    <w:left w:val="none" w:sz="0" w:space="0" w:color="auto"/>
                    <w:bottom w:val="none" w:sz="0" w:space="0" w:color="auto"/>
                    <w:right w:val="none" w:sz="0" w:space="0" w:color="auto"/>
                  </w:divBdr>
                  <w:divsChild>
                    <w:div w:id="2058577844">
                      <w:marLeft w:val="0"/>
                      <w:marRight w:val="0"/>
                      <w:marTop w:val="0"/>
                      <w:marBottom w:val="0"/>
                      <w:divBdr>
                        <w:top w:val="none" w:sz="0" w:space="0" w:color="auto"/>
                        <w:left w:val="none" w:sz="0" w:space="0" w:color="auto"/>
                        <w:bottom w:val="none" w:sz="0" w:space="0" w:color="auto"/>
                        <w:right w:val="none" w:sz="0" w:space="0" w:color="auto"/>
                      </w:divBdr>
                      <w:divsChild>
                        <w:div w:id="655957194">
                          <w:marLeft w:val="0"/>
                          <w:marRight w:val="0"/>
                          <w:marTop w:val="0"/>
                          <w:marBottom w:val="0"/>
                          <w:divBdr>
                            <w:top w:val="none" w:sz="0" w:space="0" w:color="auto"/>
                            <w:left w:val="none" w:sz="0" w:space="0" w:color="auto"/>
                            <w:bottom w:val="none" w:sz="0" w:space="0" w:color="auto"/>
                            <w:right w:val="none" w:sz="0" w:space="0" w:color="auto"/>
                          </w:divBdr>
                          <w:divsChild>
                            <w:div w:id="1650937452">
                              <w:marLeft w:val="0"/>
                              <w:marRight w:val="0"/>
                              <w:marTop w:val="0"/>
                              <w:marBottom w:val="0"/>
                              <w:divBdr>
                                <w:top w:val="none" w:sz="0" w:space="0" w:color="auto"/>
                                <w:left w:val="none" w:sz="0" w:space="0" w:color="auto"/>
                                <w:bottom w:val="none" w:sz="0" w:space="0" w:color="auto"/>
                                <w:right w:val="none" w:sz="0" w:space="0" w:color="auto"/>
                              </w:divBdr>
                              <w:divsChild>
                                <w:div w:id="570699185">
                                  <w:marLeft w:val="0"/>
                                  <w:marRight w:val="0"/>
                                  <w:marTop w:val="0"/>
                                  <w:marBottom w:val="0"/>
                                  <w:divBdr>
                                    <w:top w:val="none" w:sz="0" w:space="0" w:color="auto"/>
                                    <w:left w:val="none" w:sz="0" w:space="0" w:color="auto"/>
                                    <w:bottom w:val="none" w:sz="0" w:space="0" w:color="auto"/>
                                    <w:right w:val="none" w:sz="0" w:space="0" w:color="auto"/>
                                  </w:divBdr>
                                  <w:divsChild>
                                    <w:div w:id="920021163">
                                      <w:marLeft w:val="0"/>
                                      <w:marRight w:val="0"/>
                                      <w:marTop w:val="0"/>
                                      <w:marBottom w:val="0"/>
                                      <w:divBdr>
                                        <w:top w:val="none" w:sz="0" w:space="0" w:color="auto"/>
                                        <w:left w:val="none" w:sz="0" w:space="0" w:color="auto"/>
                                        <w:bottom w:val="none" w:sz="0" w:space="0" w:color="auto"/>
                                        <w:right w:val="none" w:sz="0" w:space="0" w:color="auto"/>
                                      </w:divBdr>
                                      <w:divsChild>
                                        <w:div w:id="1228809453">
                                          <w:marLeft w:val="0"/>
                                          <w:marRight w:val="0"/>
                                          <w:marTop w:val="0"/>
                                          <w:marBottom w:val="0"/>
                                          <w:divBdr>
                                            <w:top w:val="none" w:sz="0" w:space="0" w:color="auto"/>
                                            <w:left w:val="none" w:sz="0" w:space="0" w:color="auto"/>
                                            <w:bottom w:val="none" w:sz="0" w:space="0" w:color="auto"/>
                                            <w:right w:val="none" w:sz="0" w:space="0" w:color="auto"/>
                                          </w:divBdr>
                                          <w:divsChild>
                                            <w:div w:id="1290093975">
                                              <w:marLeft w:val="0"/>
                                              <w:marRight w:val="0"/>
                                              <w:marTop w:val="0"/>
                                              <w:marBottom w:val="0"/>
                                              <w:divBdr>
                                                <w:top w:val="none" w:sz="0" w:space="0" w:color="auto"/>
                                                <w:left w:val="none" w:sz="0" w:space="0" w:color="auto"/>
                                                <w:bottom w:val="none" w:sz="0" w:space="0" w:color="auto"/>
                                                <w:right w:val="none" w:sz="0" w:space="0" w:color="auto"/>
                                              </w:divBdr>
                                              <w:divsChild>
                                                <w:div w:id="1104152281">
                                                  <w:marLeft w:val="0"/>
                                                  <w:marRight w:val="0"/>
                                                  <w:marTop w:val="0"/>
                                                  <w:marBottom w:val="0"/>
                                                  <w:divBdr>
                                                    <w:top w:val="none" w:sz="0" w:space="0" w:color="auto"/>
                                                    <w:left w:val="none" w:sz="0" w:space="0" w:color="auto"/>
                                                    <w:bottom w:val="none" w:sz="0" w:space="0" w:color="auto"/>
                                                    <w:right w:val="none" w:sz="0" w:space="0" w:color="auto"/>
                                                  </w:divBdr>
                                                  <w:divsChild>
                                                    <w:div w:id="1421829645">
                                                      <w:marLeft w:val="0"/>
                                                      <w:marRight w:val="0"/>
                                                      <w:marTop w:val="0"/>
                                                      <w:marBottom w:val="0"/>
                                                      <w:divBdr>
                                                        <w:top w:val="none" w:sz="0" w:space="0" w:color="auto"/>
                                                        <w:left w:val="none" w:sz="0" w:space="0" w:color="auto"/>
                                                        <w:bottom w:val="none" w:sz="0" w:space="0" w:color="auto"/>
                                                        <w:right w:val="none" w:sz="0" w:space="0" w:color="auto"/>
                                                      </w:divBdr>
                                                    </w:div>
                                                    <w:div w:id="1174030096">
                                                      <w:marLeft w:val="0"/>
                                                      <w:marRight w:val="0"/>
                                                      <w:marTop w:val="0"/>
                                                      <w:marBottom w:val="0"/>
                                                      <w:divBdr>
                                                        <w:top w:val="none" w:sz="0" w:space="0" w:color="auto"/>
                                                        <w:left w:val="none" w:sz="0" w:space="0" w:color="auto"/>
                                                        <w:bottom w:val="none" w:sz="0" w:space="0" w:color="auto"/>
                                                        <w:right w:val="none" w:sz="0" w:space="0" w:color="auto"/>
                                                      </w:divBdr>
                                                      <w:divsChild>
                                                        <w:div w:id="929847910">
                                                          <w:marLeft w:val="0"/>
                                                          <w:marRight w:val="0"/>
                                                          <w:marTop w:val="0"/>
                                                          <w:marBottom w:val="0"/>
                                                          <w:divBdr>
                                                            <w:top w:val="none" w:sz="0" w:space="0" w:color="auto"/>
                                                            <w:left w:val="none" w:sz="0" w:space="0" w:color="auto"/>
                                                            <w:bottom w:val="none" w:sz="0" w:space="0" w:color="auto"/>
                                                            <w:right w:val="none" w:sz="0" w:space="0" w:color="auto"/>
                                                          </w:divBdr>
                                                        </w:div>
                                                        <w:div w:id="495147463">
                                                          <w:marLeft w:val="0"/>
                                                          <w:marRight w:val="0"/>
                                                          <w:marTop w:val="0"/>
                                                          <w:marBottom w:val="0"/>
                                                          <w:divBdr>
                                                            <w:top w:val="none" w:sz="0" w:space="0" w:color="auto"/>
                                                            <w:left w:val="none" w:sz="0" w:space="0" w:color="auto"/>
                                                            <w:bottom w:val="none" w:sz="0" w:space="0" w:color="auto"/>
                                                            <w:right w:val="none" w:sz="0" w:space="0" w:color="auto"/>
                                                          </w:divBdr>
                                                        </w:div>
                                                      </w:divsChild>
                                                    </w:div>
                                                    <w:div w:id="157964655">
                                                      <w:marLeft w:val="0"/>
                                                      <w:marRight w:val="0"/>
                                                      <w:marTop w:val="0"/>
                                                      <w:marBottom w:val="0"/>
                                                      <w:divBdr>
                                                        <w:top w:val="none" w:sz="0" w:space="0" w:color="auto"/>
                                                        <w:left w:val="none" w:sz="0" w:space="0" w:color="auto"/>
                                                        <w:bottom w:val="none" w:sz="0" w:space="0" w:color="auto"/>
                                                        <w:right w:val="none" w:sz="0" w:space="0" w:color="auto"/>
                                                      </w:divBdr>
                                                      <w:divsChild>
                                                        <w:div w:id="1551961225">
                                                          <w:marLeft w:val="0"/>
                                                          <w:marRight w:val="0"/>
                                                          <w:marTop w:val="0"/>
                                                          <w:marBottom w:val="0"/>
                                                          <w:divBdr>
                                                            <w:top w:val="none" w:sz="0" w:space="0" w:color="auto"/>
                                                            <w:left w:val="none" w:sz="0" w:space="0" w:color="auto"/>
                                                            <w:bottom w:val="none" w:sz="0" w:space="0" w:color="auto"/>
                                                            <w:right w:val="none" w:sz="0" w:space="0" w:color="auto"/>
                                                          </w:divBdr>
                                                        </w:div>
                                                        <w:div w:id="19014992">
                                                          <w:marLeft w:val="0"/>
                                                          <w:marRight w:val="0"/>
                                                          <w:marTop w:val="0"/>
                                                          <w:marBottom w:val="0"/>
                                                          <w:divBdr>
                                                            <w:top w:val="none" w:sz="0" w:space="0" w:color="auto"/>
                                                            <w:left w:val="none" w:sz="0" w:space="0" w:color="auto"/>
                                                            <w:bottom w:val="none" w:sz="0" w:space="0" w:color="auto"/>
                                                            <w:right w:val="none" w:sz="0" w:space="0" w:color="auto"/>
                                                          </w:divBdr>
                                                        </w:div>
                                                      </w:divsChild>
                                                    </w:div>
                                                    <w:div w:id="1187446912">
                                                      <w:marLeft w:val="0"/>
                                                      <w:marRight w:val="0"/>
                                                      <w:marTop w:val="0"/>
                                                      <w:marBottom w:val="0"/>
                                                      <w:divBdr>
                                                        <w:top w:val="none" w:sz="0" w:space="0" w:color="auto"/>
                                                        <w:left w:val="none" w:sz="0" w:space="0" w:color="auto"/>
                                                        <w:bottom w:val="none" w:sz="0" w:space="0" w:color="auto"/>
                                                        <w:right w:val="none" w:sz="0" w:space="0" w:color="auto"/>
                                                      </w:divBdr>
                                                      <w:divsChild>
                                                        <w:div w:id="695690969">
                                                          <w:marLeft w:val="0"/>
                                                          <w:marRight w:val="0"/>
                                                          <w:marTop w:val="0"/>
                                                          <w:marBottom w:val="0"/>
                                                          <w:divBdr>
                                                            <w:top w:val="none" w:sz="0" w:space="0" w:color="auto"/>
                                                            <w:left w:val="none" w:sz="0" w:space="0" w:color="auto"/>
                                                            <w:bottom w:val="none" w:sz="0" w:space="0" w:color="auto"/>
                                                            <w:right w:val="none" w:sz="0" w:space="0" w:color="auto"/>
                                                          </w:divBdr>
                                                        </w:div>
                                                        <w:div w:id="867330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58890240">
      <w:bodyDiv w:val="1"/>
      <w:marLeft w:val="0"/>
      <w:marRight w:val="0"/>
      <w:marTop w:val="0"/>
      <w:marBottom w:val="0"/>
      <w:divBdr>
        <w:top w:val="none" w:sz="0" w:space="0" w:color="auto"/>
        <w:left w:val="none" w:sz="0" w:space="0" w:color="auto"/>
        <w:bottom w:val="none" w:sz="0" w:space="0" w:color="auto"/>
        <w:right w:val="none" w:sz="0" w:space="0" w:color="auto"/>
      </w:divBdr>
    </w:div>
    <w:div w:id="1983001480">
      <w:bodyDiv w:val="1"/>
      <w:marLeft w:val="390"/>
      <w:marRight w:val="390"/>
      <w:marTop w:val="0"/>
      <w:marBottom w:val="0"/>
      <w:divBdr>
        <w:top w:val="none" w:sz="0" w:space="0" w:color="auto"/>
        <w:left w:val="none" w:sz="0" w:space="0" w:color="auto"/>
        <w:bottom w:val="none" w:sz="0" w:space="0" w:color="auto"/>
        <w:right w:val="none" w:sz="0" w:space="0" w:color="auto"/>
      </w:divBdr>
      <w:divsChild>
        <w:div w:id="1196310072">
          <w:marLeft w:val="0"/>
          <w:marRight w:val="0"/>
          <w:marTop w:val="0"/>
          <w:marBottom w:val="0"/>
          <w:divBdr>
            <w:top w:val="none" w:sz="0" w:space="0" w:color="auto"/>
            <w:left w:val="none" w:sz="0" w:space="0" w:color="auto"/>
            <w:bottom w:val="none" w:sz="0" w:space="0" w:color="auto"/>
            <w:right w:val="none" w:sz="0" w:space="0" w:color="auto"/>
          </w:divBdr>
          <w:divsChild>
            <w:div w:id="308944413">
              <w:marLeft w:val="0"/>
              <w:marRight w:val="0"/>
              <w:marTop w:val="0"/>
              <w:marBottom w:val="0"/>
              <w:divBdr>
                <w:top w:val="none" w:sz="0" w:space="0" w:color="auto"/>
                <w:left w:val="none" w:sz="0" w:space="0" w:color="auto"/>
                <w:bottom w:val="none" w:sz="0" w:space="0" w:color="auto"/>
                <w:right w:val="none" w:sz="0" w:space="0" w:color="auto"/>
              </w:divBdr>
              <w:divsChild>
                <w:div w:id="818032720">
                  <w:marLeft w:val="-150"/>
                  <w:marRight w:val="-150"/>
                  <w:marTop w:val="0"/>
                  <w:marBottom w:val="0"/>
                  <w:divBdr>
                    <w:top w:val="none" w:sz="0" w:space="0" w:color="auto"/>
                    <w:left w:val="none" w:sz="0" w:space="0" w:color="auto"/>
                    <w:bottom w:val="none" w:sz="0" w:space="0" w:color="auto"/>
                    <w:right w:val="none" w:sz="0" w:space="0" w:color="auto"/>
                  </w:divBdr>
                  <w:divsChild>
                    <w:div w:id="1044215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2491615">
      <w:bodyDiv w:val="1"/>
      <w:marLeft w:val="0"/>
      <w:marRight w:val="0"/>
      <w:marTop w:val="0"/>
      <w:marBottom w:val="0"/>
      <w:divBdr>
        <w:top w:val="none" w:sz="0" w:space="0" w:color="auto"/>
        <w:left w:val="none" w:sz="0" w:space="0" w:color="auto"/>
        <w:bottom w:val="none" w:sz="0" w:space="0" w:color="auto"/>
        <w:right w:val="none" w:sz="0" w:space="0" w:color="auto"/>
      </w:divBdr>
    </w:div>
    <w:div w:id="21261894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sip.legalis.pl/document-view.seam?documentId=mfrxilrsgm2dkna"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cid:image007.png@01D7C43E.0A993C30"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5" Type="http://schemas.openxmlformats.org/officeDocument/2006/relationships/styles" Target="styles.xml"/><Relationship Id="rId15" Type="http://schemas.openxmlformats.org/officeDocument/2006/relationships/hyperlink" Target="https://sip.legalis.pl/document-view.seam?documentId=mfrxilrtgu3dambzgy2daltqmfyc4mzwgeztgnrxgq" TargetMode="External"/><Relationship Id="rId10" Type="http://schemas.openxmlformats.org/officeDocument/2006/relationships/hyperlink" Target="https://lex.online.wolterskluwer.pl/WKPLOnline/index.rpc"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2.emf"/></Relationships>
</file>

<file path=word/_rels/footnotes.xml.rels><?xml version="1.0" encoding="UTF-8" standalone="yes"?>
<Relationships xmlns="http://schemas.openxmlformats.org/package/2006/relationships"><Relationship Id="rId1" Type="http://schemas.openxmlformats.org/officeDocument/2006/relationships/hyperlink" Target="http://www.hays.p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czarnec\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LegislatorInfo xmlns="http://schemas.microsoft.com/vsto/legislator-magic-premium">
  <ZipxFilePath>C:\Users\adolecka\Desktop\projekt ustawy o zmianie ustawy o ARMiR  po Komisji P.  13.12.2021.zipx</ZipxFilePath>
</LegislatorInfo>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57F425D-2E36-4277-A252-FAFD95767E77}">
  <ds:schemaRefs>
    <ds:schemaRef ds:uri="http://schemas.microsoft.com/vsto/legislator-magic-premium"/>
  </ds:schemaRefs>
</ds:datastoreItem>
</file>

<file path=customXml/itemProps3.xml><?xml version="1.0" encoding="utf-8"?>
<ds:datastoreItem xmlns:ds="http://schemas.openxmlformats.org/officeDocument/2006/customXml" ds:itemID="{4AA4C3B2-F658-4BC4-A766-23C2C63F86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4_0.dotm</Template>
  <TotalTime>39</TotalTime>
  <Pages>42</Pages>
  <Words>14666</Words>
  <Characters>87997</Characters>
  <Application>Microsoft Office Word</Application>
  <DocSecurity>0</DocSecurity>
  <Lines>733</Lines>
  <Paragraphs>204</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102459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Malaczek Pawel</dc:creator>
  <cp:lastModifiedBy>Czarnecka Grażyna</cp:lastModifiedBy>
  <cp:revision>9</cp:revision>
  <cp:lastPrinted>2021-12-13T07:13:00Z</cp:lastPrinted>
  <dcterms:created xsi:type="dcterms:W3CDTF">2021-12-31T15:01:00Z</dcterms:created>
  <dcterms:modified xsi:type="dcterms:W3CDTF">2022-01-04T08:55:00Z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