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425" w:rsidRDefault="00A02425" w:rsidP="00D42A0D">
      <w:pPr>
        <w:pStyle w:val="OZNPROJEKTUwskazaniedatylubwersjiprojektu"/>
      </w:pPr>
      <w:r>
        <w:t>projekt</w:t>
      </w:r>
    </w:p>
    <w:p w:rsidR="00A02425" w:rsidRPr="00E000DC" w:rsidRDefault="00A02425" w:rsidP="004810D7">
      <w:pPr>
        <w:pStyle w:val="OZNRODZAKTUtznustawalubrozporzdzenieiorganwydajcy"/>
      </w:pPr>
      <w:r w:rsidRPr="004810D7">
        <w:t>ustawa</w:t>
      </w:r>
    </w:p>
    <w:p w:rsidR="00A02425" w:rsidRDefault="00A02425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A02425" w:rsidRPr="00093D16" w:rsidRDefault="00A02425" w:rsidP="00093D16">
      <w:pPr>
        <w:pStyle w:val="TYTUAKTUprzedmiotregulacjiustawylubrozporzdzenia"/>
      </w:pPr>
      <w:r>
        <w:t>o zmianie ustawy – Kodeks karny wykonawczy</w:t>
      </w:r>
    </w:p>
    <w:p w:rsidR="00A02425" w:rsidRDefault="00A02425" w:rsidP="00093D16">
      <w:pPr>
        <w:pStyle w:val="ARTartustawynprozporzdzenia"/>
      </w:pPr>
      <w:bookmarkStart w:id="0" w:name="_Hlk8737760"/>
      <w:r w:rsidRPr="00093D16">
        <w:rPr>
          <w:rStyle w:val="Ppogrubienie"/>
        </w:rPr>
        <w:t>Art. 1.</w:t>
      </w:r>
      <w:r>
        <w:t xml:space="preserve"> </w:t>
      </w:r>
      <w:r w:rsidRPr="00093D16">
        <w:t xml:space="preserve">W ustawie z dnia 6 czerwca 1997 r. </w:t>
      </w:r>
      <w:r>
        <w:t>–</w:t>
      </w:r>
      <w:r w:rsidRPr="00093D16">
        <w:t xml:space="preserve"> Kodeks karny wykonawczy (Dz.</w:t>
      </w:r>
      <w:r>
        <w:t> </w:t>
      </w:r>
      <w:r w:rsidRPr="00093D16">
        <w:t>U.</w:t>
      </w:r>
      <w:r>
        <w:t> </w:t>
      </w:r>
      <w:r w:rsidRPr="00093D16">
        <w:t>z</w:t>
      </w:r>
      <w:r>
        <w:t> </w:t>
      </w:r>
      <w:r w:rsidRPr="00093D16">
        <w:t>20</w:t>
      </w:r>
      <w:r>
        <w:t>21 </w:t>
      </w:r>
      <w:r w:rsidRPr="00093D16">
        <w:t xml:space="preserve">r. poz. </w:t>
      </w:r>
      <w:r>
        <w:t>53, 472, 1236 i 2054</w:t>
      </w:r>
      <w:r w:rsidRPr="00093D16">
        <w:t>) w art. 21</w:t>
      </w:r>
      <w:r>
        <w:t>7c:</w:t>
      </w:r>
    </w:p>
    <w:p w:rsidR="00A02425" w:rsidRDefault="00A02425" w:rsidP="00077DA8">
      <w:pPr>
        <w:pStyle w:val="PKTpunkt"/>
      </w:pPr>
      <w:r>
        <w:t>1)</w:t>
      </w:r>
      <w:r>
        <w:tab/>
        <w:t xml:space="preserve">w </w:t>
      </w:r>
      <w:r>
        <w:rPr>
          <w:rFonts w:cs="Times"/>
        </w:rPr>
        <w:t>§</w:t>
      </w:r>
      <w:r>
        <w:t xml:space="preserve"> 1 pkt 1 otrzymuje brzmienie:</w:t>
      </w:r>
    </w:p>
    <w:p w:rsidR="00A02425" w:rsidRDefault="00A02425" w:rsidP="00485EF4">
      <w:pPr>
        <w:pStyle w:val="ZPKTzmpktartykuempunktem"/>
      </w:pPr>
      <w:r>
        <w:t>„</w:t>
      </w:r>
      <w:r w:rsidRPr="00485EF4">
        <w:t>1)</w:t>
      </w:r>
      <w:r>
        <w:tab/>
      </w:r>
      <w:r w:rsidRPr="00485EF4">
        <w:t xml:space="preserve">może korzystać z aparatu telefonicznego, z </w:t>
      </w:r>
      <w:r>
        <w:t>uwzględnieniem</w:t>
      </w:r>
      <w:r w:rsidRPr="00485EF4">
        <w:t xml:space="preserve"> § 2</w:t>
      </w:r>
      <w:r>
        <w:t>–</w:t>
      </w:r>
      <w:r w:rsidRPr="00485EF4">
        <w:t>3, na zasadach określonych w regulaminie organizacyjno-porządkowym wykonywania tymczasowego aresztowania, za zgodą organu, do którego dyspozycji pozostaje;</w:t>
      </w:r>
      <w:r>
        <w:t>”;</w:t>
      </w:r>
    </w:p>
    <w:p w:rsidR="00A02425" w:rsidRPr="00093D16" w:rsidRDefault="00A02425" w:rsidP="00077DA8">
      <w:pPr>
        <w:pStyle w:val="PKTpunkt"/>
      </w:pPr>
      <w:r>
        <w:t>2)</w:t>
      </w:r>
      <w:r>
        <w:tab/>
        <w:t xml:space="preserve">po </w:t>
      </w:r>
      <w:r>
        <w:rPr>
          <w:rFonts w:cs="Times"/>
        </w:rPr>
        <w:t>§</w:t>
      </w:r>
      <w:r>
        <w:t xml:space="preserve"> 2 dodaje się </w:t>
      </w:r>
      <w:r w:rsidRPr="00093D16">
        <w:t xml:space="preserve">§ </w:t>
      </w:r>
      <w:r>
        <w:t xml:space="preserve">2a–2c </w:t>
      </w:r>
      <w:r w:rsidRPr="00093D16">
        <w:t>w brzmieniu:</w:t>
      </w:r>
    </w:p>
    <w:p w:rsidR="00A02425" w:rsidRDefault="00A02425" w:rsidP="00093D16">
      <w:pPr>
        <w:pStyle w:val="ZUSTzmustartykuempunktem"/>
      </w:pPr>
      <w:r>
        <w:t>„</w:t>
      </w:r>
      <w:r w:rsidRPr="00093D16">
        <w:t xml:space="preserve">§ </w:t>
      </w:r>
      <w:r>
        <w:t>2a</w:t>
      </w:r>
      <w:r w:rsidRPr="00093D16">
        <w:t xml:space="preserve">. Jeżeli tymczasowo aresztowany ma ustanowionego </w:t>
      </w:r>
      <w:r>
        <w:t xml:space="preserve">albo wyznaczonego </w:t>
      </w:r>
      <w:r w:rsidRPr="00093D16">
        <w:t>obrońcę, organ do</w:t>
      </w:r>
      <w:r>
        <w:t xml:space="preserve"> </w:t>
      </w:r>
      <w:r w:rsidRPr="00093D16">
        <w:t>którego dyspozycji tymczasowo aresztowany pozostaje</w:t>
      </w:r>
      <w:r>
        <w:t>,</w:t>
      </w:r>
      <w:r w:rsidRPr="00093D16">
        <w:t xml:space="preserve"> </w:t>
      </w:r>
      <w:r>
        <w:t xml:space="preserve">na wniosek obrońcy wydaje </w:t>
      </w:r>
      <w:r w:rsidRPr="00093D16">
        <w:t xml:space="preserve">zarządzenie o </w:t>
      </w:r>
      <w:r>
        <w:t xml:space="preserve">bezterminowej </w:t>
      </w:r>
      <w:r w:rsidRPr="00093D16">
        <w:t>zgodzie na</w:t>
      </w:r>
      <w:r>
        <w:t xml:space="preserve"> </w:t>
      </w:r>
      <w:r w:rsidRPr="00093D16">
        <w:t xml:space="preserve">wielokrotne </w:t>
      </w:r>
      <w:r>
        <w:t xml:space="preserve">korzystanie przez tymczasowo aresztowanego z aparatu telefonicznego w celu utrzymywania kontaktu z tym obrońcą, który złożył wniosek, i </w:t>
      </w:r>
      <w:r w:rsidRPr="00093D16">
        <w:t xml:space="preserve">przesyła </w:t>
      </w:r>
      <w:r>
        <w:t xml:space="preserve">je </w:t>
      </w:r>
      <w:r w:rsidRPr="00093D16">
        <w:t xml:space="preserve">niezwłocznie </w:t>
      </w:r>
      <w:r>
        <w:t>do dyrektora aresztu śledczego,</w:t>
      </w:r>
      <w:r w:rsidRPr="00093D16">
        <w:t xml:space="preserve"> w którym przebywa tymczasowo aresztowany.</w:t>
      </w:r>
      <w:r>
        <w:t xml:space="preserve"> Zgoda jest skuteczna do czasu prawomocnego zakończenia postępowania, także w przypadku zmiany w toku postępowania organu, do którego dyspozycji tymczasowo aresztowany pozostaje, lub jednostki penitencjarnej, w której wykonywane jest tymczasowe aresztowanie. Przepis </w:t>
      </w:r>
      <w:r w:rsidRPr="00093D16">
        <w:t>§</w:t>
      </w:r>
      <w:r>
        <w:t> 2 stosuje się</w:t>
      </w:r>
      <w:r w:rsidRPr="00093D16">
        <w:t>.</w:t>
      </w:r>
    </w:p>
    <w:p w:rsidR="00A02425" w:rsidRDefault="00A02425" w:rsidP="00093D16">
      <w:pPr>
        <w:pStyle w:val="ZUSTzmustartykuempunktem"/>
      </w:pPr>
      <w:r>
        <w:rPr>
          <w:rFonts w:cs="Times"/>
        </w:rPr>
        <w:t>§</w:t>
      </w:r>
      <w:r>
        <w:t xml:space="preserve"> 2b. </w:t>
      </w:r>
      <w:r w:rsidRPr="00093D16">
        <w:t xml:space="preserve">Z chwilą </w:t>
      </w:r>
      <w:r w:rsidRPr="00227C72">
        <w:t>powzięcia przez organ, do którego dyspozycji tymczasowo aresztowany pozostaje, wiadomości</w:t>
      </w:r>
      <w:r w:rsidRPr="00093D16">
        <w:t xml:space="preserve"> o</w:t>
      </w:r>
      <w:r>
        <w:t xml:space="preserve"> </w:t>
      </w:r>
      <w:r w:rsidRPr="00093D16">
        <w:t xml:space="preserve">ustaniu stosunku obrończego, organ </w:t>
      </w:r>
      <w:r>
        <w:t xml:space="preserve">ten </w:t>
      </w:r>
      <w:r w:rsidRPr="00093D16">
        <w:t>z urzędu wydaje zarządzenie o uchyleniu zarządzenia</w:t>
      </w:r>
      <w:r>
        <w:t xml:space="preserve">, o którym mowa w </w:t>
      </w:r>
      <w:r>
        <w:rPr>
          <w:rFonts w:cs="Times"/>
        </w:rPr>
        <w:t>§</w:t>
      </w:r>
      <w:r>
        <w:t xml:space="preserve"> 2a, </w:t>
      </w:r>
      <w:r w:rsidRPr="00093D16">
        <w:t>i przesyła je niezwłocznie do dyrektora aresztu śledczego, w którym przebywa tymczasowo aresztowany.</w:t>
      </w:r>
    </w:p>
    <w:p w:rsidR="00A02425" w:rsidRDefault="00A02425" w:rsidP="00093D16">
      <w:pPr>
        <w:pStyle w:val="ZUSTzmustartykuempunktem"/>
      </w:pPr>
      <w:r w:rsidRPr="00DE70D5">
        <w:t>§ 2c. Zgoda, o której mowa w § 2a, może zostać cofnięta przez organ, do którego dyspozycji tymczasowo aresztowany pozostaje, w wypadku uzasadnionej obawy, że</w:t>
      </w:r>
      <w:r>
        <w:t> </w:t>
      </w:r>
      <w:r w:rsidRPr="00DE70D5">
        <w:t>korzystanie przez tymczasowo aresztowanego z aparatu telefonicznego może zostać wykorzystane w celu wskazanym w § 2 pkt 1 lub 2.</w:t>
      </w:r>
      <w:r>
        <w:t>”;</w:t>
      </w:r>
    </w:p>
    <w:p w:rsidR="00A02425" w:rsidRPr="00DE70D5" w:rsidRDefault="00A02425" w:rsidP="00DE70D5">
      <w:pPr>
        <w:pStyle w:val="PKTpunkt"/>
      </w:pPr>
      <w:r w:rsidRPr="00DE70D5">
        <w:t>3)</w:t>
      </w:r>
      <w:r w:rsidRPr="00DE70D5">
        <w:tab/>
        <w:t>§ 4 otrzymuje brzmienie:</w:t>
      </w:r>
    </w:p>
    <w:p w:rsidR="00A02425" w:rsidRPr="00093D16" w:rsidRDefault="00A02425" w:rsidP="00DE70D5">
      <w:pPr>
        <w:pStyle w:val="ZUSTzmustartykuempunktem"/>
      </w:pPr>
      <w:r w:rsidRPr="00DE70D5">
        <w:lastRenderedPageBreak/>
        <w:t>„§ 4. Na zarządzenie o odmowie albo cofnięciu zgody na korzystanie z</w:t>
      </w:r>
      <w:r>
        <w:t xml:space="preserve"> </w:t>
      </w:r>
      <w:r w:rsidRPr="00DE70D5">
        <w:t>aparatu telefonicznego, o którym mowa w § 2, 2a i</w:t>
      </w:r>
      <w:r>
        <w:t xml:space="preserve"> </w:t>
      </w:r>
      <w:r w:rsidRPr="00DE70D5">
        <w:t>2c, tymczasowo aresztowanemu przysługuje zażalenie do sądu, do</w:t>
      </w:r>
      <w:r>
        <w:t xml:space="preserve"> </w:t>
      </w:r>
      <w:r w:rsidRPr="00DE70D5">
        <w:t>którego dyspozycji pozostaje. Zażalenie na zarządzenie prokuratora rozpoznaje prokurator nadrzędny.”.</w:t>
      </w:r>
    </w:p>
    <w:p w:rsidR="00A02425" w:rsidRDefault="00A02425" w:rsidP="00093D16">
      <w:pPr>
        <w:pStyle w:val="ARTartustawynprozporzdzenia"/>
        <w:sectPr w:rsidR="00A02425" w:rsidSect="00A02425">
          <w:headerReference w:type="default" r:id="rId7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  <w:r w:rsidRPr="00093D16">
        <w:rPr>
          <w:rStyle w:val="Ppogrubienie"/>
        </w:rPr>
        <w:t>Art. 2.</w:t>
      </w:r>
      <w:r>
        <w:t xml:space="preserve"> </w:t>
      </w:r>
      <w:r w:rsidRPr="00093D16">
        <w:t>Ustawa wchodzi w życie po upływie 14 dni od dnia ogłoszenia.</w:t>
      </w:r>
      <w:bookmarkEnd w:id="0"/>
    </w:p>
    <w:p w:rsidR="00A02425" w:rsidRDefault="00A02425" w:rsidP="00661DFC">
      <w:pPr>
        <w:pStyle w:val="OZNRODZAKTUtznustawalubrozporzdzenieiorganwydajcy"/>
      </w:pPr>
      <w:bookmarkStart w:id="1" w:name="_GoBack"/>
      <w:bookmarkEnd w:id="1"/>
    </w:p>
    <w:sectPr w:rsidR="00A02425" w:rsidSect="00A02425">
      <w:pgSz w:w="11906" w:h="16838"/>
      <w:pgMar w:top="1560" w:right="1434" w:bottom="1135" w:left="1418" w:header="709" w:footer="546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B0A" w:rsidRDefault="002B2B0A">
      <w:r>
        <w:separator/>
      </w:r>
    </w:p>
  </w:endnote>
  <w:endnote w:type="continuationSeparator" w:id="0">
    <w:p w:rsidR="002B2B0A" w:rsidRDefault="002B2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B0A" w:rsidRDefault="002B2B0A">
      <w:r>
        <w:separator/>
      </w:r>
    </w:p>
  </w:footnote>
  <w:footnote w:type="continuationSeparator" w:id="0">
    <w:p w:rsidR="002B2B0A" w:rsidRDefault="002B2B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DF0E68" w:rsidP="00B371CC">
    <w:pPr>
      <w:pStyle w:val="Nagwek"/>
      <w:jc w:val="center"/>
    </w:pPr>
    <w:r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 w:rsidR="009347D9">
      <w:rPr>
        <w:noProof/>
      </w:rPr>
      <w:t>2</w:t>
    </w:r>
    <w:r>
      <w:rPr>
        <w:noProof/>
      </w:rP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01AC"/>
    <w:multiLevelType w:val="hybridMultilevel"/>
    <w:tmpl w:val="B3263C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30FE3"/>
    <w:multiLevelType w:val="hybridMultilevel"/>
    <w:tmpl w:val="27AA06C4"/>
    <w:lvl w:ilvl="0" w:tplc="7E2CDA70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429D4F85"/>
    <w:multiLevelType w:val="hybridMultilevel"/>
    <w:tmpl w:val="CDCA55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E38F3"/>
    <w:multiLevelType w:val="hybridMultilevel"/>
    <w:tmpl w:val="EDAC86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4B1D79"/>
    <w:multiLevelType w:val="hybridMultilevel"/>
    <w:tmpl w:val="04DCB84A"/>
    <w:lvl w:ilvl="0" w:tplc="8EDE743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F95E91"/>
    <w:multiLevelType w:val="hybridMultilevel"/>
    <w:tmpl w:val="671AE3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5977D4"/>
    <w:multiLevelType w:val="hybridMultilevel"/>
    <w:tmpl w:val="A96C1A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0B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0B6C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15B1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669FB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0E7E"/>
    <w:rsid w:val="001C1832"/>
    <w:rsid w:val="001C188C"/>
    <w:rsid w:val="001D1783"/>
    <w:rsid w:val="001D55A3"/>
    <w:rsid w:val="001E4E0C"/>
    <w:rsid w:val="001E526D"/>
    <w:rsid w:val="001F220F"/>
    <w:rsid w:val="001F6616"/>
    <w:rsid w:val="00201AD7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2B0A"/>
    <w:rsid w:val="002B68A6"/>
    <w:rsid w:val="002E14A2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3F397D"/>
    <w:rsid w:val="00401C84"/>
    <w:rsid w:val="004035BB"/>
    <w:rsid w:val="004106A6"/>
    <w:rsid w:val="004140F2"/>
    <w:rsid w:val="00421085"/>
    <w:rsid w:val="00424DF7"/>
    <w:rsid w:val="004253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4099"/>
    <w:rsid w:val="005E62C2"/>
    <w:rsid w:val="005F0349"/>
    <w:rsid w:val="005F2EBA"/>
    <w:rsid w:val="005F35ED"/>
    <w:rsid w:val="005F7A88"/>
    <w:rsid w:val="006046D5"/>
    <w:rsid w:val="00610C08"/>
    <w:rsid w:val="00613AE0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1DFC"/>
    <w:rsid w:val="006623AC"/>
    <w:rsid w:val="006678AF"/>
    <w:rsid w:val="00680058"/>
    <w:rsid w:val="0068036D"/>
    <w:rsid w:val="006840EA"/>
    <w:rsid w:val="00685267"/>
    <w:rsid w:val="006872AE"/>
    <w:rsid w:val="0069282B"/>
    <w:rsid w:val="006946BB"/>
    <w:rsid w:val="006969FA"/>
    <w:rsid w:val="006A5622"/>
    <w:rsid w:val="006C4A31"/>
    <w:rsid w:val="006C512D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290B"/>
    <w:rsid w:val="00753B51"/>
    <w:rsid w:val="00757B4F"/>
    <w:rsid w:val="0076260A"/>
    <w:rsid w:val="00764A67"/>
    <w:rsid w:val="0076582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3895"/>
    <w:rsid w:val="007D6DCE"/>
    <w:rsid w:val="007E05A4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47D9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B06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2425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415F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0FD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26F12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2677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27D2E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15A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0E68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1139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587C"/>
    <w:rsid w:val="00F00B73"/>
    <w:rsid w:val="00F115CA"/>
    <w:rsid w:val="00F1510F"/>
    <w:rsid w:val="00F15E5A"/>
    <w:rsid w:val="00F17F0A"/>
    <w:rsid w:val="00F2668F"/>
    <w:rsid w:val="00F27803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77A69"/>
    <w:rsid w:val="00F831CB"/>
    <w:rsid w:val="00F848A3"/>
    <w:rsid w:val="00F85BF8"/>
    <w:rsid w:val="00F871CE"/>
    <w:rsid w:val="00F87802"/>
    <w:rsid w:val="00F92C0A"/>
    <w:rsid w:val="00F9415B"/>
    <w:rsid w:val="00F979FF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48C7BF0-9009-4149-B78C-FC697906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90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17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29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9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1C0E7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C0E7E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C0E7E"/>
    <w:rPr>
      <w:i/>
    </w:rPr>
  </w:style>
  <w:style w:type="character" w:customStyle="1" w:styleId="wyrokwyroktk">
    <w:name w:val="wyrok_wyroktk"/>
    <w:basedOn w:val="Domylnaczcionkaakapitu"/>
    <w:rsid w:val="001C0E7E"/>
  </w:style>
  <w:style w:type="character" w:customStyle="1" w:styleId="IGindeksgrny">
    <w:name w:val="_IG_ – indeks górny"/>
    <w:basedOn w:val="Domylnaczcionkaakapitu"/>
    <w:uiPriority w:val="2"/>
    <w:qFormat/>
    <w:rsid w:val="00201AD7"/>
    <w:rPr>
      <w:b w:val="0"/>
      <w:i w:val="0"/>
      <w:vanish w:val="0"/>
      <w:spacing w:val="0"/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201AD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sid w:val="00AB60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48</TotalTime>
  <Pages>1</Pages>
  <Words>318</Words>
  <Characters>1908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12</cp:revision>
  <cp:lastPrinted>2021-11-30T13:29:00Z</cp:lastPrinted>
  <dcterms:created xsi:type="dcterms:W3CDTF">2021-11-25T19:25:00Z</dcterms:created>
  <dcterms:modified xsi:type="dcterms:W3CDTF">2022-01-12T11:41:00Z</dcterms:modified>
</cp:coreProperties>
</file>