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74" w:rsidRDefault="00D93D74" w:rsidP="00EF7D26">
      <w:pPr>
        <w:jc w:val="center"/>
        <w:rPr>
          <w:rStyle w:val="Ppogrubienie"/>
          <w:spacing w:val="40"/>
        </w:rPr>
      </w:pPr>
      <w:bookmarkStart w:id="0" w:name="_GoBack"/>
      <w:bookmarkEnd w:id="0"/>
      <w:r>
        <w:rPr>
          <w:rStyle w:val="Ppogrubienie"/>
          <w:spacing w:val="40"/>
        </w:rPr>
        <w:t>UZASADNIENIE</w:t>
      </w:r>
    </w:p>
    <w:p w:rsidR="00D93D74" w:rsidRDefault="00D93D74" w:rsidP="00EF7D26">
      <w:pPr>
        <w:jc w:val="center"/>
        <w:rPr>
          <w:rStyle w:val="Ppogrubienie"/>
          <w:spacing w:val="40"/>
        </w:rPr>
      </w:pPr>
    </w:p>
    <w:p w:rsidR="00D93D74" w:rsidRPr="00743702" w:rsidRDefault="00D93D74" w:rsidP="00743702">
      <w:pPr>
        <w:widowControl/>
        <w:autoSpaceDE/>
        <w:autoSpaceDN/>
        <w:adjustRightInd/>
        <w:ind w:left="510" w:hanging="510"/>
        <w:rPr>
          <w:rFonts w:ascii="Times" w:hAnsi="Times"/>
          <w:b/>
          <w:bCs/>
          <w:lang w:eastAsia="en-US"/>
        </w:rPr>
      </w:pPr>
      <w:r w:rsidRPr="00743702">
        <w:rPr>
          <w:rFonts w:ascii="Times" w:hAnsi="Times"/>
          <w:b/>
          <w:bCs/>
          <w:lang w:eastAsia="en-US"/>
        </w:rPr>
        <w:t>1.</w:t>
      </w:r>
      <w:r w:rsidRPr="00743702">
        <w:rPr>
          <w:rFonts w:ascii="Times" w:hAnsi="Times"/>
          <w:b/>
          <w:bCs/>
          <w:lang w:eastAsia="en-US"/>
        </w:rPr>
        <w:tab/>
        <w:t>Cel projektowanej ustawy</w:t>
      </w:r>
    </w:p>
    <w:p w:rsidR="00D93D74" w:rsidRPr="00743702" w:rsidRDefault="00D93D74" w:rsidP="00743702">
      <w:pPr>
        <w:spacing w:before="120"/>
        <w:ind w:firstLine="510"/>
      </w:pPr>
      <w:r w:rsidRPr="00743702">
        <w:t xml:space="preserve">Ustawa </w:t>
      </w:r>
      <w:r w:rsidRPr="00743702">
        <w:rPr>
          <w:spacing w:val="-2"/>
        </w:rPr>
        <w:t>zmierza</w:t>
      </w:r>
      <w:r w:rsidRPr="00743702">
        <w:t xml:space="preserve"> do przywrócenia regulacji, która została pominięta w noweli procedury cywilnej przyjętej przez Sejm w dniu 2 grudnia 2021 r. Ustawa o zmianie ustawy – Kodeks postępowania cywilnego, która pochodziła z przedłożenia senackiego, została uchwalona na skutek uwzględnienia postulatów sformułowanych w indywidua</w:t>
      </w:r>
      <w:r>
        <w:t xml:space="preserve">lnej petycji i weszła w życie z </w:t>
      </w:r>
      <w:r w:rsidRPr="00743702">
        <w:t>dniem 10 stycznia 2022 r. Ustawa ta, przez dodanie do usta</w:t>
      </w:r>
      <w:r>
        <w:t xml:space="preserve">wy nowelizowanej przepisów art. </w:t>
      </w:r>
      <w:r w:rsidRPr="00743702">
        <w:t>829</w:t>
      </w:r>
      <w:r w:rsidRPr="00743702">
        <w:rPr>
          <w:vertAlign w:val="superscript"/>
        </w:rPr>
        <w:t>1</w:t>
      </w:r>
      <w:r w:rsidRPr="00743702">
        <w:t>–829</w:t>
      </w:r>
      <w:r w:rsidRPr="00743702">
        <w:rPr>
          <w:vertAlign w:val="superscript"/>
        </w:rPr>
        <w:t>4</w:t>
      </w:r>
      <w:r w:rsidRPr="00743702">
        <w:t>, uregulowała w sposób zgodny z wymaganiami wynikającymi z </w:t>
      </w:r>
      <w:r w:rsidRPr="00743702">
        <w:rPr>
          <w:spacing w:val="-2"/>
        </w:rPr>
        <w:t xml:space="preserve">art. 31 ust. 3 w zw. z art. 45 ust. 1 oraz art. 64 ust. 1, a także </w:t>
      </w:r>
      <w:r w:rsidRPr="00743702">
        <w:t>art. 92 ust. 1 Konstytucji kwestie związane ze szczególną ochroną rolnika prowadzącego gospodarstwo rolne w przypadku skierowania egzekucji do należącego do niego majątku.</w:t>
      </w:r>
    </w:p>
    <w:p w:rsidR="00D93D74" w:rsidRPr="00743702" w:rsidRDefault="00D93D74" w:rsidP="00743702">
      <w:pPr>
        <w:spacing w:before="120"/>
        <w:ind w:firstLine="510"/>
      </w:pPr>
      <w:r w:rsidRPr="00743702">
        <w:rPr>
          <w:spacing w:val="-2"/>
        </w:rPr>
        <w:t>Wcześniej wskazaną problematykę normowało rozporządzenie Ministra Sprawiedliwości</w:t>
      </w:r>
      <w:r w:rsidRPr="00743702">
        <w:t xml:space="preserve"> z dnia 5 lipca 2017 r. w sprawie określenia </w:t>
      </w:r>
      <w:r w:rsidRPr="00743702">
        <w:rPr>
          <w:spacing w:val="-3"/>
        </w:rPr>
        <w:t xml:space="preserve">przedmiotów należących do rolnika prowadzącego gospodarstwo, które nie podlegają egzekucji. Co do zasady postanowienia zawarte w tym rozporządzeniu znalazły odzwierciedlenie w wymienionych przepisach ustawy – Kodeks postępowania cywilnego (dalej jako „k.p.c.”), aczkolwiek z jednym, dość istotnym wyjątkiem. Mianowicie: ustawodawca nie „przeniósł” do k.p.c. regulacji ujętej w § 5 rozporządzenia. Przepis ten stanowił, że </w:t>
      </w:r>
      <w:r w:rsidRPr="00743702">
        <w:t>rozporządzenia nie stosuje się w razie równoczesnego skierowania egzekucji do wszystkich nieruchomości wchodzących w skład gospodarstwa rolnego prowadzonego przez dłużnika.</w:t>
      </w:r>
    </w:p>
    <w:p w:rsidR="00D93D74" w:rsidRPr="00743702" w:rsidRDefault="00D93D74" w:rsidP="00743702">
      <w:pPr>
        <w:spacing w:before="120"/>
        <w:ind w:firstLine="510"/>
      </w:pPr>
      <w:r w:rsidRPr="00743702">
        <w:t xml:space="preserve">Pominięcie przedmiotowego uregulowania jest nie bez znaczenia zarówno dla sektora bankowego, jak i dla samych rolników jako potencjalnych kredytobiorców, a więc klientów banków. Brak możliwości zaspokojenia się przez wierzyciela ze składników majątkowych dłużnika (bo </w:t>
      </w:r>
      <w:r w:rsidRPr="00743702">
        <w:rPr>
          <w:i/>
        </w:rPr>
        <w:t>de facto</w:t>
      </w:r>
      <w:r w:rsidRPr="00743702">
        <w:t xml:space="preserve"> taki skutek mogą mieć regulacje k.p.c. w aktualnym kształcie) powoduje, że rolnicy nie będą w stanie pozyskać finansowania prowadzonej działalności. Banki – jako podmioty, które są zobligowane do zabezpieczenia depozytów oraz wyważenia swoich portfeli kredytowych – będą wręcz zmuszone do odrzucania znaczącej większości wniosków o udzielenie kredytów pochodzących od rolników, ponieważ ci ostatni nie będą w stanie przedstawić odpowiedniego zabezpieczenia dla zaciąganych zobowiązań. Stąd też w interesie obu tych grup jest przywrócenie stanu prawnego, jaki w omawianym zakresie obowiązywał przed wejściem w życie wspomnianej ustawy zmieniającej z dnia 2 grudnia 2021 r.</w:t>
      </w:r>
    </w:p>
    <w:p w:rsidR="00D93D74" w:rsidRPr="00743702" w:rsidRDefault="00D93D74" w:rsidP="00743702">
      <w:pPr>
        <w:spacing w:before="120"/>
        <w:ind w:firstLine="510"/>
      </w:pPr>
      <w:r w:rsidRPr="00743702">
        <w:lastRenderedPageBreak/>
        <w:t xml:space="preserve">Niezależnie od tego, na tle art. 6 ust. 3 ustawy z dnia 9 listopada 2018 r. o restrukturyzacji zadłużenia podmiotów prowadzących gospodarstwa rolne, dostrzeżono problem </w:t>
      </w:r>
      <w:r w:rsidRPr="00743702">
        <w:rPr>
          <w:spacing w:val="-2"/>
        </w:rPr>
        <w:t>polegający na tym, że roszczenia Krajowego Ośrodka Wsparcia Rolnictwa z</w:t>
      </w:r>
      <w:r>
        <w:rPr>
          <w:spacing w:val="-2"/>
        </w:rPr>
        <w:t xml:space="preserve"> </w:t>
      </w:r>
      <w:r w:rsidRPr="00743702">
        <w:rPr>
          <w:spacing w:val="-2"/>
        </w:rPr>
        <w:t>tytułu wykonania</w:t>
      </w:r>
      <w:r w:rsidRPr="00743702">
        <w:t xml:space="preserve"> obowiązków gwaranta mogą być zabezpiec</w:t>
      </w:r>
      <w:r>
        <w:t>zone wyłącznie hipoteką wpisaną</w:t>
      </w:r>
      <w:r>
        <w:br/>
      </w:r>
      <w:r w:rsidRPr="00743702">
        <w:t xml:space="preserve">w księdze wieczystej na pierwszym miejscu. Jednakże aby Krajowy Ośrodek </w:t>
      </w:r>
      <w:r w:rsidRPr="00903FD4">
        <w:t xml:space="preserve">Wsparcia Rolnictwa </w:t>
      </w:r>
      <w:r w:rsidRPr="00743702">
        <w:t>uzyskał wpis takiej hipoteki i udzielił gwarancji, bank musiałby najpierw zwolnić swoje zabezpieczenie hipoteczne. Niemniej to byłoby możliwe dopiero po całkowitej spłacie zobowiązania, np. środkami pochodzącymi z kredytu restrukturyzacyjnego. Powstaje zatem tzw. błędne koło, które w rzeczywistości uniemożli</w:t>
      </w:r>
      <w:r>
        <w:t>wia skorzystanie z gwarancji, o </w:t>
      </w:r>
      <w:r w:rsidRPr="00743702">
        <w:t xml:space="preserve">której mowa w art. 6 ust. 1 </w:t>
      </w:r>
      <w:r w:rsidRPr="00743702">
        <w:rPr>
          <w:spacing w:val="-3"/>
        </w:rPr>
        <w:t xml:space="preserve">ustawy </w:t>
      </w:r>
      <w:r>
        <w:rPr>
          <w:spacing w:val="-3"/>
        </w:rPr>
        <w:t xml:space="preserve">z dnia </w:t>
      </w:r>
      <w:r w:rsidRPr="00743702">
        <w:rPr>
          <w:spacing w:val="-3"/>
        </w:rPr>
        <w:t>9 listopada 2018 r. o restrukturyzacji zadłużenia podmiotów prowadzących gospodarstwa</w:t>
      </w:r>
      <w:r w:rsidRPr="00743702">
        <w:t xml:space="preserve"> rolne.</w:t>
      </w:r>
    </w:p>
    <w:p w:rsidR="00D93D74" w:rsidRDefault="00D93D74" w:rsidP="00A03E61">
      <w:pPr>
        <w:spacing w:before="120"/>
        <w:ind w:firstLine="510"/>
      </w:pPr>
      <w:r>
        <w:t>Asumptem do podjęcia inicjatywy ustawodawczej był skierowany do Parlamentu apel o pilne podjęcie inicjatywy ustawodawczej mającej na celu „naprawę” przepisów</w:t>
      </w:r>
      <w:r w:rsidRPr="00E76214">
        <w:t xml:space="preserve"> k.p.c.</w:t>
      </w:r>
      <w:r>
        <w:t xml:space="preserve"> w kierunku umożliwiającym sprawne funkcjonowanie instrumentów zabezpieczających </w:t>
      </w:r>
      <w:r w:rsidRPr="00662B18">
        <w:t>kredyt</w:t>
      </w:r>
      <w:r>
        <w:t>y</w:t>
      </w:r>
      <w:r w:rsidRPr="00662B18">
        <w:t xml:space="preserve"> </w:t>
      </w:r>
      <w:r>
        <w:t xml:space="preserve">dla </w:t>
      </w:r>
      <w:r w:rsidRPr="00662B18">
        <w:t xml:space="preserve">rolników </w:t>
      </w:r>
      <w:r>
        <w:t xml:space="preserve">oraz zmianę przepisów </w:t>
      </w:r>
      <w:r w:rsidRPr="00964F47">
        <w:t>usta</w:t>
      </w:r>
      <w:r>
        <w:t>wy z dnia 9 listopada 2018 r. o </w:t>
      </w:r>
      <w:r w:rsidRPr="00964F47">
        <w:t>restrukturyzacji zadłużenia podmiotów prowadzących gospodarstwa rolne</w:t>
      </w:r>
      <w:r>
        <w:t xml:space="preserve"> w zakresie zniesienia barier dotyczących korzystania z instrumentów restukturyzacyjnych, w szczególności rozwiązania problemu związanego z ustanawianiem zabezpieczenia roszczeń </w:t>
      </w:r>
      <w:r w:rsidRPr="001659C5">
        <w:t>Krajowego Ośrodka Wsparcia Rolnictwa</w:t>
      </w:r>
      <w:r>
        <w:t xml:space="preserve"> </w:t>
      </w:r>
      <w:r w:rsidRPr="00EF7D83">
        <w:t>z tytułu wykonania obowiązków gwaranta</w:t>
      </w:r>
      <w:r>
        <w:t xml:space="preserve">. Z apelem wystąpiły m.in.: </w:t>
      </w:r>
      <w:r w:rsidRPr="00B731F1">
        <w:t>Krajowa Rada Izb Rolniczych, Podlaska Izba Rolnicza, Wielko</w:t>
      </w:r>
      <w:r>
        <w:t>polska Izba Rolnicza, Warmińsko–</w:t>
      </w:r>
      <w:r w:rsidRPr="00B731F1">
        <w:t>Mazurska Izba Rolnicza, Lubelska Izba Rolnicza, Krajowa Rada Drobiarstwa – Izba Gospodarcza, Krajowe Zrzes</w:t>
      </w:r>
      <w:r>
        <w:t>zenie Producentów Rzepaku i </w:t>
      </w:r>
      <w:r w:rsidRPr="00B731F1">
        <w:t>Roślin Białkowych, Związek Sadowników Rzeczpospolitej Polskiej</w:t>
      </w:r>
      <w:r>
        <w:t xml:space="preserve"> oraz </w:t>
      </w:r>
      <w:r w:rsidRPr="00F6522B">
        <w:t>Polska Federacja Hodo</w:t>
      </w:r>
      <w:r>
        <w:t>wców Bydła i Producentów Mleka.</w:t>
      </w:r>
      <w:r w:rsidRPr="00F6522B">
        <w:t xml:space="preserve"> </w:t>
      </w:r>
    </w:p>
    <w:p w:rsidR="00D93D74" w:rsidRPr="00743702" w:rsidRDefault="00D93D74" w:rsidP="00A03E61">
      <w:pPr>
        <w:spacing w:before="120"/>
        <w:ind w:firstLine="510"/>
      </w:pPr>
    </w:p>
    <w:p w:rsidR="00D93D74" w:rsidRPr="00743702" w:rsidRDefault="00D93D74" w:rsidP="00743702">
      <w:pPr>
        <w:widowControl/>
        <w:autoSpaceDE/>
        <w:autoSpaceDN/>
        <w:adjustRightInd/>
        <w:ind w:left="510" w:hanging="510"/>
        <w:rPr>
          <w:rFonts w:ascii="Times" w:hAnsi="Times"/>
          <w:b/>
          <w:bCs/>
          <w:lang w:eastAsia="en-US"/>
        </w:rPr>
      </w:pPr>
      <w:r w:rsidRPr="00743702">
        <w:rPr>
          <w:rFonts w:ascii="Times" w:hAnsi="Times"/>
          <w:b/>
          <w:bCs/>
          <w:lang w:eastAsia="en-US"/>
        </w:rPr>
        <w:t>2.</w:t>
      </w:r>
      <w:r w:rsidRPr="00743702">
        <w:rPr>
          <w:rFonts w:ascii="Times" w:hAnsi="Times"/>
          <w:b/>
          <w:bCs/>
          <w:lang w:eastAsia="en-US"/>
        </w:rPr>
        <w:tab/>
        <w:t>Różnice między obowiązującym a projektowanym stanem prawnym</w:t>
      </w:r>
    </w:p>
    <w:p w:rsidR="00D93D74" w:rsidRPr="00743702" w:rsidRDefault="00D93D74" w:rsidP="00743702">
      <w:pPr>
        <w:spacing w:before="120"/>
        <w:ind w:firstLine="510"/>
      </w:pPr>
      <w:r w:rsidRPr="00743702">
        <w:rPr>
          <w:spacing w:val="-2"/>
        </w:rPr>
        <w:t xml:space="preserve">Treść dodawanego </w:t>
      </w:r>
      <w:r w:rsidRPr="00743702">
        <w:t>art. 829</w:t>
      </w:r>
      <w:r w:rsidRPr="00743702">
        <w:rPr>
          <w:vertAlign w:val="superscript"/>
        </w:rPr>
        <w:t>5</w:t>
      </w:r>
      <w:r w:rsidRPr="00743702">
        <w:t xml:space="preserve"> </w:t>
      </w:r>
      <w:r w:rsidRPr="00743702">
        <w:rPr>
          <w:spacing w:val="-2"/>
        </w:rPr>
        <w:t xml:space="preserve">będzie </w:t>
      </w:r>
      <w:r w:rsidRPr="00743702">
        <w:t xml:space="preserve">odpowiednikiem § 5 rozporządzenia Ministra Sprawiedliwości z dnia 5 lipca 2017 r. w sprawie określenia </w:t>
      </w:r>
      <w:r w:rsidRPr="00743702">
        <w:rPr>
          <w:spacing w:val="-3"/>
        </w:rPr>
        <w:t>przedmiotów należących do rolnika prowadzącego gospodarstwo, które nie podlegają egzekucji. Tym samym przepis ten będzie wyrażał normę prawną, która została wyeliminowana z systemu prawnego wraz z wejściem w życie powołanej już ustawy z dnia 2 grudnia 2021 r. o zmianie ustawy – Kodeks postępowa</w:t>
      </w:r>
      <w:r>
        <w:rPr>
          <w:spacing w:val="-3"/>
        </w:rPr>
        <w:t>nia cywilnego</w:t>
      </w:r>
      <w:r w:rsidRPr="00743702">
        <w:rPr>
          <w:spacing w:val="-3"/>
        </w:rPr>
        <w:t xml:space="preserve">. W konsekwencji zatem, </w:t>
      </w:r>
      <w:r w:rsidRPr="00743702">
        <w:t xml:space="preserve">w przypadku równoczesnego skierowania egzekucji do wszystkich nieruchomości wchodzących w skład gospodarstwa rolnego </w:t>
      </w:r>
      <w:r w:rsidRPr="00743702">
        <w:lastRenderedPageBreak/>
        <w:t>prowadzonego przez dłużnika, wyłącz</w:t>
      </w:r>
      <w:r>
        <w:t xml:space="preserve">enia spod egzekucji określone w </w:t>
      </w:r>
      <w:r w:rsidRPr="00743702">
        <w:t>art. 829</w:t>
      </w:r>
      <w:r w:rsidRPr="00743702">
        <w:rPr>
          <w:vertAlign w:val="superscript"/>
        </w:rPr>
        <w:t>1</w:t>
      </w:r>
      <w:r w:rsidRPr="00743702">
        <w:t>–829</w:t>
      </w:r>
      <w:r w:rsidRPr="00743702">
        <w:rPr>
          <w:vertAlign w:val="superscript"/>
        </w:rPr>
        <w:t>4</w:t>
      </w:r>
      <w:r w:rsidRPr="00743702">
        <w:t xml:space="preserve"> nie będą znajdowały zastosowania (art. 1 projektu).</w:t>
      </w:r>
    </w:p>
    <w:p w:rsidR="00D93D74" w:rsidRPr="00743702" w:rsidRDefault="00D93D74" w:rsidP="00743702">
      <w:pPr>
        <w:spacing w:before="120"/>
        <w:ind w:firstLine="510"/>
      </w:pPr>
      <w:r w:rsidRPr="00743702">
        <w:t>Zmiana zaproponowana w art. 2 projektowanej ustawy sprowadza się do usunięcia zawartego w art. 6 ust. 3 ustawy z dnia 9 listopada 2018 r. o restrukturyzacji zadłużenia podmiotów prowadzących gospodarstwa rolne warunku związanego z wpisem hipoteki na pierwszym miejscu, co powinno przyczynić się do szerszego stosowania przez Krajowy Ośrodek Wsparcia Rolnictwa instrumentu w postaci gwarancji spłaty kredytu restrukturyzacyjnego na rzecz banku, z którym podmiot prowadzący gospodarstwo rolne zawarł warunkową umowę kredytu restrukturyzacyjnego.</w:t>
      </w:r>
    </w:p>
    <w:p w:rsidR="00D93D74" w:rsidRPr="00743702" w:rsidRDefault="00D93D74" w:rsidP="00743702">
      <w:pPr>
        <w:spacing w:before="120"/>
        <w:ind w:firstLine="510"/>
      </w:pPr>
      <w:r w:rsidRPr="00743702">
        <w:t xml:space="preserve">Przepis </w:t>
      </w:r>
      <w:r w:rsidRPr="00743702">
        <w:rPr>
          <w:spacing w:val="-3"/>
        </w:rPr>
        <w:t>przejściowy</w:t>
      </w:r>
      <w:r w:rsidRPr="00743702">
        <w:t xml:space="preserve"> (art. 3 projektu) zakłada, że rozwiązanie przewidziane w art. 829</w:t>
      </w:r>
      <w:r w:rsidRPr="00743702">
        <w:rPr>
          <w:vertAlign w:val="superscript"/>
        </w:rPr>
        <w:t>5</w:t>
      </w:r>
      <w:r w:rsidRPr="00743702">
        <w:t xml:space="preserve"> k.p.c. znajdzie zastosowanie do postępowań egzekucyjnych wszczętych i niezakończonych przed dniem wejścia w życie ustawy nowelizującej.</w:t>
      </w:r>
    </w:p>
    <w:p w:rsidR="00D93D74" w:rsidRPr="00743702" w:rsidRDefault="00D93D74" w:rsidP="00743702">
      <w:pPr>
        <w:spacing w:before="120"/>
        <w:ind w:firstLine="510"/>
      </w:pPr>
      <w:r w:rsidRPr="00743702">
        <w:t xml:space="preserve">Zgodnie z art. 4 </w:t>
      </w:r>
      <w:r w:rsidRPr="00743702">
        <w:rPr>
          <w:spacing w:val="-3"/>
        </w:rPr>
        <w:t>projektu</w:t>
      </w:r>
      <w:r w:rsidRPr="00743702">
        <w:t>, nowe przepisy wejdą w życie po upływie standardowego okresu spoczywania ustawy przewidzianego w art. 4 ust. 1 ustawy z dnia 20 lipca 2000 r. o ogłaszaniu aktów normatywnych i niektórych innych aktów prawnych (Dz. U. z 2019 r. poz. 1461).</w:t>
      </w:r>
    </w:p>
    <w:p w:rsidR="00D93D74" w:rsidRPr="00743702" w:rsidRDefault="00D93D74" w:rsidP="00743702"/>
    <w:p w:rsidR="00D93D74" w:rsidRPr="00743702" w:rsidRDefault="00D93D74" w:rsidP="00743702">
      <w:pPr>
        <w:widowControl/>
        <w:autoSpaceDE/>
        <w:autoSpaceDN/>
        <w:adjustRightInd/>
        <w:ind w:left="510" w:hanging="510"/>
        <w:rPr>
          <w:rFonts w:ascii="Times" w:hAnsi="Times"/>
          <w:b/>
          <w:bCs/>
          <w:lang w:eastAsia="en-US"/>
        </w:rPr>
      </w:pPr>
      <w:r w:rsidRPr="00743702">
        <w:rPr>
          <w:rFonts w:ascii="Times" w:hAnsi="Times"/>
          <w:b/>
          <w:bCs/>
          <w:lang w:eastAsia="en-US"/>
        </w:rPr>
        <w:t>3.</w:t>
      </w:r>
      <w:r w:rsidRPr="00743702">
        <w:rPr>
          <w:rFonts w:ascii="Times" w:hAnsi="Times"/>
          <w:b/>
          <w:bCs/>
          <w:lang w:eastAsia="en-US"/>
        </w:rPr>
        <w:tab/>
        <w:t>Skutki społeczne, gospodarcze i finansowe</w:t>
      </w:r>
    </w:p>
    <w:p w:rsidR="00D93D74" w:rsidRPr="00743702" w:rsidRDefault="00D93D74" w:rsidP="00743702">
      <w:pPr>
        <w:spacing w:before="120"/>
        <w:ind w:firstLine="510"/>
      </w:pPr>
      <w:r w:rsidRPr="00743702">
        <w:t>Oczekiwane skutki społeczne, gospodarcze i finansowe zostały przedstawione w Ocenie Skutków Regulacji.</w:t>
      </w:r>
    </w:p>
    <w:p w:rsidR="00D93D74" w:rsidRPr="00743702" w:rsidRDefault="00D93D74" w:rsidP="00743702"/>
    <w:p w:rsidR="00D93D74" w:rsidRPr="00743702" w:rsidRDefault="00D93D74" w:rsidP="00743702">
      <w:pPr>
        <w:widowControl/>
        <w:autoSpaceDE/>
        <w:autoSpaceDN/>
        <w:adjustRightInd/>
        <w:ind w:left="510" w:hanging="510"/>
        <w:rPr>
          <w:rFonts w:ascii="Times" w:hAnsi="Times"/>
          <w:b/>
          <w:bCs/>
          <w:lang w:eastAsia="en-US"/>
        </w:rPr>
      </w:pPr>
      <w:r w:rsidRPr="00743702">
        <w:rPr>
          <w:rFonts w:ascii="Times" w:hAnsi="Times"/>
          <w:b/>
          <w:bCs/>
          <w:lang w:eastAsia="en-US"/>
        </w:rPr>
        <w:t>4.</w:t>
      </w:r>
      <w:r w:rsidRPr="00743702">
        <w:rPr>
          <w:rFonts w:ascii="Times" w:hAnsi="Times"/>
          <w:b/>
          <w:bCs/>
          <w:lang w:eastAsia="en-US"/>
        </w:rPr>
        <w:tab/>
        <w:t>Oświadczenie o zgodności z prawem Unii Europejskiej</w:t>
      </w:r>
    </w:p>
    <w:p w:rsidR="00D93D74" w:rsidRPr="00743702" w:rsidRDefault="00D93D74" w:rsidP="00743702">
      <w:pPr>
        <w:spacing w:before="120"/>
        <w:ind w:firstLine="510"/>
      </w:pPr>
      <w:r w:rsidRPr="00743702">
        <w:t>Projekt ustawy jest zgodny z prawem Unii Europejskiej.</w:t>
      </w:r>
    </w:p>
    <w:p w:rsidR="00D93D74" w:rsidRPr="00C92024" w:rsidRDefault="00D93D74" w:rsidP="00743702">
      <w:pPr>
        <w:rPr>
          <w:rStyle w:val="Ppogrubienie"/>
          <w:spacing w:val="40"/>
        </w:rPr>
      </w:pPr>
    </w:p>
    <w:p w:rsidR="00710C4A" w:rsidRPr="00754C80" w:rsidRDefault="00710C4A" w:rsidP="00710C4A">
      <w:pPr>
        <w:widowControl/>
        <w:tabs>
          <w:tab w:val="center" w:pos="6237"/>
        </w:tabs>
        <w:autoSpaceDE/>
        <w:adjustRightInd/>
        <w:spacing w:line="240" w:lineRule="auto"/>
        <w:ind w:right="-2"/>
      </w:pPr>
    </w:p>
    <w:p w:rsidR="00C70646" w:rsidRPr="00621566" w:rsidRDefault="00C70646" w:rsidP="00C70646"/>
    <w:p w:rsidR="00C70646" w:rsidRPr="001B342E" w:rsidRDefault="00C70646" w:rsidP="00C70646"/>
    <w:sectPr w:rsidR="00C70646" w:rsidRPr="001B342E" w:rsidSect="00D93D74">
      <w:headerReference w:type="default" r:id="rId7"/>
      <w:pgSz w:w="11906" w:h="16838"/>
      <w:pgMar w:top="1418" w:right="1435" w:bottom="1418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FFB" w:rsidRDefault="00263FFB">
      <w:r>
        <w:separator/>
      </w:r>
    </w:p>
  </w:endnote>
  <w:endnote w:type="continuationSeparator" w:id="0">
    <w:p w:rsidR="00263FFB" w:rsidRDefault="0026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FFB" w:rsidRDefault="00263FFB">
      <w:r>
        <w:separator/>
      </w:r>
    </w:p>
  </w:footnote>
  <w:footnote w:type="continuationSeparator" w:id="0">
    <w:p w:rsidR="00263FFB" w:rsidRDefault="00263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4FA" w:rsidRPr="00B371CC" w:rsidRDefault="007204FA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3757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CAD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87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E7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7E3D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EA7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AA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2E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012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60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76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93FCB"/>
    <w:multiLevelType w:val="hybridMultilevel"/>
    <w:tmpl w:val="45ECF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5711CE1"/>
    <w:multiLevelType w:val="hybridMultilevel"/>
    <w:tmpl w:val="A1386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1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2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3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4A"/>
    <w:rsid w:val="000012DA"/>
    <w:rsid w:val="0000246E"/>
    <w:rsid w:val="00012A35"/>
    <w:rsid w:val="00016099"/>
    <w:rsid w:val="00017DC2"/>
    <w:rsid w:val="00023471"/>
    <w:rsid w:val="00023F13"/>
    <w:rsid w:val="00030634"/>
    <w:rsid w:val="0003362F"/>
    <w:rsid w:val="00037E1A"/>
    <w:rsid w:val="00047312"/>
    <w:rsid w:val="0005339C"/>
    <w:rsid w:val="0005571B"/>
    <w:rsid w:val="00057AB3"/>
    <w:rsid w:val="00060076"/>
    <w:rsid w:val="00060432"/>
    <w:rsid w:val="00060D87"/>
    <w:rsid w:val="00064E4C"/>
    <w:rsid w:val="00066901"/>
    <w:rsid w:val="000736CD"/>
    <w:rsid w:val="0007533B"/>
    <w:rsid w:val="000760BF"/>
    <w:rsid w:val="0007613E"/>
    <w:rsid w:val="000814A7"/>
    <w:rsid w:val="0008557B"/>
    <w:rsid w:val="00091BA2"/>
    <w:rsid w:val="000944EF"/>
    <w:rsid w:val="000973F0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D318A"/>
    <w:rsid w:val="000D6173"/>
    <w:rsid w:val="000E25CC"/>
    <w:rsid w:val="000E72BC"/>
    <w:rsid w:val="000F3D0D"/>
    <w:rsid w:val="000F6ED4"/>
    <w:rsid w:val="000F7A6E"/>
    <w:rsid w:val="00101307"/>
    <w:rsid w:val="001042BA"/>
    <w:rsid w:val="00106D03"/>
    <w:rsid w:val="00110465"/>
    <w:rsid w:val="00110628"/>
    <w:rsid w:val="0011245A"/>
    <w:rsid w:val="0011493E"/>
    <w:rsid w:val="00115B72"/>
    <w:rsid w:val="00120A9E"/>
    <w:rsid w:val="00125A9C"/>
    <w:rsid w:val="00134CA0"/>
    <w:rsid w:val="0014026F"/>
    <w:rsid w:val="0015742A"/>
    <w:rsid w:val="00164C57"/>
    <w:rsid w:val="00164C9D"/>
    <w:rsid w:val="00172F7A"/>
    <w:rsid w:val="00173150"/>
    <w:rsid w:val="00173BB3"/>
    <w:rsid w:val="001740D0"/>
    <w:rsid w:val="00174F2C"/>
    <w:rsid w:val="00180F2A"/>
    <w:rsid w:val="00186E4C"/>
    <w:rsid w:val="00186EC1"/>
    <w:rsid w:val="00191E1F"/>
    <w:rsid w:val="00197649"/>
    <w:rsid w:val="001A10E9"/>
    <w:rsid w:val="001A183D"/>
    <w:rsid w:val="001A3CD3"/>
    <w:rsid w:val="001A5BEF"/>
    <w:rsid w:val="001A7F15"/>
    <w:rsid w:val="001B342E"/>
    <w:rsid w:val="001C1832"/>
    <w:rsid w:val="001C188C"/>
    <w:rsid w:val="001D1783"/>
    <w:rsid w:val="001D55A3"/>
    <w:rsid w:val="001E4E0C"/>
    <w:rsid w:val="001E526D"/>
    <w:rsid w:val="001F220F"/>
    <w:rsid w:val="001F6616"/>
    <w:rsid w:val="00202BD4"/>
    <w:rsid w:val="00204A97"/>
    <w:rsid w:val="002114EF"/>
    <w:rsid w:val="00212184"/>
    <w:rsid w:val="002166AD"/>
    <w:rsid w:val="00217871"/>
    <w:rsid w:val="00221ED8"/>
    <w:rsid w:val="00223FDF"/>
    <w:rsid w:val="002279C0"/>
    <w:rsid w:val="00242081"/>
    <w:rsid w:val="002501A3"/>
    <w:rsid w:val="0025166C"/>
    <w:rsid w:val="00263FFB"/>
    <w:rsid w:val="00264EC6"/>
    <w:rsid w:val="00271013"/>
    <w:rsid w:val="002765B4"/>
    <w:rsid w:val="00276A94"/>
    <w:rsid w:val="0029405D"/>
    <w:rsid w:val="00295A6F"/>
    <w:rsid w:val="002A20C4"/>
    <w:rsid w:val="002A570F"/>
    <w:rsid w:val="002A7358"/>
    <w:rsid w:val="002A7902"/>
    <w:rsid w:val="002B0F6B"/>
    <w:rsid w:val="002B23B8"/>
    <w:rsid w:val="002B68A6"/>
    <w:rsid w:val="002E1DE3"/>
    <w:rsid w:val="002E2AB6"/>
    <w:rsid w:val="002E3F34"/>
    <w:rsid w:val="002E64FA"/>
    <w:rsid w:val="002F0A00"/>
    <w:rsid w:val="002F669F"/>
    <w:rsid w:val="0031004C"/>
    <w:rsid w:val="003113BE"/>
    <w:rsid w:val="003148FD"/>
    <w:rsid w:val="00321080"/>
    <w:rsid w:val="00325A1F"/>
    <w:rsid w:val="00330BAF"/>
    <w:rsid w:val="00334E3A"/>
    <w:rsid w:val="003361DD"/>
    <w:rsid w:val="00354EB9"/>
    <w:rsid w:val="00360929"/>
    <w:rsid w:val="003674B0"/>
    <w:rsid w:val="0037727C"/>
    <w:rsid w:val="00380904"/>
    <w:rsid w:val="003823EE"/>
    <w:rsid w:val="00382960"/>
    <w:rsid w:val="003846F7"/>
    <w:rsid w:val="00385B39"/>
    <w:rsid w:val="00386785"/>
    <w:rsid w:val="00391B1A"/>
    <w:rsid w:val="00394423"/>
    <w:rsid w:val="00396942"/>
    <w:rsid w:val="00396B49"/>
    <w:rsid w:val="00396E3E"/>
    <w:rsid w:val="003A306E"/>
    <w:rsid w:val="003A6A46"/>
    <w:rsid w:val="003A7A63"/>
    <w:rsid w:val="003B0F1D"/>
    <w:rsid w:val="003C0AD9"/>
    <w:rsid w:val="003C0ED0"/>
    <w:rsid w:val="003C35C4"/>
    <w:rsid w:val="003D31B9"/>
    <w:rsid w:val="003E2DA3"/>
    <w:rsid w:val="003F03D9"/>
    <w:rsid w:val="003F2FBE"/>
    <w:rsid w:val="00401C84"/>
    <w:rsid w:val="004035BB"/>
    <w:rsid w:val="004140F2"/>
    <w:rsid w:val="00421085"/>
    <w:rsid w:val="00424DF7"/>
    <w:rsid w:val="00432B76"/>
    <w:rsid w:val="00435D26"/>
    <w:rsid w:val="00440C99"/>
    <w:rsid w:val="00445F4D"/>
    <w:rsid w:val="004504C0"/>
    <w:rsid w:val="00462946"/>
    <w:rsid w:val="00464B94"/>
    <w:rsid w:val="004653A8"/>
    <w:rsid w:val="00465A0B"/>
    <w:rsid w:val="0047077C"/>
    <w:rsid w:val="00472CD6"/>
    <w:rsid w:val="00480A58"/>
    <w:rsid w:val="00485FAD"/>
    <w:rsid w:val="00492A3F"/>
    <w:rsid w:val="00494F62"/>
    <w:rsid w:val="004B00A7"/>
    <w:rsid w:val="004B25E2"/>
    <w:rsid w:val="004B34D7"/>
    <w:rsid w:val="004B5037"/>
    <w:rsid w:val="004B5B2F"/>
    <w:rsid w:val="004B626A"/>
    <w:rsid w:val="004B6AAB"/>
    <w:rsid w:val="004C05BD"/>
    <w:rsid w:val="004C3F97"/>
    <w:rsid w:val="004D2E1F"/>
    <w:rsid w:val="004D7FD9"/>
    <w:rsid w:val="004E1324"/>
    <w:rsid w:val="004E37E5"/>
    <w:rsid w:val="004E3FDB"/>
    <w:rsid w:val="004F296D"/>
    <w:rsid w:val="004F508B"/>
    <w:rsid w:val="004F695F"/>
    <w:rsid w:val="00500752"/>
    <w:rsid w:val="00501A50"/>
    <w:rsid w:val="0050222D"/>
    <w:rsid w:val="005067C5"/>
    <w:rsid w:val="0050696D"/>
    <w:rsid w:val="00511D99"/>
    <w:rsid w:val="005128D3"/>
    <w:rsid w:val="005158F2"/>
    <w:rsid w:val="00526DFC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35ED"/>
    <w:rsid w:val="00570191"/>
    <w:rsid w:val="00570570"/>
    <w:rsid w:val="00572512"/>
    <w:rsid w:val="00573EE6"/>
    <w:rsid w:val="0057547F"/>
    <w:rsid w:val="0057617E"/>
    <w:rsid w:val="00576497"/>
    <w:rsid w:val="005835E7"/>
    <w:rsid w:val="0058397F"/>
    <w:rsid w:val="00585F33"/>
    <w:rsid w:val="00597024"/>
    <w:rsid w:val="005A669D"/>
    <w:rsid w:val="005A75D8"/>
    <w:rsid w:val="005B713E"/>
    <w:rsid w:val="005C03B6"/>
    <w:rsid w:val="005D3763"/>
    <w:rsid w:val="005D55E1"/>
    <w:rsid w:val="005E19F7"/>
    <w:rsid w:val="005E62C2"/>
    <w:rsid w:val="005F0349"/>
    <w:rsid w:val="005F2EBA"/>
    <w:rsid w:val="005F35ED"/>
    <w:rsid w:val="005F7A88"/>
    <w:rsid w:val="006046D5"/>
    <w:rsid w:val="00610C08"/>
    <w:rsid w:val="00615772"/>
    <w:rsid w:val="00621256"/>
    <w:rsid w:val="00622E4B"/>
    <w:rsid w:val="00635134"/>
    <w:rsid w:val="00642A65"/>
    <w:rsid w:val="00645DCE"/>
    <w:rsid w:val="006465AC"/>
    <w:rsid w:val="00653B22"/>
    <w:rsid w:val="00657BF4"/>
    <w:rsid w:val="006623AC"/>
    <w:rsid w:val="006678AF"/>
    <w:rsid w:val="00680058"/>
    <w:rsid w:val="006840EA"/>
    <w:rsid w:val="00685267"/>
    <w:rsid w:val="006872AE"/>
    <w:rsid w:val="006946BB"/>
    <w:rsid w:val="006969FA"/>
    <w:rsid w:val="006C4A31"/>
    <w:rsid w:val="006D45B2"/>
    <w:rsid w:val="006E0FCC"/>
    <w:rsid w:val="006E5E21"/>
    <w:rsid w:val="006F2648"/>
    <w:rsid w:val="006F2F10"/>
    <w:rsid w:val="006F482B"/>
    <w:rsid w:val="006F6311"/>
    <w:rsid w:val="0070277E"/>
    <w:rsid w:val="00710C4A"/>
    <w:rsid w:val="00711221"/>
    <w:rsid w:val="00712675"/>
    <w:rsid w:val="00713808"/>
    <w:rsid w:val="007151B6"/>
    <w:rsid w:val="0071520D"/>
    <w:rsid w:val="00715EDB"/>
    <w:rsid w:val="007160D5"/>
    <w:rsid w:val="00717C2E"/>
    <w:rsid w:val="007204FA"/>
    <w:rsid w:val="0072457F"/>
    <w:rsid w:val="0072621B"/>
    <w:rsid w:val="00730555"/>
    <w:rsid w:val="007312CC"/>
    <w:rsid w:val="007410B6"/>
    <w:rsid w:val="00744C6F"/>
    <w:rsid w:val="00745ABB"/>
    <w:rsid w:val="00746E38"/>
    <w:rsid w:val="00753B51"/>
    <w:rsid w:val="00757B4F"/>
    <w:rsid w:val="0076260A"/>
    <w:rsid w:val="00764A67"/>
    <w:rsid w:val="00770F6B"/>
    <w:rsid w:val="00771883"/>
    <w:rsid w:val="00776DC2"/>
    <w:rsid w:val="00780122"/>
    <w:rsid w:val="0078214B"/>
    <w:rsid w:val="00792207"/>
    <w:rsid w:val="00792B64"/>
    <w:rsid w:val="00792E29"/>
    <w:rsid w:val="007A5150"/>
    <w:rsid w:val="007A5373"/>
    <w:rsid w:val="007B75BC"/>
    <w:rsid w:val="007C0BD6"/>
    <w:rsid w:val="007C3806"/>
    <w:rsid w:val="007C5BB7"/>
    <w:rsid w:val="007D1C64"/>
    <w:rsid w:val="007D32C4"/>
    <w:rsid w:val="007D6DCE"/>
    <w:rsid w:val="007E2CFE"/>
    <w:rsid w:val="007F0072"/>
    <w:rsid w:val="007F2EB6"/>
    <w:rsid w:val="007F54C3"/>
    <w:rsid w:val="00802949"/>
    <w:rsid w:val="00812BE5"/>
    <w:rsid w:val="00817429"/>
    <w:rsid w:val="00827820"/>
    <w:rsid w:val="00831B8B"/>
    <w:rsid w:val="008352D4"/>
    <w:rsid w:val="008415B0"/>
    <w:rsid w:val="00842028"/>
    <w:rsid w:val="008460B6"/>
    <w:rsid w:val="00852B59"/>
    <w:rsid w:val="008611DD"/>
    <w:rsid w:val="00866867"/>
    <w:rsid w:val="00872257"/>
    <w:rsid w:val="0087738C"/>
    <w:rsid w:val="008802AF"/>
    <w:rsid w:val="0088318F"/>
    <w:rsid w:val="0088331D"/>
    <w:rsid w:val="008852B0"/>
    <w:rsid w:val="00885AE7"/>
    <w:rsid w:val="00886B60"/>
    <w:rsid w:val="00887889"/>
    <w:rsid w:val="008920FF"/>
    <w:rsid w:val="00896A10"/>
    <w:rsid w:val="008971B5"/>
    <w:rsid w:val="008A5D26"/>
    <w:rsid w:val="008A6B13"/>
    <w:rsid w:val="008B3859"/>
    <w:rsid w:val="008B4E49"/>
    <w:rsid w:val="008B7B26"/>
    <w:rsid w:val="008C4229"/>
    <w:rsid w:val="008C5BE0"/>
    <w:rsid w:val="008C7233"/>
    <w:rsid w:val="008D2434"/>
    <w:rsid w:val="008E171D"/>
    <w:rsid w:val="008E2785"/>
    <w:rsid w:val="008F0654"/>
    <w:rsid w:val="008F06CB"/>
    <w:rsid w:val="008F612A"/>
    <w:rsid w:val="0090293D"/>
    <w:rsid w:val="009034DE"/>
    <w:rsid w:val="0090354A"/>
    <w:rsid w:val="0090605D"/>
    <w:rsid w:val="00912889"/>
    <w:rsid w:val="00913A42"/>
    <w:rsid w:val="009143DB"/>
    <w:rsid w:val="00917CE5"/>
    <w:rsid w:val="00925241"/>
    <w:rsid w:val="00925CEC"/>
    <w:rsid w:val="0092794E"/>
    <w:rsid w:val="009332A2"/>
    <w:rsid w:val="0093790B"/>
    <w:rsid w:val="00946DD0"/>
    <w:rsid w:val="00952018"/>
    <w:rsid w:val="00952800"/>
    <w:rsid w:val="0095300D"/>
    <w:rsid w:val="00956812"/>
    <w:rsid w:val="0095719A"/>
    <w:rsid w:val="009623E9"/>
    <w:rsid w:val="009648BC"/>
    <w:rsid w:val="00965F88"/>
    <w:rsid w:val="00984E03"/>
    <w:rsid w:val="00987E85"/>
    <w:rsid w:val="009A0D12"/>
    <w:rsid w:val="009A1987"/>
    <w:rsid w:val="009A2BEE"/>
    <w:rsid w:val="009A5289"/>
    <w:rsid w:val="009B0402"/>
    <w:rsid w:val="009B0B75"/>
    <w:rsid w:val="009B16DF"/>
    <w:rsid w:val="009B6EF7"/>
    <w:rsid w:val="009B7000"/>
    <w:rsid w:val="009B739C"/>
    <w:rsid w:val="009C4444"/>
    <w:rsid w:val="009C7CA6"/>
    <w:rsid w:val="009D3316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4769"/>
    <w:rsid w:val="00A16151"/>
    <w:rsid w:val="00A16EC6"/>
    <w:rsid w:val="00A17C06"/>
    <w:rsid w:val="00A21706"/>
    <w:rsid w:val="00A24FCC"/>
    <w:rsid w:val="00A26A90"/>
    <w:rsid w:val="00A26B27"/>
    <w:rsid w:val="00A27C2C"/>
    <w:rsid w:val="00A3310E"/>
    <w:rsid w:val="00A333A0"/>
    <w:rsid w:val="00A37E70"/>
    <w:rsid w:val="00A437E1"/>
    <w:rsid w:val="00A4685E"/>
    <w:rsid w:val="00A50CD4"/>
    <w:rsid w:val="00A5762C"/>
    <w:rsid w:val="00A600FC"/>
    <w:rsid w:val="00A60BCA"/>
    <w:rsid w:val="00A638DA"/>
    <w:rsid w:val="00A65E00"/>
    <w:rsid w:val="00A66A78"/>
    <w:rsid w:val="00A7436E"/>
    <w:rsid w:val="00A74E96"/>
    <w:rsid w:val="00A75A8E"/>
    <w:rsid w:val="00A83676"/>
    <w:rsid w:val="00A83B7B"/>
    <w:rsid w:val="00A850F3"/>
    <w:rsid w:val="00A864E3"/>
    <w:rsid w:val="00A95936"/>
    <w:rsid w:val="00A96265"/>
    <w:rsid w:val="00A97084"/>
    <w:rsid w:val="00AA1C2C"/>
    <w:rsid w:val="00AA6E91"/>
    <w:rsid w:val="00AB047E"/>
    <w:rsid w:val="00AB0B0A"/>
    <w:rsid w:val="00AB0BB7"/>
    <w:rsid w:val="00AB22C6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425"/>
    <w:rsid w:val="00AE650F"/>
    <w:rsid w:val="00AE7D16"/>
    <w:rsid w:val="00AF4CAA"/>
    <w:rsid w:val="00AF571A"/>
    <w:rsid w:val="00B07700"/>
    <w:rsid w:val="00B1528C"/>
    <w:rsid w:val="00B21487"/>
    <w:rsid w:val="00B24DB5"/>
    <w:rsid w:val="00B31F9E"/>
    <w:rsid w:val="00B3268F"/>
    <w:rsid w:val="00B33A1A"/>
    <w:rsid w:val="00B371CC"/>
    <w:rsid w:val="00B41CD9"/>
    <w:rsid w:val="00B427E6"/>
    <w:rsid w:val="00B43E1F"/>
    <w:rsid w:val="00B45FBC"/>
    <w:rsid w:val="00B51A7D"/>
    <w:rsid w:val="00B535C2"/>
    <w:rsid w:val="00B55544"/>
    <w:rsid w:val="00B642FC"/>
    <w:rsid w:val="00B70E22"/>
    <w:rsid w:val="00B774CB"/>
    <w:rsid w:val="00B80402"/>
    <w:rsid w:val="00B80B9A"/>
    <w:rsid w:val="00B830B7"/>
    <w:rsid w:val="00B84B2B"/>
    <w:rsid w:val="00B935A4"/>
    <w:rsid w:val="00BB1E19"/>
    <w:rsid w:val="00BB21D1"/>
    <w:rsid w:val="00BB32F2"/>
    <w:rsid w:val="00BB4338"/>
    <w:rsid w:val="00BB6C0E"/>
    <w:rsid w:val="00BC52FD"/>
    <w:rsid w:val="00BC6E62"/>
    <w:rsid w:val="00BC7443"/>
    <w:rsid w:val="00BD0648"/>
    <w:rsid w:val="00BD1040"/>
    <w:rsid w:val="00BD34AA"/>
    <w:rsid w:val="00BE41EC"/>
    <w:rsid w:val="00BE56FB"/>
    <w:rsid w:val="00BF3DDE"/>
    <w:rsid w:val="00BF6589"/>
    <w:rsid w:val="00BF6F7F"/>
    <w:rsid w:val="00C00647"/>
    <w:rsid w:val="00C02764"/>
    <w:rsid w:val="00C04CEF"/>
    <w:rsid w:val="00C12E96"/>
    <w:rsid w:val="00C236C8"/>
    <w:rsid w:val="00C260B1"/>
    <w:rsid w:val="00C26E56"/>
    <w:rsid w:val="00C31406"/>
    <w:rsid w:val="00C40637"/>
    <w:rsid w:val="00C40F6C"/>
    <w:rsid w:val="00C44426"/>
    <w:rsid w:val="00C451F4"/>
    <w:rsid w:val="00C45EB1"/>
    <w:rsid w:val="00C54A3A"/>
    <w:rsid w:val="00C55566"/>
    <w:rsid w:val="00C70646"/>
    <w:rsid w:val="00C72223"/>
    <w:rsid w:val="00C76417"/>
    <w:rsid w:val="00C7726F"/>
    <w:rsid w:val="00C823DA"/>
    <w:rsid w:val="00C8259F"/>
    <w:rsid w:val="00C844AB"/>
    <w:rsid w:val="00C84C47"/>
    <w:rsid w:val="00C86AFA"/>
    <w:rsid w:val="00CB24F5"/>
    <w:rsid w:val="00CB2663"/>
    <w:rsid w:val="00CB59E9"/>
    <w:rsid w:val="00CC0D6A"/>
    <w:rsid w:val="00CC3831"/>
    <w:rsid w:val="00CD5973"/>
    <w:rsid w:val="00CE31A6"/>
    <w:rsid w:val="00CF09AA"/>
    <w:rsid w:val="00CF4813"/>
    <w:rsid w:val="00CF5233"/>
    <w:rsid w:val="00D029B8"/>
    <w:rsid w:val="00D02F60"/>
    <w:rsid w:val="00D07A7B"/>
    <w:rsid w:val="00D10E06"/>
    <w:rsid w:val="00D16820"/>
    <w:rsid w:val="00D32721"/>
    <w:rsid w:val="00D328DC"/>
    <w:rsid w:val="00D402FB"/>
    <w:rsid w:val="00D47D7A"/>
    <w:rsid w:val="00D6046A"/>
    <w:rsid w:val="00D676F3"/>
    <w:rsid w:val="00D70EF5"/>
    <w:rsid w:val="00D71A25"/>
    <w:rsid w:val="00D71FCF"/>
    <w:rsid w:val="00D72A54"/>
    <w:rsid w:val="00D72CC1"/>
    <w:rsid w:val="00D80E7D"/>
    <w:rsid w:val="00D81397"/>
    <w:rsid w:val="00D848B9"/>
    <w:rsid w:val="00D90E69"/>
    <w:rsid w:val="00D93106"/>
    <w:rsid w:val="00D933E9"/>
    <w:rsid w:val="00D93D74"/>
    <w:rsid w:val="00D9505D"/>
    <w:rsid w:val="00D953D0"/>
    <w:rsid w:val="00D959F5"/>
    <w:rsid w:val="00DB1AD2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590F"/>
    <w:rsid w:val="00DE7DC1"/>
    <w:rsid w:val="00DF7648"/>
    <w:rsid w:val="00E02BAB"/>
    <w:rsid w:val="00E04CEB"/>
    <w:rsid w:val="00E060BC"/>
    <w:rsid w:val="00E11420"/>
    <w:rsid w:val="00E170B7"/>
    <w:rsid w:val="00E177DD"/>
    <w:rsid w:val="00E20900"/>
    <w:rsid w:val="00E20C7F"/>
    <w:rsid w:val="00E2396E"/>
    <w:rsid w:val="00E34A35"/>
    <w:rsid w:val="00E46308"/>
    <w:rsid w:val="00E51E17"/>
    <w:rsid w:val="00E539B0"/>
    <w:rsid w:val="00E55994"/>
    <w:rsid w:val="00E6164D"/>
    <w:rsid w:val="00E618C9"/>
    <w:rsid w:val="00E6307C"/>
    <w:rsid w:val="00E636FA"/>
    <w:rsid w:val="00E66C50"/>
    <w:rsid w:val="00E679D3"/>
    <w:rsid w:val="00E71208"/>
    <w:rsid w:val="00E71444"/>
    <w:rsid w:val="00E773E8"/>
    <w:rsid w:val="00E84F38"/>
    <w:rsid w:val="00E85623"/>
    <w:rsid w:val="00E91FAE"/>
    <w:rsid w:val="00E936D1"/>
    <w:rsid w:val="00E96E3F"/>
    <w:rsid w:val="00EA532E"/>
    <w:rsid w:val="00EB19ED"/>
    <w:rsid w:val="00EC4CEB"/>
    <w:rsid w:val="00ED2072"/>
    <w:rsid w:val="00ED5553"/>
    <w:rsid w:val="00ED5E36"/>
    <w:rsid w:val="00ED6961"/>
    <w:rsid w:val="00EF0B96"/>
    <w:rsid w:val="00EF47AF"/>
    <w:rsid w:val="00F00B73"/>
    <w:rsid w:val="00F115CA"/>
    <w:rsid w:val="00F1510F"/>
    <w:rsid w:val="00F15E5A"/>
    <w:rsid w:val="00F17F0A"/>
    <w:rsid w:val="00F2668F"/>
    <w:rsid w:val="00F340B2"/>
    <w:rsid w:val="00F37575"/>
    <w:rsid w:val="00F43390"/>
    <w:rsid w:val="00F50237"/>
    <w:rsid w:val="00F53596"/>
    <w:rsid w:val="00F55BA8"/>
    <w:rsid w:val="00F56ACA"/>
    <w:rsid w:val="00F600FE"/>
    <w:rsid w:val="00F62E4D"/>
    <w:rsid w:val="00F711C9"/>
    <w:rsid w:val="00F831CB"/>
    <w:rsid w:val="00F848A3"/>
    <w:rsid w:val="00F85BF8"/>
    <w:rsid w:val="00F871CE"/>
    <w:rsid w:val="00F87802"/>
    <w:rsid w:val="00F92C0A"/>
    <w:rsid w:val="00F9415B"/>
    <w:rsid w:val="00FA13C2"/>
    <w:rsid w:val="00FB121C"/>
    <w:rsid w:val="00FB2C2F"/>
    <w:rsid w:val="00FB305C"/>
    <w:rsid w:val="00FC2E3D"/>
    <w:rsid w:val="00FD27B6"/>
    <w:rsid w:val="00FD3689"/>
    <w:rsid w:val="00FD42A3"/>
    <w:rsid w:val="00FD7468"/>
    <w:rsid w:val="00FD7CE0"/>
    <w:rsid w:val="00FE1BE2"/>
    <w:rsid w:val="00FE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22E15A-ED2C-4AD5-8EA1-3E6B025E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C4A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217871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217871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217871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217871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uiPriority w:val="37"/>
    <w:rsid w:val="00BC7443"/>
    <w:rPr>
      <w:rFonts w:eastAsiaTheme="minorEastAsia" w:cs="Arial"/>
      <w:bCs/>
      <w:szCs w:val="20"/>
    </w:rPr>
  </w:style>
  <w:style w:type="character" w:customStyle="1" w:styleId="2TIRpodwjnytiretZnak">
    <w:name w:val="2TIR – podwójny tiret Znak"/>
    <w:basedOn w:val="TIRtiretZnak"/>
    <w:link w:val="2TIRpodwjnytiret"/>
    <w:uiPriority w:val="71"/>
    <w:rsid w:val="00217871"/>
    <w:rPr>
      <w:rFonts w:eastAsiaTheme="minorEastAsia" w:cs="Arial"/>
      <w:bCs/>
      <w:szCs w:val="20"/>
    </w:r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217871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217871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217871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217871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217871"/>
    <w:rPr>
      <w:rFonts w:eastAsiaTheme="minorEastAsia" w:cs="Arial"/>
      <w:szCs w:val="20"/>
    </w:rPr>
  </w:style>
  <w:style w:type="character" w:customStyle="1" w:styleId="nowelaZnak">
    <w:name w:val="nowela Znak"/>
    <w:basedOn w:val="ARTartustawynprozporzdzeniaZnak"/>
    <w:link w:val="nowela"/>
    <w:uiPriority w:val="99"/>
    <w:semiHidden/>
    <w:locked/>
    <w:rsid w:val="004504C0"/>
    <w:rPr>
      <w:rFonts w:eastAsiaTheme="minorEastAsia" w:cs="Arial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217871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1787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217871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217871"/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217871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217871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2A570F"/>
    <w:pPr>
      <w:keepNext/>
      <w:suppressAutoHyphens/>
      <w:spacing w:before="120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uiPriority w:val="5"/>
    <w:rsid w:val="002A57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217871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217871"/>
    <w:rPr>
      <w:rFonts w:eastAsiaTheme="minorEastAsia" w:cs="Arial"/>
      <w:bCs/>
      <w:szCs w:val="20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2A570F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2A57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217871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217871"/>
    <w:rPr>
      <w:rFonts w:eastAsiaTheme="minorEastAsia" w:cs="Arial"/>
      <w:bCs/>
      <w:szCs w:val="20"/>
    </w:rPr>
  </w:style>
  <w:style w:type="paragraph" w:customStyle="1" w:styleId="PKTpunkt">
    <w:name w:val="PKT – punkt"/>
    <w:basedOn w:val="USTustnpkodeksu"/>
    <w:link w:val="PKTpunktZnak"/>
    <w:uiPriority w:val="16"/>
    <w:qFormat/>
    <w:rsid w:val="00217871"/>
    <w:pPr>
      <w:ind w:left="510" w:hanging="51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217871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217871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uiPriority w:val="19"/>
    <w:rsid w:val="00217871"/>
    <w:rPr>
      <w:rFonts w:eastAsiaTheme="minorEastAsia" w:cs="Arial"/>
      <w:bCs/>
      <w:szCs w:val="20"/>
    </w:rPr>
  </w:style>
  <w:style w:type="paragraph" w:customStyle="1" w:styleId="LITlitera">
    <w:name w:val="LIT – litera"/>
    <w:basedOn w:val="PKTpunkt"/>
    <w:link w:val="LITliteraZnak"/>
    <w:uiPriority w:val="17"/>
    <w:qFormat/>
    <w:rsid w:val="00217871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17"/>
    <w:rsid w:val="00217871"/>
    <w:rPr>
      <w:rFonts w:eastAsiaTheme="minorEastAsia" w:cs="Arial"/>
      <w:bCs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217871"/>
    <w:pPr>
      <w:ind w:left="510" w:firstLine="0"/>
    </w:pPr>
    <w:rPr>
      <w:szCs w:val="24"/>
    </w:rPr>
  </w:style>
  <w:style w:type="character" w:customStyle="1" w:styleId="CZWSPLITczwsplnaliterZnak">
    <w:name w:val="CZ_WSP_LIT – część wspólna liter Znak"/>
    <w:basedOn w:val="LITliteraZnak"/>
    <w:link w:val="CZWSPLITczwsplnaliter"/>
    <w:uiPriority w:val="20"/>
    <w:rsid w:val="00217871"/>
    <w:rPr>
      <w:rFonts w:eastAsiaTheme="minorEastAsia" w:cs="Arial"/>
      <w:bCs/>
      <w:szCs w:val="20"/>
    </w:rPr>
  </w:style>
  <w:style w:type="paragraph" w:customStyle="1" w:styleId="TIRtiret">
    <w:name w:val="TIR – tiret"/>
    <w:basedOn w:val="LITlitera"/>
    <w:link w:val="TIRtiretZnak"/>
    <w:uiPriority w:val="18"/>
    <w:qFormat/>
    <w:rsid w:val="00217871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uiPriority w:val="18"/>
    <w:rsid w:val="00217871"/>
    <w:rPr>
      <w:rFonts w:eastAsiaTheme="minorEastAsia" w:cs="Arial"/>
      <w:bCs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217871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uiPriority w:val="21"/>
    <w:rsid w:val="00217871"/>
    <w:rPr>
      <w:rFonts w:eastAsiaTheme="minorEastAsia" w:cs="Arial"/>
      <w:bCs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217871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217871"/>
    <w:rPr>
      <w:rFonts w:eastAsiaTheme="minorEastAsia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217871"/>
    <w:pPr>
      <w:keepNext/>
      <w:suppressAutoHyphens/>
      <w:spacing w:before="120"/>
      <w:jc w:val="center"/>
    </w:pPr>
    <w:rPr>
      <w:rFonts w:eastAsiaTheme="minorEastAsia"/>
      <w:b/>
      <w:bCs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"/>
    <w:rsid w:val="00217871"/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217871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217871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7"/>
    <w:qFormat/>
    <w:rsid w:val="00217871"/>
    <w:pPr>
      <w:ind w:left="1860"/>
    </w:p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217871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8971B5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uiPriority w:val="6"/>
    <w:rsid w:val="00217871"/>
    <w:rPr>
      <w:rFonts w:eastAsiaTheme="minorEastAsia" w:cs="Arial"/>
      <w:bCs/>
      <w:caps/>
      <w:kern w:val="24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uiPriority w:val="22"/>
    <w:rsid w:val="008971B5"/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217871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uiPriority w:val="30"/>
    <w:rsid w:val="00BC7443"/>
    <w:rPr>
      <w:rFonts w:eastAsiaTheme="minorEastAsia"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2A570F"/>
    <w:pPr>
      <w:keepNext/>
      <w:suppressAutoHyphens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basedOn w:val="Domylnaczcionkaakapitu"/>
    <w:link w:val="ZTYTDZPRZEDMzmprzedmtytuulubdziauartykuempunktem"/>
    <w:uiPriority w:val="30"/>
    <w:rsid w:val="00BC7443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217871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217871"/>
    <w:pPr>
      <w:ind w:left="510"/>
    </w:pPr>
  </w:style>
  <w:style w:type="paragraph" w:customStyle="1" w:styleId="ZZLITzmianazmlit">
    <w:name w:val="ZZ/LIT – zmiana zm. lit."/>
    <w:basedOn w:val="ZZPKTzmianazmpkt"/>
    <w:uiPriority w:val="61"/>
    <w:qFormat/>
    <w:rsid w:val="00217871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217871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2A570F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uiPriority w:val="31"/>
    <w:rsid w:val="00BC7443"/>
    <w:rPr>
      <w:rFonts w:eastAsiaTheme="minorEastAsia" w:cs="Arial"/>
      <w:bCs/>
      <w:kern w:val="24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BC7443"/>
    <w:rPr>
      <w:rFonts w:eastAsiaTheme="minorEastAsia" w:cs="Arial"/>
      <w:bCs/>
      <w:szCs w:val="20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217871"/>
    <w:pPr>
      <w:ind w:left="987"/>
    </w:pPr>
  </w:style>
  <w:style w:type="paragraph" w:customStyle="1" w:styleId="ZLITPKTzmpktliter">
    <w:name w:val="Z_LIT/PKT – zm. pkt literą"/>
    <w:basedOn w:val="PKTpunkt"/>
    <w:uiPriority w:val="45"/>
    <w:qFormat/>
    <w:rsid w:val="00217871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217871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217871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217871"/>
    <w:pPr>
      <w:ind w:left="987"/>
    </w:pPr>
  </w:style>
  <w:style w:type="paragraph" w:customStyle="1" w:styleId="ZLITTIRzmtirliter">
    <w:name w:val="Z_LIT/TIR – zm. tir. literą"/>
    <w:basedOn w:val="TIRtiret"/>
    <w:uiPriority w:val="47"/>
    <w:qFormat/>
    <w:rsid w:val="00217871"/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217871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217871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217871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7"/>
    <w:qFormat/>
    <w:rsid w:val="00217871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217871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217871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217871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uiPriority w:val="56"/>
    <w:rsid w:val="00217871"/>
    <w:rPr>
      <w:rFonts w:eastAsiaTheme="minorEastAsia" w:cs="Arial"/>
      <w:bCs/>
      <w:szCs w:val="20"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217871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uiPriority w:val="55"/>
    <w:rsid w:val="00217871"/>
    <w:rPr>
      <w:rFonts w:eastAsiaTheme="minorEastAsia" w:cs="Arial"/>
      <w:bCs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217871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217871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217871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217871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uiPriority w:val="58"/>
    <w:rsid w:val="00217871"/>
    <w:rPr>
      <w:rFonts w:eastAsiaTheme="minorEastAsia" w:cs="Arial"/>
      <w:bCs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217871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uiPriority w:val="71"/>
    <w:rsid w:val="00217871"/>
    <w:rPr>
      <w:rFonts w:eastAsiaTheme="minorEastAsia" w:cs="Arial"/>
      <w:bCs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217871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uiPriority w:val="71"/>
    <w:rsid w:val="00217871"/>
    <w:rPr>
      <w:rFonts w:eastAsiaTheme="minorEastAsia" w:cs="Arial"/>
      <w:bCs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217871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217871"/>
  </w:style>
  <w:style w:type="character" w:customStyle="1" w:styleId="ZLIT2TIRzmpodwtirliterZnak">
    <w:name w:val="Z_LIT/2TIR – zm. podw. tir. literą Znak"/>
    <w:basedOn w:val="TIRtiretZnak"/>
    <w:link w:val="ZLIT2TIRzmpodwtirliter"/>
    <w:uiPriority w:val="75"/>
    <w:rsid w:val="00217871"/>
    <w:rPr>
      <w:rFonts w:eastAsiaTheme="minorEastAsia" w:cs="Arial"/>
      <w:bCs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217871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uiPriority w:val="80"/>
    <w:rsid w:val="00217871"/>
    <w:rPr>
      <w:rFonts w:eastAsiaTheme="minorEastAsia" w:cs="Arial"/>
      <w:bCs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217871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217871"/>
    <w:pPr>
      <w:ind w:left="2291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uiPriority w:val="72"/>
    <w:rsid w:val="00217871"/>
    <w:rPr>
      <w:rFonts w:eastAsiaTheme="minorEastAsia" w:cs="Arial"/>
      <w:bCs/>
      <w:szCs w:val="20"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217871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uiPriority w:val="54"/>
    <w:rsid w:val="00217871"/>
    <w:rPr>
      <w:rFonts w:eastAsiaTheme="minorEastAsia" w:cs="Arial"/>
      <w:bCs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217871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8"/>
    <w:qFormat/>
    <w:rsid w:val="00217871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uiPriority w:val="58"/>
    <w:rsid w:val="00217871"/>
    <w:rPr>
      <w:rFonts w:eastAsiaTheme="minorEastAsia" w:cs="Arial"/>
      <w:bCs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217871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uiPriority w:val="81"/>
    <w:rsid w:val="00217871"/>
    <w:rPr>
      <w:rFonts w:eastAsiaTheme="minorEastAsia" w:cs="Arial"/>
      <w:bCs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217871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uiPriority w:val="82"/>
    <w:rsid w:val="00217871"/>
    <w:rPr>
      <w:rFonts w:eastAsiaTheme="minorEastAsia" w:cs="Arial"/>
      <w:bCs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217871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uiPriority w:val="80"/>
    <w:rsid w:val="00217871"/>
    <w:rPr>
      <w:rFonts w:eastAsiaTheme="minorEastAsia" w:cs="Arial"/>
      <w:bCs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217871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uiPriority w:val="81"/>
    <w:rsid w:val="00217871"/>
    <w:rPr>
      <w:rFonts w:eastAsiaTheme="minorEastAsia" w:cs="Arial"/>
      <w:bCs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217871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uiPriority w:val="90"/>
    <w:qFormat/>
    <w:rsid w:val="00217871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1"/>
    <w:qFormat/>
    <w:rsid w:val="00217871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217871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217871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Z2TIRwPKTzmianazmpodwtirwpkt">
    <w:name w:val="ZZ/2TIR_w_PKT – zmiana zm. podw. tir. w pkt"/>
    <w:basedOn w:val="ZZ2TIRwLITzmianazmpodwtirwlit"/>
    <w:uiPriority w:val="91"/>
    <w:qFormat/>
    <w:rsid w:val="00217871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5"/>
    <w:qFormat/>
    <w:rsid w:val="00217871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217871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217871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uiPriority w:val="86"/>
    <w:rsid w:val="00217871"/>
    <w:rPr>
      <w:rFonts w:eastAsiaTheme="minorEastAsia" w:cs="Arial"/>
      <w:bCs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217871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217871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uiPriority w:val="87"/>
    <w:rsid w:val="00217871"/>
    <w:rPr>
      <w:rFonts w:eastAsiaTheme="minorEastAsia" w:cs="Arial"/>
      <w:bCs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217871"/>
    <w:pPr>
      <w:ind w:left="510"/>
    </w:pPr>
    <w:rPr>
      <w:b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uiPriority w:val="30"/>
    <w:rsid w:val="00BC7443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217871"/>
    <w:pPr>
      <w:ind w:left="510"/>
    </w:pPr>
    <w:rPr>
      <w:b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uiPriority w:val="31"/>
    <w:rsid w:val="00BC7443"/>
    <w:rPr>
      <w:rFonts w:eastAsiaTheme="minorEastAsia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217871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217871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217871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217871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8971B5"/>
    <w:pPr>
      <w:ind w:left="1497"/>
    </w:pPr>
  </w:style>
  <w:style w:type="paragraph" w:customStyle="1" w:styleId="ODNONIKtreodnonika">
    <w:name w:val="ODNOŚNIK – treść odnośnika"/>
    <w:uiPriority w:val="19"/>
    <w:qFormat/>
    <w:rsid w:val="00E02BAB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217871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21787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7"/>
    <w:qFormat/>
    <w:rsid w:val="0021787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217871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217871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4"/>
    <w:qFormat/>
    <w:rsid w:val="00E96E3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217871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uiPriority w:val="8"/>
    <w:rsid w:val="00217871"/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217871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217871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21787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217871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21787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217871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217871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217871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217871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217871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217871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17871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E02BA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8971B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2"/>
    <w:qFormat/>
    <w:rsid w:val="008971B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8971B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17871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17871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17871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217871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217871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217871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217871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217871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6"/>
    <w:qFormat/>
    <w:rsid w:val="00217871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6"/>
    <w:qFormat/>
    <w:rsid w:val="00217871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21787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21787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217871"/>
  </w:style>
  <w:style w:type="paragraph" w:customStyle="1" w:styleId="ZZ2TIRzmianazmpodwtir">
    <w:name w:val="ZZ/2TIR – zmiana zm. podw. tir."/>
    <w:basedOn w:val="ZZCZWSP2TIRzmianazmczciwsppodwtir"/>
    <w:uiPriority w:val="90"/>
    <w:qFormat/>
    <w:rsid w:val="00217871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21787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21787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21787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49"/>
    <w:qFormat/>
    <w:rsid w:val="0021787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21787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7"/>
    <w:qFormat/>
    <w:rsid w:val="00217871"/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217871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21787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21787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217871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217871"/>
  </w:style>
  <w:style w:type="paragraph" w:customStyle="1" w:styleId="ZZUSTzmianazmust">
    <w:name w:val="ZZ/UST(§) – zmiana zm. ust. (§)"/>
    <w:basedOn w:val="ZZARTzmianazmart"/>
    <w:uiPriority w:val="60"/>
    <w:qFormat/>
    <w:rsid w:val="00217871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2A570F"/>
    <w:pPr>
      <w:keepNext/>
      <w:suppressAutoHyphens/>
      <w:spacing w:before="120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uiPriority w:val="7"/>
    <w:rsid w:val="002A57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217871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7"/>
    <w:qFormat/>
    <w:rsid w:val="00217871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7"/>
    <w:qFormat/>
    <w:rsid w:val="00217871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7"/>
    <w:qFormat/>
    <w:rsid w:val="00217871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8"/>
    <w:qFormat/>
    <w:rsid w:val="00217871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8"/>
    <w:qFormat/>
    <w:rsid w:val="00217871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9B16DF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9B16DF"/>
    <w:pPr>
      <w:ind w:left="397" w:hanging="397"/>
      <w:jc w:val="left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9B16D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CE31A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CE31A6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CE31A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CE31A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4140F2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4140F2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6"/>
    <w:qFormat/>
    <w:rsid w:val="00F17F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F17F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F17F0A"/>
    <w:pPr>
      <w:jc w:val="right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F17F0A"/>
    <w:pPr>
      <w:jc w:val="left"/>
    </w:pPr>
  </w:style>
  <w:style w:type="paragraph" w:customStyle="1" w:styleId="TEKSTwporozumieniu">
    <w:name w:val="TEKST_&quot;w_porozumieniu:&quot;"/>
    <w:next w:val="NAZORGWPOROZUMIENIUnazwaorganuwporozumieniuzktrymaktjestwydawany"/>
    <w:uiPriority w:val="29"/>
    <w:qFormat/>
    <w:rsid w:val="00E02BAB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E02BAB"/>
    <w:pPr>
      <w:ind w:left="284" w:firstLine="0"/>
    </w:p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uiPriority w:val="42"/>
    <w:qFormat/>
    <w:rsid w:val="008971B5"/>
    <w:pPr>
      <w:ind w:left="510" w:firstLine="0"/>
    </w:pPr>
  </w:style>
  <w:style w:type="paragraph" w:styleId="Akapitzlist">
    <w:name w:val="List Paragraph"/>
    <w:basedOn w:val="Normalny"/>
    <w:uiPriority w:val="99"/>
    <w:semiHidden/>
    <w:rsid w:val="00C70646"/>
    <w:pPr>
      <w:ind w:left="720"/>
      <w:contextualSpacing/>
    </w:pPr>
  </w:style>
  <w:style w:type="character" w:customStyle="1" w:styleId="IGindeksgrny">
    <w:name w:val="_IG_ – indeks górny"/>
    <w:basedOn w:val="Domylnaczcionkaakapitu"/>
    <w:uiPriority w:val="2"/>
    <w:qFormat/>
    <w:rsid w:val="00D93D74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D93D7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\wniesienie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wniesienie</Template>
  <TotalTime>1</TotalTime>
  <Pages>3</Pages>
  <Words>922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szablon projektu aktu prawnego</vt:lpstr>
      <vt:lpstr>p r o j e k t</vt:lpstr>
    </vt:vector>
  </TitlesOfParts>
  <Company>Kancelaria Senatu</Company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projektu aktu prawnego</dc:title>
  <dc:subject>schema</dc:subject>
  <dc:creator>Justyna Mazur</dc:creator>
  <cp:lastModifiedBy>Grzegorz Molesztak</cp:lastModifiedBy>
  <cp:revision>4</cp:revision>
  <cp:lastPrinted>2022-01-13T08:51:00Z</cp:lastPrinted>
  <dcterms:created xsi:type="dcterms:W3CDTF">2022-01-13T08:55:00Z</dcterms:created>
  <dcterms:modified xsi:type="dcterms:W3CDTF">2022-01-20T14:25:00Z</dcterms:modified>
</cp:coreProperties>
</file>