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019F4" w14:textId="77777777" w:rsidR="00F14900" w:rsidRPr="00442630" w:rsidRDefault="00F14900" w:rsidP="00442630">
      <w:pPr>
        <w:pStyle w:val="CZKSIGAoznaczenieiprzedmiotczcilubksigi"/>
        <w:spacing w:after="240"/>
        <w:rPr>
          <w:rFonts w:ascii="Times New Roman" w:hAnsi="Times New Roman"/>
          <w:b w:val="0"/>
        </w:rPr>
      </w:pPr>
      <w:bookmarkStart w:id="0" w:name="_GoBack"/>
      <w:bookmarkEnd w:id="0"/>
      <w:r w:rsidRPr="00442630">
        <w:rPr>
          <w:rFonts w:ascii="Times New Roman" w:hAnsi="Times New Roman"/>
          <w:b w:val="0"/>
        </w:rPr>
        <w:t>UZASADNIENIE</w:t>
      </w:r>
    </w:p>
    <w:p w14:paraId="70D06C25" w14:textId="77777777" w:rsidR="00F14900" w:rsidRPr="00442630" w:rsidRDefault="00F14900" w:rsidP="00F14900">
      <w:pPr>
        <w:pStyle w:val="ZDANIENASTNOWYWIERSZnpzddrugienowywierszwus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Dyrektywa 2003/87/WE Parlamentu Europejskiego i Rady z dnia 13 października 2003 r. ustanawiająca system handlu przydziałami emisji gazów cieplarnianych w Unii oraz zmieniająca dyrektywę Rady 96/61/WE (Dz. Urz. UE L 275 z 13.10.2003, str. 32,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. zm.), zwana dalej „dyrektywą 2003/87/WE”, w art. 10a ust. 6 uregulowała możliwość przyjęcia przez państwa członkowskie Unii Europejskiej (UE) środków finansowych na rzecz sektorów lub podsektorów, które uznaje się za narażone na znaczące ryzyko ucieczki emisji z powodu znacznych kosztów pośrednich faktycznie ponoszonych w wyniku przeniesienia kosztów związanych z emisją gazów cieplarnianych na ceny energii elektrycznej (w celu kompensacji tych kosztów), pod warunkiem, że takie środki finansowe są zgodne z zasadami pomocy państwa, a zwłaszcza nie powodują nieuzasadnionych zakłóceń konkurencji na rynku wewnętrznym. </w:t>
      </w:r>
    </w:p>
    <w:p w14:paraId="06D1C4BA" w14:textId="77777777" w:rsidR="00F14900" w:rsidRPr="00442630" w:rsidRDefault="00F14900" w:rsidP="00F14900">
      <w:pPr>
        <w:pStyle w:val="ZDANIENASTNOWYWIERSZnpzddrugienowywierszwus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W celu realizacji uprawnienia przyznanego w dyrektywie 2003/87/WE w Rzeczypospolitej Polskiej uchwalono ustawę z dnia 19 lipca 2019 r. o systemie rekompensat dla sektorów i podsektorów energochłonnych (Dz. U. z 2021 r. poz. 1896), zwaną dalej „ustawą o rekompensatach”. Ustawa o rekompensatach została uchwalona zgodnie z kształtem regulacji przewidzianym w komunikacie Komisji Europejskiej </w:t>
      </w:r>
      <w:r w:rsidR="00E37582" w:rsidRPr="00442630">
        <w:rPr>
          <w:rFonts w:ascii="Times New Roman" w:hAnsi="Times New Roman" w:cs="Times New Roman"/>
          <w:szCs w:val="24"/>
        </w:rPr>
        <w:t xml:space="preserve">− </w:t>
      </w:r>
      <w:r w:rsidRPr="00442630">
        <w:rPr>
          <w:rFonts w:ascii="Times New Roman" w:hAnsi="Times New Roman" w:cs="Times New Roman"/>
          <w:szCs w:val="24"/>
        </w:rPr>
        <w:t xml:space="preserve">Wytyczne w sprawie niektórych środków pomocy państwa w kontekście systemu handlu uprawnieniami do emisji gazów cieplarnianych po 2012 r. (Dz. Urz. UE C 158 z 05.06.2012, str. 4,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. zm.), zwanym dalej „Wytycznymi”. System rekompensat dla sektorów i podsektorów energochłonnych przewidzianych w tej ustawie, jako schemat pomocy publicznej, uzyskał akceptację Komisji Europejskiej (KE) w odniesieniu do kosztów pośrednich poniesionych w latach 2019–2020. </w:t>
      </w:r>
    </w:p>
    <w:p w14:paraId="3874BBA8" w14:textId="4FA92B3E" w:rsidR="00F14900" w:rsidRPr="00442630" w:rsidRDefault="00F14900" w:rsidP="00F14900">
      <w:pPr>
        <w:pStyle w:val="ZDANIENASTNOWYWIERSZnpzddrugienowywierszwus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W toku ww. notyfikacji Rząd Rzeczypospolitej Polskiej zobowiązał się do wprowadzenia zmian oraz ponownej notyfikacji schematu rekompensat po wejściu w życie komunikatu Komisji Europejskiej </w:t>
      </w:r>
      <w:r w:rsidR="00E37582" w:rsidRPr="00442630">
        <w:rPr>
          <w:rFonts w:ascii="Times New Roman" w:hAnsi="Times New Roman" w:cs="Times New Roman"/>
          <w:szCs w:val="24"/>
        </w:rPr>
        <w:t xml:space="preserve">− </w:t>
      </w:r>
      <w:r w:rsidRPr="00442630">
        <w:rPr>
          <w:rFonts w:ascii="Times New Roman" w:hAnsi="Times New Roman" w:cs="Times New Roman"/>
          <w:szCs w:val="24"/>
        </w:rPr>
        <w:t>Wytyczne w sprawie niektórych środków pomocy państwa w kontekście systemu handlu przydziałami emisji gazów cieplarnianych po 2021 r. (Dz. Urz. UE C 317 z 25.09.2020, str. 5), zwanego dalej „Nowymi Wytycznymi”. Nowe Wytyczne zostały opublikowane w dniu 25 września 2020 r. i będą obowiązywały dla schematów pomocy publicznej w odniesieniu do kosztów pośrednich poniesionych w latach 2021–2030.</w:t>
      </w:r>
    </w:p>
    <w:p w14:paraId="714FFCB0" w14:textId="77777777" w:rsidR="00F14900" w:rsidRPr="00442630" w:rsidRDefault="00F14900" w:rsidP="00F14900">
      <w:pPr>
        <w:pStyle w:val="ZDANIENASTNOWYWIERSZnpzddrugienowywierszwus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Przedmiotowa nowelizacja ma na celu dostosowanie ustawy o rekompensatach do wymogów wynikających z Nowych Wytycznych.</w:t>
      </w:r>
    </w:p>
    <w:p w14:paraId="249DD1EB" w14:textId="77777777" w:rsidR="00E37582" w:rsidRPr="00442630" w:rsidRDefault="00E37582" w:rsidP="00F14900">
      <w:pPr>
        <w:rPr>
          <w:rStyle w:val="Ppogrubienie"/>
          <w:szCs w:val="24"/>
        </w:rPr>
      </w:pPr>
    </w:p>
    <w:p w14:paraId="558AE017" w14:textId="77777777" w:rsidR="00F14900" w:rsidRPr="00442630" w:rsidRDefault="00F14900" w:rsidP="00F14900">
      <w:pPr>
        <w:rPr>
          <w:rStyle w:val="Ppogrubienie"/>
          <w:szCs w:val="24"/>
        </w:rPr>
      </w:pPr>
      <w:r w:rsidRPr="00442630">
        <w:rPr>
          <w:rStyle w:val="Ppogrubienie"/>
          <w:szCs w:val="24"/>
        </w:rPr>
        <w:lastRenderedPageBreak/>
        <w:t>Uzasadnienie szczegółowe</w:t>
      </w:r>
    </w:p>
    <w:p w14:paraId="4BC3A347" w14:textId="77777777" w:rsidR="00F14900" w:rsidRPr="00442630" w:rsidRDefault="00F14900" w:rsidP="00F14900">
      <w:pPr>
        <w:rPr>
          <w:rStyle w:val="Ppogrubienie"/>
          <w:rFonts w:eastAsiaTheme="minorEastAsia"/>
          <w:szCs w:val="24"/>
        </w:rPr>
      </w:pPr>
      <w:bookmarkStart w:id="1" w:name="_Hlk87893857"/>
      <w:r w:rsidRPr="00442630">
        <w:rPr>
          <w:rStyle w:val="Ppogrubienie"/>
          <w:rFonts w:eastAsiaTheme="minorEastAsia"/>
          <w:szCs w:val="24"/>
        </w:rPr>
        <w:t>Zmiana przesłanki negatywnej do przyznania rekompensat (art. 5 pkt 3)</w:t>
      </w:r>
    </w:p>
    <w:p w14:paraId="2B5BBB3A" w14:textId="52B0D387" w:rsidR="00F14900" w:rsidRPr="00442630" w:rsidRDefault="00F14900" w:rsidP="00F14900">
      <w:pPr>
        <w:pStyle w:val="ZDANIENASTNOWYWIERSZnpzddrugienowywierszwus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Zgodnie z pkt 10 Nowych Wytycznych rekompensaty nie mogą być przyznawane przedsiębiorstwom znajdującym się w trudnej sytuacji w rozumieniu komunikatu Komisji − </w:t>
      </w:r>
      <w:r w:rsidR="00442630">
        <w:rPr>
          <w:rFonts w:ascii="Times New Roman" w:hAnsi="Times New Roman" w:cs="Times New Roman"/>
          <w:szCs w:val="24"/>
        </w:rPr>
        <w:t>W</w:t>
      </w:r>
      <w:r w:rsidRPr="00442630">
        <w:rPr>
          <w:rFonts w:ascii="Times New Roman" w:hAnsi="Times New Roman" w:cs="Times New Roman"/>
          <w:szCs w:val="24"/>
        </w:rPr>
        <w:t>ytyczne dotycząc</w:t>
      </w:r>
      <w:r w:rsidR="003E100A">
        <w:rPr>
          <w:rFonts w:ascii="Times New Roman" w:hAnsi="Times New Roman" w:cs="Times New Roman"/>
          <w:szCs w:val="24"/>
        </w:rPr>
        <w:t>e</w:t>
      </w:r>
      <w:r w:rsidRPr="00442630">
        <w:rPr>
          <w:rFonts w:ascii="Times New Roman" w:hAnsi="Times New Roman" w:cs="Times New Roman"/>
          <w:szCs w:val="24"/>
        </w:rPr>
        <w:t xml:space="preserve"> pomocy państwa na ratowanie i restrukturyzację przedsiębiorstw niefinansowych znajdujących się w trudnej sytuacji (Dz. Urz. UE C 249 z 31.07.2014, str. 1</w:t>
      </w:r>
      <w:r w:rsidR="003E100A">
        <w:rPr>
          <w:rFonts w:ascii="Times New Roman" w:hAnsi="Times New Roman" w:cs="Times New Roman"/>
          <w:szCs w:val="24"/>
        </w:rPr>
        <w:t xml:space="preserve"> </w:t>
      </w:r>
      <w:r w:rsidR="003E100A" w:rsidRPr="007D208B">
        <w:t>oraz Dz. Urz. UE C 224 z 08.07.2020, str. 2</w:t>
      </w:r>
      <w:r w:rsidRPr="00442630">
        <w:rPr>
          <w:rFonts w:ascii="Times New Roman" w:hAnsi="Times New Roman" w:cs="Times New Roman"/>
          <w:szCs w:val="24"/>
        </w:rPr>
        <w:t>). W związku z tym w art. 5 pkt 3 zaproponowano zmianę dostosowującą przesłanki ubiegania się o rekompensaty do obowiązujących przepisów i zastąpiono dotychczasową przesłankę negatywną ubiegania się o rekompensaty w przypadku postawienia w stan likwidacji lub w przypadku, gdy wobec podmiotu jest prowadzone postępowanie upadłościowe.</w:t>
      </w:r>
    </w:p>
    <w:bookmarkEnd w:id="1"/>
    <w:p w14:paraId="6C436072" w14:textId="77777777" w:rsidR="00F14900" w:rsidRPr="00442630" w:rsidRDefault="00F14900" w:rsidP="007E234E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Obliczanie wysokości rekompensat (art. 7)</w:t>
      </w:r>
    </w:p>
    <w:p w14:paraId="6FD7E4AE" w14:textId="77777777" w:rsidR="00F14900" w:rsidRPr="00442630" w:rsidRDefault="00F14900" w:rsidP="00F14900">
      <w:pPr>
        <w:pStyle w:val="ZDANIENASTNOWYWIERSZnpzddrugienowywierszwus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Zmiana ustawy o rekompensatach służy m.in. zaktualizowaniu wzorów na wyliczenie wartości rekompensat przewidzianych w ust. 1–3 (zaproponowano nowe brzmienie art. 7 ust. 1−3 ustawy o rekompensatach). </w:t>
      </w:r>
    </w:p>
    <w:p w14:paraId="486CDD5F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Pierwsza zmiana wynika z konieczności dostosowania obowiązującego regionalnego współczynnika emisji dwutlenku węgla (CO</w:t>
      </w:r>
      <w:r w:rsidRPr="00442630">
        <w:rPr>
          <w:rStyle w:val="IDindeksdolny"/>
          <w:rFonts w:ascii="Times New Roman" w:hAnsi="Times New Roman" w:cs="Times New Roman"/>
          <w:szCs w:val="24"/>
        </w:rPr>
        <w:t>2</w:t>
      </w:r>
      <w:r w:rsidRPr="00442630">
        <w:rPr>
          <w:rFonts w:ascii="Times New Roman" w:hAnsi="Times New Roman" w:cs="Times New Roman"/>
          <w:szCs w:val="24"/>
        </w:rPr>
        <w:t>). Wartość regionalnego współczynnika emisyjności jest przyjmowana jako średnia ważona intensywność emisji dwutlenku węgla (CO</w:t>
      </w:r>
      <w:r w:rsidRPr="00442630">
        <w:rPr>
          <w:rStyle w:val="IDindeksdolny"/>
          <w:rFonts w:ascii="Times New Roman" w:hAnsi="Times New Roman" w:cs="Times New Roman"/>
          <w:szCs w:val="24"/>
        </w:rPr>
        <w:t>2</w:t>
      </w:r>
      <w:r w:rsidRPr="00442630">
        <w:rPr>
          <w:rFonts w:ascii="Times New Roman" w:hAnsi="Times New Roman" w:cs="Times New Roman"/>
          <w:szCs w:val="24"/>
        </w:rPr>
        <w:t>) z energii elektrycznej produkowanej z paliw kopalnych na różnych obszarach geograficznych i została określona przez Komisję Europejską w Nowych Wytycznych.</w:t>
      </w:r>
    </w:p>
    <w:p w14:paraId="13757096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Druga zmiana wynika z faktu, że zamiast wartości historycznych na potrzeby wyliczenia wartości rekompensat będą przyjmowane wartości rzeczywistego zużycia energii elektrycznej i rzeczywistej wielkości produkcji w roku kalendarzowym, za który są przyznawane rekompensaty (obejmuje to również zmianę wynikową w postaci uchylenia w art. 7 ust. 4 i 5). Aktualizacji ulegają również wskaźniki EF oraz </w:t>
      </w:r>
      <w:proofErr w:type="spellStart"/>
      <w:r w:rsidRPr="00442630">
        <w:rPr>
          <w:rFonts w:ascii="Times New Roman" w:hAnsi="Times New Roman" w:cs="Times New Roman"/>
          <w:szCs w:val="24"/>
        </w:rPr>
        <w:t>Ie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 (wartości ustalone na poziomie UE).</w:t>
      </w:r>
    </w:p>
    <w:p w14:paraId="1B6CF3A0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Kolejna zmiana, polegająca na uchyleniu w art. 7 ust. 8 wynika z faktu, że dotychczas obowiązujące Wytyczne wskazują, że w przypadku umów na dostawy energii elektrycznej, w których nie ujęto żadnych kosztów emisji dwutlenku węgla (CO</w:t>
      </w:r>
      <w:r w:rsidRPr="00442630">
        <w:rPr>
          <w:rStyle w:val="IDindeksdolny"/>
          <w:rFonts w:ascii="Times New Roman" w:hAnsi="Times New Roman" w:cs="Times New Roman"/>
          <w:szCs w:val="24"/>
        </w:rPr>
        <w:t>2</w:t>
      </w:r>
      <w:r w:rsidRPr="00442630">
        <w:rPr>
          <w:rFonts w:ascii="Times New Roman" w:hAnsi="Times New Roman" w:cs="Times New Roman"/>
          <w:szCs w:val="24"/>
        </w:rPr>
        <w:t>), nie zostanie przyznana żadna pomoc państwa. Nowe Wytyczne nie przewidują analogicznego przepisu, co oznacza, że rekompensaty będą mogły być przyznawane w odniesieniu do całości zużycia energii elektrycznej, niezależnie od źródła jej pochodzenia.</w:t>
      </w:r>
    </w:p>
    <w:p w14:paraId="3DCAFF64" w14:textId="77777777" w:rsidR="00F14900" w:rsidRPr="00442630" w:rsidRDefault="00F14900" w:rsidP="00F14900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</w:p>
    <w:p w14:paraId="2FB476FF" w14:textId="3062BA25" w:rsidR="00F14900" w:rsidRPr="00442630" w:rsidRDefault="00F14900" w:rsidP="00F14900">
      <w:pPr>
        <w:rPr>
          <w:rStyle w:val="Ppogrubienie"/>
          <w:szCs w:val="24"/>
        </w:rPr>
      </w:pPr>
      <w:r w:rsidRPr="00442630">
        <w:rPr>
          <w:rStyle w:val="Ppogrubienie"/>
          <w:szCs w:val="24"/>
        </w:rPr>
        <w:t xml:space="preserve">Zwiększenie wysokości rekompensat (art. 7a i </w:t>
      </w:r>
      <w:r w:rsidR="00442630">
        <w:rPr>
          <w:rStyle w:val="Ppogrubienie"/>
          <w:szCs w:val="24"/>
        </w:rPr>
        <w:t xml:space="preserve">art. </w:t>
      </w:r>
      <w:r w:rsidRPr="00442630">
        <w:rPr>
          <w:rStyle w:val="Ppogrubienie"/>
          <w:szCs w:val="24"/>
        </w:rPr>
        <w:t xml:space="preserve">7b) </w:t>
      </w:r>
    </w:p>
    <w:p w14:paraId="3945DC0B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Maksymalna intensywność pomocy została określona na poziomie 75%. W pkt 31–32 Nowych Wytycznych wskazano jednak na możliwość dostosowania maksymalnej wysokości rekompensat indywidualnie przez państwo członkowskie UE w przypadku, gdy wartość odpowiadająca 75% kosztów kwalifikowanych nie jest wystraczająca do zapewnienia odpowiedniej ochrony przez ryzykiem ucieczki emisji dla określonych sektorów. W przypadku, gdy poniesione koszty pośrednie (po uwzględnieniu rekompensat na poziomie 75%) przekraczają 1,5% wartości dodanej brutto (GVA) danego przedsiębiorstwa, państwo członkowskie UE może ograniczyć kwotę kosztów pośrednich przez zwiększenie poziomu rekompensaty. </w:t>
      </w:r>
    </w:p>
    <w:p w14:paraId="48176FCE" w14:textId="427EFBCB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Aby ustalić, którzy wnioskodawcy będą uprawnieni do zwiększenia, o którym mowa w art. 7a ust. 1,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 xml:space="preserve">będzie konieczne porównanie kosztów pośrednich ponoszonych na poziomie całego przedsiębiorstwa w stosunku do wartości dodanej brutto całego przedsiębiorstwa. Wysokość zwiększenia będzie stanowić różnicę pomiędzy wysokością </w:t>
      </w:r>
      <w:r w:rsidR="003E100A">
        <w:rPr>
          <w:rFonts w:ascii="Times New Roman" w:hAnsi="Times New Roman" w:cs="Times New Roman"/>
          <w:szCs w:val="24"/>
        </w:rPr>
        <w:t>poniesionych kosztów pośrednich</w:t>
      </w:r>
      <w:r w:rsidRPr="00442630">
        <w:rPr>
          <w:rFonts w:ascii="Times New Roman" w:hAnsi="Times New Roman" w:cs="Times New Roman"/>
          <w:szCs w:val="24"/>
        </w:rPr>
        <w:t xml:space="preserve"> a wartością rekompensat obliczonych zgodnie z art. 7 ust. 1−3 i wartością odpowiadającą 1,5% wartości dodanej brutto w roku kalendarzowym, za który są przyznawane rekompensaty. Jednakże w żadnym przypadku intensywność pomocy względem kosztów kwalifikowanych (koszty pośrednie w ramach sektorów uprawnionych do uzyskania pomocy) nie może przekroczyć 100%. Wykluczona została zatem sytuacja, kiedy zmiana intensywności pomocy będzie powodować objęcie rekompensatami energii elektrycznej zużywanej poza sektorami wymienionymi w Nowych Wytycznych. Warunkiem koniecznym do przyznania rekompensat jest udział kosztów pośrednich powyżej 1,5% wartości dodanej brutto. Przedsiębiorcy, którzy nie osiągają takiej wartości dodanej brutto, nie są uprawnieni do skorzystania z mechanizmu zwiększenia, o którym mowa w art. 7a ust. 1. </w:t>
      </w:r>
    </w:p>
    <w:p w14:paraId="46291B8F" w14:textId="6912CA62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Zaproponowane regulacje zapewniają efektywne ograniczenie intensywności pomocy do 100% kosztów kwalifikowanych. Suma rekompensat kosztów pośrednich, w tym uwzględniająca zwiększenie, nie może być wyższa niż łączna wartość rekompensat</w:t>
      </w:r>
      <w:r w:rsidR="00AC67FA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w odniesieniu do której wnioskodawca ubiega się o przyznanie rekompensat, obliczona zgodnie z art. 7 ust. 1–3, przy zastosowaniu intensywności pomocy wyrażonej jako liczba 1.</w:t>
      </w:r>
    </w:p>
    <w:p w14:paraId="3213221B" w14:textId="64AFB7E9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Tylko na potrzeby mechanizmu, o którym mowa w art. 7a, koszty pośrednie należy obliczyć na poziomie całego przedsiębiorstwa. Wyliczenia tego dokonuje się analogicznie do sposobu </w:t>
      </w:r>
      <w:r w:rsidRPr="00442630">
        <w:rPr>
          <w:rFonts w:ascii="Times New Roman" w:hAnsi="Times New Roman" w:cs="Times New Roman"/>
          <w:szCs w:val="24"/>
        </w:rPr>
        <w:lastRenderedPageBreak/>
        <w:t>wyznaczania rekompensat zgodnie ze wzorem zawartym w art. 7 ust. 3, z tym że do wyliczeń należy przyjąć całość zużycia energii elektrycznej na własne potrzeby przez wnioskodawcę, także poza sektorami objętymi pomocą, oraz nie należy uwzględniać intensywności pomocy wyrażonej ułamkiem 0,75.</w:t>
      </w:r>
    </w:p>
    <w:p w14:paraId="23102187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Analogicznie do sposobu kalkulacji przewidzianego w rozporządzeniu Ministra Klimatu z dnia 27 sierpnia 2020 r. w sprawie sposobu obliczania współczynnika intensywności zużycia energii elektrycznej przez odbiorcę przemysłowego (Dz. U. poz. 1485), wydanego na podstawie art. 53 ust. 4 ustawy z dnia 20 lutego 2015 r. o odnawialnych źródłach energii (Dz. U. z 2021 r. poz. 610,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. zm.) – GVA przedsiębiorstwa należy obliczyć zgodnie z zasadami określonymi w ust. 4. Dla jednostek sporządzających sprawozdania finansowe jednostki zgodnie z Międzynarodowymi Standardami Rachunkowości − zastosowanie znajdą zasady określone w pkt 3 i 4, natomiast dla jednostek sporządzających rachunek zysków i strat zgodnie z art. 47 ust. 4 pkt 1 ustawy z dnia 29 września 1994 r. o rachunkowości (Dz. U. z 2021 r. poz. 217,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>. zm.) decydujący jest stosowany wariant jego sporządzania przez przedsiębiorcę − porównawczy lub kalkulacyjny.</w:t>
      </w:r>
    </w:p>
    <w:p w14:paraId="3CE308F7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Zaproponowany mechanizm korygujący zakłada dwustopniową kontrolę wydatków na zwiększenie wysokości rekompensat:</w:t>
      </w:r>
    </w:p>
    <w:p w14:paraId="6CDBCC29" w14:textId="77777777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1)</w:t>
      </w:r>
      <w:r w:rsidRPr="00442630">
        <w:rPr>
          <w:rFonts w:ascii="Times New Roman" w:hAnsi="Times New Roman" w:cs="Times New Roman"/>
          <w:szCs w:val="24"/>
        </w:rPr>
        <w:tab/>
        <w:t>w razie przekroczenia budżetu Prezes Urzędu Regulacji Energetyki (URE) nie zwiększy rekompensat, a redukcja obejmie rekompensaty należne na podstawie złożonych wniosków, zgodnie z mechanizmem korygującym przewidzianym w art. 33 ust. 3 ustawy o rekompensatach – zgodnie z art. 6 ust. 3 ustawy o rekompensatach;</w:t>
      </w:r>
    </w:p>
    <w:p w14:paraId="47343855" w14:textId="77777777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2)</w:t>
      </w:r>
      <w:r w:rsidRPr="00442630">
        <w:rPr>
          <w:rFonts w:ascii="Times New Roman" w:hAnsi="Times New Roman" w:cs="Times New Roman"/>
          <w:szCs w:val="24"/>
        </w:rPr>
        <w:tab/>
        <w:t>jeżeli budżet okaże się wystarczający, wówczas nastąpi drugi etap weryfikacji – wartości kosztów pośrednich do GVA przedsiębiorstwa każdego z wnioskodawców. W razie, gdyby zwiększenie wartości rekompensat miało spowodować przekroczenie budżetu – redukcja proporcjonalna obejmie tylko kwotę zwiększenia w takim stopniu, aby zapewnić nieprzekraczalność całkowitego budżetu.</w:t>
      </w:r>
    </w:p>
    <w:p w14:paraId="7A697909" w14:textId="77777777" w:rsidR="00F14900" w:rsidRPr="00442630" w:rsidRDefault="00F14900" w:rsidP="00AC67FA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Zwiększenie i obniżenie zdolności produkcyjnej (art. 8 i art. 9)</w:t>
      </w:r>
    </w:p>
    <w:p w14:paraId="3B553526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Niezbędne było uchylenie przepisów dotyczących mechanizmu zwiększenia zdolności produkcyjnych i obniżenia poziomu produkcji, w związku faktem, iż zamiast wartości historycznych na potrzeby wyliczenia wartości rekompensat będą przyjmowane wartości rzeczywistego zużycia energii elektrycznej i rzeczywistej wielkości produkcji w roku </w:t>
      </w:r>
      <w:r w:rsidRPr="00442630">
        <w:rPr>
          <w:rFonts w:ascii="Times New Roman" w:hAnsi="Times New Roman" w:cs="Times New Roman"/>
          <w:szCs w:val="24"/>
        </w:rPr>
        <w:lastRenderedPageBreak/>
        <w:t xml:space="preserve">kalendarzowym, za który są przyznawane rekompensaty. W związku z tym mechanizmy dostosowawcze nie zostały przewidziane w Nowych Wytycznych. </w:t>
      </w:r>
    </w:p>
    <w:p w14:paraId="37108FB5" w14:textId="77777777" w:rsidR="00F14900" w:rsidRPr="00442630" w:rsidRDefault="00F14900" w:rsidP="00AC67FA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Wniosek o przyznanie rekompensat (art. 10)</w:t>
      </w:r>
    </w:p>
    <w:p w14:paraId="1165D152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Przepis dotyczący wniosku o przyznanie rekompensat dostosowano do Nowych Wytycznych, </w:t>
      </w:r>
      <w:bookmarkStart w:id="2" w:name="_Hlk63094446"/>
      <w:r w:rsidRPr="00442630">
        <w:rPr>
          <w:rFonts w:ascii="Times New Roman" w:hAnsi="Times New Roman" w:cs="Times New Roman"/>
          <w:szCs w:val="24"/>
        </w:rPr>
        <w:t>zgodnie z którymi produkcja referencyjna oraz referencyjne zużycie energii elektrycznej nie będą już przyjmowane jako wartości historyczne.</w:t>
      </w:r>
      <w:bookmarkEnd w:id="2"/>
      <w:r w:rsidRPr="00442630">
        <w:rPr>
          <w:rFonts w:ascii="Times New Roman" w:hAnsi="Times New Roman" w:cs="Times New Roman"/>
          <w:szCs w:val="24"/>
        </w:rPr>
        <w:t xml:space="preserve"> Wobec tego pewien zakres danych wskazywanych we wniosku stanie się zbędny (w tym przepisy o dodatkowych danych odnoszących się do zwiększania i obniżania zdolności produkcyjnej).</w:t>
      </w:r>
    </w:p>
    <w:p w14:paraId="0A1C03F8" w14:textId="76D7B19F" w:rsidR="00F14900" w:rsidRPr="00442630" w:rsidRDefault="00F14900" w:rsidP="005D745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Dodane zostały przepisy ust. 6a wskazujące zakres danych niezbędnych do dołączenia do wniosku przez wnioskodawcę, który chce skorzystać z mechanizmu zwiększenia rekompensat, o którym mowa w art. 7a ust. 1. Wnioskodawca ten składa Prezesowi URE oświadczenie potwierdzające: wartość GVA przedsiębiorstwa w roku kalendarzowym, za które są przyznawane rekompensaty wraz z opinią biegłego rewidenta potwierdzającą prawidłowość wyliczenia tej wartości, informację o </w:t>
      </w:r>
      <w:r w:rsidR="00225252" w:rsidRPr="00442630">
        <w:rPr>
          <w:rFonts w:ascii="Times New Roman" w:hAnsi="Times New Roman" w:cs="Times New Roman"/>
          <w:szCs w:val="24"/>
        </w:rPr>
        <w:t xml:space="preserve">całkowitym </w:t>
      </w:r>
      <w:r w:rsidRPr="00442630">
        <w:rPr>
          <w:rFonts w:ascii="Times New Roman" w:hAnsi="Times New Roman" w:cs="Times New Roman"/>
          <w:szCs w:val="24"/>
        </w:rPr>
        <w:t>zużyciu energii elektrycznej na własne potrzeby w roku kalendarzowym, za który są przyznawane rekompensaty</w:t>
      </w:r>
      <w:r w:rsidR="00AC67FA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wraz z opinią weryfikatora dotyczącą poprawności, wiarygodności oraz dokładności tych danych, a także oświadczenie o odpowiedzialności karnej za złożenie fałszywego oświadczenia. </w:t>
      </w:r>
      <w:r w:rsidR="0009508E" w:rsidRPr="00442630">
        <w:rPr>
          <w:rFonts w:ascii="Times New Roman" w:hAnsi="Times New Roman" w:cs="Times New Roman"/>
          <w:szCs w:val="24"/>
        </w:rPr>
        <w:t xml:space="preserve">Należy wyjaśnić, że opinia biegłego rewidenta, o której mowa w art. 10 ust. 6a </w:t>
      </w:r>
      <w:r w:rsidR="0039307D" w:rsidRPr="00442630">
        <w:rPr>
          <w:rFonts w:ascii="Times New Roman" w:hAnsi="Times New Roman" w:cs="Times New Roman"/>
          <w:szCs w:val="24"/>
        </w:rPr>
        <w:t>pkt 1, będzie</w:t>
      </w:r>
      <w:r w:rsidR="0009508E" w:rsidRPr="00442630">
        <w:rPr>
          <w:rFonts w:ascii="Times New Roman" w:hAnsi="Times New Roman" w:cs="Times New Roman"/>
          <w:szCs w:val="24"/>
        </w:rPr>
        <w:t xml:space="preserve"> sporządz</w:t>
      </w:r>
      <w:r w:rsidR="0039307D" w:rsidRPr="00442630">
        <w:rPr>
          <w:rFonts w:ascii="Times New Roman" w:hAnsi="Times New Roman" w:cs="Times New Roman"/>
          <w:szCs w:val="24"/>
        </w:rPr>
        <w:t>a</w:t>
      </w:r>
      <w:r w:rsidR="0009508E" w:rsidRPr="00442630">
        <w:rPr>
          <w:rFonts w:ascii="Times New Roman" w:hAnsi="Times New Roman" w:cs="Times New Roman"/>
          <w:szCs w:val="24"/>
        </w:rPr>
        <w:t>na zgodnie z ustawą z dnia 11 maja 2017 r. o biegłych rewidentach, firmach audytorskich oraz nadzorze publicznym</w:t>
      </w:r>
      <w:r w:rsidR="0039307D" w:rsidRPr="00442630">
        <w:rPr>
          <w:rFonts w:ascii="Times New Roman" w:hAnsi="Times New Roman" w:cs="Times New Roman"/>
          <w:szCs w:val="24"/>
        </w:rPr>
        <w:t xml:space="preserve"> (Dz. U. z 2020 r. poz. 1415, z </w:t>
      </w:r>
      <w:proofErr w:type="spellStart"/>
      <w:r w:rsidR="0039307D" w:rsidRPr="00442630">
        <w:rPr>
          <w:rFonts w:ascii="Times New Roman" w:hAnsi="Times New Roman" w:cs="Times New Roman"/>
          <w:szCs w:val="24"/>
        </w:rPr>
        <w:t>późn</w:t>
      </w:r>
      <w:proofErr w:type="spellEnd"/>
      <w:r w:rsidR="0039307D" w:rsidRPr="00442630">
        <w:rPr>
          <w:rFonts w:ascii="Times New Roman" w:hAnsi="Times New Roman" w:cs="Times New Roman"/>
          <w:szCs w:val="24"/>
        </w:rPr>
        <w:t>. zm.)</w:t>
      </w:r>
      <w:r w:rsidR="0009508E" w:rsidRPr="00442630">
        <w:rPr>
          <w:rFonts w:ascii="Times New Roman" w:hAnsi="Times New Roman" w:cs="Times New Roman"/>
          <w:szCs w:val="24"/>
        </w:rPr>
        <w:t xml:space="preserve">. </w:t>
      </w:r>
      <w:r w:rsidRPr="00442630">
        <w:rPr>
          <w:rFonts w:ascii="Times New Roman" w:hAnsi="Times New Roman" w:cs="Times New Roman"/>
          <w:szCs w:val="24"/>
        </w:rPr>
        <w:t>Procedura taka pozwala na przyznawanie rekompensat (w tym po zwiększeniu, o którym mowa w art. 7a ust. 1) w ramach jednego postępowania administracyjnego, zakończonego wydaniem jednej decyzji. Należy wskazać, iż mechanizm zwiększenia jest stosowany niejako automatycznie w sytuacji, gdy w danym roku nie zostaną wykorzystane wszystkie środki na przyznanie rekompensat i nie wymaga on złożenia dodatkowego wniosku. Procedura ta jest objęta tym samym postępowaniem administracyjnym co samo przyznanie rekompensat. Termin 31 lipca obejmuje wyłącznie dołączenie wymaganych dokumentów do wniosku złożonego w terminie określonym w art. 10 ust. 2 (tj. do dnia 31 marca). Odroczenie terminu uzupełnienia tych informacji względem terminu na złożeni</w:t>
      </w:r>
      <w:r w:rsidR="00225252" w:rsidRPr="00442630">
        <w:rPr>
          <w:rFonts w:ascii="Times New Roman" w:hAnsi="Times New Roman" w:cs="Times New Roman"/>
          <w:szCs w:val="24"/>
        </w:rPr>
        <w:t>e</w:t>
      </w:r>
      <w:r w:rsidRPr="00442630">
        <w:rPr>
          <w:rFonts w:ascii="Times New Roman" w:hAnsi="Times New Roman" w:cs="Times New Roman"/>
          <w:szCs w:val="24"/>
        </w:rPr>
        <w:t xml:space="preserve"> wniosku </w:t>
      </w:r>
      <w:r w:rsidR="00225252" w:rsidRPr="00442630">
        <w:rPr>
          <w:rFonts w:ascii="Times New Roman" w:hAnsi="Times New Roman" w:cs="Times New Roman"/>
          <w:szCs w:val="24"/>
        </w:rPr>
        <w:t xml:space="preserve">o przyznanie rekompensat </w:t>
      </w:r>
      <w:r w:rsidRPr="00442630">
        <w:rPr>
          <w:rFonts w:ascii="Times New Roman" w:hAnsi="Times New Roman" w:cs="Times New Roman"/>
          <w:szCs w:val="24"/>
        </w:rPr>
        <w:t xml:space="preserve">pozwoli wnioskodawcom na przedstawienie rzetelnych oraz zweryfikowanych danych dotyczących wartości GVA, niezależnie od stosowanego okresu obrachunkowego. Należy jednoznacznie wskazać, że nie ma możliwości skutecznego złożenia wniosku o rekompensaty w terminie </w:t>
      </w:r>
      <w:r w:rsidRPr="00442630">
        <w:rPr>
          <w:rFonts w:ascii="Times New Roman" w:hAnsi="Times New Roman" w:cs="Times New Roman"/>
          <w:szCs w:val="24"/>
        </w:rPr>
        <w:lastRenderedPageBreak/>
        <w:t xml:space="preserve">przewidzianym na „uzupełnienie” wniosku w zakresie, o którym mowa w ust. 6a, lub wniosku wyłącznie o zastosowanie mechanizmu zwiększenia, o którym mowa w art. 7a ust. 1 (dostępny jest on wyłącznie dla wnioskodawców – podmiotów, które złożyły stosowny wniosek w ustawowym terminie). </w:t>
      </w:r>
      <w:r w:rsidR="0039307D" w:rsidRPr="00442630">
        <w:rPr>
          <w:rFonts w:ascii="Times New Roman" w:hAnsi="Times New Roman" w:cs="Times New Roman"/>
          <w:szCs w:val="24"/>
        </w:rPr>
        <w:t>Szczegółowy z</w:t>
      </w:r>
      <w:r w:rsidR="00225252" w:rsidRPr="00442630">
        <w:rPr>
          <w:rFonts w:ascii="Times New Roman" w:hAnsi="Times New Roman" w:cs="Times New Roman"/>
          <w:szCs w:val="24"/>
        </w:rPr>
        <w:t>akres dokumentacji, o której mowa w art. 10 ust. 6a</w:t>
      </w:r>
      <w:r w:rsidR="0039307D" w:rsidRPr="00442630">
        <w:rPr>
          <w:rFonts w:ascii="Times New Roman" w:hAnsi="Times New Roman" w:cs="Times New Roman"/>
          <w:szCs w:val="24"/>
        </w:rPr>
        <w:t xml:space="preserve"> pkt 4</w:t>
      </w:r>
      <w:r w:rsidR="00225252" w:rsidRPr="00442630">
        <w:rPr>
          <w:rFonts w:ascii="Times New Roman" w:hAnsi="Times New Roman" w:cs="Times New Roman"/>
          <w:szCs w:val="24"/>
        </w:rPr>
        <w:t>, zostanie określony w rozporządzeniu ministra właściwego do spraw gospodarki wydanym na podstawie art. 10 ust. 10.</w:t>
      </w:r>
    </w:p>
    <w:p w14:paraId="3EC790C3" w14:textId="77777777" w:rsidR="00F14900" w:rsidRPr="00442630" w:rsidRDefault="00F14900" w:rsidP="00AC67FA">
      <w:pPr>
        <w:pStyle w:val="NIEARTTEKSTtekstnieartykuowanynppodstprawnarozplubpreambua"/>
        <w:spacing w:after="240"/>
        <w:ind w:firstLine="0"/>
        <w:rPr>
          <w:rStyle w:val="Ppogrubienie"/>
          <w:rFonts w:ascii="Times New Roman" w:hAnsi="Times New Roman" w:cs="Times New Roman"/>
          <w:szCs w:val="24"/>
        </w:rPr>
      </w:pPr>
      <w:r w:rsidRPr="00442630">
        <w:rPr>
          <w:rStyle w:val="Ppogrubienie"/>
          <w:rFonts w:ascii="Times New Roman" w:hAnsi="Times New Roman" w:cs="Times New Roman"/>
          <w:szCs w:val="24"/>
        </w:rPr>
        <w:t>Decyzja w sprawie przyznania lub odmowy przyznania rekompensat (art. 11)</w:t>
      </w:r>
    </w:p>
    <w:p w14:paraId="0909647B" w14:textId="77777777" w:rsidR="00F14900" w:rsidRPr="00442630" w:rsidRDefault="00F14900" w:rsidP="00AC67FA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Zmiany </w:t>
      </w:r>
      <w:r w:rsidR="00225252" w:rsidRPr="00442630">
        <w:rPr>
          <w:rFonts w:ascii="Times New Roman" w:hAnsi="Times New Roman" w:cs="Times New Roman"/>
          <w:szCs w:val="24"/>
        </w:rPr>
        <w:t xml:space="preserve">w art. 11 </w:t>
      </w:r>
      <w:r w:rsidRPr="00442630">
        <w:rPr>
          <w:rFonts w:ascii="Times New Roman" w:hAnsi="Times New Roman" w:cs="Times New Roman"/>
          <w:szCs w:val="24"/>
        </w:rPr>
        <w:t>mają na celu wydłużenie terminu na wydanie decyzji (z uwagi na wprowadzenie mechanizmu zwiększenia rekompensat) z jednoczesnym skróceniem terminu na dokonanie wypłaty środków przez Bank Gospodarstwa Krajowego. Zmiana ta efektywnie przesuwa wypłatę środków o 7 dni względem stanu obecnego. W ocenie ustawodawcy doprowadzi to do bardziej efektywnego podziału czasu względem poszczególnych zadań, bez dalszego odraczania wypłaty środków.</w:t>
      </w:r>
    </w:p>
    <w:p w14:paraId="48607BC7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Ponadto przepis przewiduje możliwość wydania decyzji przez Prezesa URE w sprawie przyznania w całości lub w części lub odmowy przyznania rekompensat za poprzedni rok kalendarzowy.</w:t>
      </w:r>
    </w:p>
    <w:p w14:paraId="25059DDE" w14:textId="77777777" w:rsidR="00F14900" w:rsidRPr="00442630" w:rsidRDefault="00F14900" w:rsidP="00AC67FA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 xml:space="preserve">Obowiązki podmiotów otrzymujących rekompensaty (art. 12a i art. 12b) </w:t>
      </w:r>
    </w:p>
    <w:p w14:paraId="6386119B" w14:textId="26BB1B8A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Zgodnie z treścią Nowych Wytycznych, państwa członkowskie UE wprowadzające system rekompensat zobowiązują się monitorować, czy wnioskodawcy (tzw. duzi przedsiębiorcy) wywiązują się z obowiązku przeprowadzenia audytu energetycznego w rozumieniu art. 8 dyrektywy Parlamentu Europejskiego i Rady 2012/27/UE z dnia 25 października 2012 r. w sprawie efektywności energetycznej, zmiany dyrektyw 2009/125/WE i 2010/30/UE oraz uchylenia dyrektyw 2004/8/WE i 2006/32/WE (Dz. Urz. UE L 315 z 14.11.2012, s. 1), zwanej dalej „dyrektywą o efektywności energetycznej”, jako samodzielnego audytu energetycznego lub w ramach certyfikowanego systemu zarządzania energią lub systemu zarządzania środowiskowego, np. unijnego systemu </w:t>
      </w:r>
      <w:proofErr w:type="spellStart"/>
      <w:r w:rsidRPr="00442630">
        <w:rPr>
          <w:rFonts w:ascii="Times New Roman" w:hAnsi="Times New Roman" w:cs="Times New Roman"/>
          <w:szCs w:val="24"/>
        </w:rPr>
        <w:t>ekozarządzania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 i audytu (EMAS). W świetle przepisów ustawy o rekompensat</w:t>
      </w:r>
      <w:r w:rsidR="00225252" w:rsidRPr="00442630">
        <w:rPr>
          <w:rFonts w:ascii="Times New Roman" w:hAnsi="Times New Roman" w:cs="Times New Roman"/>
          <w:szCs w:val="24"/>
        </w:rPr>
        <w:t>ach</w:t>
      </w:r>
      <w:r w:rsidRPr="00442630">
        <w:rPr>
          <w:rFonts w:ascii="Times New Roman" w:hAnsi="Times New Roman" w:cs="Times New Roman"/>
          <w:szCs w:val="24"/>
        </w:rPr>
        <w:t xml:space="preserve"> należy wskazać, że wnioskodawcy ubiegający się o wypłatę rekompensat mają już obecnie obowiązek posiadania wdrożonego systemu zarządzania energią lub środowiskowego potwierdzonego stosownym certyfikatem. </w:t>
      </w:r>
    </w:p>
    <w:p w14:paraId="295E5DD9" w14:textId="442F45A1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Dodatkowo Nowe Wytyczne nakładają na państwa członkowskie UE obowiązek monitorowania</w:t>
      </w:r>
      <w:r w:rsidR="002D32BC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czy wnioskodawcy obowiązani do przeprowadzenia audytu energetycznego na </w:t>
      </w:r>
      <w:r w:rsidRPr="00442630">
        <w:rPr>
          <w:rFonts w:ascii="Times New Roman" w:hAnsi="Times New Roman" w:cs="Times New Roman"/>
          <w:szCs w:val="24"/>
        </w:rPr>
        <w:lastRenderedPageBreak/>
        <w:t>mocy dyrektywy o efektywności energetycznej (tzw. duzi przedsiębiorcy) spełniają obowiązek wdrożenia rozwiązań mających na celu ograniczenie emisji gazów cieplarnianych lub poprawę efektywności energetycznej, o którym mowa w art. 12a ust. 1. Projekt ustawy przewiduje możliwość realizacji tego obowiązku na jeden z przewidzianych w art. 12a ust. 2 sposobów (alternatywnie):</w:t>
      </w:r>
    </w:p>
    <w:p w14:paraId="24430EF2" w14:textId="1B7BAAA8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1)</w:t>
      </w:r>
      <w:r w:rsidRPr="00442630">
        <w:rPr>
          <w:rFonts w:ascii="Times New Roman" w:hAnsi="Times New Roman" w:cs="Times New Roman"/>
          <w:szCs w:val="24"/>
        </w:rPr>
        <w:tab/>
        <w:t>zrealizowanie przedsięwzięć służących poprawie efektywności energetycznej wskazanych w audycie energetycznym przedsiębiorstwa, o którym mowa w art. 36 ust. 1 ustawy z dnia 20 maja 2016 r. o efektywności energetycznej (Dz. U. z 2021 r. poz. 2166), lub audycie energetycznym przeprowadzonym w ramach systemów, o których mowa w art. 36 ust. 2 tej ustawy, dla których okres zwrotu nakładów nie przekracza 3 lat,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>albo</w:t>
      </w:r>
    </w:p>
    <w:p w14:paraId="3BA12DD6" w14:textId="5CDDDC44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2)</w:t>
      </w:r>
      <w:r w:rsidRPr="00442630">
        <w:rPr>
          <w:rFonts w:ascii="Times New Roman" w:hAnsi="Times New Roman" w:cs="Times New Roman"/>
          <w:szCs w:val="24"/>
        </w:rPr>
        <w:tab/>
        <w:t>wykazania, że w roku kalendarzowym, za który zostały przyznane rekompensaty, co najmniej 30% energii elektrycznej</w:t>
      </w:r>
      <w:r w:rsidR="002D32BC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w odniesieniu do której podmiot ten uzyskał rekompensaty, został</w:t>
      </w:r>
      <w:r w:rsidR="002D32BC">
        <w:rPr>
          <w:rFonts w:ascii="Times New Roman" w:hAnsi="Times New Roman" w:cs="Times New Roman"/>
          <w:szCs w:val="24"/>
        </w:rPr>
        <w:t>o</w:t>
      </w:r>
      <w:r w:rsidRPr="00442630">
        <w:rPr>
          <w:rFonts w:ascii="Times New Roman" w:hAnsi="Times New Roman" w:cs="Times New Roman"/>
          <w:szCs w:val="24"/>
        </w:rPr>
        <w:t xml:space="preserve"> wytworzon</w:t>
      </w:r>
      <w:r w:rsidR="002D32BC">
        <w:rPr>
          <w:rFonts w:ascii="Times New Roman" w:hAnsi="Times New Roman" w:cs="Times New Roman"/>
          <w:szCs w:val="24"/>
        </w:rPr>
        <w:t>ej</w:t>
      </w:r>
      <w:r w:rsidRPr="00442630">
        <w:rPr>
          <w:rFonts w:ascii="Times New Roman" w:hAnsi="Times New Roman" w:cs="Times New Roman"/>
          <w:szCs w:val="24"/>
        </w:rPr>
        <w:t xml:space="preserve"> ze źródeł zapewniających uniknięcie emisji gazów cieplarnianych, albo</w:t>
      </w:r>
    </w:p>
    <w:p w14:paraId="31682F01" w14:textId="77777777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3)</w:t>
      </w:r>
      <w:r w:rsidRPr="00442630">
        <w:rPr>
          <w:rFonts w:ascii="Times New Roman" w:hAnsi="Times New Roman" w:cs="Times New Roman"/>
          <w:szCs w:val="24"/>
        </w:rPr>
        <w:tab/>
        <w:t xml:space="preserve">poniesienia nakładów finansowych, w wysokości nie mniejszej niż 50% wartości rekompensat uzyskanych za dany rok kalendarzowy, na przedsięwzięcia mające na celu ograniczenie emisji gazów cieplarnianych z instalacji, o której mowa w art. 3 pkt 7 ustawy z dnia 12 czerwca 2015 r. o systemie handlu uprawnieniami do emisji gazów cieplarnianych (Dz. U. z 2021 r. poz. 332,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>. zm.), wobec której podmiot ten jest prowadzącym instalację</w:t>
      </w:r>
      <w:r w:rsidR="00232192" w:rsidRPr="00442630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poniżej mającego zastosowanie wskaźnika emisyjności, o którym mowa w rozporządzeniu Komisji (UE) 2019/331.</w:t>
      </w:r>
    </w:p>
    <w:p w14:paraId="04DFFF0D" w14:textId="559B1726" w:rsidR="00F14900" w:rsidRPr="00442630" w:rsidRDefault="00F14900" w:rsidP="00F14900">
      <w:pPr>
        <w:pStyle w:val="ARTartustawynprozporzdzeni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W odniesieniu do sposobu realizacji warunku, o którym mowa w art. 12a ust. 1</w:t>
      </w:r>
      <w:r w:rsidR="002D32BC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przez wdrażanie zaleceń w zakresie efektywności energetycznej należy wskazać, że wnioskodawca zobowiązany jest do realizacji wszystkich przedsięwzięć, jednakże tylko w takim zakresie, w jakim wymagane na ich realizację nakłady finansowe nie przenoszą wartości rekompensat uzyskanych za dany rok</w:t>
      </w:r>
      <w:r w:rsidR="00232192" w:rsidRPr="00442630">
        <w:rPr>
          <w:rFonts w:ascii="Times New Roman" w:hAnsi="Times New Roman" w:cs="Times New Roman"/>
          <w:szCs w:val="24"/>
        </w:rPr>
        <w:t xml:space="preserve"> kalendarzowy</w:t>
      </w:r>
      <w:r w:rsidRPr="00442630">
        <w:rPr>
          <w:rFonts w:ascii="Times New Roman" w:hAnsi="Times New Roman" w:cs="Times New Roman"/>
          <w:szCs w:val="24"/>
        </w:rPr>
        <w:t>.</w:t>
      </w:r>
    </w:p>
    <w:p w14:paraId="2048465A" w14:textId="77777777" w:rsidR="00F14900" w:rsidRPr="00442630" w:rsidRDefault="00F14900" w:rsidP="00F14900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Zgodnie z przepisami projektu ustawy mogą wystąpić zatem trzy sytuacje:</w:t>
      </w:r>
    </w:p>
    <w:p w14:paraId="0FBFC01E" w14:textId="77777777" w:rsidR="00F14900" w:rsidRPr="00442630" w:rsidRDefault="00F14900" w:rsidP="007658A1">
      <w:pPr>
        <w:pStyle w:val="ARTartustawynprozporzdzenia"/>
        <w:ind w:left="426" w:hanging="426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1)</w:t>
      </w:r>
      <w:r w:rsidR="00232192" w:rsidRPr="00442630">
        <w:rPr>
          <w:rFonts w:ascii="Times New Roman" w:hAnsi="Times New Roman" w:cs="Times New Roman"/>
          <w:szCs w:val="24"/>
        </w:rPr>
        <w:tab/>
      </w:r>
      <w:r w:rsidRPr="00442630">
        <w:rPr>
          <w:rFonts w:ascii="Times New Roman" w:hAnsi="Times New Roman" w:cs="Times New Roman"/>
          <w:szCs w:val="24"/>
        </w:rPr>
        <w:t>audyt energetyczny nie wskaże projektów o okresie spłaty nie dłuższym niż 3 lata;</w:t>
      </w:r>
    </w:p>
    <w:p w14:paraId="4A39F512" w14:textId="77777777" w:rsidR="00F14900" w:rsidRPr="00442630" w:rsidRDefault="00F14900" w:rsidP="007658A1">
      <w:pPr>
        <w:pStyle w:val="ARTartustawynprozporzdzenia"/>
        <w:ind w:left="426" w:hanging="426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2)</w:t>
      </w:r>
      <w:r w:rsidRPr="00442630">
        <w:rPr>
          <w:rFonts w:ascii="Times New Roman" w:hAnsi="Times New Roman" w:cs="Times New Roman"/>
          <w:szCs w:val="24"/>
        </w:rPr>
        <w:tab/>
        <w:t>audyt energetyczny wskaże projekty o okresie spłaty nie dłuższym niż 3 lata, ale wartość niezbędnych nakładów w odniesieniu do każdego z indywidualnych projektów przekracza wartość rekompensat;</w:t>
      </w:r>
    </w:p>
    <w:p w14:paraId="2C7B99E5" w14:textId="77777777" w:rsidR="009F0150" w:rsidRPr="00442630" w:rsidRDefault="00F14900" w:rsidP="007658A1">
      <w:pPr>
        <w:pStyle w:val="ARTartustawynprozporzdzenia"/>
        <w:ind w:left="426" w:hanging="426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lastRenderedPageBreak/>
        <w:t>3)</w:t>
      </w:r>
      <w:r w:rsidRPr="00442630">
        <w:rPr>
          <w:rFonts w:ascii="Times New Roman" w:hAnsi="Times New Roman" w:cs="Times New Roman"/>
          <w:szCs w:val="24"/>
        </w:rPr>
        <w:tab/>
        <w:t>audyt energetyczny wskaże projekty o okresie spłaty nie dłuższym niż 3 lata, w przypadku których wartość niezbędnych nakładów nie przekracza wartości rekompensat i beneficjent udokumentuje ich realizację (tylko do wysokości uzyskanych rekompensat).</w:t>
      </w:r>
    </w:p>
    <w:p w14:paraId="1CCB9E51" w14:textId="17A493D9" w:rsidR="00F14900" w:rsidRPr="00442630" w:rsidRDefault="00F14900" w:rsidP="007658A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Należy wskazać, iż w sytuacji, gdy łączna wartość nakładów na wszystkie ze wskazanych w audycie energetycznym przedsięwzięć </w:t>
      </w:r>
      <w:r w:rsidR="009F3862" w:rsidRPr="00442630">
        <w:rPr>
          <w:rFonts w:ascii="Times New Roman" w:hAnsi="Times New Roman" w:cs="Times New Roman"/>
          <w:szCs w:val="24"/>
        </w:rPr>
        <w:t xml:space="preserve">przewyższa </w:t>
      </w:r>
      <w:r w:rsidRPr="00442630">
        <w:rPr>
          <w:rFonts w:ascii="Times New Roman" w:hAnsi="Times New Roman" w:cs="Times New Roman"/>
          <w:szCs w:val="24"/>
        </w:rPr>
        <w:t xml:space="preserve">wartość uzyskanych </w:t>
      </w:r>
      <w:r w:rsidR="003E100A">
        <w:rPr>
          <w:rFonts w:ascii="Times New Roman" w:hAnsi="Times New Roman" w:cs="Times New Roman"/>
          <w:szCs w:val="24"/>
        </w:rPr>
        <w:t xml:space="preserve">rekompensat, wnioskodawca jest </w:t>
      </w:r>
      <w:r w:rsidRPr="00442630">
        <w:rPr>
          <w:rFonts w:ascii="Times New Roman" w:hAnsi="Times New Roman" w:cs="Times New Roman"/>
          <w:szCs w:val="24"/>
        </w:rPr>
        <w:t>obowiązany wdrożyć tylko te z nich, które nie wymagają poniesienia większych nakładów finansowych</w:t>
      </w:r>
      <w:r w:rsidR="009F3862" w:rsidRPr="00442630">
        <w:rPr>
          <w:rFonts w:ascii="Times New Roman" w:hAnsi="Times New Roman" w:cs="Times New Roman"/>
          <w:szCs w:val="24"/>
        </w:rPr>
        <w:t xml:space="preserve"> niż uzyskane rekompensaty</w:t>
      </w:r>
      <w:r w:rsidRPr="00442630">
        <w:rPr>
          <w:rFonts w:ascii="Times New Roman" w:hAnsi="Times New Roman" w:cs="Times New Roman"/>
          <w:szCs w:val="24"/>
        </w:rPr>
        <w:t xml:space="preserve">. </w:t>
      </w:r>
    </w:p>
    <w:p w14:paraId="4A853EC6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Uznaje się, że w razie braku dalszych zaleceń wskazanych w sprawozdaniu z audytu (spełniających warunki dotyczące okresu zwrotu z inwestycji oraz proporcjonalności do kwoty pomocy, o których mowa powyżej) przyjmuje się, że warunek ten został spełniony z powodu braku możliwości dalszej poprawy efektywności energetycznej, co wnioskodawca potwierdzałby stosownym oświadczeniem. Zgodnie z intencją projektodawcy należy odnosić się do ostatniego przeprowadzonego audytu (samodzielnego lub tego w ramach systemu, który był wykonany w celu realizacji obowiązku z art. 36 ust. 1 ustawy z dnia 20 maja 2016 r. o efektywności energetycznej). </w:t>
      </w:r>
    </w:p>
    <w:p w14:paraId="74C6185B" w14:textId="3D1851ED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W odniesieniu do realizacji obowiązku, o którym mowa w art. 12a ust. 1</w:t>
      </w:r>
      <w:r w:rsidR="005D0FC2" w:rsidRPr="00442630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przez zapewnienie uniknięcia emisji dwutlenku węgla (CO</w:t>
      </w:r>
      <w:r w:rsidRPr="00442630">
        <w:rPr>
          <w:rStyle w:val="IDindeksdolny"/>
          <w:rFonts w:ascii="Times New Roman" w:hAnsi="Times New Roman" w:cs="Times New Roman"/>
          <w:szCs w:val="24"/>
        </w:rPr>
        <w:t>2</w:t>
      </w:r>
      <w:r w:rsidRPr="00442630">
        <w:rPr>
          <w:rFonts w:ascii="Times New Roman" w:hAnsi="Times New Roman" w:cs="Times New Roman"/>
          <w:szCs w:val="24"/>
        </w:rPr>
        <w:t xml:space="preserve">) w ramach zużywanej energii elektrycznej, jednym ze sposobów wykazania udziału odnawialnych źródeł energii (OZE) w zużyciu energii elektrycznej odbiorcy końcowego jest uzyskanie potwierdzenia umorzenia (przez odbiorcę końcowego lub w jego imieniu) gwarancji pochodzenia, w tym gwarancji pochodzenia wydanych w innym państwie członkowskim UE, Konfederacji Szwajcarskiej lub państwie członkowskim UE Europejskiego Porozumienia o Wolnym Handlu (EFTA) – stronie umowy o Europejskim Obszarze Gospodarczym lub państwie członkowskim Wspólnoty Energetycznej. </w:t>
      </w:r>
    </w:p>
    <w:p w14:paraId="6EA14082" w14:textId="2F847DE3" w:rsidR="00660AD6" w:rsidRPr="00442630" w:rsidRDefault="0009508E" w:rsidP="00660A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Należy </w:t>
      </w:r>
      <w:r w:rsidR="005D0FC2" w:rsidRPr="00442630">
        <w:rPr>
          <w:rFonts w:ascii="Times New Roman" w:hAnsi="Times New Roman" w:cs="Times New Roman"/>
          <w:szCs w:val="24"/>
        </w:rPr>
        <w:t xml:space="preserve">w tym miejscu </w:t>
      </w:r>
      <w:r w:rsidRPr="00442630">
        <w:rPr>
          <w:rFonts w:ascii="Times New Roman" w:hAnsi="Times New Roman" w:cs="Times New Roman"/>
          <w:szCs w:val="24"/>
        </w:rPr>
        <w:t>wyjaśnić, że w</w:t>
      </w:r>
      <w:r w:rsidR="00660AD6" w:rsidRPr="00442630">
        <w:rPr>
          <w:rFonts w:ascii="Times New Roman" w:hAnsi="Times New Roman" w:cs="Times New Roman"/>
          <w:szCs w:val="24"/>
        </w:rPr>
        <w:t xml:space="preserve"> wiążących dokumentach unijnych (np. dyrektywie Parlamentu Europejskiego i Rady (UE) 2018/2001 z dnia 11 grudnia 2018 r. w sprawie promowania stosowania energii ze źródeł odnawialnych</w:t>
      </w:r>
      <w:r w:rsidR="005D0FC2" w:rsidRPr="00442630">
        <w:rPr>
          <w:rFonts w:ascii="Times New Roman" w:hAnsi="Times New Roman" w:cs="Times New Roman"/>
          <w:szCs w:val="24"/>
        </w:rPr>
        <w:t xml:space="preserve"> (Dz. Urz. UE L 328 z 21.12.2018, str. 82, z </w:t>
      </w:r>
      <w:proofErr w:type="spellStart"/>
      <w:r w:rsidR="005D0FC2" w:rsidRPr="00442630">
        <w:rPr>
          <w:rFonts w:ascii="Times New Roman" w:hAnsi="Times New Roman" w:cs="Times New Roman"/>
          <w:szCs w:val="24"/>
        </w:rPr>
        <w:t>późn</w:t>
      </w:r>
      <w:proofErr w:type="spellEnd"/>
      <w:r w:rsidR="005D0FC2" w:rsidRPr="00442630">
        <w:rPr>
          <w:rFonts w:ascii="Times New Roman" w:hAnsi="Times New Roman" w:cs="Times New Roman"/>
          <w:szCs w:val="24"/>
        </w:rPr>
        <w:t>. zm.)</w:t>
      </w:r>
      <w:r w:rsidR="00660AD6" w:rsidRPr="00442630">
        <w:rPr>
          <w:rFonts w:ascii="Times New Roman" w:hAnsi="Times New Roman" w:cs="Times New Roman"/>
          <w:szCs w:val="24"/>
        </w:rPr>
        <w:t xml:space="preserve">, </w:t>
      </w:r>
      <w:r w:rsidR="005D0FC2" w:rsidRPr="00442630">
        <w:rPr>
          <w:rFonts w:ascii="Times New Roman" w:hAnsi="Times New Roman" w:cs="Times New Roman"/>
          <w:szCs w:val="24"/>
        </w:rPr>
        <w:t>zwanej dalej</w:t>
      </w:r>
      <w:r w:rsidR="00660AD6" w:rsidRPr="00442630">
        <w:rPr>
          <w:rFonts w:ascii="Times New Roman" w:hAnsi="Times New Roman" w:cs="Times New Roman"/>
          <w:szCs w:val="24"/>
        </w:rPr>
        <w:t xml:space="preserve"> „RED II”) nie funkcjonuje definicja źródła „</w:t>
      </w:r>
      <w:proofErr w:type="spellStart"/>
      <w:r w:rsidR="00660AD6" w:rsidRPr="00442630">
        <w:rPr>
          <w:rFonts w:ascii="Times New Roman" w:hAnsi="Times New Roman" w:cs="Times New Roman"/>
          <w:szCs w:val="24"/>
        </w:rPr>
        <w:t>bezemisyjnego</w:t>
      </w:r>
      <w:proofErr w:type="spellEnd"/>
      <w:r w:rsidR="00660AD6" w:rsidRPr="00442630">
        <w:rPr>
          <w:rFonts w:ascii="Times New Roman" w:hAnsi="Times New Roman" w:cs="Times New Roman"/>
          <w:szCs w:val="24"/>
        </w:rPr>
        <w:t>”. Najbliższa temu określeniu jest definicja energii ze źródeł odnawialnych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="00660AD6" w:rsidRPr="00442630">
        <w:rPr>
          <w:rFonts w:ascii="Times New Roman" w:hAnsi="Times New Roman" w:cs="Times New Roman"/>
          <w:szCs w:val="24"/>
        </w:rPr>
        <w:t>(art. 2 pkt 1 RED II) przyczyniająca się do realizacji celu udziału energii ze źródeł odnawialnych w U</w:t>
      </w:r>
      <w:r w:rsidR="005D0FC2" w:rsidRPr="00442630">
        <w:rPr>
          <w:rFonts w:ascii="Times New Roman" w:hAnsi="Times New Roman" w:cs="Times New Roman"/>
          <w:szCs w:val="24"/>
        </w:rPr>
        <w:t>E</w:t>
      </w:r>
      <w:r w:rsidR="00660AD6" w:rsidRPr="00442630">
        <w:rPr>
          <w:rFonts w:ascii="Times New Roman" w:hAnsi="Times New Roman" w:cs="Times New Roman"/>
          <w:szCs w:val="24"/>
        </w:rPr>
        <w:t xml:space="preserve"> w końcowym zużyciu energii brutto (art. 3 RED II) oraz konieczna do redukcji emisji gazów cieplarnianych i wypełnienia unijnych zobowiązań w ramach Porozumienia paryskiego z 2015 </w:t>
      </w:r>
      <w:r w:rsidR="00660AD6" w:rsidRPr="00442630">
        <w:rPr>
          <w:rFonts w:ascii="Times New Roman" w:hAnsi="Times New Roman" w:cs="Times New Roman"/>
          <w:szCs w:val="24"/>
        </w:rPr>
        <w:lastRenderedPageBreak/>
        <w:t>r. w sprawie zmian klimatu (motyw 2 RED II), a także umożliwiająca redukcję emisji w stosunku do energii wyprodukowanej z paliwa kopalnego (art. 3 pkt 13 rozporządzenia wykonawczego Komisji (UE) 2018/2066</w:t>
      </w:r>
      <w:r w:rsidRPr="00442630">
        <w:rPr>
          <w:rFonts w:ascii="Times New Roman" w:hAnsi="Times New Roman" w:cs="Times New Roman"/>
          <w:szCs w:val="24"/>
        </w:rPr>
        <w:t xml:space="preserve"> z dnia 19 grudnia 2018 r. w sprawie monitorowania i raportowania w zakresie emisji gazów cieplarnianych na podstawie dyrektywy 2003/87/WE Parlamentu Europejskiego i Rady oraz zmieniającego rozporządzenie Komisji (UE) nr 601/2012</w:t>
      </w:r>
      <w:r w:rsidR="005D0FC2" w:rsidRPr="00442630">
        <w:rPr>
          <w:rFonts w:ascii="Times New Roman" w:hAnsi="Times New Roman" w:cs="Times New Roman"/>
          <w:szCs w:val="24"/>
        </w:rPr>
        <w:t xml:space="preserve"> (Dz. Urz. UE L 334 z 31.12.2018 r., str. 1, z </w:t>
      </w:r>
      <w:proofErr w:type="spellStart"/>
      <w:r w:rsidR="005D0FC2" w:rsidRPr="00442630">
        <w:rPr>
          <w:rFonts w:ascii="Times New Roman" w:hAnsi="Times New Roman" w:cs="Times New Roman"/>
          <w:szCs w:val="24"/>
        </w:rPr>
        <w:t>późn</w:t>
      </w:r>
      <w:proofErr w:type="spellEnd"/>
      <w:r w:rsidR="005D0FC2" w:rsidRPr="00442630">
        <w:rPr>
          <w:rFonts w:ascii="Times New Roman" w:hAnsi="Times New Roman" w:cs="Times New Roman"/>
          <w:szCs w:val="24"/>
        </w:rPr>
        <w:t>. zm.)</w:t>
      </w:r>
      <w:r w:rsidR="00660AD6" w:rsidRPr="00442630">
        <w:rPr>
          <w:rFonts w:ascii="Times New Roman" w:hAnsi="Times New Roman" w:cs="Times New Roman"/>
          <w:szCs w:val="24"/>
        </w:rPr>
        <w:t>). Za „</w:t>
      </w:r>
      <w:proofErr w:type="spellStart"/>
      <w:r w:rsidR="00660AD6" w:rsidRPr="00442630">
        <w:rPr>
          <w:rFonts w:ascii="Times New Roman" w:hAnsi="Times New Roman" w:cs="Times New Roman"/>
          <w:szCs w:val="24"/>
        </w:rPr>
        <w:t>bezemisyjne</w:t>
      </w:r>
      <w:proofErr w:type="spellEnd"/>
      <w:r w:rsidR="00660AD6" w:rsidRPr="00442630">
        <w:rPr>
          <w:rFonts w:ascii="Times New Roman" w:hAnsi="Times New Roman" w:cs="Times New Roman"/>
          <w:szCs w:val="24"/>
        </w:rPr>
        <w:t>” źródła należy uznać te, dla których nie został ustanowiony współczynnik emisji w pkt 1 załącznika VI do</w:t>
      </w:r>
      <w:r w:rsidRPr="00442630">
        <w:rPr>
          <w:rFonts w:ascii="Times New Roman" w:hAnsi="Times New Roman" w:cs="Times New Roman"/>
          <w:szCs w:val="24"/>
        </w:rPr>
        <w:t xml:space="preserve"> ww.</w:t>
      </w:r>
      <w:r w:rsidR="00660AD6" w:rsidRPr="00442630">
        <w:rPr>
          <w:rFonts w:ascii="Times New Roman" w:hAnsi="Times New Roman" w:cs="Times New Roman"/>
          <w:szCs w:val="24"/>
        </w:rPr>
        <w:t xml:space="preserve"> rozporządzenia wykonawczego Komisji (UE) 2018/2066 lub został ustalony na poziomie 0. Są nimi właśnie odnawialne źródła energii.</w:t>
      </w:r>
    </w:p>
    <w:p w14:paraId="3B34B955" w14:textId="77777777" w:rsidR="00660AD6" w:rsidRPr="00442630" w:rsidRDefault="00660AD6" w:rsidP="00660AD6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Powyższa definicja została przeni</w:t>
      </w:r>
      <w:r w:rsidR="005D0FC2" w:rsidRPr="00442630">
        <w:rPr>
          <w:rFonts w:ascii="Times New Roman" w:hAnsi="Times New Roman" w:cs="Times New Roman"/>
          <w:szCs w:val="24"/>
        </w:rPr>
        <w:t>esiona na grunt prawa krajowego. Z</w:t>
      </w:r>
      <w:r w:rsidRPr="00442630">
        <w:rPr>
          <w:rFonts w:ascii="Times New Roman" w:hAnsi="Times New Roman" w:cs="Times New Roman"/>
          <w:szCs w:val="24"/>
        </w:rPr>
        <w:t xml:space="preserve">godnie z art. 2 pkt 22 </w:t>
      </w:r>
      <w:r w:rsidR="005D0FC2" w:rsidRPr="00442630">
        <w:rPr>
          <w:rFonts w:ascii="Times New Roman" w:hAnsi="Times New Roman" w:cs="Times New Roman"/>
          <w:szCs w:val="24"/>
        </w:rPr>
        <w:t xml:space="preserve">ustawy </w:t>
      </w:r>
      <w:r w:rsidRPr="00442630">
        <w:rPr>
          <w:rFonts w:ascii="Times New Roman" w:hAnsi="Times New Roman" w:cs="Times New Roman"/>
          <w:szCs w:val="24"/>
        </w:rPr>
        <w:t xml:space="preserve">z dnia 20 lutego 2015 r. o odnawialnych źródłach energii odnawialne źródło energii to odnawialne, niekopalne źródła energii obejmujące energię wiatru, energię promieniowania słonecznego, energię </w:t>
      </w:r>
      <w:proofErr w:type="spellStart"/>
      <w:r w:rsidRPr="00442630">
        <w:rPr>
          <w:rFonts w:ascii="Times New Roman" w:hAnsi="Times New Roman" w:cs="Times New Roman"/>
          <w:szCs w:val="24"/>
        </w:rPr>
        <w:t>aerotermalną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, energię geotermalną, energię hydrotermalną, hydroenergię, energię fal, prądów i pływów morskich, energię otrzymywaną z biomasy, biogazu, biogazu rolniczego oraz z </w:t>
      </w:r>
      <w:proofErr w:type="spellStart"/>
      <w:r w:rsidRPr="00442630">
        <w:rPr>
          <w:rFonts w:ascii="Times New Roman" w:hAnsi="Times New Roman" w:cs="Times New Roman"/>
          <w:szCs w:val="24"/>
        </w:rPr>
        <w:t>biopłynów</w:t>
      </w:r>
      <w:proofErr w:type="spellEnd"/>
      <w:r w:rsidRPr="00442630">
        <w:rPr>
          <w:rFonts w:ascii="Times New Roman" w:hAnsi="Times New Roman" w:cs="Times New Roman"/>
          <w:szCs w:val="24"/>
        </w:rPr>
        <w:t>.</w:t>
      </w:r>
    </w:p>
    <w:p w14:paraId="70B6C054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W ramach wyjaśnienia należy wskazać, że zgodnie z art. 120 ustawy z dnia 20 lutego 2015 r. o odnawialnych źródłach energii – gwarancje pochodzenia są jedynym środkiem poświadczającym odbiorcy końcowemu wartości środowiskowe wynikające z unikniętej emisji gazów cieplarnianych oraz że określona w tym dokumencie ilość energii elektrycznej wprowadzonej do sieci dystrybucyjnej lub sieci przesyłowej została wytworzona z odnawialnych źródeł energii w instalacjach odnawialnego źródła energii. </w:t>
      </w:r>
    </w:p>
    <w:p w14:paraId="2DFD372D" w14:textId="7DF3E9CD" w:rsidR="00F14900" w:rsidRPr="00442630" w:rsidRDefault="00F14900" w:rsidP="00F14900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Takie zdefiniowanie dokumentu gwarancji pochodzenia powoduje konieczność odróżnienia sytuacji odbiorców końcowych energii elektrycznej, którzy dokonują jej zakupu od innego podmiotu</w:t>
      </w:r>
      <w:r w:rsidR="002D32BC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od sytuacji tzw. </w:t>
      </w:r>
      <w:proofErr w:type="spellStart"/>
      <w:r w:rsidRPr="00442630">
        <w:rPr>
          <w:rFonts w:ascii="Times New Roman" w:hAnsi="Times New Roman" w:cs="Times New Roman"/>
          <w:szCs w:val="24"/>
        </w:rPr>
        <w:t>autoproducentów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 − podmiotów wytwarzających i zużywających energię elektryczną na własne potrzeby, bez wprowadzenia ich do sieci dystrybucyjnej lub przesyłowej. </w:t>
      </w:r>
    </w:p>
    <w:p w14:paraId="663A791C" w14:textId="465809A6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Analizując otoczenie regulacyjne w zakresie umów bezpośredniego zakupu energii elektrycznej, projektodawca zdecydował, że również w przypadku umów zakupu energii elektrycznej z OZE od innego podmiotu (umowa Power </w:t>
      </w:r>
      <w:proofErr w:type="spellStart"/>
      <w:r w:rsidRPr="00442630">
        <w:rPr>
          <w:rFonts w:ascii="Times New Roman" w:hAnsi="Times New Roman" w:cs="Times New Roman"/>
          <w:szCs w:val="24"/>
        </w:rPr>
        <w:t>Purchase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 Agreement – PPA) jest konieczne uzyskanie potwierdzenia umorzenia gwarancji pochodzenia jako sposobu wykazania, że zużywana przez wnioskodawcę energia elektryczna została wytworzona ze źródeł zapewniających uniknięcie emisji gazów cieplarnianych.</w:t>
      </w:r>
    </w:p>
    <w:p w14:paraId="6C45171D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lastRenderedPageBreak/>
        <w:t xml:space="preserve">Samodzielne nabycie i umorzenie gwarancji pochodzenia w rejestrze gwarancji pochodzenia lub dokonanie umorzenia odpowiedniej ilości gwarancji pochodzenia przez inny podmiot na rzecz danego wnioskodawcy stanowią równorzędny sposób realizacji obowiązku przez wnioskodawcę. </w:t>
      </w:r>
    </w:p>
    <w:p w14:paraId="31949B9D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Inaczej możliwość realizacji omawianego obowiązku w zakresie ograniczenia śladu węglowego zużycia energii elektrycznej została uregulowana w odniesieniu do podmiotów wytwarzających i zużywających energię elektryczną na własne potrzeby. Wyłącznie w takim przypadku jest możliwe przedstawienie stosownej dokumentacji potwierdzającej wytworzenie energii elektrycznej w źródłach OZE, bez obowiązku umarzania gwarancji pochodzenia.</w:t>
      </w:r>
    </w:p>
    <w:p w14:paraId="2D22950D" w14:textId="62758081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Odnosząc się do sposobu realizacji obowiązku w zakresie redukcji emisji bezpośredniej</w:t>
      </w:r>
      <w:r w:rsidR="00736683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należy wskazać, iż zgodnie z zaproponowanym brzmieniem przepisu nie musi dotyczyć to instalacji wnioskodawcy, w odniesieniu do której wnioskuje on o wypłatę rekompensat. Należy bowiem zaznaczyć, że nie musi zachodzić, i w wielu przypadkach nie zachodzi, tożsamość granic pomiędzy instalacjami w rozumieniu ustawy o rekompensat</w:t>
      </w:r>
      <w:r w:rsidR="009F3862" w:rsidRPr="00442630">
        <w:rPr>
          <w:rFonts w:ascii="Times New Roman" w:hAnsi="Times New Roman" w:cs="Times New Roman"/>
          <w:szCs w:val="24"/>
        </w:rPr>
        <w:t>ach</w:t>
      </w:r>
      <w:r w:rsidRPr="00442630">
        <w:rPr>
          <w:rFonts w:ascii="Times New Roman" w:hAnsi="Times New Roman" w:cs="Times New Roman"/>
          <w:szCs w:val="24"/>
        </w:rPr>
        <w:t xml:space="preserve"> oraz ustawy z dnia 12 czerwca 2015 r. o systemie handlu uprawnieniami do emisji gazów cieplarnianych. Wobec tego obwiązek ten może być realizowany również przez redukcję emisji bezpośredniej w innych instalacjach eksploatowanych przez wnioskodawcę.</w:t>
      </w:r>
    </w:p>
    <w:p w14:paraId="22BCE459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  <w:lang w:eastAsia="en-US"/>
        </w:rPr>
      </w:pPr>
      <w:r w:rsidRPr="00442630">
        <w:rPr>
          <w:rFonts w:ascii="Times New Roman" w:hAnsi="Times New Roman" w:cs="Times New Roman"/>
          <w:szCs w:val="24"/>
        </w:rPr>
        <w:t>Realizacja obowiązku, o którym mowa w art. 12a ust. 1</w:t>
      </w:r>
      <w:r w:rsidR="009F3862" w:rsidRPr="00442630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będzie monitorowana przez konieczność przedstawienia dowodów na spełnienie go w jeden z trzech wskazanych w art. 12a ust. 2 sposobów wraz ze złożeniem sprawozdania Prezesowi URE, do dnia 30 listopada czwartego roku następującego po roku kalendarzowym, w którym wnioskodawca uzyskał rekompensaty. </w:t>
      </w:r>
    </w:p>
    <w:p w14:paraId="4390EEE4" w14:textId="77777777" w:rsidR="00F14900" w:rsidRPr="00442630" w:rsidRDefault="00F14900" w:rsidP="00F14900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Zgodnie z art. 12b ust. 2, możliwe jest łączne rozliczenie obowiązków w odniesieniu do dwóch, trzech lub czterech lat. Należy jednak wskazać, iż w odniesieniu do danego roku, obowiązek, o którym mowa w art. 12a ust. 1, musi być zrealizowany w całości na jeden ze sposobów, o których mowa w art. 12a ust. 2 (nie jest możliwe łączenie różnych form realizacji obowiązku, w tym częściowej, w odniesieniu do jednego roku). </w:t>
      </w:r>
      <w:bookmarkStart w:id="3" w:name="_Hlk87879727"/>
    </w:p>
    <w:p w14:paraId="157BD67A" w14:textId="77777777" w:rsidR="00F14900" w:rsidRPr="00442630" w:rsidRDefault="00F14900" w:rsidP="00F14900">
      <w:pPr>
        <w:pStyle w:val="ARTartustawynprozporzdzenia"/>
        <w:ind w:firstLine="0"/>
        <w:rPr>
          <w:rStyle w:val="Pogrubienie"/>
          <w:rFonts w:ascii="Times New Roman" w:hAnsi="Times New Roman" w:cs="Times New Roman"/>
          <w:szCs w:val="24"/>
        </w:rPr>
      </w:pPr>
      <w:r w:rsidRPr="00442630">
        <w:rPr>
          <w:rStyle w:val="Pogrubienie"/>
          <w:rFonts w:ascii="Times New Roman" w:hAnsi="Times New Roman" w:cs="Times New Roman"/>
          <w:szCs w:val="24"/>
        </w:rPr>
        <w:t>Rozszerzenie katalogu przesłanek zwrotu rekompensat w związku z obowiązkiem, o którym mowa w art. 12a ust. 1 (art. 13</w:t>
      </w:r>
      <w:r w:rsidR="0063524B" w:rsidRPr="00442630">
        <w:rPr>
          <w:rStyle w:val="Pogrubienie"/>
          <w:rFonts w:ascii="Times New Roman" w:hAnsi="Times New Roman" w:cs="Times New Roman"/>
          <w:szCs w:val="24"/>
        </w:rPr>
        <w:t xml:space="preserve"> i art. 14</w:t>
      </w:r>
      <w:r w:rsidRPr="00442630">
        <w:rPr>
          <w:rStyle w:val="Pogrubienie"/>
          <w:rFonts w:ascii="Times New Roman" w:hAnsi="Times New Roman" w:cs="Times New Roman"/>
          <w:szCs w:val="24"/>
        </w:rPr>
        <w:t>)</w:t>
      </w:r>
    </w:p>
    <w:bookmarkEnd w:id="3"/>
    <w:p w14:paraId="4ADFB6E0" w14:textId="77777777" w:rsidR="00F14900" w:rsidRPr="00442630" w:rsidRDefault="00F14900" w:rsidP="00F14900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W związku z wprowadzeniem dodatkowych wymogów wobec wnioskodawców konieczne jest wprowadzenie sankcji za brak ich realizacji. Niewypełnienie obowiązku, o którym mowa w </w:t>
      </w:r>
      <w:r w:rsidRPr="00442630">
        <w:rPr>
          <w:rFonts w:ascii="Times New Roman" w:hAnsi="Times New Roman" w:cs="Times New Roman"/>
          <w:szCs w:val="24"/>
        </w:rPr>
        <w:lastRenderedPageBreak/>
        <w:t xml:space="preserve">art. 12a ust. </w:t>
      </w:r>
      <w:r w:rsidR="009F3862" w:rsidRPr="00442630">
        <w:rPr>
          <w:rFonts w:ascii="Times New Roman" w:hAnsi="Times New Roman" w:cs="Times New Roman"/>
          <w:szCs w:val="24"/>
        </w:rPr>
        <w:t xml:space="preserve">1, </w:t>
      </w:r>
      <w:r w:rsidRPr="00442630">
        <w:rPr>
          <w:rFonts w:ascii="Times New Roman" w:hAnsi="Times New Roman" w:cs="Times New Roman"/>
          <w:szCs w:val="24"/>
        </w:rPr>
        <w:t>stanowi istotne naruszenie warunków przyznania pomocy, którego konsekwencją jest zwrot rekompensat, co zostało uwzględnione w projektowanym art. 13 pkt 4.</w:t>
      </w:r>
    </w:p>
    <w:p w14:paraId="03777DD4" w14:textId="77777777" w:rsidR="0063524B" w:rsidRPr="00442630" w:rsidRDefault="0063524B" w:rsidP="00F14900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Konsekwencją rozszerzenia przesłanek zwrotu rekompensat – zgodnie z wymaganiami Komisji Europejskiej − jest także zmiana w art. 14, tj. wskazanie, że w przypadku niewypełnienia obowiązku, o którym mowa w art. 12a ust. 1, przez podmiot, zwrot ten będzie dokonywany na zasadach określonych w art. 14 ustawy o rekompensatach.</w:t>
      </w:r>
    </w:p>
    <w:p w14:paraId="483704AD" w14:textId="77777777" w:rsidR="00F14900" w:rsidRPr="00442630" w:rsidRDefault="00F14900" w:rsidP="00736683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Roczne sprawozdanie dotyczące przyznanych rekompensat (art. 20)</w:t>
      </w:r>
    </w:p>
    <w:p w14:paraId="01BB42DC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Zaproponowana zmiana ma na celu dostosowanie informacji, jakie powinny być zawarte w rocznym sprawozdaniu dotyczącym przyznanych rekompensat, zgodnie z faktem, że produkcja referencyjna oraz referencyjne zużycie energii elektrycznej nie będą już przyjmowane jako wartości historyczne, a zamiast nich będą przyjmowane wartości rzeczywistego zużycia energii elektrycznej i rzeczywistej wielkości produkcji w roku kalendarzowym, za który są przyznawane rekompensaty.</w:t>
      </w:r>
    </w:p>
    <w:p w14:paraId="1974A726" w14:textId="77777777" w:rsidR="00F14900" w:rsidRPr="00442630" w:rsidRDefault="00F14900" w:rsidP="00736683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Kara pieniężna (art. 26)</w:t>
      </w:r>
    </w:p>
    <w:p w14:paraId="2B3D1E22" w14:textId="3A770331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Uzupełniono katalog administracyjnych kar pieniężnych przez ustanowienie kary za nieprzekazanie Prezesowi URE w terminie sprawozdania, o którym mowa w art. 12b ust. </w:t>
      </w:r>
      <w:r w:rsidR="0063524B" w:rsidRPr="00442630">
        <w:rPr>
          <w:rFonts w:ascii="Times New Roman" w:hAnsi="Times New Roman" w:cs="Times New Roman"/>
          <w:szCs w:val="24"/>
        </w:rPr>
        <w:t>3 pkt 1</w:t>
      </w:r>
      <w:r w:rsidRPr="00442630">
        <w:rPr>
          <w:rFonts w:ascii="Times New Roman" w:hAnsi="Times New Roman" w:cs="Times New Roman"/>
          <w:szCs w:val="24"/>
        </w:rPr>
        <w:t>.</w:t>
      </w:r>
      <w:r w:rsidR="0007797C">
        <w:rPr>
          <w:rFonts w:ascii="Times New Roman" w:hAnsi="Times New Roman" w:cs="Times New Roman"/>
          <w:szCs w:val="24"/>
        </w:rPr>
        <w:t xml:space="preserve"> </w:t>
      </w:r>
    </w:p>
    <w:p w14:paraId="62B9D7ED" w14:textId="02C23922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Kara za niewywiązanie się z obowiązków informacyjnych przez nieprzekazanie Prezesowi URE w wyznaczonym terminie sprawozdania została ustalona na tym samym poziomie, co przewidziana w ustawie o rekompensat</w:t>
      </w:r>
      <w:r w:rsidR="00292551" w:rsidRPr="00442630">
        <w:rPr>
          <w:rFonts w:ascii="Times New Roman" w:hAnsi="Times New Roman" w:cs="Times New Roman"/>
          <w:szCs w:val="24"/>
        </w:rPr>
        <w:t>ach</w:t>
      </w:r>
      <w:r w:rsidRPr="00442630">
        <w:rPr>
          <w:rFonts w:ascii="Times New Roman" w:hAnsi="Times New Roman" w:cs="Times New Roman"/>
          <w:szCs w:val="24"/>
        </w:rPr>
        <w:t xml:space="preserve"> kara za nieprzekazanie stosownych informacji przez podmiot inny niż wnioskodawca. Dodatkowo wysokość kary pieniężnej w wysokości 10 000 zł została ustalona na podobnym poziomie, co kary przewidziane w ustawie z dnia 10 kwietnia 1997 r. − Prawo energetyczne (Dz. U. z 2021 r. poz. 716,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>. zm.) wobec podmiotów niedopełniających obowiązków informacyjnych (por. art. 56 ust. 2h pkt 8 ustawy z dnia 10 kwietnia 1997 r.</w:t>
      </w:r>
      <w:r w:rsidR="00736683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>− Prawo energetyczne).</w:t>
      </w:r>
    </w:p>
    <w:p w14:paraId="4DF405C4" w14:textId="77777777" w:rsidR="00F14900" w:rsidRPr="00442630" w:rsidRDefault="00F14900" w:rsidP="00736683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Limit wydatków (art. 33–36)</w:t>
      </w:r>
    </w:p>
    <w:p w14:paraId="258E13C9" w14:textId="70168805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W art. 33 projektu ustawy zaktualizowano limity wydatków, które uwzględniają najnowsze prognozy cen i wolumeny sprzedawanych uprawnień do emisji. Ponadto dodano limit wydatków na lata 2029–203</w:t>
      </w:r>
      <w:r w:rsidR="00DF23C3" w:rsidRPr="00442630">
        <w:rPr>
          <w:rFonts w:ascii="Times New Roman" w:hAnsi="Times New Roman" w:cs="Times New Roman"/>
          <w:szCs w:val="24"/>
        </w:rPr>
        <w:t>1</w:t>
      </w:r>
      <w:r w:rsidRPr="00442630">
        <w:rPr>
          <w:rFonts w:ascii="Times New Roman" w:hAnsi="Times New Roman" w:cs="Times New Roman"/>
          <w:szCs w:val="24"/>
        </w:rPr>
        <w:t xml:space="preserve">. </w:t>
      </w:r>
      <w:r w:rsidR="00DF23C3" w:rsidRPr="00442630">
        <w:rPr>
          <w:rFonts w:ascii="Times New Roman" w:hAnsi="Times New Roman" w:cs="Times New Roman"/>
          <w:szCs w:val="24"/>
        </w:rPr>
        <w:t xml:space="preserve">W związku z projektowanymi zmianami i koniecznością </w:t>
      </w:r>
      <w:r w:rsidR="00DF23C3" w:rsidRPr="00442630">
        <w:rPr>
          <w:rFonts w:ascii="Times New Roman" w:hAnsi="Times New Roman" w:cs="Times New Roman"/>
          <w:szCs w:val="24"/>
        </w:rPr>
        <w:lastRenderedPageBreak/>
        <w:t>zapewnienia ciągłości finansowania zadań wynikających z ustawy zaproponowano dodanie ust. 1a w art. 33−36</w:t>
      </w:r>
      <w:r w:rsidR="00292551" w:rsidRPr="00442630">
        <w:rPr>
          <w:rFonts w:ascii="Times New Roman" w:hAnsi="Times New Roman" w:cs="Times New Roman"/>
          <w:szCs w:val="24"/>
        </w:rPr>
        <w:t>, w których to przepisach określono</w:t>
      </w:r>
      <w:r w:rsidR="00DF23C3" w:rsidRPr="00442630">
        <w:rPr>
          <w:rFonts w:ascii="Times New Roman" w:hAnsi="Times New Roman" w:cs="Times New Roman"/>
          <w:szCs w:val="24"/>
        </w:rPr>
        <w:t xml:space="preserve"> maksymalne limit</w:t>
      </w:r>
      <w:r w:rsidR="00292551" w:rsidRPr="00442630">
        <w:rPr>
          <w:rFonts w:ascii="Times New Roman" w:hAnsi="Times New Roman" w:cs="Times New Roman"/>
          <w:szCs w:val="24"/>
        </w:rPr>
        <w:t>y</w:t>
      </w:r>
      <w:r w:rsidR="00DF23C3" w:rsidRPr="00442630">
        <w:rPr>
          <w:rFonts w:ascii="Times New Roman" w:hAnsi="Times New Roman" w:cs="Times New Roman"/>
          <w:szCs w:val="24"/>
        </w:rPr>
        <w:t xml:space="preserve"> wydatków wyrażone kwotowo, na okres 10 lat budżetowych wykonywania ustawy, oddzielnie dla każdego roku, poczynając od pierwszego roku planowanego wejścia w życie </w:t>
      </w:r>
      <w:r w:rsidR="00292551" w:rsidRPr="00442630">
        <w:rPr>
          <w:rFonts w:ascii="Times New Roman" w:hAnsi="Times New Roman" w:cs="Times New Roman"/>
          <w:szCs w:val="24"/>
        </w:rPr>
        <w:t xml:space="preserve">projektowanej </w:t>
      </w:r>
      <w:r w:rsidR="00DF23C3" w:rsidRPr="00442630">
        <w:rPr>
          <w:rFonts w:ascii="Times New Roman" w:hAnsi="Times New Roman" w:cs="Times New Roman"/>
          <w:szCs w:val="24"/>
        </w:rPr>
        <w:t xml:space="preserve">ustawy. Analogiczne rozwiązanie zostało przyjęte w ustawie z dnia 17 września 2021 r. o zmianie ustawy o odnawialnych źródłach energii oraz niektórych innych ustaw (Dz. U. poz. 1873). </w:t>
      </w:r>
      <w:r w:rsidR="00292551" w:rsidRPr="00442630">
        <w:rPr>
          <w:rFonts w:ascii="Times New Roman" w:hAnsi="Times New Roman" w:cs="Times New Roman"/>
          <w:szCs w:val="24"/>
        </w:rPr>
        <w:t>Z</w:t>
      </w:r>
      <w:r w:rsidRPr="00442630">
        <w:rPr>
          <w:rFonts w:ascii="Times New Roman" w:hAnsi="Times New Roman" w:cs="Times New Roman"/>
          <w:szCs w:val="24"/>
        </w:rPr>
        <w:t xml:space="preserve">miany wprowadzono w limicie wydatków przeznaczonych na obsługę Funduszu Rekompensat Pośrednich Kosztów Emisji, dla Banku Gospodarstwa Krajowego, na prowadzenie naboru i ocenę wniosków przez URE, a także realizację zadań ministra właściwego do spraw gospodarki. </w:t>
      </w:r>
      <w:r w:rsidR="009F0150" w:rsidRPr="00442630">
        <w:rPr>
          <w:rFonts w:ascii="Times New Roman" w:hAnsi="Times New Roman" w:cs="Times New Roman"/>
          <w:szCs w:val="24"/>
        </w:rPr>
        <w:t>Z uwagi na brak prognoz co do sposobu funkcjonowania sytemu ETS po 2030 r., w szczególności z uwagi na fakt, że zaproponowana w pakiecie „Fit for 55”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="009F0150" w:rsidRPr="00442630">
        <w:rPr>
          <w:rFonts w:ascii="Times New Roman" w:hAnsi="Times New Roman" w:cs="Times New Roman"/>
          <w:szCs w:val="24"/>
        </w:rPr>
        <w:t xml:space="preserve">reforma w zakresie Carbon </w:t>
      </w:r>
      <w:proofErr w:type="spellStart"/>
      <w:r w:rsidR="009F0150" w:rsidRPr="00442630">
        <w:rPr>
          <w:rFonts w:ascii="Times New Roman" w:hAnsi="Times New Roman" w:cs="Times New Roman"/>
          <w:szCs w:val="24"/>
        </w:rPr>
        <w:t>Border</w:t>
      </w:r>
      <w:proofErr w:type="spellEnd"/>
      <w:r w:rsidR="009F0150" w:rsidRPr="00442630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F0150" w:rsidRPr="00442630">
        <w:rPr>
          <w:rFonts w:ascii="Times New Roman" w:hAnsi="Times New Roman" w:cs="Times New Roman"/>
          <w:szCs w:val="24"/>
        </w:rPr>
        <w:t>Adjustment</w:t>
      </w:r>
      <w:proofErr w:type="spellEnd"/>
      <w:r w:rsidR="009F0150" w:rsidRPr="00442630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F0150" w:rsidRPr="00442630">
        <w:rPr>
          <w:rFonts w:ascii="Times New Roman" w:hAnsi="Times New Roman" w:cs="Times New Roman"/>
          <w:szCs w:val="24"/>
        </w:rPr>
        <w:t>Mechanism</w:t>
      </w:r>
      <w:proofErr w:type="spellEnd"/>
      <w:r w:rsidR="009F0150" w:rsidRPr="00442630">
        <w:rPr>
          <w:rFonts w:ascii="Times New Roman" w:hAnsi="Times New Roman" w:cs="Times New Roman"/>
          <w:szCs w:val="24"/>
        </w:rPr>
        <w:t xml:space="preserve"> (CBAM to mechanizm dostosowania cen na granicach z uwzględnieniem emisji CO2) będzie wiązać się ze zmianami w systemie ETS, nie jest możliwe </w:t>
      </w:r>
      <w:r w:rsidR="004B3DEF" w:rsidRPr="00442630">
        <w:rPr>
          <w:rFonts w:ascii="Times New Roman" w:hAnsi="Times New Roman" w:cs="Times New Roman"/>
          <w:szCs w:val="24"/>
        </w:rPr>
        <w:t xml:space="preserve">precyzyjne </w:t>
      </w:r>
      <w:r w:rsidR="009F0150" w:rsidRPr="00442630">
        <w:rPr>
          <w:rFonts w:ascii="Times New Roman" w:hAnsi="Times New Roman" w:cs="Times New Roman"/>
          <w:szCs w:val="24"/>
        </w:rPr>
        <w:t>określenie limitów wydatków na rok 2031</w:t>
      </w:r>
      <w:r w:rsidR="004B3DEF" w:rsidRPr="00442630">
        <w:rPr>
          <w:rFonts w:ascii="Times New Roman" w:hAnsi="Times New Roman" w:cs="Times New Roman"/>
          <w:szCs w:val="24"/>
        </w:rPr>
        <w:t xml:space="preserve"> i w tym zakresie w przyszłych latach określony limit wydatków przeznaczonych na wypłatę rekompensat z Funduszu Rekompensat Pośrednich Kosztów Emisji może podlegać zmianom</w:t>
      </w:r>
      <w:r w:rsidR="009F0150" w:rsidRPr="00442630">
        <w:rPr>
          <w:rFonts w:ascii="Times New Roman" w:hAnsi="Times New Roman" w:cs="Times New Roman"/>
          <w:szCs w:val="24"/>
        </w:rPr>
        <w:t xml:space="preserve">. </w:t>
      </w:r>
      <w:r w:rsidRPr="00442630">
        <w:rPr>
          <w:rFonts w:ascii="Times New Roman" w:hAnsi="Times New Roman" w:cs="Times New Roman"/>
          <w:szCs w:val="24"/>
        </w:rPr>
        <w:t xml:space="preserve">Limity wydatków określone w art. 33 </w:t>
      </w:r>
      <w:r w:rsidR="00292551" w:rsidRPr="00442630">
        <w:rPr>
          <w:rFonts w:ascii="Times New Roman" w:hAnsi="Times New Roman" w:cs="Times New Roman"/>
          <w:szCs w:val="24"/>
        </w:rPr>
        <w:t>ustawy o</w:t>
      </w:r>
      <w:r w:rsidRPr="00442630">
        <w:rPr>
          <w:rFonts w:ascii="Times New Roman" w:hAnsi="Times New Roman" w:cs="Times New Roman"/>
          <w:szCs w:val="24"/>
        </w:rPr>
        <w:t xml:space="preserve"> rekompensat</w:t>
      </w:r>
      <w:r w:rsidR="00292551" w:rsidRPr="00442630">
        <w:rPr>
          <w:rFonts w:ascii="Times New Roman" w:hAnsi="Times New Roman" w:cs="Times New Roman"/>
          <w:szCs w:val="24"/>
        </w:rPr>
        <w:t>ach</w:t>
      </w:r>
      <w:r w:rsidRPr="00442630">
        <w:rPr>
          <w:rFonts w:ascii="Times New Roman" w:hAnsi="Times New Roman" w:cs="Times New Roman"/>
          <w:szCs w:val="24"/>
        </w:rPr>
        <w:t xml:space="preserve"> wyliczone były w oparciu o stałą cenę uprawnień, na poziomie 87,65 zł/EUA. Cena ta została określona na podstawie jednostkowej ceny uprawnienia 21,01 EUR/EUA oraz kursu 4,38 PLN/EUR. Aktualna cena uprawnień wynosi ponad 50 EUR/EUA, przy czym wzrost ten ma prawdopodobnie charakter trwały, wynikający z reform systemu </w:t>
      </w:r>
      <w:r w:rsidR="00292551" w:rsidRPr="00442630">
        <w:rPr>
          <w:rFonts w:ascii="Times New Roman" w:hAnsi="Times New Roman" w:cs="Times New Roman"/>
          <w:szCs w:val="24"/>
        </w:rPr>
        <w:t>handlu uprawnieniami do emisji (</w:t>
      </w:r>
      <w:r w:rsidRPr="00442630">
        <w:rPr>
          <w:rFonts w:ascii="Times New Roman" w:hAnsi="Times New Roman" w:cs="Times New Roman"/>
          <w:szCs w:val="24"/>
        </w:rPr>
        <w:t>ETS</w:t>
      </w:r>
      <w:r w:rsidR="00292551" w:rsidRPr="00442630">
        <w:rPr>
          <w:rFonts w:ascii="Times New Roman" w:hAnsi="Times New Roman" w:cs="Times New Roman"/>
          <w:szCs w:val="24"/>
        </w:rPr>
        <w:t>)</w:t>
      </w:r>
      <w:r w:rsidRPr="00442630">
        <w:rPr>
          <w:rFonts w:ascii="Times New Roman" w:hAnsi="Times New Roman" w:cs="Times New Roman"/>
          <w:szCs w:val="24"/>
        </w:rPr>
        <w:t xml:space="preserve"> i kierunków reform polityki klimatycznej Unii Europejskiej. Akutalizowane wartości limitów oparte są na prognozie cen uprawnień na poziomie 53−61 EUR. </w:t>
      </w:r>
    </w:p>
    <w:p w14:paraId="5699C8DB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Formuła wyliczania wysokości rekompensat oparta jest m.in. na cenie uprawnień, co zabezpiecza beneficjentów przed skutkami wzrostu cen uprawnień i towarzyszącym im wzrostom kosztów pośrednich emisji zawartych w cenie energii elektrycznej. W związku z powyższym wzrost cen uprawnień automatycznie przekłada się na proporcjonalny wzrost wysokości wypłacanych rekompensat. W obecnej sytuacji rynkowej wypłaty rekompensat za rok 2022 (w oparciu o notowania terminowej ceny uprawnień w 2021 r. 53,3 EUR) będą ponad dwukrotnie wyższe od kwot wypłacanych w 2021 r. Wzrost cen uprawnień w kolejnych latach będzie miał automatycznie analogiczny wpływ na wysokość rekompensat, co uzasadnia konieczność zwiększania wysokości limitów wypłat. </w:t>
      </w:r>
    </w:p>
    <w:p w14:paraId="64BB544B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lastRenderedPageBreak/>
        <w:t xml:space="preserve">Porównując wysokość rekompensat w latach 2022−2030 do poziomów notowanych w latach 2020−2021, oprócz ceny uprawnień na ich wzrost wpłyną także następujące czynniki: </w:t>
      </w:r>
    </w:p>
    <w:p w14:paraId="019DC02E" w14:textId="5ADE23BA" w:rsidR="00F14900" w:rsidRPr="00442630" w:rsidRDefault="00F14900" w:rsidP="001120F3">
      <w:pPr>
        <w:pStyle w:val="PKTpunkt"/>
        <w:ind w:left="284" w:hanging="284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−</w:t>
      </w:r>
      <w:r w:rsidR="001120F3">
        <w:rPr>
          <w:rFonts w:ascii="Times New Roman" w:hAnsi="Times New Roman" w:cs="Times New Roman"/>
          <w:szCs w:val="24"/>
        </w:rPr>
        <w:tab/>
      </w:r>
      <w:r w:rsidRPr="00442630">
        <w:rPr>
          <w:rFonts w:ascii="Times New Roman" w:hAnsi="Times New Roman" w:cs="Times New Roman"/>
          <w:szCs w:val="24"/>
        </w:rPr>
        <w:t xml:space="preserve">wygaśnięcie jednorazowych czynników takich jak rekompensaty wynikające z ustawy z dnia 28 grudnia 2018 r. o zmianie ustawy o podatku akcyzowym oraz niektórych innych ustaw (Dz. U. poz. 2538,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. zm.), które zaniżyły kwotę rekompensat przyznanych zgodnie z ustawą o rekompensatach w odniesieniu do roku 2019, </w:t>
      </w:r>
    </w:p>
    <w:p w14:paraId="1BE24CA6" w14:textId="3ACA96AB" w:rsidR="00F14900" w:rsidRPr="00442630" w:rsidRDefault="00F14900" w:rsidP="001120F3">
      <w:pPr>
        <w:pStyle w:val="PKTpunkt"/>
        <w:ind w:left="284" w:hanging="284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−</w:t>
      </w:r>
      <w:r w:rsidR="001120F3">
        <w:rPr>
          <w:rFonts w:ascii="Times New Roman" w:hAnsi="Times New Roman" w:cs="Times New Roman"/>
          <w:szCs w:val="24"/>
        </w:rPr>
        <w:tab/>
      </w:r>
      <w:r w:rsidRPr="00442630">
        <w:rPr>
          <w:rFonts w:ascii="Times New Roman" w:hAnsi="Times New Roman" w:cs="Times New Roman"/>
          <w:szCs w:val="24"/>
        </w:rPr>
        <w:t>możliwość wypłaty wyrównania do wysokości wskaźnika 100% intensywności, w odniesieniu do wnioskodawców</w:t>
      </w:r>
      <w:r w:rsidR="003C235D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dla których kwota poniesionych kosztów pośrednich przekracza wartość odpowiadającą 1,5% wartości dodanej brutto w roku kalendarzowym, za który przyznawane są rekompensaty (powiększą wypłaty maksymalnie o 1/3),</w:t>
      </w:r>
    </w:p>
    <w:p w14:paraId="53A34F07" w14:textId="3E7D7AF2" w:rsidR="00F14900" w:rsidRPr="00442630" w:rsidRDefault="00F14900" w:rsidP="001120F3">
      <w:pPr>
        <w:pStyle w:val="PKTpunkt"/>
        <w:ind w:left="284" w:hanging="284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−</w:t>
      </w:r>
      <w:r w:rsidR="001120F3">
        <w:rPr>
          <w:rFonts w:ascii="Times New Roman" w:hAnsi="Times New Roman" w:cs="Times New Roman"/>
          <w:szCs w:val="24"/>
        </w:rPr>
        <w:tab/>
      </w:r>
      <w:r w:rsidRPr="00442630">
        <w:rPr>
          <w:rFonts w:ascii="Times New Roman" w:hAnsi="Times New Roman" w:cs="Times New Roman"/>
          <w:szCs w:val="24"/>
        </w:rPr>
        <w:t xml:space="preserve">wzrost wolumenu energii elektrycznej związanej z produkcją wodoru. Polska strategia wodorowa przyjęta </w:t>
      </w:r>
      <w:r w:rsidR="00437E3F">
        <w:rPr>
          <w:rFonts w:ascii="Times New Roman" w:hAnsi="Times New Roman" w:cs="Times New Roman"/>
          <w:szCs w:val="24"/>
        </w:rPr>
        <w:t xml:space="preserve">w </w:t>
      </w:r>
      <w:r w:rsidRPr="00442630">
        <w:rPr>
          <w:rFonts w:ascii="Times New Roman" w:hAnsi="Times New Roman" w:cs="Times New Roman"/>
          <w:szCs w:val="24"/>
        </w:rPr>
        <w:t>dni</w:t>
      </w:r>
      <w:r w:rsidR="00437E3F">
        <w:rPr>
          <w:rFonts w:ascii="Times New Roman" w:hAnsi="Times New Roman" w:cs="Times New Roman"/>
          <w:szCs w:val="24"/>
        </w:rPr>
        <w:t>u</w:t>
      </w:r>
      <w:r w:rsidRPr="00442630">
        <w:rPr>
          <w:rFonts w:ascii="Times New Roman" w:hAnsi="Times New Roman" w:cs="Times New Roman"/>
          <w:szCs w:val="24"/>
        </w:rPr>
        <w:t xml:space="preserve"> 2 listopada 2021 r. przez Radę Ministrów zakłada osiągnięcie 2 GW mocy instalacji do produkcji wodoru, w tym w szczególności elektrolizerów w roku 2030,</w:t>
      </w:r>
    </w:p>
    <w:p w14:paraId="3B1B92E7" w14:textId="08DA87DA" w:rsidR="00F14900" w:rsidRPr="00442630" w:rsidRDefault="00F14900" w:rsidP="001120F3">
      <w:pPr>
        <w:pStyle w:val="PKTpunkt"/>
        <w:ind w:left="284" w:hanging="284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−</w:t>
      </w:r>
      <w:r w:rsidR="001120F3">
        <w:rPr>
          <w:rFonts w:ascii="Times New Roman" w:hAnsi="Times New Roman" w:cs="Times New Roman"/>
          <w:szCs w:val="24"/>
        </w:rPr>
        <w:tab/>
      </w:r>
      <w:r w:rsidRPr="00442630">
        <w:rPr>
          <w:rFonts w:ascii="Times New Roman" w:hAnsi="Times New Roman" w:cs="Times New Roman"/>
          <w:szCs w:val="24"/>
        </w:rPr>
        <w:t xml:space="preserve">procesy elektryfikacji przemysłu, w tym przemysłu stalowego, w ramach którego powstawać będą nowe piece oparte na technologii pieca łukowego. </w:t>
      </w:r>
    </w:p>
    <w:p w14:paraId="2BDF7180" w14:textId="77777777" w:rsidR="00F14900" w:rsidRPr="00442630" w:rsidRDefault="00F14900" w:rsidP="007658A1">
      <w:pPr>
        <w:pStyle w:val="PKTpunkt"/>
        <w:ind w:left="0"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Sama zmiana listy sektorów </w:t>
      </w:r>
      <w:r w:rsidR="009F0150" w:rsidRPr="00442630">
        <w:rPr>
          <w:rFonts w:ascii="Times New Roman" w:hAnsi="Times New Roman" w:cs="Times New Roman"/>
          <w:szCs w:val="24"/>
        </w:rPr>
        <w:t xml:space="preserve">i podsektorów, którym będą przysługiwać rekompensaty </w:t>
      </w:r>
      <w:r w:rsidRPr="00442630">
        <w:rPr>
          <w:rFonts w:ascii="Times New Roman" w:hAnsi="Times New Roman" w:cs="Times New Roman"/>
          <w:szCs w:val="24"/>
        </w:rPr>
        <w:t xml:space="preserve">zgodnie z Nowymi Wytycznymi, zgodnie z założeniami nie powinna wpłynąć na ilość energii objętej rekompensatami w pierwszym roku obowiązywania nowych zasad. </w:t>
      </w:r>
    </w:p>
    <w:p w14:paraId="6B2BE5EB" w14:textId="234BB23F" w:rsidR="00F14900" w:rsidRPr="00442630" w:rsidRDefault="00F14900" w:rsidP="003C235D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Przepis</w:t>
      </w:r>
      <w:r w:rsidR="00E52126" w:rsidRPr="00442630">
        <w:rPr>
          <w:rStyle w:val="Ppogrubienie"/>
          <w:szCs w:val="24"/>
        </w:rPr>
        <w:t>y</w:t>
      </w:r>
      <w:r w:rsidRPr="00442630">
        <w:rPr>
          <w:rStyle w:val="Ppogrubienie"/>
          <w:szCs w:val="24"/>
        </w:rPr>
        <w:t xml:space="preserve"> przejściowe</w:t>
      </w:r>
    </w:p>
    <w:p w14:paraId="0E205864" w14:textId="77777777" w:rsidR="00F14900" w:rsidRPr="00442630" w:rsidRDefault="00F14900" w:rsidP="00F14900">
      <w:pPr>
        <w:pStyle w:val="USTustnpkodeksu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W art. 2 wskazano, iż termin składania wniosków o rekompensaty za 2021 r. </w:t>
      </w:r>
      <w:r w:rsidR="00F5077B" w:rsidRPr="00442630">
        <w:rPr>
          <w:rFonts w:ascii="Times New Roman" w:hAnsi="Times New Roman" w:cs="Times New Roman"/>
          <w:szCs w:val="24"/>
        </w:rPr>
        <w:t xml:space="preserve">upływa w dniu </w:t>
      </w:r>
      <w:r w:rsidRPr="00442630">
        <w:rPr>
          <w:rFonts w:ascii="Times New Roman" w:hAnsi="Times New Roman" w:cs="Times New Roman"/>
          <w:szCs w:val="24"/>
        </w:rPr>
        <w:t>30 kwietnia 2022 r.</w:t>
      </w:r>
    </w:p>
    <w:p w14:paraId="09EBBD16" w14:textId="77777777" w:rsidR="00F14900" w:rsidRPr="00442630" w:rsidRDefault="00F14900" w:rsidP="00F14900">
      <w:pPr>
        <w:pStyle w:val="USTustnpkodeksu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W art. 3 ust. 1 i 2 przewidziano przepis przejściowy w związku z sytuacją intertemporalną wynikającą ze zmiany ustawy o rekompensatach. Zgodnie z tymi przepisami:</w:t>
      </w:r>
    </w:p>
    <w:p w14:paraId="33C1B6C8" w14:textId="77777777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1)</w:t>
      </w:r>
      <w:r w:rsidR="009F0150" w:rsidRPr="00442630">
        <w:rPr>
          <w:rFonts w:ascii="Times New Roman" w:hAnsi="Times New Roman" w:cs="Times New Roman"/>
          <w:szCs w:val="24"/>
        </w:rPr>
        <w:tab/>
      </w:r>
      <w:r w:rsidRPr="00442630">
        <w:rPr>
          <w:rFonts w:ascii="Times New Roman" w:hAnsi="Times New Roman" w:cs="Times New Roman"/>
          <w:szCs w:val="24"/>
        </w:rPr>
        <w:t xml:space="preserve">do spraw dotyczących rekompensat </w:t>
      </w:r>
      <w:r w:rsidR="0063524B" w:rsidRPr="00442630">
        <w:rPr>
          <w:rFonts w:ascii="Times New Roman" w:hAnsi="Times New Roman" w:cs="Times New Roman"/>
          <w:szCs w:val="24"/>
        </w:rPr>
        <w:t>za rok 2019 i za rok 2020, w tym</w:t>
      </w:r>
      <w:r w:rsidRPr="00442630">
        <w:rPr>
          <w:rFonts w:ascii="Times New Roman" w:hAnsi="Times New Roman" w:cs="Times New Roman"/>
          <w:szCs w:val="24"/>
        </w:rPr>
        <w:t xml:space="preserve"> kar pieniężnych, o których mowa w art. 26 ustawy o rekompensatach, stosuje się przepisy ustawy o rekompensatach w brzmieniu dotychczasowym;</w:t>
      </w:r>
    </w:p>
    <w:p w14:paraId="298DDC91" w14:textId="77777777" w:rsidR="00F14900" w:rsidRPr="00442630" w:rsidRDefault="00F14900" w:rsidP="00F14900">
      <w:pPr>
        <w:pStyle w:val="PKTpunkt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2)</w:t>
      </w:r>
      <w:r w:rsidRPr="00442630">
        <w:rPr>
          <w:rFonts w:ascii="Times New Roman" w:hAnsi="Times New Roman" w:cs="Times New Roman"/>
          <w:szCs w:val="24"/>
        </w:rPr>
        <w:tab/>
        <w:t xml:space="preserve">do spraw dotyczących rekompensat </w:t>
      </w:r>
      <w:r w:rsidR="0063524B" w:rsidRPr="00442630">
        <w:rPr>
          <w:rFonts w:ascii="Times New Roman" w:hAnsi="Times New Roman" w:cs="Times New Roman"/>
          <w:szCs w:val="24"/>
        </w:rPr>
        <w:t>za rok 2021, w tym</w:t>
      </w:r>
      <w:r w:rsidRPr="00442630">
        <w:rPr>
          <w:rFonts w:ascii="Times New Roman" w:hAnsi="Times New Roman" w:cs="Times New Roman"/>
          <w:szCs w:val="24"/>
        </w:rPr>
        <w:t xml:space="preserve"> kar pieniężnych, o których mowa w art. 26 ustawy o rekompensatach, stosuje się przepisy ustawy o rekompensatach w brzmieniu po jej nowelizacji.</w:t>
      </w:r>
    </w:p>
    <w:p w14:paraId="42536C36" w14:textId="2B6D0A47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Do pełnego wdrożenia Nowych Wytycznych w ramach projektowanych zasad przyznawania rekompensat konieczne było przyjęcie przez Komisję Europejską decyzji </w:t>
      </w:r>
      <w:r w:rsidRPr="00442630">
        <w:rPr>
          <w:rFonts w:ascii="Times New Roman" w:hAnsi="Times New Roman" w:cs="Times New Roman"/>
          <w:szCs w:val="24"/>
        </w:rPr>
        <w:lastRenderedPageBreak/>
        <w:t>Komisji określającej wskaźniki efektywności zużycia energii elektrycznej. Do dnia 29 października 2021 r. decyzja ta nie została opublikowana w Dzienniku Urzędowym Unii Europejskiej. W związku z tym procedowanie projektowanej ustawy zostało opóźnione. Na skutek tego należało przewidzieć odpowiednie przepisy przejściowe dla sytuacji intertemporalnej powstałej w wyniku planowanego wejścia w życie projektowanej ustawy w 2022 r., tj. w czasie, gdy na podstawie dotychczas obowiązujących zasad przyznawania rekompensat podmioty działające w sektorze lub podsektorze wymienionym w załączniku nr 1 do ustawy o rekompensatach mogły ubiegać się o przyznanie rekompensat, do których po nowelizacji ustawy nie będą już uprawnione, w związku ze zmianą załącznika nr 1 do ustawy o rekompensatach. Należy wyjaśnić, że zmieniany załącznik nr 1 do ustawy o rekompensatach określa wykaz sektorów oraz podsektorów energochłonnych, w których podmioty prowadzące działalność gospodarczą są uprawnione do ubiegania się o rekompensaty.</w:t>
      </w:r>
    </w:p>
    <w:p w14:paraId="156B1CAD" w14:textId="59A644E5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Odnośnie do pkt 2 należy wyjaśnić, że jeżeli podmiot uprawniony zgodnie z załącznikiem nr 1 do ustawy o rekompensatach w brzmieniu dotychczasowym złoży wniosek o przyznanie rekompensat za 2021 r. przed dniem wejścia w życie ustawy nowelizującej, a jednocześnie ten podmiot będzie uprawniony zgodnie z załącznikiem nr 1 do ustawy o rekompensatach w brzmieniu nadanym nowelizacją, to wniosek ten powinien zostać rozpatrzony i podlegać przepisom ustawy po nowelizacji. Należy podkreślić, że zgodnie z Nowymi Wytycznymi okresem przyznawania pomocy jest jeden rok lub kilka lat w okresie 2021−2030, zatem mają one mieć zastosowanie do rekompensat przyznawanych za rok 2021</w:t>
      </w:r>
      <w:r w:rsidR="00051D21" w:rsidRPr="00442630">
        <w:rPr>
          <w:rFonts w:ascii="Times New Roman" w:hAnsi="Times New Roman" w:cs="Times New Roman"/>
          <w:szCs w:val="24"/>
        </w:rPr>
        <w:t> </w:t>
      </w:r>
      <w:r w:rsidRPr="00442630">
        <w:rPr>
          <w:rFonts w:ascii="Times New Roman" w:hAnsi="Times New Roman" w:cs="Times New Roman"/>
          <w:szCs w:val="24"/>
        </w:rPr>
        <w:t>r. Jednocześnie należy zauważyć, że okres przyznawania pomocy, zgodnie z Wytycznymi</w:t>
      </w:r>
      <w:r w:rsidR="003C235D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oznaczał jeden rok lub kilka lat w okresie 2013–2020. Należy zatem zapewnić stosowanie właściwych zasad do przyznawanej pomocy, odpowiednio do okresów wskazanych w Wytycznych i Nowych Wytycznych.</w:t>
      </w:r>
    </w:p>
    <w:p w14:paraId="4937D025" w14:textId="77777777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W związku z tym projekt ustawy przewiduje także, że w przypadku wniosku o przyznanie rekompensat za 2021 r. złożonego przed dniem wejścia w życie projektowanej ustawy przez podmiot, który będzie uprawniony zgodnie z załącznikiem nr 1 do ustawy o rekompensatach po nowelizacji, Prezes URE wezwie taki podmiot do </w:t>
      </w:r>
      <w:r w:rsidR="0063524B" w:rsidRPr="00442630">
        <w:rPr>
          <w:rFonts w:ascii="Times New Roman" w:hAnsi="Times New Roman" w:cs="Times New Roman"/>
          <w:szCs w:val="24"/>
        </w:rPr>
        <w:t>dostosowania</w:t>
      </w:r>
      <w:r w:rsidRPr="00442630">
        <w:rPr>
          <w:rFonts w:ascii="Times New Roman" w:hAnsi="Times New Roman" w:cs="Times New Roman"/>
          <w:szCs w:val="24"/>
        </w:rPr>
        <w:t xml:space="preserve"> wniosku, w celu dostosowania złożonego wniosku do wymagań określonych w art. 10 ustawy o rekompensatach po nowelizacji, pod rygorem pozostawienia wniosku bez rozpatrzenia. Należy wyjaśnić, że projekt ustawy przewiduje zmiany we wniosku o przyznanie rekompensat, a co za tym idzie także zmianę samego wzoru wniosku (zgodnie z art. 10 ust. 10). W związku z tym istotne jest, </w:t>
      </w:r>
      <w:r w:rsidRPr="00442630">
        <w:rPr>
          <w:rFonts w:ascii="Times New Roman" w:hAnsi="Times New Roman" w:cs="Times New Roman"/>
          <w:szCs w:val="24"/>
        </w:rPr>
        <w:lastRenderedPageBreak/>
        <w:t xml:space="preserve">aby wniosek o przyznanie rekompensat za 2021 r. złożony przed dniem wejścia w życie projektowanej ustawy został </w:t>
      </w:r>
      <w:r w:rsidR="0063524B" w:rsidRPr="00442630">
        <w:rPr>
          <w:rFonts w:ascii="Times New Roman" w:hAnsi="Times New Roman" w:cs="Times New Roman"/>
          <w:szCs w:val="24"/>
        </w:rPr>
        <w:t xml:space="preserve">dostosowany </w:t>
      </w:r>
      <w:r w:rsidRPr="00442630">
        <w:rPr>
          <w:rFonts w:ascii="Times New Roman" w:hAnsi="Times New Roman" w:cs="Times New Roman"/>
          <w:szCs w:val="24"/>
        </w:rPr>
        <w:t>w powyższym zakresie.</w:t>
      </w:r>
    </w:p>
    <w:p w14:paraId="7D38F73A" w14:textId="7A12CB5F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Należy też przewidzieć odpowiedni przepis przejściowy w przypadku złożenia wniosku o przyznanie rekompensat za 2021 r. przez podmiot, który był uprawniony do ubiegania się o rekompensaty na podstawie art. 2 ustawy o rekompensatach (tj. prowadzona przez niego działalność gospodarcza znajdowała się w sektorze lub podsektorze energochłonnym wymienionym w załączniku nr 1 do ustawy o rekompensatach), ale po wejściu w życi</w:t>
      </w:r>
      <w:r w:rsidR="0020273F">
        <w:rPr>
          <w:rFonts w:ascii="Times New Roman" w:hAnsi="Times New Roman" w:cs="Times New Roman"/>
          <w:szCs w:val="24"/>
        </w:rPr>
        <w:t>e</w:t>
      </w:r>
      <w:r w:rsidRPr="00442630">
        <w:rPr>
          <w:rFonts w:ascii="Times New Roman" w:hAnsi="Times New Roman" w:cs="Times New Roman"/>
          <w:szCs w:val="24"/>
        </w:rPr>
        <w:t xml:space="preserve"> projektowanej ustawy sektor ten lub podsektor nie jest już wskazany w załączniku nr 1 do tej ustawy. W tej sytuacji przepis przejściowy przewiduje, że umarza się postępowania w sprawie przyznania rekompensat za 2021 r., wszczęte przed dniem wejścia w życie ustawy nowelizującej na podstawie wniosku o przyznanie rekompensat za 2021 r.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 xml:space="preserve">podmiotów niebędących podmiotami uprawnionymi zgodnie z załącznikiem nr 1 do ustawy o rekompensatach po nowelizacji. Należy zauważyć, że w opisanej powyżej sytuacji dojdzie do bezprzedmiotowości postępowania ze względów podmiotowych. Zgodnie z orzecznictwem i judykaturą „istota bezprzedmiotowości postępowania polega na tym, że nastąpiło takie zdarzenie prawne lub faktyczne, które spowodowało, że przestała istnieć ta szczególna relacja między faktem (sytuacją faktyczną danego podmiotu), a prawem (sytuacją prawną danego podmiotu), z którą prawo łączy obowiązek konkretyzacji normy w postaci wydania decyzji administracyjnej” (wyrok NSA z 10.05.2012 r., </w:t>
      </w:r>
      <w:r w:rsidR="0020273F">
        <w:t xml:space="preserve">sygn. </w:t>
      </w:r>
      <w:r w:rsidRPr="00442630">
        <w:rPr>
          <w:rFonts w:ascii="Times New Roman" w:hAnsi="Times New Roman" w:cs="Times New Roman"/>
          <w:szCs w:val="24"/>
        </w:rPr>
        <w:t>II GSK 467/11, LEX nr 1219036).</w:t>
      </w:r>
    </w:p>
    <w:p w14:paraId="0D715978" w14:textId="77777777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Wyjaśnienia wymaga, że bezprzedmiotowość postępowania administracyjnego, która zgodnie z art. 105 § 1 ustawy z dnia 14 czerwca 1960 r. − Kodeks postępowania administracyjnego prowadzi do wydania decyzji o umorzeniu postępowania, „oznacza, że brak jest któregoś z elementów materialnego stosunku prawnego, a wobec tego nie można wydać decyzji załatwiającej sprawę przez rozstrzygnięcie jej co do istoty. Przesłanka umorzenia postępowania może istnieć jeszcze przed wszczęciem postępowania (…), a może ona powstać także w czasie trwania postępowania, a więc w sprawie już zawisłej przed organem administracji publicznej.” (B. Adamiak, J. Borkowski, Kodeks postępowania administracyjnego. Komentarz. Wyd. 17, Warszawa 2021). W takim przypadku należy to rozumieć jako wtórną bezprzedmiotowość postępowania (por. R. Kędziora, Kodeks postępowania administracyjnego. Komentarz. Wyd. 5, Warszawa 2017).</w:t>
      </w:r>
    </w:p>
    <w:p w14:paraId="50820B90" w14:textId="3E10F186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Należy wyjaśnić, że powyższe nie stoi w sprzeczności z zasadą zaufania obywatela do państwa, z którą jest związana zasada ochrony interesów w toku, opierająca się na </w:t>
      </w:r>
      <w:r w:rsidRPr="00442630">
        <w:rPr>
          <w:rFonts w:ascii="Times New Roman" w:hAnsi="Times New Roman" w:cs="Times New Roman"/>
          <w:szCs w:val="24"/>
        </w:rPr>
        <w:lastRenderedPageBreak/>
        <w:t xml:space="preserve">przewidywalności postępowania organów państwa. Zgodnie z orzecznictwem Trybunału Konstytucyjnego zasada ta nie może być utożsamiana z gwarancją nienaruszalności i niezmienności uregulowań prawnych (por. wyrok TK z 13.05.2008 r., </w:t>
      </w:r>
      <w:r w:rsidR="0020273F">
        <w:t xml:space="preserve">sygn. </w:t>
      </w:r>
      <w:r w:rsidRPr="00442630">
        <w:rPr>
          <w:rFonts w:ascii="Times New Roman" w:hAnsi="Times New Roman" w:cs="Times New Roman"/>
          <w:szCs w:val="24"/>
        </w:rPr>
        <w:t>SK 91/06, OTK-A 2008, nr 4, poz. 59). Istota tej zasady została opisana przez Trybunał Konstytucyjny w wyroku z 6 lipca 2004 r. (sygn. P 14/03, OTK ZU nr 7/A/2004, poz. 62), zgodnie z którym sprowadza się ona do nakazu, aby stosowanie i stanowienie prawa odbywało się w taki sposób, „by adresat danej normy prawnej mógł układać swoje sprawy w zaufaniu, że nie naraża się na negatywne skutki prawne, których nie mógł przewidzieć w momencie podejmowania określonej decyzji”. Ustawa o rekompensatach nie zawierała gwarancji stosowania tych zasad bezterminowo. Co więcej, zasady przyznawania rekompensat określone w ustawie o rekompensatach stanowiły wdrożenie Wytycznych, których horyzont czasowy został wyznaczony na lata 2013−2020.</w:t>
      </w:r>
    </w:p>
    <w:p w14:paraId="28026B48" w14:textId="02C15915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Ponadto należy zwrócić uwagę, że przyznawane rekompensaty mają charakter czasowy – są przyznawane za rok kalendarzowy poprzedzający rok, w którym złożono wniosek o przyznanie rekompensaty. Zgodnie z orzecznictwem Trybunału Konstytucyjnego „ochrony interesów w toku w żadnym razie nie można traktować jako równoznacznej z gwarancją niezmienności prawa, w szczególności wiecznego trwania określonych przywilejów. Jest bowiem oczywiste, że ustawodawca dysponuje możliwością ograniczania uprawnień i znoszenia przywilejów; (…) Trzeba więc uznać, że prawa, których trwanie nie jest ograniczone przez ustawodawcę żadnym horyzontem czasowym, mogą − w toku swego istnienia − podlegać modyfikacjom. Jak stwierdził Trybunał Konstytucyjny w wyroku z 25 listopada 1997 r., ochrona interesów w toku ma „bardziej kategoryczny charakter w tych wszystkich sytuacjach, w których ustawodawca wyznaczył pewien okres czasu, w którym miało być możliwe prowadzenie interesów według z góry ustalonych zasad czy reguł (jak wyżej </w:t>
      </w:r>
      <w:r w:rsidR="0020273F">
        <w:t xml:space="preserve">sygn. </w:t>
      </w:r>
      <w:r w:rsidRPr="00442630">
        <w:rPr>
          <w:rFonts w:ascii="Times New Roman" w:hAnsi="Times New Roman" w:cs="Times New Roman"/>
          <w:szCs w:val="24"/>
        </w:rPr>
        <w:t>K. 26/97, s. 450)” (por. wyrok TK z 16.09.2003 r.,</w:t>
      </w:r>
      <w:r w:rsidR="0020273F" w:rsidRPr="0020273F">
        <w:t xml:space="preserve"> </w:t>
      </w:r>
      <w:r w:rsidR="0020273F">
        <w:t xml:space="preserve">sygn. </w:t>
      </w:r>
      <w:r w:rsidRPr="00442630">
        <w:rPr>
          <w:rFonts w:ascii="Times New Roman" w:hAnsi="Times New Roman" w:cs="Times New Roman"/>
          <w:szCs w:val="24"/>
        </w:rPr>
        <w:t>K 55/02, OTK-A 2003, nr 7, poz. 75.).</w:t>
      </w:r>
    </w:p>
    <w:p w14:paraId="7FDA6612" w14:textId="12AB4F93" w:rsidR="00F14900" w:rsidRPr="00442630" w:rsidRDefault="00F14900" w:rsidP="00F14900">
      <w:pPr>
        <w:pStyle w:val="NIEARTTEKSTtekstnieartykuowanynppodstprawnarozplubpreambua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Należy także zwrócić uwagę, że w przypadku przyjęcia innego rozstrzygnięcia dla powyżej opisanej sytuacji i przyznania rekompensat podmiotom niebędącym podmiotami uprawnionymi zgodnie z art. 3 ustawy o rekompensatach (tj. podmiotom prowadzącym działalność w sektorach lub podsektorach nie znajdujących się w wykazie określonym w załączniku nr 1 do ustawy o rekompensatach po nowelizacji) pomoc taka nie korzystałaby z uznania przez Komisję Europejską za zgodną z rynkiem wewnętrznym na podstawie art. 107 Traktatu o funkcjonowaniu Unii Europejskiej i jako taka podlegałaby zwrotowi wraz z </w:t>
      </w:r>
      <w:r w:rsidRPr="00442630">
        <w:rPr>
          <w:rFonts w:ascii="Times New Roman" w:hAnsi="Times New Roman" w:cs="Times New Roman"/>
          <w:szCs w:val="24"/>
        </w:rPr>
        <w:lastRenderedPageBreak/>
        <w:t>odsetkami. Należy zatem ochronić te podmioty przed negatywnymi konsekwencjami przyznania takiej pomocy.</w:t>
      </w:r>
    </w:p>
    <w:p w14:paraId="788AB43A" w14:textId="28054A5A" w:rsidR="00F14900" w:rsidRPr="00442630" w:rsidRDefault="00F14900" w:rsidP="00F14900">
      <w:pPr>
        <w:pStyle w:val="USTustnpkodeksu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Należy wyjaśnić, że w sposób zamierzony ze „spraw dotyczących rekompensat” w art. 3 ust. 1 i 2 wyodrębniono kary pieniężne. Z dotychczasowych doświadczeń Prezesa URE wynika, że w przypadku nowelizacji przepisów z zakresu właściwości tego organu, brak wyraźnego wskazania w przepisach przejściowych regulacji znajdujących zastosowanie do kar pieniężnych prowadzi do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>licznych rozbieżności w orzecznictwie sądów rozpoznających odwołania od decyzji wymierzających te kary. Skutkuje to nierównym traktowaniem podmiotów, które − w zależności od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>uznania składu orzekającego w danej sprawie −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 xml:space="preserve">za ten sam czyn podlegają karom wymierzanym na odmiennych zasadach, a w skrajnych przypadkach mogą w ogóle uwolnić się od odpowiedzialności. Taka sytuacja wynika głównie z zastosowania art. 189c ustawy z dnia z dnia 14 czerwca 1960 r. − Kodeks postępowania administracyjnego (Dz. U. z 2021 poz. 735,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>. zm.) nakazującego stosowanie tzw. prawa względniejszego dla sprawcy uchybienia. Proponowana redakcja art. 3 ust. 1 i 2 projektu ustawy ma na celu zapobieżenie podobnym rozbieżnościom. Dodać przy tym należy, że podobna regulacja zawarta jest w innych ustawach z zakresu kompetencji Prezesa URE, np. w art.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>186 ust. 2 ustawy z dnia 20 lutego 2015 r. o odnawialnych źródłach energii lub w art. 53 ust. 1 ustawy z dnia 20 maja 2016 r. o efektywności energetycznej.</w:t>
      </w:r>
      <w:r w:rsidR="0007797C">
        <w:rPr>
          <w:rFonts w:ascii="Times New Roman" w:hAnsi="Times New Roman" w:cs="Times New Roman"/>
          <w:szCs w:val="24"/>
        </w:rPr>
        <w:t xml:space="preserve"> </w:t>
      </w:r>
    </w:p>
    <w:p w14:paraId="7C31004A" w14:textId="2A01DEB3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Ponadto w art. </w:t>
      </w:r>
      <w:r w:rsidR="00562373" w:rsidRPr="00442630">
        <w:rPr>
          <w:rFonts w:ascii="Times New Roman" w:hAnsi="Times New Roman" w:cs="Times New Roman"/>
          <w:szCs w:val="24"/>
        </w:rPr>
        <w:t>4</w:t>
      </w:r>
      <w:r w:rsidRPr="00442630">
        <w:rPr>
          <w:rFonts w:ascii="Times New Roman" w:hAnsi="Times New Roman" w:cs="Times New Roman"/>
          <w:szCs w:val="24"/>
        </w:rPr>
        <w:t xml:space="preserve"> projektu ustawy przewidziano zawieszenie stosowania art. 11 ust. 1 do dnia wydania pozytywnej decyzji Komisji Europejskiej o zgodności pomocy publicznej przewidzianej w tych przepisach z rynkiem wewnętrznym albo uznania przez Komisję Europejską, że zmiany w tych przepisach nie stanowią nowej pomocy publicznej.</w:t>
      </w:r>
    </w:p>
    <w:p w14:paraId="354BFD65" w14:textId="77777777" w:rsidR="00F14900" w:rsidRPr="00442630" w:rsidRDefault="00F14900" w:rsidP="008652E4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>Wejście w życie</w:t>
      </w:r>
    </w:p>
    <w:p w14:paraId="3F44E708" w14:textId="2B0E7ED1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Zgodnie z art. </w:t>
      </w:r>
      <w:r w:rsidR="00562373" w:rsidRPr="00442630">
        <w:rPr>
          <w:rFonts w:ascii="Times New Roman" w:hAnsi="Times New Roman" w:cs="Times New Roman"/>
          <w:szCs w:val="24"/>
        </w:rPr>
        <w:t>5</w:t>
      </w:r>
      <w:r w:rsidRPr="00442630">
        <w:rPr>
          <w:rFonts w:ascii="Times New Roman" w:hAnsi="Times New Roman" w:cs="Times New Roman"/>
          <w:szCs w:val="24"/>
        </w:rPr>
        <w:t xml:space="preserve"> projektu ustawa wejdzie w życie po upływie 7 dni od dnia ogłoszenia. Zgodnie z art. 4 ust. 1 i 2 ustawy z dnia 20 lipca 2000 r. o ogłaszaniu aktów normatywnych i niektórych innych aktów prawnych (Dz. U. z 2019 r. poz. 1461), co do zasady, akty normatywne wchodzą w życie po upływie czternastu dni od dnia ich ogłoszenia, ale w uzasadnionych przypadkach mogą wchodzić w życie w terminie krótszym niż czternaście dni, a jeżeli ważny interes państwa wymaga natychmiastowego wejścia w życie aktu normatywnego i zasady demokratycznego państwa prawnego nie stoją temu na przeszkodzie, dniem wejścia w życie może być dzień ogłoszenia tego aktu w dzienniku urzędowym.</w:t>
      </w:r>
      <w:r w:rsidR="0007797C">
        <w:rPr>
          <w:rFonts w:ascii="Times New Roman" w:hAnsi="Times New Roman" w:cs="Times New Roman"/>
          <w:szCs w:val="24"/>
        </w:rPr>
        <w:t xml:space="preserve"> </w:t>
      </w:r>
      <w:r w:rsidRPr="00442630">
        <w:rPr>
          <w:rFonts w:ascii="Times New Roman" w:hAnsi="Times New Roman" w:cs="Times New Roman"/>
          <w:szCs w:val="24"/>
        </w:rPr>
        <w:t>Z uwagi na fakt, iż nowe zasady przyznawania rekompensat będą obowiązywać już wobec rekompensat za 2021 r.</w:t>
      </w:r>
      <w:r w:rsidR="008652E4">
        <w:rPr>
          <w:rFonts w:ascii="Times New Roman" w:hAnsi="Times New Roman" w:cs="Times New Roman"/>
          <w:szCs w:val="24"/>
        </w:rPr>
        <w:t>,</w:t>
      </w:r>
      <w:r w:rsidRPr="00442630">
        <w:rPr>
          <w:rFonts w:ascii="Times New Roman" w:hAnsi="Times New Roman" w:cs="Times New Roman"/>
          <w:szCs w:val="24"/>
        </w:rPr>
        <w:t xml:space="preserve"> niezbędne jest wejście w </w:t>
      </w:r>
      <w:r w:rsidRPr="00442630">
        <w:rPr>
          <w:rFonts w:ascii="Times New Roman" w:hAnsi="Times New Roman" w:cs="Times New Roman"/>
          <w:szCs w:val="24"/>
        </w:rPr>
        <w:lastRenderedPageBreak/>
        <w:t>życie ustawy w możliwie najkrótszym terminie. Należy zapewnić podmiotom uprawnionym jak najszybszą możliwość złożenia wniosku na podstawie ustawy o rekompensatach uwzględniającej Nowe Wytyczne. Podmioty te miały zapewnioną możliwość zapoznania się z projektowanymi zmianami w toku prac nad projektem ustawy, a wejście w życie projektowanej ustawy nowelizującej nie będzie dla tych podmiotów niekorzystne. Zasady demokratycznego państwa praw</w:t>
      </w:r>
      <w:r w:rsidR="008652E4">
        <w:rPr>
          <w:rFonts w:ascii="Times New Roman" w:hAnsi="Times New Roman" w:cs="Times New Roman"/>
          <w:szCs w:val="24"/>
        </w:rPr>
        <w:t>nego</w:t>
      </w:r>
      <w:r w:rsidRPr="00442630">
        <w:rPr>
          <w:rFonts w:ascii="Times New Roman" w:hAnsi="Times New Roman" w:cs="Times New Roman"/>
          <w:szCs w:val="24"/>
        </w:rPr>
        <w:t xml:space="preserve"> nie stoją zatem na przeszkodzie skróceniu </w:t>
      </w:r>
      <w:r w:rsidR="008652E4">
        <w:rPr>
          <w:rFonts w:ascii="Times New Roman" w:hAnsi="Times New Roman" w:cs="Times New Roman"/>
          <w:szCs w:val="24"/>
        </w:rPr>
        <w:t xml:space="preserve">okresu </w:t>
      </w:r>
      <w:r w:rsidRPr="00442630">
        <w:rPr>
          <w:rFonts w:ascii="Times New Roman" w:hAnsi="Times New Roman" w:cs="Times New Roman"/>
          <w:szCs w:val="24"/>
        </w:rPr>
        <w:t>vacatio legis.</w:t>
      </w:r>
    </w:p>
    <w:p w14:paraId="665A7277" w14:textId="77777777" w:rsidR="00F14900" w:rsidRPr="00442630" w:rsidRDefault="00F14900" w:rsidP="008652E4">
      <w:pPr>
        <w:spacing w:before="240"/>
        <w:rPr>
          <w:rStyle w:val="Ppogrubienie"/>
          <w:szCs w:val="24"/>
        </w:rPr>
      </w:pPr>
      <w:r w:rsidRPr="00442630">
        <w:rPr>
          <w:rStyle w:val="Ppogrubienie"/>
          <w:szCs w:val="24"/>
        </w:rPr>
        <w:t xml:space="preserve">Załącznik nr 1 </w:t>
      </w:r>
    </w:p>
    <w:p w14:paraId="36E63B50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Lista sektorów uprawnionych do otrzymania rekompensat została dostosowana do zmian wprowadzonych w Nowych Wytycznych. </w:t>
      </w:r>
    </w:p>
    <w:p w14:paraId="397E3E1C" w14:textId="77777777" w:rsidR="00F14900" w:rsidRPr="00442630" w:rsidRDefault="00F14900" w:rsidP="00F14900">
      <w:pPr>
        <w:pStyle w:val="ARTartustawynprozporzdzenia"/>
        <w:ind w:firstLine="0"/>
        <w:rPr>
          <w:rFonts w:ascii="Times New Roman" w:hAnsi="Times New Roman" w:cs="Times New Roman"/>
          <w:b/>
          <w:szCs w:val="24"/>
        </w:rPr>
      </w:pPr>
      <w:r w:rsidRPr="00442630">
        <w:rPr>
          <w:rFonts w:ascii="Times New Roman" w:hAnsi="Times New Roman" w:cs="Times New Roman"/>
          <w:b/>
          <w:szCs w:val="24"/>
        </w:rPr>
        <w:t>Załącznik nr 2</w:t>
      </w:r>
    </w:p>
    <w:p w14:paraId="3B218E0A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Określono wskaźniki efektywności zużycia energii elektrycznej w odniesieniu do produktów z sektorów lub podsektorów energochłonnych zgodnie z </w:t>
      </w:r>
      <w:r w:rsidR="00F963C5" w:rsidRPr="00442630">
        <w:rPr>
          <w:rFonts w:ascii="Times New Roman" w:hAnsi="Times New Roman" w:cs="Times New Roman"/>
          <w:szCs w:val="24"/>
        </w:rPr>
        <w:t>k</w:t>
      </w:r>
      <w:r w:rsidRPr="00442630">
        <w:rPr>
          <w:rFonts w:ascii="Times New Roman" w:hAnsi="Times New Roman" w:cs="Times New Roman"/>
          <w:szCs w:val="24"/>
        </w:rPr>
        <w:t xml:space="preserve">omunikatem Komisji uzupełniającym Wytyczne w sprawie niektórych środków pomocy państwa w kontekście systemu handlu przydziałami emisji gazów cieplarnianych po 2021 r. </w:t>
      </w:r>
      <w:r w:rsidR="00F963C5" w:rsidRPr="00442630">
        <w:rPr>
          <w:rFonts w:ascii="Times New Roman" w:hAnsi="Times New Roman" w:cs="Times New Roman"/>
          <w:szCs w:val="24"/>
        </w:rPr>
        <w:t>(Dz. Urz. UE C 58 z 30.12.2021, str. 1)</w:t>
      </w:r>
      <w:r w:rsidRPr="00442630">
        <w:rPr>
          <w:rFonts w:ascii="Times New Roman" w:hAnsi="Times New Roman" w:cs="Times New Roman"/>
          <w:szCs w:val="24"/>
        </w:rPr>
        <w:t>.</w:t>
      </w:r>
    </w:p>
    <w:p w14:paraId="60F2368E" w14:textId="77777777" w:rsidR="007301AB" w:rsidRDefault="007301AB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</w:p>
    <w:p w14:paraId="1152F59E" w14:textId="46630CE3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Projekt ustawy, zgodnie z ustawą z dnia 30 kwietnia 2004 r. o postępowaniu w sprawach dotyczących pomocy publicznej (Dz. U. z 2021 r. poz. 743), zostanie notyfikowany KE.</w:t>
      </w:r>
    </w:p>
    <w:p w14:paraId="36A57C06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Projekt ustawy nie wymaga przedstawienia organom i instytucjom Unii Europejskiej, w tym Europejskiemu Bankowi Centralnemu, w celu uzyskania opinii, dokonania powiadomienia, konsultacji albo uzgodnienia. </w:t>
      </w:r>
    </w:p>
    <w:p w14:paraId="0593D2EA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Zgodnie z art. 5 ustawy z dnia 7 lipca 2005 r. o działalności lobbingowej w procesie stanowienia prawa (Dz. U. z 2017 r. poz. 248), projekt został zamieszczony w Biuletynie Informacji Publicznej na stronie podmiotowej Rządowego Centrum Legislacji, w serwisie Rządowy Proces Legislacyjny. </w:t>
      </w:r>
    </w:p>
    <w:p w14:paraId="130F2198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 xml:space="preserve">Projekt ustawy, zgodnie z przepisami rozporządzenia Rady Ministrów z dnia 23 grudnia 2002 r. w sprawie sposobu funkcjonowania krajowego systemu notyfikacji norm i aktów prawnych (Dz. U. poz. 2039, z </w:t>
      </w:r>
      <w:proofErr w:type="spellStart"/>
      <w:r w:rsidRPr="00442630">
        <w:rPr>
          <w:rFonts w:ascii="Times New Roman" w:hAnsi="Times New Roman" w:cs="Times New Roman"/>
          <w:szCs w:val="24"/>
        </w:rPr>
        <w:t>późn</w:t>
      </w:r>
      <w:proofErr w:type="spellEnd"/>
      <w:r w:rsidRPr="00442630">
        <w:rPr>
          <w:rFonts w:ascii="Times New Roman" w:hAnsi="Times New Roman" w:cs="Times New Roman"/>
          <w:szCs w:val="24"/>
        </w:rPr>
        <w:t xml:space="preserve">. zm.), nie podlega procedurze notyfikacji. </w:t>
      </w:r>
    </w:p>
    <w:p w14:paraId="46887BBE" w14:textId="77777777" w:rsidR="00F14900" w:rsidRPr="00442630" w:rsidRDefault="00F14900" w:rsidP="00F27DC3">
      <w:pPr>
        <w:spacing w:after="120" w:line="360" w:lineRule="auto"/>
        <w:ind w:right="-45"/>
        <w:jc w:val="both"/>
        <w:rPr>
          <w:szCs w:val="24"/>
        </w:rPr>
      </w:pPr>
      <w:r w:rsidRPr="00442630">
        <w:rPr>
          <w:szCs w:val="24"/>
        </w:rPr>
        <w:t>Projekt ustawy jest zgodny z prawem Unii Europejskiej</w:t>
      </w:r>
      <w:r w:rsidR="00562373" w:rsidRPr="00442630">
        <w:rPr>
          <w:szCs w:val="24"/>
        </w:rPr>
        <w:t>, co potwierdza</w:t>
      </w:r>
      <w:r w:rsidR="00CD6FF2" w:rsidRPr="00442630">
        <w:rPr>
          <w:szCs w:val="24"/>
        </w:rPr>
        <w:t xml:space="preserve"> pismo </w:t>
      </w:r>
      <w:r w:rsidR="00562373" w:rsidRPr="00442630">
        <w:rPr>
          <w:szCs w:val="24"/>
        </w:rPr>
        <w:t>Ministra do Spraw Unii Europejskiej</w:t>
      </w:r>
      <w:r w:rsidR="00CD6FF2" w:rsidRPr="00442630">
        <w:rPr>
          <w:szCs w:val="24"/>
        </w:rPr>
        <w:t xml:space="preserve">, Sygn. </w:t>
      </w:r>
      <w:r w:rsidR="00562373" w:rsidRPr="00442630">
        <w:rPr>
          <w:szCs w:val="24"/>
        </w:rPr>
        <w:t>DPUE.920.2865.2021.MR(7)</w:t>
      </w:r>
      <w:r w:rsidRPr="00442630">
        <w:rPr>
          <w:szCs w:val="24"/>
        </w:rPr>
        <w:t>.</w:t>
      </w:r>
    </w:p>
    <w:p w14:paraId="7CFFF259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t>Projekt ustawy nie ma bezpośredniego wpływu na sektor małych i średnich przedsiębiorstw.</w:t>
      </w:r>
    </w:p>
    <w:p w14:paraId="020147BB" w14:textId="77777777" w:rsidR="00F14900" w:rsidRPr="00442630" w:rsidRDefault="00F14900" w:rsidP="00F14900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442630">
        <w:rPr>
          <w:rFonts w:ascii="Times New Roman" w:hAnsi="Times New Roman" w:cs="Times New Roman"/>
          <w:szCs w:val="24"/>
        </w:rPr>
        <w:lastRenderedPageBreak/>
        <w:t xml:space="preserve">Nie ma możliwości podjęcia alternatywnych w stosunku do uchwalenia projektowanej ustawy środków umożliwiających osiągnięcie zamierzonego celu. </w:t>
      </w:r>
    </w:p>
    <w:p w14:paraId="06298D1B" w14:textId="77777777" w:rsidR="006A69D5" w:rsidRPr="00442630" w:rsidRDefault="006A69D5" w:rsidP="00C14D6A">
      <w:pPr>
        <w:rPr>
          <w:szCs w:val="24"/>
        </w:rPr>
      </w:pPr>
    </w:p>
    <w:sectPr w:rsidR="006A69D5" w:rsidRPr="00442630" w:rsidSect="00BA0D38">
      <w:footerReference w:type="default" r:id="rId6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9BFC2" w14:textId="77777777" w:rsidR="0042506F" w:rsidRDefault="0042506F" w:rsidP="00BA0D38">
      <w:pPr>
        <w:spacing w:after="0" w:line="240" w:lineRule="auto"/>
      </w:pPr>
      <w:r>
        <w:separator/>
      </w:r>
    </w:p>
  </w:endnote>
  <w:endnote w:type="continuationSeparator" w:id="0">
    <w:p w14:paraId="49C4B9BE" w14:textId="77777777" w:rsidR="0042506F" w:rsidRDefault="0042506F" w:rsidP="00BA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8991938"/>
      <w:docPartObj>
        <w:docPartGallery w:val="Page Numbers (Bottom of Page)"/>
        <w:docPartUnique/>
      </w:docPartObj>
    </w:sdtPr>
    <w:sdtEndPr/>
    <w:sdtContent>
      <w:p w14:paraId="5131FD32" w14:textId="1817879E" w:rsidR="00BA0D38" w:rsidRDefault="00BA0D38" w:rsidP="00BA0D3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76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32A2C" w14:textId="77777777" w:rsidR="0042506F" w:rsidRDefault="0042506F" w:rsidP="00BA0D38">
      <w:pPr>
        <w:spacing w:after="0" w:line="240" w:lineRule="auto"/>
      </w:pPr>
      <w:r>
        <w:separator/>
      </w:r>
    </w:p>
  </w:footnote>
  <w:footnote w:type="continuationSeparator" w:id="0">
    <w:p w14:paraId="6B9E7FCE" w14:textId="77777777" w:rsidR="0042506F" w:rsidRDefault="0042506F" w:rsidP="00BA0D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900"/>
    <w:rsid w:val="00051D21"/>
    <w:rsid w:val="0007797C"/>
    <w:rsid w:val="0009508E"/>
    <w:rsid w:val="000C303A"/>
    <w:rsid w:val="001120F3"/>
    <w:rsid w:val="0020273F"/>
    <w:rsid w:val="00225252"/>
    <w:rsid w:val="00232192"/>
    <w:rsid w:val="00292551"/>
    <w:rsid w:val="002A362F"/>
    <w:rsid w:val="002D32BC"/>
    <w:rsid w:val="0039307D"/>
    <w:rsid w:val="003C235D"/>
    <w:rsid w:val="003E100A"/>
    <w:rsid w:val="0042506F"/>
    <w:rsid w:val="00437E3F"/>
    <w:rsid w:val="00442630"/>
    <w:rsid w:val="004B3DEF"/>
    <w:rsid w:val="005527F1"/>
    <w:rsid w:val="00562373"/>
    <w:rsid w:val="005D0FC2"/>
    <w:rsid w:val="005D7450"/>
    <w:rsid w:val="0063524B"/>
    <w:rsid w:val="00660AD6"/>
    <w:rsid w:val="006A69D5"/>
    <w:rsid w:val="007301AB"/>
    <w:rsid w:val="00736683"/>
    <w:rsid w:val="007658A1"/>
    <w:rsid w:val="007E234E"/>
    <w:rsid w:val="008652E4"/>
    <w:rsid w:val="00893765"/>
    <w:rsid w:val="008A421A"/>
    <w:rsid w:val="008F31C1"/>
    <w:rsid w:val="00932967"/>
    <w:rsid w:val="009F0150"/>
    <w:rsid w:val="009F3862"/>
    <w:rsid w:val="00A35F4A"/>
    <w:rsid w:val="00AC67FA"/>
    <w:rsid w:val="00B30D04"/>
    <w:rsid w:val="00B877FD"/>
    <w:rsid w:val="00BA0D38"/>
    <w:rsid w:val="00C103BD"/>
    <w:rsid w:val="00C14D6A"/>
    <w:rsid w:val="00C23BAF"/>
    <w:rsid w:val="00C8006F"/>
    <w:rsid w:val="00CD6FF2"/>
    <w:rsid w:val="00D34763"/>
    <w:rsid w:val="00DA677E"/>
    <w:rsid w:val="00DF23C3"/>
    <w:rsid w:val="00E37582"/>
    <w:rsid w:val="00E52126"/>
    <w:rsid w:val="00E87537"/>
    <w:rsid w:val="00F14900"/>
    <w:rsid w:val="00F27DC3"/>
    <w:rsid w:val="00F5077B"/>
    <w:rsid w:val="00F5346C"/>
    <w:rsid w:val="00F963C5"/>
    <w:rsid w:val="00FA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6E1AA1"/>
  <w15:docId w15:val="{E2CC7F93-56D6-4BA7-A1D6-AD47B170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4900"/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F1490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F14900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14900"/>
    <w:rPr>
      <w:bCs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14900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1490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DANIENASTNOWYWIERSZnpzddrugienowywierszwust">
    <w:name w:val="ZDANIE_NAST_NOWY_WIERSZ – np. zd. drugie (nowy wiersz) w ust."/>
    <w:basedOn w:val="Normalny"/>
    <w:next w:val="USTustnpkodeksu"/>
    <w:uiPriority w:val="17"/>
    <w:qFormat/>
    <w:rsid w:val="00F14900"/>
    <w:pPr>
      <w:spacing w:after="0" w:line="360" w:lineRule="auto"/>
      <w:jc w:val="both"/>
    </w:pPr>
    <w:rPr>
      <w:rFonts w:ascii="Times" w:eastAsiaTheme="minorEastAsia" w:hAnsi="Times" w:cs="Arial"/>
      <w:bCs/>
      <w:szCs w:val="20"/>
    </w:rPr>
  </w:style>
  <w:style w:type="character" w:customStyle="1" w:styleId="IDindeksdolny">
    <w:name w:val="_ID_ – indeks dolny"/>
    <w:basedOn w:val="Domylnaczcionkaakapitu"/>
    <w:uiPriority w:val="3"/>
    <w:qFormat/>
    <w:rsid w:val="00F14900"/>
    <w:rPr>
      <w:b w:val="0"/>
      <w:i w:val="0"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F14900"/>
    <w:rPr>
      <w:b/>
    </w:rPr>
  </w:style>
  <w:style w:type="paragraph" w:styleId="Akapitzlist">
    <w:name w:val="List Paragraph"/>
    <w:aliases w:val="Wyliczanie,BulletC,A_wyliczenie,K-P_odwolanie,Akapit z listą5,maz_wyliczenie,opis dzialania,Table of contents numbered,Numerowanie,Tytuły tabel i wykresów,Akapit z listą 1,L1,T_SZ_List Paragraph,Dot pt,F5 List Paragraph,lp1"/>
    <w:basedOn w:val="Normalny"/>
    <w:uiPriority w:val="34"/>
    <w:qFormat/>
    <w:rsid w:val="00F14900"/>
    <w:pPr>
      <w:ind w:left="720"/>
      <w:contextualSpacing/>
    </w:pPr>
  </w:style>
  <w:style w:type="character" w:styleId="Pogrubienie">
    <w:name w:val="Strong"/>
    <w:basedOn w:val="Domylnaczcionkaakapitu"/>
    <w:uiPriority w:val="99"/>
    <w:qFormat/>
    <w:rsid w:val="00F1490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192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63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63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63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63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63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0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D38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0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D38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6377</Words>
  <Characters>38268</Characters>
  <Application>Microsoft Office Word</Application>
  <DocSecurity>0</DocSecurity>
  <Lines>318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Kowalik Ewa</dc:creator>
  <cp:lastModifiedBy>Kołakowska Iwona</cp:lastModifiedBy>
  <cp:revision>4</cp:revision>
  <dcterms:created xsi:type="dcterms:W3CDTF">2022-02-02T11:25:00Z</dcterms:created>
  <dcterms:modified xsi:type="dcterms:W3CDTF">2022-02-02T12:19:00Z</dcterms:modified>
</cp:coreProperties>
</file>