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1CC67" w14:textId="77777777" w:rsidR="0069399D" w:rsidRPr="0011583A" w:rsidRDefault="0069399D" w:rsidP="0011583A">
      <w:pPr>
        <w:spacing w:line="360" w:lineRule="auto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  <w:bookmarkStart w:id="0" w:name="_GoBack"/>
      <w:bookmarkEnd w:id="0"/>
      <w:r w:rsidRPr="0011583A">
        <w:rPr>
          <w:rFonts w:ascii="Times New Roman" w:hAnsi="Times New Roman" w:cs="Times New Roman"/>
          <w:b/>
          <w:spacing w:val="30"/>
          <w:sz w:val="24"/>
          <w:szCs w:val="24"/>
        </w:rPr>
        <w:t>UZASADNIENIE</w:t>
      </w:r>
    </w:p>
    <w:p w14:paraId="667B658E" w14:textId="5C1EA544" w:rsidR="00DA494A" w:rsidRPr="006B7578" w:rsidRDefault="00DA494A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B7578">
        <w:rPr>
          <w:rFonts w:ascii="Times New Roman" w:hAnsi="Times New Roman" w:cs="Times New Roman"/>
          <w:sz w:val="24"/>
          <w:szCs w:val="24"/>
        </w:rPr>
        <w:t xml:space="preserve">Celem </w:t>
      </w:r>
      <w:r w:rsidR="004D1758">
        <w:rPr>
          <w:rFonts w:ascii="Times New Roman" w:hAnsi="Times New Roman" w:cs="Times New Roman"/>
          <w:sz w:val="24"/>
          <w:szCs w:val="24"/>
        </w:rPr>
        <w:t xml:space="preserve">projektowanej </w:t>
      </w:r>
      <w:r w:rsidRPr="006B7578">
        <w:rPr>
          <w:rFonts w:ascii="Times New Roman" w:hAnsi="Times New Roman" w:cs="Times New Roman"/>
          <w:sz w:val="24"/>
          <w:szCs w:val="24"/>
        </w:rPr>
        <w:t>ustawy jest umożliwienie przekazania</w:t>
      </w:r>
      <w:r w:rsidR="004D1758">
        <w:rPr>
          <w:rFonts w:ascii="Times New Roman" w:hAnsi="Times New Roman" w:cs="Times New Roman"/>
          <w:sz w:val="24"/>
          <w:szCs w:val="24"/>
        </w:rPr>
        <w:t xml:space="preserve"> przez Rzeczpospolitą Polską na rzecz Węgier</w:t>
      </w:r>
      <w:r w:rsidRPr="006B7578">
        <w:rPr>
          <w:rFonts w:ascii="Times New Roman" w:hAnsi="Times New Roman" w:cs="Times New Roman"/>
          <w:sz w:val="24"/>
          <w:szCs w:val="24"/>
        </w:rPr>
        <w:t xml:space="preserve"> kodeksu pergaminowego „Epistola de laudibus augustae bibliothecae atque libri quatuor versibus scripti eodem argumento ad serenissimum Mathiam Corvinum Panoniae regem”</w:t>
      </w:r>
      <w:r w:rsidR="004D1758">
        <w:rPr>
          <w:rFonts w:ascii="Times New Roman" w:hAnsi="Times New Roman" w:cs="Times New Roman"/>
          <w:sz w:val="24"/>
          <w:szCs w:val="24"/>
        </w:rPr>
        <w:t xml:space="preserve">, </w:t>
      </w:r>
      <w:r w:rsidR="004D1758" w:rsidRPr="006B7578">
        <w:rPr>
          <w:rFonts w:ascii="Times New Roman" w:hAnsi="Times New Roman" w:cs="Times New Roman"/>
          <w:sz w:val="24"/>
          <w:szCs w:val="24"/>
        </w:rPr>
        <w:t>zwanego dalej „Kodeksem</w:t>
      </w:r>
      <w:r w:rsidR="004D1758">
        <w:rPr>
          <w:rFonts w:ascii="Times New Roman" w:hAnsi="Times New Roman" w:cs="Times New Roman"/>
          <w:sz w:val="24"/>
          <w:szCs w:val="24"/>
        </w:rPr>
        <w:t xml:space="preserve">”. </w:t>
      </w:r>
      <w:r w:rsidR="00C433AD">
        <w:rPr>
          <w:rFonts w:ascii="Times New Roman" w:hAnsi="Times New Roman" w:cs="Times New Roman"/>
          <w:sz w:val="24"/>
          <w:szCs w:val="24"/>
        </w:rPr>
        <w:t xml:space="preserve">Manuskrypt </w:t>
      </w:r>
      <w:r w:rsidR="004D1758">
        <w:rPr>
          <w:rFonts w:ascii="Times New Roman" w:hAnsi="Times New Roman" w:cs="Times New Roman"/>
          <w:sz w:val="24"/>
          <w:szCs w:val="24"/>
        </w:rPr>
        <w:t>t</w:t>
      </w:r>
      <w:r w:rsidR="00C433AD">
        <w:rPr>
          <w:rFonts w:ascii="Times New Roman" w:hAnsi="Times New Roman" w:cs="Times New Roman"/>
          <w:sz w:val="24"/>
          <w:szCs w:val="24"/>
        </w:rPr>
        <w:t>en</w:t>
      </w:r>
      <w:r w:rsidR="004D1758">
        <w:rPr>
          <w:rFonts w:ascii="Times New Roman" w:hAnsi="Times New Roman" w:cs="Times New Roman"/>
          <w:sz w:val="24"/>
          <w:szCs w:val="24"/>
        </w:rPr>
        <w:t xml:space="preserve"> powstał w</w:t>
      </w:r>
      <w:r w:rsidRPr="006B7578">
        <w:rPr>
          <w:rFonts w:ascii="Times New Roman" w:hAnsi="Times New Roman" w:cs="Times New Roman"/>
          <w:sz w:val="24"/>
          <w:szCs w:val="24"/>
        </w:rPr>
        <w:t xml:space="preserve"> II </w:t>
      </w:r>
      <w:r w:rsidR="005B10A0" w:rsidRPr="006B7578">
        <w:rPr>
          <w:rFonts w:ascii="Times New Roman" w:hAnsi="Times New Roman" w:cs="Times New Roman"/>
          <w:sz w:val="24"/>
          <w:szCs w:val="24"/>
        </w:rPr>
        <w:t>poł</w:t>
      </w:r>
      <w:r w:rsidR="00F0527F">
        <w:rPr>
          <w:rFonts w:ascii="Times New Roman" w:hAnsi="Times New Roman" w:cs="Times New Roman"/>
          <w:sz w:val="24"/>
          <w:szCs w:val="24"/>
        </w:rPr>
        <w:t>.</w:t>
      </w:r>
      <w:r w:rsidR="005B10A0" w:rsidRPr="006B7578">
        <w:rPr>
          <w:rFonts w:ascii="Times New Roman" w:hAnsi="Times New Roman" w:cs="Times New Roman"/>
          <w:sz w:val="24"/>
          <w:szCs w:val="24"/>
        </w:rPr>
        <w:t xml:space="preserve"> </w:t>
      </w:r>
      <w:r w:rsidRPr="006B7578">
        <w:rPr>
          <w:rFonts w:ascii="Times New Roman" w:hAnsi="Times New Roman" w:cs="Times New Roman"/>
          <w:sz w:val="24"/>
          <w:szCs w:val="24"/>
        </w:rPr>
        <w:t>XV w</w:t>
      </w:r>
      <w:r w:rsidR="00F0527F">
        <w:rPr>
          <w:rFonts w:ascii="Times New Roman" w:hAnsi="Times New Roman" w:cs="Times New Roman"/>
          <w:sz w:val="24"/>
          <w:szCs w:val="24"/>
        </w:rPr>
        <w:t>.</w:t>
      </w:r>
      <w:r w:rsidRPr="006B7578">
        <w:rPr>
          <w:rFonts w:ascii="Times New Roman" w:hAnsi="Times New Roman" w:cs="Times New Roman"/>
          <w:sz w:val="24"/>
          <w:szCs w:val="24"/>
        </w:rPr>
        <w:t xml:space="preserve">, </w:t>
      </w:r>
      <w:r w:rsidR="005B10A0">
        <w:rPr>
          <w:rFonts w:ascii="Times New Roman" w:hAnsi="Times New Roman" w:cs="Times New Roman"/>
          <w:sz w:val="24"/>
          <w:szCs w:val="24"/>
        </w:rPr>
        <w:t xml:space="preserve">a jego autorem jest </w:t>
      </w:r>
      <w:r w:rsidR="005B23DD">
        <w:rPr>
          <w:rFonts w:ascii="Times New Roman" w:hAnsi="Times New Roman" w:cs="Times New Roman"/>
          <w:sz w:val="24"/>
          <w:szCs w:val="24"/>
        </w:rPr>
        <w:t xml:space="preserve">Naldus Naldius, </w:t>
      </w:r>
      <w:r w:rsidR="00AF52A0">
        <w:rPr>
          <w:rFonts w:ascii="Times New Roman" w:hAnsi="Times New Roman" w:cs="Times New Roman"/>
          <w:sz w:val="24"/>
          <w:szCs w:val="24"/>
        </w:rPr>
        <w:t xml:space="preserve">pochodzący z Florencji </w:t>
      </w:r>
      <w:r w:rsidR="005B23DD">
        <w:rPr>
          <w:rFonts w:ascii="Times New Roman" w:hAnsi="Times New Roman" w:cs="Times New Roman"/>
          <w:sz w:val="24"/>
          <w:szCs w:val="24"/>
        </w:rPr>
        <w:t xml:space="preserve">humanista i pisarz doby renesansu, działający na dworze króla węgierskiego, Macieja Korwina. </w:t>
      </w:r>
      <w:r w:rsidR="00AF52A0">
        <w:rPr>
          <w:rFonts w:ascii="Times New Roman" w:hAnsi="Times New Roman" w:cs="Times New Roman"/>
          <w:sz w:val="24"/>
          <w:szCs w:val="24"/>
        </w:rPr>
        <w:t xml:space="preserve">Karty Kodeksu zdobią wysokiej klasy </w:t>
      </w:r>
      <w:r w:rsidR="00AF52A0" w:rsidRPr="00AF52A0">
        <w:rPr>
          <w:rFonts w:ascii="Times New Roman" w:hAnsi="Times New Roman" w:cs="Times New Roman"/>
          <w:sz w:val="24"/>
          <w:szCs w:val="24"/>
        </w:rPr>
        <w:t>iluminacj</w:t>
      </w:r>
      <w:r w:rsidR="00AF52A0">
        <w:rPr>
          <w:rFonts w:ascii="Times New Roman" w:hAnsi="Times New Roman" w:cs="Times New Roman"/>
          <w:sz w:val="24"/>
          <w:szCs w:val="24"/>
        </w:rPr>
        <w:t>e</w:t>
      </w:r>
      <w:r w:rsidR="00AF52A0" w:rsidRPr="00AF52A0">
        <w:rPr>
          <w:rFonts w:ascii="Times New Roman" w:hAnsi="Times New Roman" w:cs="Times New Roman"/>
          <w:sz w:val="24"/>
          <w:szCs w:val="24"/>
        </w:rPr>
        <w:t xml:space="preserve"> floren</w:t>
      </w:r>
      <w:r w:rsidR="00AF52A0">
        <w:rPr>
          <w:rFonts w:ascii="Times New Roman" w:hAnsi="Times New Roman" w:cs="Times New Roman"/>
          <w:sz w:val="24"/>
          <w:szCs w:val="24"/>
        </w:rPr>
        <w:t xml:space="preserve">ckiego miniaturzysty Attavantego </w:t>
      </w:r>
      <w:r w:rsidR="00AF52A0" w:rsidRPr="006B7578">
        <w:rPr>
          <w:rFonts w:ascii="Times New Roman" w:hAnsi="Times New Roman" w:cs="Times New Roman"/>
          <w:sz w:val="24"/>
          <w:szCs w:val="24"/>
        </w:rPr>
        <w:t>degli Attavantie</w:t>
      </w:r>
      <w:r w:rsidR="00AF52A0">
        <w:rPr>
          <w:rFonts w:ascii="Times New Roman" w:hAnsi="Times New Roman" w:cs="Times New Roman"/>
          <w:sz w:val="24"/>
          <w:szCs w:val="24"/>
        </w:rPr>
        <w:t>go.</w:t>
      </w:r>
      <w:r w:rsidR="00AF52A0" w:rsidRPr="006B7578">
        <w:rPr>
          <w:rFonts w:ascii="Times New Roman" w:hAnsi="Times New Roman" w:cs="Times New Roman"/>
          <w:sz w:val="24"/>
          <w:szCs w:val="24"/>
        </w:rPr>
        <w:t xml:space="preserve"> </w:t>
      </w:r>
      <w:r w:rsidR="00C433AD">
        <w:rPr>
          <w:rFonts w:ascii="Times New Roman" w:hAnsi="Times New Roman" w:cs="Times New Roman"/>
          <w:sz w:val="24"/>
          <w:szCs w:val="24"/>
        </w:rPr>
        <w:t xml:space="preserve">Dzieło </w:t>
      </w:r>
      <w:r w:rsidR="00AF52A0">
        <w:rPr>
          <w:rFonts w:ascii="Times New Roman" w:hAnsi="Times New Roman" w:cs="Times New Roman"/>
          <w:sz w:val="24"/>
          <w:szCs w:val="24"/>
        </w:rPr>
        <w:t xml:space="preserve">pozostaje obecnie w zbiorach </w:t>
      </w:r>
      <w:r w:rsidRPr="006B7578">
        <w:rPr>
          <w:rFonts w:ascii="Times New Roman" w:hAnsi="Times New Roman" w:cs="Times New Roman"/>
          <w:sz w:val="24"/>
          <w:szCs w:val="24"/>
        </w:rPr>
        <w:t xml:space="preserve">Wojewódzkiej Biblioteki Publicznej – Książnicy Kopernikańskiej w Toruniu </w:t>
      </w:r>
      <w:r w:rsidR="00AF52A0">
        <w:rPr>
          <w:rFonts w:ascii="Times New Roman" w:hAnsi="Times New Roman" w:cs="Times New Roman"/>
          <w:sz w:val="24"/>
          <w:szCs w:val="24"/>
        </w:rPr>
        <w:t>(nr katalogowy:</w:t>
      </w:r>
      <w:r w:rsidRPr="006B7578">
        <w:rPr>
          <w:rFonts w:ascii="Times New Roman" w:hAnsi="Times New Roman" w:cs="Times New Roman"/>
          <w:sz w:val="24"/>
          <w:szCs w:val="24"/>
        </w:rPr>
        <w:t xml:space="preserve"> Rps 107</w:t>
      </w:r>
      <w:r w:rsidR="00AF52A0">
        <w:rPr>
          <w:rFonts w:ascii="Times New Roman" w:hAnsi="Times New Roman" w:cs="Times New Roman"/>
          <w:sz w:val="24"/>
          <w:szCs w:val="24"/>
        </w:rPr>
        <w:t>)</w:t>
      </w:r>
      <w:r w:rsidRPr="006B7578">
        <w:rPr>
          <w:rFonts w:ascii="Times New Roman" w:hAnsi="Times New Roman" w:cs="Times New Roman"/>
          <w:sz w:val="24"/>
          <w:szCs w:val="24"/>
        </w:rPr>
        <w:t>.</w:t>
      </w:r>
    </w:p>
    <w:p w14:paraId="26F3E622" w14:textId="5D1E49D2" w:rsidR="003214BA" w:rsidRDefault="00E839F9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na uwadze ekstraordynaryjny charakter aktu przekazania własności unormowanego w projektowanej ustawie, a także jego wagę dla wzajemnych stosunków międzypaństwowych, zasadnicze przesłanki przemawiające za jego dokonaniem zostały obszernie przedstawione w </w:t>
      </w:r>
      <w:r w:rsidR="00F0527F">
        <w:rPr>
          <w:rFonts w:ascii="Times New Roman" w:hAnsi="Times New Roman" w:cs="Times New Roman"/>
          <w:sz w:val="24"/>
          <w:szCs w:val="24"/>
        </w:rPr>
        <w:t xml:space="preserve">projektowanej </w:t>
      </w:r>
      <w:r>
        <w:rPr>
          <w:rFonts w:ascii="Times New Roman" w:hAnsi="Times New Roman" w:cs="Times New Roman"/>
          <w:sz w:val="24"/>
          <w:szCs w:val="24"/>
        </w:rPr>
        <w:t>preambule ustawy. Przede wszystkim więc, p</w:t>
      </w:r>
      <w:r w:rsidR="00AF52A0">
        <w:rPr>
          <w:rFonts w:ascii="Times New Roman" w:hAnsi="Times New Roman" w:cs="Times New Roman"/>
          <w:sz w:val="24"/>
          <w:szCs w:val="24"/>
        </w:rPr>
        <w:t xml:space="preserve">rzekazanie Kodeksu </w:t>
      </w:r>
      <w:r w:rsidR="0025285A">
        <w:rPr>
          <w:rFonts w:ascii="Times New Roman" w:hAnsi="Times New Roman" w:cs="Times New Roman"/>
          <w:sz w:val="24"/>
          <w:szCs w:val="24"/>
        </w:rPr>
        <w:t>na rzecz Węgier</w:t>
      </w:r>
      <w:r>
        <w:rPr>
          <w:rFonts w:ascii="Times New Roman" w:hAnsi="Times New Roman" w:cs="Times New Roman"/>
          <w:sz w:val="24"/>
          <w:szCs w:val="24"/>
        </w:rPr>
        <w:t xml:space="preserve"> pozwoli</w:t>
      </w:r>
      <w:r w:rsidR="0025285A">
        <w:rPr>
          <w:rFonts w:ascii="Times New Roman" w:hAnsi="Times New Roman" w:cs="Times New Roman"/>
          <w:sz w:val="24"/>
          <w:szCs w:val="24"/>
        </w:rPr>
        <w:t xml:space="preserve"> wyrazi</w:t>
      </w:r>
      <w:r>
        <w:rPr>
          <w:rFonts w:ascii="Times New Roman" w:hAnsi="Times New Roman" w:cs="Times New Roman"/>
          <w:sz w:val="24"/>
          <w:szCs w:val="24"/>
        </w:rPr>
        <w:t>ć</w:t>
      </w:r>
      <w:r w:rsidR="0025285A">
        <w:rPr>
          <w:rFonts w:ascii="Times New Roman" w:hAnsi="Times New Roman" w:cs="Times New Roman"/>
          <w:sz w:val="24"/>
          <w:szCs w:val="24"/>
        </w:rPr>
        <w:t xml:space="preserve"> wdzięczność</w:t>
      </w:r>
      <w:r>
        <w:rPr>
          <w:rFonts w:ascii="Times New Roman" w:hAnsi="Times New Roman" w:cs="Times New Roman"/>
          <w:sz w:val="24"/>
          <w:szCs w:val="24"/>
        </w:rPr>
        <w:t xml:space="preserve"> Narodu Polskiego</w:t>
      </w:r>
      <w:r w:rsidR="0025285A">
        <w:rPr>
          <w:rFonts w:ascii="Times New Roman" w:hAnsi="Times New Roman" w:cs="Times New Roman"/>
          <w:sz w:val="24"/>
          <w:szCs w:val="24"/>
        </w:rPr>
        <w:t xml:space="preserve"> i odwzajemni</w:t>
      </w:r>
      <w:r>
        <w:rPr>
          <w:rFonts w:ascii="Times New Roman" w:hAnsi="Times New Roman" w:cs="Times New Roman"/>
          <w:sz w:val="24"/>
          <w:szCs w:val="24"/>
        </w:rPr>
        <w:t>ć</w:t>
      </w:r>
      <w:r w:rsidR="0025285A">
        <w:rPr>
          <w:rFonts w:ascii="Times New Roman" w:hAnsi="Times New Roman" w:cs="Times New Roman"/>
          <w:sz w:val="24"/>
          <w:szCs w:val="24"/>
        </w:rPr>
        <w:t xml:space="preserve"> gest przyjaźni Narodu Węgierskiego, jaki stanowiło podarowanie stronie polskiej pozłacanej </w:t>
      </w:r>
      <w:r w:rsidR="0025285A" w:rsidRPr="006B7578">
        <w:rPr>
          <w:rFonts w:ascii="Times New Roman" w:hAnsi="Times New Roman" w:cs="Times New Roman"/>
          <w:sz w:val="24"/>
          <w:szCs w:val="24"/>
        </w:rPr>
        <w:t>zbroi dziecięcej króla Zygmunta II Augusta</w:t>
      </w:r>
      <w:r w:rsidR="005D7EBE">
        <w:rPr>
          <w:rFonts w:ascii="Times New Roman" w:hAnsi="Times New Roman" w:cs="Times New Roman"/>
          <w:sz w:val="24"/>
          <w:szCs w:val="24"/>
        </w:rPr>
        <w:t xml:space="preserve">, pozostającej w zbiorach i pod zarządem Węgierskiego Muzeum Narodowego. </w:t>
      </w:r>
      <w:r w:rsidR="003214BA">
        <w:rPr>
          <w:rFonts w:ascii="Times New Roman" w:hAnsi="Times New Roman" w:cs="Times New Roman"/>
          <w:sz w:val="24"/>
          <w:szCs w:val="24"/>
        </w:rPr>
        <w:t>Wykonana z kutej, trawionej, grawerowanej i pozłacanej stali z</w:t>
      </w:r>
      <w:r w:rsidR="005D7EBE">
        <w:rPr>
          <w:rFonts w:ascii="Times New Roman" w:hAnsi="Times New Roman" w:cs="Times New Roman"/>
          <w:sz w:val="24"/>
          <w:szCs w:val="24"/>
        </w:rPr>
        <w:t>broja powstała na początku XVI wieku, jako dar Ferdynanda I dla Zygmunta Augusta, przyszłego króla Polski, z okazji jego zaślubin z córką cesarza, Elżbietą. Z zachowanej korespondencji między Komorą tyrolską a cesarzem wynika, że wykonał ją płatnerz insbrucki J</w:t>
      </w:r>
      <w:r w:rsidR="00897156">
        <w:rPr>
          <w:rFonts w:ascii="Times New Roman" w:hAnsi="Times New Roman" w:cs="Times New Roman"/>
          <w:sz w:val="24"/>
          <w:szCs w:val="24"/>
        </w:rPr>
        <w:t>ö</w:t>
      </w:r>
      <w:r w:rsidR="005D7EBE">
        <w:rPr>
          <w:rFonts w:ascii="Times New Roman" w:hAnsi="Times New Roman" w:cs="Times New Roman"/>
          <w:sz w:val="24"/>
          <w:szCs w:val="24"/>
        </w:rPr>
        <w:t>rg Seusen</w:t>
      </w:r>
      <w:r w:rsidR="00897156">
        <w:rPr>
          <w:rFonts w:ascii="Times New Roman" w:hAnsi="Times New Roman" w:cs="Times New Roman"/>
          <w:sz w:val="24"/>
          <w:szCs w:val="24"/>
        </w:rPr>
        <w:t>horfer „dla młodego króla Polski, a monogram „ES” na napierśniku zbroi wskazuje na imiona Elisabetha i Sigismund.</w:t>
      </w:r>
      <w:r w:rsidR="0012423F">
        <w:rPr>
          <w:rFonts w:ascii="Times New Roman" w:hAnsi="Times New Roman" w:cs="Times New Roman"/>
          <w:sz w:val="24"/>
          <w:szCs w:val="24"/>
        </w:rPr>
        <w:t xml:space="preserve"> Zbroja zachowała się w cesarskich zbiorach wiedeńskich. </w:t>
      </w:r>
      <w:r w:rsidR="00C433AD">
        <w:rPr>
          <w:rFonts w:ascii="Times New Roman" w:hAnsi="Times New Roman" w:cs="Times New Roman"/>
          <w:sz w:val="24"/>
          <w:szCs w:val="24"/>
        </w:rPr>
        <w:t>W 1933 r.</w:t>
      </w:r>
      <w:r w:rsidR="00CF5047">
        <w:rPr>
          <w:rFonts w:ascii="Times New Roman" w:hAnsi="Times New Roman" w:cs="Times New Roman"/>
          <w:sz w:val="24"/>
          <w:szCs w:val="24"/>
        </w:rPr>
        <w:t>,</w:t>
      </w:r>
      <w:r w:rsidR="0012423F">
        <w:rPr>
          <w:rFonts w:ascii="Times New Roman" w:hAnsi="Times New Roman" w:cs="Times New Roman"/>
          <w:sz w:val="24"/>
          <w:szCs w:val="24"/>
        </w:rPr>
        <w:t xml:space="preserve"> w ramach umowy o podziale tychże zbiorów</w:t>
      </w:r>
      <w:r w:rsidR="00CF5047">
        <w:rPr>
          <w:rFonts w:ascii="Times New Roman" w:hAnsi="Times New Roman" w:cs="Times New Roman"/>
          <w:sz w:val="24"/>
          <w:szCs w:val="24"/>
        </w:rPr>
        <w:t>,</w:t>
      </w:r>
      <w:r w:rsidR="0012423F">
        <w:rPr>
          <w:rFonts w:ascii="Times New Roman" w:hAnsi="Times New Roman" w:cs="Times New Roman"/>
          <w:sz w:val="24"/>
          <w:szCs w:val="24"/>
        </w:rPr>
        <w:t xml:space="preserve"> stała się własnością Węgier, bowiem uchodziła wówczas za zbroję Ludwika II, wykonaną z okazji zaręczyn wnuczki cesarza Maksymiliana I, arcyksiężniczki Marii, </w:t>
      </w:r>
      <w:r w:rsidR="00F0527F">
        <w:rPr>
          <w:rFonts w:ascii="Times New Roman" w:hAnsi="Times New Roman" w:cs="Times New Roman"/>
          <w:sz w:val="24"/>
          <w:szCs w:val="24"/>
        </w:rPr>
        <w:t xml:space="preserve">z </w:t>
      </w:r>
      <w:r w:rsidR="0012423F">
        <w:rPr>
          <w:rFonts w:ascii="Times New Roman" w:hAnsi="Times New Roman" w:cs="Times New Roman"/>
          <w:sz w:val="24"/>
          <w:szCs w:val="24"/>
        </w:rPr>
        <w:t xml:space="preserve">synem węgierskiego króla Władysława II. Monogram „ES” tłumaczono wówczas jako „Sancta Elisabetha” lub „Sancta Emericus”. Od tego czasu zbroja znajdowała się w zbiorach Muzeum Narodowego w Budapeszcie. W 1939 r. badacz austriacki Bruno Thomas ustalił ponad wszelką wątpliwość, że zbroja należała do Zygmunta Augusta, nie </w:t>
      </w:r>
      <w:r w:rsidR="003214BA">
        <w:rPr>
          <w:rFonts w:ascii="Times New Roman" w:hAnsi="Times New Roman" w:cs="Times New Roman"/>
          <w:sz w:val="24"/>
          <w:szCs w:val="24"/>
        </w:rPr>
        <w:t xml:space="preserve">zaś jak uważano, </w:t>
      </w:r>
      <w:r w:rsidR="0012423F">
        <w:rPr>
          <w:rFonts w:ascii="Times New Roman" w:hAnsi="Times New Roman" w:cs="Times New Roman"/>
          <w:sz w:val="24"/>
          <w:szCs w:val="24"/>
        </w:rPr>
        <w:t xml:space="preserve">do Ludwika II. Wobec </w:t>
      </w:r>
      <w:r w:rsidR="003214BA">
        <w:rPr>
          <w:rFonts w:ascii="Times New Roman" w:hAnsi="Times New Roman" w:cs="Times New Roman"/>
          <w:sz w:val="24"/>
          <w:szCs w:val="24"/>
        </w:rPr>
        <w:t>tych ustaleń</w:t>
      </w:r>
      <w:r w:rsidR="0012423F">
        <w:rPr>
          <w:rFonts w:ascii="Times New Roman" w:hAnsi="Times New Roman" w:cs="Times New Roman"/>
          <w:sz w:val="24"/>
          <w:szCs w:val="24"/>
        </w:rPr>
        <w:t xml:space="preserve"> przedmiotowe dzieło sztuki nie ma ścisłych odniesień do historii Węgier. Stanowi natomiast </w:t>
      </w:r>
      <w:r w:rsidR="00897156" w:rsidRPr="006B7578">
        <w:rPr>
          <w:rFonts w:ascii="Times New Roman" w:hAnsi="Times New Roman" w:cs="Times New Roman"/>
          <w:sz w:val="24"/>
          <w:szCs w:val="24"/>
        </w:rPr>
        <w:t xml:space="preserve">dobro kultury związane z historią </w:t>
      </w:r>
      <w:r w:rsidR="0012423F">
        <w:rPr>
          <w:rFonts w:ascii="Times New Roman" w:hAnsi="Times New Roman" w:cs="Times New Roman"/>
          <w:sz w:val="24"/>
          <w:szCs w:val="24"/>
        </w:rPr>
        <w:t>P</w:t>
      </w:r>
      <w:r w:rsidR="00897156" w:rsidRPr="006B7578">
        <w:rPr>
          <w:rFonts w:ascii="Times New Roman" w:hAnsi="Times New Roman" w:cs="Times New Roman"/>
          <w:sz w:val="24"/>
          <w:szCs w:val="24"/>
        </w:rPr>
        <w:t xml:space="preserve">aństwa i </w:t>
      </w:r>
      <w:r w:rsidR="0012423F">
        <w:rPr>
          <w:rFonts w:ascii="Times New Roman" w:hAnsi="Times New Roman" w:cs="Times New Roman"/>
          <w:sz w:val="24"/>
          <w:szCs w:val="24"/>
        </w:rPr>
        <w:t>N</w:t>
      </w:r>
      <w:r w:rsidR="00897156" w:rsidRPr="006B7578">
        <w:rPr>
          <w:rFonts w:ascii="Times New Roman" w:hAnsi="Times New Roman" w:cs="Times New Roman"/>
          <w:sz w:val="24"/>
          <w:szCs w:val="24"/>
        </w:rPr>
        <w:t xml:space="preserve">arodu </w:t>
      </w:r>
      <w:r w:rsidR="0012423F">
        <w:rPr>
          <w:rFonts w:ascii="Times New Roman" w:hAnsi="Times New Roman" w:cs="Times New Roman"/>
          <w:sz w:val="24"/>
          <w:szCs w:val="24"/>
        </w:rPr>
        <w:t>P</w:t>
      </w:r>
      <w:r w:rsidR="00897156" w:rsidRPr="006B7578">
        <w:rPr>
          <w:rFonts w:ascii="Times New Roman" w:hAnsi="Times New Roman" w:cs="Times New Roman"/>
          <w:sz w:val="24"/>
          <w:szCs w:val="24"/>
        </w:rPr>
        <w:t>olskiego.</w:t>
      </w:r>
      <w:r w:rsidR="003214BA">
        <w:rPr>
          <w:rFonts w:ascii="Times New Roman" w:hAnsi="Times New Roman" w:cs="Times New Roman"/>
          <w:sz w:val="24"/>
          <w:szCs w:val="24"/>
        </w:rPr>
        <w:t xml:space="preserve"> </w:t>
      </w:r>
      <w:r w:rsidR="00C433AD">
        <w:rPr>
          <w:rFonts w:ascii="Times New Roman" w:hAnsi="Times New Roman" w:cs="Times New Roman"/>
          <w:sz w:val="24"/>
          <w:szCs w:val="24"/>
        </w:rPr>
        <w:t>Dążąc m.in. do</w:t>
      </w:r>
      <w:r w:rsidR="003214BA">
        <w:rPr>
          <w:rFonts w:ascii="Times New Roman" w:hAnsi="Times New Roman" w:cs="Times New Roman"/>
          <w:sz w:val="24"/>
          <w:szCs w:val="24"/>
        </w:rPr>
        <w:t xml:space="preserve"> dalszego rozszerzania </w:t>
      </w:r>
      <w:r w:rsidR="00F0527F">
        <w:rPr>
          <w:rFonts w:ascii="Times New Roman" w:hAnsi="Times New Roman" w:cs="Times New Roman"/>
          <w:sz w:val="24"/>
          <w:szCs w:val="24"/>
        </w:rPr>
        <w:t>i umacniania</w:t>
      </w:r>
      <w:r w:rsidR="003214BA">
        <w:rPr>
          <w:rFonts w:ascii="Times New Roman" w:hAnsi="Times New Roman" w:cs="Times New Roman"/>
          <w:sz w:val="24"/>
          <w:szCs w:val="24"/>
        </w:rPr>
        <w:t xml:space="preserve"> wielostronnej współpracy, </w:t>
      </w:r>
      <w:r w:rsidR="00897156">
        <w:rPr>
          <w:rFonts w:ascii="Times New Roman" w:hAnsi="Times New Roman" w:cs="Times New Roman"/>
          <w:sz w:val="24"/>
          <w:szCs w:val="24"/>
        </w:rPr>
        <w:t xml:space="preserve">Węgry nieodpłatnie przekazały </w:t>
      </w:r>
      <w:r w:rsidR="00897156" w:rsidRPr="006B7578">
        <w:rPr>
          <w:rFonts w:ascii="Times New Roman" w:hAnsi="Times New Roman" w:cs="Times New Roman"/>
          <w:sz w:val="24"/>
          <w:szCs w:val="24"/>
        </w:rPr>
        <w:t xml:space="preserve">Rzeczypospolitej Polskiej prawo </w:t>
      </w:r>
      <w:r w:rsidR="00897156" w:rsidRPr="006B7578">
        <w:rPr>
          <w:rFonts w:ascii="Times New Roman" w:hAnsi="Times New Roman" w:cs="Times New Roman"/>
          <w:sz w:val="24"/>
          <w:szCs w:val="24"/>
        </w:rPr>
        <w:lastRenderedPageBreak/>
        <w:t>własności</w:t>
      </w:r>
      <w:r w:rsidR="00897156">
        <w:rPr>
          <w:rFonts w:ascii="Times New Roman" w:hAnsi="Times New Roman" w:cs="Times New Roman"/>
          <w:sz w:val="24"/>
          <w:szCs w:val="24"/>
        </w:rPr>
        <w:t xml:space="preserve"> zbroi dziecięcej króla Zygmunta II Augusta na </w:t>
      </w:r>
      <w:r w:rsidR="00CB264E" w:rsidRPr="006B7578">
        <w:rPr>
          <w:rFonts w:ascii="Times New Roman" w:hAnsi="Times New Roman" w:cs="Times New Roman"/>
          <w:sz w:val="24"/>
          <w:szCs w:val="24"/>
        </w:rPr>
        <w:t xml:space="preserve">mocy porozumienia zawartego </w:t>
      </w:r>
      <w:r w:rsidR="00897156">
        <w:rPr>
          <w:rFonts w:ascii="Times New Roman" w:hAnsi="Times New Roman" w:cs="Times New Roman"/>
          <w:sz w:val="24"/>
          <w:szCs w:val="24"/>
        </w:rPr>
        <w:t xml:space="preserve">12 lutego 2021 r. </w:t>
      </w:r>
      <w:r w:rsidR="00CB264E" w:rsidRPr="006B7578">
        <w:rPr>
          <w:rFonts w:ascii="Times New Roman" w:hAnsi="Times New Roman" w:cs="Times New Roman"/>
          <w:sz w:val="24"/>
          <w:szCs w:val="24"/>
        </w:rPr>
        <w:t>w</w:t>
      </w:r>
      <w:r w:rsidR="00897156">
        <w:rPr>
          <w:rFonts w:ascii="Times New Roman" w:hAnsi="Times New Roman" w:cs="Times New Roman"/>
          <w:sz w:val="24"/>
          <w:szCs w:val="24"/>
        </w:rPr>
        <w:t> </w:t>
      </w:r>
      <w:r w:rsidR="00CB264E" w:rsidRPr="006B7578">
        <w:rPr>
          <w:rFonts w:ascii="Times New Roman" w:hAnsi="Times New Roman" w:cs="Times New Roman"/>
          <w:sz w:val="24"/>
          <w:szCs w:val="24"/>
        </w:rPr>
        <w:t>Budapeszcie</w:t>
      </w:r>
      <w:r w:rsidR="00897156">
        <w:rPr>
          <w:rFonts w:ascii="Times New Roman" w:hAnsi="Times New Roman" w:cs="Times New Roman"/>
          <w:sz w:val="24"/>
          <w:szCs w:val="24"/>
        </w:rPr>
        <w:t xml:space="preserve">. </w:t>
      </w:r>
      <w:r w:rsidR="00E63DBD">
        <w:rPr>
          <w:rFonts w:ascii="Times New Roman" w:hAnsi="Times New Roman" w:cs="Times New Roman"/>
          <w:sz w:val="24"/>
          <w:szCs w:val="24"/>
        </w:rPr>
        <w:t>Obecnie zbroja znajduje się w</w:t>
      </w:r>
      <w:r w:rsidR="00897156">
        <w:rPr>
          <w:rFonts w:ascii="Times New Roman" w:hAnsi="Times New Roman" w:cs="Times New Roman"/>
          <w:sz w:val="24"/>
          <w:szCs w:val="24"/>
        </w:rPr>
        <w:t xml:space="preserve"> zbiorach</w:t>
      </w:r>
      <w:r w:rsidR="00E63DBD">
        <w:rPr>
          <w:rFonts w:ascii="Times New Roman" w:hAnsi="Times New Roman" w:cs="Times New Roman"/>
          <w:sz w:val="24"/>
          <w:szCs w:val="24"/>
        </w:rPr>
        <w:t xml:space="preserve"> Zamku </w:t>
      </w:r>
      <w:r w:rsidR="00897156">
        <w:rPr>
          <w:rFonts w:ascii="Times New Roman" w:hAnsi="Times New Roman" w:cs="Times New Roman"/>
          <w:sz w:val="24"/>
          <w:szCs w:val="24"/>
        </w:rPr>
        <w:t xml:space="preserve">Królewskiego </w:t>
      </w:r>
      <w:r w:rsidR="00E63DBD">
        <w:rPr>
          <w:rFonts w:ascii="Times New Roman" w:hAnsi="Times New Roman" w:cs="Times New Roman"/>
          <w:sz w:val="24"/>
          <w:szCs w:val="24"/>
        </w:rPr>
        <w:t>na Wawelu.</w:t>
      </w:r>
    </w:p>
    <w:p w14:paraId="75D06F41" w14:textId="1EB00B52" w:rsidR="00CB264E" w:rsidRPr="006B7578" w:rsidRDefault="003214BA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Pragnąc</w:t>
      </w:r>
      <w:r w:rsidR="00CB264E" w:rsidRPr="006B7578">
        <w:rPr>
          <w:rFonts w:ascii="Times New Roman" w:hAnsi="Times New Roman" w:cs="Times New Roman"/>
          <w:sz w:val="24"/>
          <w:szCs w:val="24"/>
        </w:rPr>
        <w:t xml:space="preserve"> kontynuować oraz zacieśniać </w:t>
      </w:r>
      <w:r w:rsidR="007617C7">
        <w:rPr>
          <w:rFonts w:ascii="Times New Roman" w:hAnsi="Times New Roman" w:cs="Times New Roman"/>
          <w:sz w:val="24"/>
          <w:szCs w:val="24"/>
        </w:rPr>
        <w:t xml:space="preserve">wielowiekową </w:t>
      </w:r>
      <w:r w:rsidR="00CB264E" w:rsidRPr="006B7578">
        <w:rPr>
          <w:rFonts w:ascii="Times New Roman" w:hAnsi="Times New Roman" w:cs="Times New Roman"/>
          <w:sz w:val="24"/>
          <w:szCs w:val="24"/>
        </w:rPr>
        <w:t xml:space="preserve">współpracę </w:t>
      </w:r>
      <w:r>
        <w:rPr>
          <w:rFonts w:ascii="Times New Roman" w:hAnsi="Times New Roman" w:cs="Times New Roman"/>
          <w:sz w:val="24"/>
          <w:szCs w:val="24"/>
        </w:rPr>
        <w:t>polsko-węgierską</w:t>
      </w:r>
      <w:r w:rsidR="00CB264E" w:rsidRPr="006B757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 tym również</w:t>
      </w:r>
      <w:r w:rsidRPr="006B7578">
        <w:rPr>
          <w:rFonts w:ascii="Times New Roman" w:hAnsi="Times New Roman" w:cs="Times New Roman"/>
          <w:sz w:val="24"/>
          <w:szCs w:val="24"/>
        </w:rPr>
        <w:t xml:space="preserve"> </w:t>
      </w:r>
      <w:r w:rsidR="00CB264E" w:rsidRPr="006B7578">
        <w:rPr>
          <w:rFonts w:ascii="Times New Roman" w:hAnsi="Times New Roman" w:cs="Times New Roman"/>
          <w:sz w:val="24"/>
          <w:szCs w:val="24"/>
        </w:rPr>
        <w:t xml:space="preserve">na płaszczyźnie kulturalnej, proponuje się </w:t>
      </w:r>
      <w:r w:rsidRPr="006B7578">
        <w:rPr>
          <w:rFonts w:ascii="Times New Roman" w:hAnsi="Times New Roman" w:cs="Times New Roman"/>
          <w:sz w:val="24"/>
          <w:szCs w:val="24"/>
        </w:rPr>
        <w:t>przekaza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6B75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rzecz Węgier</w:t>
      </w:r>
      <w:r w:rsidRPr="006B7578">
        <w:rPr>
          <w:rFonts w:ascii="Times New Roman" w:hAnsi="Times New Roman" w:cs="Times New Roman"/>
          <w:sz w:val="24"/>
          <w:szCs w:val="24"/>
        </w:rPr>
        <w:t xml:space="preserve"> zaby</w:t>
      </w:r>
      <w:r>
        <w:rPr>
          <w:rFonts w:ascii="Times New Roman" w:hAnsi="Times New Roman" w:cs="Times New Roman"/>
          <w:sz w:val="24"/>
          <w:szCs w:val="24"/>
        </w:rPr>
        <w:t>tek</w:t>
      </w:r>
      <w:r w:rsidRPr="006B7578">
        <w:rPr>
          <w:rFonts w:ascii="Times New Roman" w:hAnsi="Times New Roman" w:cs="Times New Roman"/>
          <w:sz w:val="24"/>
          <w:szCs w:val="24"/>
        </w:rPr>
        <w:t xml:space="preserve"> </w:t>
      </w:r>
      <w:r w:rsidR="00CB264E" w:rsidRPr="006B7578">
        <w:rPr>
          <w:rFonts w:ascii="Times New Roman" w:hAnsi="Times New Roman" w:cs="Times New Roman"/>
          <w:sz w:val="24"/>
          <w:szCs w:val="24"/>
        </w:rPr>
        <w:t xml:space="preserve">o szczególnej wartości dla węgierskiej historii i tożsamości narodowej. Takim zabytkiem jest Kodeks, który </w:t>
      </w:r>
      <w:r w:rsidR="00E63DBD">
        <w:rPr>
          <w:rFonts w:ascii="Times New Roman" w:hAnsi="Times New Roman" w:cs="Times New Roman"/>
          <w:sz w:val="24"/>
          <w:szCs w:val="24"/>
        </w:rPr>
        <w:t>co prawda</w:t>
      </w:r>
      <w:r w:rsidR="00CB264E" w:rsidRPr="006B7578">
        <w:rPr>
          <w:rFonts w:ascii="Times New Roman" w:hAnsi="Times New Roman" w:cs="Times New Roman"/>
          <w:sz w:val="24"/>
          <w:szCs w:val="24"/>
        </w:rPr>
        <w:t xml:space="preserve"> stanowi cenny eksponat</w:t>
      </w:r>
      <w:r w:rsidR="006B7578">
        <w:rPr>
          <w:rFonts w:ascii="Times New Roman" w:hAnsi="Times New Roman" w:cs="Times New Roman"/>
          <w:sz w:val="24"/>
          <w:szCs w:val="24"/>
        </w:rPr>
        <w:t xml:space="preserve"> w polskich zbiorach</w:t>
      </w:r>
      <w:r w:rsidR="007617C7">
        <w:rPr>
          <w:rFonts w:ascii="Times New Roman" w:hAnsi="Times New Roman" w:cs="Times New Roman"/>
          <w:sz w:val="24"/>
          <w:szCs w:val="24"/>
        </w:rPr>
        <w:t xml:space="preserve"> bibliotecznych</w:t>
      </w:r>
      <w:r w:rsidR="00CB264E" w:rsidRPr="006B7578">
        <w:rPr>
          <w:rFonts w:ascii="Times New Roman" w:hAnsi="Times New Roman" w:cs="Times New Roman"/>
          <w:sz w:val="24"/>
          <w:szCs w:val="24"/>
        </w:rPr>
        <w:t xml:space="preserve">, </w:t>
      </w:r>
      <w:r w:rsidR="007617C7">
        <w:rPr>
          <w:rFonts w:ascii="Times New Roman" w:hAnsi="Times New Roman" w:cs="Times New Roman"/>
          <w:sz w:val="24"/>
          <w:szCs w:val="24"/>
        </w:rPr>
        <w:t xml:space="preserve">jednakże nie ma ścisłego związku z historią </w:t>
      </w:r>
      <w:r w:rsidR="00A0786F">
        <w:rPr>
          <w:rFonts w:ascii="Times New Roman" w:hAnsi="Times New Roman" w:cs="Times New Roman"/>
          <w:sz w:val="24"/>
          <w:szCs w:val="24"/>
        </w:rPr>
        <w:t>Polski</w:t>
      </w:r>
      <w:r w:rsidR="007617C7">
        <w:rPr>
          <w:rFonts w:ascii="Times New Roman" w:hAnsi="Times New Roman" w:cs="Times New Roman"/>
          <w:sz w:val="24"/>
          <w:szCs w:val="24"/>
        </w:rPr>
        <w:t>, natomiast</w:t>
      </w:r>
      <w:r w:rsidR="007617C7" w:rsidRPr="006B7578">
        <w:rPr>
          <w:rFonts w:ascii="Times New Roman" w:hAnsi="Times New Roman" w:cs="Times New Roman"/>
          <w:sz w:val="24"/>
          <w:szCs w:val="24"/>
        </w:rPr>
        <w:t xml:space="preserve"> </w:t>
      </w:r>
      <w:r w:rsidR="00CB264E" w:rsidRPr="006B7578">
        <w:rPr>
          <w:rFonts w:ascii="Times New Roman" w:hAnsi="Times New Roman" w:cs="Times New Roman"/>
          <w:sz w:val="24"/>
          <w:szCs w:val="24"/>
        </w:rPr>
        <w:t xml:space="preserve">dla </w:t>
      </w:r>
      <w:r w:rsidR="006B7578">
        <w:rPr>
          <w:rFonts w:ascii="Times New Roman" w:hAnsi="Times New Roman" w:cs="Times New Roman"/>
          <w:sz w:val="24"/>
          <w:szCs w:val="24"/>
        </w:rPr>
        <w:t xml:space="preserve">Węgier </w:t>
      </w:r>
      <w:r w:rsidR="007617C7">
        <w:rPr>
          <w:rFonts w:ascii="Times New Roman" w:hAnsi="Times New Roman" w:cs="Times New Roman"/>
          <w:sz w:val="24"/>
          <w:szCs w:val="24"/>
        </w:rPr>
        <w:t xml:space="preserve">pozostaje </w:t>
      </w:r>
      <w:r w:rsidR="006B7578">
        <w:rPr>
          <w:rFonts w:ascii="Times New Roman" w:hAnsi="Times New Roman" w:cs="Times New Roman"/>
          <w:sz w:val="24"/>
          <w:szCs w:val="24"/>
        </w:rPr>
        <w:t>szczególnie cenny</w:t>
      </w:r>
      <w:r w:rsidR="00E63DBD">
        <w:rPr>
          <w:rFonts w:ascii="Times New Roman" w:hAnsi="Times New Roman" w:cs="Times New Roman"/>
          <w:sz w:val="24"/>
          <w:szCs w:val="24"/>
        </w:rPr>
        <w:t>m świadectwem</w:t>
      </w:r>
      <w:r w:rsidR="006B7578">
        <w:rPr>
          <w:rFonts w:ascii="Times New Roman" w:hAnsi="Times New Roman" w:cs="Times New Roman"/>
          <w:sz w:val="24"/>
          <w:szCs w:val="24"/>
        </w:rPr>
        <w:t xml:space="preserve"> dziedzictwa kulturowego i narodowego</w:t>
      </w:r>
      <w:r w:rsidR="007617C7">
        <w:rPr>
          <w:rFonts w:ascii="Times New Roman" w:hAnsi="Times New Roman" w:cs="Times New Roman"/>
          <w:sz w:val="24"/>
          <w:szCs w:val="24"/>
        </w:rPr>
        <w:t>, związanym z osobą króla Macieja Korwina</w:t>
      </w:r>
      <w:r w:rsidR="006B7578">
        <w:rPr>
          <w:rFonts w:ascii="Times New Roman" w:hAnsi="Times New Roman" w:cs="Times New Roman"/>
          <w:sz w:val="24"/>
          <w:szCs w:val="24"/>
        </w:rPr>
        <w:t>.</w:t>
      </w:r>
    </w:p>
    <w:p w14:paraId="584906B3" w14:textId="6E02E2D0" w:rsidR="00110AC0" w:rsidRDefault="007617C7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Przyjęcie proponowanych w ustawie rozwiązań prawnych jest niezbędne, aby dokonać przekazania własności Kodeksu na rzecz Węgier.</w:t>
      </w:r>
      <w:r w:rsidR="00DA494A" w:rsidRPr="006B75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 pierwsze,</w:t>
      </w:r>
      <w:r w:rsidR="00EE3525">
        <w:rPr>
          <w:rFonts w:ascii="Times New Roman" w:hAnsi="Times New Roman" w:cs="Times New Roman"/>
          <w:sz w:val="24"/>
          <w:szCs w:val="24"/>
        </w:rPr>
        <w:t xml:space="preserve"> aby do przekazania manuskryptu mogło dojść na szczeblu międzypaństwowym, Skarb Państwa</w:t>
      </w:r>
      <w:r w:rsidR="00B9595F">
        <w:rPr>
          <w:rFonts w:ascii="Times New Roman" w:hAnsi="Times New Roman" w:cs="Times New Roman"/>
          <w:sz w:val="24"/>
          <w:szCs w:val="24"/>
        </w:rPr>
        <w:t xml:space="preserve"> powinien uprzednio nabyć jego własność od dotychczasowego właściciela, a tym samym uzyskać możliwość dysponowania Kodeksem</w:t>
      </w:r>
      <w:r w:rsidR="00EE3525">
        <w:rPr>
          <w:rFonts w:ascii="Times New Roman" w:hAnsi="Times New Roman" w:cs="Times New Roman"/>
          <w:sz w:val="24"/>
          <w:szCs w:val="24"/>
        </w:rPr>
        <w:t xml:space="preserve">. Po drugie, obowiązujące obecnie przepisy uniemożliwiają wywiezienie Kodeksu za granicę na stałe. </w:t>
      </w:r>
      <w:r w:rsidR="001A169E">
        <w:rPr>
          <w:rFonts w:ascii="Times New Roman" w:hAnsi="Times New Roman" w:cs="Times New Roman"/>
          <w:sz w:val="24"/>
          <w:szCs w:val="24"/>
        </w:rPr>
        <w:t xml:space="preserve">Wynika to z faktu, że </w:t>
      </w:r>
      <w:r w:rsidR="00EE3525">
        <w:rPr>
          <w:rFonts w:ascii="Times New Roman" w:hAnsi="Times New Roman" w:cs="Times New Roman"/>
          <w:sz w:val="24"/>
          <w:szCs w:val="24"/>
        </w:rPr>
        <w:t>Kodeks</w:t>
      </w:r>
      <w:r w:rsidR="001A169E">
        <w:rPr>
          <w:rFonts w:ascii="Times New Roman" w:hAnsi="Times New Roman" w:cs="Times New Roman"/>
          <w:sz w:val="24"/>
          <w:szCs w:val="24"/>
        </w:rPr>
        <w:t xml:space="preserve"> jest zabytkiem, a ponadto</w:t>
      </w:r>
      <w:r w:rsidR="00EE3525">
        <w:rPr>
          <w:rFonts w:ascii="Times New Roman" w:hAnsi="Times New Roman" w:cs="Times New Roman"/>
          <w:sz w:val="24"/>
          <w:szCs w:val="24"/>
        </w:rPr>
        <w:t xml:space="preserve"> wchodzi w skład zbioru</w:t>
      </w:r>
      <w:r w:rsidR="001A169E">
        <w:rPr>
          <w:rFonts w:ascii="Times New Roman" w:hAnsi="Times New Roman" w:cs="Times New Roman"/>
          <w:sz w:val="24"/>
          <w:szCs w:val="24"/>
        </w:rPr>
        <w:t xml:space="preserve"> tworzącego </w:t>
      </w:r>
      <w:r w:rsidR="00B9595F">
        <w:rPr>
          <w:rFonts w:ascii="Times New Roman" w:hAnsi="Times New Roman" w:cs="Times New Roman"/>
          <w:sz w:val="24"/>
          <w:szCs w:val="24"/>
        </w:rPr>
        <w:t>narodow</w:t>
      </w:r>
      <w:r w:rsidR="001A169E">
        <w:rPr>
          <w:rFonts w:ascii="Times New Roman" w:hAnsi="Times New Roman" w:cs="Times New Roman"/>
          <w:sz w:val="24"/>
          <w:szCs w:val="24"/>
        </w:rPr>
        <w:t>y</w:t>
      </w:r>
      <w:r w:rsidR="00B9595F">
        <w:rPr>
          <w:rFonts w:ascii="Times New Roman" w:hAnsi="Times New Roman" w:cs="Times New Roman"/>
          <w:sz w:val="24"/>
          <w:szCs w:val="24"/>
        </w:rPr>
        <w:t xml:space="preserve"> zas</w:t>
      </w:r>
      <w:r w:rsidR="001A169E">
        <w:rPr>
          <w:rFonts w:ascii="Times New Roman" w:hAnsi="Times New Roman" w:cs="Times New Roman"/>
          <w:sz w:val="24"/>
          <w:szCs w:val="24"/>
        </w:rPr>
        <w:t>ób</w:t>
      </w:r>
      <w:r w:rsidR="00B9595F">
        <w:rPr>
          <w:rFonts w:ascii="Times New Roman" w:hAnsi="Times New Roman" w:cs="Times New Roman"/>
          <w:sz w:val="24"/>
          <w:szCs w:val="24"/>
        </w:rPr>
        <w:t xml:space="preserve"> biblioteczn</w:t>
      </w:r>
      <w:r w:rsidR="001A169E">
        <w:rPr>
          <w:rFonts w:ascii="Times New Roman" w:hAnsi="Times New Roman" w:cs="Times New Roman"/>
          <w:sz w:val="24"/>
          <w:szCs w:val="24"/>
        </w:rPr>
        <w:t>y</w:t>
      </w:r>
      <w:r w:rsidR="00B9595F">
        <w:rPr>
          <w:rFonts w:ascii="Times New Roman" w:hAnsi="Times New Roman" w:cs="Times New Roman"/>
          <w:sz w:val="24"/>
          <w:szCs w:val="24"/>
        </w:rPr>
        <w:t xml:space="preserve">. </w:t>
      </w:r>
      <w:r w:rsidR="001A169E">
        <w:rPr>
          <w:rFonts w:ascii="Times New Roman" w:hAnsi="Times New Roman" w:cs="Times New Roman"/>
          <w:sz w:val="24"/>
          <w:szCs w:val="24"/>
        </w:rPr>
        <w:t xml:space="preserve">W tym kontekście zauważyć należy, że </w:t>
      </w:r>
      <w:r w:rsidR="001A169E" w:rsidRPr="001A169E">
        <w:rPr>
          <w:rFonts w:ascii="Times New Roman" w:hAnsi="Times New Roman" w:cs="Times New Roman"/>
          <w:sz w:val="24"/>
          <w:szCs w:val="24"/>
        </w:rPr>
        <w:t>Wo</w:t>
      </w:r>
      <w:r w:rsidR="001A169E">
        <w:rPr>
          <w:rFonts w:ascii="Times New Roman" w:hAnsi="Times New Roman" w:cs="Times New Roman"/>
          <w:sz w:val="24"/>
          <w:szCs w:val="24"/>
        </w:rPr>
        <w:t xml:space="preserve">jewódzka Biblioteka Publiczna – </w:t>
      </w:r>
      <w:r w:rsidR="001A169E" w:rsidRPr="001A169E">
        <w:rPr>
          <w:rFonts w:ascii="Times New Roman" w:hAnsi="Times New Roman" w:cs="Times New Roman"/>
          <w:sz w:val="24"/>
          <w:szCs w:val="24"/>
        </w:rPr>
        <w:t>Książnica Kopernikańska w Toruniu</w:t>
      </w:r>
      <w:r w:rsidR="001A169E">
        <w:rPr>
          <w:rFonts w:ascii="Times New Roman" w:hAnsi="Times New Roman" w:cs="Times New Roman"/>
          <w:sz w:val="24"/>
          <w:szCs w:val="24"/>
        </w:rPr>
        <w:t xml:space="preserve"> została wymieniona w załączniku do rozporządzenia </w:t>
      </w:r>
      <w:r w:rsidR="001A169E" w:rsidRPr="001A169E">
        <w:rPr>
          <w:rFonts w:ascii="Times New Roman" w:hAnsi="Times New Roman" w:cs="Times New Roman"/>
          <w:sz w:val="24"/>
          <w:szCs w:val="24"/>
        </w:rPr>
        <w:t xml:space="preserve">Ministra Kultury i Dziedzictwa Narodowego </w:t>
      </w:r>
      <w:r w:rsidR="001A169E">
        <w:rPr>
          <w:rFonts w:ascii="Times New Roman" w:hAnsi="Times New Roman" w:cs="Times New Roman"/>
          <w:sz w:val="24"/>
          <w:szCs w:val="24"/>
        </w:rPr>
        <w:t xml:space="preserve">z dnia 4 lipca 2012 r. w sprawie narodowego zasobu bibliotecznego (Dz. U. z 2021 r. poz. 1308) jako </w:t>
      </w:r>
      <w:r w:rsidR="001A169E" w:rsidRPr="001A169E">
        <w:rPr>
          <w:rFonts w:ascii="Times New Roman" w:hAnsi="Times New Roman" w:cs="Times New Roman"/>
          <w:sz w:val="24"/>
          <w:szCs w:val="24"/>
        </w:rPr>
        <w:t>bibliotek</w:t>
      </w:r>
      <w:r w:rsidR="001A169E">
        <w:rPr>
          <w:rFonts w:ascii="Times New Roman" w:hAnsi="Times New Roman" w:cs="Times New Roman"/>
          <w:sz w:val="24"/>
          <w:szCs w:val="24"/>
        </w:rPr>
        <w:t>a</w:t>
      </w:r>
      <w:r w:rsidR="001A169E" w:rsidRPr="001A169E">
        <w:rPr>
          <w:rFonts w:ascii="Times New Roman" w:hAnsi="Times New Roman" w:cs="Times New Roman"/>
          <w:sz w:val="24"/>
          <w:szCs w:val="24"/>
        </w:rPr>
        <w:t>, któr</w:t>
      </w:r>
      <w:r w:rsidR="001A169E">
        <w:rPr>
          <w:rFonts w:ascii="Times New Roman" w:hAnsi="Times New Roman" w:cs="Times New Roman"/>
          <w:sz w:val="24"/>
          <w:szCs w:val="24"/>
        </w:rPr>
        <w:t>a</w:t>
      </w:r>
      <w:r w:rsidR="001A169E" w:rsidRPr="001A169E">
        <w:rPr>
          <w:rFonts w:ascii="Times New Roman" w:hAnsi="Times New Roman" w:cs="Times New Roman"/>
          <w:sz w:val="24"/>
          <w:szCs w:val="24"/>
        </w:rPr>
        <w:t xml:space="preserve"> posiada zbiory zaliczane do narodowego zasobu bibliotecznego</w:t>
      </w:r>
      <w:r w:rsidR="001A169E">
        <w:rPr>
          <w:rFonts w:ascii="Times New Roman" w:hAnsi="Times New Roman" w:cs="Times New Roman"/>
          <w:sz w:val="24"/>
          <w:szCs w:val="24"/>
        </w:rPr>
        <w:t xml:space="preserve">. </w:t>
      </w:r>
      <w:r w:rsidR="00B9595F">
        <w:rPr>
          <w:rFonts w:ascii="Times New Roman" w:hAnsi="Times New Roman" w:cs="Times New Roman"/>
          <w:sz w:val="24"/>
          <w:szCs w:val="24"/>
        </w:rPr>
        <w:t xml:space="preserve">Zgodnie z art. 6 ust. 1 ustawy z dnia </w:t>
      </w:r>
      <w:r w:rsidR="00D75F02">
        <w:rPr>
          <w:rFonts w:ascii="Times New Roman" w:hAnsi="Times New Roman" w:cs="Times New Roman"/>
          <w:sz w:val="24"/>
          <w:szCs w:val="24"/>
        </w:rPr>
        <w:t xml:space="preserve">27 czerwca 1997 r. o bibliotekach (Dz. U. z 2019 r. poz. 1479) </w:t>
      </w:r>
      <w:r w:rsidR="00B9595F">
        <w:rPr>
          <w:rFonts w:ascii="Times New Roman" w:hAnsi="Times New Roman" w:cs="Times New Roman"/>
          <w:sz w:val="24"/>
          <w:szCs w:val="24"/>
        </w:rPr>
        <w:t xml:space="preserve">narodowy zasób biblioteczny </w:t>
      </w:r>
      <w:r w:rsidR="00B9595F" w:rsidRPr="00B9595F">
        <w:rPr>
          <w:rFonts w:ascii="Times New Roman" w:hAnsi="Times New Roman" w:cs="Times New Roman"/>
          <w:sz w:val="24"/>
          <w:szCs w:val="24"/>
        </w:rPr>
        <w:t>stanowią, w całości lub części</w:t>
      </w:r>
      <w:r w:rsidR="00B9595F">
        <w:rPr>
          <w:rFonts w:ascii="Times New Roman" w:hAnsi="Times New Roman" w:cs="Times New Roman"/>
          <w:sz w:val="24"/>
          <w:szCs w:val="24"/>
        </w:rPr>
        <w:t>,</w:t>
      </w:r>
      <w:r w:rsidR="00B9595F" w:rsidRPr="00B9595F" w:rsidDel="00EE3525">
        <w:rPr>
          <w:rFonts w:ascii="Times New Roman" w:hAnsi="Times New Roman" w:cs="Times New Roman"/>
          <w:sz w:val="24"/>
          <w:szCs w:val="24"/>
        </w:rPr>
        <w:t xml:space="preserve"> </w:t>
      </w:r>
      <w:r w:rsidR="00B9595F">
        <w:rPr>
          <w:rFonts w:ascii="Times New Roman" w:hAnsi="Times New Roman" w:cs="Times New Roman"/>
          <w:sz w:val="24"/>
          <w:szCs w:val="24"/>
        </w:rPr>
        <w:t>z</w:t>
      </w:r>
      <w:r w:rsidR="00B9595F" w:rsidRPr="00B9595F">
        <w:rPr>
          <w:rFonts w:ascii="Times New Roman" w:hAnsi="Times New Roman" w:cs="Times New Roman"/>
          <w:sz w:val="24"/>
          <w:szCs w:val="24"/>
        </w:rPr>
        <w:t>biory bibliotek mające wyjątkową wartość i znaczenie dla dziedzictwa narodowego</w:t>
      </w:r>
      <w:r w:rsidR="00B9595F">
        <w:rPr>
          <w:rFonts w:ascii="Times New Roman" w:hAnsi="Times New Roman" w:cs="Times New Roman"/>
          <w:sz w:val="24"/>
          <w:szCs w:val="24"/>
        </w:rPr>
        <w:t xml:space="preserve">. </w:t>
      </w:r>
      <w:r w:rsidR="001A169E">
        <w:rPr>
          <w:rFonts w:ascii="Times New Roman" w:hAnsi="Times New Roman" w:cs="Times New Roman"/>
          <w:sz w:val="24"/>
          <w:szCs w:val="24"/>
        </w:rPr>
        <w:t xml:space="preserve">Zbiory te podlegają szczególnej ochronie prawnej, przejawiającej się m.in. w ograniczeniu możliwości ich wywożenia za </w:t>
      </w:r>
      <w:r w:rsidR="00EB33A3">
        <w:rPr>
          <w:rFonts w:ascii="Times New Roman" w:hAnsi="Times New Roman" w:cs="Times New Roman"/>
          <w:sz w:val="24"/>
          <w:szCs w:val="24"/>
        </w:rPr>
        <w:t>granicę.</w:t>
      </w:r>
    </w:p>
    <w:p w14:paraId="0492E510" w14:textId="53205B78" w:rsidR="00CB264E" w:rsidRDefault="00EB33A3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Kodeksu zasadnicze znaczenie z perspektywy celu projektowanej ustawy ma jednak fakt, że pozostaje on zabytkiem. Jak wynika z definicji legalnej zawartej w art. 3 pkt 1 ustawy z dnia 23 lipca 2003 r. o ochronie zabytków i opiece nad zabytkami (Dz. U. z 2021 r. poz. 710 i 954)</w:t>
      </w:r>
      <w:r w:rsidR="00110A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zabytkiem jest </w:t>
      </w:r>
      <w:r w:rsidRPr="00EB33A3">
        <w:rPr>
          <w:rFonts w:ascii="Times New Roman" w:hAnsi="Times New Roman" w:cs="Times New Roman"/>
          <w:sz w:val="24"/>
          <w:szCs w:val="24"/>
        </w:rPr>
        <w:t>nieruchomość lub rzecz ruchom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B33A3">
        <w:rPr>
          <w:rFonts w:ascii="Times New Roman" w:hAnsi="Times New Roman" w:cs="Times New Roman"/>
          <w:sz w:val="24"/>
          <w:szCs w:val="24"/>
        </w:rPr>
        <w:t xml:space="preserve">, ich części lub zespoły, będące dziełem człowieka lub związane z jego działalnością i stanowiące świadectwo minionej epoki bądź zdarzenia, których zachowanie leży w interesie społecznym ze względu </w:t>
      </w:r>
      <w:r w:rsidRPr="00EB33A3">
        <w:rPr>
          <w:rFonts w:ascii="Times New Roman" w:hAnsi="Times New Roman" w:cs="Times New Roman"/>
          <w:sz w:val="24"/>
          <w:szCs w:val="24"/>
        </w:rPr>
        <w:lastRenderedPageBreak/>
        <w:t>na posiadaną wartość histo</w:t>
      </w:r>
      <w:r>
        <w:rPr>
          <w:rFonts w:ascii="Times New Roman" w:hAnsi="Times New Roman" w:cs="Times New Roman"/>
          <w:sz w:val="24"/>
          <w:szCs w:val="24"/>
        </w:rPr>
        <w:t xml:space="preserve">ryczną, artystyczną lub naukową. Obecnie obowiązująca w prawie polskim definicja zabytku ma charakter materialny, a zatem dla uzyskania przez dany obiekt </w:t>
      </w:r>
      <w:r w:rsidR="00110AC0">
        <w:rPr>
          <w:rFonts w:ascii="Times New Roman" w:hAnsi="Times New Roman" w:cs="Times New Roman"/>
          <w:sz w:val="24"/>
          <w:szCs w:val="24"/>
        </w:rPr>
        <w:t>statusu</w:t>
      </w:r>
      <w:r>
        <w:rPr>
          <w:rFonts w:ascii="Times New Roman" w:hAnsi="Times New Roman" w:cs="Times New Roman"/>
          <w:sz w:val="24"/>
          <w:szCs w:val="24"/>
        </w:rPr>
        <w:t xml:space="preserve"> zabytku wystarczające </w:t>
      </w:r>
      <w:r w:rsidR="00110AC0">
        <w:rPr>
          <w:rFonts w:ascii="Times New Roman" w:hAnsi="Times New Roman" w:cs="Times New Roman"/>
          <w:sz w:val="24"/>
          <w:szCs w:val="24"/>
        </w:rPr>
        <w:t>jest posiadanie przymiotów określonych w przywołanej definicji. Nie jest przy tym wymagane uznanie obiektu za zabytek w jakiejkolwiek procedurze administracyjnej lub sądowej, jak również objęcie go jedną z form ochrony zabytku, np. wpisem do rejestru zabytków, wpis</w:t>
      </w:r>
      <w:r w:rsidR="00F0527F">
        <w:rPr>
          <w:rFonts w:ascii="Times New Roman" w:hAnsi="Times New Roman" w:cs="Times New Roman"/>
          <w:sz w:val="24"/>
          <w:szCs w:val="24"/>
        </w:rPr>
        <w:t>em na Listę Skarbów Dziedzictwa</w:t>
      </w:r>
      <w:r w:rsidR="00110AC0">
        <w:rPr>
          <w:rFonts w:ascii="Times New Roman" w:hAnsi="Times New Roman" w:cs="Times New Roman"/>
          <w:sz w:val="24"/>
          <w:szCs w:val="24"/>
        </w:rPr>
        <w:t xml:space="preserve"> czy uznaniem za pomnik historii. Mając na uwadze, że Kodeks jest dziełem człowieka, stanowiącym świadectwo minionej epoki, a jego</w:t>
      </w:r>
      <w:r w:rsidR="00110AC0" w:rsidRPr="00110AC0">
        <w:rPr>
          <w:rFonts w:ascii="Times New Roman" w:hAnsi="Times New Roman" w:cs="Times New Roman"/>
          <w:sz w:val="24"/>
          <w:szCs w:val="24"/>
        </w:rPr>
        <w:t xml:space="preserve"> </w:t>
      </w:r>
      <w:r w:rsidR="00110AC0" w:rsidRPr="00EB33A3">
        <w:rPr>
          <w:rFonts w:ascii="Times New Roman" w:hAnsi="Times New Roman" w:cs="Times New Roman"/>
          <w:sz w:val="24"/>
          <w:szCs w:val="24"/>
        </w:rPr>
        <w:t>zachowanie leży w interesie społecznym ze względu na posiadaną wartość histo</w:t>
      </w:r>
      <w:r w:rsidR="00110AC0">
        <w:rPr>
          <w:rFonts w:ascii="Times New Roman" w:hAnsi="Times New Roman" w:cs="Times New Roman"/>
          <w:sz w:val="24"/>
          <w:szCs w:val="24"/>
        </w:rPr>
        <w:t>ryczną, artystyczną i naukową, na gruncie prawa polskiego posiada on status zabytku, co wiąże się m.in. z ograniczeniami w zakresie możliwości jego wywiezienia za granicę.</w:t>
      </w:r>
      <w:r w:rsidR="00160017">
        <w:rPr>
          <w:rFonts w:ascii="Times New Roman" w:hAnsi="Times New Roman" w:cs="Times New Roman"/>
          <w:sz w:val="24"/>
          <w:szCs w:val="24"/>
        </w:rPr>
        <w:t xml:space="preserve"> Zgodnie bowiem z art. 51 ust. 4 pkt 4 ustawy </w:t>
      </w:r>
      <w:r w:rsidR="00F0527F">
        <w:rPr>
          <w:rFonts w:ascii="Times New Roman" w:hAnsi="Times New Roman" w:cs="Times New Roman"/>
          <w:sz w:val="24"/>
          <w:szCs w:val="24"/>
        </w:rPr>
        <w:t xml:space="preserve">z dnia 23 lipca 2003 r. </w:t>
      </w:r>
      <w:r w:rsidR="00160017">
        <w:rPr>
          <w:rFonts w:ascii="Times New Roman" w:hAnsi="Times New Roman" w:cs="Times New Roman"/>
          <w:sz w:val="24"/>
          <w:szCs w:val="24"/>
        </w:rPr>
        <w:t xml:space="preserve">o ochronie zabytków i opiece nad zabytkami, zabytki </w:t>
      </w:r>
      <w:r w:rsidR="00160017" w:rsidRPr="00160017">
        <w:rPr>
          <w:rFonts w:ascii="Times New Roman" w:hAnsi="Times New Roman" w:cs="Times New Roman"/>
          <w:sz w:val="24"/>
          <w:szCs w:val="24"/>
        </w:rPr>
        <w:t>wchodzące w skład narodowego zasobu bibliotecznego</w:t>
      </w:r>
      <w:r w:rsidR="00110AC0" w:rsidRPr="006B7578" w:rsidDel="00EE3525">
        <w:rPr>
          <w:rFonts w:ascii="Times New Roman" w:hAnsi="Times New Roman" w:cs="Times New Roman"/>
          <w:sz w:val="24"/>
          <w:szCs w:val="24"/>
        </w:rPr>
        <w:t xml:space="preserve"> </w:t>
      </w:r>
      <w:r w:rsidR="00160017" w:rsidRPr="00160017">
        <w:rPr>
          <w:rFonts w:ascii="Times New Roman" w:hAnsi="Times New Roman" w:cs="Times New Roman"/>
          <w:sz w:val="24"/>
          <w:szCs w:val="24"/>
        </w:rPr>
        <w:t>nie mogą być wywożone za granicę na stałe, z wyjątkiem przypadków określonych w art. 26 i art. 42 ustawy z dnia 25 maja 2017 r. o restytucji narodowych dóbr kultury</w:t>
      </w:r>
      <w:r w:rsidR="00160017">
        <w:rPr>
          <w:rFonts w:ascii="Times New Roman" w:hAnsi="Times New Roman" w:cs="Times New Roman"/>
          <w:sz w:val="24"/>
          <w:szCs w:val="24"/>
        </w:rPr>
        <w:t xml:space="preserve"> (Dz. U. z 2019 r. poz. 1591)</w:t>
      </w:r>
      <w:r w:rsidR="00160017" w:rsidRPr="00160017">
        <w:rPr>
          <w:rFonts w:ascii="Times New Roman" w:hAnsi="Times New Roman" w:cs="Times New Roman"/>
          <w:sz w:val="24"/>
          <w:szCs w:val="24"/>
        </w:rPr>
        <w:t>, gdy wywóz odbywa się w wykonaniu prawomocnego wyroku nakazującego zwrot zagranicznego narodowego dobra kultury, o którym mowa w art. 18 ust. 1 tej ustawy, na terytorium państwa Unii Europejskiej albo na podstawie pozwoleń, o których mowa w art. 39 ust. 1 lub art. 43 ust. 1 tej ustawy.</w:t>
      </w:r>
      <w:r w:rsidR="00160017" w:rsidRPr="00160017" w:rsidDel="00EE3525">
        <w:rPr>
          <w:rFonts w:ascii="Times New Roman" w:hAnsi="Times New Roman" w:cs="Times New Roman"/>
          <w:sz w:val="24"/>
          <w:szCs w:val="24"/>
        </w:rPr>
        <w:t xml:space="preserve"> </w:t>
      </w:r>
      <w:r w:rsidR="00160017">
        <w:rPr>
          <w:rFonts w:ascii="Times New Roman" w:hAnsi="Times New Roman" w:cs="Times New Roman"/>
          <w:sz w:val="24"/>
          <w:szCs w:val="24"/>
        </w:rPr>
        <w:t xml:space="preserve">Żaden z wyjątków od zakazu bezterminowego wywozu zabytku za granicę nie zachodzi w przypadku przekazania Kodeksu na rzecz Węgier. W świetle obowiązujących obecnie unormowań Kodeks nie może zatem zostać na stałe wywieziony za granicę. Projektowa ustawa wprowadzi jednostkowy, indywidualny wyjątek od tej zasady, aby możliwe było </w:t>
      </w:r>
      <w:r w:rsidR="00A0786F">
        <w:rPr>
          <w:rFonts w:ascii="Times New Roman" w:hAnsi="Times New Roman" w:cs="Times New Roman"/>
          <w:sz w:val="24"/>
          <w:szCs w:val="24"/>
        </w:rPr>
        <w:t xml:space="preserve">przetransportowanie Kodeksu na terytorium Węgier oraz </w:t>
      </w:r>
      <w:r w:rsidR="00160017">
        <w:rPr>
          <w:rFonts w:ascii="Times New Roman" w:hAnsi="Times New Roman" w:cs="Times New Roman"/>
          <w:sz w:val="24"/>
          <w:szCs w:val="24"/>
        </w:rPr>
        <w:t>przekazanie Węg</w:t>
      </w:r>
      <w:r w:rsidR="002F22A5">
        <w:rPr>
          <w:rFonts w:ascii="Times New Roman" w:hAnsi="Times New Roman" w:cs="Times New Roman"/>
          <w:sz w:val="24"/>
          <w:szCs w:val="24"/>
        </w:rPr>
        <w:t>rom</w:t>
      </w:r>
      <w:r w:rsidR="00160017">
        <w:rPr>
          <w:rFonts w:ascii="Times New Roman" w:hAnsi="Times New Roman" w:cs="Times New Roman"/>
          <w:sz w:val="24"/>
          <w:szCs w:val="24"/>
        </w:rPr>
        <w:t xml:space="preserve"> pełnych uprawnień właścicielskich.</w:t>
      </w:r>
      <w:r w:rsidR="002F22A5">
        <w:rPr>
          <w:rFonts w:ascii="Times New Roman" w:hAnsi="Times New Roman" w:cs="Times New Roman"/>
          <w:sz w:val="24"/>
          <w:szCs w:val="24"/>
        </w:rPr>
        <w:t xml:space="preserve"> Mając na uwadze, że przekazanie zabytku innemu państwu będzie miało charakter wyjątkowy i należy je traktować jako przypadek jednorazowy, nie przewiduje się </w:t>
      </w:r>
      <w:r w:rsidR="00374169">
        <w:rPr>
          <w:rFonts w:ascii="Times New Roman" w:hAnsi="Times New Roman" w:cs="Times New Roman"/>
          <w:sz w:val="24"/>
          <w:szCs w:val="24"/>
        </w:rPr>
        <w:t xml:space="preserve">uzupełniania </w:t>
      </w:r>
      <w:r w:rsidR="002F22A5">
        <w:rPr>
          <w:rFonts w:ascii="Times New Roman" w:hAnsi="Times New Roman" w:cs="Times New Roman"/>
          <w:sz w:val="24"/>
          <w:szCs w:val="24"/>
        </w:rPr>
        <w:t xml:space="preserve">ustawy </w:t>
      </w:r>
      <w:r w:rsidR="00374169">
        <w:rPr>
          <w:rFonts w:ascii="Times New Roman" w:hAnsi="Times New Roman" w:cs="Times New Roman"/>
          <w:sz w:val="24"/>
          <w:szCs w:val="24"/>
        </w:rPr>
        <w:t xml:space="preserve">z dnia 23 lipca 2003 r. </w:t>
      </w:r>
      <w:r w:rsidR="002F22A5">
        <w:rPr>
          <w:rFonts w:ascii="Times New Roman" w:hAnsi="Times New Roman" w:cs="Times New Roman"/>
          <w:sz w:val="24"/>
          <w:szCs w:val="24"/>
        </w:rPr>
        <w:t xml:space="preserve">o ochronie zabytków i opiece nad zabytkami </w:t>
      </w:r>
      <w:r w:rsidR="00374169">
        <w:rPr>
          <w:rFonts w:ascii="Times New Roman" w:hAnsi="Times New Roman" w:cs="Times New Roman"/>
          <w:sz w:val="24"/>
          <w:szCs w:val="24"/>
        </w:rPr>
        <w:t>o przepisy</w:t>
      </w:r>
      <w:r w:rsidR="002F22A5">
        <w:rPr>
          <w:rFonts w:ascii="Times New Roman" w:hAnsi="Times New Roman" w:cs="Times New Roman"/>
          <w:sz w:val="24"/>
          <w:szCs w:val="24"/>
        </w:rPr>
        <w:t>, które w sposób generalny i systemowy regulowałyby tę kwestię. Nie zachodzi zwłaszcza potrzeba wprowadzania trwałego, ogólnego wyjątku od zakazu wywozu na stałe za granicę określonych kategorii zabytków.</w:t>
      </w:r>
    </w:p>
    <w:p w14:paraId="126A36BC" w14:textId="78406B55" w:rsidR="0011583A" w:rsidRDefault="0011583A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Przechodząc do szczegółowych rozwiązań przewidzianych w projekcie, zauważyć należy, że część artykułowa projektowanej ustawy poprzedzona została preambułą, która podkreśla symboliczną wagę i znaczenie aktu przekazania Kodeksu dla wzajemnych stosunków polsko-węgierskich, kształtowanych na gruncie wielowiekowej, tradycyjnej przyjaźni obydwu Narodów.</w:t>
      </w:r>
      <w:r w:rsidR="00FA7E96">
        <w:rPr>
          <w:rFonts w:ascii="Times New Roman" w:hAnsi="Times New Roman" w:cs="Times New Roman"/>
          <w:sz w:val="24"/>
          <w:szCs w:val="24"/>
        </w:rPr>
        <w:t xml:space="preserve"> </w:t>
      </w:r>
      <w:r w:rsidR="007369F1">
        <w:rPr>
          <w:rFonts w:ascii="Times New Roman" w:hAnsi="Times New Roman" w:cs="Times New Roman"/>
          <w:sz w:val="24"/>
          <w:szCs w:val="24"/>
        </w:rPr>
        <w:t>Preambuła</w:t>
      </w:r>
      <w:r w:rsidR="00FA7E96">
        <w:rPr>
          <w:rFonts w:ascii="Times New Roman" w:hAnsi="Times New Roman" w:cs="Times New Roman"/>
          <w:sz w:val="24"/>
          <w:szCs w:val="24"/>
        </w:rPr>
        <w:t xml:space="preserve"> ma także na celu zaakcentowanie, że przeniesienie własności Kodeksu na </w:t>
      </w:r>
      <w:r w:rsidR="00FA7E96">
        <w:rPr>
          <w:rFonts w:ascii="Times New Roman" w:hAnsi="Times New Roman" w:cs="Times New Roman"/>
          <w:sz w:val="24"/>
          <w:szCs w:val="24"/>
        </w:rPr>
        <w:lastRenderedPageBreak/>
        <w:t>rzecz Węgier stanowi odwzajemnienie gestu przyjaźni, jaki stanowiło podarowanie Rzeczypospolitej Polskiej zbroi dziecięcej Zygmunta II Augusta. Rozpatrując sytuację w kategoriach pozaprawnych, które jednak tworzą zasadnicze tło dla proponowanych rozwiązań normatywnych, przyjąć należy, że strona polska przekazuje Kodeks niejako w zamian za otrzymany uprzednio zabytek. Mimo że w ujęciu prawnym akt przekazania będzie miał charakter ni</w:t>
      </w:r>
      <w:r w:rsidR="00B4617E">
        <w:rPr>
          <w:rFonts w:ascii="Times New Roman" w:hAnsi="Times New Roman" w:cs="Times New Roman"/>
          <w:sz w:val="24"/>
          <w:szCs w:val="24"/>
        </w:rPr>
        <w:t>eodpłatny, to jednak w szerokiej perspektywie należy go postrzegać jako swego rodzaju czynność wzajemną w stosunku do wcześniejszego również nieodpłatnego aktu strony węgierskiej.</w:t>
      </w:r>
      <w:r w:rsidR="00FA7E96">
        <w:rPr>
          <w:rFonts w:ascii="Times New Roman" w:hAnsi="Times New Roman" w:cs="Times New Roman"/>
          <w:sz w:val="24"/>
          <w:szCs w:val="24"/>
        </w:rPr>
        <w:t xml:space="preserve"> </w:t>
      </w:r>
      <w:r w:rsidR="007369F1">
        <w:rPr>
          <w:rFonts w:ascii="Times New Roman" w:hAnsi="Times New Roman" w:cs="Times New Roman"/>
          <w:sz w:val="24"/>
          <w:szCs w:val="24"/>
        </w:rPr>
        <w:t>Dzięki preambule</w:t>
      </w:r>
      <w:r w:rsidR="00B01FA7">
        <w:rPr>
          <w:rFonts w:ascii="Times New Roman" w:hAnsi="Times New Roman" w:cs="Times New Roman"/>
          <w:sz w:val="24"/>
          <w:szCs w:val="24"/>
        </w:rPr>
        <w:t>,</w:t>
      </w:r>
      <w:r w:rsidR="007369F1">
        <w:rPr>
          <w:rFonts w:ascii="Times New Roman" w:hAnsi="Times New Roman" w:cs="Times New Roman"/>
          <w:sz w:val="24"/>
          <w:szCs w:val="24"/>
        </w:rPr>
        <w:t xml:space="preserve"> nawet bez szczegółowego zaznajamiania się z treścią uzasadnienia projektowanej ustawy</w:t>
      </w:r>
      <w:r w:rsidR="00374169">
        <w:rPr>
          <w:rFonts w:ascii="Times New Roman" w:hAnsi="Times New Roman" w:cs="Times New Roman"/>
          <w:sz w:val="24"/>
          <w:szCs w:val="24"/>
        </w:rPr>
        <w:t>,</w:t>
      </w:r>
      <w:r w:rsidR="007369F1">
        <w:rPr>
          <w:rFonts w:ascii="Times New Roman" w:hAnsi="Times New Roman" w:cs="Times New Roman"/>
          <w:sz w:val="24"/>
          <w:szCs w:val="24"/>
        </w:rPr>
        <w:t xml:space="preserve"> będzie można stwierdzić, jakie </w:t>
      </w:r>
      <w:r w:rsidR="007369F1" w:rsidRPr="007369F1">
        <w:rPr>
          <w:rFonts w:ascii="Times New Roman" w:hAnsi="Times New Roman" w:cs="Times New Roman"/>
          <w:i/>
          <w:sz w:val="24"/>
          <w:szCs w:val="24"/>
        </w:rPr>
        <w:t>ratio</w:t>
      </w:r>
      <w:r w:rsidR="007369F1">
        <w:rPr>
          <w:rFonts w:ascii="Times New Roman" w:hAnsi="Times New Roman" w:cs="Times New Roman"/>
          <w:sz w:val="24"/>
          <w:szCs w:val="24"/>
        </w:rPr>
        <w:t xml:space="preserve"> kierował</w:t>
      </w:r>
      <w:r w:rsidR="00C87374">
        <w:rPr>
          <w:rFonts w:ascii="Times New Roman" w:hAnsi="Times New Roman" w:cs="Times New Roman"/>
          <w:sz w:val="24"/>
          <w:szCs w:val="24"/>
        </w:rPr>
        <w:t xml:space="preserve">o przyjęciem tego aktu prawnego. </w:t>
      </w:r>
      <w:r w:rsidR="003E7FFB">
        <w:rPr>
          <w:rFonts w:ascii="Times New Roman" w:hAnsi="Times New Roman" w:cs="Times New Roman"/>
          <w:sz w:val="24"/>
          <w:szCs w:val="24"/>
        </w:rPr>
        <w:t>W wymiarze abstrakcyjnym p</w:t>
      </w:r>
      <w:r w:rsidR="00C87374">
        <w:rPr>
          <w:rFonts w:ascii="Times New Roman" w:hAnsi="Times New Roman" w:cs="Times New Roman"/>
          <w:sz w:val="24"/>
          <w:szCs w:val="24"/>
        </w:rPr>
        <w:t>ozwoli to ponadto po</w:t>
      </w:r>
      <w:r w:rsidR="00374169">
        <w:rPr>
          <w:rFonts w:ascii="Times New Roman" w:hAnsi="Times New Roman" w:cs="Times New Roman"/>
          <w:sz w:val="24"/>
          <w:szCs w:val="24"/>
        </w:rPr>
        <w:t>dkreślić znaczenie, jakie Rzecz</w:t>
      </w:r>
      <w:r w:rsidR="00C87374">
        <w:rPr>
          <w:rFonts w:ascii="Times New Roman" w:hAnsi="Times New Roman" w:cs="Times New Roman"/>
          <w:sz w:val="24"/>
          <w:szCs w:val="24"/>
        </w:rPr>
        <w:t>pospolita Polska przypisuje prawnej ochronie zabytków, wskazując, że przekazanie ich własności na rzecz innego państwa winno mieć charakter wyjątkowy oraz być bezsprzecznie uzasadnione kontekstem faktycznym, w tym relacjami z obdarowanym państwem</w:t>
      </w:r>
      <w:r w:rsidR="003E7FFB">
        <w:rPr>
          <w:rFonts w:ascii="Times New Roman" w:hAnsi="Times New Roman" w:cs="Times New Roman"/>
          <w:sz w:val="24"/>
          <w:szCs w:val="24"/>
        </w:rPr>
        <w:t>, potrzebą odwzajemnienia jego aktów</w:t>
      </w:r>
      <w:r w:rsidR="00C87374">
        <w:rPr>
          <w:rFonts w:ascii="Times New Roman" w:hAnsi="Times New Roman" w:cs="Times New Roman"/>
          <w:sz w:val="24"/>
          <w:szCs w:val="24"/>
        </w:rPr>
        <w:t xml:space="preserve"> oraz znaczeniem przekazywanego zabytku dla polskiego dziedzictwa narodowego.</w:t>
      </w:r>
    </w:p>
    <w:p w14:paraId="0FC28C50" w14:textId="06725C65" w:rsidR="00D53072" w:rsidRDefault="00D53072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art. 1 projektowanej ustawy określono zakres przedmiotowy tego aktu prawnego. Obejmuje on kwestie, które wymagają unormowania, aby umożliwić przekazanie Kodeksu na rzecz Węgier, a zatem po pierwsze, </w:t>
      </w:r>
      <w:r w:rsidRPr="00017A46">
        <w:rPr>
          <w:rFonts w:ascii="Times New Roman" w:hAnsi="Times New Roman" w:cs="Times New Roman"/>
          <w:sz w:val="24"/>
          <w:szCs w:val="24"/>
        </w:rPr>
        <w:t xml:space="preserve">sposób nabycia przez Skarb Państwa prawa własności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017A46">
        <w:rPr>
          <w:rFonts w:ascii="Times New Roman" w:hAnsi="Times New Roman" w:cs="Times New Roman"/>
          <w:sz w:val="24"/>
          <w:szCs w:val="24"/>
        </w:rPr>
        <w:t>odeksu</w:t>
      </w:r>
      <w:r>
        <w:rPr>
          <w:rFonts w:ascii="Times New Roman" w:hAnsi="Times New Roman" w:cs="Times New Roman"/>
          <w:sz w:val="24"/>
          <w:szCs w:val="24"/>
        </w:rPr>
        <w:t xml:space="preserve">, a po drugie </w:t>
      </w:r>
      <w:r w:rsidRPr="00A74AD6">
        <w:rPr>
          <w:rFonts w:ascii="Times New Roman" w:hAnsi="Times New Roman" w:cs="Times New Roman"/>
          <w:sz w:val="24"/>
          <w:szCs w:val="24"/>
        </w:rPr>
        <w:t>zasady</w:t>
      </w:r>
      <w:r>
        <w:rPr>
          <w:rFonts w:ascii="Times New Roman" w:hAnsi="Times New Roman" w:cs="Times New Roman"/>
          <w:sz w:val="24"/>
          <w:szCs w:val="24"/>
        </w:rPr>
        <w:t xml:space="preserve"> i sposób</w:t>
      </w:r>
      <w:r w:rsidRPr="00A74AD6">
        <w:rPr>
          <w:rFonts w:ascii="Times New Roman" w:hAnsi="Times New Roman" w:cs="Times New Roman"/>
          <w:sz w:val="24"/>
          <w:szCs w:val="24"/>
        </w:rPr>
        <w:t xml:space="preserve"> przeniesienia na rzecz Węgier prawa własności oraz posiadania</w:t>
      </w:r>
      <w:r>
        <w:rPr>
          <w:rFonts w:ascii="Times New Roman" w:hAnsi="Times New Roman" w:cs="Times New Roman"/>
          <w:sz w:val="24"/>
          <w:szCs w:val="24"/>
        </w:rPr>
        <w:t xml:space="preserve"> Kodeksu. Kwestie te wyznaczają dwa następujące po sobie etapy </w:t>
      </w:r>
      <w:r w:rsidR="008D65AC">
        <w:rPr>
          <w:rFonts w:ascii="Times New Roman" w:hAnsi="Times New Roman" w:cs="Times New Roman"/>
          <w:sz w:val="24"/>
          <w:szCs w:val="24"/>
        </w:rPr>
        <w:t>procesu</w:t>
      </w:r>
      <w:r>
        <w:rPr>
          <w:rFonts w:ascii="Times New Roman" w:hAnsi="Times New Roman" w:cs="Times New Roman"/>
          <w:sz w:val="24"/>
          <w:szCs w:val="24"/>
        </w:rPr>
        <w:t xml:space="preserve"> przekazania manuskryptu.</w:t>
      </w:r>
    </w:p>
    <w:p w14:paraId="358D8D83" w14:textId="2C046AE0" w:rsidR="00D53072" w:rsidRDefault="00D53072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na uwadze, że Kodeks pozostaje własnością podmiotu </w:t>
      </w:r>
      <w:r w:rsidR="00B01FA7">
        <w:rPr>
          <w:rFonts w:ascii="Times New Roman" w:hAnsi="Times New Roman" w:cs="Times New Roman"/>
          <w:sz w:val="24"/>
          <w:szCs w:val="24"/>
        </w:rPr>
        <w:t>samorządowego</w:t>
      </w:r>
      <w:r>
        <w:rPr>
          <w:rFonts w:ascii="Times New Roman" w:hAnsi="Times New Roman" w:cs="Times New Roman"/>
          <w:sz w:val="24"/>
          <w:szCs w:val="24"/>
        </w:rPr>
        <w:t xml:space="preserve">, jego przekazanie przez </w:t>
      </w:r>
      <w:r w:rsidR="006F4244">
        <w:rPr>
          <w:rFonts w:ascii="Times New Roman" w:hAnsi="Times New Roman" w:cs="Times New Roman"/>
          <w:sz w:val="24"/>
          <w:szCs w:val="24"/>
        </w:rPr>
        <w:t>Rzeczpospolitą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4244">
        <w:rPr>
          <w:rFonts w:ascii="Times New Roman" w:hAnsi="Times New Roman" w:cs="Times New Roman"/>
          <w:sz w:val="24"/>
          <w:szCs w:val="24"/>
        </w:rPr>
        <w:t>Polską na rzecz Węgier</w:t>
      </w:r>
      <w:r>
        <w:rPr>
          <w:rFonts w:ascii="Times New Roman" w:hAnsi="Times New Roman" w:cs="Times New Roman"/>
          <w:sz w:val="24"/>
          <w:szCs w:val="24"/>
        </w:rPr>
        <w:t xml:space="preserve"> wymaga uprzedniego nabycia własności przez Skarb Państwa. </w:t>
      </w:r>
      <w:r w:rsidR="00330B83">
        <w:rPr>
          <w:rFonts w:ascii="Times New Roman" w:hAnsi="Times New Roman" w:cs="Times New Roman"/>
          <w:sz w:val="24"/>
          <w:szCs w:val="24"/>
        </w:rPr>
        <w:t>W art. 2 ust. 1 projektu ustawy proponuje się, aby nastąpiło to z mocy samego prawa (</w:t>
      </w:r>
      <w:r w:rsidR="00330B83" w:rsidRPr="00330B83">
        <w:rPr>
          <w:rFonts w:ascii="Times New Roman" w:hAnsi="Times New Roman" w:cs="Times New Roman"/>
          <w:i/>
          <w:sz w:val="24"/>
          <w:szCs w:val="24"/>
        </w:rPr>
        <w:t>ex lege</w:t>
      </w:r>
      <w:r w:rsidR="00330B83">
        <w:rPr>
          <w:rFonts w:ascii="Times New Roman" w:hAnsi="Times New Roman" w:cs="Times New Roman"/>
          <w:sz w:val="24"/>
          <w:szCs w:val="24"/>
        </w:rPr>
        <w:t>) z dniem wejścia w życie ustawy. Tym samym nie będzie konieczne prowadzenie postępowania i wydawania decyzji administracyjnej, na mocy której własność manuskryptu zostałaby przeniesiona na Skarb Państwa. Istniej</w:t>
      </w:r>
      <w:r w:rsidR="00122D15">
        <w:rPr>
          <w:rFonts w:ascii="Times New Roman" w:hAnsi="Times New Roman" w:cs="Times New Roman"/>
          <w:sz w:val="24"/>
          <w:szCs w:val="24"/>
        </w:rPr>
        <w:t>e</w:t>
      </w:r>
      <w:r w:rsidR="00330B83">
        <w:rPr>
          <w:rFonts w:ascii="Times New Roman" w:hAnsi="Times New Roman" w:cs="Times New Roman"/>
          <w:sz w:val="24"/>
          <w:szCs w:val="24"/>
        </w:rPr>
        <w:t xml:space="preserve"> bowiem ryzyko, że postępowanie takie będzie </w:t>
      </w:r>
      <w:r w:rsidR="00677486">
        <w:rPr>
          <w:rFonts w:ascii="Times New Roman" w:hAnsi="Times New Roman" w:cs="Times New Roman"/>
          <w:sz w:val="24"/>
          <w:szCs w:val="24"/>
        </w:rPr>
        <w:t>się toczyć</w:t>
      </w:r>
      <w:r w:rsidR="00330B83">
        <w:rPr>
          <w:rFonts w:ascii="Times New Roman" w:hAnsi="Times New Roman" w:cs="Times New Roman"/>
          <w:sz w:val="24"/>
          <w:szCs w:val="24"/>
        </w:rPr>
        <w:t xml:space="preserve"> przez dłuższy i trudny do precyzyjnego określenia czas, a to ze względu na możliwość kwestionowania </w:t>
      </w:r>
      <w:r w:rsidR="00122D15">
        <w:rPr>
          <w:rFonts w:ascii="Times New Roman" w:hAnsi="Times New Roman" w:cs="Times New Roman"/>
          <w:sz w:val="24"/>
          <w:szCs w:val="24"/>
        </w:rPr>
        <w:t xml:space="preserve">przez dotychczasowego właściciela najpierw w postępowaniu instancyjnym, a następnie sądowoadministracyjnym, </w:t>
      </w:r>
      <w:r w:rsidR="00330B83">
        <w:rPr>
          <w:rFonts w:ascii="Times New Roman" w:hAnsi="Times New Roman" w:cs="Times New Roman"/>
          <w:sz w:val="24"/>
          <w:szCs w:val="24"/>
        </w:rPr>
        <w:t xml:space="preserve">aktu przenoszącego własność. Odwzajemnienie gestu strony węgierskiej wymaga tymczasem, aby stosowne działania pozostawały w rozsądnym odstępie czasowym od odwzajemnianego aktu, który miał miejsce w lutym 2021 r. Oczekiwanie nawet do kilku lat na prawomocne orzeczenie </w:t>
      </w:r>
      <w:r w:rsidR="00330B83">
        <w:rPr>
          <w:rFonts w:ascii="Times New Roman" w:hAnsi="Times New Roman" w:cs="Times New Roman"/>
          <w:sz w:val="24"/>
          <w:szCs w:val="24"/>
        </w:rPr>
        <w:lastRenderedPageBreak/>
        <w:t xml:space="preserve">potwierdzające, że Skarb Państwa skutecznie nabył własność, </w:t>
      </w:r>
      <w:r w:rsidR="00677486">
        <w:rPr>
          <w:rFonts w:ascii="Times New Roman" w:hAnsi="Times New Roman" w:cs="Times New Roman"/>
          <w:sz w:val="24"/>
          <w:szCs w:val="24"/>
        </w:rPr>
        <w:t>wobec czego</w:t>
      </w:r>
      <w:r w:rsidR="00330B83">
        <w:rPr>
          <w:rFonts w:ascii="Times New Roman" w:hAnsi="Times New Roman" w:cs="Times New Roman"/>
          <w:sz w:val="24"/>
          <w:szCs w:val="24"/>
        </w:rPr>
        <w:t xml:space="preserve"> może rozdysponować przekazywanym za granicę zabytkiem,</w:t>
      </w:r>
      <w:r w:rsidR="00677486">
        <w:rPr>
          <w:rFonts w:ascii="Times New Roman" w:hAnsi="Times New Roman" w:cs="Times New Roman"/>
          <w:sz w:val="24"/>
          <w:szCs w:val="24"/>
        </w:rPr>
        <w:t xml:space="preserve"> nie pozwala osiągnąć zamierzonego efektu w sferze stosunków polsko-węgierskich.</w:t>
      </w:r>
      <w:r w:rsidR="00330B83">
        <w:rPr>
          <w:rFonts w:ascii="Times New Roman" w:hAnsi="Times New Roman" w:cs="Times New Roman"/>
          <w:sz w:val="24"/>
          <w:szCs w:val="24"/>
        </w:rPr>
        <w:t xml:space="preserve"> </w:t>
      </w:r>
      <w:r w:rsidR="00677486">
        <w:rPr>
          <w:rFonts w:ascii="Times New Roman" w:hAnsi="Times New Roman" w:cs="Times New Roman"/>
          <w:sz w:val="24"/>
          <w:szCs w:val="24"/>
        </w:rPr>
        <w:t>Należy również mieć na uwadze, że podmiot pozbawiany własności na mocy proponowanego rozwiązania nie jest podmiotem prywatnym, lecz samorządowym, a własność, w którą został wyposażony</w:t>
      </w:r>
      <w:r w:rsidR="008D65AC">
        <w:rPr>
          <w:rFonts w:ascii="Times New Roman" w:hAnsi="Times New Roman" w:cs="Times New Roman"/>
          <w:sz w:val="24"/>
          <w:szCs w:val="24"/>
        </w:rPr>
        <w:t>,</w:t>
      </w:r>
      <w:r w:rsidR="00677486">
        <w:rPr>
          <w:rFonts w:ascii="Times New Roman" w:hAnsi="Times New Roman" w:cs="Times New Roman"/>
          <w:sz w:val="24"/>
          <w:szCs w:val="24"/>
        </w:rPr>
        <w:t xml:space="preserve"> powinna służyć w pierwszej kolejności realizacji celu publicznego. Uszczerbek w majątku tego podmiotu </w:t>
      </w:r>
      <w:r w:rsidR="00692F5B">
        <w:rPr>
          <w:rFonts w:ascii="Times New Roman" w:hAnsi="Times New Roman" w:cs="Times New Roman"/>
          <w:sz w:val="24"/>
          <w:szCs w:val="24"/>
        </w:rPr>
        <w:t>w żaden sposób nie utrudni, ani tym bardziej nie u</w:t>
      </w:r>
      <w:r w:rsidR="00122D15">
        <w:rPr>
          <w:rFonts w:ascii="Times New Roman" w:hAnsi="Times New Roman" w:cs="Times New Roman"/>
          <w:sz w:val="24"/>
          <w:szCs w:val="24"/>
        </w:rPr>
        <w:t>nie</w:t>
      </w:r>
      <w:r w:rsidR="00692F5B">
        <w:rPr>
          <w:rFonts w:ascii="Times New Roman" w:hAnsi="Times New Roman" w:cs="Times New Roman"/>
          <w:sz w:val="24"/>
          <w:szCs w:val="24"/>
        </w:rPr>
        <w:t xml:space="preserve">możliwi prawidłowego wykonywania jego zadań własnych, a co najistotniejsze, </w:t>
      </w:r>
      <w:r w:rsidR="00677486">
        <w:rPr>
          <w:rFonts w:ascii="Times New Roman" w:hAnsi="Times New Roman" w:cs="Times New Roman"/>
          <w:sz w:val="24"/>
          <w:szCs w:val="24"/>
        </w:rPr>
        <w:t>zostanie w pełni wyrównany rekompensatą przew</w:t>
      </w:r>
      <w:r w:rsidR="00692F5B">
        <w:rPr>
          <w:rFonts w:ascii="Times New Roman" w:hAnsi="Times New Roman" w:cs="Times New Roman"/>
          <w:sz w:val="24"/>
          <w:szCs w:val="24"/>
        </w:rPr>
        <w:t xml:space="preserve">idzianą w projektowanej ustawie. </w:t>
      </w:r>
      <w:r w:rsidR="00057A05">
        <w:rPr>
          <w:rFonts w:ascii="Times New Roman" w:hAnsi="Times New Roman" w:cs="Times New Roman"/>
          <w:sz w:val="24"/>
          <w:szCs w:val="24"/>
        </w:rPr>
        <w:t>Przepis art. 2 ust. 4 projektu ustawy jednoznacznie stanowi bowiem, że t</w:t>
      </w:r>
      <w:r w:rsidR="00057A05" w:rsidRPr="00A74AD6">
        <w:rPr>
          <w:rFonts w:ascii="Times New Roman" w:hAnsi="Times New Roman" w:cs="Times New Roman"/>
          <w:sz w:val="24"/>
          <w:szCs w:val="24"/>
        </w:rPr>
        <w:t>ytułem wyrównania uszczerbku spowodowanego utratą własności Kodeksu</w:t>
      </w:r>
      <w:r w:rsidR="00057A05">
        <w:rPr>
          <w:rFonts w:ascii="Times New Roman" w:hAnsi="Times New Roman" w:cs="Times New Roman"/>
          <w:sz w:val="24"/>
          <w:szCs w:val="24"/>
        </w:rPr>
        <w:t xml:space="preserve"> </w:t>
      </w:r>
      <w:r w:rsidR="00057A05" w:rsidRPr="00A74AD6">
        <w:rPr>
          <w:rFonts w:ascii="Times New Roman" w:hAnsi="Times New Roman" w:cs="Times New Roman"/>
          <w:sz w:val="24"/>
          <w:szCs w:val="24"/>
        </w:rPr>
        <w:t>dotychczasow</w:t>
      </w:r>
      <w:r w:rsidR="00057A05">
        <w:rPr>
          <w:rFonts w:ascii="Times New Roman" w:hAnsi="Times New Roman" w:cs="Times New Roman"/>
          <w:sz w:val="24"/>
          <w:szCs w:val="24"/>
        </w:rPr>
        <w:t>y</w:t>
      </w:r>
      <w:r w:rsidR="00057A05" w:rsidRPr="00A74AD6">
        <w:rPr>
          <w:rFonts w:ascii="Times New Roman" w:hAnsi="Times New Roman" w:cs="Times New Roman"/>
          <w:sz w:val="24"/>
          <w:szCs w:val="24"/>
        </w:rPr>
        <w:t xml:space="preserve"> właściciel</w:t>
      </w:r>
      <w:r w:rsidR="00057A05">
        <w:rPr>
          <w:rFonts w:ascii="Times New Roman" w:hAnsi="Times New Roman" w:cs="Times New Roman"/>
          <w:sz w:val="24"/>
          <w:szCs w:val="24"/>
        </w:rPr>
        <w:t xml:space="preserve"> otrzyma </w:t>
      </w:r>
      <w:r w:rsidR="00057A05" w:rsidRPr="00A74AD6">
        <w:rPr>
          <w:rFonts w:ascii="Times New Roman" w:hAnsi="Times New Roman" w:cs="Times New Roman"/>
          <w:sz w:val="24"/>
          <w:szCs w:val="24"/>
        </w:rPr>
        <w:t>z części budżetu państwa, której dysponentem jest Szef Kancelarii Prezesa Rady Ministrów</w:t>
      </w:r>
      <w:r w:rsidR="00057A05">
        <w:rPr>
          <w:rFonts w:ascii="Times New Roman" w:hAnsi="Times New Roman" w:cs="Times New Roman"/>
          <w:sz w:val="24"/>
          <w:szCs w:val="24"/>
        </w:rPr>
        <w:t>, środki finansowe w kwocie</w:t>
      </w:r>
      <w:r w:rsidR="009D4980">
        <w:rPr>
          <w:rFonts w:ascii="Times New Roman" w:hAnsi="Times New Roman" w:cs="Times New Roman"/>
          <w:sz w:val="24"/>
          <w:szCs w:val="24"/>
        </w:rPr>
        <w:t xml:space="preserve"> 25</w:t>
      </w:r>
      <w:r w:rsidR="008D65AC">
        <w:rPr>
          <w:rFonts w:ascii="Times New Roman" w:hAnsi="Times New Roman" w:cs="Times New Roman"/>
          <w:sz w:val="24"/>
          <w:szCs w:val="24"/>
        </w:rPr>
        <w:t> </w:t>
      </w:r>
      <w:r w:rsidR="009D4980">
        <w:rPr>
          <w:rFonts w:ascii="Times New Roman" w:hAnsi="Times New Roman" w:cs="Times New Roman"/>
          <w:sz w:val="24"/>
          <w:szCs w:val="24"/>
        </w:rPr>
        <w:t>00</w:t>
      </w:r>
      <w:r w:rsidR="008D65AC">
        <w:rPr>
          <w:rFonts w:ascii="Times New Roman" w:hAnsi="Times New Roman" w:cs="Times New Roman"/>
          <w:sz w:val="24"/>
          <w:szCs w:val="24"/>
        </w:rPr>
        <w:t xml:space="preserve">0 </w:t>
      </w:r>
      <w:r w:rsidR="00122D15">
        <w:rPr>
          <w:rFonts w:ascii="Times New Roman" w:hAnsi="Times New Roman" w:cs="Times New Roman"/>
          <w:sz w:val="24"/>
          <w:szCs w:val="24"/>
        </w:rPr>
        <w:t>000</w:t>
      </w:r>
      <w:r w:rsidR="009D4980">
        <w:rPr>
          <w:rFonts w:ascii="Times New Roman" w:hAnsi="Times New Roman" w:cs="Times New Roman"/>
          <w:sz w:val="24"/>
          <w:szCs w:val="24"/>
        </w:rPr>
        <w:t xml:space="preserve"> zł</w:t>
      </w:r>
      <w:r w:rsidR="00F55B27">
        <w:rPr>
          <w:rFonts w:ascii="Times New Roman" w:hAnsi="Times New Roman" w:cs="Times New Roman"/>
          <w:sz w:val="24"/>
          <w:szCs w:val="24"/>
        </w:rPr>
        <w:t xml:space="preserve"> </w:t>
      </w:r>
      <w:r w:rsidR="009D4980">
        <w:rPr>
          <w:rFonts w:ascii="Times New Roman" w:hAnsi="Times New Roman" w:cs="Times New Roman"/>
          <w:sz w:val="24"/>
          <w:szCs w:val="24"/>
        </w:rPr>
        <w:t>(dwudziestu pięciu</w:t>
      </w:r>
      <w:r w:rsidR="00F55B27">
        <w:rPr>
          <w:rFonts w:ascii="Times New Roman" w:hAnsi="Times New Roman" w:cs="Times New Roman"/>
          <w:sz w:val="24"/>
          <w:szCs w:val="24"/>
        </w:rPr>
        <w:t xml:space="preserve"> milionów złotych</w:t>
      </w:r>
      <w:r w:rsidR="009D4980">
        <w:rPr>
          <w:rFonts w:ascii="Times New Roman" w:hAnsi="Times New Roman" w:cs="Times New Roman"/>
          <w:sz w:val="24"/>
          <w:szCs w:val="24"/>
        </w:rPr>
        <w:t>)</w:t>
      </w:r>
      <w:r w:rsidR="00057A05">
        <w:rPr>
          <w:rFonts w:ascii="Times New Roman" w:hAnsi="Times New Roman" w:cs="Times New Roman"/>
          <w:sz w:val="24"/>
          <w:szCs w:val="24"/>
        </w:rPr>
        <w:t xml:space="preserve">. W przepisie jest mowa o wyrównaniu uszczerbku spowodowanego utratą własności Kodeksu – wobec jakichkolwiek dalszych unormowań w tym zakresie, w tym zwłaszcza limitujących wysokość rekompensaty, zauważyć należy, że przekazywana kwota pieniężna została ustalona w omawianym przepisie w takiej wysokości, aby w pełni kompensowała szkodę dotychczasowego właściciela. </w:t>
      </w:r>
      <w:r w:rsidR="00174E49">
        <w:rPr>
          <w:rFonts w:ascii="Times New Roman" w:hAnsi="Times New Roman" w:cs="Times New Roman"/>
          <w:sz w:val="24"/>
          <w:szCs w:val="24"/>
        </w:rPr>
        <w:t>Okoliczności te przemawiają za możliwością dokonania przesunięć wła</w:t>
      </w:r>
      <w:r w:rsidR="00AE7FBB">
        <w:rPr>
          <w:rFonts w:ascii="Times New Roman" w:hAnsi="Times New Roman" w:cs="Times New Roman"/>
          <w:sz w:val="24"/>
          <w:szCs w:val="24"/>
        </w:rPr>
        <w:t>snościowych z mocy samego prawa, zaś uprawnienia majątkowe dotychczasowego właściciela w zakresie prawa do słusznego odszkodowania za utraconą własność zostały w sposób wystarczający zagwarantowane rozwiązaniami przyjętymi w proponowanych przepisach.</w:t>
      </w:r>
      <w:r w:rsidR="00F55B27">
        <w:rPr>
          <w:rFonts w:ascii="Times New Roman" w:hAnsi="Times New Roman" w:cs="Times New Roman"/>
          <w:sz w:val="24"/>
          <w:szCs w:val="24"/>
        </w:rPr>
        <w:t xml:space="preserve"> </w:t>
      </w:r>
      <w:r w:rsidR="00326D37">
        <w:rPr>
          <w:rFonts w:ascii="Times New Roman" w:hAnsi="Times New Roman" w:cs="Times New Roman"/>
          <w:sz w:val="24"/>
          <w:szCs w:val="24"/>
        </w:rPr>
        <w:t>Zgodnie z proponowaną treścią a</w:t>
      </w:r>
      <w:r w:rsidR="00F55B27">
        <w:rPr>
          <w:rFonts w:ascii="Times New Roman" w:hAnsi="Times New Roman" w:cs="Times New Roman"/>
          <w:sz w:val="24"/>
          <w:szCs w:val="24"/>
        </w:rPr>
        <w:t xml:space="preserve">rt. 2 ust. 5 </w:t>
      </w:r>
      <w:r w:rsidR="00326D37">
        <w:rPr>
          <w:rFonts w:ascii="Times New Roman" w:hAnsi="Times New Roman" w:cs="Times New Roman"/>
          <w:sz w:val="24"/>
          <w:szCs w:val="24"/>
        </w:rPr>
        <w:t xml:space="preserve">projektu </w:t>
      </w:r>
      <w:r w:rsidR="00F55B27">
        <w:rPr>
          <w:rFonts w:ascii="Times New Roman" w:hAnsi="Times New Roman" w:cs="Times New Roman"/>
          <w:sz w:val="24"/>
          <w:szCs w:val="24"/>
        </w:rPr>
        <w:t xml:space="preserve">wypłata </w:t>
      </w:r>
      <w:r w:rsidR="00326D37">
        <w:rPr>
          <w:rFonts w:ascii="Times New Roman" w:hAnsi="Times New Roman" w:cs="Times New Roman"/>
          <w:sz w:val="24"/>
          <w:szCs w:val="24"/>
        </w:rPr>
        <w:t xml:space="preserve">wskazanych wyżej </w:t>
      </w:r>
      <w:r w:rsidR="00F55B27">
        <w:rPr>
          <w:rFonts w:ascii="Times New Roman" w:hAnsi="Times New Roman" w:cs="Times New Roman"/>
          <w:sz w:val="24"/>
          <w:szCs w:val="24"/>
        </w:rPr>
        <w:t>środków nastąpi w terminie do dnia 31 marca 2022 r.</w:t>
      </w:r>
    </w:p>
    <w:p w14:paraId="127ABA20" w14:textId="39C0D7E4" w:rsidR="0011583A" w:rsidRDefault="009048A8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2 ust. 2 projektu ustawy określono podmiot wykonujący w imieniu Skarbu Państwa</w:t>
      </w:r>
      <w:r w:rsidRPr="009048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uprawnienia przysługujące Skarbowi Państwa do składnika mienia państwowego, jaki będzie stanowić Kodeks po przewidzianym w projektowanej ustawie </w:t>
      </w:r>
      <w:r w:rsidR="009D4980">
        <w:rPr>
          <w:rFonts w:ascii="Times New Roman" w:hAnsi="Times New Roman" w:cs="Times New Roman"/>
          <w:sz w:val="24"/>
          <w:szCs w:val="24"/>
        </w:rPr>
        <w:t xml:space="preserve">przeniesieniu </w:t>
      </w:r>
      <w:r>
        <w:rPr>
          <w:rFonts w:ascii="Times New Roman" w:hAnsi="Times New Roman" w:cs="Times New Roman"/>
          <w:sz w:val="24"/>
          <w:szCs w:val="24"/>
        </w:rPr>
        <w:t>jego własności. Przyjęto, że organem tym będzie Szef Kancelarii Prezesa Rady Ministrów</w:t>
      </w:r>
      <w:r w:rsidR="008D65AC">
        <w:rPr>
          <w:rFonts w:ascii="Times New Roman" w:hAnsi="Times New Roman" w:cs="Times New Roman"/>
          <w:sz w:val="24"/>
          <w:szCs w:val="24"/>
        </w:rPr>
        <w:t>, który</w:t>
      </w:r>
      <w:r>
        <w:rPr>
          <w:rFonts w:ascii="Times New Roman" w:hAnsi="Times New Roman" w:cs="Times New Roman"/>
          <w:sz w:val="24"/>
          <w:szCs w:val="24"/>
        </w:rPr>
        <w:t xml:space="preserve"> będzie odpowiedzialny za przeprowadzenie całego procesu przekazania Kodeksu stronie węgierskiej, w tym zawarcie stosownego porozumienia przenoszącego własność </w:t>
      </w:r>
      <w:r w:rsidR="000C3E31">
        <w:rPr>
          <w:rFonts w:ascii="Times New Roman" w:hAnsi="Times New Roman" w:cs="Times New Roman"/>
          <w:sz w:val="24"/>
          <w:szCs w:val="24"/>
        </w:rPr>
        <w:t>na rzecz Węgier. Dla realizacji tego przedsięwzięcia w sposób oczywisty niezbędne jest, aby Szef Kancelarii Prezesa Rady Ministrów wykonywał uprawnienia Skarbu Państwa w stosunku do Kodeksu.</w:t>
      </w:r>
    </w:p>
    <w:p w14:paraId="094327CF" w14:textId="362706A4" w:rsidR="00C536C2" w:rsidRDefault="00C536C2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Względy zapewnienia właściwych warunków przechowywania oraz bezpieczeństwa Kodeksu w okresie po przejściu jego własności na Skarb Państwa</w:t>
      </w:r>
      <w:r w:rsidR="004D24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przed wydaniem na rzecz </w:t>
      </w:r>
      <w:r>
        <w:rPr>
          <w:rFonts w:ascii="Times New Roman" w:hAnsi="Times New Roman" w:cs="Times New Roman"/>
          <w:sz w:val="24"/>
          <w:szCs w:val="24"/>
        </w:rPr>
        <w:lastRenderedPageBreak/>
        <w:t>Węgier</w:t>
      </w:r>
      <w:r w:rsidR="008D65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przemawiają za tym, aby w tym czasie posiadaczem Kodeksu pozostawał i pieczę nad nim </w:t>
      </w:r>
      <w:r w:rsidR="00F55B27">
        <w:rPr>
          <w:rFonts w:ascii="Times New Roman" w:hAnsi="Times New Roman" w:cs="Times New Roman"/>
          <w:sz w:val="24"/>
          <w:szCs w:val="24"/>
        </w:rPr>
        <w:t xml:space="preserve">sprawował </w:t>
      </w:r>
      <w:r>
        <w:rPr>
          <w:rFonts w:ascii="Times New Roman" w:hAnsi="Times New Roman" w:cs="Times New Roman"/>
          <w:sz w:val="24"/>
          <w:szCs w:val="24"/>
        </w:rPr>
        <w:t xml:space="preserve">podmiot będący właścicielem Kodeksu bezpośrednio przed przejściem jego własności na Skarb Państwa, </w:t>
      </w:r>
      <w:r w:rsidR="004D24F2">
        <w:rPr>
          <w:rFonts w:ascii="Times New Roman" w:hAnsi="Times New Roman" w:cs="Times New Roman"/>
          <w:sz w:val="24"/>
          <w:szCs w:val="24"/>
        </w:rPr>
        <w:t>czyli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4AD6">
        <w:rPr>
          <w:rFonts w:ascii="Times New Roman" w:hAnsi="Times New Roman" w:cs="Times New Roman"/>
          <w:sz w:val="24"/>
          <w:szCs w:val="24"/>
        </w:rPr>
        <w:t>dotychczasowy właściciel</w:t>
      </w:r>
      <w:r>
        <w:rPr>
          <w:rFonts w:ascii="Times New Roman" w:hAnsi="Times New Roman" w:cs="Times New Roman"/>
          <w:sz w:val="24"/>
          <w:szCs w:val="24"/>
        </w:rPr>
        <w:t xml:space="preserve">. W przepisie art. 2 ust. 3 </w:t>
      </w:r>
      <w:r w:rsidR="007C5288">
        <w:rPr>
          <w:rFonts w:ascii="Times New Roman" w:hAnsi="Times New Roman" w:cs="Times New Roman"/>
          <w:sz w:val="24"/>
          <w:szCs w:val="24"/>
        </w:rPr>
        <w:t xml:space="preserve">projektu </w:t>
      </w:r>
      <w:r>
        <w:rPr>
          <w:rFonts w:ascii="Times New Roman" w:hAnsi="Times New Roman" w:cs="Times New Roman"/>
          <w:sz w:val="24"/>
          <w:szCs w:val="24"/>
        </w:rPr>
        <w:t>zastrzeżono przy tym, że</w:t>
      </w:r>
      <w:r w:rsidRPr="00A74AD6">
        <w:rPr>
          <w:rFonts w:ascii="Times New Roman" w:hAnsi="Times New Roman" w:cs="Times New Roman"/>
          <w:sz w:val="24"/>
          <w:szCs w:val="24"/>
        </w:rPr>
        <w:t xml:space="preserve"> </w:t>
      </w:r>
      <w:r w:rsidR="00F55B27">
        <w:rPr>
          <w:rFonts w:ascii="Times New Roman" w:hAnsi="Times New Roman" w:cs="Times New Roman"/>
          <w:sz w:val="24"/>
          <w:szCs w:val="24"/>
        </w:rPr>
        <w:t xml:space="preserve">sprawuje </w:t>
      </w:r>
      <w:r w:rsidR="004D24F2">
        <w:rPr>
          <w:rFonts w:ascii="Times New Roman" w:hAnsi="Times New Roman" w:cs="Times New Roman"/>
          <w:sz w:val="24"/>
          <w:szCs w:val="24"/>
        </w:rPr>
        <w:t xml:space="preserve">on </w:t>
      </w:r>
      <w:r w:rsidRPr="00A74AD6">
        <w:rPr>
          <w:rFonts w:ascii="Times New Roman" w:hAnsi="Times New Roman" w:cs="Times New Roman"/>
          <w:sz w:val="24"/>
          <w:szCs w:val="24"/>
        </w:rPr>
        <w:t>pieczę</w:t>
      </w:r>
      <w:r>
        <w:rPr>
          <w:rFonts w:ascii="Times New Roman" w:hAnsi="Times New Roman" w:cs="Times New Roman"/>
          <w:sz w:val="24"/>
          <w:szCs w:val="24"/>
        </w:rPr>
        <w:t xml:space="preserve"> nad Kodeksem ze starannością nie mniejszą i w sposób nie mniej korzystny niż dotychczasowy.</w:t>
      </w:r>
      <w:r w:rsidR="00F021A0">
        <w:rPr>
          <w:rFonts w:ascii="Times New Roman" w:hAnsi="Times New Roman" w:cs="Times New Roman"/>
          <w:sz w:val="24"/>
          <w:szCs w:val="24"/>
        </w:rPr>
        <w:t xml:space="preserve"> Koszty związane z</w:t>
      </w:r>
      <w:r w:rsidR="004D24F2">
        <w:rPr>
          <w:rFonts w:ascii="Times New Roman" w:hAnsi="Times New Roman" w:cs="Times New Roman"/>
          <w:sz w:val="24"/>
          <w:szCs w:val="24"/>
        </w:rPr>
        <w:t>e</w:t>
      </w:r>
      <w:r w:rsidR="00F021A0">
        <w:rPr>
          <w:rFonts w:ascii="Times New Roman" w:hAnsi="Times New Roman" w:cs="Times New Roman"/>
          <w:sz w:val="24"/>
          <w:szCs w:val="24"/>
        </w:rPr>
        <w:t xml:space="preserve"> </w:t>
      </w:r>
      <w:r w:rsidR="00F55B27">
        <w:rPr>
          <w:rFonts w:ascii="Times New Roman" w:hAnsi="Times New Roman" w:cs="Times New Roman"/>
          <w:sz w:val="24"/>
          <w:szCs w:val="24"/>
        </w:rPr>
        <w:t xml:space="preserve">sprawowaniem </w:t>
      </w:r>
      <w:r w:rsidR="00F021A0">
        <w:rPr>
          <w:rFonts w:ascii="Times New Roman" w:hAnsi="Times New Roman" w:cs="Times New Roman"/>
          <w:sz w:val="24"/>
          <w:szCs w:val="24"/>
        </w:rPr>
        <w:t xml:space="preserve">pieczy zostaną zrekompensowane </w:t>
      </w:r>
      <w:r w:rsidR="007C5288">
        <w:rPr>
          <w:rFonts w:ascii="Times New Roman" w:hAnsi="Times New Roman" w:cs="Times New Roman"/>
          <w:sz w:val="24"/>
          <w:szCs w:val="24"/>
        </w:rPr>
        <w:t xml:space="preserve">w ramach środków finansowych przewidzianych dla dotychczasowego właściciela w art. 2 ust. 4 projektu ustawy. Proponowane rozwiązanie polegające na tymczasowym pozostawieniu dotychczasowemu właścicielowi posiadania Kodeksu umożliwi również dalsze eksponowanie i udostępnianie Kodeksu w jego zbiorach – do czasu podjęcia czynności </w:t>
      </w:r>
      <w:r w:rsidR="00646777">
        <w:rPr>
          <w:rFonts w:ascii="Times New Roman" w:hAnsi="Times New Roman" w:cs="Times New Roman"/>
          <w:sz w:val="24"/>
          <w:szCs w:val="24"/>
        </w:rPr>
        <w:t>faktycznych przenoszących</w:t>
      </w:r>
      <w:r w:rsidR="007C5288">
        <w:rPr>
          <w:rFonts w:ascii="Times New Roman" w:hAnsi="Times New Roman" w:cs="Times New Roman"/>
          <w:sz w:val="24"/>
          <w:szCs w:val="24"/>
        </w:rPr>
        <w:t xml:space="preserve"> </w:t>
      </w:r>
      <w:r w:rsidR="00646777">
        <w:rPr>
          <w:rFonts w:ascii="Times New Roman" w:hAnsi="Times New Roman" w:cs="Times New Roman"/>
          <w:sz w:val="24"/>
          <w:szCs w:val="24"/>
        </w:rPr>
        <w:t>posiadanie</w:t>
      </w:r>
      <w:r w:rsidR="007C5288">
        <w:rPr>
          <w:rFonts w:ascii="Times New Roman" w:hAnsi="Times New Roman" w:cs="Times New Roman"/>
          <w:sz w:val="24"/>
          <w:szCs w:val="24"/>
        </w:rPr>
        <w:t xml:space="preserve"> na rzecz Węgier.</w:t>
      </w:r>
    </w:p>
    <w:p w14:paraId="705ADCEE" w14:textId="12369FFE" w:rsidR="00325C74" w:rsidRDefault="00325C74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Artykuł 3 ust. 1 projektu ustawy statuuje obowiązek podjęcia </w:t>
      </w:r>
      <w:r w:rsidR="00437030">
        <w:rPr>
          <w:rFonts w:ascii="Times New Roman" w:hAnsi="Times New Roman" w:cs="Times New Roman"/>
          <w:sz w:val="24"/>
          <w:szCs w:val="24"/>
        </w:rPr>
        <w:t xml:space="preserve">przez Rzeczpospolitą Polską </w:t>
      </w:r>
      <w:r>
        <w:rPr>
          <w:rFonts w:ascii="Times New Roman" w:hAnsi="Times New Roman" w:cs="Times New Roman"/>
          <w:sz w:val="24"/>
          <w:szCs w:val="24"/>
        </w:rPr>
        <w:t xml:space="preserve">działań </w:t>
      </w:r>
      <w:r w:rsidRPr="00550F1E">
        <w:rPr>
          <w:rFonts w:ascii="Times New Roman" w:hAnsi="Times New Roman" w:cs="Times New Roman"/>
          <w:sz w:val="24"/>
          <w:szCs w:val="24"/>
        </w:rPr>
        <w:t>mając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550F1E">
        <w:rPr>
          <w:rFonts w:ascii="Times New Roman" w:hAnsi="Times New Roman" w:cs="Times New Roman"/>
          <w:sz w:val="24"/>
          <w:szCs w:val="24"/>
        </w:rPr>
        <w:t xml:space="preserve"> na celu nieodpłatne przekazanie Kodeksu na rzecz Węgier</w:t>
      </w:r>
      <w:r>
        <w:rPr>
          <w:rFonts w:ascii="Times New Roman" w:hAnsi="Times New Roman" w:cs="Times New Roman"/>
          <w:sz w:val="24"/>
          <w:szCs w:val="24"/>
        </w:rPr>
        <w:t>. Obowiązek ten ma charakter ogólny i będzie dotyczył wszystkich organów państwa w zakresie ich właściwości</w:t>
      </w:r>
      <w:r w:rsidR="004D24F2">
        <w:rPr>
          <w:rFonts w:ascii="Times New Roman" w:hAnsi="Times New Roman" w:cs="Times New Roman"/>
          <w:sz w:val="24"/>
          <w:szCs w:val="24"/>
        </w:rPr>
        <w:t xml:space="preserve">. Dla </w:t>
      </w:r>
      <w:r w:rsidR="00437030">
        <w:rPr>
          <w:rFonts w:ascii="Times New Roman" w:hAnsi="Times New Roman" w:cs="Times New Roman"/>
          <w:sz w:val="24"/>
          <w:szCs w:val="24"/>
        </w:rPr>
        <w:t xml:space="preserve">Szefa Kancelarii Prezesa Rady Ministrów </w:t>
      </w:r>
      <w:r w:rsidR="004D24F2">
        <w:rPr>
          <w:rFonts w:ascii="Times New Roman" w:hAnsi="Times New Roman" w:cs="Times New Roman"/>
          <w:sz w:val="24"/>
          <w:szCs w:val="24"/>
        </w:rPr>
        <w:t xml:space="preserve">będzie </w:t>
      </w:r>
      <w:r w:rsidR="00437030">
        <w:rPr>
          <w:rFonts w:ascii="Times New Roman" w:hAnsi="Times New Roman" w:cs="Times New Roman"/>
          <w:sz w:val="24"/>
          <w:szCs w:val="24"/>
        </w:rPr>
        <w:t>oznacza</w:t>
      </w:r>
      <w:r w:rsidR="004D24F2">
        <w:rPr>
          <w:rFonts w:ascii="Times New Roman" w:hAnsi="Times New Roman" w:cs="Times New Roman"/>
          <w:sz w:val="24"/>
          <w:szCs w:val="24"/>
        </w:rPr>
        <w:t>ł</w:t>
      </w:r>
      <w:r w:rsidR="00437030">
        <w:rPr>
          <w:rFonts w:ascii="Times New Roman" w:hAnsi="Times New Roman" w:cs="Times New Roman"/>
          <w:sz w:val="24"/>
          <w:szCs w:val="24"/>
        </w:rPr>
        <w:t xml:space="preserve"> konieczność </w:t>
      </w:r>
      <w:r w:rsidR="00BD6DBF">
        <w:rPr>
          <w:rFonts w:ascii="Times New Roman" w:hAnsi="Times New Roman" w:cs="Times New Roman"/>
          <w:sz w:val="24"/>
          <w:szCs w:val="24"/>
        </w:rPr>
        <w:t>realizacji</w:t>
      </w:r>
      <w:r w:rsidR="00437030">
        <w:rPr>
          <w:rFonts w:ascii="Times New Roman" w:hAnsi="Times New Roman" w:cs="Times New Roman"/>
          <w:sz w:val="24"/>
          <w:szCs w:val="24"/>
        </w:rPr>
        <w:t xml:space="preserve"> </w:t>
      </w:r>
      <w:r w:rsidR="00646777">
        <w:rPr>
          <w:rFonts w:ascii="Times New Roman" w:hAnsi="Times New Roman" w:cs="Times New Roman"/>
          <w:sz w:val="24"/>
          <w:szCs w:val="24"/>
        </w:rPr>
        <w:t xml:space="preserve">konkretnych </w:t>
      </w:r>
      <w:r w:rsidR="00437030">
        <w:rPr>
          <w:rFonts w:ascii="Times New Roman" w:hAnsi="Times New Roman" w:cs="Times New Roman"/>
          <w:sz w:val="24"/>
          <w:szCs w:val="24"/>
        </w:rPr>
        <w:t xml:space="preserve">zadań </w:t>
      </w:r>
      <w:r w:rsidR="00646777">
        <w:rPr>
          <w:rFonts w:ascii="Times New Roman" w:hAnsi="Times New Roman" w:cs="Times New Roman"/>
          <w:sz w:val="24"/>
          <w:szCs w:val="24"/>
        </w:rPr>
        <w:t>wynikających z</w:t>
      </w:r>
      <w:r w:rsidR="00437030">
        <w:rPr>
          <w:rFonts w:ascii="Times New Roman" w:hAnsi="Times New Roman" w:cs="Times New Roman"/>
          <w:sz w:val="24"/>
          <w:szCs w:val="24"/>
        </w:rPr>
        <w:t xml:space="preserve"> </w:t>
      </w:r>
      <w:r w:rsidR="00646777">
        <w:rPr>
          <w:rFonts w:ascii="Times New Roman" w:hAnsi="Times New Roman" w:cs="Times New Roman"/>
          <w:sz w:val="24"/>
          <w:szCs w:val="24"/>
        </w:rPr>
        <w:t>ustawy</w:t>
      </w:r>
      <w:r w:rsidR="00F65012">
        <w:rPr>
          <w:rFonts w:ascii="Times New Roman" w:hAnsi="Times New Roman" w:cs="Times New Roman"/>
          <w:sz w:val="24"/>
          <w:szCs w:val="24"/>
        </w:rPr>
        <w:t xml:space="preserve"> (art. 3 ust. 3 projektu)</w:t>
      </w:r>
      <w:r w:rsidR="00437030">
        <w:rPr>
          <w:rFonts w:ascii="Times New Roman" w:hAnsi="Times New Roman" w:cs="Times New Roman"/>
          <w:sz w:val="24"/>
          <w:szCs w:val="24"/>
        </w:rPr>
        <w:t xml:space="preserve">, zaś dla pozostałych organów dyrektywę współdziałania w zakresie wyznaczonym ich profilem kompetencyjnym. </w:t>
      </w:r>
      <w:r w:rsidR="00F65012">
        <w:rPr>
          <w:rFonts w:ascii="Times New Roman" w:hAnsi="Times New Roman" w:cs="Times New Roman"/>
          <w:sz w:val="24"/>
          <w:szCs w:val="24"/>
        </w:rPr>
        <w:t>Należy zauważyć, że przepis określa również podstawową zasadę przekazania Kodeksu na rzecz Węgier, jaką jest nieodpłatność tego aktu.</w:t>
      </w:r>
    </w:p>
    <w:p w14:paraId="68DA8128" w14:textId="54A481A7" w:rsidR="00F65012" w:rsidRDefault="00F65012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3 ust. 2 projektu wyjaśniono zakres przedmiotowy pojęcia „p</w:t>
      </w:r>
      <w:r w:rsidRPr="00550F1E">
        <w:rPr>
          <w:rFonts w:ascii="Times New Roman" w:hAnsi="Times New Roman" w:cs="Times New Roman"/>
          <w:sz w:val="24"/>
          <w:szCs w:val="24"/>
        </w:rPr>
        <w:t>rzekazanie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F1E">
        <w:rPr>
          <w:rFonts w:ascii="Times New Roman" w:hAnsi="Times New Roman" w:cs="Times New Roman"/>
          <w:sz w:val="24"/>
          <w:szCs w:val="24"/>
        </w:rPr>
        <w:t>Kodeksu na rzecz Węgier</w:t>
      </w:r>
      <w:r>
        <w:rPr>
          <w:rFonts w:ascii="Times New Roman" w:hAnsi="Times New Roman" w:cs="Times New Roman"/>
          <w:sz w:val="24"/>
          <w:szCs w:val="24"/>
        </w:rPr>
        <w:t xml:space="preserve">”. Obejmuje ono zarówno </w:t>
      </w:r>
      <w:r w:rsidRPr="00550F1E">
        <w:rPr>
          <w:rFonts w:ascii="Times New Roman" w:hAnsi="Times New Roman" w:cs="Times New Roman"/>
          <w:sz w:val="24"/>
          <w:szCs w:val="24"/>
        </w:rPr>
        <w:t>przeniesienie prawa własności</w:t>
      </w:r>
      <w:r w:rsidR="008D65AC">
        <w:rPr>
          <w:rFonts w:ascii="Times New Roman" w:hAnsi="Times New Roman" w:cs="Times New Roman"/>
          <w:sz w:val="24"/>
          <w:szCs w:val="24"/>
        </w:rPr>
        <w:t>,</w:t>
      </w:r>
      <w:r w:rsidRPr="00550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jak i</w:t>
      </w:r>
      <w:r w:rsidRPr="00550F1E">
        <w:rPr>
          <w:rFonts w:ascii="Times New Roman" w:hAnsi="Times New Roman" w:cs="Times New Roman"/>
          <w:sz w:val="24"/>
          <w:szCs w:val="24"/>
        </w:rPr>
        <w:t xml:space="preserve"> posiadania</w:t>
      </w:r>
      <w:r w:rsidR="004D24F2">
        <w:rPr>
          <w:rFonts w:ascii="Times New Roman" w:hAnsi="Times New Roman" w:cs="Times New Roman"/>
          <w:sz w:val="24"/>
          <w:szCs w:val="24"/>
        </w:rPr>
        <w:t xml:space="preserve"> Kodeksu</w:t>
      </w:r>
      <w:r>
        <w:rPr>
          <w:rFonts w:ascii="Times New Roman" w:hAnsi="Times New Roman" w:cs="Times New Roman"/>
          <w:sz w:val="24"/>
          <w:szCs w:val="24"/>
        </w:rPr>
        <w:t xml:space="preserve"> na skarb państwa Węgier </w:t>
      </w:r>
      <w:r w:rsidRPr="00550F1E">
        <w:rPr>
          <w:rFonts w:ascii="Times New Roman" w:hAnsi="Times New Roman" w:cs="Times New Roman"/>
          <w:sz w:val="24"/>
          <w:szCs w:val="24"/>
        </w:rPr>
        <w:t>lub inn</w:t>
      </w:r>
      <w:r>
        <w:rPr>
          <w:rFonts w:ascii="Times New Roman" w:hAnsi="Times New Roman" w:cs="Times New Roman"/>
          <w:sz w:val="24"/>
          <w:szCs w:val="24"/>
        </w:rPr>
        <w:t xml:space="preserve">y podmiot wskazany przez Węgry. Tak rozumiane „przekazanie” ma charakter kompleksowy – wymaga </w:t>
      </w:r>
      <w:r w:rsidR="004D24F2">
        <w:rPr>
          <w:rFonts w:ascii="Times New Roman" w:hAnsi="Times New Roman" w:cs="Times New Roman"/>
          <w:sz w:val="24"/>
          <w:szCs w:val="24"/>
        </w:rPr>
        <w:t xml:space="preserve">zarówno </w:t>
      </w:r>
      <w:r>
        <w:rPr>
          <w:rFonts w:ascii="Times New Roman" w:hAnsi="Times New Roman" w:cs="Times New Roman"/>
          <w:sz w:val="24"/>
          <w:szCs w:val="24"/>
        </w:rPr>
        <w:t>rozdysponowania własnością (</w:t>
      </w:r>
      <w:r w:rsidR="00C714F8">
        <w:rPr>
          <w:rFonts w:ascii="Times New Roman" w:hAnsi="Times New Roman" w:cs="Times New Roman"/>
          <w:sz w:val="24"/>
          <w:szCs w:val="24"/>
        </w:rPr>
        <w:t>władztwem prawnym</w:t>
      </w:r>
      <w:r>
        <w:rPr>
          <w:rFonts w:ascii="Times New Roman" w:hAnsi="Times New Roman" w:cs="Times New Roman"/>
          <w:sz w:val="24"/>
          <w:szCs w:val="24"/>
        </w:rPr>
        <w:t>), jak i posiadaniem</w:t>
      </w:r>
      <w:r w:rsidR="00C714F8">
        <w:rPr>
          <w:rFonts w:ascii="Times New Roman" w:hAnsi="Times New Roman" w:cs="Times New Roman"/>
          <w:sz w:val="24"/>
          <w:szCs w:val="24"/>
        </w:rPr>
        <w:t xml:space="preserve"> (władztwem faktycznym).</w:t>
      </w:r>
    </w:p>
    <w:p w14:paraId="2495A3BB" w14:textId="40DA8C63" w:rsidR="00513267" w:rsidRPr="00550F1E" w:rsidRDefault="0079421A" w:rsidP="00513267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Rozwiązanie przewidziane w art. 4 projektu ustawy pozostaje w związku z regulacją dotyczącą </w:t>
      </w:r>
      <w:r w:rsidR="00F55B27">
        <w:rPr>
          <w:rFonts w:ascii="Times New Roman" w:hAnsi="Times New Roman" w:cs="Times New Roman"/>
          <w:sz w:val="24"/>
          <w:szCs w:val="24"/>
        </w:rPr>
        <w:t xml:space="preserve">sprawowania </w:t>
      </w:r>
      <w:r>
        <w:rPr>
          <w:rFonts w:ascii="Times New Roman" w:hAnsi="Times New Roman" w:cs="Times New Roman"/>
          <w:sz w:val="24"/>
          <w:szCs w:val="24"/>
        </w:rPr>
        <w:t>pieczy przez dotychczasowego właściciela. Mając na uwadze, że do czasu wydania Kodeksu na rzecz Węgier nie będzie on pozostawał w posiadaniu Szefa Kancelarii Prezesa Rady Ministrów, a więc podmiotu wykonującego w tym przypadku uprawnienia właścicielskie Skarbu Państwa, niezbędne jest wprowadzenie dodatkowych unormowań zabezpieczających zabytek zarówno w sferze prawnej</w:t>
      </w:r>
      <w:r w:rsidR="008D65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jak i faktycznej. </w:t>
      </w:r>
      <w:r w:rsidR="004D24F2">
        <w:rPr>
          <w:rFonts w:ascii="Times New Roman" w:hAnsi="Times New Roman" w:cs="Times New Roman"/>
          <w:sz w:val="24"/>
          <w:szCs w:val="24"/>
        </w:rPr>
        <w:t>Jednocześnie</w:t>
      </w:r>
      <w:r>
        <w:rPr>
          <w:rFonts w:ascii="Times New Roman" w:hAnsi="Times New Roman" w:cs="Times New Roman"/>
          <w:sz w:val="24"/>
          <w:szCs w:val="24"/>
        </w:rPr>
        <w:t xml:space="preserve"> wprowadzane ograniczenia będą w równej mierze dotyczyć organu wykonującego uprawnienia właścicielskie Skarbu Państwa w stosunku do Kodeksu. Pozwoli to wyeliminować ryzyka ewentualnych nieprawidłowości również na tym odcinku. </w:t>
      </w:r>
      <w:r w:rsidR="00261809">
        <w:rPr>
          <w:rFonts w:ascii="Times New Roman" w:hAnsi="Times New Roman" w:cs="Times New Roman"/>
          <w:sz w:val="24"/>
          <w:szCs w:val="24"/>
        </w:rPr>
        <w:t xml:space="preserve">Przekazanie </w:t>
      </w:r>
      <w:r w:rsidR="00261809">
        <w:rPr>
          <w:rFonts w:ascii="Times New Roman" w:hAnsi="Times New Roman" w:cs="Times New Roman"/>
          <w:sz w:val="24"/>
          <w:szCs w:val="24"/>
        </w:rPr>
        <w:lastRenderedPageBreak/>
        <w:t>Kodeksu na rzec Węgier powinno nastąpić bez zbędnej zwłoki. Nie jest wskazane, aby w tak z założenia krótkim czasie były podejmowane działania mogące zmieniać substancję lub wygląd Kodeks</w:t>
      </w:r>
      <w:r w:rsidR="008D65AC">
        <w:rPr>
          <w:rFonts w:ascii="Times New Roman" w:hAnsi="Times New Roman" w:cs="Times New Roman"/>
          <w:sz w:val="24"/>
          <w:szCs w:val="24"/>
        </w:rPr>
        <w:t>u. Potencjalne ryzyko uszkodzeń</w:t>
      </w:r>
      <w:r w:rsidR="00261809">
        <w:rPr>
          <w:rFonts w:ascii="Times New Roman" w:hAnsi="Times New Roman" w:cs="Times New Roman"/>
          <w:sz w:val="24"/>
          <w:szCs w:val="24"/>
        </w:rPr>
        <w:t xml:space="preserve"> czy obniżenia wartości artystycznej Kodeksu nie jest w tym przypadku równoważone korzyściami, które mogłyby być osiągnięte. Mając na uwadze przedstawione wyżej okoliczności</w:t>
      </w:r>
      <w:r w:rsidR="008D65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przewidziano w art. 4 ust. 1 projektu, że do czasu przekazania </w:t>
      </w:r>
      <w:r w:rsidRPr="00550F1E">
        <w:rPr>
          <w:rFonts w:ascii="Times New Roman" w:hAnsi="Times New Roman" w:cs="Times New Roman"/>
          <w:sz w:val="24"/>
          <w:szCs w:val="24"/>
        </w:rPr>
        <w:t>Kodeksu na rzecz Węgier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F1E">
        <w:rPr>
          <w:rFonts w:ascii="Times New Roman" w:hAnsi="Times New Roman" w:cs="Times New Roman"/>
          <w:sz w:val="24"/>
          <w:szCs w:val="24"/>
        </w:rPr>
        <w:t xml:space="preserve">prawo własności i posiadanie Kodeksu nie podlegają zbyciu </w:t>
      </w:r>
      <w:r w:rsidR="005A4FBC">
        <w:rPr>
          <w:rFonts w:ascii="Times New Roman" w:hAnsi="Times New Roman" w:cs="Times New Roman"/>
          <w:sz w:val="24"/>
          <w:szCs w:val="24"/>
        </w:rPr>
        <w:t>lub</w:t>
      </w:r>
      <w:r w:rsidR="005A4FBC" w:rsidRPr="00550F1E">
        <w:rPr>
          <w:rFonts w:ascii="Times New Roman" w:hAnsi="Times New Roman" w:cs="Times New Roman"/>
          <w:sz w:val="24"/>
          <w:szCs w:val="24"/>
        </w:rPr>
        <w:t xml:space="preserve"> </w:t>
      </w:r>
      <w:r w:rsidRPr="00550F1E">
        <w:rPr>
          <w:rFonts w:ascii="Times New Roman" w:hAnsi="Times New Roman" w:cs="Times New Roman"/>
          <w:sz w:val="24"/>
          <w:szCs w:val="24"/>
        </w:rPr>
        <w:t xml:space="preserve">obciążeniu w celu innym niż określony w art.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50F1E">
        <w:rPr>
          <w:rFonts w:ascii="Times New Roman" w:hAnsi="Times New Roman" w:cs="Times New Roman"/>
          <w:sz w:val="24"/>
          <w:szCs w:val="24"/>
        </w:rPr>
        <w:t xml:space="preserve"> ust. 1. Do tego czasu nie przeprowadza się też prac konserwatorskich i nie podejmuje działań, które mogłyby prowadzić do naruszenia substancji lub zmiany wyglądu Kodeksu.</w:t>
      </w:r>
      <w:r w:rsidR="00513267" w:rsidRPr="00513267">
        <w:rPr>
          <w:rFonts w:ascii="Times New Roman" w:hAnsi="Times New Roman" w:cs="Times New Roman"/>
          <w:sz w:val="24"/>
          <w:szCs w:val="24"/>
        </w:rPr>
        <w:t xml:space="preserve"> </w:t>
      </w:r>
      <w:r w:rsidR="00513267">
        <w:rPr>
          <w:rFonts w:ascii="Times New Roman" w:hAnsi="Times New Roman" w:cs="Times New Roman"/>
          <w:sz w:val="24"/>
          <w:szCs w:val="24"/>
        </w:rPr>
        <w:t>Jednocześnie w art. 4 ust. 2 projektu przewidziano sankcję na wypadek nieuprawnionego rozporządzenia Kodeksem w „okresie przejściowym”. Proponowany przepis przewiduje, że c</w:t>
      </w:r>
      <w:r w:rsidR="00513267" w:rsidRPr="00550F1E">
        <w:rPr>
          <w:rFonts w:ascii="Times New Roman" w:hAnsi="Times New Roman" w:cs="Times New Roman"/>
          <w:sz w:val="24"/>
          <w:szCs w:val="24"/>
        </w:rPr>
        <w:t xml:space="preserve">zynności mające na celu zbycie albo obciążenie prawa własności lub posiadania Kodeksu </w:t>
      </w:r>
      <w:r w:rsidR="00513267">
        <w:rPr>
          <w:rFonts w:ascii="Times New Roman" w:hAnsi="Times New Roman" w:cs="Times New Roman"/>
          <w:sz w:val="24"/>
          <w:szCs w:val="24"/>
        </w:rPr>
        <w:t>dokonane</w:t>
      </w:r>
      <w:r w:rsidR="00513267" w:rsidRPr="00550F1E">
        <w:rPr>
          <w:rFonts w:ascii="Times New Roman" w:hAnsi="Times New Roman" w:cs="Times New Roman"/>
          <w:sz w:val="24"/>
          <w:szCs w:val="24"/>
        </w:rPr>
        <w:t xml:space="preserve"> wbrew zakazowi, o którym mowa w ust. 1, nie wywołują skutków prawnych.</w:t>
      </w:r>
    </w:p>
    <w:p w14:paraId="1BB712BB" w14:textId="4A980124" w:rsidR="0079421A" w:rsidRDefault="00F90D5F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Proponowany przepis</w:t>
      </w:r>
      <w:r w:rsidR="000B2EDA">
        <w:rPr>
          <w:rFonts w:ascii="Times New Roman" w:hAnsi="Times New Roman" w:cs="Times New Roman"/>
          <w:sz w:val="24"/>
          <w:szCs w:val="24"/>
        </w:rPr>
        <w:t xml:space="preserve"> art. 5</w:t>
      </w:r>
      <w:r>
        <w:rPr>
          <w:rFonts w:ascii="Times New Roman" w:hAnsi="Times New Roman" w:cs="Times New Roman"/>
          <w:sz w:val="24"/>
          <w:szCs w:val="24"/>
        </w:rPr>
        <w:t xml:space="preserve"> projektu</w:t>
      </w:r>
      <w:r w:rsidR="000B2EDA">
        <w:rPr>
          <w:rFonts w:ascii="Times New Roman" w:hAnsi="Times New Roman" w:cs="Times New Roman"/>
          <w:sz w:val="24"/>
          <w:szCs w:val="24"/>
        </w:rPr>
        <w:t xml:space="preserve"> przewiduje, ż</w:t>
      </w:r>
      <w:r>
        <w:rPr>
          <w:rFonts w:ascii="Times New Roman" w:hAnsi="Times New Roman" w:cs="Times New Roman"/>
          <w:sz w:val="24"/>
          <w:szCs w:val="24"/>
        </w:rPr>
        <w:t>e</w:t>
      </w:r>
      <w:r w:rsidR="000B2EDA">
        <w:rPr>
          <w:rFonts w:ascii="Times New Roman" w:hAnsi="Times New Roman" w:cs="Times New Roman"/>
          <w:sz w:val="24"/>
          <w:szCs w:val="24"/>
        </w:rPr>
        <w:t xml:space="preserve"> przekazanie Kodeksu na rzecz Węgier nastąpi na podstawie pi</w:t>
      </w:r>
      <w:r w:rsidR="004728D4">
        <w:rPr>
          <w:rFonts w:ascii="Times New Roman" w:hAnsi="Times New Roman" w:cs="Times New Roman"/>
          <w:sz w:val="24"/>
          <w:szCs w:val="24"/>
        </w:rPr>
        <w:t>semnego porozumienia zawartego między Rzeczpospolitą Polską a</w:t>
      </w:r>
      <w:r w:rsidR="008D65AC">
        <w:rPr>
          <w:rFonts w:ascii="Times New Roman" w:hAnsi="Times New Roman" w:cs="Times New Roman"/>
          <w:sz w:val="24"/>
          <w:szCs w:val="24"/>
        </w:rPr>
        <w:t xml:space="preserve"> Węgrami</w:t>
      </w:r>
      <w:r w:rsidR="000B2EDA">
        <w:rPr>
          <w:rFonts w:ascii="Times New Roman" w:hAnsi="Times New Roman" w:cs="Times New Roman"/>
          <w:sz w:val="24"/>
          <w:szCs w:val="24"/>
        </w:rPr>
        <w:t xml:space="preserve">, </w:t>
      </w:r>
      <w:r w:rsidR="008D65AC">
        <w:rPr>
          <w:rFonts w:ascii="Times New Roman" w:hAnsi="Times New Roman" w:cs="Times New Roman"/>
          <w:sz w:val="24"/>
          <w:szCs w:val="24"/>
        </w:rPr>
        <w:t>na mocy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2EDA">
        <w:rPr>
          <w:rFonts w:ascii="Times New Roman" w:hAnsi="Times New Roman" w:cs="Times New Roman"/>
          <w:sz w:val="24"/>
          <w:szCs w:val="24"/>
        </w:rPr>
        <w:t>które</w:t>
      </w:r>
      <w:r>
        <w:rPr>
          <w:rFonts w:ascii="Times New Roman" w:hAnsi="Times New Roman" w:cs="Times New Roman"/>
          <w:sz w:val="24"/>
          <w:szCs w:val="24"/>
        </w:rPr>
        <w:t>go zostanie pr</w:t>
      </w:r>
      <w:r w:rsidR="008D65AC">
        <w:rPr>
          <w:rFonts w:ascii="Times New Roman" w:hAnsi="Times New Roman" w:cs="Times New Roman"/>
          <w:sz w:val="24"/>
          <w:szCs w:val="24"/>
        </w:rPr>
        <w:t>zeniesiona własność manuskryptu</w:t>
      </w:r>
      <w:r>
        <w:rPr>
          <w:rFonts w:ascii="Times New Roman" w:hAnsi="Times New Roman" w:cs="Times New Roman"/>
          <w:sz w:val="24"/>
          <w:szCs w:val="24"/>
        </w:rPr>
        <w:t xml:space="preserve"> i o</w:t>
      </w:r>
      <w:r w:rsidR="008D65AC">
        <w:rPr>
          <w:rFonts w:ascii="Times New Roman" w:hAnsi="Times New Roman" w:cs="Times New Roman"/>
          <w:sz w:val="24"/>
          <w:szCs w:val="24"/>
        </w:rPr>
        <w:t>kreślona szczegółowa</w:t>
      </w:r>
      <w:r>
        <w:rPr>
          <w:rFonts w:ascii="Times New Roman" w:hAnsi="Times New Roman" w:cs="Times New Roman"/>
          <w:sz w:val="24"/>
          <w:szCs w:val="24"/>
        </w:rPr>
        <w:t xml:space="preserve"> treść dokonywanej czynności prawnej, w tym przykładowo kwestie dotyczące</w:t>
      </w:r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wydania Kodeksu</w:t>
      </w:r>
      <w:r w:rsidR="005330D2">
        <w:rPr>
          <w:rFonts w:ascii="Times New Roman" w:hAnsi="Times New Roman" w:cs="Times New Roman"/>
          <w:sz w:val="24"/>
          <w:szCs w:val="24"/>
        </w:rPr>
        <w:t xml:space="preserve"> stronie węgierskiej</w:t>
      </w:r>
      <w:r w:rsidR="0000677E">
        <w:rPr>
          <w:rFonts w:ascii="Times New Roman" w:hAnsi="Times New Roman" w:cs="Times New Roman"/>
          <w:sz w:val="24"/>
          <w:szCs w:val="24"/>
        </w:rPr>
        <w:t xml:space="preserve"> </w:t>
      </w:r>
      <w:r w:rsidR="005330D2">
        <w:rPr>
          <w:rFonts w:ascii="Times New Roman" w:hAnsi="Times New Roman" w:cs="Times New Roman"/>
          <w:sz w:val="24"/>
          <w:szCs w:val="24"/>
        </w:rPr>
        <w:t xml:space="preserve">czy też jego </w:t>
      </w:r>
      <w:r w:rsidR="0000677E">
        <w:rPr>
          <w:rFonts w:ascii="Times New Roman" w:hAnsi="Times New Roman" w:cs="Times New Roman"/>
          <w:sz w:val="24"/>
          <w:szCs w:val="24"/>
        </w:rPr>
        <w:t xml:space="preserve">ekspozycji </w:t>
      </w:r>
      <w:r w:rsidR="005330D2">
        <w:rPr>
          <w:rFonts w:ascii="Times New Roman" w:hAnsi="Times New Roman" w:cs="Times New Roman"/>
          <w:sz w:val="24"/>
          <w:szCs w:val="24"/>
        </w:rPr>
        <w:t>po przekazaniu Węgrom</w:t>
      </w:r>
      <w:r w:rsidR="0000677E">
        <w:rPr>
          <w:rFonts w:ascii="Times New Roman" w:hAnsi="Times New Roman" w:cs="Times New Roman"/>
          <w:sz w:val="24"/>
          <w:szCs w:val="24"/>
        </w:rPr>
        <w:t>. W związku z koniecznością osiągnięcia konsensusu w tym zakresie ze stroną węgierską, niemożliwe jest uregulowanie tej materii w ustawie.</w:t>
      </w:r>
    </w:p>
    <w:p w14:paraId="3E6D1513" w14:textId="640741E8" w:rsidR="005330D2" w:rsidRDefault="0000677E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Projektowany art. 6</w:t>
      </w:r>
      <w:r w:rsidR="005330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wyłączający stosowanie przepisów rozdziału 5 ustawy</w:t>
      </w:r>
      <w:r w:rsidR="00325E08" w:rsidRPr="00325E08">
        <w:rPr>
          <w:rFonts w:ascii="Times New Roman" w:hAnsi="Times New Roman" w:cs="Times New Roman"/>
          <w:sz w:val="24"/>
          <w:szCs w:val="24"/>
        </w:rPr>
        <w:t xml:space="preserve"> </w:t>
      </w:r>
      <w:r w:rsidR="00325E08">
        <w:rPr>
          <w:rFonts w:ascii="Times New Roman" w:hAnsi="Times New Roman" w:cs="Times New Roman"/>
          <w:sz w:val="24"/>
          <w:szCs w:val="24"/>
        </w:rPr>
        <w:t xml:space="preserve">z dnia 23 lipca 2003 r. </w:t>
      </w:r>
      <w:r>
        <w:rPr>
          <w:rFonts w:ascii="Times New Roman" w:hAnsi="Times New Roman" w:cs="Times New Roman"/>
          <w:sz w:val="24"/>
          <w:szCs w:val="24"/>
        </w:rPr>
        <w:t xml:space="preserve">o ochronie zabytków o opiece nad zabytkami, który reguluje wywóz zabytków za granicę, wynika z zaznaczonej powyżej konieczności umożliwienia wywiezienia zabytku z terenu Rzeczypospolitej na stałe. </w:t>
      </w:r>
      <w:r w:rsidR="0098764F">
        <w:rPr>
          <w:rFonts w:ascii="Times New Roman" w:hAnsi="Times New Roman" w:cs="Times New Roman"/>
          <w:sz w:val="24"/>
          <w:szCs w:val="24"/>
        </w:rPr>
        <w:t xml:space="preserve">Obowiązujące przepisy nie przewidują takiej możliwości poza wyjątkami </w:t>
      </w:r>
      <w:r w:rsidR="0098764F" w:rsidRPr="00160017">
        <w:rPr>
          <w:rFonts w:ascii="Times New Roman" w:hAnsi="Times New Roman" w:cs="Times New Roman"/>
          <w:sz w:val="24"/>
          <w:szCs w:val="24"/>
        </w:rPr>
        <w:t>okr</w:t>
      </w:r>
      <w:r w:rsidR="0098764F">
        <w:rPr>
          <w:rFonts w:ascii="Times New Roman" w:hAnsi="Times New Roman" w:cs="Times New Roman"/>
          <w:sz w:val="24"/>
          <w:szCs w:val="24"/>
        </w:rPr>
        <w:t>eślonymi</w:t>
      </w:r>
      <w:r w:rsidR="0098764F" w:rsidRPr="00160017">
        <w:rPr>
          <w:rFonts w:ascii="Times New Roman" w:hAnsi="Times New Roman" w:cs="Times New Roman"/>
          <w:sz w:val="24"/>
          <w:szCs w:val="24"/>
        </w:rPr>
        <w:t xml:space="preserve"> w art. 26 i art. 42 ustawy z dnia 25 maja 2017 r. o restytucji narodowych dóbr kultury</w:t>
      </w:r>
      <w:r w:rsidR="0098764F">
        <w:rPr>
          <w:rFonts w:ascii="Times New Roman" w:hAnsi="Times New Roman" w:cs="Times New Roman"/>
          <w:sz w:val="24"/>
          <w:szCs w:val="24"/>
        </w:rPr>
        <w:t xml:space="preserve">, </w:t>
      </w:r>
      <w:r w:rsidR="0098764F" w:rsidRPr="00160017">
        <w:rPr>
          <w:rFonts w:ascii="Times New Roman" w:hAnsi="Times New Roman" w:cs="Times New Roman"/>
          <w:sz w:val="24"/>
          <w:szCs w:val="24"/>
        </w:rPr>
        <w:t>gdy wywóz odbywa się w wykonaniu prawomocnego wyroku nakazującego zwrot zagranicznego narodowego dobra kultury, o którym mowa w art. 18 ust. 1 tej ustawy, na terytorium państwa Unii Europejskiej albo na podstawie pozwoleń, o których mowa w art. 39 ust. 1 lub art. 43 ust. 1 tej ustawy</w:t>
      </w:r>
      <w:r w:rsidR="0098764F">
        <w:rPr>
          <w:rFonts w:ascii="Times New Roman" w:hAnsi="Times New Roman" w:cs="Times New Roman"/>
          <w:sz w:val="24"/>
          <w:szCs w:val="24"/>
        </w:rPr>
        <w:t>. W związku z faktem, ż</w:t>
      </w:r>
      <w:r w:rsidR="005330D2">
        <w:rPr>
          <w:rFonts w:ascii="Times New Roman" w:hAnsi="Times New Roman" w:cs="Times New Roman"/>
          <w:sz w:val="24"/>
          <w:szCs w:val="24"/>
        </w:rPr>
        <w:t>e</w:t>
      </w:r>
      <w:r w:rsidR="0098764F">
        <w:rPr>
          <w:rFonts w:ascii="Times New Roman" w:hAnsi="Times New Roman" w:cs="Times New Roman"/>
          <w:sz w:val="24"/>
          <w:szCs w:val="24"/>
        </w:rPr>
        <w:t xml:space="preserve"> przekazanie Kodeksu nie jest możliwe na podstawie przewidzianych wyjątków od ogólnego zakazu wywozu zabytków na stałe, konieczne jest wyłączenie wprost stosowania tych przepisów w projektowanej ustawie.</w:t>
      </w:r>
    </w:p>
    <w:p w14:paraId="7597555C" w14:textId="6AB74FAC" w:rsidR="006B7578" w:rsidRDefault="006B7578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B7578">
        <w:rPr>
          <w:rFonts w:ascii="Times New Roman" w:hAnsi="Times New Roman" w:cs="Times New Roman"/>
          <w:sz w:val="24"/>
          <w:szCs w:val="24"/>
        </w:rPr>
        <w:lastRenderedPageBreak/>
        <w:t>Proponuje się, aby projektowana ustawa weszła w życie</w:t>
      </w:r>
      <w:r w:rsidR="000B2EDA">
        <w:rPr>
          <w:rFonts w:ascii="Times New Roman" w:hAnsi="Times New Roman" w:cs="Times New Roman"/>
          <w:sz w:val="24"/>
          <w:szCs w:val="24"/>
        </w:rPr>
        <w:t xml:space="preserve"> po upływie 14 dni od dnia ogłoszenia</w:t>
      </w:r>
      <w:r w:rsidR="005330D2">
        <w:rPr>
          <w:rFonts w:ascii="Times New Roman" w:hAnsi="Times New Roman" w:cs="Times New Roman"/>
          <w:sz w:val="24"/>
          <w:szCs w:val="24"/>
        </w:rPr>
        <w:t xml:space="preserve">, z wyjątkiem unormowań dotyczących ograniczeń w rozporządzaniu Kodeksem i ingerencji w jego substancję w „okresie przejściowym” (art. </w:t>
      </w:r>
      <w:r w:rsidR="00325E08">
        <w:rPr>
          <w:rFonts w:ascii="Times New Roman" w:hAnsi="Times New Roman" w:cs="Times New Roman"/>
          <w:sz w:val="24"/>
          <w:szCs w:val="24"/>
        </w:rPr>
        <w:t xml:space="preserve">7 w zw. z art. </w:t>
      </w:r>
      <w:r w:rsidR="005330D2">
        <w:rPr>
          <w:rFonts w:ascii="Times New Roman" w:hAnsi="Times New Roman" w:cs="Times New Roman"/>
          <w:sz w:val="24"/>
          <w:szCs w:val="24"/>
        </w:rPr>
        <w:t xml:space="preserve">4 projektu). Dla pełnej skuteczności i osiągnięcia założonych celów </w:t>
      </w:r>
      <w:r w:rsidR="00325E08">
        <w:rPr>
          <w:rFonts w:ascii="Times New Roman" w:hAnsi="Times New Roman" w:cs="Times New Roman"/>
          <w:sz w:val="24"/>
          <w:szCs w:val="24"/>
        </w:rPr>
        <w:t>regulacja</w:t>
      </w:r>
      <w:r w:rsidR="005330D2">
        <w:rPr>
          <w:rFonts w:ascii="Times New Roman" w:hAnsi="Times New Roman" w:cs="Times New Roman"/>
          <w:sz w:val="24"/>
          <w:szCs w:val="24"/>
        </w:rPr>
        <w:t xml:space="preserve"> t</w:t>
      </w:r>
      <w:r w:rsidR="00325E08">
        <w:rPr>
          <w:rFonts w:ascii="Times New Roman" w:hAnsi="Times New Roman" w:cs="Times New Roman"/>
          <w:sz w:val="24"/>
          <w:szCs w:val="24"/>
        </w:rPr>
        <w:t>a</w:t>
      </w:r>
      <w:r w:rsidR="005330D2">
        <w:rPr>
          <w:rFonts w:ascii="Times New Roman" w:hAnsi="Times New Roman" w:cs="Times New Roman"/>
          <w:sz w:val="24"/>
          <w:szCs w:val="24"/>
        </w:rPr>
        <w:t xml:space="preserve"> powinn</w:t>
      </w:r>
      <w:r w:rsidR="00325E08">
        <w:rPr>
          <w:rFonts w:ascii="Times New Roman" w:hAnsi="Times New Roman" w:cs="Times New Roman"/>
          <w:sz w:val="24"/>
          <w:szCs w:val="24"/>
        </w:rPr>
        <w:t>a</w:t>
      </w:r>
      <w:r w:rsidR="005330D2">
        <w:rPr>
          <w:rFonts w:ascii="Times New Roman" w:hAnsi="Times New Roman" w:cs="Times New Roman"/>
          <w:sz w:val="24"/>
          <w:szCs w:val="24"/>
        </w:rPr>
        <w:t xml:space="preserve"> wejść w życie z </w:t>
      </w:r>
      <w:r w:rsidR="00325E08">
        <w:rPr>
          <w:rFonts w:ascii="Times New Roman" w:hAnsi="Times New Roman" w:cs="Times New Roman"/>
          <w:sz w:val="24"/>
          <w:szCs w:val="24"/>
        </w:rPr>
        <w:t>d</w:t>
      </w:r>
      <w:r w:rsidR="005330D2">
        <w:rPr>
          <w:rFonts w:ascii="Times New Roman" w:hAnsi="Times New Roman" w:cs="Times New Roman"/>
          <w:sz w:val="24"/>
          <w:szCs w:val="24"/>
        </w:rPr>
        <w:t>niem ogłoszenia ustawy.</w:t>
      </w:r>
    </w:p>
    <w:p w14:paraId="7E611AF9" w14:textId="3AE3B59D" w:rsidR="00226EB8" w:rsidRPr="0026473F" w:rsidRDefault="00226EB8" w:rsidP="00226EB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6473F">
        <w:rPr>
          <w:rFonts w:ascii="Times New Roman" w:hAnsi="Times New Roman" w:cs="Times New Roman"/>
          <w:sz w:val="24"/>
          <w:szCs w:val="24"/>
        </w:rPr>
        <w:t>Wejście w życie projektu ustawy wygeneruje dla budżetu państwa koszty finansowe w wysokości 25 mln zł, natomiast nie spowoduje kosztów finansowych dla budżetów jednostek samorządu terytorialnego.</w:t>
      </w:r>
    </w:p>
    <w:p w14:paraId="13EBD083" w14:textId="2E044B5B" w:rsidR="005330D2" w:rsidRDefault="005330D2" w:rsidP="005330D2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64579">
        <w:rPr>
          <w:rFonts w:ascii="Times New Roman" w:hAnsi="Times New Roman" w:cs="Times New Roman"/>
          <w:sz w:val="24"/>
          <w:szCs w:val="24"/>
        </w:rPr>
        <w:t>rzedmiot projektowanej regulacji nie jest objęty prawem Unii Europejskiej.</w:t>
      </w:r>
    </w:p>
    <w:p w14:paraId="49B2993E" w14:textId="6B237D82" w:rsidR="006B7578" w:rsidRPr="006B7578" w:rsidRDefault="006B7578" w:rsidP="006B7578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B7578">
        <w:rPr>
          <w:rFonts w:ascii="Times New Roman" w:hAnsi="Times New Roman" w:cs="Times New Roman"/>
          <w:sz w:val="24"/>
          <w:szCs w:val="24"/>
        </w:rPr>
        <w:t>Projektowana ustawa nie będzie miała wpływu na działalność mikroprzedsiębiorców oraz małych i średnich przedsiębiorców.</w:t>
      </w:r>
    </w:p>
    <w:p w14:paraId="53611DEB" w14:textId="77777777" w:rsidR="00CB264E" w:rsidRPr="006B7578" w:rsidRDefault="00CB264E" w:rsidP="006B757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C5A034" w14:textId="77777777" w:rsidR="00CB264E" w:rsidRPr="006B7578" w:rsidRDefault="00CB264E" w:rsidP="006B75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B264E" w:rsidRPr="006B757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5706B" w14:textId="77777777" w:rsidR="001052A8" w:rsidRDefault="001052A8" w:rsidP="003214BA">
      <w:pPr>
        <w:spacing w:after="0" w:line="240" w:lineRule="auto"/>
      </w:pPr>
      <w:r>
        <w:separator/>
      </w:r>
    </w:p>
  </w:endnote>
  <w:endnote w:type="continuationSeparator" w:id="0">
    <w:p w14:paraId="13CB04E6" w14:textId="77777777" w:rsidR="001052A8" w:rsidRDefault="001052A8" w:rsidP="00321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0887630"/>
      <w:docPartObj>
        <w:docPartGallery w:val="Page Numbers (Bottom of Page)"/>
        <w:docPartUnique/>
      </w:docPartObj>
    </w:sdtPr>
    <w:sdtEndPr/>
    <w:sdtContent>
      <w:p w14:paraId="49684652" w14:textId="04EAD0CF" w:rsidR="003214BA" w:rsidRDefault="003214B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75A">
          <w:rPr>
            <w:noProof/>
          </w:rPr>
          <w:t>1</w:t>
        </w:r>
        <w:r>
          <w:fldChar w:fldCharType="end"/>
        </w:r>
      </w:p>
    </w:sdtContent>
  </w:sdt>
  <w:p w14:paraId="405E9AD8" w14:textId="77777777" w:rsidR="003214BA" w:rsidRDefault="003214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6451D" w14:textId="77777777" w:rsidR="001052A8" w:rsidRDefault="001052A8" w:rsidP="003214BA">
      <w:pPr>
        <w:spacing w:after="0" w:line="240" w:lineRule="auto"/>
      </w:pPr>
      <w:r>
        <w:separator/>
      </w:r>
    </w:p>
  </w:footnote>
  <w:footnote w:type="continuationSeparator" w:id="0">
    <w:p w14:paraId="38801EBF" w14:textId="77777777" w:rsidR="001052A8" w:rsidRDefault="001052A8" w:rsidP="003214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94A"/>
    <w:rsid w:val="0000677E"/>
    <w:rsid w:val="00033189"/>
    <w:rsid w:val="00057A05"/>
    <w:rsid w:val="000B2EDA"/>
    <w:rsid w:val="000C3E31"/>
    <w:rsid w:val="001052A8"/>
    <w:rsid w:val="00110AC0"/>
    <w:rsid w:val="0011583A"/>
    <w:rsid w:val="00116C46"/>
    <w:rsid w:val="00122D15"/>
    <w:rsid w:val="0012423F"/>
    <w:rsid w:val="00137BB7"/>
    <w:rsid w:val="00160017"/>
    <w:rsid w:val="00174E49"/>
    <w:rsid w:val="001775C6"/>
    <w:rsid w:val="001A169E"/>
    <w:rsid w:val="00226EB8"/>
    <w:rsid w:val="0025285A"/>
    <w:rsid w:val="00261809"/>
    <w:rsid w:val="0026473F"/>
    <w:rsid w:val="002F22A5"/>
    <w:rsid w:val="003214BA"/>
    <w:rsid w:val="00325C74"/>
    <w:rsid w:val="00325E08"/>
    <w:rsid w:val="00326D37"/>
    <w:rsid w:val="00330B83"/>
    <w:rsid w:val="00374169"/>
    <w:rsid w:val="003E7FFB"/>
    <w:rsid w:val="00437030"/>
    <w:rsid w:val="004728D4"/>
    <w:rsid w:val="00494AA8"/>
    <w:rsid w:val="004C4419"/>
    <w:rsid w:val="004D1758"/>
    <w:rsid w:val="004D24F2"/>
    <w:rsid w:val="00501AA8"/>
    <w:rsid w:val="00513267"/>
    <w:rsid w:val="005330D2"/>
    <w:rsid w:val="005A4FBC"/>
    <w:rsid w:val="005B10A0"/>
    <w:rsid w:val="005B23DD"/>
    <w:rsid w:val="005D4788"/>
    <w:rsid w:val="005D7EBE"/>
    <w:rsid w:val="00646777"/>
    <w:rsid w:val="0065675A"/>
    <w:rsid w:val="00677486"/>
    <w:rsid w:val="00680F7B"/>
    <w:rsid w:val="00692F5B"/>
    <w:rsid w:val="0069399D"/>
    <w:rsid w:val="006B7578"/>
    <w:rsid w:val="006F4244"/>
    <w:rsid w:val="006F473C"/>
    <w:rsid w:val="007369F1"/>
    <w:rsid w:val="00750387"/>
    <w:rsid w:val="007617C7"/>
    <w:rsid w:val="007862D2"/>
    <w:rsid w:val="0079421A"/>
    <w:rsid w:val="007C5288"/>
    <w:rsid w:val="00851BBC"/>
    <w:rsid w:val="00897156"/>
    <w:rsid w:val="008D65AC"/>
    <w:rsid w:val="008E3FF9"/>
    <w:rsid w:val="009048A8"/>
    <w:rsid w:val="00921686"/>
    <w:rsid w:val="0098764F"/>
    <w:rsid w:val="009D4980"/>
    <w:rsid w:val="00A0786F"/>
    <w:rsid w:val="00A263C8"/>
    <w:rsid w:val="00AE7FBB"/>
    <w:rsid w:val="00AF52A0"/>
    <w:rsid w:val="00B01FA7"/>
    <w:rsid w:val="00B4617E"/>
    <w:rsid w:val="00B9595F"/>
    <w:rsid w:val="00BD6DBF"/>
    <w:rsid w:val="00BF0A0B"/>
    <w:rsid w:val="00C2281E"/>
    <w:rsid w:val="00C433AD"/>
    <w:rsid w:val="00C536C2"/>
    <w:rsid w:val="00C714F8"/>
    <w:rsid w:val="00C87374"/>
    <w:rsid w:val="00CB264E"/>
    <w:rsid w:val="00CF5047"/>
    <w:rsid w:val="00D40695"/>
    <w:rsid w:val="00D53072"/>
    <w:rsid w:val="00D75F02"/>
    <w:rsid w:val="00D90C9B"/>
    <w:rsid w:val="00DA494A"/>
    <w:rsid w:val="00E57712"/>
    <w:rsid w:val="00E578E4"/>
    <w:rsid w:val="00E63DBD"/>
    <w:rsid w:val="00E839F9"/>
    <w:rsid w:val="00EB33A3"/>
    <w:rsid w:val="00EE3525"/>
    <w:rsid w:val="00F021A0"/>
    <w:rsid w:val="00F0527F"/>
    <w:rsid w:val="00F479B8"/>
    <w:rsid w:val="00F55B27"/>
    <w:rsid w:val="00F65012"/>
    <w:rsid w:val="00F90D5F"/>
    <w:rsid w:val="00FA7E96"/>
    <w:rsid w:val="00FF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345B"/>
  <w15:docId w15:val="{A27E91E4-37E4-4665-92CC-9AA1D679C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1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4BA"/>
  </w:style>
  <w:style w:type="paragraph" w:styleId="Stopka">
    <w:name w:val="footer"/>
    <w:basedOn w:val="Normalny"/>
    <w:link w:val="StopkaZnak"/>
    <w:uiPriority w:val="99"/>
    <w:unhideWhenUsed/>
    <w:rsid w:val="00321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4BA"/>
  </w:style>
  <w:style w:type="paragraph" w:styleId="Tekstdymka">
    <w:name w:val="Balloon Text"/>
    <w:basedOn w:val="Normalny"/>
    <w:link w:val="TekstdymkaZnak"/>
    <w:uiPriority w:val="99"/>
    <w:semiHidden/>
    <w:unhideWhenUsed/>
    <w:rsid w:val="00115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83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50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50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50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0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047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1F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1F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01F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6E9BB-0380-4567-B9D2-9BEB9DF32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2805</Words>
  <Characters>16832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Grażyna D. Grabowska</cp:lastModifiedBy>
  <cp:revision>2</cp:revision>
  <dcterms:created xsi:type="dcterms:W3CDTF">2022-02-02T10:57:00Z</dcterms:created>
  <dcterms:modified xsi:type="dcterms:W3CDTF">2022-02-02T10:57:00Z</dcterms:modified>
</cp:coreProperties>
</file>