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6A926" w14:textId="25A81693" w:rsidR="00EF441C" w:rsidRPr="008D7149" w:rsidRDefault="00EF441C" w:rsidP="008D7149">
      <w:pPr>
        <w:spacing w:before="120" w:after="0" w:line="360" w:lineRule="auto"/>
        <w:jc w:val="center"/>
        <w:rPr>
          <w:rFonts w:ascii="Times New Roman" w:hAnsi="Times New Roman" w:cs="Times New Roman"/>
          <w:sz w:val="24"/>
          <w:szCs w:val="24"/>
        </w:rPr>
      </w:pPr>
      <w:r w:rsidRPr="008D7149">
        <w:rPr>
          <w:rFonts w:ascii="Times New Roman" w:hAnsi="Times New Roman" w:cs="Times New Roman"/>
          <w:sz w:val="24"/>
          <w:szCs w:val="24"/>
        </w:rPr>
        <w:t>UZASADNIENIE</w:t>
      </w:r>
    </w:p>
    <w:p w14:paraId="4900C0C9" w14:textId="6226ED77" w:rsidR="00EF441C" w:rsidRPr="008D7149" w:rsidRDefault="00EF441C" w:rsidP="008D7149">
      <w:pPr>
        <w:pStyle w:val="Akapitzlist"/>
        <w:numPr>
          <w:ilvl w:val="0"/>
          <w:numId w:val="1"/>
        </w:numPr>
        <w:spacing w:before="120" w:after="0" w:line="360" w:lineRule="auto"/>
        <w:ind w:left="0" w:firstLine="0"/>
        <w:contextualSpacing w:val="0"/>
        <w:jc w:val="both"/>
        <w:rPr>
          <w:rFonts w:ascii="Times New Roman" w:hAnsi="Times New Roman" w:cs="Times New Roman"/>
          <w:b/>
          <w:sz w:val="24"/>
          <w:szCs w:val="24"/>
        </w:rPr>
      </w:pPr>
      <w:r w:rsidRPr="008D7149">
        <w:rPr>
          <w:rFonts w:ascii="Times New Roman" w:hAnsi="Times New Roman" w:cs="Times New Roman"/>
          <w:b/>
          <w:sz w:val="24"/>
          <w:szCs w:val="24"/>
        </w:rPr>
        <w:t>Cel projektowanej regulacji</w:t>
      </w:r>
    </w:p>
    <w:p w14:paraId="3CF0C3CD" w14:textId="3D5DF32B" w:rsidR="00EF441C" w:rsidRPr="008D7149" w:rsidRDefault="00EF441C" w:rsidP="008D7149">
      <w:pPr>
        <w:autoSpaceDE w:val="0"/>
        <w:autoSpaceDN w:val="0"/>
        <w:adjustRightInd w:val="0"/>
        <w:spacing w:before="120" w:after="0" w:line="360" w:lineRule="auto"/>
        <w:jc w:val="both"/>
        <w:rPr>
          <w:rFonts w:ascii="Times New Roman" w:eastAsia="Calibri" w:hAnsi="Times New Roman" w:cs="Times New Roman"/>
          <w:noProof/>
          <w:sz w:val="24"/>
          <w:szCs w:val="24"/>
        </w:rPr>
      </w:pPr>
      <w:r w:rsidRPr="008D7149">
        <w:rPr>
          <w:rFonts w:ascii="Times New Roman" w:hAnsi="Times New Roman" w:cs="Times New Roman"/>
          <w:sz w:val="24"/>
          <w:szCs w:val="24"/>
        </w:rPr>
        <w:t xml:space="preserve">Projekt ustawy </w:t>
      </w:r>
      <w:r w:rsidR="006A08CC" w:rsidRPr="008D7149">
        <w:rPr>
          <w:rFonts w:ascii="Times New Roman" w:hAnsi="Times New Roman" w:cs="Times New Roman"/>
          <w:sz w:val="24"/>
          <w:szCs w:val="24"/>
        </w:rPr>
        <w:t xml:space="preserve">przede wszystkim </w:t>
      </w:r>
      <w:r w:rsidRPr="008D7149">
        <w:rPr>
          <w:rFonts w:ascii="Times New Roman" w:hAnsi="Times New Roman" w:cs="Times New Roman"/>
          <w:sz w:val="24"/>
          <w:szCs w:val="24"/>
        </w:rPr>
        <w:t xml:space="preserve">dokonuje w zakresie swojej regulacji wdrożenia </w:t>
      </w:r>
      <w:r w:rsidRPr="008D7149">
        <w:rPr>
          <w:rFonts w:ascii="Times New Roman" w:eastAsia="Calibri" w:hAnsi="Times New Roman" w:cs="Times New Roman"/>
          <w:sz w:val="24"/>
          <w:szCs w:val="24"/>
        </w:rPr>
        <w:t>dyrektywy Parlamentu Europe</w:t>
      </w:r>
      <w:r w:rsidR="00D87DBF">
        <w:rPr>
          <w:rFonts w:ascii="Times New Roman" w:eastAsia="Calibri" w:hAnsi="Times New Roman" w:cs="Times New Roman"/>
          <w:sz w:val="24"/>
          <w:szCs w:val="24"/>
        </w:rPr>
        <w:t xml:space="preserve">jskiego i Rady (UE) 2019/2162 z </w:t>
      </w:r>
      <w:r w:rsidRPr="008D7149">
        <w:rPr>
          <w:rFonts w:ascii="Times New Roman" w:eastAsia="Calibri" w:hAnsi="Times New Roman" w:cs="Times New Roman"/>
          <w:sz w:val="24"/>
          <w:szCs w:val="24"/>
        </w:rPr>
        <w:t>dnia 27 listopada 2019 r. w sprawie emisji obligacji zabezpieczonych i nadzoru publicznego nad obligacjami zabezpieczonymi oraz zmieniającej dyrektywy 2009/65/WE i 2014/59/UE (Dz. Urz. UE L 328 z 18.12.2019, str. 29), zwanej dalej „</w:t>
      </w:r>
      <w:r w:rsidRPr="008D7149">
        <w:rPr>
          <w:rFonts w:ascii="Times New Roman" w:eastAsia="Calibri" w:hAnsi="Times New Roman" w:cs="Times New Roman"/>
          <w:b/>
          <w:sz w:val="24"/>
          <w:szCs w:val="24"/>
        </w:rPr>
        <w:t>dyrektywą 2019/2162</w:t>
      </w:r>
      <w:r w:rsidRPr="008D7149">
        <w:rPr>
          <w:rFonts w:ascii="Times New Roman" w:eastAsia="Calibri" w:hAnsi="Times New Roman" w:cs="Times New Roman"/>
          <w:sz w:val="24"/>
          <w:szCs w:val="24"/>
        </w:rPr>
        <w:t xml:space="preserve">”, </w:t>
      </w:r>
      <w:r w:rsidR="008A3BC8" w:rsidRPr="008D7149">
        <w:rPr>
          <w:rFonts w:ascii="Times New Roman" w:eastAsia="Calibri" w:hAnsi="Times New Roman" w:cs="Times New Roman"/>
          <w:sz w:val="24"/>
          <w:szCs w:val="24"/>
        </w:rPr>
        <w:t>oraz</w:t>
      </w:r>
      <w:r w:rsidR="00D87DBF">
        <w:rPr>
          <w:rFonts w:ascii="Times New Roman" w:eastAsia="Calibri" w:hAnsi="Times New Roman" w:cs="Times New Roman"/>
          <w:sz w:val="24"/>
          <w:szCs w:val="24"/>
        </w:rPr>
        <w:t xml:space="preserve"> </w:t>
      </w:r>
      <w:r w:rsidR="00A35819" w:rsidRPr="008D7149">
        <w:rPr>
          <w:rFonts w:ascii="Times New Roman" w:eastAsia="Calibri" w:hAnsi="Times New Roman" w:cs="Times New Roman"/>
          <w:sz w:val="24"/>
          <w:szCs w:val="24"/>
        </w:rPr>
        <w:t xml:space="preserve">służy stosowaniu </w:t>
      </w:r>
      <w:r w:rsidR="008A3BC8" w:rsidRPr="008D7149">
        <w:rPr>
          <w:rFonts w:ascii="Times New Roman" w:eastAsia="Calibri" w:hAnsi="Times New Roman" w:cs="Times New Roman"/>
          <w:sz w:val="24"/>
          <w:szCs w:val="24"/>
        </w:rPr>
        <w:t xml:space="preserve">rozporządzenia </w:t>
      </w:r>
      <w:r w:rsidRPr="008D7149">
        <w:rPr>
          <w:rFonts w:ascii="Times New Roman" w:eastAsia="Calibri" w:hAnsi="Times New Roman" w:cs="Times New Roman"/>
          <w:sz w:val="24"/>
          <w:szCs w:val="24"/>
        </w:rPr>
        <w:t xml:space="preserve">Parlamentu Europejskiego i Rady (UE) 2019/2160 z dnia 27 listopada 2019 r. </w:t>
      </w:r>
      <w:r w:rsidR="008A3BC8" w:rsidRPr="008D7149">
        <w:rPr>
          <w:rFonts w:ascii="Times New Roman" w:eastAsia="Calibri" w:hAnsi="Times New Roman" w:cs="Times New Roman"/>
          <w:sz w:val="24"/>
          <w:szCs w:val="24"/>
        </w:rPr>
        <w:t xml:space="preserve">zmieniającego </w:t>
      </w:r>
      <w:r w:rsidRPr="008D7149">
        <w:rPr>
          <w:rFonts w:ascii="Times New Roman" w:eastAsia="Calibri" w:hAnsi="Times New Roman" w:cs="Times New Roman"/>
          <w:sz w:val="24"/>
          <w:szCs w:val="24"/>
        </w:rPr>
        <w:t>rozporządzenie (UE) 575/2013 w odniesieniu do ekspozycji w postaci obligacji zabezpieczonych (Dz. Urz. UE L 328 18.12.2019, str. 1), zwan</w:t>
      </w:r>
      <w:r w:rsidR="00C60B94" w:rsidRPr="008D7149">
        <w:rPr>
          <w:rFonts w:ascii="Times New Roman" w:eastAsia="Calibri" w:hAnsi="Times New Roman" w:cs="Times New Roman"/>
          <w:sz w:val="24"/>
          <w:szCs w:val="24"/>
        </w:rPr>
        <w:t>ego</w:t>
      </w:r>
      <w:r w:rsidRPr="008D7149">
        <w:rPr>
          <w:rFonts w:ascii="Times New Roman" w:eastAsia="Calibri" w:hAnsi="Times New Roman" w:cs="Times New Roman"/>
          <w:sz w:val="24"/>
          <w:szCs w:val="24"/>
        </w:rPr>
        <w:t xml:space="preserve"> dalej </w:t>
      </w:r>
      <w:r w:rsidRPr="008D7149">
        <w:rPr>
          <w:rFonts w:ascii="Times New Roman" w:eastAsia="Times New Roman" w:hAnsi="Times New Roman" w:cs="Times New Roman"/>
          <w:sz w:val="24"/>
          <w:szCs w:val="24"/>
          <w:lang w:eastAsia="pl-PL"/>
        </w:rPr>
        <w:t>„</w:t>
      </w:r>
      <w:r w:rsidRPr="008D7149">
        <w:rPr>
          <w:rFonts w:ascii="Times New Roman" w:eastAsia="Times New Roman" w:hAnsi="Times New Roman" w:cs="Times New Roman"/>
          <w:b/>
          <w:sz w:val="24"/>
          <w:szCs w:val="24"/>
          <w:lang w:eastAsia="pl-PL"/>
        </w:rPr>
        <w:t>rozporządzenie</w:t>
      </w:r>
      <w:r w:rsidR="00C60B94" w:rsidRPr="008D7149">
        <w:rPr>
          <w:rFonts w:ascii="Times New Roman" w:eastAsia="Times New Roman" w:hAnsi="Times New Roman" w:cs="Times New Roman"/>
          <w:b/>
          <w:sz w:val="24"/>
          <w:szCs w:val="24"/>
          <w:lang w:eastAsia="pl-PL"/>
        </w:rPr>
        <w:t>m</w:t>
      </w:r>
      <w:r w:rsidRPr="008D7149">
        <w:rPr>
          <w:rFonts w:ascii="Times New Roman" w:eastAsia="Times New Roman" w:hAnsi="Times New Roman" w:cs="Times New Roman"/>
          <w:b/>
          <w:sz w:val="24"/>
          <w:szCs w:val="24"/>
          <w:lang w:eastAsia="pl-PL"/>
        </w:rPr>
        <w:t xml:space="preserve"> 2019/2160</w:t>
      </w:r>
      <w:r w:rsidRPr="008D7149">
        <w:rPr>
          <w:rFonts w:ascii="Times New Roman" w:eastAsia="Times New Roman" w:hAnsi="Times New Roman" w:cs="Times New Roman"/>
          <w:sz w:val="24"/>
          <w:szCs w:val="24"/>
          <w:lang w:eastAsia="pl-PL"/>
        </w:rPr>
        <w:t>”</w:t>
      </w:r>
      <w:r w:rsidRPr="008D7149">
        <w:rPr>
          <w:rFonts w:ascii="Times New Roman" w:eastAsia="Calibri" w:hAnsi="Times New Roman" w:cs="Times New Roman"/>
          <w:sz w:val="24"/>
          <w:szCs w:val="24"/>
        </w:rPr>
        <w:t xml:space="preserve">, </w:t>
      </w:r>
      <w:r w:rsidR="008A3BC8" w:rsidRPr="008D7149">
        <w:rPr>
          <w:rFonts w:ascii="Times New Roman" w:eastAsia="Calibri" w:hAnsi="Times New Roman" w:cs="Times New Roman"/>
          <w:sz w:val="24"/>
          <w:szCs w:val="24"/>
        </w:rPr>
        <w:t xml:space="preserve">stanowiących </w:t>
      </w:r>
      <w:r w:rsidRPr="008D7149">
        <w:rPr>
          <w:rFonts w:ascii="Times New Roman" w:eastAsia="Calibri" w:hAnsi="Times New Roman" w:cs="Times New Roman"/>
          <w:sz w:val="24"/>
          <w:szCs w:val="24"/>
        </w:rPr>
        <w:t xml:space="preserve">pakiet </w:t>
      </w:r>
      <w:r w:rsidR="008A3BC8" w:rsidRPr="008D7149">
        <w:rPr>
          <w:rFonts w:ascii="Times New Roman" w:eastAsia="Calibri" w:hAnsi="Times New Roman" w:cs="Times New Roman"/>
          <w:sz w:val="24"/>
          <w:szCs w:val="24"/>
        </w:rPr>
        <w:t xml:space="preserve">regulacyjny dotyczący </w:t>
      </w:r>
      <w:r w:rsidRPr="008D7149">
        <w:rPr>
          <w:rFonts w:ascii="Times New Roman" w:eastAsia="Calibri" w:hAnsi="Times New Roman" w:cs="Times New Roman"/>
          <w:sz w:val="24"/>
          <w:szCs w:val="24"/>
        </w:rPr>
        <w:t>obligacji zabezpieczonych.</w:t>
      </w:r>
      <w:r w:rsidRPr="008D7149">
        <w:rPr>
          <w:rFonts w:ascii="Times New Roman" w:eastAsia="Calibri" w:hAnsi="Times New Roman" w:cs="Times New Roman"/>
          <w:noProof/>
          <w:sz w:val="24"/>
          <w:szCs w:val="24"/>
        </w:rPr>
        <w:t xml:space="preserve"> Pakiet ten uwzględnia także opinie i rekomendacje Europejskiego Urzędu Nadzoru Bankowego, który przeprowadził kompleksową analizę </w:t>
      </w:r>
      <w:r w:rsidR="00D87DBF">
        <w:rPr>
          <w:rFonts w:ascii="Times New Roman" w:eastAsia="Calibri" w:hAnsi="Times New Roman" w:cs="Times New Roman"/>
          <w:noProof/>
          <w:sz w:val="24"/>
          <w:szCs w:val="24"/>
        </w:rPr>
        <w:t xml:space="preserve">rozwoju sytuacji regulacyjnej w </w:t>
      </w:r>
      <w:r w:rsidRPr="008D7149">
        <w:rPr>
          <w:rFonts w:ascii="Times New Roman" w:eastAsia="Calibri" w:hAnsi="Times New Roman" w:cs="Times New Roman"/>
          <w:noProof/>
          <w:sz w:val="24"/>
          <w:szCs w:val="24"/>
        </w:rPr>
        <w:t>kontekście ram dotycząc</w:t>
      </w:r>
      <w:r w:rsidR="00D87DBF">
        <w:rPr>
          <w:rFonts w:ascii="Times New Roman" w:eastAsia="Calibri" w:hAnsi="Times New Roman" w:cs="Times New Roman"/>
          <w:noProof/>
          <w:sz w:val="24"/>
          <w:szCs w:val="24"/>
        </w:rPr>
        <w:t xml:space="preserve">ych obligacji zabezpieczonych w </w:t>
      </w:r>
      <w:r w:rsidRPr="008D7149">
        <w:rPr>
          <w:rFonts w:ascii="Times New Roman" w:eastAsia="Calibri" w:hAnsi="Times New Roman" w:cs="Times New Roman"/>
          <w:noProof/>
          <w:sz w:val="24"/>
          <w:szCs w:val="24"/>
        </w:rPr>
        <w:t>poszczególnych państwach członkowskich, zalecając ich harmonizację na poziomie UE, zgodnie z najlepszymi praktykami nadzorczymi</w:t>
      </w:r>
      <w:r w:rsidRPr="008D7149">
        <w:rPr>
          <w:rFonts w:ascii="Times New Roman" w:eastAsia="Calibri" w:hAnsi="Times New Roman" w:cs="Times New Roman"/>
          <w:noProof/>
          <w:sz w:val="24"/>
          <w:szCs w:val="24"/>
          <w:vertAlign w:val="superscript"/>
        </w:rPr>
        <w:footnoteReference w:id="2"/>
      </w:r>
      <w:r w:rsidRPr="008D7149">
        <w:rPr>
          <w:rFonts w:ascii="Times New Roman" w:eastAsia="Calibri" w:hAnsi="Times New Roman" w:cs="Times New Roman"/>
          <w:noProof/>
          <w:sz w:val="24"/>
          <w:szCs w:val="24"/>
        </w:rPr>
        <w:t>.</w:t>
      </w:r>
      <w:r w:rsidR="005971B6" w:rsidRPr="008D7149">
        <w:rPr>
          <w:rFonts w:ascii="Times New Roman" w:hAnsi="Times New Roman" w:cs="Times New Roman"/>
          <w:sz w:val="24"/>
          <w:szCs w:val="24"/>
        </w:rPr>
        <w:t xml:space="preserve"> </w:t>
      </w:r>
      <w:r w:rsidR="005971B6" w:rsidRPr="008D7149">
        <w:rPr>
          <w:rFonts w:ascii="Times New Roman" w:eastAsia="Calibri" w:hAnsi="Times New Roman" w:cs="Times New Roman"/>
          <w:noProof/>
          <w:sz w:val="24"/>
          <w:szCs w:val="24"/>
        </w:rPr>
        <w:t>Ponadto w projekcie ustawy przewidziano zmiany z zakresu wezwań do zapisywania się na sprzedaż lub zamianę akcji spółek publicznych, które stanowią odpowiedź na obserwację zjawisk zachodzących na krajowym rynku kapitałowym. Zmiany te powinny przyczynić się do usprawni</w:t>
      </w:r>
      <w:r w:rsidR="00B846AA" w:rsidRPr="008D7149">
        <w:rPr>
          <w:rFonts w:ascii="Times New Roman" w:eastAsia="Calibri" w:hAnsi="Times New Roman" w:cs="Times New Roman"/>
          <w:noProof/>
          <w:sz w:val="24"/>
          <w:szCs w:val="24"/>
        </w:rPr>
        <w:t>enia</w:t>
      </w:r>
      <w:r w:rsidR="005971B6" w:rsidRPr="008D7149">
        <w:rPr>
          <w:rFonts w:ascii="Times New Roman" w:eastAsia="Calibri" w:hAnsi="Times New Roman" w:cs="Times New Roman"/>
          <w:noProof/>
          <w:sz w:val="24"/>
          <w:szCs w:val="24"/>
        </w:rPr>
        <w:t xml:space="preserve"> procesu przeprowadzania wezwań, a w szczególności do wzmocnieni</w:t>
      </w:r>
      <w:r w:rsidR="009258CB" w:rsidRPr="008D7149">
        <w:rPr>
          <w:rFonts w:ascii="Times New Roman" w:eastAsia="Calibri" w:hAnsi="Times New Roman" w:cs="Times New Roman"/>
          <w:noProof/>
          <w:sz w:val="24"/>
          <w:szCs w:val="24"/>
        </w:rPr>
        <w:t>a ochrony interesow inwestorów m</w:t>
      </w:r>
      <w:r w:rsidR="005971B6" w:rsidRPr="008D7149">
        <w:rPr>
          <w:rFonts w:ascii="Times New Roman" w:eastAsia="Calibri" w:hAnsi="Times New Roman" w:cs="Times New Roman"/>
          <w:noProof/>
          <w:sz w:val="24"/>
          <w:szCs w:val="24"/>
        </w:rPr>
        <w:t>niejszościowych.</w:t>
      </w:r>
    </w:p>
    <w:p w14:paraId="7B945D18" w14:textId="77777777" w:rsidR="00EF441C" w:rsidRPr="008D7149" w:rsidRDefault="00EF441C" w:rsidP="008D7149">
      <w:pPr>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Obligacje zabezpieczone są uregulowane </w:t>
      </w:r>
      <w:r w:rsidRPr="008D7149">
        <w:rPr>
          <w:rFonts w:ascii="Times New Roman" w:hAnsi="Times New Roman" w:cs="Times New Roman"/>
          <w:noProof/>
          <w:sz w:val="24"/>
          <w:szCs w:val="24"/>
        </w:rPr>
        <w:t xml:space="preserve">w krajach UE niejednolicie, jednocześnie proces rozwoju rynków krajowych przebiega nierównomiernie. </w:t>
      </w:r>
      <w:r w:rsidRPr="008D7149">
        <w:rPr>
          <w:rFonts w:ascii="Times New Roman" w:eastAsia="Times New Roman" w:hAnsi="Times New Roman" w:cs="Times New Roman"/>
          <w:sz w:val="24"/>
          <w:szCs w:val="24"/>
          <w:lang w:eastAsia="pl-PL"/>
        </w:rPr>
        <w:t>Warunki inwestowania w obligacje zabezpieczone oraz związane z tym wymogi kapitałowe dla instytucji kredytowych są zawarte w następujących przepisach prawa UE:</w:t>
      </w:r>
    </w:p>
    <w:p w14:paraId="05C468D1" w14:textId="7C024649" w:rsidR="00EF441C" w:rsidRPr="008D7149" w:rsidRDefault="00EF441C" w:rsidP="008D7149">
      <w:pPr>
        <w:pStyle w:val="Akapitzlist"/>
        <w:numPr>
          <w:ilvl w:val="0"/>
          <w:numId w:val="3"/>
        </w:numPr>
        <w:spacing w:before="120" w:after="0" w:line="360" w:lineRule="auto"/>
        <w:ind w:left="360"/>
        <w:jc w:val="both"/>
        <w:rPr>
          <w:rFonts w:ascii="Times New Roman" w:hAnsi="Times New Roman" w:cs="Times New Roman"/>
          <w:sz w:val="24"/>
          <w:szCs w:val="24"/>
        </w:rPr>
      </w:pPr>
      <w:r w:rsidRPr="008D7149">
        <w:rPr>
          <w:rFonts w:ascii="Times New Roman" w:eastAsia="Times New Roman" w:hAnsi="Times New Roman" w:cs="Times New Roman"/>
          <w:sz w:val="24"/>
          <w:szCs w:val="24"/>
          <w:lang w:eastAsia="pl-PL"/>
        </w:rPr>
        <w:t>art. 52 dyrektywy Parlamentu Europejskiego i Rady 2009/</w:t>
      </w:r>
      <w:r w:rsidR="00FF570D">
        <w:rPr>
          <w:rFonts w:ascii="Times New Roman" w:eastAsia="Times New Roman" w:hAnsi="Times New Roman" w:cs="Times New Roman"/>
          <w:sz w:val="24"/>
          <w:szCs w:val="24"/>
          <w:lang w:eastAsia="pl-PL"/>
        </w:rPr>
        <w:t>65/WE z dnia 13 lipca 2009 r. w </w:t>
      </w:r>
      <w:r w:rsidRPr="008D7149">
        <w:rPr>
          <w:rFonts w:ascii="Times New Roman" w:eastAsia="Times New Roman" w:hAnsi="Times New Roman" w:cs="Times New Roman"/>
          <w:sz w:val="24"/>
          <w:szCs w:val="24"/>
          <w:lang w:eastAsia="pl-PL"/>
        </w:rPr>
        <w:t xml:space="preserve">sprawie koordynacji przepisów ustawowych, wykonawczych i administracyjnych odnoszących się do przedsiębiorstw zbiorowego inwestowania w zbywalne papiery wartościowe (UCITS) (Dz. Urz. </w:t>
      </w:r>
      <w:r w:rsidR="00C60B94" w:rsidRPr="008D7149">
        <w:rPr>
          <w:rFonts w:ascii="Times New Roman" w:eastAsia="Times New Roman" w:hAnsi="Times New Roman" w:cs="Times New Roman"/>
          <w:sz w:val="24"/>
          <w:szCs w:val="24"/>
          <w:lang w:eastAsia="pl-PL"/>
        </w:rPr>
        <w:t xml:space="preserve">UE </w:t>
      </w:r>
      <w:r w:rsidRPr="008D7149">
        <w:rPr>
          <w:rFonts w:ascii="Times New Roman" w:eastAsia="Times New Roman" w:hAnsi="Times New Roman" w:cs="Times New Roman"/>
          <w:sz w:val="24"/>
          <w:szCs w:val="24"/>
          <w:lang w:eastAsia="pl-PL"/>
        </w:rPr>
        <w:t>L 302 z 17.</w:t>
      </w:r>
      <w:r w:rsidR="008D7149">
        <w:rPr>
          <w:rFonts w:ascii="Times New Roman" w:eastAsia="Times New Roman" w:hAnsi="Times New Roman" w:cs="Times New Roman"/>
          <w:sz w:val="24"/>
          <w:szCs w:val="24"/>
          <w:lang w:eastAsia="pl-PL"/>
        </w:rPr>
        <w:t>11.2009, str. 32, z późn. zm.),</w:t>
      </w:r>
    </w:p>
    <w:p w14:paraId="5AF5E095" w14:textId="5614FC27" w:rsidR="00EF441C" w:rsidRPr="008D7149" w:rsidRDefault="00EF441C" w:rsidP="008D7149">
      <w:pPr>
        <w:pStyle w:val="Akapitzlist"/>
        <w:numPr>
          <w:ilvl w:val="0"/>
          <w:numId w:val="3"/>
        </w:numPr>
        <w:spacing w:before="120" w:after="0" w:line="360" w:lineRule="auto"/>
        <w:ind w:left="360"/>
        <w:jc w:val="both"/>
        <w:rPr>
          <w:rFonts w:ascii="Times New Roman" w:hAnsi="Times New Roman" w:cs="Times New Roman"/>
          <w:sz w:val="24"/>
          <w:szCs w:val="24"/>
        </w:rPr>
      </w:pPr>
      <w:r w:rsidRPr="008D7149">
        <w:rPr>
          <w:rFonts w:ascii="Times New Roman" w:eastAsia="Times New Roman" w:hAnsi="Times New Roman" w:cs="Times New Roman"/>
          <w:sz w:val="24"/>
          <w:szCs w:val="24"/>
          <w:lang w:eastAsia="pl-PL"/>
        </w:rPr>
        <w:lastRenderedPageBreak/>
        <w:t xml:space="preserve">art. 129 rozporządzenia Parlamentu Europejskiego i Rady (UE) nr 575/2013 z dnia 26 czerwca 2013 r. w sprawie wymogów ostrożnościowych dla instytucji kredytowych </w:t>
      </w:r>
      <w:r w:rsidR="00F81479" w:rsidRPr="008D7149">
        <w:rPr>
          <w:rFonts w:ascii="Times New Roman" w:eastAsia="Times New Roman" w:hAnsi="Times New Roman" w:cs="Times New Roman"/>
          <w:sz w:val="24"/>
          <w:szCs w:val="24"/>
          <w:lang w:eastAsia="pl-PL"/>
        </w:rPr>
        <w:t>oraz</w:t>
      </w:r>
      <w:r w:rsidRPr="008D7149">
        <w:rPr>
          <w:rFonts w:ascii="Times New Roman" w:eastAsia="Times New Roman" w:hAnsi="Times New Roman" w:cs="Times New Roman"/>
          <w:sz w:val="24"/>
          <w:szCs w:val="24"/>
          <w:lang w:eastAsia="pl-PL"/>
        </w:rPr>
        <w:t xml:space="preserve"> zmieniające</w:t>
      </w:r>
      <w:r w:rsidR="00BA0EE9" w:rsidRPr="008D7149">
        <w:rPr>
          <w:rFonts w:ascii="Times New Roman" w:eastAsia="Times New Roman" w:hAnsi="Times New Roman" w:cs="Times New Roman"/>
          <w:sz w:val="24"/>
          <w:szCs w:val="24"/>
          <w:lang w:eastAsia="pl-PL"/>
        </w:rPr>
        <w:t>go</w:t>
      </w:r>
      <w:r w:rsidRPr="008D7149">
        <w:rPr>
          <w:rFonts w:ascii="Times New Roman" w:eastAsia="Times New Roman" w:hAnsi="Times New Roman" w:cs="Times New Roman"/>
          <w:sz w:val="24"/>
          <w:szCs w:val="24"/>
          <w:lang w:eastAsia="pl-PL"/>
        </w:rPr>
        <w:t xml:space="preserve"> rozporządzenie (UE) nr 648/2012 (Dz. Urz. </w:t>
      </w:r>
      <w:r w:rsidR="00C60B94" w:rsidRPr="008D7149">
        <w:rPr>
          <w:rFonts w:ascii="Times New Roman" w:eastAsia="Times New Roman" w:hAnsi="Times New Roman" w:cs="Times New Roman"/>
          <w:sz w:val="24"/>
          <w:szCs w:val="24"/>
          <w:lang w:eastAsia="pl-PL"/>
        </w:rPr>
        <w:t xml:space="preserve">UE </w:t>
      </w:r>
      <w:r w:rsidRPr="008D7149">
        <w:rPr>
          <w:rFonts w:ascii="Times New Roman" w:eastAsia="Times New Roman" w:hAnsi="Times New Roman" w:cs="Times New Roman"/>
          <w:sz w:val="24"/>
          <w:szCs w:val="24"/>
          <w:lang w:eastAsia="pl-PL"/>
        </w:rPr>
        <w:t>L 176 z</w:t>
      </w:r>
      <w:r w:rsidR="00D87DBF">
        <w:rPr>
          <w:rFonts w:ascii="Times New Roman" w:eastAsia="Times New Roman" w:hAnsi="Times New Roman" w:cs="Times New Roman"/>
          <w:sz w:val="24"/>
          <w:szCs w:val="24"/>
          <w:lang w:eastAsia="pl-PL"/>
        </w:rPr>
        <w:t xml:space="preserve"> </w:t>
      </w:r>
      <w:r w:rsidRPr="008D7149">
        <w:rPr>
          <w:rFonts w:ascii="Times New Roman" w:eastAsia="Times New Roman" w:hAnsi="Times New Roman" w:cs="Times New Roman"/>
          <w:sz w:val="24"/>
          <w:szCs w:val="24"/>
          <w:lang w:eastAsia="pl-PL"/>
        </w:rPr>
        <w:t>27.06.2013, str. 1, z późn. zm.), zwanego dalej „rozporządzeniem (UE</w:t>
      </w:r>
      <w:r w:rsidRPr="008D7149">
        <w:rPr>
          <w:rFonts w:ascii="Times New Roman" w:hAnsi="Times New Roman" w:cs="Times New Roman"/>
          <w:sz w:val="24"/>
          <w:szCs w:val="24"/>
        </w:rPr>
        <w:t>) nr</w:t>
      </w:r>
      <w:r w:rsidR="00D87DBF">
        <w:rPr>
          <w:rFonts w:ascii="Times New Roman" w:hAnsi="Times New Roman" w:cs="Times New Roman"/>
          <w:sz w:val="24"/>
          <w:szCs w:val="24"/>
        </w:rPr>
        <w:t xml:space="preserve"> </w:t>
      </w:r>
      <w:r w:rsidRPr="008D7149">
        <w:rPr>
          <w:rFonts w:ascii="Times New Roman" w:hAnsi="Times New Roman" w:cs="Times New Roman"/>
          <w:sz w:val="24"/>
          <w:szCs w:val="24"/>
        </w:rPr>
        <w:t>575/2013”,</w:t>
      </w:r>
    </w:p>
    <w:p w14:paraId="25B598FC" w14:textId="77777777" w:rsidR="00EF441C" w:rsidRPr="008D7149" w:rsidRDefault="00EF441C" w:rsidP="008D7149">
      <w:pPr>
        <w:pStyle w:val="Akapitzlist"/>
        <w:numPr>
          <w:ilvl w:val="0"/>
          <w:numId w:val="2"/>
        </w:numPr>
        <w:spacing w:before="120" w:after="0" w:line="360" w:lineRule="auto"/>
        <w:ind w:left="360" w:hanging="357"/>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art. 44 ust. 2 </w:t>
      </w:r>
      <w:r w:rsidRPr="008D7149">
        <w:rPr>
          <w:rFonts w:ascii="Times New Roman" w:hAnsi="Times New Roman" w:cs="Times New Roman"/>
          <w:sz w:val="24"/>
          <w:szCs w:val="24"/>
        </w:rPr>
        <w:t xml:space="preserve">dyrektywy Parlamentu Europejskiego i Rady 2014/59/UE z dnia 15 maja 2014 r. 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2007/36/WE, 2011/35/UE, 2012/30/UE i 2013/36/UE oraz rozporządzenie Parlamentu Europejskiego i Rady (UE) nr 1093/2010 i (UE) nr 648/2012 (Dz. Urz. </w:t>
      </w:r>
      <w:r w:rsidR="00C60B94" w:rsidRPr="008D7149">
        <w:rPr>
          <w:rFonts w:ascii="Times New Roman" w:hAnsi="Times New Roman" w:cs="Times New Roman"/>
          <w:sz w:val="24"/>
          <w:szCs w:val="24"/>
        </w:rPr>
        <w:t xml:space="preserve">UE </w:t>
      </w:r>
      <w:r w:rsidRPr="008D7149">
        <w:rPr>
          <w:rFonts w:ascii="Times New Roman" w:hAnsi="Times New Roman" w:cs="Times New Roman"/>
          <w:sz w:val="24"/>
          <w:szCs w:val="24"/>
        </w:rPr>
        <w:t>L 173 z 12.06.2014, str. 190),</w:t>
      </w:r>
      <w:r w:rsidR="00BB0511" w:rsidRPr="008D7149">
        <w:rPr>
          <w:rFonts w:ascii="Times New Roman" w:hAnsi="Times New Roman" w:cs="Times New Roman"/>
          <w:sz w:val="24"/>
          <w:szCs w:val="24"/>
        </w:rPr>
        <w:t xml:space="preserve"> </w:t>
      </w:r>
      <w:r w:rsidR="003330A3" w:rsidRPr="008D7149">
        <w:rPr>
          <w:rFonts w:ascii="Times New Roman" w:hAnsi="Times New Roman" w:cs="Times New Roman"/>
          <w:sz w:val="24"/>
          <w:szCs w:val="24"/>
        </w:rPr>
        <w:t xml:space="preserve">zwanej dalej </w:t>
      </w:r>
      <w:r w:rsidR="001B4BC8" w:rsidRPr="008D7149">
        <w:rPr>
          <w:rFonts w:ascii="Times New Roman" w:hAnsi="Times New Roman" w:cs="Times New Roman"/>
          <w:sz w:val="24"/>
          <w:szCs w:val="24"/>
        </w:rPr>
        <w:t>„</w:t>
      </w:r>
      <w:r w:rsidR="003330A3" w:rsidRPr="008D7149">
        <w:rPr>
          <w:rFonts w:ascii="Times New Roman" w:hAnsi="Times New Roman" w:cs="Times New Roman"/>
          <w:sz w:val="24"/>
          <w:szCs w:val="24"/>
        </w:rPr>
        <w:t>dyrektywą BRRD</w:t>
      </w:r>
      <w:r w:rsidR="001B4BC8" w:rsidRPr="008D7149">
        <w:rPr>
          <w:rFonts w:ascii="Times New Roman" w:hAnsi="Times New Roman" w:cs="Times New Roman"/>
          <w:sz w:val="24"/>
          <w:szCs w:val="24"/>
        </w:rPr>
        <w:t>”</w:t>
      </w:r>
      <w:r w:rsidR="003330A3" w:rsidRPr="008D7149">
        <w:rPr>
          <w:rFonts w:ascii="Times New Roman" w:hAnsi="Times New Roman" w:cs="Times New Roman"/>
          <w:sz w:val="24"/>
          <w:szCs w:val="24"/>
        </w:rPr>
        <w:t>,</w:t>
      </w:r>
    </w:p>
    <w:p w14:paraId="42BAC1C1" w14:textId="26FD68A0" w:rsidR="00EF441C" w:rsidRPr="008D7149" w:rsidRDefault="00EF441C" w:rsidP="008D7149">
      <w:pPr>
        <w:pStyle w:val="Akapitzlist"/>
        <w:numPr>
          <w:ilvl w:val="0"/>
          <w:numId w:val="2"/>
        </w:numPr>
        <w:spacing w:before="120" w:after="0" w:line="360" w:lineRule="auto"/>
        <w:ind w:left="360" w:hanging="357"/>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art. 30 </w:t>
      </w:r>
      <w:r w:rsidRPr="008D7149">
        <w:rPr>
          <w:rFonts w:ascii="Times New Roman" w:hAnsi="Times New Roman" w:cs="Times New Roman"/>
          <w:sz w:val="24"/>
          <w:szCs w:val="24"/>
        </w:rPr>
        <w:t xml:space="preserve">rozporządzenia Parlamentu Europejskiego i Rady (UE) nr 648/2012 z dnia 4 lipca 2012 r. w sprawie instrumentów pochodnych będących przedmiotem obrotu poza rynkiem regulowanym, kontrahentów centralnych i repozytoriów transakcji (Dz. Urz. </w:t>
      </w:r>
      <w:r w:rsidR="00C60B94" w:rsidRPr="008D7149">
        <w:rPr>
          <w:rFonts w:ascii="Times New Roman" w:hAnsi="Times New Roman" w:cs="Times New Roman"/>
          <w:sz w:val="24"/>
          <w:szCs w:val="24"/>
        </w:rPr>
        <w:t xml:space="preserve">UE </w:t>
      </w:r>
      <w:r w:rsidRPr="008D7149">
        <w:rPr>
          <w:rFonts w:ascii="Times New Roman" w:hAnsi="Times New Roman" w:cs="Times New Roman"/>
          <w:sz w:val="24"/>
          <w:szCs w:val="24"/>
        </w:rPr>
        <w:t>L 201 z 27.07.2012, str. 1</w:t>
      </w:r>
      <w:r w:rsidR="006A08CC" w:rsidRPr="008D7149">
        <w:rPr>
          <w:rFonts w:ascii="Times New Roman" w:hAnsi="Times New Roman" w:cs="Times New Roman"/>
          <w:sz w:val="24"/>
          <w:szCs w:val="24"/>
        </w:rPr>
        <w:t>)</w:t>
      </w:r>
      <w:r w:rsidRPr="008D7149">
        <w:rPr>
          <w:rFonts w:ascii="Times New Roman" w:hAnsi="Times New Roman" w:cs="Times New Roman"/>
          <w:sz w:val="24"/>
          <w:szCs w:val="24"/>
        </w:rPr>
        <w:t>,</w:t>
      </w:r>
    </w:p>
    <w:p w14:paraId="11A7EA86" w14:textId="77777777" w:rsidR="00EF441C" w:rsidRPr="008D7149" w:rsidRDefault="00EF441C" w:rsidP="008D7149">
      <w:pPr>
        <w:pStyle w:val="Akapitzlist"/>
        <w:numPr>
          <w:ilvl w:val="0"/>
          <w:numId w:val="2"/>
        </w:numPr>
        <w:spacing w:before="120" w:after="0" w:line="360" w:lineRule="auto"/>
        <w:ind w:left="360" w:hanging="357"/>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art. 180 ust. 1 </w:t>
      </w:r>
      <w:r w:rsidRPr="008D7149">
        <w:rPr>
          <w:rFonts w:ascii="Times New Roman" w:hAnsi="Times New Roman" w:cs="Times New Roman"/>
          <w:sz w:val="24"/>
          <w:szCs w:val="24"/>
        </w:rPr>
        <w:t xml:space="preserve">rozporządzenia delegowanego Komisji (UE) 2015/35 z dnia 10 października 2014 r. uzupełniającego dyrektywę Parlamentu Europejskiego i Rady 2009/138/WE w sprawie podejmowania i prowadzenia działalności ubezpieczeniowej i reasekuracyjnej (Wypłacalność II) (Dz. Urz. </w:t>
      </w:r>
      <w:r w:rsidR="00C60B94" w:rsidRPr="008D7149">
        <w:rPr>
          <w:rFonts w:ascii="Times New Roman" w:hAnsi="Times New Roman" w:cs="Times New Roman"/>
          <w:sz w:val="24"/>
          <w:szCs w:val="24"/>
        </w:rPr>
        <w:t xml:space="preserve">UE </w:t>
      </w:r>
      <w:r w:rsidRPr="008D7149">
        <w:rPr>
          <w:rFonts w:ascii="Times New Roman" w:hAnsi="Times New Roman" w:cs="Times New Roman"/>
          <w:sz w:val="24"/>
          <w:szCs w:val="24"/>
        </w:rPr>
        <w:t>L 12 z 17.01.2015, str. 1), tzw. „rozporządzenie</w:t>
      </w:r>
      <w:r w:rsidRPr="008D7149">
        <w:rPr>
          <w:rFonts w:ascii="Times New Roman" w:eastAsia="Times New Roman" w:hAnsi="Times New Roman" w:cs="Times New Roman"/>
          <w:sz w:val="24"/>
          <w:szCs w:val="24"/>
          <w:lang w:eastAsia="pl-PL"/>
        </w:rPr>
        <w:t xml:space="preserve"> </w:t>
      </w:r>
      <w:proofErr w:type="spellStart"/>
      <w:r w:rsidRPr="008D7149">
        <w:rPr>
          <w:rFonts w:ascii="Times New Roman" w:eastAsia="Times New Roman" w:hAnsi="Times New Roman" w:cs="Times New Roman"/>
          <w:sz w:val="24"/>
          <w:szCs w:val="24"/>
          <w:lang w:eastAsia="pl-PL"/>
        </w:rPr>
        <w:t>Solvency</w:t>
      </w:r>
      <w:proofErr w:type="spellEnd"/>
      <w:r w:rsidRPr="008D7149">
        <w:rPr>
          <w:rFonts w:ascii="Times New Roman" w:eastAsia="Times New Roman" w:hAnsi="Times New Roman" w:cs="Times New Roman"/>
          <w:sz w:val="24"/>
          <w:szCs w:val="24"/>
          <w:lang w:eastAsia="pl-PL"/>
        </w:rPr>
        <w:t xml:space="preserve"> II”,</w:t>
      </w:r>
    </w:p>
    <w:p w14:paraId="71DCCF3F" w14:textId="14F5A9F7" w:rsidR="00EF441C" w:rsidRPr="008D7149" w:rsidRDefault="00EF441C" w:rsidP="008D7149">
      <w:pPr>
        <w:pStyle w:val="Akapitzlist"/>
        <w:numPr>
          <w:ilvl w:val="0"/>
          <w:numId w:val="2"/>
        </w:numPr>
        <w:spacing w:before="120" w:after="0" w:line="360" w:lineRule="auto"/>
        <w:ind w:left="360" w:hanging="357"/>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art. 11</w:t>
      </w:r>
      <w:r w:rsidRPr="008D7149">
        <w:rPr>
          <w:rFonts w:ascii="Times New Roman" w:hAnsi="Times New Roman" w:cs="Times New Roman"/>
          <w:sz w:val="24"/>
          <w:szCs w:val="24"/>
        </w:rPr>
        <w:t>–</w:t>
      </w:r>
      <w:r w:rsidRPr="008D7149">
        <w:rPr>
          <w:rFonts w:ascii="Times New Roman" w:eastAsia="Times New Roman" w:hAnsi="Times New Roman" w:cs="Times New Roman"/>
          <w:sz w:val="24"/>
          <w:szCs w:val="24"/>
          <w:lang w:eastAsia="pl-PL"/>
        </w:rPr>
        <w:t xml:space="preserve">13 </w:t>
      </w:r>
      <w:r w:rsidRPr="008D7149">
        <w:rPr>
          <w:rFonts w:ascii="Times New Roman" w:hAnsi="Times New Roman" w:cs="Times New Roman"/>
          <w:sz w:val="24"/>
          <w:szCs w:val="24"/>
        </w:rPr>
        <w:t>rozporządzenia delegowanego Komisji (UE) 2015/61 z dnia 10 października 2014 r. uzupełniającego rozporządzenie Parlamentu Europejskiego i Rady (UE) nr 575/2013 w</w:t>
      </w:r>
      <w:r w:rsidR="00D87DBF">
        <w:rPr>
          <w:rFonts w:ascii="Times New Roman" w:hAnsi="Times New Roman" w:cs="Times New Roman"/>
          <w:sz w:val="24"/>
          <w:szCs w:val="24"/>
        </w:rPr>
        <w:t xml:space="preserve"> </w:t>
      </w:r>
      <w:r w:rsidRPr="008D7149">
        <w:rPr>
          <w:rFonts w:ascii="Times New Roman" w:hAnsi="Times New Roman" w:cs="Times New Roman"/>
          <w:sz w:val="24"/>
          <w:szCs w:val="24"/>
        </w:rPr>
        <w:t xml:space="preserve">odniesieniu do wymogu pokrycia wypływów netto dla instytucji kredytowych (Dz. Urz. </w:t>
      </w:r>
      <w:r w:rsidR="00C60B94" w:rsidRPr="008D7149">
        <w:rPr>
          <w:rFonts w:ascii="Times New Roman" w:hAnsi="Times New Roman" w:cs="Times New Roman"/>
          <w:sz w:val="24"/>
          <w:szCs w:val="24"/>
        </w:rPr>
        <w:t>U</w:t>
      </w:r>
      <w:r w:rsidR="00B20060" w:rsidRPr="008D7149">
        <w:rPr>
          <w:rFonts w:ascii="Times New Roman" w:hAnsi="Times New Roman" w:cs="Times New Roman"/>
          <w:sz w:val="24"/>
          <w:szCs w:val="24"/>
        </w:rPr>
        <w:t>E</w:t>
      </w:r>
      <w:r w:rsidR="00C60B94" w:rsidRPr="008D7149">
        <w:rPr>
          <w:rFonts w:ascii="Times New Roman" w:hAnsi="Times New Roman" w:cs="Times New Roman"/>
          <w:sz w:val="24"/>
          <w:szCs w:val="24"/>
        </w:rPr>
        <w:t xml:space="preserve"> </w:t>
      </w:r>
      <w:r w:rsidRPr="008D7149">
        <w:rPr>
          <w:rFonts w:ascii="Times New Roman" w:hAnsi="Times New Roman" w:cs="Times New Roman"/>
          <w:sz w:val="24"/>
          <w:szCs w:val="24"/>
        </w:rPr>
        <w:t>L 11 z 17.01.2015, str. 1</w:t>
      </w:r>
      <w:r w:rsidR="00C60B94" w:rsidRPr="008D7149">
        <w:rPr>
          <w:rFonts w:ascii="Times New Roman" w:hAnsi="Times New Roman" w:cs="Times New Roman"/>
          <w:sz w:val="24"/>
          <w:szCs w:val="24"/>
        </w:rPr>
        <w:t xml:space="preserve"> </w:t>
      </w:r>
      <w:r w:rsidR="00B20060" w:rsidRPr="008D7149">
        <w:rPr>
          <w:rFonts w:ascii="Times New Roman" w:hAnsi="Times New Roman" w:cs="Times New Roman"/>
          <w:sz w:val="24"/>
          <w:szCs w:val="24"/>
        </w:rPr>
        <w:t xml:space="preserve">oraz Dz. Urz. </w:t>
      </w:r>
      <w:r w:rsidR="00C60B94" w:rsidRPr="008D7149">
        <w:rPr>
          <w:rFonts w:ascii="Times New Roman" w:hAnsi="Times New Roman" w:cs="Times New Roman"/>
          <w:sz w:val="24"/>
          <w:szCs w:val="24"/>
        </w:rPr>
        <w:t>U</w:t>
      </w:r>
      <w:r w:rsidR="00B20060" w:rsidRPr="008D7149">
        <w:rPr>
          <w:rFonts w:ascii="Times New Roman" w:hAnsi="Times New Roman" w:cs="Times New Roman"/>
          <w:sz w:val="24"/>
          <w:szCs w:val="24"/>
        </w:rPr>
        <w:t>E</w:t>
      </w:r>
      <w:r w:rsidR="00C60B94" w:rsidRPr="008D7149">
        <w:rPr>
          <w:rFonts w:ascii="Times New Roman" w:hAnsi="Times New Roman" w:cs="Times New Roman"/>
          <w:sz w:val="24"/>
          <w:szCs w:val="24"/>
        </w:rPr>
        <w:t xml:space="preserve"> L 271 z 30.10.2018, str. 10</w:t>
      </w:r>
      <w:r w:rsidRPr="008D7149">
        <w:rPr>
          <w:rFonts w:ascii="Times New Roman" w:hAnsi="Times New Roman" w:cs="Times New Roman"/>
          <w:sz w:val="24"/>
          <w:szCs w:val="24"/>
        </w:rPr>
        <w:t>).</w:t>
      </w:r>
    </w:p>
    <w:p w14:paraId="3F07A969" w14:textId="5970B998"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Dyrektywa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przewiduje harmonizację przepisów państw członkowskich</w:t>
      </w:r>
      <w:r w:rsidR="00002A5C">
        <w:rPr>
          <w:rFonts w:ascii="Times New Roman" w:hAnsi="Times New Roman" w:cs="Times New Roman"/>
          <w:sz w:val="24"/>
          <w:szCs w:val="24"/>
        </w:rPr>
        <w:t>,</w:t>
      </w:r>
      <w:r w:rsidRPr="008D7149">
        <w:rPr>
          <w:rFonts w:ascii="Times New Roman" w:hAnsi="Times New Roman" w:cs="Times New Roman"/>
          <w:sz w:val="24"/>
          <w:szCs w:val="24"/>
        </w:rPr>
        <w:t xml:space="preserve"> w szczególności w zakresie obszarów regulacji dotyczących cech konstrukcyjnych obligacji zabezpieczonych, wymogów dotyczących emisji obligacji zabezpieczonych oraz nadzoru publicznego nad obligacjami zabezpieczonymi. Rozporządzenie 2019/2160 wprowadza wymogi dotyczące minimalnego </w:t>
      </w:r>
      <w:proofErr w:type="spellStart"/>
      <w:r w:rsidRPr="008D7149">
        <w:rPr>
          <w:rFonts w:ascii="Times New Roman" w:hAnsi="Times New Roman" w:cs="Times New Roman"/>
          <w:sz w:val="24"/>
          <w:szCs w:val="24"/>
        </w:rPr>
        <w:t>nadzabezpieczenia</w:t>
      </w:r>
      <w:proofErr w:type="spellEnd"/>
      <w:r w:rsidRPr="008D7149">
        <w:rPr>
          <w:rFonts w:ascii="Times New Roman" w:hAnsi="Times New Roman" w:cs="Times New Roman"/>
          <w:sz w:val="24"/>
          <w:szCs w:val="24"/>
        </w:rPr>
        <w:t xml:space="preserve"> (całego ustawowego, umownego lub dobrowolnego poziomu zabezpieczenia, który wykracza poza wymóg dotyczący pokrycia określony w art. 15 dyrektywy 2019/2162) i aktywów zastępczych w odniesieniu do obligacji zabezpieczonych.</w:t>
      </w:r>
    </w:p>
    <w:p w14:paraId="23FAEEFF" w14:textId="6E79D1F5" w:rsidR="00EA46E2" w:rsidRPr="008D7149" w:rsidRDefault="00EA46E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W warunkach polskich odpowiednikiem obligacji zabezpieczonych (</w:t>
      </w:r>
      <w:proofErr w:type="spellStart"/>
      <w:r w:rsidRPr="008D7149">
        <w:rPr>
          <w:rFonts w:ascii="Times New Roman" w:hAnsi="Times New Roman" w:cs="Times New Roman"/>
          <w:i/>
          <w:sz w:val="24"/>
          <w:szCs w:val="24"/>
        </w:rPr>
        <w:t>covered</w:t>
      </w:r>
      <w:proofErr w:type="spellEnd"/>
      <w:r w:rsidRPr="008D7149">
        <w:rPr>
          <w:rFonts w:ascii="Times New Roman" w:hAnsi="Times New Roman" w:cs="Times New Roman"/>
          <w:i/>
          <w:sz w:val="24"/>
          <w:szCs w:val="24"/>
        </w:rPr>
        <w:t xml:space="preserve"> </w:t>
      </w:r>
      <w:proofErr w:type="spellStart"/>
      <w:r w:rsidRPr="008D7149">
        <w:rPr>
          <w:rFonts w:ascii="Times New Roman" w:hAnsi="Times New Roman" w:cs="Times New Roman"/>
          <w:i/>
          <w:sz w:val="24"/>
          <w:szCs w:val="24"/>
        </w:rPr>
        <w:t>bonds</w:t>
      </w:r>
      <w:proofErr w:type="spellEnd"/>
      <w:r w:rsidRPr="008D7149">
        <w:rPr>
          <w:rFonts w:ascii="Times New Roman" w:hAnsi="Times New Roman" w:cs="Times New Roman"/>
          <w:sz w:val="24"/>
          <w:szCs w:val="24"/>
        </w:rPr>
        <w:t xml:space="preserve">) w rozumieniu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są listy zastawne emitowane przez wyspecjalizowane banki hipoteczne, zgodnie z przepisami ustawy z dnia 29 sierpnia 1997 r. o listach zastawnych i bankach hipotecznych (Dz. U. z 2020 r. poz. 415</w:t>
      </w:r>
      <w:r w:rsidR="00925D61" w:rsidRPr="008D7149">
        <w:rPr>
          <w:rFonts w:ascii="Times New Roman" w:hAnsi="Times New Roman" w:cs="Times New Roman"/>
          <w:sz w:val="24"/>
          <w:szCs w:val="24"/>
        </w:rPr>
        <w:t>, z późn. zm.</w:t>
      </w:r>
      <w:r w:rsidRPr="008D7149">
        <w:rPr>
          <w:rFonts w:ascii="Times New Roman" w:hAnsi="Times New Roman" w:cs="Times New Roman"/>
          <w:sz w:val="24"/>
          <w:szCs w:val="24"/>
        </w:rPr>
        <w:t xml:space="preserve">). List zastawny spełnia bowiem zasadnicze cechy obligacji zabezpieczonej, zdefiniowanej w art. 3 pkt 1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jako zobowiązanie dłużne wyemitowane przez instytucję kredytową zgodnie z wymogami dyrektywy </w:t>
      </w:r>
      <w:r w:rsidRPr="008D7149">
        <w:rPr>
          <w:rFonts w:ascii="Times New Roman" w:hAnsi="Times New Roman" w:cs="Times New Roman"/>
          <w:iCs/>
          <w:sz w:val="24"/>
          <w:szCs w:val="24"/>
        </w:rPr>
        <w:t>i</w:t>
      </w:r>
      <w:r w:rsidRPr="008D7149">
        <w:rPr>
          <w:rFonts w:ascii="Times New Roman" w:hAnsi="Times New Roman" w:cs="Times New Roman"/>
          <w:i/>
          <w:iCs/>
          <w:sz w:val="24"/>
          <w:szCs w:val="24"/>
        </w:rPr>
        <w:t xml:space="preserve"> </w:t>
      </w:r>
      <w:r w:rsidRPr="008D7149">
        <w:rPr>
          <w:rFonts w:ascii="Times New Roman" w:hAnsi="Times New Roman" w:cs="Times New Roman"/>
          <w:sz w:val="24"/>
          <w:szCs w:val="24"/>
        </w:rPr>
        <w:t>zabezpieczone aktywami stanowiącymi zabezpieczenie, względem których inwestorom nabywającym obligacje zabezpieczone bezpośrednio przysługuje roszczenie jako wierzycielom uprzywilejowanym.</w:t>
      </w:r>
    </w:p>
    <w:p w14:paraId="6CAF7BE9" w14:textId="37FA5C15" w:rsidR="00043D50"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List zastawny jest dłużnym papierem wartościowym wyemitowanym przez bank hipoteczny zgodnie z przepisami ustawy </w:t>
      </w:r>
      <w:r w:rsidR="00B20060"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o listach zastawnych i bankach hipotecznych, zabezpieczony aktywami stanowiącymi zabezpieczenie listów zastawnych, względem których posiadaczom listów zastawnych przysługuje bezpośrednio roszczenie zarówno do banku hipotecznego, </w:t>
      </w:r>
      <w:r w:rsidRPr="008D7149">
        <w:rPr>
          <w:rFonts w:ascii="Times New Roman" w:eastAsia="Times New Roman" w:hAnsi="Times New Roman" w:cs="Times New Roman"/>
          <w:sz w:val="24"/>
          <w:szCs w:val="24"/>
          <w:lang w:eastAsia="pl-PL"/>
        </w:rPr>
        <w:t xml:space="preserve">jak i osobnej masy upadłości, wyodrębnionej zgodnie z przepisami </w:t>
      </w:r>
      <w:r w:rsidR="00E903EC" w:rsidRPr="008D7149">
        <w:rPr>
          <w:rFonts w:ascii="Times New Roman" w:eastAsia="Times New Roman" w:hAnsi="Times New Roman" w:cs="Times New Roman"/>
          <w:sz w:val="24"/>
          <w:szCs w:val="24"/>
          <w:lang w:eastAsia="pl-PL"/>
        </w:rPr>
        <w:t xml:space="preserve">ustawy </w:t>
      </w:r>
      <w:r w:rsidR="00E903EC" w:rsidRPr="008D7149">
        <w:rPr>
          <w:rFonts w:ascii="Times New Roman" w:hAnsi="Times New Roman" w:cs="Times New Roman"/>
          <w:sz w:val="24"/>
          <w:szCs w:val="24"/>
        </w:rPr>
        <w:t xml:space="preserve">z dnia 28 lutego 2003 r. </w:t>
      </w:r>
      <w:r w:rsidR="00E42861" w:rsidRPr="008D7149">
        <w:rPr>
          <w:rFonts w:ascii="Times New Roman" w:hAnsi="Times New Roman" w:cs="Times New Roman"/>
          <w:sz w:val="24"/>
          <w:szCs w:val="24"/>
        </w:rPr>
        <w:t>–</w:t>
      </w:r>
      <w:r w:rsidR="00E903EC" w:rsidRPr="008D7149">
        <w:rPr>
          <w:rFonts w:ascii="Times New Roman" w:hAnsi="Times New Roman" w:cs="Times New Roman"/>
          <w:sz w:val="24"/>
          <w:szCs w:val="24"/>
        </w:rPr>
        <w:t xml:space="preserve"> </w:t>
      </w:r>
      <w:r w:rsidRPr="00995BB6">
        <w:rPr>
          <w:rFonts w:ascii="Times New Roman" w:eastAsia="Times New Roman" w:hAnsi="Times New Roman" w:cs="Times New Roman"/>
          <w:sz w:val="24"/>
          <w:szCs w:val="24"/>
          <w:lang w:eastAsia="pl-PL"/>
        </w:rPr>
        <w:t>Praw</w:t>
      </w:r>
      <w:r w:rsidR="00E903EC" w:rsidRPr="00995BB6">
        <w:rPr>
          <w:rFonts w:ascii="Times New Roman" w:eastAsia="Times New Roman" w:hAnsi="Times New Roman" w:cs="Times New Roman"/>
          <w:sz w:val="24"/>
          <w:szCs w:val="24"/>
          <w:lang w:eastAsia="pl-PL"/>
        </w:rPr>
        <w:t>o</w:t>
      </w:r>
      <w:r w:rsidRPr="00995BB6">
        <w:rPr>
          <w:rFonts w:ascii="Times New Roman" w:eastAsia="Times New Roman" w:hAnsi="Times New Roman" w:cs="Times New Roman"/>
          <w:sz w:val="24"/>
          <w:szCs w:val="24"/>
          <w:lang w:eastAsia="pl-PL"/>
        </w:rPr>
        <w:t xml:space="preserve"> upadłościowe</w:t>
      </w:r>
      <w:r w:rsidR="00995BB6" w:rsidRPr="00995BB6">
        <w:rPr>
          <w:rFonts w:ascii="Times New Roman" w:eastAsia="Times New Roman" w:hAnsi="Times New Roman" w:cs="Times New Roman"/>
          <w:sz w:val="24"/>
          <w:szCs w:val="24"/>
          <w:lang w:eastAsia="pl-PL"/>
        </w:rPr>
        <w:t xml:space="preserve"> </w:t>
      </w:r>
      <w:r w:rsidR="00995BB6" w:rsidRPr="00995BB6">
        <w:rPr>
          <w:rFonts w:ascii="Times New Roman" w:hAnsi="Times New Roman"/>
          <w:sz w:val="24"/>
          <w:szCs w:val="24"/>
        </w:rPr>
        <w:t>(Dz. U. z 2020 r. poz. 1228, z późn. zm</w:t>
      </w:r>
      <w:r w:rsidR="00995BB6">
        <w:rPr>
          <w:rFonts w:ascii="Times New Roman" w:hAnsi="Times New Roman"/>
          <w:sz w:val="24"/>
          <w:szCs w:val="24"/>
        </w:rPr>
        <w:t>.)</w:t>
      </w:r>
      <w:r w:rsidR="0062169E" w:rsidRPr="00995BB6">
        <w:rPr>
          <w:rFonts w:ascii="Times New Roman" w:eastAsia="Times New Roman" w:hAnsi="Times New Roman" w:cs="Times New Roman"/>
          <w:sz w:val="24"/>
          <w:szCs w:val="24"/>
          <w:lang w:eastAsia="pl-PL"/>
        </w:rPr>
        <w:t>, jako roszczenie uprzywilejowane</w:t>
      </w:r>
      <w:r w:rsidRPr="00995BB6">
        <w:rPr>
          <w:rFonts w:ascii="Times New Roman" w:eastAsia="Times New Roman" w:hAnsi="Times New Roman" w:cs="Times New Roman"/>
          <w:sz w:val="24"/>
          <w:szCs w:val="24"/>
          <w:lang w:eastAsia="pl-PL"/>
        </w:rPr>
        <w:t>.</w:t>
      </w:r>
      <w:r w:rsidRPr="00995BB6">
        <w:rPr>
          <w:rFonts w:ascii="Times New Roman" w:hAnsi="Times New Roman" w:cs="Times New Roman"/>
          <w:sz w:val="24"/>
          <w:szCs w:val="24"/>
        </w:rPr>
        <w:t xml:space="preserve"> Zauważenia wymaga, że szereg istotnych</w:t>
      </w:r>
      <w:r w:rsidR="00D93FB7">
        <w:rPr>
          <w:rFonts w:ascii="Times New Roman" w:hAnsi="Times New Roman" w:cs="Times New Roman"/>
          <w:sz w:val="24"/>
          <w:szCs w:val="24"/>
        </w:rPr>
        <w:t xml:space="preserve"> wymogów określonych w </w:t>
      </w:r>
      <w:r w:rsidRPr="008D7149">
        <w:rPr>
          <w:rFonts w:ascii="Times New Roman" w:hAnsi="Times New Roman" w:cs="Times New Roman"/>
          <w:sz w:val="24"/>
          <w:szCs w:val="24"/>
        </w:rPr>
        <w:t xml:space="preserve">dyrektywie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w zakresie cech strukturalnych obligacji zabezpieczonych, w tym zapewnienia inwestorom podwójnego regresu (art. 4), czy dotyczących kwalifikujących się aktywów stanowiących zabezpieczenie (art. 6), uwzględniono w obecnym stanie prawnym w</w:t>
      </w:r>
      <w:r w:rsidR="00120171">
        <w:rPr>
          <w:rFonts w:ascii="Times New Roman" w:hAnsi="Times New Roman" w:cs="Times New Roman"/>
          <w:sz w:val="24"/>
          <w:szCs w:val="24"/>
        </w:rPr>
        <w:t xml:space="preserve"> </w:t>
      </w:r>
      <w:r w:rsidRPr="008D7149">
        <w:rPr>
          <w:rFonts w:ascii="Times New Roman" w:hAnsi="Times New Roman" w:cs="Times New Roman"/>
          <w:sz w:val="24"/>
          <w:szCs w:val="24"/>
        </w:rPr>
        <w:t xml:space="preserve">odniesieniu do listów zastawnych </w:t>
      </w:r>
      <w:r w:rsidR="00E42861" w:rsidRPr="008D7149">
        <w:rPr>
          <w:rFonts w:ascii="Times New Roman" w:hAnsi="Times New Roman" w:cs="Times New Roman"/>
          <w:sz w:val="24"/>
          <w:szCs w:val="24"/>
        </w:rPr>
        <w:t>–</w:t>
      </w:r>
      <w:r w:rsidRPr="008D7149">
        <w:rPr>
          <w:rFonts w:ascii="Times New Roman" w:hAnsi="Times New Roman" w:cs="Times New Roman"/>
          <w:sz w:val="24"/>
          <w:szCs w:val="24"/>
        </w:rPr>
        <w:t xml:space="preserve"> na gruncie odpowiednio obowiązujące</w:t>
      </w:r>
      <w:r w:rsidR="00E903EC" w:rsidRPr="008D7149">
        <w:rPr>
          <w:rFonts w:ascii="Times New Roman" w:hAnsi="Times New Roman" w:cs="Times New Roman"/>
          <w:sz w:val="24"/>
          <w:szCs w:val="24"/>
        </w:rPr>
        <w:t xml:space="preserve">j ustawy z dnia 28 lutego 2003 r. </w:t>
      </w:r>
      <w:r w:rsidR="00E42861" w:rsidRPr="008D7149">
        <w:rPr>
          <w:rFonts w:ascii="Times New Roman" w:hAnsi="Times New Roman" w:cs="Times New Roman"/>
          <w:sz w:val="24"/>
          <w:szCs w:val="24"/>
        </w:rPr>
        <w:t>–</w:t>
      </w:r>
      <w:r w:rsidRPr="008D7149">
        <w:rPr>
          <w:rFonts w:ascii="Times New Roman" w:hAnsi="Times New Roman" w:cs="Times New Roman"/>
          <w:sz w:val="24"/>
          <w:szCs w:val="24"/>
        </w:rPr>
        <w:t xml:space="preserve"> Praw</w:t>
      </w:r>
      <w:r w:rsidR="00E903EC" w:rsidRPr="008D7149">
        <w:rPr>
          <w:rFonts w:ascii="Times New Roman" w:hAnsi="Times New Roman" w:cs="Times New Roman"/>
          <w:sz w:val="24"/>
          <w:szCs w:val="24"/>
        </w:rPr>
        <w:t>o</w:t>
      </w:r>
      <w:r w:rsidRPr="008D7149">
        <w:rPr>
          <w:rFonts w:ascii="Times New Roman" w:hAnsi="Times New Roman" w:cs="Times New Roman"/>
          <w:sz w:val="24"/>
          <w:szCs w:val="24"/>
        </w:rPr>
        <w:t xml:space="preserve"> upadłościowe oraz ustawy </w:t>
      </w:r>
      <w:r w:rsidR="00B20060"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o listach zastawnych i bankach hipotecznych.</w:t>
      </w:r>
    </w:p>
    <w:p w14:paraId="23317A3B" w14:textId="586FC872" w:rsidR="00EF441C" w:rsidRPr="008D7149" w:rsidRDefault="008A3BC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w:t>
      </w:r>
      <w:r w:rsidR="00B20060" w:rsidRPr="008D7149">
        <w:rPr>
          <w:rFonts w:ascii="Times New Roman" w:hAnsi="Times New Roman" w:cs="Times New Roman"/>
          <w:sz w:val="24"/>
          <w:szCs w:val="24"/>
        </w:rPr>
        <w:t>d</w:t>
      </w:r>
      <w:r w:rsidRPr="008D7149">
        <w:rPr>
          <w:rFonts w:ascii="Times New Roman" w:hAnsi="Times New Roman" w:cs="Times New Roman"/>
          <w:sz w:val="24"/>
          <w:szCs w:val="24"/>
        </w:rPr>
        <w:t xml:space="preserve">yrektywą 2019/2162 emitentami tej kategorii papierów wartościowych mogą być wyłącznie instytucje kredytowe, o których mowa w art. 4 ust. 1 pkt 1 rozporządzenia </w:t>
      </w:r>
      <w:r w:rsidR="00F220C9" w:rsidRPr="008D7149">
        <w:rPr>
          <w:rFonts w:ascii="Times New Roman" w:eastAsia="Times New Roman" w:hAnsi="Times New Roman" w:cs="Times New Roman"/>
          <w:sz w:val="24"/>
          <w:szCs w:val="24"/>
          <w:lang w:eastAsia="pl-PL"/>
        </w:rPr>
        <w:t>(UE</w:t>
      </w:r>
      <w:r w:rsidR="00F220C9" w:rsidRPr="008D7149">
        <w:rPr>
          <w:rFonts w:ascii="Times New Roman" w:hAnsi="Times New Roman" w:cs="Times New Roman"/>
          <w:sz w:val="24"/>
          <w:szCs w:val="24"/>
        </w:rPr>
        <w:t>) nr 575/2013, w tym wyspecjalizowane hipoteczne instytucje kredytowe</w:t>
      </w:r>
      <w:r w:rsidR="00043D50" w:rsidRPr="008D7149">
        <w:rPr>
          <w:rFonts w:ascii="Times New Roman" w:hAnsi="Times New Roman" w:cs="Times New Roman"/>
          <w:sz w:val="24"/>
          <w:szCs w:val="24"/>
        </w:rPr>
        <w:t xml:space="preserve">. </w:t>
      </w:r>
      <w:r w:rsidR="00EF441C" w:rsidRPr="008D7149">
        <w:rPr>
          <w:rFonts w:ascii="Times New Roman" w:hAnsi="Times New Roman" w:cs="Times New Roman"/>
          <w:sz w:val="24"/>
          <w:szCs w:val="24"/>
        </w:rPr>
        <w:t xml:space="preserve">Bank hipoteczny uprawniony do emisji listów zastawnych jest „wyspecjalizowaną hipoteczną instytucją kredytową” w rozumieniu art. 3 pkt 8 dyrektywy </w:t>
      </w:r>
      <w:r w:rsidR="00EF441C" w:rsidRPr="008D7149">
        <w:rPr>
          <w:rFonts w:ascii="Times New Roman" w:eastAsia="Calibri" w:hAnsi="Times New Roman" w:cs="Times New Roman"/>
          <w:sz w:val="24"/>
          <w:szCs w:val="24"/>
        </w:rPr>
        <w:t>2019/2162</w:t>
      </w:r>
      <w:r w:rsidR="00EF441C" w:rsidRPr="008D7149">
        <w:rPr>
          <w:rFonts w:ascii="Times New Roman" w:hAnsi="Times New Roman" w:cs="Times New Roman"/>
          <w:sz w:val="24"/>
          <w:szCs w:val="24"/>
        </w:rPr>
        <w:t xml:space="preserve">, a zakres jego działalności, określony w ustawie </w:t>
      </w:r>
      <w:r w:rsidR="00836286" w:rsidRPr="008D7149">
        <w:rPr>
          <w:rFonts w:ascii="Times New Roman" w:hAnsi="Times New Roman" w:cs="Times New Roman"/>
          <w:sz w:val="24"/>
          <w:szCs w:val="24"/>
        </w:rPr>
        <w:t xml:space="preserve">z dnia 29 sierpnia 1997 r. </w:t>
      </w:r>
      <w:r w:rsidR="00EF441C" w:rsidRPr="008D7149">
        <w:rPr>
          <w:rFonts w:ascii="Times New Roman" w:hAnsi="Times New Roman" w:cs="Times New Roman"/>
          <w:sz w:val="24"/>
          <w:szCs w:val="24"/>
        </w:rPr>
        <w:t>o listach zastawnych i bankach hipotecznych, wypełnia niezbędne kryteria wymienione w przywołanych przepisach dyrektywy.</w:t>
      </w:r>
    </w:p>
    <w:p w14:paraId="3C2AE228" w14:textId="17346BA5" w:rsidR="00EA46E2" w:rsidRPr="008D7149" w:rsidRDefault="00043D50"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Dyrektywa 2019/2162 przewiduje harmonizację przepisów dotyczących warunków emisji obligacji zabezpieczonych oraz ich cech strukturalnych, </w:t>
      </w:r>
      <w:r w:rsidR="00836286" w:rsidRPr="008D7149">
        <w:rPr>
          <w:rFonts w:ascii="Times New Roman" w:hAnsi="Times New Roman" w:cs="Times New Roman"/>
          <w:sz w:val="24"/>
          <w:szCs w:val="24"/>
        </w:rPr>
        <w:t xml:space="preserve">a także </w:t>
      </w:r>
      <w:r w:rsidRPr="008D7149">
        <w:rPr>
          <w:rFonts w:ascii="Times New Roman" w:hAnsi="Times New Roman" w:cs="Times New Roman"/>
          <w:sz w:val="24"/>
          <w:szCs w:val="24"/>
        </w:rPr>
        <w:t xml:space="preserve">zawiera wiele </w:t>
      </w:r>
      <w:r w:rsidR="00C96684" w:rsidRPr="008D7149">
        <w:rPr>
          <w:rFonts w:ascii="Times New Roman" w:hAnsi="Times New Roman" w:cs="Times New Roman"/>
          <w:sz w:val="24"/>
          <w:szCs w:val="24"/>
        </w:rPr>
        <w:t>rozwiązań fakultatywnych</w:t>
      </w:r>
      <w:r w:rsidRPr="008D7149">
        <w:rPr>
          <w:rFonts w:ascii="Times New Roman" w:hAnsi="Times New Roman" w:cs="Times New Roman"/>
          <w:sz w:val="24"/>
          <w:szCs w:val="24"/>
        </w:rPr>
        <w:t xml:space="preserve">. Mając na względzie </w:t>
      </w:r>
      <w:r w:rsidR="00C96684" w:rsidRPr="008D7149">
        <w:rPr>
          <w:rFonts w:ascii="Times New Roman" w:hAnsi="Times New Roman" w:cs="Times New Roman"/>
          <w:sz w:val="24"/>
          <w:szCs w:val="24"/>
        </w:rPr>
        <w:t xml:space="preserve">funkcjonujący </w:t>
      </w:r>
      <w:r w:rsidR="00501B68" w:rsidRPr="008D7149">
        <w:rPr>
          <w:rFonts w:ascii="Times New Roman" w:hAnsi="Times New Roman" w:cs="Times New Roman"/>
          <w:sz w:val="24"/>
          <w:szCs w:val="24"/>
        </w:rPr>
        <w:t xml:space="preserve">obecnie </w:t>
      </w:r>
      <w:r w:rsidR="00C96684" w:rsidRPr="008D7149">
        <w:rPr>
          <w:rFonts w:ascii="Times New Roman" w:hAnsi="Times New Roman" w:cs="Times New Roman"/>
          <w:sz w:val="24"/>
          <w:szCs w:val="24"/>
        </w:rPr>
        <w:t>system specjalistycznej bankowości hipotecznej w Polsce</w:t>
      </w:r>
      <w:r w:rsidR="00120171">
        <w:rPr>
          <w:rFonts w:ascii="Times New Roman" w:hAnsi="Times New Roman" w:cs="Times New Roman"/>
          <w:sz w:val="24"/>
          <w:szCs w:val="24"/>
        </w:rPr>
        <w:t>,</w:t>
      </w:r>
      <w:r w:rsidR="00C96684" w:rsidRPr="008D7149">
        <w:rPr>
          <w:rFonts w:ascii="Times New Roman" w:hAnsi="Times New Roman" w:cs="Times New Roman"/>
          <w:sz w:val="24"/>
          <w:szCs w:val="24"/>
        </w:rPr>
        <w:t xml:space="preserve"> </w:t>
      </w:r>
      <w:r w:rsidR="00501B68" w:rsidRPr="008D7149">
        <w:rPr>
          <w:rFonts w:ascii="Times New Roman" w:hAnsi="Times New Roman" w:cs="Times New Roman"/>
          <w:sz w:val="24"/>
          <w:szCs w:val="24"/>
        </w:rPr>
        <w:t xml:space="preserve">proponuje się skorzystanie z </w:t>
      </w:r>
      <w:r w:rsidR="00836286" w:rsidRPr="008D7149">
        <w:rPr>
          <w:rFonts w:ascii="Times New Roman" w:hAnsi="Times New Roman" w:cs="Times New Roman"/>
          <w:sz w:val="24"/>
          <w:szCs w:val="24"/>
        </w:rPr>
        <w:t xml:space="preserve">rozwiązań fakultatywnych </w:t>
      </w:r>
      <w:r w:rsidR="00501B68" w:rsidRPr="008D7149">
        <w:rPr>
          <w:rFonts w:ascii="Times New Roman" w:hAnsi="Times New Roman" w:cs="Times New Roman"/>
          <w:sz w:val="24"/>
          <w:szCs w:val="24"/>
        </w:rPr>
        <w:t xml:space="preserve">dla </w:t>
      </w:r>
      <w:r w:rsidR="00501B68" w:rsidRPr="008D7149">
        <w:rPr>
          <w:rFonts w:ascii="Times New Roman" w:hAnsi="Times New Roman" w:cs="Times New Roman"/>
          <w:sz w:val="24"/>
          <w:szCs w:val="24"/>
        </w:rPr>
        <w:lastRenderedPageBreak/>
        <w:t xml:space="preserve">państw członkowskich wyłącznie w zakresie, w jakim pozostają </w:t>
      </w:r>
      <w:r w:rsidR="007C7C26" w:rsidRPr="008D7149">
        <w:rPr>
          <w:rFonts w:ascii="Times New Roman" w:hAnsi="Times New Roman" w:cs="Times New Roman"/>
          <w:sz w:val="24"/>
          <w:szCs w:val="24"/>
        </w:rPr>
        <w:t xml:space="preserve">one </w:t>
      </w:r>
      <w:r w:rsidR="00501B68" w:rsidRPr="008D7149">
        <w:rPr>
          <w:rFonts w:ascii="Times New Roman" w:hAnsi="Times New Roman" w:cs="Times New Roman"/>
          <w:sz w:val="24"/>
          <w:szCs w:val="24"/>
        </w:rPr>
        <w:t xml:space="preserve">spójne z krajowym porządkiem prawnym. Jednocześnie w projekcie uwzględnione </w:t>
      </w:r>
      <w:r w:rsidR="004D7242" w:rsidRPr="008D7149">
        <w:rPr>
          <w:rFonts w:ascii="Times New Roman" w:hAnsi="Times New Roman" w:cs="Times New Roman"/>
          <w:sz w:val="24"/>
          <w:szCs w:val="24"/>
        </w:rPr>
        <w:t xml:space="preserve">zostały </w:t>
      </w:r>
      <w:r w:rsidR="00535480" w:rsidRPr="008D7149">
        <w:rPr>
          <w:rFonts w:ascii="Times New Roman" w:hAnsi="Times New Roman" w:cs="Times New Roman"/>
          <w:sz w:val="24"/>
          <w:szCs w:val="24"/>
        </w:rPr>
        <w:t>rozwiązania wychodzące naprzeciw postulatom zgłaszanym przez sektor bankowy.</w:t>
      </w:r>
    </w:p>
    <w:p w14:paraId="4E3502C4" w14:textId="7A2DA75A" w:rsidR="00EE67C0" w:rsidRPr="008D7149" w:rsidRDefault="00EA46E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Warunki inwestowania w obligacje zabezpieczone oraz związane z tym wymogi kapitałowe dla instytucji kredytowych są zawarte także we wskazanej powyżej dyrektywie BRRD, zaimplementowanej do krajowego porządku prawnego w ustawie z dnia 10 czerwca 2016 r. o Bankowym Funduszu Gwarancyjnym, systemie gwarantowania depozytów oraz przymusowej restrukturyzacji (Dz. U. z 2020 r. poz. 842, z późn. zm.), zwanej dalej „ustawą o BFG”. Wobec zmian regulacyjnych dotyczących emisji listów zastawnych, stanowiących istotny element pasywny instytucji kredytowych, dokonano także pr</w:t>
      </w:r>
      <w:r w:rsidR="008D7149">
        <w:rPr>
          <w:rFonts w:ascii="Times New Roman" w:hAnsi="Times New Roman" w:cs="Times New Roman"/>
          <w:sz w:val="24"/>
          <w:szCs w:val="24"/>
        </w:rPr>
        <w:t xml:space="preserve">zeglądu przepisów ustawy o BFG </w:t>
      </w:r>
      <w:r w:rsidRPr="008D7149">
        <w:rPr>
          <w:rFonts w:ascii="Times New Roman" w:hAnsi="Times New Roman" w:cs="Times New Roman"/>
          <w:sz w:val="24"/>
          <w:szCs w:val="24"/>
        </w:rPr>
        <w:t>w odniesieniu do kwestii struktury bilansu, tj. aktywów i pasywów instytucji kredytowych podlegających przymusowej restrukturyzacji oraz ich wzajemnych relacji w momencie wszczęcia przymusowej restrukturyzacji. W związku z tym dostrzeżono konieczność doprecyzowania przepisów implementujących art. 109 dyrektywy BRRD. Przepisy te odnoszą się do strony pasywnej bilansu i uzależniają one możliwość udzielenia przez system gwarantowania depozytów wsparcia procesu przejęcia w ramach przymusowej restrukturyzacji od nadwyżki zobowiązań (pasywów) względem aktywów przejmowanej instytucji kredytowej. Celem proponowanych zmian jest osiągnięcie systemowej spójności przepisów odnoszących się do struktury pasywów i aktywów instytucji kredytowych, a także zapewnienie równowagi w tej strukturze. Osiągnięcie tej równowagi umożliwi wsparcie instytucji kredytowej ze środków systemu gwarantowania depozytów (funduszu gwarancyjnego banków lub funduszu gwarancyjnego kas) w przypadku trudnej sytuacji tej instytucji i konieczności interwencji ze strony Bankowego Funduszu Gwarancyjnego</w:t>
      </w:r>
      <w:r w:rsidR="00A05B34" w:rsidRPr="008D7149">
        <w:rPr>
          <w:rFonts w:ascii="Times New Roman" w:hAnsi="Times New Roman" w:cs="Times New Roman"/>
          <w:sz w:val="24"/>
          <w:szCs w:val="24"/>
        </w:rPr>
        <w:t>, zwanego dalej „BFG”,</w:t>
      </w:r>
      <w:r w:rsidRPr="008D7149">
        <w:rPr>
          <w:rFonts w:ascii="Times New Roman" w:hAnsi="Times New Roman" w:cs="Times New Roman"/>
          <w:sz w:val="24"/>
          <w:szCs w:val="24"/>
        </w:rPr>
        <w:t xml:space="preserve"> z wykorzystaniem instrumentu przymusowej restrukturyzacji w postaci przejęcia przedsiębiorstwa. Dostęp do tych środków i ich potencjalnego wykorzystania wymaga określonej w przepisach dyrektywy BRRD struktury bilansu, głównie po stronie pasywnej, co zostanie osiągnięte w wyniku projektowanych zmian.</w:t>
      </w:r>
      <w:r w:rsidR="00B847BA" w:rsidRPr="008D7149">
        <w:rPr>
          <w:rFonts w:ascii="Times New Roman" w:hAnsi="Times New Roman" w:cs="Times New Roman"/>
          <w:sz w:val="24"/>
          <w:szCs w:val="24"/>
        </w:rPr>
        <w:t xml:space="preserve"> </w:t>
      </w:r>
      <w:r w:rsidR="00EE67C0" w:rsidRPr="008D7149">
        <w:rPr>
          <w:rFonts w:ascii="Times New Roman" w:hAnsi="Times New Roman" w:cs="Times New Roman"/>
          <w:sz w:val="24"/>
          <w:szCs w:val="24"/>
        </w:rPr>
        <w:t xml:space="preserve">W oparciu o zbliżone przesłanki dokonano korekt i </w:t>
      </w:r>
      <w:proofErr w:type="spellStart"/>
      <w:r w:rsidR="00EE67C0" w:rsidRPr="008D7149">
        <w:rPr>
          <w:rFonts w:ascii="Times New Roman" w:hAnsi="Times New Roman" w:cs="Times New Roman"/>
          <w:sz w:val="24"/>
          <w:szCs w:val="24"/>
        </w:rPr>
        <w:t>doprecyzowań</w:t>
      </w:r>
      <w:proofErr w:type="spellEnd"/>
      <w:r w:rsidR="00EE67C0" w:rsidRPr="008D7149">
        <w:rPr>
          <w:rFonts w:ascii="Times New Roman" w:hAnsi="Times New Roman" w:cs="Times New Roman"/>
          <w:sz w:val="24"/>
          <w:szCs w:val="24"/>
        </w:rPr>
        <w:t xml:space="preserve"> w zakresie instrumentu przymusowej restrukturyzacji w postaci wydzielenia praw majątkowych, którego zastosowanie sprowadza się co do zasady do ingerencji </w:t>
      </w:r>
      <w:r w:rsidR="00A05B34" w:rsidRPr="008D7149">
        <w:rPr>
          <w:rFonts w:ascii="Times New Roman" w:hAnsi="Times New Roman" w:cs="Times New Roman"/>
          <w:sz w:val="24"/>
          <w:szCs w:val="24"/>
        </w:rPr>
        <w:t xml:space="preserve">BFG </w:t>
      </w:r>
      <w:r w:rsidR="00EE67C0" w:rsidRPr="008D7149">
        <w:rPr>
          <w:rFonts w:ascii="Times New Roman" w:hAnsi="Times New Roman" w:cs="Times New Roman"/>
          <w:sz w:val="24"/>
          <w:szCs w:val="24"/>
        </w:rPr>
        <w:t xml:space="preserve">w bilans restrukturyzowanej instytucji oraz wydzielanie w nim konkretnych pozycji aktywów, praw i zobowiązań, a następnie przeniesienia wybranych pozycji bilansu do specjalnie w tym celu powołanego podmiotu zarządzającego aktywami. Zastosowanie tego instrumentu ułatwia, a czasami nawet umożliwia, przeprowadzenie przymusowej restrukturyzacji wobec bardziej </w:t>
      </w:r>
      <w:r w:rsidR="00EE67C0" w:rsidRPr="008D7149">
        <w:rPr>
          <w:rFonts w:ascii="Times New Roman" w:hAnsi="Times New Roman" w:cs="Times New Roman"/>
          <w:sz w:val="24"/>
          <w:szCs w:val="24"/>
        </w:rPr>
        <w:lastRenderedPageBreak/>
        <w:t xml:space="preserve">złożonych instytucji finansowych. Efektem tych zmian jest także usprawnienie mechanizmu emisji obligacji przez podmiot zarządzający aktywami z uwagi na konieczność pozyskania finansowania przez ten podmiot na zapłatę ceny za przenoszone do niego przez </w:t>
      </w:r>
      <w:r w:rsidR="00A05B34" w:rsidRPr="008D7149">
        <w:rPr>
          <w:rFonts w:ascii="Times New Roman" w:hAnsi="Times New Roman" w:cs="Times New Roman"/>
          <w:sz w:val="24"/>
          <w:szCs w:val="24"/>
        </w:rPr>
        <w:t>BFG</w:t>
      </w:r>
      <w:r w:rsidR="00EE67C0" w:rsidRPr="008D7149">
        <w:rPr>
          <w:rFonts w:ascii="Times New Roman" w:hAnsi="Times New Roman" w:cs="Times New Roman"/>
          <w:sz w:val="24"/>
          <w:szCs w:val="24"/>
        </w:rPr>
        <w:t xml:space="preserve"> wydzielone prawa majątkowe.</w:t>
      </w:r>
    </w:p>
    <w:p w14:paraId="783975CF" w14:textId="25D25186" w:rsidR="005971B6" w:rsidRPr="008D7149" w:rsidRDefault="005971B6"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Obecny stan prawny w zakresie obowiązku ogłoszenia wezwania do zapisywania się na sprzedaż lub zamianę wszystkich pozostałych akcji został ustalony wraz z wejściem w życie ustawy z dnia 29 lipca 2005 r. o ofercie publicznej i warunkach wprowadzania instrumentów finansowych do zorganizowanego systemu obrotu oraz o spółkach publicznych (Dz. U. z 2021 r. poz. 1983, z późn. zm.), zwanej dalej „ustawą o ofercie publicznej”. Przepisy te stanowiły implementację dyrektywy 2004/25/WE Parlamentu Europejskiego i Rady z dnia 21 kwietnia 2004 r. w sprawie ofert przejęcia (Dz. Urz. UE L 142 z 30.04.2004, z późn. zm. – Dz. Urz. UE Polskie wydanie specjalne, rozdz. 17, t. 2, str. 20), </w:t>
      </w:r>
      <w:r w:rsidR="00925D61" w:rsidRPr="008D7149">
        <w:rPr>
          <w:rFonts w:ascii="Times New Roman" w:hAnsi="Times New Roman" w:cs="Times New Roman"/>
          <w:sz w:val="24"/>
          <w:szCs w:val="24"/>
        </w:rPr>
        <w:t xml:space="preserve">zwanej </w:t>
      </w:r>
      <w:r w:rsidRPr="008D7149">
        <w:rPr>
          <w:rFonts w:ascii="Times New Roman" w:hAnsi="Times New Roman" w:cs="Times New Roman"/>
          <w:sz w:val="24"/>
          <w:szCs w:val="24"/>
        </w:rPr>
        <w:t>dalej „dyrektywą 2004/25/WE”. Zauważenia przy tym wymaga, że dyrektywa ta w głównej mierze przewiduje obowiązek ustanowienia systemu wezwań pozostawiając, co zasady, do decyzji państw członkowskich sposób realizacji tego obowiązku. Przykładowo, zgodnie z art. 5 ust. 3 tej dyrektywy</w:t>
      </w:r>
      <w:r w:rsidR="00964854">
        <w:rPr>
          <w:rFonts w:ascii="Times New Roman" w:hAnsi="Times New Roman" w:cs="Times New Roman"/>
          <w:sz w:val="24"/>
          <w:szCs w:val="24"/>
        </w:rPr>
        <w:t>,</w:t>
      </w:r>
      <w:r w:rsidRPr="008D7149">
        <w:rPr>
          <w:rFonts w:ascii="Times New Roman" w:hAnsi="Times New Roman" w:cs="Times New Roman"/>
          <w:sz w:val="24"/>
          <w:szCs w:val="24"/>
        </w:rPr>
        <w:t xml:space="preserve"> to państwo członkowskie decyduje o poziomie udziału w ogólnej liczbie głosów, który daje kontrolę, a zarazem po przekroczeniu którego zachodzi obowiązek ogłoszenia wezwania. Przedstawione </w:t>
      </w:r>
      <w:r w:rsidR="00964854">
        <w:rPr>
          <w:rFonts w:ascii="Times New Roman" w:hAnsi="Times New Roman" w:cs="Times New Roman"/>
          <w:sz w:val="24"/>
          <w:szCs w:val="24"/>
        </w:rPr>
        <w:t xml:space="preserve">w </w:t>
      </w:r>
      <w:r w:rsidRPr="008D7149">
        <w:rPr>
          <w:rFonts w:ascii="Times New Roman" w:hAnsi="Times New Roman" w:cs="Times New Roman"/>
          <w:sz w:val="24"/>
          <w:szCs w:val="24"/>
        </w:rPr>
        <w:t>projek</w:t>
      </w:r>
      <w:r w:rsidR="00964854">
        <w:rPr>
          <w:rFonts w:ascii="Times New Roman" w:hAnsi="Times New Roman" w:cs="Times New Roman"/>
          <w:sz w:val="24"/>
          <w:szCs w:val="24"/>
        </w:rPr>
        <w:t>cie</w:t>
      </w:r>
      <w:r w:rsidRPr="008D7149">
        <w:rPr>
          <w:rFonts w:ascii="Times New Roman" w:hAnsi="Times New Roman" w:cs="Times New Roman"/>
          <w:sz w:val="24"/>
          <w:szCs w:val="24"/>
        </w:rPr>
        <w:t xml:space="preserve"> zmiany regulują zagadnienia, które wpisują się w cel dyrektywy niemniej nie wynikają wprost z jej przepisów.</w:t>
      </w:r>
    </w:p>
    <w:p w14:paraId="4F697C23" w14:textId="108E536E" w:rsidR="005971B6" w:rsidRPr="008D7149" w:rsidRDefault="005971B6"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ideą ogłaszania wezwań, w sytuacji gdy osoba fizyczna lub prawna, w wyniku nabycia przez nią lub przez osoby działające z nią w porozumieniu, posiada papiery wartościowe spółki, które dodane do posiadanych przez nią papierów wartościowych i do papierów wartościowych posiadanych przez osoby działające z nią w porozumieniu, dają jej bezpośrednio lub pośrednio określony udział w ogólnej liczbie głosów w tej spółce, dający jej kontrolę nad tą spółką, osoba ta powinna złożyć ofertę odkupienia od pozostałych akcjonariuszy spółki posiadanych przez nich akcji. Środek ten służy ochronie interesów mniejszościowych akcjonariuszy spółki, w której doszło do istotnych zmian właścicielskich. </w:t>
      </w:r>
    </w:p>
    <w:p w14:paraId="1CCC20F6" w14:textId="77777777" w:rsidR="005971B6" w:rsidRPr="008D7149" w:rsidRDefault="005971B6"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ramach zrewidowanego podejścia do instytucji wezwań w projekcie ustawy przewidziano w szczególności:</w:t>
      </w:r>
    </w:p>
    <w:p w14:paraId="5E193377" w14:textId="3F235CF5" w:rsidR="005971B6" w:rsidRPr="008D7149" w:rsidRDefault="005971B6" w:rsidP="0018298A">
      <w:pPr>
        <w:pStyle w:val="Akapitzlist"/>
        <w:numPr>
          <w:ilvl w:val="0"/>
          <w:numId w:val="24"/>
        </w:numPr>
        <w:spacing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ustanowienie jednego progu 50% ogólnej liczby głosów na walnym zgromadzeniu jako progu przejęcia kontroli rodzącego obowiązek ogłoszenia wezwania do zapisywania się na sprzedaż lub zamianę wszystkich pozostałych akcji;</w:t>
      </w:r>
    </w:p>
    <w:p w14:paraId="07D83B9E" w14:textId="2B143144" w:rsidR="005971B6" w:rsidRPr="008D7149" w:rsidRDefault="005971B6" w:rsidP="008D7149">
      <w:pPr>
        <w:pStyle w:val="Akapitzlist"/>
        <w:numPr>
          <w:ilvl w:val="0"/>
          <w:numId w:val="24"/>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ukształtowanie jednolitego modelu wezwania obligatoryjnego jako wezwania następczego;</w:t>
      </w:r>
    </w:p>
    <w:p w14:paraId="0D73D8A5" w14:textId="22F91B3D" w:rsidR="005971B6" w:rsidRPr="008D7149" w:rsidRDefault="005971B6" w:rsidP="008D7149">
      <w:pPr>
        <w:pStyle w:val="Akapitzlist"/>
        <w:numPr>
          <w:ilvl w:val="0"/>
          <w:numId w:val="24"/>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wprowadzenie mechanizmu wezwania dobrowolnego na wszystkie pozostałe akcje spółki publicznej;</w:t>
      </w:r>
    </w:p>
    <w:p w14:paraId="304AE6EB" w14:textId="34C85E46" w:rsidR="005971B6" w:rsidRPr="008D7149" w:rsidRDefault="005971B6" w:rsidP="008D7149">
      <w:pPr>
        <w:pStyle w:val="Akapitzlist"/>
        <w:numPr>
          <w:ilvl w:val="0"/>
          <w:numId w:val="24"/>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uwzględnianie ceny pośredniego nabycia akcji spółki publicznej przy ustalaniu ceny minimalnej w wezwaniu;</w:t>
      </w:r>
    </w:p>
    <w:p w14:paraId="448988F5" w14:textId="6AA6ECCE" w:rsidR="005971B6" w:rsidRPr="008D7149" w:rsidRDefault="005971B6" w:rsidP="008D7149">
      <w:pPr>
        <w:pStyle w:val="Akapitzlist"/>
        <w:numPr>
          <w:ilvl w:val="0"/>
          <w:numId w:val="24"/>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określanie ceny minimalnej w wezwaniu w oparciu o wartość godziwą, ustaloną na podstawie wyceny dokonanej na zlecenie wzywającego przez niezależną firmę audytorską, w przypadku niewystarczającego obrotu akcjami podlegającymi wezwaniu;</w:t>
      </w:r>
    </w:p>
    <w:p w14:paraId="6B57F2B2" w14:textId="3B217656" w:rsidR="005971B6" w:rsidRPr="008D7149" w:rsidRDefault="005971B6" w:rsidP="008D7149">
      <w:pPr>
        <w:pStyle w:val="Akapitzlist"/>
        <w:numPr>
          <w:ilvl w:val="0"/>
          <w:numId w:val="24"/>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wprowadzenie solidarnej odpowiedzialność wszystkich podmiotów zobowiązanych do ogłoszenia wezwania;</w:t>
      </w:r>
    </w:p>
    <w:p w14:paraId="280692BF" w14:textId="61E8D8D8" w:rsidR="005971B6" w:rsidRPr="008D7149" w:rsidRDefault="005971B6" w:rsidP="008D7149">
      <w:pPr>
        <w:pStyle w:val="Akapitzlist"/>
        <w:numPr>
          <w:ilvl w:val="0"/>
          <w:numId w:val="24"/>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wprowadzenie nowego sposobu informowania Komisji Nadzoru Finansowego</w:t>
      </w:r>
      <w:r w:rsidR="008A0285" w:rsidRPr="008D7149">
        <w:rPr>
          <w:rFonts w:ascii="Times New Roman" w:hAnsi="Times New Roman" w:cs="Times New Roman"/>
          <w:sz w:val="24"/>
          <w:szCs w:val="24"/>
        </w:rPr>
        <w:t>, zwanej dalej „KNF”,</w:t>
      </w:r>
      <w:r w:rsidRPr="008D7149">
        <w:rPr>
          <w:rFonts w:ascii="Times New Roman" w:hAnsi="Times New Roman" w:cs="Times New Roman"/>
          <w:sz w:val="24"/>
          <w:szCs w:val="24"/>
        </w:rPr>
        <w:t xml:space="preserve"> o wezwaniu (zanim wezwanie zostanie ogłoszone, a nie równocześnie z jego ogłoszeniem).</w:t>
      </w:r>
    </w:p>
    <w:p w14:paraId="6E3565EC" w14:textId="09619B41" w:rsidR="004627BB" w:rsidRPr="008D7149" w:rsidRDefault="00C12434"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Ponadto dokonano uzupełnienia ustawy z dnia 29 sierpnia 1997 r. </w:t>
      </w:r>
      <w:r w:rsidR="00CE0AAC">
        <w:rPr>
          <w:rFonts w:ascii="Times New Roman" w:hAnsi="Times New Roman" w:cs="Times New Roman"/>
          <w:sz w:val="24"/>
          <w:szCs w:val="24"/>
        </w:rPr>
        <w:t>–</w:t>
      </w:r>
      <w:r w:rsidRPr="008D7149">
        <w:rPr>
          <w:rFonts w:ascii="Times New Roman" w:hAnsi="Times New Roman" w:cs="Times New Roman"/>
          <w:sz w:val="24"/>
          <w:szCs w:val="24"/>
        </w:rPr>
        <w:t xml:space="preserve"> </w:t>
      </w:r>
      <w:r w:rsidRPr="00132A56">
        <w:rPr>
          <w:rFonts w:ascii="Times New Roman" w:hAnsi="Times New Roman" w:cs="Times New Roman"/>
          <w:color w:val="000000" w:themeColor="text1"/>
          <w:sz w:val="24"/>
          <w:szCs w:val="24"/>
        </w:rPr>
        <w:t xml:space="preserve">Prawo bankowe </w:t>
      </w:r>
      <w:r w:rsidR="00132A56" w:rsidRPr="00132A56">
        <w:rPr>
          <w:rFonts w:ascii="Times New Roman" w:hAnsi="Times New Roman" w:cs="Times New Roman"/>
          <w:sz w:val="24"/>
          <w:szCs w:val="24"/>
        </w:rPr>
        <w:t>(Dz. U. z 2021 r. poz. 2439</w:t>
      </w:r>
      <w:r w:rsidR="009D0F6D">
        <w:rPr>
          <w:rFonts w:ascii="Times New Roman" w:hAnsi="Times New Roman" w:cs="Times New Roman"/>
          <w:sz w:val="24"/>
          <w:szCs w:val="24"/>
        </w:rPr>
        <w:t>, z późn. zm</w:t>
      </w:r>
      <w:r w:rsidR="00132A56" w:rsidRPr="00132A56">
        <w:rPr>
          <w:rFonts w:ascii="Times New Roman" w:hAnsi="Times New Roman" w:cs="Times New Roman"/>
          <w:sz w:val="24"/>
          <w:szCs w:val="24"/>
        </w:rPr>
        <w:t xml:space="preserve">.) </w:t>
      </w:r>
      <w:r w:rsidRPr="008D7149">
        <w:rPr>
          <w:rFonts w:ascii="Times New Roman" w:hAnsi="Times New Roman" w:cs="Times New Roman"/>
          <w:sz w:val="24"/>
          <w:szCs w:val="24"/>
        </w:rPr>
        <w:t xml:space="preserve">o przepisy dotyczące zasad tworzenia i funkcjonowania systemu ochrony także dla banków komercyjnych w formie spółek akcyjnych. Tego typu struktury z powodzeniem funkcjonują dla banków spółdzielczych oraz stanowią skuteczny samopomocowy mechanizm zapewniający ochronę płynności finansowej i wypłacalności uczestniczących w takim systemie banków, a także </w:t>
      </w:r>
      <w:r w:rsidR="00F86CB4" w:rsidRPr="008D7149">
        <w:rPr>
          <w:rFonts w:ascii="Times New Roman" w:hAnsi="Times New Roman" w:cs="Times New Roman"/>
          <w:sz w:val="24"/>
          <w:szCs w:val="24"/>
        </w:rPr>
        <w:t xml:space="preserve">mechanizm </w:t>
      </w:r>
      <w:r w:rsidRPr="008D7149">
        <w:rPr>
          <w:rFonts w:ascii="Times New Roman" w:hAnsi="Times New Roman" w:cs="Times New Roman"/>
          <w:sz w:val="24"/>
          <w:szCs w:val="24"/>
        </w:rPr>
        <w:t xml:space="preserve">wspierający procesy łączenia się banków czy przejęć. Działalność obu funkcjonujących </w:t>
      </w:r>
      <w:r w:rsidR="00CC6690" w:rsidRPr="008D7149">
        <w:rPr>
          <w:rFonts w:ascii="Times New Roman" w:hAnsi="Times New Roman" w:cs="Times New Roman"/>
          <w:sz w:val="24"/>
          <w:szCs w:val="24"/>
        </w:rPr>
        <w:t>w</w:t>
      </w:r>
      <w:r w:rsidRPr="008D7149">
        <w:rPr>
          <w:rFonts w:ascii="Times New Roman" w:hAnsi="Times New Roman" w:cs="Times New Roman"/>
          <w:sz w:val="24"/>
          <w:szCs w:val="24"/>
        </w:rPr>
        <w:t xml:space="preserve"> sektorze banków spółdzielczych systemó</w:t>
      </w:r>
      <w:r w:rsidR="00F86CB4" w:rsidRPr="008D7149">
        <w:rPr>
          <w:rFonts w:ascii="Times New Roman" w:hAnsi="Times New Roman" w:cs="Times New Roman"/>
          <w:sz w:val="24"/>
          <w:szCs w:val="24"/>
        </w:rPr>
        <w:t>w ochrony pokazała, że model</w:t>
      </w:r>
      <w:r w:rsidRPr="008D7149">
        <w:rPr>
          <w:rFonts w:ascii="Times New Roman" w:hAnsi="Times New Roman" w:cs="Times New Roman"/>
          <w:sz w:val="24"/>
          <w:szCs w:val="24"/>
        </w:rPr>
        <w:t xml:space="preserve"> ten jest skuteczny, zwiększa odpowiedzialność uczestników rynku za jego stabilne funkcjonowanie</w:t>
      </w:r>
      <w:r w:rsidR="00F86CB4" w:rsidRPr="008D7149">
        <w:rPr>
          <w:rFonts w:ascii="Times New Roman" w:hAnsi="Times New Roman" w:cs="Times New Roman"/>
          <w:sz w:val="24"/>
          <w:szCs w:val="24"/>
        </w:rPr>
        <w:t xml:space="preserve">, konkurencyjność tego sektora oraz poziom zaufania klientów. </w:t>
      </w:r>
      <w:r w:rsidRPr="008D7149">
        <w:rPr>
          <w:rFonts w:ascii="Times New Roman" w:hAnsi="Times New Roman" w:cs="Times New Roman"/>
          <w:sz w:val="24"/>
          <w:szCs w:val="24"/>
        </w:rPr>
        <w:t>W obliczu możliwości wystąpienia wielu nieprzewidzianych zjawisk, ja</w:t>
      </w:r>
      <w:r w:rsidR="004627BB" w:rsidRPr="008D7149">
        <w:rPr>
          <w:rFonts w:ascii="Times New Roman" w:hAnsi="Times New Roman" w:cs="Times New Roman"/>
          <w:sz w:val="24"/>
          <w:szCs w:val="24"/>
        </w:rPr>
        <w:t xml:space="preserve">kim była np. pandemia COVID-19, nie da się przewidzieć wszystkich scenariuszy i zagrożeń dla stabilności systemu finansowego, z tego względu istotne jest, </w:t>
      </w:r>
      <w:r w:rsidR="00C26E84">
        <w:rPr>
          <w:rFonts w:ascii="Times New Roman" w:hAnsi="Times New Roman" w:cs="Times New Roman"/>
          <w:sz w:val="24"/>
          <w:szCs w:val="24"/>
        </w:rPr>
        <w:t>a</w:t>
      </w:r>
      <w:r w:rsidR="004627BB" w:rsidRPr="008D7149">
        <w:rPr>
          <w:rFonts w:ascii="Times New Roman" w:hAnsi="Times New Roman" w:cs="Times New Roman"/>
          <w:sz w:val="24"/>
          <w:szCs w:val="24"/>
        </w:rPr>
        <w:t>by prawodawca zapewnił wszelkie możliwe i skuteczne mechanizmy, które pozwolą przygotować się na przyszłe, jeszcze niezidentyfikowane zagrożenia</w:t>
      </w:r>
      <w:r w:rsidR="00CC6690" w:rsidRPr="008D7149">
        <w:rPr>
          <w:rFonts w:ascii="Times New Roman" w:hAnsi="Times New Roman" w:cs="Times New Roman"/>
          <w:sz w:val="24"/>
          <w:szCs w:val="24"/>
        </w:rPr>
        <w:t>.</w:t>
      </w:r>
      <w:r w:rsidR="004627BB" w:rsidRPr="008D7149">
        <w:rPr>
          <w:rFonts w:ascii="Times New Roman" w:hAnsi="Times New Roman" w:cs="Times New Roman"/>
          <w:sz w:val="24"/>
          <w:szCs w:val="24"/>
        </w:rPr>
        <w:t xml:space="preserve"> </w:t>
      </w:r>
      <w:r w:rsidR="00CC6690" w:rsidRPr="008D7149">
        <w:rPr>
          <w:rFonts w:ascii="Times New Roman" w:hAnsi="Times New Roman" w:cs="Times New Roman"/>
          <w:sz w:val="24"/>
          <w:szCs w:val="24"/>
        </w:rPr>
        <w:t>T</w:t>
      </w:r>
      <w:r w:rsidR="004627BB" w:rsidRPr="008D7149">
        <w:rPr>
          <w:rFonts w:ascii="Times New Roman" w:hAnsi="Times New Roman" w:cs="Times New Roman"/>
          <w:sz w:val="24"/>
          <w:szCs w:val="24"/>
        </w:rPr>
        <w:t>akim skutecznym mechanizmem jest m.in. system ochrony instytucjonalnej.</w:t>
      </w:r>
    </w:p>
    <w:p w14:paraId="1C40ECAA" w14:textId="3E6298AE" w:rsidR="00424EC9" w:rsidRPr="008D7149" w:rsidRDefault="00424EC9"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projekcie ustawy wprowadzono także zmiany w ustawie z dnia 21 lipca 2006 r. o nadzorze nad rynkiem finansowym (Dz. U. z 2020 r. poz. 2059,</w:t>
      </w:r>
      <w:r w:rsidR="00CC6690" w:rsidRPr="008D7149">
        <w:rPr>
          <w:rFonts w:ascii="Times New Roman" w:hAnsi="Times New Roman" w:cs="Times New Roman"/>
          <w:sz w:val="24"/>
          <w:szCs w:val="24"/>
        </w:rPr>
        <w:t xml:space="preserve"> z późn. zm.</w:t>
      </w:r>
      <w:r w:rsidRPr="008D7149">
        <w:rPr>
          <w:rFonts w:ascii="Times New Roman" w:hAnsi="Times New Roman" w:cs="Times New Roman"/>
          <w:sz w:val="24"/>
          <w:szCs w:val="24"/>
        </w:rPr>
        <w:t xml:space="preserve">) w zakresie wymagań, jakie powinna spełniać osoba powoływana na stanowisko Przewodniczącego </w:t>
      </w:r>
      <w:r w:rsidR="008A0285" w:rsidRPr="008D7149">
        <w:rPr>
          <w:rFonts w:ascii="Times New Roman" w:hAnsi="Times New Roman" w:cs="Times New Roman"/>
          <w:sz w:val="24"/>
          <w:szCs w:val="24"/>
        </w:rPr>
        <w:t>KNF</w:t>
      </w:r>
      <w:r w:rsidRPr="008D7149">
        <w:rPr>
          <w:rFonts w:ascii="Times New Roman" w:hAnsi="Times New Roman" w:cs="Times New Roman"/>
          <w:sz w:val="24"/>
          <w:szCs w:val="24"/>
        </w:rPr>
        <w:t xml:space="preserve"> lub Zastępcy Przewodniczącego </w:t>
      </w:r>
      <w:r w:rsidR="008A0285" w:rsidRPr="008D7149">
        <w:rPr>
          <w:rFonts w:ascii="Times New Roman" w:hAnsi="Times New Roman" w:cs="Times New Roman"/>
          <w:sz w:val="24"/>
          <w:szCs w:val="24"/>
        </w:rPr>
        <w:t>KNF</w:t>
      </w:r>
      <w:r w:rsidRPr="008D7149">
        <w:rPr>
          <w:rFonts w:ascii="Times New Roman" w:hAnsi="Times New Roman" w:cs="Times New Roman"/>
          <w:sz w:val="24"/>
          <w:szCs w:val="24"/>
        </w:rPr>
        <w:t xml:space="preserve">. Zmiana polega na zrezygnowaniu z dookreślenia kierunku </w:t>
      </w:r>
      <w:r w:rsidRPr="008D7149">
        <w:rPr>
          <w:rFonts w:ascii="Times New Roman" w:hAnsi="Times New Roman" w:cs="Times New Roman"/>
          <w:sz w:val="24"/>
          <w:szCs w:val="24"/>
        </w:rPr>
        <w:lastRenderedPageBreak/>
        <w:t>wymaganego wykształcenia wyższego jako prawniczego lub ekonomicznego, z jednoczesnym wprowadzeniem wymogu posiadania tytułu zawodowego magistra, magistra inżyniera lub równorzędnego</w:t>
      </w:r>
      <w:r w:rsidR="00925D61" w:rsidRPr="008D7149">
        <w:rPr>
          <w:rFonts w:ascii="Times New Roman" w:hAnsi="Times New Roman" w:cs="Times New Roman"/>
          <w:sz w:val="24"/>
          <w:szCs w:val="24"/>
        </w:rPr>
        <w:t xml:space="preserve"> tytułu</w:t>
      </w:r>
      <w:r w:rsidRPr="008D7149">
        <w:rPr>
          <w:rFonts w:ascii="Times New Roman" w:hAnsi="Times New Roman" w:cs="Times New Roman"/>
          <w:sz w:val="24"/>
          <w:szCs w:val="24"/>
        </w:rPr>
        <w:t xml:space="preserve">. Dodatkowo wprowadzono również </w:t>
      </w:r>
      <w:r w:rsidR="00CC6690" w:rsidRPr="008D7149">
        <w:rPr>
          <w:rFonts w:ascii="Times New Roman" w:hAnsi="Times New Roman" w:cs="Times New Roman"/>
          <w:sz w:val="24"/>
          <w:szCs w:val="24"/>
        </w:rPr>
        <w:t>przepis</w:t>
      </w:r>
      <w:r w:rsidRPr="008D7149">
        <w:rPr>
          <w:rFonts w:ascii="Times New Roman" w:hAnsi="Times New Roman" w:cs="Times New Roman"/>
          <w:sz w:val="24"/>
          <w:szCs w:val="24"/>
        </w:rPr>
        <w:t xml:space="preserve"> ustanawiając</w:t>
      </w:r>
      <w:r w:rsidR="00CC6690" w:rsidRPr="008D7149">
        <w:rPr>
          <w:rFonts w:ascii="Times New Roman" w:hAnsi="Times New Roman" w:cs="Times New Roman"/>
          <w:sz w:val="24"/>
          <w:szCs w:val="24"/>
        </w:rPr>
        <w:t>y</w:t>
      </w:r>
      <w:r w:rsidRPr="008D7149">
        <w:rPr>
          <w:rFonts w:ascii="Times New Roman" w:hAnsi="Times New Roman" w:cs="Times New Roman"/>
          <w:sz w:val="24"/>
          <w:szCs w:val="24"/>
        </w:rPr>
        <w:t xml:space="preserve"> obowiązek wypłaty wynagrodzenia dla członków </w:t>
      </w:r>
      <w:r w:rsidR="008A0285" w:rsidRPr="008D7149">
        <w:rPr>
          <w:rFonts w:ascii="Times New Roman" w:hAnsi="Times New Roman" w:cs="Times New Roman"/>
          <w:sz w:val="24"/>
          <w:szCs w:val="24"/>
        </w:rPr>
        <w:t>KNF</w:t>
      </w:r>
      <w:r w:rsidRPr="008D7149">
        <w:rPr>
          <w:rFonts w:ascii="Times New Roman" w:hAnsi="Times New Roman" w:cs="Times New Roman"/>
          <w:sz w:val="24"/>
          <w:szCs w:val="24"/>
        </w:rPr>
        <w:t>, którzy dotychczas wykonywali swe obowiązki nieodpłatnie.</w:t>
      </w:r>
    </w:p>
    <w:p w14:paraId="54E42731" w14:textId="77777777" w:rsidR="00EF441C" w:rsidRPr="008D7149" w:rsidRDefault="00EF441C" w:rsidP="008D7149">
      <w:pPr>
        <w:pStyle w:val="Akapitzlist"/>
        <w:numPr>
          <w:ilvl w:val="0"/>
          <w:numId w:val="1"/>
        </w:numPr>
        <w:spacing w:before="120" w:after="0" w:line="360" w:lineRule="auto"/>
        <w:ind w:left="0" w:firstLine="0"/>
        <w:contextualSpacing w:val="0"/>
        <w:jc w:val="both"/>
        <w:rPr>
          <w:rFonts w:ascii="Times New Roman" w:hAnsi="Times New Roman" w:cs="Times New Roman"/>
          <w:b/>
          <w:sz w:val="24"/>
          <w:szCs w:val="24"/>
        </w:rPr>
      </w:pPr>
      <w:r w:rsidRPr="008D7149">
        <w:rPr>
          <w:rFonts w:ascii="Times New Roman" w:hAnsi="Times New Roman" w:cs="Times New Roman"/>
          <w:b/>
          <w:sz w:val="24"/>
          <w:szCs w:val="24"/>
        </w:rPr>
        <w:t>Szczegółowe rozwiązania zawarte w projekcie</w:t>
      </w:r>
    </w:p>
    <w:p w14:paraId="4FC062C9" w14:textId="7A1016A9" w:rsidR="00EF441C" w:rsidRPr="008D7149" w:rsidRDefault="008D7149" w:rsidP="008D714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EF441C" w:rsidRPr="008D7149">
        <w:rPr>
          <w:rFonts w:ascii="Times New Roman" w:hAnsi="Times New Roman" w:cs="Times New Roman"/>
          <w:b/>
          <w:sz w:val="24"/>
          <w:szCs w:val="24"/>
        </w:rPr>
        <w:t xml:space="preserve">Art. 1 projektu </w:t>
      </w:r>
      <w:r w:rsidR="00EF441C" w:rsidRPr="008D7149">
        <w:rPr>
          <w:rFonts w:ascii="Times New Roman" w:hAnsi="Times New Roman" w:cs="Times New Roman"/>
          <w:sz w:val="24"/>
          <w:szCs w:val="24"/>
        </w:rPr>
        <w:t>wprowadza zmiany do ustawy z dnia 29 sierpnia 1997 r. o listach zastawnych i bankach hipotecznych, zwanej dalej „</w:t>
      </w:r>
      <w:r w:rsidR="00EF441C" w:rsidRPr="008D7149">
        <w:rPr>
          <w:rFonts w:ascii="Times New Roman" w:hAnsi="Times New Roman" w:cs="Times New Roman"/>
          <w:b/>
          <w:sz w:val="24"/>
          <w:szCs w:val="24"/>
        </w:rPr>
        <w:t>Ustawą</w:t>
      </w:r>
      <w:r w:rsidR="00EF441C" w:rsidRPr="008D7149">
        <w:rPr>
          <w:rFonts w:ascii="Times New Roman" w:hAnsi="Times New Roman" w:cs="Times New Roman"/>
          <w:sz w:val="24"/>
          <w:szCs w:val="24"/>
        </w:rPr>
        <w:t>”.</w:t>
      </w:r>
    </w:p>
    <w:p w14:paraId="1D2C48AD" w14:textId="7782E8F2" w:rsidR="00EF441C" w:rsidRPr="008D7149" w:rsidRDefault="00EF441C"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hAnsi="Times New Roman" w:cs="Times New Roman"/>
          <w:sz w:val="24"/>
          <w:szCs w:val="24"/>
        </w:rPr>
        <w:t>W projektowanym brzmieniu</w:t>
      </w:r>
      <w:r w:rsidRPr="008D7149">
        <w:rPr>
          <w:rFonts w:ascii="Times New Roman" w:hAnsi="Times New Roman" w:cs="Times New Roman"/>
          <w:b/>
          <w:sz w:val="24"/>
          <w:szCs w:val="24"/>
        </w:rPr>
        <w:t xml:space="preserve"> art. 2</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pkt 3–</w:t>
      </w:r>
      <w:r w:rsidR="000B16D5" w:rsidRPr="008D7149">
        <w:rPr>
          <w:rFonts w:ascii="Times New Roman" w:hAnsi="Times New Roman" w:cs="Times New Roman"/>
          <w:b/>
          <w:sz w:val="24"/>
          <w:szCs w:val="24"/>
        </w:rPr>
        <w:t>8</w:t>
      </w:r>
      <w:r w:rsidRPr="008D7149">
        <w:rPr>
          <w:rFonts w:ascii="Times New Roman" w:hAnsi="Times New Roman" w:cs="Times New Roman"/>
          <w:sz w:val="24"/>
          <w:szCs w:val="24"/>
        </w:rPr>
        <w:t xml:space="preserve"> Ustawy wprowadza się definicje aktywów </w:t>
      </w:r>
      <w:r w:rsidRPr="008D7149">
        <w:rPr>
          <w:rFonts w:ascii="Times New Roman" w:eastAsia="Times New Roman" w:hAnsi="Times New Roman" w:cs="Times New Roman"/>
          <w:bCs/>
          <w:sz w:val="24"/>
          <w:szCs w:val="24"/>
          <w:lang w:eastAsia="pl-PL"/>
        </w:rPr>
        <w:t>podstawowych, aktywów stanowiących zabezpieczenie listów zastawnych,</w:t>
      </w:r>
      <w:r w:rsidRPr="008D7149">
        <w:rPr>
          <w:rFonts w:ascii="Times New Roman" w:eastAsia="Times New Roman" w:hAnsi="Times New Roman" w:cs="Times New Roman"/>
          <w:sz w:val="24"/>
          <w:szCs w:val="24"/>
          <w:lang w:eastAsia="pl-PL"/>
        </w:rPr>
        <w:t xml:space="preserve"> </w:t>
      </w:r>
      <w:r w:rsidR="00836286" w:rsidRPr="008D7149">
        <w:rPr>
          <w:rFonts w:ascii="Times New Roman" w:eastAsia="Times New Roman" w:hAnsi="Times New Roman" w:cs="Times New Roman"/>
          <w:bCs/>
          <w:sz w:val="24"/>
          <w:szCs w:val="24"/>
          <w:lang w:eastAsia="pl-PL"/>
        </w:rPr>
        <w:t xml:space="preserve">aktywów zastępczych, </w:t>
      </w:r>
      <w:r w:rsidR="000A4557" w:rsidRPr="008D7149">
        <w:rPr>
          <w:rFonts w:ascii="Times New Roman" w:eastAsia="Times New Roman" w:hAnsi="Times New Roman" w:cs="Times New Roman"/>
          <w:sz w:val="24"/>
          <w:szCs w:val="24"/>
          <w:lang w:eastAsia="pl-PL"/>
        </w:rPr>
        <w:t>instrumentu pochodnego</w:t>
      </w:r>
      <w:r w:rsidR="00C558B5" w:rsidRPr="008D7149">
        <w:rPr>
          <w:rFonts w:ascii="Times New Roman" w:eastAsia="Times New Roman" w:hAnsi="Times New Roman" w:cs="Times New Roman"/>
          <w:sz w:val="24"/>
          <w:szCs w:val="24"/>
          <w:lang w:eastAsia="pl-PL"/>
        </w:rPr>
        <w:t xml:space="preserve">, </w:t>
      </w:r>
      <w:proofErr w:type="spellStart"/>
      <w:r w:rsidR="00836286" w:rsidRPr="008D7149">
        <w:rPr>
          <w:rFonts w:ascii="Times New Roman" w:eastAsia="Times New Roman" w:hAnsi="Times New Roman" w:cs="Times New Roman"/>
          <w:sz w:val="24"/>
          <w:szCs w:val="24"/>
          <w:lang w:eastAsia="pl-PL"/>
        </w:rPr>
        <w:t>nadzabezpieczenia</w:t>
      </w:r>
      <w:proofErr w:type="spellEnd"/>
      <w:r w:rsidR="00836286" w:rsidRPr="008D7149">
        <w:rPr>
          <w:rFonts w:ascii="Times New Roman" w:eastAsia="Times New Roman" w:hAnsi="Times New Roman" w:cs="Times New Roman"/>
          <w:sz w:val="24"/>
          <w:szCs w:val="24"/>
          <w:lang w:eastAsia="pl-PL"/>
        </w:rPr>
        <w:t xml:space="preserve"> oraz </w:t>
      </w:r>
      <w:r w:rsidRPr="008D7149">
        <w:rPr>
          <w:rFonts w:ascii="Times New Roman" w:eastAsia="Times New Roman" w:hAnsi="Times New Roman" w:cs="Times New Roman"/>
          <w:sz w:val="24"/>
          <w:szCs w:val="24"/>
          <w:lang w:eastAsia="pl-PL"/>
        </w:rPr>
        <w:t>puli aktywów stanowiących zabezpieczenie.</w:t>
      </w:r>
    </w:p>
    <w:p w14:paraId="46ECDB6E" w14:textId="6C5B07D9"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Zakres i ujęcie definicji odpowiada definicjom zawartym w art. 3 pkt </w:t>
      </w:r>
      <w:r w:rsidR="00836286" w:rsidRPr="008D7149">
        <w:rPr>
          <w:rFonts w:ascii="Times New Roman" w:hAnsi="Times New Roman" w:cs="Times New Roman"/>
          <w:sz w:val="24"/>
          <w:szCs w:val="24"/>
        </w:rPr>
        <w:t xml:space="preserve">3, 4 i </w:t>
      </w:r>
      <w:r w:rsidRPr="008D7149">
        <w:rPr>
          <w:rFonts w:ascii="Times New Roman" w:hAnsi="Times New Roman" w:cs="Times New Roman"/>
          <w:sz w:val="24"/>
          <w:szCs w:val="24"/>
        </w:rPr>
        <w:t>12</w:t>
      </w:r>
      <w:r w:rsidR="000B62FB">
        <w:rPr>
          <w:rFonts w:ascii="Times New Roman" w:hAnsi="Times New Roman" w:cs="Times New Roman"/>
          <w:sz w:val="24"/>
          <w:szCs w:val="24"/>
        </w:rPr>
        <w:t>–</w:t>
      </w:r>
      <w:r w:rsidRPr="008D7149">
        <w:rPr>
          <w:rFonts w:ascii="Times New Roman" w:hAnsi="Times New Roman" w:cs="Times New Roman"/>
          <w:sz w:val="24"/>
          <w:szCs w:val="24"/>
        </w:rPr>
        <w:t>1</w:t>
      </w:r>
      <w:r w:rsidR="00214908" w:rsidRPr="008D7149">
        <w:rPr>
          <w:rFonts w:ascii="Times New Roman" w:hAnsi="Times New Roman" w:cs="Times New Roman"/>
          <w:sz w:val="24"/>
          <w:szCs w:val="24"/>
        </w:rPr>
        <w:t>4</w:t>
      </w:r>
      <w:r w:rsidRPr="008D7149">
        <w:rPr>
          <w:rFonts w:ascii="Times New Roman" w:hAnsi="Times New Roman" w:cs="Times New Roman"/>
          <w:sz w:val="24"/>
          <w:szCs w:val="24"/>
        </w:rPr>
        <w:t xml:space="preserve">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Podkreślenia wymaga, że w projektowanych definicjach posłużono się terminologią występującą w Ustawie, uwzględniając jej systematykę i rozwiązania oraz ustawowe wymogi związane z emisją listów zastawnych (np. aktywa będące podstawą emisji listów zastawnych stanowiące zabezpieczenie listów zastawnych, wymogi i limity określone w art. 18 Ustawy, zasady prowadzenia rejestru zabezpieczenia listów zastawnych – art. 24 Ustawy).</w:t>
      </w:r>
    </w:p>
    <w:p w14:paraId="07AAE8DA" w14:textId="77777777"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Proponowane brzmienie tych definicji jest różne od analogicznych pojęć dyrektywy, jednakże odpowiadają one ujęciu tych pojęć na gruncie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w:t>
      </w:r>
    </w:p>
    <w:p w14:paraId="42B39729" w14:textId="008DD0A7"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Należy zauważyć, ż</w:t>
      </w:r>
      <w:r w:rsidR="00E07BCB">
        <w:rPr>
          <w:rFonts w:ascii="Times New Roman" w:hAnsi="Times New Roman" w:cs="Times New Roman"/>
          <w:sz w:val="24"/>
          <w:szCs w:val="24"/>
        </w:rPr>
        <w:t>e</w:t>
      </w:r>
      <w:r w:rsidRPr="008D7149">
        <w:rPr>
          <w:rFonts w:ascii="Times New Roman" w:hAnsi="Times New Roman" w:cs="Times New Roman"/>
          <w:sz w:val="24"/>
          <w:szCs w:val="24"/>
        </w:rPr>
        <w:t xml:space="preserve"> wprowadzana w słowniczku definicja instrumentu pochodnego odwołująca się do ustawy z dnia 29 lipca 2005 r. o </w:t>
      </w:r>
      <w:r w:rsidRPr="00E07BCB">
        <w:rPr>
          <w:rFonts w:ascii="Times New Roman" w:hAnsi="Times New Roman" w:cs="Times New Roman"/>
          <w:sz w:val="24"/>
          <w:szCs w:val="24"/>
        </w:rPr>
        <w:t xml:space="preserve">obrocie instrumentami finansowymi </w:t>
      </w:r>
      <w:r w:rsidRPr="008D7149">
        <w:rPr>
          <w:rFonts w:ascii="Times New Roman" w:hAnsi="Times New Roman" w:cs="Times New Roman"/>
          <w:sz w:val="24"/>
          <w:szCs w:val="24"/>
        </w:rPr>
        <w:t>(Dz. U. z 202</w:t>
      </w:r>
      <w:r w:rsidR="00603734" w:rsidRPr="008D7149">
        <w:rPr>
          <w:rFonts w:ascii="Times New Roman" w:hAnsi="Times New Roman" w:cs="Times New Roman"/>
          <w:sz w:val="24"/>
          <w:szCs w:val="24"/>
        </w:rPr>
        <w:t>1</w:t>
      </w:r>
      <w:r w:rsidRPr="008D7149">
        <w:rPr>
          <w:rFonts w:ascii="Times New Roman" w:hAnsi="Times New Roman" w:cs="Times New Roman"/>
          <w:sz w:val="24"/>
          <w:szCs w:val="24"/>
        </w:rPr>
        <w:t xml:space="preserve"> r. poz. </w:t>
      </w:r>
      <w:r w:rsidR="00603734" w:rsidRPr="008D7149">
        <w:rPr>
          <w:rFonts w:ascii="Times New Roman" w:hAnsi="Times New Roman" w:cs="Times New Roman"/>
          <w:sz w:val="24"/>
          <w:szCs w:val="24"/>
        </w:rPr>
        <w:t>328</w:t>
      </w:r>
      <w:r w:rsidR="004D7242" w:rsidRPr="008D7149">
        <w:rPr>
          <w:rFonts w:ascii="Times New Roman" w:hAnsi="Times New Roman" w:cs="Times New Roman"/>
          <w:sz w:val="24"/>
          <w:szCs w:val="24"/>
        </w:rPr>
        <w:t>,</w:t>
      </w:r>
      <w:r w:rsidR="00603734" w:rsidRPr="008D7149">
        <w:rPr>
          <w:rFonts w:ascii="Times New Roman" w:hAnsi="Times New Roman" w:cs="Times New Roman"/>
          <w:sz w:val="24"/>
          <w:szCs w:val="24"/>
        </w:rPr>
        <w:t xml:space="preserve"> </w:t>
      </w:r>
      <w:r w:rsidR="005567FB" w:rsidRPr="008D7149">
        <w:rPr>
          <w:rFonts w:ascii="Times New Roman" w:hAnsi="Times New Roman" w:cs="Times New Roman"/>
          <w:sz w:val="24"/>
          <w:szCs w:val="24"/>
        </w:rPr>
        <w:t>z późn. zm.</w:t>
      </w:r>
      <w:r w:rsidRPr="008D7149">
        <w:rPr>
          <w:rFonts w:ascii="Times New Roman" w:hAnsi="Times New Roman" w:cs="Times New Roman"/>
          <w:sz w:val="24"/>
          <w:szCs w:val="24"/>
        </w:rPr>
        <w:t>) wynika z projektowanej zmiany w art. 15a pkt 2 Ustawy i ma na celu usystematyzowani</w:t>
      </w:r>
      <w:r w:rsidR="00EA79C8" w:rsidRPr="008D7149">
        <w:rPr>
          <w:rFonts w:ascii="Times New Roman" w:hAnsi="Times New Roman" w:cs="Times New Roman"/>
          <w:sz w:val="24"/>
          <w:szCs w:val="24"/>
        </w:rPr>
        <w:t>e</w:t>
      </w:r>
      <w:r w:rsidRPr="008D7149">
        <w:rPr>
          <w:rFonts w:ascii="Times New Roman" w:hAnsi="Times New Roman" w:cs="Times New Roman"/>
          <w:sz w:val="24"/>
          <w:szCs w:val="24"/>
        </w:rPr>
        <w:t xml:space="preserve"> posługiwania się tym pojęciem na gruncie Ustawy</w:t>
      </w:r>
      <w:r w:rsidR="006A08CC" w:rsidRPr="008D7149">
        <w:rPr>
          <w:rFonts w:ascii="Times New Roman" w:hAnsi="Times New Roman" w:cs="Times New Roman"/>
          <w:sz w:val="24"/>
          <w:szCs w:val="24"/>
        </w:rPr>
        <w:t xml:space="preserve"> oraz</w:t>
      </w:r>
      <w:r w:rsidRPr="008D7149">
        <w:rPr>
          <w:rFonts w:ascii="Times New Roman" w:hAnsi="Times New Roman" w:cs="Times New Roman"/>
          <w:sz w:val="24"/>
          <w:szCs w:val="24"/>
        </w:rPr>
        <w:t xml:space="preserve"> dostosowanie do siatki pojęciowej dyrektywy 2019/2162. Wskazana definicja zastępuje jednocześnie niezdefiniowane dotychczas pojęcie „instrumentu finansowego zabezpieczającego”.</w:t>
      </w:r>
    </w:p>
    <w:p w14:paraId="6253C68D" w14:textId="77777777"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projektowanym brzmieniu</w:t>
      </w:r>
      <w:r w:rsidRPr="008D7149">
        <w:rPr>
          <w:rFonts w:ascii="Times New Roman" w:hAnsi="Times New Roman" w:cs="Times New Roman"/>
          <w:b/>
          <w:sz w:val="24"/>
          <w:szCs w:val="24"/>
        </w:rPr>
        <w:t xml:space="preserve"> art. 2a</w:t>
      </w:r>
      <w:r w:rsidRPr="008D7149">
        <w:rPr>
          <w:rFonts w:ascii="Times New Roman" w:hAnsi="Times New Roman" w:cs="Times New Roman"/>
          <w:sz w:val="24"/>
          <w:szCs w:val="24"/>
        </w:rPr>
        <w:t xml:space="preserve"> Ustawy wprowadzono definicję listu zastawnego, która odzwierciedla cechy obligacji zabezpieczonej zdefiniowanej w art. 3 pkt 1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W konsekwencji, zaproponowano także nowy przepis </w:t>
      </w:r>
      <w:r w:rsidR="00E42861" w:rsidRPr="008D7149">
        <w:rPr>
          <w:rFonts w:ascii="Times New Roman" w:hAnsi="Times New Roman" w:cs="Times New Roman"/>
          <w:sz w:val="24"/>
          <w:szCs w:val="24"/>
        </w:rPr>
        <w:t>–</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art. 2b</w:t>
      </w:r>
      <w:r w:rsidRPr="008D7149">
        <w:rPr>
          <w:rFonts w:ascii="Times New Roman" w:hAnsi="Times New Roman" w:cs="Times New Roman"/>
          <w:sz w:val="24"/>
          <w:szCs w:val="24"/>
        </w:rPr>
        <w:t xml:space="preserve"> Ustawy </w:t>
      </w:r>
      <w:r w:rsidR="00E42861" w:rsidRPr="008D7149">
        <w:rPr>
          <w:rFonts w:ascii="Times New Roman" w:hAnsi="Times New Roman" w:cs="Times New Roman"/>
          <w:sz w:val="24"/>
          <w:szCs w:val="24"/>
        </w:rPr>
        <w:t>–</w:t>
      </w:r>
      <w:r w:rsidRPr="008D7149">
        <w:rPr>
          <w:rFonts w:ascii="Times New Roman" w:hAnsi="Times New Roman" w:cs="Times New Roman"/>
          <w:sz w:val="24"/>
          <w:szCs w:val="24"/>
        </w:rPr>
        <w:t xml:space="preserve"> mający </w:t>
      </w:r>
      <w:r w:rsidRPr="008D7149">
        <w:rPr>
          <w:rFonts w:ascii="Times New Roman" w:hAnsi="Times New Roman" w:cs="Times New Roman"/>
          <w:sz w:val="24"/>
          <w:szCs w:val="24"/>
        </w:rPr>
        <w:lastRenderedPageBreak/>
        <w:t>przede wszystkim charakter porządkowy.</w:t>
      </w:r>
      <w:r w:rsidR="007D798E" w:rsidRPr="008D7149">
        <w:rPr>
          <w:rFonts w:ascii="Times New Roman" w:hAnsi="Times New Roman" w:cs="Times New Roman"/>
          <w:sz w:val="24"/>
          <w:szCs w:val="24"/>
        </w:rPr>
        <w:t xml:space="preserve"> Wskazuje on, że bank hipoteczny może emitować hipoteczne listy zastawne i publiczne listy zastawne.</w:t>
      </w:r>
    </w:p>
    <w:p w14:paraId="4C862F7A" w14:textId="77777777" w:rsidR="00ED152D"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projektowanym brzmieniu</w:t>
      </w:r>
      <w:r w:rsidRPr="008D7149">
        <w:rPr>
          <w:rFonts w:ascii="Times New Roman" w:hAnsi="Times New Roman" w:cs="Times New Roman"/>
          <w:b/>
          <w:sz w:val="24"/>
          <w:szCs w:val="24"/>
        </w:rPr>
        <w:t xml:space="preserve"> art. 3 ust. 2 pkt 4</w:t>
      </w:r>
      <w:r w:rsidRPr="008D7149">
        <w:rPr>
          <w:rFonts w:ascii="Times New Roman" w:hAnsi="Times New Roman" w:cs="Times New Roman"/>
          <w:sz w:val="24"/>
          <w:szCs w:val="24"/>
        </w:rPr>
        <w:t xml:space="preserve"> Ustawy proponuje się rozszerzenie zakresu podstaw emisji publicznego listu zastawnego o wierzytelności banku hipotecznego z tytułu nabytych przez bank hipoteczny papierów wartościowych emitowanych przez Skarb Państwa</w:t>
      </w:r>
      <w:r w:rsidR="00B9137C" w:rsidRPr="008D7149">
        <w:rPr>
          <w:rFonts w:ascii="Times New Roman" w:hAnsi="Times New Roman" w:cs="Times New Roman"/>
          <w:sz w:val="24"/>
          <w:szCs w:val="24"/>
        </w:rPr>
        <w:t xml:space="preserve"> lub</w:t>
      </w:r>
      <w:r w:rsidR="00ED152D" w:rsidRPr="008D7149">
        <w:rPr>
          <w:rFonts w:ascii="Times New Roman" w:hAnsi="Times New Roman" w:cs="Times New Roman"/>
          <w:sz w:val="24"/>
          <w:szCs w:val="24"/>
        </w:rPr>
        <w:t xml:space="preserve"> </w:t>
      </w:r>
      <w:r w:rsidR="00E50CE7" w:rsidRPr="008D7149">
        <w:rPr>
          <w:rFonts w:ascii="Times New Roman" w:hAnsi="Times New Roman" w:cs="Times New Roman"/>
          <w:sz w:val="24"/>
          <w:szCs w:val="24"/>
        </w:rPr>
        <w:t>jednostki samorządu terytorialnego</w:t>
      </w:r>
      <w:r w:rsidR="00857AF9" w:rsidRPr="008D7149">
        <w:rPr>
          <w:rFonts w:ascii="Times New Roman" w:hAnsi="Times New Roman" w:cs="Times New Roman"/>
          <w:sz w:val="24"/>
          <w:szCs w:val="24"/>
        </w:rPr>
        <w:t xml:space="preserve">, </w:t>
      </w:r>
      <w:r w:rsidR="00F81072" w:rsidRPr="008D7149">
        <w:rPr>
          <w:rFonts w:ascii="Times New Roman" w:hAnsi="Times New Roman" w:cs="Times New Roman"/>
          <w:sz w:val="24"/>
          <w:szCs w:val="24"/>
        </w:rPr>
        <w:t xml:space="preserve">a także </w:t>
      </w:r>
      <w:r w:rsidR="00ED152D" w:rsidRPr="008D7149">
        <w:rPr>
          <w:rFonts w:ascii="Times New Roman" w:hAnsi="Times New Roman" w:cs="Times New Roman"/>
          <w:sz w:val="24"/>
          <w:szCs w:val="24"/>
        </w:rPr>
        <w:t>papier</w:t>
      </w:r>
      <w:r w:rsidR="00F81072" w:rsidRPr="008D7149">
        <w:rPr>
          <w:rFonts w:ascii="Times New Roman" w:hAnsi="Times New Roman" w:cs="Times New Roman"/>
          <w:sz w:val="24"/>
          <w:szCs w:val="24"/>
        </w:rPr>
        <w:t>ów</w:t>
      </w:r>
      <w:r w:rsidR="00ED152D" w:rsidRPr="008D7149">
        <w:rPr>
          <w:rFonts w:ascii="Times New Roman" w:hAnsi="Times New Roman" w:cs="Times New Roman"/>
          <w:sz w:val="24"/>
          <w:szCs w:val="24"/>
        </w:rPr>
        <w:t xml:space="preserve"> wartościow</w:t>
      </w:r>
      <w:r w:rsidR="00F81072" w:rsidRPr="008D7149">
        <w:rPr>
          <w:rFonts w:ascii="Times New Roman" w:hAnsi="Times New Roman" w:cs="Times New Roman"/>
          <w:sz w:val="24"/>
          <w:szCs w:val="24"/>
        </w:rPr>
        <w:t>ych</w:t>
      </w:r>
      <w:r w:rsidR="00ED152D" w:rsidRPr="008D7149">
        <w:rPr>
          <w:rFonts w:ascii="Times New Roman" w:hAnsi="Times New Roman" w:cs="Times New Roman"/>
          <w:sz w:val="24"/>
          <w:szCs w:val="24"/>
        </w:rPr>
        <w:t xml:space="preserve"> poręczan</w:t>
      </w:r>
      <w:r w:rsidR="00F81072" w:rsidRPr="008D7149">
        <w:rPr>
          <w:rFonts w:ascii="Times New Roman" w:hAnsi="Times New Roman" w:cs="Times New Roman"/>
          <w:sz w:val="24"/>
          <w:szCs w:val="24"/>
        </w:rPr>
        <w:t>ych</w:t>
      </w:r>
      <w:r w:rsidR="00ED152D" w:rsidRPr="008D7149">
        <w:rPr>
          <w:rFonts w:ascii="Times New Roman" w:hAnsi="Times New Roman" w:cs="Times New Roman"/>
          <w:sz w:val="24"/>
          <w:szCs w:val="24"/>
        </w:rPr>
        <w:t xml:space="preserve"> lub gwarantowan</w:t>
      </w:r>
      <w:r w:rsidR="00F81072" w:rsidRPr="008D7149">
        <w:rPr>
          <w:rFonts w:ascii="Times New Roman" w:hAnsi="Times New Roman" w:cs="Times New Roman"/>
          <w:sz w:val="24"/>
          <w:szCs w:val="24"/>
        </w:rPr>
        <w:t>ych</w:t>
      </w:r>
      <w:r w:rsidR="00ED152D" w:rsidRPr="008D7149">
        <w:rPr>
          <w:rFonts w:ascii="Times New Roman" w:hAnsi="Times New Roman" w:cs="Times New Roman"/>
          <w:sz w:val="24"/>
          <w:szCs w:val="24"/>
        </w:rPr>
        <w:t xml:space="preserve"> przez Skarb Państwa, których emitentem jest Bank Gospodarstwa Krajowego.</w:t>
      </w:r>
    </w:p>
    <w:p w14:paraId="52D84C63" w14:textId="77777777"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Zabezpieczenie obligacji zabezpieczonych </w:t>
      </w:r>
      <w:r w:rsidR="00C51E30" w:rsidRPr="008D7149">
        <w:rPr>
          <w:rFonts w:ascii="Times New Roman" w:hAnsi="Times New Roman" w:cs="Times New Roman"/>
          <w:sz w:val="24"/>
          <w:szCs w:val="24"/>
        </w:rPr>
        <w:t xml:space="preserve">(listów zastawnych) </w:t>
      </w:r>
      <w:r w:rsidRPr="008D7149">
        <w:rPr>
          <w:rFonts w:ascii="Times New Roman" w:hAnsi="Times New Roman" w:cs="Times New Roman"/>
          <w:sz w:val="24"/>
          <w:szCs w:val="24"/>
        </w:rPr>
        <w:t xml:space="preserve">tego rodzaju </w:t>
      </w:r>
      <w:r w:rsidR="00ED152D" w:rsidRPr="008D7149">
        <w:rPr>
          <w:rFonts w:ascii="Times New Roman" w:hAnsi="Times New Roman" w:cs="Times New Roman"/>
          <w:sz w:val="24"/>
          <w:szCs w:val="24"/>
        </w:rPr>
        <w:t>aktywami</w:t>
      </w:r>
      <w:r w:rsidRPr="008D7149">
        <w:rPr>
          <w:rFonts w:ascii="Times New Roman" w:hAnsi="Times New Roman" w:cs="Times New Roman"/>
          <w:sz w:val="24"/>
          <w:szCs w:val="24"/>
        </w:rPr>
        <w:t xml:space="preserve">, dla celów ich preferencyjnego traktowania, </w:t>
      </w:r>
      <w:r w:rsidR="00603734" w:rsidRPr="008D7149">
        <w:rPr>
          <w:rFonts w:ascii="Times New Roman" w:hAnsi="Times New Roman" w:cs="Times New Roman"/>
          <w:sz w:val="24"/>
          <w:szCs w:val="24"/>
        </w:rPr>
        <w:t xml:space="preserve">jest </w:t>
      </w:r>
      <w:r w:rsidRPr="008D7149">
        <w:rPr>
          <w:rFonts w:ascii="Times New Roman" w:hAnsi="Times New Roman" w:cs="Times New Roman"/>
          <w:sz w:val="24"/>
          <w:szCs w:val="24"/>
        </w:rPr>
        <w:t>przewidziane w art. 129 ust. 1 lit. a</w:t>
      </w:r>
      <w:r w:rsidRPr="008D7149">
        <w:rPr>
          <w:rFonts w:ascii="Times New Roman" w:eastAsia="Times New Roman" w:hAnsi="Times New Roman" w:cs="Times New Roman"/>
          <w:sz w:val="24"/>
          <w:szCs w:val="24"/>
          <w:lang w:eastAsia="pl-PL"/>
        </w:rPr>
        <w:t xml:space="preserve"> rozporządzenia (UE</w:t>
      </w:r>
      <w:r w:rsidRPr="008D7149">
        <w:rPr>
          <w:rFonts w:ascii="Times New Roman" w:hAnsi="Times New Roman" w:cs="Times New Roman"/>
          <w:sz w:val="24"/>
          <w:szCs w:val="24"/>
        </w:rPr>
        <w:t>) nr 575/2013.</w:t>
      </w:r>
    </w:p>
    <w:p w14:paraId="4EF74F7A" w14:textId="300359FA" w:rsidR="00BB5F67"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świetle przepisów obecnej Ustawy </w:t>
      </w:r>
      <w:r w:rsidR="00227B35" w:rsidRPr="008D7149">
        <w:rPr>
          <w:rFonts w:ascii="Times New Roman" w:hAnsi="Times New Roman" w:cs="Times New Roman"/>
          <w:sz w:val="24"/>
          <w:szCs w:val="24"/>
        </w:rPr>
        <w:t xml:space="preserve">aktywa </w:t>
      </w:r>
      <w:r w:rsidRPr="008D7149">
        <w:rPr>
          <w:rFonts w:ascii="Times New Roman" w:hAnsi="Times New Roman" w:cs="Times New Roman"/>
          <w:sz w:val="24"/>
          <w:szCs w:val="24"/>
        </w:rPr>
        <w:t xml:space="preserve">podstawowe obejmują kredyty udzielone jednostkom samorządu terytorialnego lub kredyty zabezpieczone poręczeniem </w:t>
      </w:r>
      <w:r w:rsidR="00E07BCB">
        <w:rPr>
          <w:rFonts w:ascii="Times New Roman" w:hAnsi="Times New Roman" w:cs="Times New Roman"/>
          <w:sz w:val="24"/>
          <w:szCs w:val="24"/>
        </w:rPr>
        <w:t xml:space="preserve">lub gwarancją tych jednostek (w </w:t>
      </w:r>
      <w:r w:rsidRPr="008D7149">
        <w:rPr>
          <w:rFonts w:ascii="Times New Roman" w:hAnsi="Times New Roman" w:cs="Times New Roman"/>
          <w:sz w:val="24"/>
          <w:szCs w:val="24"/>
        </w:rPr>
        <w:t>przypadku publicznych listów zastawnych wymagany udział aktywów podstawowych określa art. 18 ust. 1a Ustawy). W związku z powyższym w obecnym stanie prawnym nie jest możliwe emitowanie listów zastawnych zabezpieczonych</w:t>
      </w:r>
      <w:r w:rsidR="00857AF9" w:rsidRPr="008D7149">
        <w:rPr>
          <w:rFonts w:ascii="Times New Roman" w:hAnsi="Times New Roman" w:cs="Times New Roman"/>
          <w:sz w:val="24"/>
          <w:szCs w:val="24"/>
        </w:rPr>
        <w:t xml:space="preserve"> w szerszym zakresie</w:t>
      </w:r>
      <w:r w:rsidRPr="008D7149">
        <w:rPr>
          <w:rFonts w:ascii="Times New Roman" w:hAnsi="Times New Roman" w:cs="Times New Roman"/>
          <w:sz w:val="24"/>
          <w:szCs w:val="24"/>
        </w:rPr>
        <w:t xml:space="preserve"> obligacjami jednostek samorządu terytorialnego. Przedmiotowe zmiany powinny zwiększyć skalę emisji publicznych listów zastawnych w Polsce, jak również wpłynąć pozytywnie na rozwój możliwości finansowania na szczeblu samorządowym. Jednocześnie rozwiązanie to wychodzi naprzeciw postulatom zgłaszanym przez środowisko bankowości hipotecznej. Projektowane brzmienie art. 3 ust. 2 pkt 4 Ustawy dotyczy również papierów wartościowych emitowanych przez Skarb Państwa.</w:t>
      </w:r>
    </w:p>
    <w:p w14:paraId="00B0C92D" w14:textId="23CC4FAF" w:rsidR="00B006AB" w:rsidRPr="008D7149" w:rsidRDefault="00F627C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Ponadto w </w:t>
      </w:r>
      <w:r w:rsidR="00603734"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 xml:space="preserve">brzmieniu </w:t>
      </w:r>
      <w:r w:rsidRPr="008D7149">
        <w:rPr>
          <w:rFonts w:ascii="Times New Roman" w:hAnsi="Times New Roman" w:cs="Times New Roman"/>
          <w:b/>
          <w:sz w:val="24"/>
          <w:szCs w:val="24"/>
        </w:rPr>
        <w:t>art. 3</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w:t>
      </w:r>
      <w:r w:rsidR="0000129A" w:rsidRPr="008D7149">
        <w:rPr>
          <w:rFonts w:ascii="Times New Roman" w:hAnsi="Times New Roman" w:cs="Times New Roman"/>
          <w:b/>
          <w:sz w:val="24"/>
          <w:szCs w:val="24"/>
        </w:rPr>
        <w:t>.</w:t>
      </w:r>
      <w:r w:rsidRPr="008D7149">
        <w:rPr>
          <w:rFonts w:ascii="Times New Roman" w:hAnsi="Times New Roman" w:cs="Times New Roman"/>
          <w:b/>
          <w:sz w:val="24"/>
          <w:szCs w:val="24"/>
        </w:rPr>
        <w:t xml:space="preserve"> </w:t>
      </w:r>
      <w:r w:rsidR="00BB5F67" w:rsidRPr="008D7149">
        <w:rPr>
          <w:rFonts w:ascii="Times New Roman" w:hAnsi="Times New Roman" w:cs="Times New Roman"/>
          <w:b/>
          <w:sz w:val="24"/>
          <w:szCs w:val="24"/>
        </w:rPr>
        <w:t xml:space="preserve">2a </w:t>
      </w:r>
      <w:r w:rsidR="00603734" w:rsidRPr="008D7149">
        <w:rPr>
          <w:rFonts w:ascii="Times New Roman" w:hAnsi="Times New Roman" w:cs="Times New Roman"/>
          <w:sz w:val="24"/>
          <w:szCs w:val="24"/>
        </w:rPr>
        <w:t xml:space="preserve">Ustawy </w:t>
      </w:r>
      <w:r w:rsidR="00C51E30" w:rsidRPr="008D7149">
        <w:rPr>
          <w:rFonts w:ascii="Times New Roman" w:hAnsi="Times New Roman" w:cs="Times New Roman"/>
          <w:sz w:val="24"/>
          <w:szCs w:val="24"/>
        </w:rPr>
        <w:t>doprecyzowano</w:t>
      </w:r>
      <w:r w:rsidRPr="008D7149">
        <w:rPr>
          <w:rFonts w:ascii="Times New Roman" w:hAnsi="Times New Roman" w:cs="Times New Roman"/>
          <w:sz w:val="24"/>
          <w:szCs w:val="24"/>
        </w:rPr>
        <w:t xml:space="preserve">, że papiery wartościowe mogą stanowić podstawę emisji, jeżeli wolne są od wszelkich </w:t>
      </w:r>
      <w:r w:rsidR="00603734" w:rsidRPr="008D7149">
        <w:rPr>
          <w:rFonts w:ascii="Times New Roman" w:hAnsi="Times New Roman" w:cs="Times New Roman"/>
          <w:sz w:val="24"/>
          <w:szCs w:val="24"/>
        </w:rPr>
        <w:t xml:space="preserve">obciążeń </w:t>
      </w:r>
      <w:r w:rsidRPr="008D7149">
        <w:rPr>
          <w:rFonts w:ascii="Times New Roman" w:hAnsi="Times New Roman" w:cs="Times New Roman"/>
          <w:sz w:val="24"/>
          <w:szCs w:val="24"/>
        </w:rPr>
        <w:t>w rozumieniu art. 7</w:t>
      </w:r>
      <w:r w:rsidR="00C458C2" w:rsidRPr="008D7149">
        <w:rPr>
          <w:rFonts w:ascii="Times New Roman" w:hAnsi="Times New Roman" w:cs="Times New Roman"/>
          <w:sz w:val="24"/>
          <w:szCs w:val="24"/>
        </w:rPr>
        <w:t xml:space="preserve"> ust. 2</w:t>
      </w:r>
      <w:r w:rsidRPr="008D7149">
        <w:rPr>
          <w:rFonts w:ascii="Times New Roman" w:hAnsi="Times New Roman" w:cs="Times New Roman"/>
          <w:sz w:val="24"/>
          <w:szCs w:val="24"/>
        </w:rPr>
        <w:t xml:space="preserve"> rozporządzenia delegowanego Komisji (UE) 2015/61 z dnia 10 października 2014 r. uzupełniającego rozporządzenie Parlamentu Europejskiego i Rady (UE) nr 575/2013 w odniesieniu do wymogu pokrycia wypływów ne</w:t>
      </w:r>
      <w:r w:rsidR="00A52F17">
        <w:rPr>
          <w:rFonts w:ascii="Times New Roman" w:hAnsi="Times New Roman" w:cs="Times New Roman"/>
          <w:sz w:val="24"/>
          <w:szCs w:val="24"/>
        </w:rPr>
        <w:t>tto dla instytucji kredytowych.</w:t>
      </w:r>
    </w:p>
    <w:p w14:paraId="19226C43" w14:textId="5B8A4772" w:rsidR="00BB5F67" w:rsidRPr="008D7149" w:rsidRDefault="00BB5F67"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Mając na uwadze szczególne wymogi</w:t>
      </w:r>
      <w:r w:rsidR="00F81072" w:rsidRPr="008D7149">
        <w:rPr>
          <w:rFonts w:ascii="Times New Roman" w:hAnsi="Times New Roman" w:cs="Times New Roman"/>
          <w:sz w:val="24"/>
          <w:szCs w:val="24"/>
        </w:rPr>
        <w:t>,</w:t>
      </w:r>
      <w:r w:rsidRPr="008D7149">
        <w:rPr>
          <w:rFonts w:ascii="Times New Roman" w:hAnsi="Times New Roman" w:cs="Times New Roman"/>
          <w:sz w:val="24"/>
          <w:szCs w:val="24"/>
        </w:rPr>
        <w:t xml:space="preserve"> jakie muszą spełniać aktywa stanowiące zabezpieczenie listów zastawnych, w związku z projektowanym brzmieniem art. 3 ust. 2 pkt 4 </w:t>
      </w:r>
      <w:r w:rsidR="00F81072" w:rsidRPr="008D7149">
        <w:rPr>
          <w:rFonts w:ascii="Times New Roman" w:hAnsi="Times New Roman" w:cs="Times New Roman"/>
          <w:sz w:val="24"/>
          <w:szCs w:val="24"/>
        </w:rPr>
        <w:t xml:space="preserve">Ustawy, proponuje się dodanie </w:t>
      </w:r>
      <w:r w:rsidRPr="008D7149">
        <w:rPr>
          <w:rFonts w:ascii="Times New Roman" w:hAnsi="Times New Roman" w:cs="Times New Roman"/>
          <w:sz w:val="24"/>
          <w:szCs w:val="24"/>
        </w:rPr>
        <w:t xml:space="preserve">również </w:t>
      </w:r>
      <w:r w:rsidRPr="008D7149">
        <w:rPr>
          <w:rFonts w:ascii="Times New Roman" w:hAnsi="Times New Roman" w:cs="Times New Roman"/>
          <w:b/>
          <w:sz w:val="24"/>
          <w:szCs w:val="24"/>
        </w:rPr>
        <w:t>ust. 2b</w:t>
      </w:r>
      <w:r w:rsidR="00857AF9" w:rsidRPr="008D7149">
        <w:rPr>
          <w:rFonts w:ascii="Times New Roman" w:hAnsi="Times New Roman" w:cs="Times New Roman"/>
          <w:sz w:val="24"/>
          <w:szCs w:val="24"/>
        </w:rPr>
        <w:t>, który stanowi, ż</w:t>
      </w:r>
      <w:r w:rsidR="00F81072" w:rsidRPr="008D7149">
        <w:rPr>
          <w:rFonts w:ascii="Times New Roman" w:hAnsi="Times New Roman" w:cs="Times New Roman"/>
          <w:sz w:val="24"/>
          <w:szCs w:val="24"/>
        </w:rPr>
        <w:t>e</w:t>
      </w:r>
      <w:r w:rsidRPr="008D7149">
        <w:rPr>
          <w:rFonts w:ascii="Times New Roman" w:hAnsi="Times New Roman" w:cs="Times New Roman"/>
          <w:sz w:val="24"/>
          <w:szCs w:val="24"/>
        </w:rPr>
        <w:t xml:space="preserve"> </w:t>
      </w:r>
      <w:r w:rsidR="00F81072" w:rsidRPr="008D7149">
        <w:rPr>
          <w:rFonts w:ascii="Times New Roman" w:hAnsi="Times New Roman" w:cs="Times New Roman"/>
          <w:sz w:val="24"/>
          <w:szCs w:val="24"/>
        </w:rPr>
        <w:t>papiery wartościowe emitowane przez jednostki samorządu terytorialnego oraz Bank Gospodarstwa Krajowego mogą stanowić podstawę emisj</w:t>
      </w:r>
      <w:r w:rsidR="00B9137C" w:rsidRPr="008D7149">
        <w:rPr>
          <w:rFonts w:ascii="Times New Roman" w:hAnsi="Times New Roman" w:cs="Times New Roman"/>
          <w:sz w:val="24"/>
          <w:szCs w:val="24"/>
        </w:rPr>
        <w:t>i publicznych listów zastawnych</w:t>
      </w:r>
      <w:r w:rsidR="004843DE">
        <w:rPr>
          <w:rFonts w:ascii="Times New Roman" w:hAnsi="Times New Roman" w:cs="Times New Roman"/>
          <w:sz w:val="24"/>
          <w:szCs w:val="24"/>
        </w:rPr>
        <w:t>,</w:t>
      </w:r>
      <w:r w:rsidR="00F81072" w:rsidRPr="008D7149">
        <w:rPr>
          <w:rFonts w:ascii="Times New Roman" w:hAnsi="Times New Roman" w:cs="Times New Roman"/>
          <w:sz w:val="24"/>
          <w:szCs w:val="24"/>
        </w:rPr>
        <w:t xml:space="preserve"> pod warunkiem że emitent nie ograniczył swojej odpowiedzialności za zobowiązania wynikające z</w:t>
      </w:r>
      <w:r w:rsidR="004843DE">
        <w:rPr>
          <w:rFonts w:ascii="Times New Roman" w:hAnsi="Times New Roman" w:cs="Times New Roman"/>
          <w:sz w:val="24"/>
          <w:szCs w:val="24"/>
        </w:rPr>
        <w:t xml:space="preserve"> </w:t>
      </w:r>
      <w:r w:rsidR="00F81072" w:rsidRPr="008D7149">
        <w:rPr>
          <w:rFonts w:ascii="Times New Roman" w:hAnsi="Times New Roman" w:cs="Times New Roman"/>
          <w:sz w:val="24"/>
          <w:szCs w:val="24"/>
        </w:rPr>
        <w:t>tych papierów wartościowych</w:t>
      </w:r>
      <w:r w:rsidR="00D9400F" w:rsidRPr="008D7149">
        <w:rPr>
          <w:rFonts w:ascii="Times New Roman" w:hAnsi="Times New Roman" w:cs="Times New Roman"/>
          <w:sz w:val="24"/>
          <w:szCs w:val="24"/>
        </w:rPr>
        <w:t>.</w:t>
      </w:r>
    </w:p>
    <w:p w14:paraId="58A0008F" w14:textId="77777777" w:rsidR="00B17E40" w:rsidRPr="008D7149" w:rsidRDefault="00B17E40" w:rsidP="008D7149">
      <w:pPr>
        <w:autoSpaceDE w:val="0"/>
        <w:autoSpaceDN w:val="0"/>
        <w:adjustRightInd w:val="0"/>
        <w:spacing w:before="120" w:after="0" w:line="360" w:lineRule="auto"/>
        <w:jc w:val="both"/>
        <w:rPr>
          <w:rFonts w:ascii="Times New Roman" w:hAnsi="Times New Roman" w:cs="Times New Roman"/>
          <w:sz w:val="24"/>
          <w:szCs w:val="24"/>
        </w:rPr>
      </w:pPr>
    </w:p>
    <w:p w14:paraId="0D425877" w14:textId="62E3C3C5"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projektowanym brzmieniu </w:t>
      </w:r>
      <w:r w:rsidRPr="008D7149">
        <w:rPr>
          <w:rFonts w:ascii="Times New Roman" w:hAnsi="Times New Roman" w:cs="Times New Roman"/>
          <w:b/>
          <w:sz w:val="24"/>
          <w:szCs w:val="24"/>
        </w:rPr>
        <w:t>art. 5a ust. 2</w:t>
      </w:r>
      <w:r w:rsidRPr="008D7149">
        <w:rPr>
          <w:rFonts w:ascii="Times New Roman" w:hAnsi="Times New Roman" w:cs="Times New Roman"/>
          <w:sz w:val="24"/>
          <w:szCs w:val="24"/>
        </w:rPr>
        <w:t xml:space="preserve"> Ustawy pozwoli na emisję listów zastawnych w formie dokumentu w przypadku listów zastawnych o jednostkowej wartości nominalnej równej kwoc</w:t>
      </w:r>
      <w:r w:rsidR="001140F6">
        <w:rPr>
          <w:rFonts w:ascii="Times New Roman" w:hAnsi="Times New Roman" w:cs="Times New Roman"/>
          <w:sz w:val="24"/>
          <w:szCs w:val="24"/>
        </w:rPr>
        <w:t>ie stanowiącej równowartość 100 </w:t>
      </w:r>
      <w:r w:rsidRPr="008D7149">
        <w:rPr>
          <w:rFonts w:ascii="Times New Roman" w:hAnsi="Times New Roman" w:cs="Times New Roman"/>
          <w:sz w:val="24"/>
          <w:szCs w:val="24"/>
        </w:rPr>
        <w:t>000 euro lub przekraczającej tę kwotę. Przepis ten w obecnym brzmieniu umożliwia emisję listu zastawnego w formie dokumentu, o ile jego wartość nomina</w:t>
      </w:r>
      <w:r w:rsidR="001140F6">
        <w:rPr>
          <w:rFonts w:ascii="Times New Roman" w:hAnsi="Times New Roman" w:cs="Times New Roman"/>
          <w:sz w:val="24"/>
          <w:szCs w:val="24"/>
        </w:rPr>
        <w:t>lna przekracza równowartość 100 </w:t>
      </w:r>
      <w:r w:rsidRPr="008D7149">
        <w:rPr>
          <w:rFonts w:ascii="Times New Roman" w:hAnsi="Times New Roman" w:cs="Times New Roman"/>
          <w:sz w:val="24"/>
          <w:szCs w:val="24"/>
        </w:rPr>
        <w:t>000 euro. Projektowana zmiana ma znaczenie w przypadku oferowania listów zastawnych na międzynarodowych rynkach i ich rejestrowania w zagranicznym systemie rejestracji, o którym</w:t>
      </w:r>
      <w:r w:rsidR="001140F6">
        <w:rPr>
          <w:rFonts w:ascii="Times New Roman" w:hAnsi="Times New Roman" w:cs="Times New Roman"/>
          <w:sz w:val="24"/>
          <w:szCs w:val="24"/>
        </w:rPr>
        <w:t xml:space="preserve"> mowa w art. 5 ust. 1a ustawy z </w:t>
      </w:r>
      <w:r w:rsidRPr="008D7149">
        <w:rPr>
          <w:rFonts w:ascii="Times New Roman" w:hAnsi="Times New Roman" w:cs="Times New Roman"/>
          <w:sz w:val="24"/>
          <w:szCs w:val="24"/>
        </w:rPr>
        <w:t>dnia 29 lipca 2005 r. o obrocie instrumentami finansowymi. W tym kontekście zauważenia wymaga, że listy zastawne o jednostkowej wartości nominalnej nie niższej niż równowartość 100 000 euro stanowią nominał występujący często w praktyce obrotu zagranicznego.</w:t>
      </w:r>
    </w:p>
    <w:p w14:paraId="4548753E" w14:textId="60F1DD10" w:rsidR="00603734" w:rsidRPr="008D7149" w:rsidRDefault="00603734"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5a ust. 3</w:t>
      </w:r>
      <w:r w:rsidRPr="008D7149">
        <w:rPr>
          <w:rFonts w:ascii="Times New Roman" w:hAnsi="Times New Roman" w:cs="Times New Roman"/>
          <w:sz w:val="24"/>
          <w:szCs w:val="24"/>
        </w:rPr>
        <w:t xml:space="preserve"> Ustawy ma charakter </w:t>
      </w:r>
      <w:r w:rsidR="00A81C18" w:rsidRPr="008D7149">
        <w:rPr>
          <w:rFonts w:ascii="Times New Roman" w:hAnsi="Times New Roman" w:cs="Times New Roman"/>
          <w:sz w:val="24"/>
          <w:szCs w:val="24"/>
        </w:rPr>
        <w:t xml:space="preserve">dostosowujący </w:t>
      </w:r>
      <w:r w:rsidRPr="008D7149">
        <w:rPr>
          <w:rFonts w:ascii="Times New Roman" w:hAnsi="Times New Roman" w:cs="Times New Roman"/>
          <w:sz w:val="24"/>
          <w:szCs w:val="24"/>
        </w:rPr>
        <w:t>i wynika z przeniesienia wskazani</w:t>
      </w:r>
      <w:r w:rsidR="001140F6">
        <w:rPr>
          <w:rFonts w:ascii="Times New Roman" w:hAnsi="Times New Roman" w:cs="Times New Roman"/>
          <w:sz w:val="24"/>
          <w:szCs w:val="24"/>
        </w:rPr>
        <w:t xml:space="preserve">a aktu promulgacyjnego ustawy </w:t>
      </w:r>
      <w:r w:rsidR="001140F6" w:rsidRPr="004329CA">
        <w:rPr>
          <w:rFonts w:ascii="Times New Roman" w:hAnsi="Times New Roman" w:cs="Times New Roman"/>
          <w:color w:val="000000" w:themeColor="text1"/>
          <w:sz w:val="24"/>
          <w:szCs w:val="24"/>
        </w:rPr>
        <w:t xml:space="preserve">z </w:t>
      </w:r>
      <w:r w:rsidRPr="004329CA">
        <w:rPr>
          <w:rFonts w:ascii="Times New Roman" w:hAnsi="Times New Roman" w:cs="Times New Roman"/>
          <w:color w:val="000000" w:themeColor="text1"/>
          <w:sz w:val="24"/>
          <w:szCs w:val="24"/>
        </w:rPr>
        <w:t xml:space="preserve">dnia 29 lipca 2005 r. o obrocie instrumentami </w:t>
      </w:r>
      <w:r w:rsidRPr="008D7149">
        <w:rPr>
          <w:rFonts w:ascii="Times New Roman" w:hAnsi="Times New Roman" w:cs="Times New Roman"/>
          <w:sz w:val="24"/>
          <w:szCs w:val="24"/>
        </w:rPr>
        <w:t xml:space="preserve">finansowymi do pierwszego miejsca w Ustawie, w którym </w:t>
      </w:r>
      <w:r w:rsidR="00E903EC" w:rsidRPr="008D7149">
        <w:rPr>
          <w:rFonts w:ascii="Times New Roman" w:hAnsi="Times New Roman" w:cs="Times New Roman"/>
          <w:sz w:val="24"/>
          <w:szCs w:val="24"/>
        </w:rPr>
        <w:t xml:space="preserve">odesłanie do tej ustawy zostanie – w wyniku tej nowelizacji </w:t>
      </w:r>
      <w:r w:rsidR="00E42861" w:rsidRPr="008D7149">
        <w:rPr>
          <w:rFonts w:ascii="Times New Roman" w:hAnsi="Times New Roman" w:cs="Times New Roman"/>
          <w:sz w:val="24"/>
          <w:szCs w:val="24"/>
        </w:rPr>
        <w:t>–</w:t>
      </w:r>
      <w:r w:rsidR="00E903EC" w:rsidRPr="008D7149">
        <w:rPr>
          <w:rFonts w:ascii="Times New Roman" w:hAnsi="Times New Roman" w:cs="Times New Roman"/>
          <w:sz w:val="24"/>
          <w:szCs w:val="24"/>
        </w:rPr>
        <w:t xml:space="preserve"> zawarte </w:t>
      </w:r>
      <w:r w:rsidRPr="008D7149">
        <w:rPr>
          <w:rFonts w:ascii="Times New Roman" w:hAnsi="Times New Roman" w:cs="Times New Roman"/>
          <w:sz w:val="24"/>
          <w:szCs w:val="24"/>
        </w:rPr>
        <w:t xml:space="preserve">po raz pierwszy (art. </w:t>
      </w:r>
      <w:r w:rsidR="00E903EC" w:rsidRPr="008D7149">
        <w:rPr>
          <w:rFonts w:ascii="Times New Roman" w:hAnsi="Times New Roman" w:cs="Times New Roman"/>
          <w:sz w:val="24"/>
          <w:szCs w:val="24"/>
        </w:rPr>
        <w:t>2 pkt 6 Ustawy).</w:t>
      </w:r>
    </w:p>
    <w:p w14:paraId="6ABCF2B7" w14:textId="36253620" w:rsidR="00B04DF0" w:rsidRPr="008D7149" w:rsidRDefault="00EF441C" w:rsidP="008D7149">
      <w:pPr>
        <w:pStyle w:val="ZARTzmartartykuempunktem"/>
        <w:spacing w:before="120"/>
        <w:ind w:left="0" w:firstLine="0"/>
        <w:rPr>
          <w:rFonts w:ascii="Times New Roman" w:eastAsia="Times New Roman" w:hAnsi="Times New Roman" w:cs="Times New Roman"/>
          <w:szCs w:val="24"/>
        </w:rPr>
      </w:pPr>
      <w:r w:rsidRPr="008D7149">
        <w:rPr>
          <w:rFonts w:ascii="Times New Roman" w:hAnsi="Times New Roman" w:cs="Times New Roman"/>
          <w:szCs w:val="24"/>
        </w:rPr>
        <w:t>W projektowanym brzmieniu</w:t>
      </w:r>
      <w:r w:rsidRPr="008D7149">
        <w:rPr>
          <w:rFonts w:ascii="Times New Roman" w:hAnsi="Times New Roman" w:cs="Times New Roman"/>
          <w:b/>
          <w:szCs w:val="24"/>
        </w:rPr>
        <w:t xml:space="preserve"> </w:t>
      </w:r>
      <w:r w:rsidRPr="008D7149">
        <w:rPr>
          <w:rFonts w:ascii="Times New Roman" w:eastAsia="Calibri" w:hAnsi="Times New Roman" w:cs="Times New Roman"/>
          <w:b/>
          <w:szCs w:val="24"/>
        </w:rPr>
        <w:t>art. 7a</w:t>
      </w:r>
      <w:r w:rsidRPr="008D7149">
        <w:rPr>
          <w:rFonts w:ascii="Times New Roman" w:eastAsia="Calibri" w:hAnsi="Times New Roman" w:cs="Times New Roman"/>
          <w:szCs w:val="24"/>
        </w:rPr>
        <w:t xml:space="preserve"> Ustawy dodano do obligatoryjnych elementów warunków emisji listów zastawnych informacje dotyczące </w:t>
      </w:r>
      <w:r w:rsidR="007B3265">
        <w:rPr>
          <w:rFonts w:ascii="Times New Roman" w:eastAsia="Times New Roman" w:hAnsi="Times New Roman" w:cs="Times New Roman"/>
          <w:szCs w:val="24"/>
        </w:rPr>
        <w:t xml:space="preserve">zobowiązań z </w:t>
      </w:r>
      <w:r w:rsidRPr="008D7149">
        <w:rPr>
          <w:rFonts w:ascii="Times New Roman" w:eastAsia="Times New Roman" w:hAnsi="Times New Roman" w:cs="Times New Roman"/>
          <w:szCs w:val="24"/>
        </w:rPr>
        <w:t>tytułu listów zastawnych w przypadku wszczęcia przymusowej restrukturyzacji banku hipotecznego</w:t>
      </w:r>
      <w:r w:rsidR="00D9400F" w:rsidRPr="008D7149">
        <w:rPr>
          <w:rFonts w:ascii="Times New Roman" w:eastAsia="Times New Roman" w:hAnsi="Times New Roman" w:cs="Times New Roman"/>
          <w:szCs w:val="24"/>
        </w:rPr>
        <w:t xml:space="preserve"> oraz roli </w:t>
      </w:r>
      <w:r w:rsidR="008A0285" w:rsidRPr="008D7149">
        <w:rPr>
          <w:rFonts w:ascii="Times New Roman" w:eastAsia="Times New Roman" w:hAnsi="Times New Roman" w:cs="Times New Roman"/>
          <w:szCs w:val="24"/>
        </w:rPr>
        <w:t>KNF</w:t>
      </w:r>
      <w:r w:rsidR="00D9400F" w:rsidRPr="008D7149">
        <w:rPr>
          <w:rFonts w:ascii="Times New Roman" w:eastAsia="Times New Roman" w:hAnsi="Times New Roman" w:cs="Times New Roman"/>
          <w:szCs w:val="24"/>
        </w:rPr>
        <w:t xml:space="preserve"> i kuratora w przypadku ogłoszenia upadłości banku hipotecznego</w:t>
      </w:r>
      <w:r w:rsidRPr="008D7149">
        <w:rPr>
          <w:rFonts w:ascii="Times New Roman" w:eastAsia="Times New Roman" w:hAnsi="Times New Roman" w:cs="Times New Roman"/>
          <w:szCs w:val="24"/>
        </w:rPr>
        <w:t xml:space="preserve">, co uwzględnia wymogi art. 17 dyrektywy </w:t>
      </w:r>
      <w:r w:rsidRPr="008D7149">
        <w:rPr>
          <w:rFonts w:ascii="Times New Roman" w:eastAsia="Calibri" w:hAnsi="Times New Roman" w:cs="Times New Roman"/>
          <w:szCs w:val="24"/>
        </w:rPr>
        <w:t>2019/2162</w:t>
      </w:r>
      <w:r w:rsidRPr="008D7149">
        <w:rPr>
          <w:rFonts w:ascii="Times New Roman" w:eastAsia="Times New Roman" w:hAnsi="Times New Roman" w:cs="Times New Roman"/>
          <w:szCs w:val="24"/>
        </w:rPr>
        <w:t>.</w:t>
      </w:r>
      <w:r w:rsidR="00CD2866" w:rsidRPr="008D7149">
        <w:rPr>
          <w:rFonts w:ascii="Times New Roman" w:eastAsia="Times New Roman" w:hAnsi="Times New Roman" w:cs="Times New Roman"/>
          <w:szCs w:val="24"/>
        </w:rPr>
        <w:t xml:space="preserve"> Nowelizowany katalog </w:t>
      </w:r>
      <w:r w:rsidR="00CD2866" w:rsidRPr="008D7149">
        <w:rPr>
          <w:rFonts w:ascii="Times New Roman" w:eastAsia="Calibri" w:hAnsi="Times New Roman" w:cs="Times New Roman"/>
          <w:szCs w:val="24"/>
        </w:rPr>
        <w:t>obligatoryjnych elementów warunków emisji listów</w:t>
      </w:r>
      <w:r w:rsidR="00CD2866" w:rsidRPr="008D7149">
        <w:rPr>
          <w:rFonts w:ascii="Times New Roman" w:eastAsia="Times New Roman" w:hAnsi="Times New Roman" w:cs="Times New Roman"/>
          <w:szCs w:val="24"/>
        </w:rPr>
        <w:t xml:space="preserve"> zastawnych, podobnie jak na gruncie dotychczasowego art. 7a Ustawy, ma charakter otwarty. </w:t>
      </w:r>
      <w:r w:rsidR="00EB50B2" w:rsidRPr="008D7149">
        <w:rPr>
          <w:rFonts w:ascii="Times New Roman" w:eastAsia="Times New Roman" w:hAnsi="Times New Roman" w:cs="Times New Roman"/>
          <w:szCs w:val="24"/>
        </w:rPr>
        <w:t>Warunki emisji, zgodnie z zasadą swobody umów, mogą także zawierać dodatkowe postanowienia, mające charakter nieobligatoryjny, ale będące elementem stosunku łączącego emitenta z nabywcami listów zastawnych.</w:t>
      </w:r>
      <w:r w:rsidR="00C15E0C" w:rsidRPr="008D7149">
        <w:rPr>
          <w:rFonts w:ascii="Times New Roman" w:eastAsia="Times New Roman" w:hAnsi="Times New Roman" w:cs="Times New Roman"/>
          <w:szCs w:val="24"/>
        </w:rPr>
        <w:t xml:space="preserve"> </w:t>
      </w:r>
      <w:r w:rsidR="00E53CC4" w:rsidRPr="008D7149">
        <w:rPr>
          <w:rFonts w:ascii="Times New Roman" w:eastAsia="Times New Roman" w:hAnsi="Times New Roman" w:cs="Times New Roman"/>
          <w:szCs w:val="24"/>
        </w:rPr>
        <w:t>Należy zauważyć,</w:t>
      </w:r>
      <w:r w:rsidR="00EB50B2" w:rsidRPr="008D7149">
        <w:rPr>
          <w:rFonts w:ascii="Times New Roman" w:eastAsia="Times New Roman" w:hAnsi="Times New Roman" w:cs="Times New Roman"/>
          <w:szCs w:val="24"/>
        </w:rPr>
        <w:t xml:space="preserve"> że w</w:t>
      </w:r>
      <w:r w:rsidR="00CA41E6" w:rsidRPr="008D7149">
        <w:rPr>
          <w:rFonts w:ascii="Times New Roman" w:eastAsia="Times New Roman" w:hAnsi="Times New Roman" w:cs="Times New Roman"/>
          <w:szCs w:val="24"/>
        </w:rPr>
        <w:t xml:space="preserve">arunki emisji określają świadczenia wynikające z listu zastawnego, sposób ich realizacji oraz związane z nimi prawa i obowiązki emitenta oraz nabywcy listu zastawnego. Z warunków emisji wynika szczegółowa treść praw inkorporowanych w listach </w:t>
      </w:r>
      <w:r w:rsidR="00C90A62" w:rsidRPr="008D7149">
        <w:rPr>
          <w:rFonts w:ascii="Times New Roman" w:eastAsia="Times New Roman" w:hAnsi="Times New Roman" w:cs="Times New Roman"/>
          <w:szCs w:val="24"/>
        </w:rPr>
        <w:t>zastawnych</w:t>
      </w:r>
      <w:r w:rsidR="00217E39" w:rsidRPr="008D7149">
        <w:rPr>
          <w:rFonts w:ascii="Times New Roman" w:eastAsia="Times New Roman" w:hAnsi="Times New Roman" w:cs="Times New Roman"/>
          <w:szCs w:val="24"/>
        </w:rPr>
        <w:t xml:space="preserve">, </w:t>
      </w:r>
      <w:r w:rsidR="008856C0" w:rsidRPr="008D7149">
        <w:rPr>
          <w:rFonts w:ascii="Times New Roman" w:eastAsia="Times New Roman" w:hAnsi="Times New Roman" w:cs="Times New Roman"/>
          <w:szCs w:val="24"/>
        </w:rPr>
        <w:t xml:space="preserve">stanowiąc mechanizm ochrony nabywcy praw z papieru wartościowego. </w:t>
      </w:r>
      <w:r w:rsidR="00C90A62" w:rsidRPr="008D7149">
        <w:rPr>
          <w:rFonts w:ascii="Times New Roman" w:eastAsia="Times New Roman" w:hAnsi="Times New Roman" w:cs="Times New Roman"/>
          <w:szCs w:val="24"/>
        </w:rPr>
        <w:t>Dlatego też, w projektowanym art. 7a</w:t>
      </w:r>
      <w:r w:rsidR="00E53CC4" w:rsidRPr="008D7149">
        <w:rPr>
          <w:rFonts w:ascii="Times New Roman" w:eastAsia="Times New Roman" w:hAnsi="Times New Roman" w:cs="Times New Roman"/>
          <w:szCs w:val="24"/>
        </w:rPr>
        <w:t>,</w:t>
      </w:r>
      <w:r w:rsidR="00C90A62" w:rsidRPr="008D7149">
        <w:rPr>
          <w:rFonts w:ascii="Times New Roman" w:eastAsia="Times New Roman" w:hAnsi="Times New Roman" w:cs="Times New Roman"/>
          <w:szCs w:val="24"/>
        </w:rPr>
        <w:t xml:space="preserve"> analogicznie </w:t>
      </w:r>
      <w:r w:rsidR="008856C0" w:rsidRPr="008D7149">
        <w:rPr>
          <w:rFonts w:ascii="Times New Roman" w:eastAsia="Times New Roman" w:hAnsi="Times New Roman" w:cs="Times New Roman"/>
          <w:szCs w:val="24"/>
        </w:rPr>
        <w:t xml:space="preserve">jak </w:t>
      </w:r>
      <w:r w:rsidR="00C90A62" w:rsidRPr="008D7149">
        <w:rPr>
          <w:rFonts w:ascii="Times New Roman" w:eastAsia="Times New Roman" w:hAnsi="Times New Roman" w:cs="Times New Roman"/>
          <w:szCs w:val="24"/>
        </w:rPr>
        <w:t>na gruncie</w:t>
      </w:r>
      <w:r w:rsidR="008856C0" w:rsidRPr="008D7149">
        <w:rPr>
          <w:rFonts w:ascii="Times New Roman" w:eastAsia="Times New Roman" w:hAnsi="Times New Roman" w:cs="Times New Roman"/>
          <w:szCs w:val="24"/>
        </w:rPr>
        <w:t xml:space="preserve"> art. 6 </w:t>
      </w:r>
      <w:r w:rsidR="00C90A62" w:rsidRPr="008D7149">
        <w:rPr>
          <w:rFonts w:ascii="Times New Roman" w:eastAsia="Times New Roman" w:hAnsi="Times New Roman" w:cs="Times New Roman"/>
          <w:szCs w:val="24"/>
        </w:rPr>
        <w:t xml:space="preserve">obowiązującej </w:t>
      </w:r>
      <w:r w:rsidR="008856C0" w:rsidRPr="008D7149">
        <w:rPr>
          <w:rFonts w:ascii="Times New Roman" w:eastAsia="Times New Roman" w:hAnsi="Times New Roman" w:cs="Times New Roman"/>
          <w:szCs w:val="24"/>
        </w:rPr>
        <w:t>ustawy</w:t>
      </w:r>
      <w:r w:rsidR="00C90A62" w:rsidRPr="008D7149">
        <w:rPr>
          <w:rFonts w:ascii="Times New Roman" w:eastAsia="Times New Roman" w:hAnsi="Times New Roman" w:cs="Times New Roman"/>
          <w:szCs w:val="24"/>
        </w:rPr>
        <w:t xml:space="preserve"> z dnia 15 stycznia 2015 r. o obligacjach</w:t>
      </w:r>
      <w:r w:rsidR="00C756F9" w:rsidRPr="008D7149">
        <w:rPr>
          <w:rFonts w:ascii="Times New Roman" w:eastAsia="Times New Roman" w:hAnsi="Times New Roman" w:cs="Times New Roman"/>
          <w:szCs w:val="24"/>
        </w:rPr>
        <w:t xml:space="preserve"> (Dz. U. z 2020 r. poz. 1208, z późn. zm.)</w:t>
      </w:r>
      <w:r w:rsidR="00C90A62" w:rsidRPr="008D7149">
        <w:rPr>
          <w:rFonts w:ascii="Times New Roman" w:eastAsia="Times New Roman" w:hAnsi="Times New Roman" w:cs="Times New Roman"/>
          <w:szCs w:val="24"/>
        </w:rPr>
        <w:t>,</w:t>
      </w:r>
      <w:r w:rsidR="00217E39" w:rsidRPr="008D7149">
        <w:rPr>
          <w:rFonts w:ascii="Times New Roman" w:eastAsia="Times New Roman" w:hAnsi="Times New Roman" w:cs="Times New Roman"/>
          <w:szCs w:val="24"/>
        </w:rPr>
        <w:t xml:space="preserve"> </w:t>
      </w:r>
      <w:r w:rsidR="00935883" w:rsidRPr="008D7149">
        <w:rPr>
          <w:rFonts w:ascii="Times New Roman" w:eastAsia="Times New Roman" w:hAnsi="Times New Roman" w:cs="Times New Roman"/>
          <w:szCs w:val="24"/>
        </w:rPr>
        <w:t xml:space="preserve">wykaz niezbędnych elementów warunków emisji </w:t>
      </w:r>
      <w:r w:rsidR="00573985" w:rsidRPr="008D7149">
        <w:rPr>
          <w:rFonts w:ascii="Times New Roman" w:eastAsia="Times New Roman" w:hAnsi="Times New Roman" w:cs="Times New Roman"/>
          <w:szCs w:val="24"/>
        </w:rPr>
        <w:t>jest otwarty</w:t>
      </w:r>
      <w:r w:rsidR="00935883" w:rsidRPr="008D7149">
        <w:rPr>
          <w:rFonts w:ascii="Times New Roman" w:eastAsia="Times New Roman" w:hAnsi="Times New Roman" w:cs="Times New Roman"/>
          <w:szCs w:val="24"/>
        </w:rPr>
        <w:t xml:space="preserve">, </w:t>
      </w:r>
      <w:r w:rsidR="002E31D6" w:rsidRPr="008D7149">
        <w:rPr>
          <w:rFonts w:ascii="Times New Roman" w:eastAsia="Times New Roman" w:hAnsi="Times New Roman" w:cs="Times New Roman"/>
          <w:szCs w:val="24"/>
        </w:rPr>
        <w:t xml:space="preserve">ponieważ </w:t>
      </w:r>
      <w:r w:rsidR="00573985" w:rsidRPr="008D7149">
        <w:rPr>
          <w:rFonts w:ascii="Times New Roman" w:eastAsia="Times New Roman" w:hAnsi="Times New Roman" w:cs="Times New Roman"/>
          <w:szCs w:val="24"/>
        </w:rPr>
        <w:t xml:space="preserve">zamknięcie ww. katalogu niosłoby </w:t>
      </w:r>
      <w:r w:rsidR="008856C0" w:rsidRPr="008D7149">
        <w:rPr>
          <w:rFonts w:ascii="Times New Roman" w:eastAsia="Times New Roman" w:hAnsi="Times New Roman" w:cs="Times New Roman"/>
          <w:szCs w:val="24"/>
        </w:rPr>
        <w:t>negatywne konsekwencje dla nabywców listów zastawnych.</w:t>
      </w:r>
    </w:p>
    <w:p w14:paraId="1953071C" w14:textId="44E9445D" w:rsidR="00F639BC" w:rsidRDefault="00935883" w:rsidP="008D7149">
      <w:pPr>
        <w:autoSpaceDE w:val="0"/>
        <w:autoSpaceDN w:val="0"/>
        <w:adjustRightInd w:val="0"/>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lastRenderedPageBreak/>
        <w:t>Jednocześnie p</w:t>
      </w:r>
      <w:r w:rsidR="00E53CC4" w:rsidRPr="008D7149">
        <w:rPr>
          <w:rFonts w:ascii="Times New Roman" w:eastAsia="Times New Roman" w:hAnsi="Times New Roman" w:cs="Times New Roman"/>
          <w:sz w:val="24"/>
          <w:szCs w:val="24"/>
        </w:rPr>
        <w:t xml:space="preserve">odkreślenia </w:t>
      </w:r>
      <w:r w:rsidRPr="008D7149">
        <w:rPr>
          <w:rFonts w:ascii="Times New Roman" w:eastAsia="Times New Roman" w:hAnsi="Times New Roman" w:cs="Times New Roman"/>
          <w:sz w:val="24"/>
          <w:szCs w:val="24"/>
        </w:rPr>
        <w:t>w</w:t>
      </w:r>
      <w:r w:rsidR="00E53CC4" w:rsidRPr="008D7149">
        <w:rPr>
          <w:rFonts w:ascii="Times New Roman" w:eastAsia="Times New Roman" w:hAnsi="Times New Roman" w:cs="Times New Roman"/>
          <w:sz w:val="24"/>
          <w:szCs w:val="24"/>
        </w:rPr>
        <w:t>ymaga, że warunki emisji ze względu na charakter tego dokumentu, co do zasady</w:t>
      </w:r>
      <w:r w:rsidR="00CD1F4A">
        <w:rPr>
          <w:rFonts w:ascii="Times New Roman" w:eastAsia="Times New Roman" w:hAnsi="Times New Roman" w:cs="Times New Roman"/>
          <w:sz w:val="24"/>
          <w:szCs w:val="24"/>
        </w:rPr>
        <w:t>,</w:t>
      </w:r>
      <w:r w:rsidR="00E53CC4" w:rsidRPr="008D7149">
        <w:rPr>
          <w:rFonts w:ascii="Times New Roman" w:eastAsia="Times New Roman" w:hAnsi="Times New Roman" w:cs="Times New Roman"/>
          <w:sz w:val="24"/>
          <w:szCs w:val="24"/>
        </w:rPr>
        <w:t xml:space="preserve"> nie zawierają</w:t>
      </w:r>
      <w:r w:rsidRPr="008D7149">
        <w:rPr>
          <w:rFonts w:ascii="Times New Roman" w:eastAsia="Times New Roman" w:hAnsi="Times New Roman" w:cs="Times New Roman"/>
          <w:sz w:val="24"/>
          <w:szCs w:val="24"/>
        </w:rPr>
        <w:t xml:space="preserve"> danych osobowych</w:t>
      </w:r>
      <w:r w:rsidR="002E31D6" w:rsidRPr="008D7149">
        <w:rPr>
          <w:rFonts w:ascii="Times New Roman" w:eastAsia="Times New Roman" w:hAnsi="Times New Roman" w:cs="Times New Roman"/>
          <w:sz w:val="24"/>
          <w:szCs w:val="24"/>
        </w:rPr>
        <w:t xml:space="preserve">. Jeżeli zaś dane osobowe znalazłyby się w warunkach emisji, to związane byłoby to z pełnieniem przez osoby, których dane osobowe byłyby zawarte w tych warunkach, określonych </w:t>
      </w:r>
      <w:r w:rsidR="00E53CC4" w:rsidRPr="008D7149">
        <w:rPr>
          <w:rFonts w:ascii="Times New Roman" w:eastAsia="Times New Roman" w:hAnsi="Times New Roman" w:cs="Times New Roman"/>
          <w:sz w:val="24"/>
          <w:szCs w:val="24"/>
        </w:rPr>
        <w:t>obowiązków</w:t>
      </w:r>
      <w:r w:rsidR="002E31D6" w:rsidRPr="008D7149">
        <w:rPr>
          <w:rFonts w:ascii="Times New Roman" w:eastAsia="Times New Roman" w:hAnsi="Times New Roman" w:cs="Times New Roman"/>
          <w:sz w:val="24"/>
          <w:szCs w:val="24"/>
        </w:rPr>
        <w:t>. W takim przypadku dane takich osób będą podlegały</w:t>
      </w:r>
      <w:r w:rsidR="00E53CC4" w:rsidRPr="008D7149">
        <w:rPr>
          <w:rFonts w:ascii="Times New Roman" w:eastAsia="Times New Roman" w:hAnsi="Times New Roman" w:cs="Times New Roman"/>
          <w:sz w:val="24"/>
          <w:szCs w:val="24"/>
        </w:rPr>
        <w:t xml:space="preserve"> ochronie na zasadach ogólnych w oparciu o regulacje RODO</w:t>
      </w:r>
      <w:r w:rsidR="002F2A64" w:rsidRPr="008D7149">
        <w:rPr>
          <w:rFonts w:ascii="Times New Roman" w:eastAsia="Times New Roman" w:hAnsi="Times New Roman" w:cs="Times New Roman"/>
          <w:sz w:val="24"/>
          <w:szCs w:val="24"/>
        </w:rPr>
        <w:t xml:space="preserve"> (</w:t>
      </w:r>
      <w:r w:rsidR="002F2A64" w:rsidRPr="008D7149">
        <w:rPr>
          <w:rFonts w:ascii="Times New Roman" w:hAnsi="Times New Roman" w:cs="Times New Roman"/>
          <w:sz w:val="24"/>
          <w:szCs w:val="24"/>
        </w:rPr>
        <w:t>Rozporządzenie Parlamentu Europejskiego i</w:t>
      </w:r>
      <w:r w:rsidR="00CD1F4A">
        <w:rPr>
          <w:rFonts w:ascii="Times New Roman" w:hAnsi="Times New Roman" w:cs="Times New Roman"/>
          <w:sz w:val="24"/>
          <w:szCs w:val="24"/>
        </w:rPr>
        <w:t xml:space="preserve"> </w:t>
      </w:r>
      <w:r w:rsidR="002F2A64" w:rsidRPr="008D7149">
        <w:rPr>
          <w:rFonts w:ascii="Times New Roman" w:hAnsi="Times New Roman" w:cs="Times New Roman"/>
          <w:sz w:val="24"/>
          <w:szCs w:val="24"/>
        </w:rPr>
        <w:t>Rady (UE) 2016/679 z dnia 27 kwietnia 2016 r. w</w:t>
      </w:r>
      <w:r w:rsidR="00CD1F4A">
        <w:rPr>
          <w:rFonts w:ascii="Times New Roman" w:hAnsi="Times New Roman" w:cs="Times New Roman"/>
          <w:sz w:val="24"/>
          <w:szCs w:val="24"/>
        </w:rPr>
        <w:t xml:space="preserve"> </w:t>
      </w:r>
      <w:r w:rsidR="002F2A64" w:rsidRPr="008D7149">
        <w:rPr>
          <w:rFonts w:ascii="Times New Roman" w:hAnsi="Times New Roman" w:cs="Times New Roman"/>
          <w:sz w:val="24"/>
          <w:szCs w:val="24"/>
        </w:rPr>
        <w:t>sprawie ochrony osób fizycznych w</w:t>
      </w:r>
      <w:r w:rsidR="00CD1F4A">
        <w:rPr>
          <w:rFonts w:ascii="Times New Roman" w:hAnsi="Times New Roman" w:cs="Times New Roman"/>
          <w:sz w:val="24"/>
          <w:szCs w:val="24"/>
        </w:rPr>
        <w:t xml:space="preserve"> </w:t>
      </w:r>
      <w:r w:rsidR="002F2A64" w:rsidRPr="008D7149">
        <w:rPr>
          <w:rFonts w:ascii="Times New Roman" w:hAnsi="Times New Roman" w:cs="Times New Roman"/>
          <w:sz w:val="24"/>
          <w:szCs w:val="24"/>
        </w:rPr>
        <w:t>związku z</w:t>
      </w:r>
      <w:r w:rsidR="00CD1F4A">
        <w:rPr>
          <w:rFonts w:ascii="Times New Roman" w:hAnsi="Times New Roman" w:cs="Times New Roman"/>
          <w:sz w:val="24"/>
          <w:szCs w:val="24"/>
        </w:rPr>
        <w:t xml:space="preserve"> </w:t>
      </w:r>
      <w:r w:rsidR="002F2A64" w:rsidRPr="008D7149">
        <w:rPr>
          <w:rFonts w:ascii="Times New Roman" w:hAnsi="Times New Roman" w:cs="Times New Roman"/>
          <w:sz w:val="24"/>
          <w:szCs w:val="24"/>
        </w:rPr>
        <w:t>przetwarzaniem danych osobowych i</w:t>
      </w:r>
      <w:r w:rsidR="00CD1F4A">
        <w:rPr>
          <w:rFonts w:ascii="Times New Roman" w:hAnsi="Times New Roman" w:cs="Times New Roman"/>
          <w:sz w:val="24"/>
          <w:szCs w:val="24"/>
        </w:rPr>
        <w:t xml:space="preserve"> </w:t>
      </w:r>
      <w:r w:rsidR="002F2A64" w:rsidRPr="008D7149">
        <w:rPr>
          <w:rFonts w:ascii="Times New Roman" w:hAnsi="Times New Roman" w:cs="Times New Roman"/>
          <w:sz w:val="24"/>
          <w:szCs w:val="24"/>
        </w:rPr>
        <w:t>w sprawie swobodnego przepływu takich danych oraz uchylenia dyrektywy 95/46/WE)</w:t>
      </w:r>
      <w:r w:rsidR="00A37232" w:rsidRPr="008D7149">
        <w:rPr>
          <w:rFonts w:ascii="Times New Roman" w:eastAsia="Times New Roman" w:hAnsi="Times New Roman" w:cs="Times New Roman"/>
          <w:sz w:val="24"/>
          <w:szCs w:val="24"/>
        </w:rPr>
        <w:t>.</w:t>
      </w:r>
    </w:p>
    <w:p w14:paraId="4F4D7E03" w14:textId="6FBF4F53" w:rsidR="00916F04" w:rsidRPr="00F639BC" w:rsidRDefault="00EF441C" w:rsidP="008D7149">
      <w:pPr>
        <w:autoSpaceDE w:val="0"/>
        <w:autoSpaceDN w:val="0"/>
        <w:adjustRightInd w:val="0"/>
        <w:spacing w:before="120" w:after="0" w:line="360" w:lineRule="auto"/>
        <w:jc w:val="both"/>
        <w:rPr>
          <w:rFonts w:ascii="Times New Roman" w:eastAsia="Times New Roman" w:hAnsi="Times New Roman" w:cs="Times New Roman"/>
          <w:sz w:val="24"/>
          <w:szCs w:val="24"/>
        </w:rPr>
      </w:pPr>
      <w:r w:rsidRPr="008D7149">
        <w:rPr>
          <w:rFonts w:ascii="Times New Roman" w:hAnsi="Times New Roman" w:cs="Times New Roman"/>
          <w:sz w:val="24"/>
          <w:szCs w:val="24"/>
        </w:rPr>
        <w:t>W projektowanym brzmieniu</w:t>
      </w:r>
      <w:r w:rsidRPr="008D7149">
        <w:rPr>
          <w:rFonts w:ascii="Times New Roman" w:hAnsi="Times New Roman" w:cs="Times New Roman"/>
          <w:b/>
          <w:sz w:val="24"/>
          <w:szCs w:val="24"/>
        </w:rPr>
        <w:t xml:space="preserve"> art. 7b</w:t>
      </w:r>
      <w:r w:rsidRPr="008D7149">
        <w:rPr>
          <w:rFonts w:ascii="Times New Roman" w:hAnsi="Times New Roman" w:cs="Times New Roman"/>
          <w:sz w:val="24"/>
          <w:szCs w:val="24"/>
        </w:rPr>
        <w:t xml:space="preserve"> Ustawy sformułowano generalną zasadę</w:t>
      </w:r>
      <w:r w:rsidR="00E903EC" w:rsidRPr="008D7149">
        <w:rPr>
          <w:rFonts w:ascii="Times New Roman" w:hAnsi="Times New Roman" w:cs="Times New Roman"/>
          <w:sz w:val="24"/>
          <w:szCs w:val="24"/>
        </w:rPr>
        <w:t xml:space="preserve"> określającą</w:t>
      </w:r>
      <w:r w:rsidRPr="008D7149">
        <w:rPr>
          <w:rFonts w:ascii="Times New Roman" w:hAnsi="Times New Roman" w:cs="Times New Roman"/>
          <w:sz w:val="24"/>
          <w:szCs w:val="24"/>
        </w:rPr>
        <w:t>, kiedy jest możliwe przedłużenie terminu wykupu listu zastawnego określonego w umowie – tj. w przypadku ogłoszenia upadłości banku hipotecznego</w:t>
      </w:r>
      <w:r w:rsidR="0036329E" w:rsidRPr="008D7149">
        <w:rPr>
          <w:rFonts w:ascii="Times New Roman" w:hAnsi="Times New Roman" w:cs="Times New Roman"/>
          <w:sz w:val="24"/>
          <w:szCs w:val="24"/>
        </w:rPr>
        <w:t xml:space="preserve"> oraz wszczęcia przymusowej restrukturyzacji banku hipotecznego</w:t>
      </w:r>
      <w:r w:rsidRPr="008D7149">
        <w:rPr>
          <w:rFonts w:ascii="Times New Roman" w:hAnsi="Times New Roman" w:cs="Times New Roman"/>
          <w:sz w:val="24"/>
          <w:szCs w:val="24"/>
        </w:rPr>
        <w:t>.</w:t>
      </w:r>
      <w:r w:rsidRPr="008D7149">
        <w:rPr>
          <w:rFonts w:ascii="Times New Roman" w:eastAsia="Calibri" w:hAnsi="Times New Roman" w:cs="Times New Roman"/>
          <w:sz w:val="24"/>
          <w:szCs w:val="24"/>
        </w:rPr>
        <w:t xml:space="preserve"> Art. 446 ustawy</w:t>
      </w:r>
      <w:r w:rsidR="00E903EC" w:rsidRPr="008D7149">
        <w:rPr>
          <w:rFonts w:ascii="Times New Roman" w:hAnsi="Times New Roman" w:cs="Times New Roman"/>
          <w:sz w:val="24"/>
          <w:szCs w:val="24"/>
        </w:rPr>
        <w:t xml:space="preserve"> z dnia 28 lutego 2003 r. </w:t>
      </w:r>
      <w:r w:rsidRPr="008D7149">
        <w:rPr>
          <w:rFonts w:ascii="Times New Roman" w:eastAsia="Calibri" w:hAnsi="Times New Roman" w:cs="Times New Roman"/>
          <w:sz w:val="24"/>
          <w:szCs w:val="24"/>
        </w:rPr>
        <w:t xml:space="preserve">– </w:t>
      </w:r>
      <w:r w:rsidRPr="003A0918">
        <w:rPr>
          <w:rFonts w:ascii="Times New Roman" w:eastAsia="Calibri" w:hAnsi="Times New Roman" w:cs="Times New Roman"/>
          <w:sz w:val="24"/>
          <w:szCs w:val="24"/>
        </w:rPr>
        <w:t xml:space="preserve">Prawo upadłościowe </w:t>
      </w:r>
      <w:r w:rsidRPr="008D7149">
        <w:rPr>
          <w:rFonts w:ascii="Times New Roman" w:eastAsia="Calibri" w:hAnsi="Times New Roman" w:cs="Times New Roman"/>
          <w:sz w:val="24"/>
          <w:szCs w:val="24"/>
        </w:rPr>
        <w:t>stanowi o przedłużeniu terminów wymagalności zobowiązań upadłego banku hipotecznego o 12 miesięcy.</w:t>
      </w:r>
      <w:r w:rsidR="00963D08" w:rsidRPr="008D7149">
        <w:rPr>
          <w:rFonts w:ascii="Times New Roman" w:eastAsia="Calibri" w:hAnsi="Times New Roman" w:cs="Times New Roman"/>
          <w:sz w:val="24"/>
          <w:szCs w:val="24"/>
        </w:rPr>
        <w:t xml:space="preserve"> </w:t>
      </w:r>
      <w:r w:rsidR="0036329E" w:rsidRPr="008D7149">
        <w:rPr>
          <w:rFonts w:ascii="Times New Roman" w:eastAsia="Calibri" w:hAnsi="Times New Roman" w:cs="Times New Roman"/>
          <w:sz w:val="24"/>
          <w:szCs w:val="24"/>
        </w:rPr>
        <w:t xml:space="preserve">Analogiczne rozwiązanie </w:t>
      </w:r>
      <w:r w:rsidR="007A2955" w:rsidRPr="008D7149">
        <w:rPr>
          <w:rFonts w:ascii="Times New Roman" w:eastAsia="Calibri" w:hAnsi="Times New Roman" w:cs="Times New Roman"/>
          <w:sz w:val="24"/>
          <w:szCs w:val="24"/>
        </w:rPr>
        <w:t xml:space="preserve">w zakresie przedłużenia terminu wykupu listów zastawnych </w:t>
      </w:r>
      <w:r w:rsidR="0036329E" w:rsidRPr="008D7149">
        <w:rPr>
          <w:rFonts w:ascii="Times New Roman" w:eastAsia="Calibri" w:hAnsi="Times New Roman" w:cs="Times New Roman"/>
          <w:sz w:val="24"/>
          <w:szCs w:val="24"/>
        </w:rPr>
        <w:t>przewidziano w przypadku przymusowej restrukturyzacji</w:t>
      </w:r>
      <w:r w:rsidR="006B41F9" w:rsidRPr="008D7149">
        <w:rPr>
          <w:rFonts w:ascii="Times New Roman" w:eastAsia="Calibri" w:hAnsi="Times New Roman" w:cs="Times New Roman"/>
          <w:sz w:val="24"/>
          <w:szCs w:val="24"/>
        </w:rPr>
        <w:t xml:space="preserve"> banku hipotecznego, co zgodnie z motywem 24 dyrektywy 2019/2162 mogłoby ułatwić uporządkowaną likwidację instytucji kredytowych emitujących obligacje zabezpieczone.</w:t>
      </w:r>
      <w:r w:rsidR="00CC5DA7" w:rsidRPr="008D7149">
        <w:rPr>
          <w:rFonts w:ascii="Times New Roman" w:eastAsia="Calibri" w:hAnsi="Times New Roman" w:cs="Times New Roman"/>
          <w:sz w:val="24"/>
          <w:szCs w:val="24"/>
        </w:rPr>
        <w:t xml:space="preserve"> </w:t>
      </w:r>
      <w:r w:rsidR="00916F04" w:rsidRPr="008D7149">
        <w:rPr>
          <w:rFonts w:ascii="Times New Roman" w:eastAsia="Calibri" w:hAnsi="Times New Roman" w:cs="Times New Roman"/>
          <w:sz w:val="24"/>
          <w:szCs w:val="24"/>
        </w:rPr>
        <w:t>Ponadto doprecyzowano, że terminy i sposób płatności odsetek w tym przypadku określają warunki emisji.</w:t>
      </w:r>
    </w:p>
    <w:p w14:paraId="6AE80C08" w14:textId="77777777" w:rsidR="00EF441C" w:rsidRPr="008D7149" w:rsidRDefault="00916F04" w:rsidP="008D7149">
      <w:pPr>
        <w:autoSpaceDE w:val="0"/>
        <w:autoSpaceDN w:val="0"/>
        <w:adjustRightInd w:val="0"/>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Zauważenia wymaga, ż</w:t>
      </w:r>
      <w:r w:rsidR="002E31D6" w:rsidRPr="008D7149">
        <w:rPr>
          <w:rFonts w:ascii="Times New Roman" w:eastAsia="Calibri" w:hAnsi="Times New Roman" w:cs="Times New Roman"/>
          <w:sz w:val="24"/>
          <w:szCs w:val="24"/>
        </w:rPr>
        <w:t>e</w:t>
      </w:r>
      <w:r w:rsidRPr="008D7149">
        <w:rPr>
          <w:rFonts w:ascii="Times New Roman" w:eastAsia="Calibri" w:hAnsi="Times New Roman" w:cs="Times New Roman"/>
          <w:sz w:val="24"/>
          <w:szCs w:val="24"/>
        </w:rPr>
        <w:t xml:space="preserve"> a</w:t>
      </w:r>
      <w:r w:rsidR="00EF441C" w:rsidRPr="008D7149">
        <w:rPr>
          <w:rFonts w:ascii="Times New Roman" w:eastAsia="Calibri" w:hAnsi="Times New Roman" w:cs="Times New Roman"/>
          <w:sz w:val="24"/>
          <w:szCs w:val="24"/>
        </w:rPr>
        <w:t>rt. 17</w:t>
      </w:r>
      <w:r w:rsidR="001759C5" w:rsidRPr="008D7149">
        <w:rPr>
          <w:rFonts w:ascii="Times New Roman" w:eastAsia="Calibri" w:hAnsi="Times New Roman" w:cs="Times New Roman"/>
          <w:sz w:val="24"/>
          <w:szCs w:val="24"/>
        </w:rPr>
        <w:t xml:space="preserve"> </w:t>
      </w:r>
      <w:r w:rsidR="00EF441C" w:rsidRPr="008D7149">
        <w:rPr>
          <w:rFonts w:ascii="Times New Roman" w:hAnsi="Times New Roman" w:cs="Times New Roman"/>
          <w:sz w:val="24"/>
          <w:szCs w:val="24"/>
        </w:rPr>
        <w:t xml:space="preserve">dyrektywy </w:t>
      </w:r>
      <w:r w:rsidR="00EF441C" w:rsidRPr="008D7149">
        <w:rPr>
          <w:rFonts w:ascii="Times New Roman" w:eastAsia="Calibri" w:hAnsi="Times New Roman" w:cs="Times New Roman"/>
          <w:sz w:val="24"/>
          <w:szCs w:val="24"/>
        </w:rPr>
        <w:t>2019/2162</w:t>
      </w:r>
      <w:r w:rsidR="00EF441C" w:rsidRPr="008D7149">
        <w:rPr>
          <w:rFonts w:ascii="Times New Roman" w:hAnsi="Times New Roman" w:cs="Times New Roman"/>
          <w:sz w:val="24"/>
          <w:szCs w:val="24"/>
        </w:rPr>
        <w:t xml:space="preserve"> wyłącza uznaniowość instytucji </w:t>
      </w:r>
      <w:r w:rsidR="00EF441C" w:rsidRPr="008D7149">
        <w:rPr>
          <w:rFonts w:ascii="Times New Roman" w:eastAsia="Calibri" w:hAnsi="Times New Roman" w:cs="Times New Roman"/>
          <w:sz w:val="24"/>
          <w:szCs w:val="24"/>
        </w:rPr>
        <w:t xml:space="preserve">kredytowej emitującej obligacje zabezpieczone w zakresie przedłużenia terminu ich zapadalności. Proponowane brzmienie art. 7b Ustawy przesądza o możliwości przedłużenia terminu wykupu listów zastawnych w </w:t>
      </w:r>
      <w:r w:rsidR="00E55241" w:rsidRPr="008D7149">
        <w:rPr>
          <w:rFonts w:ascii="Times New Roman" w:eastAsia="Calibri" w:hAnsi="Times New Roman" w:cs="Times New Roman"/>
          <w:sz w:val="24"/>
          <w:szCs w:val="24"/>
        </w:rPr>
        <w:t>określonych przypadkach</w:t>
      </w:r>
      <w:r w:rsidR="00EF441C" w:rsidRPr="008D7149">
        <w:rPr>
          <w:rFonts w:ascii="Times New Roman" w:eastAsia="Calibri" w:hAnsi="Times New Roman" w:cs="Times New Roman"/>
          <w:sz w:val="24"/>
          <w:szCs w:val="24"/>
        </w:rPr>
        <w:t>, potwierdzając tym samym przywołane przepisy dyrektywy.</w:t>
      </w:r>
    </w:p>
    <w:p w14:paraId="404911F3" w14:textId="6E22DE3E" w:rsidR="00C50042" w:rsidRPr="008D7149" w:rsidRDefault="00B94F06" w:rsidP="008D7149">
      <w:pPr>
        <w:autoSpaceDE w:val="0"/>
        <w:autoSpaceDN w:val="0"/>
        <w:adjustRightInd w:val="0"/>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W </w:t>
      </w:r>
      <w:r w:rsidR="00C62727" w:rsidRPr="008D7149">
        <w:rPr>
          <w:rFonts w:ascii="Times New Roman" w:hAnsi="Times New Roman" w:cs="Times New Roman"/>
          <w:sz w:val="24"/>
          <w:szCs w:val="24"/>
        </w:rPr>
        <w:t>projektowanym brzmieniu</w:t>
      </w:r>
      <w:r w:rsidR="00C62727" w:rsidRPr="008D7149">
        <w:rPr>
          <w:rFonts w:ascii="Times New Roman" w:hAnsi="Times New Roman" w:cs="Times New Roman"/>
          <w:b/>
          <w:sz w:val="24"/>
          <w:szCs w:val="24"/>
        </w:rPr>
        <w:t xml:space="preserve"> </w:t>
      </w:r>
      <w:r w:rsidRPr="008D7149">
        <w:rPr>
          <w:rFonts w:ascii="Times New Roman" w:eastAsia="Calibri" w:hAnsi="Times New Roman" w:cs="Times New Roman"/>
          <w:b/>
          <w:sz w:val="24"/>
          <w:szCs w:val="24"/>
        </w:rPr>
        <w:t>art. 7c</w:t>
      </w:r>
      <w:r w:rsidRPr="008D7149">
        <w:rPr>
          <w:rFonts w:ascii="Times New Roman" w:eastAsia="Calibri" w:hAnsi="Times New Roman" w:cs="Times New Roman"/>
          <w:sz w:val="24"/>
          <w:szCs w:val="24"/>
        </w:rPr>
        <w:t xml:space="preserve"> </w:t>
      </w:r>
      <w:r w:rsidR="00E903EC" w:rsidRPr="008D7149">
        <w:rPr>
          <w:rFonts w:ascii="Times New Roman" w:eastAsia="Calibri" w:hAnsi="Times New Roman" w:cs="Times New Roman"/>
          <w:sz w:val="24"/>
          <w:szCs w:val="24"/>
        </w:rPr>
        <w:t xml:space="preserve">Ustawy </w:t>
      </w:r>
      <w:r w:rsidRPr="008D7149">
        <w:rPr>
          <w:rFonts w:ascii="Times New Roman" w:eastAsia="Calibri" w:hAnsi="Times New Roman" w:cs="Times New Roman"/>
          <w:sz w:val="24"/>
          <w:szCs w:val="24"/>
        </w:rPr>
        <w:t xml:space="preserve">ustanowiono </w:t>
      </w:r>
      <w:r w:rsidR="00E903EC" w:rsidRPr="008D7149">
        <w:rPr>
          <w:rFonts w:ascii="Times New Roman" w:eastAsia="Calibri" w:hAnsi="Times New Roman" w:cs="Times New Roman"/>
          <w:sz w:val="24"/>
          <w:szCs w:val="24"/>
        </w:rPr>
        <w:t xml:space="preserve">zasady </w:t>
      </w:r>
      <w:r w:rsidR="0068002A" w:rsidRPr="008D7149">
        <w:rPr>
          <w:rFonts w:ascii="Times New Roman" w:eastAsia="Calibri" w:hAnsi="Times New Roman" w:cs="Times New Roman"/>
          <w:sz w:val="24"/>
          <w:szCs w:val="24"/>
        </w:rPr>
        <w:t>dotycząc</w:t>
      </w:r>
      <w:r w:rsidR="000F0173" w:rsidRPr="008D7149">
        <w:rPr>
          <w:rFonts w:ascii="Times New Roman" w:eastAsia="Calibri" w:hAnsi="Times New Roman" w:cs="Times New Roman"/>
          <w:sz w:val="24"/>
          <w:szCs w:val="24"/>
        </w:rPr>
        <w:t>e</w:t>
      </w:r>
      <w:r w:rsidR="0068002A" w:rsidRPr="008D7149">
        <w:rPr>
          <w:rFonts w:ascii="Times New Roman" w:eastAsia="Calibri" w:hAnsi="Times New Roman" w:cs="Times New Roman"/>
          <w:sz w:val="24"/>
          <w:szCs w:val="24"/>
        </w:rPr>
        <w:t xml:space="preserve"> </w:t>
      </w:r>
      <w:r w:rsidR="00037108" w:rsidRPr="008D7149">
        <w:rPr>
          <w:rFonts w:ascii="Times New Roman" w:eastAsia="Calibri" w:hAnsi="Times New Roman" w:cs="Times New Roman"/>
          <w:sz w:val="24"/>
          <w:szCs w:val="24"/>
        </w:rPr>
        <w:t>współpracy organ</w:t>
      </w:r>
      <w:r w:rsidR="000623E6" w:rsidRPr="008D7149">
        <w:rPr>
          <w:rFonts w:ascii="Times New Roman" w:eastAsia="Calibri" w:hAnsi="Times New Roman" w:cs="Times New Roman"/>
          <w:sz w:val="24"/>
          <w:szCs w:val="24"/>
        </w:rPr>
        <w:t>u</w:t>
      </w:r>
      <w:r w:rsidR="00037108" w:rsidRPr="008D7149">
        <w:rPr>
          <w:rFonts w:ascii="Times New Roman" w:eastAsia="Calibri" w:hAnsi="Times New Roman" w:cs="Times New Roman"/>
          <w:sz w:val="24"/>
          <w:szCs w:val="24"/>
        </w:rPr>
        <w:t xml:space="preserve"> </w:t>
      </w:r>
      <w:r w:rsidR="00B477CF" w:rsidRPr="008D7149">
        <w:rPr>
          <w:rFonts w:ascii="Times New Roman" w:eastAsia="Calibri" w:hAnsi="Times New Roman" w:cs="Times New Roman"/>
          <w:sz w:val="24"/>
          <w:szCs w:val="24"/>
        </w:rPr>
        <w:t xml:space="preserve">nadzoru </w:t>
      </w:r>
      <w:r w:rsidR="00037108" w:rsidRPr="008D7149">
        <w:rPr>
          <w:rFonts w:ascii="Times New Roman" w:eastAsia="Calibri" w:hAnsi="Times New Roman" w:cs="Times New Roman"/>
          <w:sz w:val="24"/>
          <w:szCs w:val="24"/>
        </w:rPr>
        <w:t>z</w:t>
      </w:r>
      <w:r w:rsidR="0068002A" w:rsidRPr="008D7149">
        <w:rPr>
          <w:rFonts w:ascii="Times New Roman" w:eastAsia="Calibri" w:hAnsi="Times New Roman" w:cs="Times New Roman"/>
          <w:sz w:val="24"/>
          <w:szCs w:val="24"/>
        </w:rPr>
        <w:t xml:space="preserve"> organem</w:t>
      </w:r>
      <w:r w:rsidR="000623E6" w:rsidRPr="008D7149">
        <w:rPr>
          <w:rFonts w:ascii="Times New Roman" w:eastAsia="Calibri" w:hAnsi="Times New Roman" w:cs="Times New Roman"/>
          <w:sz w:val="24"/>
          <w:szCs w:val="24"/>
        </w:rPr>
        <w:t xml:space="preserve"> </w:t>
      </w:r>
      <w:r w:rsidR="00A447A6" w:rsidRPr="008D7149">
        <w:rPr>
          <w:rFonts w:ascii="Times New Roman" w:eastAsia="Calibri" w:hAnsi="Times New Roman" w:cs="Times New Roman"/>
          <w:sz w:val="24"/>
          <w:szCs w:val="24"/>
        </w:rPr>
        <w:t xml:space="preserve">przymusowej restrukturyzacji, co </w:t>
      </w:r>
      <w:r w:rsidR="00DE4673" w:rsidRPr="008D7149">
        <w:rPr>
          <w:rFonts w:ascii="Times New Roman" w:eastAsia="Calibri" w:hAnsi="Times New Roman" w:cs="Times New Roman"/>
          <w:sz w:val="24"/>
          <w:szCs w:val="24"/>
        </w:rPr>
        <w:t xml:space="preserve">odzwierciedla treść </w:t>
      </w:r>
      <w:r w:rsidR="00A447A6" w:rsidRPr="008D7149">
        <w:rPr>
          <w:rFonts w:ascii="Times New Roman" w:eastAsia="Calibri" w:hAnsi="Times New Roman" w:cs="Times New Roman"/>
          <w:sz w:val="24"/>
          <w:szCs w:val="24"/>
        </w:rPr>
        <w:t xml:space="preserve">art. 20 dyrektywy 2019/2162. </w:t>
      </w:r>
      <w:r w:rsidR="007C3462" w:rsidRPr="008D7149">
        <w:rPr>
          <w:rFonts w:ascii="Times New Roman" w:eastAsia="Calibri" w:hAnsi="Times New Roman" w:cs="Times New Roman"/>
          <w:sz w:val="24"/>
          <w:szCs w:val="24"/>
        </w:rPr>
        <w:t>Projektowane przepisy pozwolą na zabezpieczenie praw i interesów inwestorów nabywających listy zastawne oraz wymianę informacji w zakresie niezbędnym do realizacji przymusowej restrukturyzacji</w:t>
      </w:r>
      <w:r w:rsidR="00A447A6" w:rsidRPr="008D7149">
        <w:rPr>
          <w:rFonts w:ascii="Times New Roman" w:eastAsia="Calibri" w:hAnsi="Times New Roman" w:cs="Times New Roman"/>
          <w:sz w:val="24"/>
          <w:szCs w:val="24"/>
        </w:rPr>
        <w:t xml:space="preserve"> i</w:t>
      </w:r>
      <w:r w:rsidR="007C3462" w:rsidRPr="008D7149">
        <w:rPr>
          <w:rFonts w:ascii="Times New Roman" w:eastAsia="Calibri" w:hAnsi="Times New Roman" w:cs="Times New Roman"/>
          <w:sz w:val="24"/>
          <w:szCs w:val="24"/>
        </w:rPr>
        <w:t xml:space="preserve"> prowadzenia postępowania upadłościowego</w:t>
      </w:r>
      <w:r w:rsidR="002705BB" w:rsidRPr="008D7149">
        <w:rPr>
          <w:rFonts w:ascii="Times New Roman" w:eastAsia="Calibri" w:hAnsi="Times New Roman" w:cs="Times New Roman"/>
          <w:sz w:val="24"/>
          <w:szCs w:val="24"/>
        </w:rPr>
        <w:t xml:space="preserve"> </w:t>
      </w:r>
      <w:r w:rsidR="00C62727" w:rsidRPr="008D7149">
        <w:rPr>
          <w:rFonts w:ascii="Times New Roman" w:eastAsia="Calibri" w:hAnsi="Times New Roman" w:cs="Times New Roman"/>
          <w:sz w:val="24"/>
          <w:szCs w:val="24"/>
        </w:rPr>
        <w:t xml:space="preserve">wobec </w:t>
      </w:r>
      <w:r w:rsidR="002705BB" w:rsidRPr="008D7149">
        <w:rPr>
          <w:rFonts w:ascii="Times New Roman" w:eastAsia="Calibri" w:hAnsi="Times New Roman" w:cs="Times New Roman"/>
          <w:sz w:val="24"/>
          <w:szCs w:val="24"/>
        </w:rPr>
        <w:t>banku hipotecznego</w:t>
      </w:r>
      <w:r w:rsidR="00C62727" w:rsidRPr="008D7149">
        <w:rPr>
          <w:rFonts w:ascii="Times New Roman" w:eastAsia="Calibri" w:hAnsi="Times New Roman" w:cs="Times New Roman"/>
          <w:sz w:val="24"/>
          <w:szCs w:val="24"/>
        </w:rPr>
        <w:t>. Projektowane brzmienie</w:t>
      </w:r>
      <w:r w:rsidR="007C3462" w:rsidRPr="008D7149">
        <w:rPr>
          <w:rFonts w:ascii="Times New Roman" w:eastAsia="Calibri" w:hAnsi="Times New Roman" w:cs="Times New Roman"/>
          <w:sz w:val="24"/>
          <w:szCs w:val="24"/>
        </w:rPr>
        <w:t xml:space="preserve"> </w:t>
      </w:r>
      <w:r w:rsidR="00C62727" w:rsidRPr="008D7149">
        <w:rPr>
          <w:rFonts w:ascii="Times New Roman" w:eastAsia="Calibri" w:hAnsi="Times New Roman" w:cs="Times New Roman"/>
          <w:sz w:val="24"/>
          <w:szCs w:val="24"/>
        </w:rPr>
        <w:t>a</w:t>
      </w:r>
      <w:r w:rsidR="002705BB" w:rsidRPr="008D7149">
        <w:rPr>
          <w:rFonts w:ascii="Times New Roman" w:eastAsia="Calibri" w:hAnsi="Times New Roman" w:cs="Times New Roman"/>
          <w:sz w:val="24"/>
          <w:szCs w:val="24"/>
        </w:rPr>
        <w:t>rt. 7c ust. 2</w:t>
      </w:r>
      <w:r w:rsidR="00DE4673" w:rsidRPr="008D7149">
        <w:rPr>
          <w:rFonts w:ascii="Times New Roman" w:eastAsia="Calibri" w:hAnsi="Times New Roman" w:cs="Times New Roman"/>
          <w:sz w:val="24"/>
          <w:szCs w:val="24"/>
        </w:rPr>
        <w:t xml:space="preserve"> </w:t>
      </w:r>
      <w:r w:rsidR="00C62727" w:rsidRPr="008D7149">
        <w:rPr>
          <w:rFonts w:ascii="Times New Roman" w:eastAsia="Calibri" w:hAnsi="Times New Roman" w:cs="Times New Roman"/>
          <w:sz w:val="24"/>
          <w:szCs w:val="24"/>
        </w:rPr>
        <w:t xml:space="preserve">Ustawy </w:t>
      </w:r>
      <w:r w:rsidR="00DE4673" w:rsidRPr="008D7149">
        <w:rPr>
          <w:rFonts w:ascii="Times New Roman" w:eastAsia="Calibri" w:hAnsi="Times New Roman" w:cs="Times New Roman"/>
          <w:sz w:val="24"/>
          <w:szCs w:val="24"/>
        </w:rPr>
        <w:t xml:space="preserve">dotyczy </w:t>
      </w:r>
      <w:r w:rsidR="002705BB" w:rsidRPr="008D7149">
        <w:rPr>
          <w:rFonts w:ascii="Times New Roman" w:eastAsia="Calibri" w:hAnsi="Times New Roman" w:cs="Times New Roman"/>
          <w:sz w:val="24"/>
          <w:szCs w:val="24"/>
        </w:rPr>
        <w:t>wzajemn</w:t>
      </w:r>
      <w:r w:rsidR="00DE4673" w:rsidRPr="008D7149">
        <w:rPr>
          <w:rFonts w:ascii="Times New Roman" w:eastAsia="Calibri" w:hAnsi="Times New Roman" w:cs="Times New Roman"/>
          <w:sz w:val="24"/>
          <w:szCs w:val="24"/>
        </w:rPr>
        <w:t>ej</w:t>
      </w:r>
      <w:r w:rsidR="002705BB" w:rsidRPr="008D7149">
        <w:rPr>
          <w:rFonts w:ascii="Times New Roman" w:eastAsia="Calibri" w:hAnsi="Times New Roman" w:cs="Times New Roman"/>
          <w:sz w:val="24"/>
          <w:szCs w:val="24"/>
        </w:rPr>
        <w:t xml:space="preserve"> </w:t>
      </w:r>
      <w:r w:rsidR="00DE4673" w:rsidRPr="008D7149">
        <w:rPr>
          <w:rFonts w:ascii="Times New Roman" w:eastAsia="Calibri" w:hAnsi="Times New Roman" w:cs="Times New Roman"/>
          <w:sz w:val="24"/>
          <w:szCs w:val="24"/>
        </w:rPr>
        <w:t>wymiany</w:t>
      </w:r>
      <w:r w:rsidR="002705BB" w:rsidRPr="008D7149">
        <w:rPr>
          <w:rFonts w:ascii="Times New Roman" w:eastAsia="Calibri" w:hAnsi="Times New Roman" w:cs="Times New Roman"/>
          <w:sz w:val="24"/>
          <w:szCs w:val="24"/>
        </w:rPr>
        <w:t xml:space="preserve"> informacji między </w:t>
      </w:r>
      <w:r w:rsidR="008A0285" w:rsidRPr="008D7149">
        <w:rPr>
          <w:rFonts w:ascii="Times New Roman" w:eastAsia="Calibri" w:hAnsi="Times New Roman" w:cs="Times New Roman"/>
          <w:sz w:val="24"/>
          <w:szCs w:val="24"/>
        </w:rPr>
        <w:t>KNF</w:t>
      </w:r>
      <w:r w:rsidR="002705BB" w:rsidRPr="008D7149">
        <w:rPr>
          <w:rFonts w:ascii="Times New Roman" w:eastAsia="Calibri" w:hAnsi="Times New Roman" w:cs="Times New Roman"/>
          <w:sz w:val="24"/>
          <w:szCs w:val="24"/>
        </w:rPr>
        <w:t xml:space="preserve"> oraz kuratorem </w:t>
      </w:r>
      <w:r w:rsidR="002B6DB8" w:rsidRPr="008D7149">
        <w:rPr>
          <w:rFonts w:ascii="Times New Roman" w:eastAsia="Calibri" w:hAnsi="Times New Roman" w:cs="Times New Roman"/>
          <w:sz w:val="24"/>
          <w:szCs w:val="24"/>
        </w:rPr>
        <w:t xml:space="preserve">reprezentującym w postępowaniu </w:t>
      </w:r>
      <w:r w:rsidR="002B6DB8" w:rsidRPr="008D7149">
        <w:rPr>
          <w:rFonts w:ascii="Times New Roman" w:eastAsia="Calibri" w:hAnsi="Times New Roman" w:cs="Times New Roman"/>
          <w:sz w:val="24"/>
          <w:szCs w:val="24"/>
        </w:rPr>
        <w:lastRenderedPageBreak/>
        <w:t>upadłościowym prawa posiadaczy listów zastawnych</w:t>
      </w:r>
      <w:r w:rsidR="00C50042" w:rsidRPr="008D7149">
        <w:rPr>
          <w:rFonts w:ascii="Times New Roman" w:eastAsia="Calibri" w:hAnsi="Times New Roman" w:cs="Times New Roman"/>
          <w:sz w:val="24"/>
          <w:szCs w:val="24"/>
        </w:rPr>
        <w:t xml:space="preserve">, co </w:t>
      </w:r>
      <w:r w:rsidR="00C62727" w:rsidRPr="008D7149">
        <w:rPr>
          <w:rFonts w:ascii="Times New Roman" w:eastAsia="Calibri" w:hAnsi="Times New Roman" w:cs="Times New Roman"/>
          <w:sz w:val="24"/>
          <w:szCs w:val="24"/>
        </w:rPr>
        <w:t xml:space="preserve">stanowi </w:t>
      </w:r>
      <w:r w:rsidR="00DE4673" w:rsidRPr="008D7149">
        <w:rPr>
          <w:rFonts w:ascii="Times New Roman" w:eastAsia="Calibri" w:hAnsi="Times New Roman" w:cs="Times New Roman"/>
          <w:sz w:val="24"/>
          <w:szCs w:val="24"/>
        </w:rPr>
        <w:t>wdr</w:t>
      </w:r>
      <w:r w:rsidR="00C62727" w:rsidRPr="008D7149">
        <w:rPr>
          <w:rFonts w:ascii="Times New Roman" w:eastAsia="Calibri" w:hAnsi="Times New Roman" w:cs="Times New Roman"/>
          <w:sz w:val="24"/>
          <w:szCs w:val="24"/>
        </w:rPr>
        <w:t>ożenie</w:t>
      </w:r>
      <w:r w:rsidR="00C50042" w:rsidRPr="008D7149">
        <w:rPr>
          <w:rFonts w:ascii="Times New Roman" w:eastAsia="Calibri" w:hAnsi="Times New Roman" w:cs="Times New Roman"/>
          <w:sz w:val="24"/>
          <w:szCs w:val="24"/>
        </w:rPr>
        <w:t xml:space="preserve"> art. 20 ust. 4 </w:t>
      </w:r>
      <w:r w:rsidR="00DE4673" w:rsidRPr="008D7149">
        <w:rPr>
          <w:rFonts w:ascii="Times New Roman" w:eastAsia="Calibri" w:hAnsi="Times New Roman" w:cs="Times New Roman"/>
          <w:sz w:val="24"/>
          <w:szCs w:val="24"/>
        </w:rPr>
        <w:t>dyrektywy</w:t>
      </w:r>
      <w:r w:rsidR="00C62727" w:rsidRPr="008D7149">
        <w:rPr>
          <w:rFonts w:ascii="Times New Roman" w:eastAsia="Calibri" w:hAnsi="Times New Roman" w:cs="Times New Roman"/>
          <w:sz w:val="24"/>
          <w:szCs w:val="24"/>
        </w:rPr>
        <w:t xml:space="preserve"> 2019/2162</w:t>
      </w:r>
      <w:r w:rsidR="00DE4673" w:rsidRPr="008D7149">
        <w:rPr>
          <w:rFonts w:ascii="Times New Roman" w:eastAsia="Calibri" w:hAnsi="Times New Roman" w:cs="Times New Roman"/>
          <w:sz w:val="24"/>
          <w:szCs w:val="24"/>
        </w:rPr>
        <w:t>.</w:t>
      </w:r>
    </w:p>
    <w:p w14:paraId="66E8F2D6" w14:textId="77777777" w:rsidR="00B17E40"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Projektowane brzmienie </w:t>
      </w:r>
      <w:r w:rsidRPr="008D7149">
        <w:rPr>
          <w:rFonts w:ascii="Times New Roman" w:hAnsi="Times New Roman" w:cs="Times New Roman"/>
          <w:b/>
          <w:sz w:val="24"/>
          <w:szCs w:val="24"/>
        </w:rPr>
        <w:t>art. 7</w:t>
      </w:r>
      <w:r w:rsidR="00AB25EE" w:rsidRPr="008D7149">
        <w:rPr>
          <w:rFonts w:ascii="Times New Roman" w:hAnsi="Times New Roman" w:cs="Times New Roman"/>
          <w:b/>
          <w:sz w:val="24"/>
          <w:szCs w:val="24"/>
        </w:rPr>
        <w:t>d</w:t>
      </w:r>
      <w:r w:rsidRPr="008D7149">
        <w:rPr>
          <w:rFonts w:ascii="Times New Roman" w:hAnsi="Times New Roman" w:cs="Times New Roman"/>
          <w:sz w:val="24"/>
          <w:szCs w:val="24"/>
        </w:rPr>
        <w:t xml:space="preserve"> Ustawy stanowi implementację art. 27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zgodnie z którym państwa członkowskie mogą wprowadzić przepisy zezwalające na stosowanie przez emitentów oznaczeń europejskich w połączeniu z krajowymi nazwami i oznaczeniami obligacji zabezpieczonych. Projektowany przepis umożliwia krajowym bankom hipotecznym stosowanie oznaczeń „</w:t>
      </w:r>
      <w:r w:rsidRPr="008D7149">
        <w:rPr>
          <w:rFonts w:ascii="Times New Roman" w:hAnsi="Times New Roman" w:cs="Times New Roman"/>
          <w:i/>
          <w:sz w:val="24"/>
          <w:szCs w:val="24"/>
        </w:rPr>
        <w:t>europejska obligacja zabezpieczona</w:t>
      </w:r>
      <w:r w:rsidRPr="008D7149">
        <w:rPr>
          <w:rFonts w:ascii="Times New Roman" w:hAnsi="Times New Roman" w:cs="Times New Roman"/>
          <w:sz w:val="24"/>
          <w:szCs w:val="24"/>
        </w:rPr>
        <w:t>” i „</w:t>
      </w:r>
      <w:r w:rsidRPr="008D7149">
        <w:rPr>
          <w:rFonts w:ascii="Times New Roman" w:hAnsi="Times New Roman" w:cs="Times New Roman"/>
          <w:i/>
          <w:sz w:val="24"/>
          <w:szCs w:val="24"/>
        </w:rPr>
        <w:t>europejska obligacja zabezpieczona (premium)</w:t>
      </w:r>
      <w:r w:rsidRPr="008D7149">
        <w:rPr>
          <w:rFonts w:ascii="Times New Roman" w:hAnsi="Times New Roman" w:cs="Times New Roman"/>
          <w:sz w:val="24"/>
          <w:szCs w:val="24"/>
        </w:rPr>
        <w:t xml:space="preserve">” na warunkach określonych w projektowanej ustawie. Jak wskazuje się w motywie nr 17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oznaczenia te mają na celu ułatwienie inwestorom oceny jakości obligacji zabezpieczonych i tym samym zwiększenie ich atrakcyjności jako instrumentu inwestycyjnego zarówno w Unii Europejskiej, jak i poza nią.</w:t>
      </w:r>
    </w:p>
    <w:p w14:paraId="7B50E203" w14:textId="77777777" w:rsidR="00CC1E5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Zmiany w </w:t>
      </w:r>
      <w:r w:rsidRPr="008D7149">
        <w:rPr>
          <w:rFonts w:ascii="Times New Roman" w:hAnsi="Times New Roman" w:cs="Times New Roman"/>
          <w:b/>
          <w:sz w:val="24"/>
          <w:szCs w:val="24"/>
        </w:rPr>
        <w:t xml:space="preserve">art. 12 </w:t>
      </w:r>
      <w:r w:rsidRPr="008D7149">
        <w:rPr>
          <w:rFonts w:ascii="Times New Roman" w:hAnsi="Times New Roman" w:cs="Times New Roman"/>
          <w:sz w:val="24"/>
          <w:szCs w:val="24"/>
        </w:rPr>
        <w:t>Ustawy (w zakresie pkt 2</w:t>
      </w:r>
      <w:r w:rsidR="00FE165A" w:rsidRPr="008D7149">
        <w:rPr>
          <w:rFonts w:ascii="Times New Roman" w:hAnsi="Times New Roman" w:cs="Times New Roman"/>
          <w:sz w:val="24"/>
          <w:szCs w:val="24"/>
        </w:rPr>
        <w:t>, 3a</w:t>
      </w:r>
      <w:r w:rsidRPr="008D7149">
        <w:rPr>
          <w:rFonts w:ascii="Times New Roman" w:hAnsi="Times New Roman" w:cs="Times New Roman"/>
          <w:sz w:val="24"/>
          <w:szCs w:val="24"/>
        </w:rPr>
        <w:t xml:space="preserve"> i 5) mają charakter dostosowujący do projektowanej zmiany art. 3 ust. 2 Ustawy (dodanie punktu 4).</w:t>
      </w:r>
      <w:r w:rsidR="00DE3539" w:rsidRPr="008D7149">
        <w:rPr>
          <w:rFonts w:ascii="Times New Roman" w:hAnsi="Times New Roman" w:cs="Times New Roman"/>
          <w:sz w:val="24"/>
          <w:szCs w:val="24"/>
        </w:rPr>
        <w:t xml:space="preserve"> W odniesieniu do zmiany w pkt 3a, należy </w:t>
      </w:r>
      <w:r w:rsidR="00CC1E5C" w:rsidRPr="008D7149">
        <w:rPr>
          <w:rFonts w:ascii="Times New Roman" w:hAnsi="Times New Roman" w:cs="Times New Roman"/>
          <w:sz w:val="24"/>
          <w:szCs w:val="24"/>
        </w:rPr>
        <w:t>podkreślić</w:t>
      </w:r>
      <w:r w:rsidR="00DE3539" w:rsidRPr="008D7149">
        <w:rPr>
          <w:rFonts w:ascii="Times New Roman" w:hAnsi="Times New Roman" w:cs="Times New Roman"/>
          <w:sz w:val="24"/>
          <w:szCs w:val="24"/>
        </w:rPr>
        <w:t>, że rozszerzenie podstawy emisji</w:t>
      </w:r>
      <w:r w:rsidR="00A270B2" w:rsidRPr="008D7149">
        <w:rPr>
          <w:rFonts w:ascii="Times New Roman" w:hAnsi="Times New Roman" w:cs="Times New Roman"/>
          <w:sz w:val="24"/>
          <w:szCs w:val="24"/>
        </w:rPr>
        <w:t xml:space="preserve"> publicznych</w:t>
      </w:r>
      <w:r w:rsidR="00DE3539" w:rsidRPr="008D7149">
        <w:rPr>
          <w:rFonts w:ascii="Times New Roman" w:hAnsi="Times New Roman" w:cs="Times New Roman"/>
          <w:sz w:val="24"/>
          <w:szCs w:val="24"/>
        </w:rPr>
        <w:t xml:space="preserve"> listów zastawnych o </w:t>
      </w:r>
      <w:r w:rsidR="00A270B2" w:rsidRPr="008D7149">
        <w:rPr>
          <w:rFonts w:ascii="Times New Roman" w:hAnsi="Times New Roman" w:cs="Times New Roman"/>
          <w:sz w:val="24"/>
          <w:szCs w:val="24"/>
        </w:rPr>
        <w:t>wierzytelności banku hipotecznego z tytułu nabytych papierów wartościowych, w</w:t>
      </w:r>
      <w:r w:rsidR="00CC1E5C" w:rsidRPr="008D7149">
        <w:rPr>
          <w:rFonts w:ascii="Times New Roman" w:hAnsi="Times New Roman" w:cs="Times New Roman"/>
          <w:sz w:val="24"/>
          <w:szCs w:val="24"/>
        </w:rPr>
        <w:t xml:space="preserve">skazanych </w:t>
      </w:r>
      <w:r w:rsidR="00A270B2" w:rsidRPr="008D7149">
        <w:rPr>
          <w:rFonts w:ascii="Times New Roman" w:hAnsi="Times New Roman" w:cs="Times New Roman"/>
          <w:sz w:val="24"/>
          <w:szCs w:val="24"/>
        </w:rPr>
        <w:t>w dodawanym pkt 4 w art. 3 ust. 2</w:t>
      </w:r>
      <w:r w:rsidR="00982858" w:rsidRPr="008D7149">
        <w:rPr>
          <w:rFonts w:ascii="Times New Roman" w:hAnsi="Times New Roman" w:cs="Times New Roman"/>
          <w:sz w:val="24"/>
          <w:szCs w:val="24"/>
        </w:rPr>
        <w:t xml:space="preserve"> Ustawy</w:t>
      </w:r>
      <w:r w:rsidR="00A270B2" w:rsidRPr="008D7149">
        <w:rPr>
          <w:rFonts w:ascii="Times New Roman" w:hAnsi="Times New Roman" w:cs="Times New Roman"/>
          <w:sz w:val="24"/>
          <w:szCs w:val="24"/>
        </w:rPr>
        <w:t xml:space="preserve">, które mogą być zaliczane jako aktywa podstawowe, skutkowało koniecznością </w:t>
      </w:r>
      <w:r w:rsidR="00CC1E5C" w:rsidRPr="008D7149">
        <w:rPr>
          <w:rFonts w:ascii="Times New Roman" w:hAnsi="Times New Roman" w:cs="Times New Roman"/>
          <w:sz w:val="24"/>
          <w:szCs w:val="24"/>
        </w:rPr>
        <w:t>stosownej nowelizacji art. 12 Ustawy</w:t>
      </w:r>
      <w:r w:rsidR="00982858" w:rsidRPr="008D7149">
        <w:rPr>
          <w:rFonts w:ascii="Times New Roman" w:hAnsi="Times New Roman" w:cs="Times New Roman"/>
          <w:sz w:val="24"/>
          <w:szCs w:val="24"/>
        </w:rPr>
        <w:t xml:space="preserve"> </w:t>
      </w:r>
      <w:r w:rsidR="00CC1E5C" w:rsidRPr="008D7149">
        <w:rPr>
          <w:rFonts w:ascii="Times New Roman" w:hAnsi="Times New Roman" w:cs="Times New Roman"/>
          <w:sz w:val="24"/>
          <w:szCs w:val="24"/>
        </w:rPr>
        <w:t>przez uwzględnienie nabywania przedmiotowych papierów wartościowych w katalogu podstawowych czynności banku hipotecznego.</w:t>
      </w:r>
    </w:p>
    <w:p w14:paraId="157C672A" w14:textId="56DA3C53" w:rsidR="00696142" w:rsidRPr="008D7149" w:rsidRDefault="00EF441C"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 xml:space="preserve">Dodawany do Ustawy </w:t>
      </w:r>
      <w:r w:rsidRPr="008D7149">
        <w:rPr>
          <w:rFonts w:ascii="Times New Roman" w:hAnsi="Times New Roman" w:cs="Times New Roman"/>
          <w:b/>
          <w:szCs w:val="24"/>
        </w:rPr>
        <w:t>art. 12a ust. 1</w:t>
      </w:r>
      <w:r w:rsidRPr="008D7149">
        <w:rPr>
          <w:rFonts w:ascii="Times New Roman" w:hAnsi="Times New Roman" w:cs="Times New Roman"/>
          <w:szCs w:val="24"/>
        </w:rPr>
        <w:t xml:space="preserve"> konstytuuje zasadę, zgodnie z którą emitowanie listów zastawnych przez bank hipoteczny </w:t>
      </w:r>
      <w:r w:rsidR="006C7898" w:rsidRPr="008D7149">
        <w:rPr>
          <w:rFonts w:ascii="Times New Roman" w:hAnsi="Times New Roman" w:cs="Times New Roman"/>
          <w:szCs w:val="24"/>
        </w:rPr>
        <w:t xml:space="preserve">jest </w:t>
      </w:r>
      <w:r w:rsidRPr="008D7149">
        <w:rPr>
          <w:rFonts w:ascii="Times New Roman" w:hAnsi="Times New Roman" w:cs="Times New Roman"/>
          <w:szCs w:val="24"/>
        </w:rPr>
        <w:t>dokonywane w ramach programu emisji listów zastawnych</w:t>
      </w:r>
      <w:r w:rsidR="00C56568" w:rsidRPr="008D7149">
        <w:rPr>
          <w:rFonts w:ascii="Times New Roman" w:hAnsi="Times New Roman" w:cs="Times New Roman"/>
          <w:szCs w:val="24"/>
        </w:rPr>
        <w:t xml:space="preserve">, </w:t>
      </w:r>
      <w:r w:rsidR="00080C43" w:rsidRPr="008D7149">
        <w:rPr>
          <w:rFonts w:ascii="Times New Roman" w:hAnsi="Times New Roman" w:cs="Times New Roman"/>
          <w:szCs w:val="24"/>
        </w:rPr>
        <w:t xml:space="preserve">po uzyskaniu </w:t>
      </w:r>
      <w:r w:rsidR="00846FAC" w:rsidRPr="008D7149">
        <w:rPr>
          <w:rFonts w:ascii="Times New Roman" w:hAnsi="Times New Roman" w:cs="Times New Roman"/>
          <w:bCs/>
          <w:szCs w:val="24"/>
        </w:rPr>
        <w:t xml:space="preserve">zezwolenia </w:t>
      </w:r>
      <w:r w:rsidR="008A0285" w:rsidRPr="008D7149">
        <w:rPr>
          <w:rFonts w:ascii="Times New Roman" w:hAnsi="Times New Roman" w:cs="Times New Roman"/>
          <w:bCs/>
          <w:szCs w:val="24"/>
        </w:rPr>
        <w:t>KNF</w:t>
      </w:r>
      <w:r w:rsidR="00696142" w:rsidRPr="008D7149">
        <w:rPr>
          <w:rFonts w:ascii="Times New Roman" w:hAnsi="Times New Roman" w:cs="Times New Roman"/>
          <w:bCs/>
          <w:szCs w:val="24"/>
        </w:rPr>
        <w:t xml:space="preserve"> </w:t>
      </w:r>
      <w:r w:rsidR="00846FAC" w:rsidRPr="008D7149">
        <w:rPr>
          <w:rFonts w:ascii="Times New Roman" w:hAnsi="Times New Roman" w:cs="Times New Roman"/>
          <w:bCs/>
          <w:szCs w:val="24"/>
        </w:rPr>
        <w:t xml:space="preserve">na utworzenie banku hipotecznego </w:t>
      </w:r>
      <w:r w:rsidR="00696142" w:rsidRPr="008D7149">
        <w:rPr>
          <w:rFonts w:ascii="Times New Roman" w:hAnsi="Times New Roman" w:cs="Times New Roman"/>
          <w:bCs/>
          <w:szCs w:val="24"/>
        </w:rPr>
        <w:t xml:space="preserve">oraz </w:t>
      </w:r>
      <w:r w:rsidR="00846FAC" w:rsidRPr="008D7149">
        <w:rPr>
          <w:rFonts w:ascii="Times New Roman" w:hAnsi="Times New Roman" w:cs="Times New Roman"/>
          <w:bCs/>
          <w:szCs w:val="24"/>
        </w:rPr>
        <w:t>zezwolenia na rozpoczęcie działalności przez bank hipoteczny</w:t>
      </w:r>
      <w:r w:rsidR="00A34E9B" w:rsidRPr="008D7149">
        <w:rPr>
          <w:rFonts w:ascii="Times New Roman" w:hAnsi="Times New Roman" w:cs="Times New Roman"/>
          <w:bCs/>
          <w:szCs w:val="24"/>
        </w:rPr>
        <w:t xml:space="preserve"> lub </w:t>
      </w:r>
      <w:r w:rsidR="00696142" w:rsidRPr="008D7149">
        <w:rPr>
          <w:rFonts w:ascii="Times New Roman" w:hAnsi="Times New Roman" w:cs="Times New Roman"/>
          <w:szCs w:val="24"/>
        </w:rPr>
        <w:t>zezwolenia na zmianę statutu banku hipotecznego.</w:t>
      </w:r>
    </w:p>
    <w:p w14:paraId="608E80BC" w14:textId="4232D614" w:rsidR="00706CEA" w:rsidRPr="008D7149" w:rsidRDefault="00706CEA"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 xml:space="preserve">Należy wskazać, że bank </w:t>
      </w:r>
      <w:r w:rsidR="00E84875" w:rsidRPr="008D7149">
        <w:rPr>
          <w:rFonts w:ascii="Times New Roman" w:hAnsi="Times New Roman" w:cs="Times New Roman"/>
          <w:szCs w:val="24"/>
        </w:rPr>
        <w:t xml:space="preserve">hipoteczny </w:t>
      </w:r>
      <w:r w:rsidRPr="008D7149">
        <w:rPr>
          <w:rFonts w:ascii="Times New Roman" w:hAnsi="Times New Roman" w:cs="Times New Roman"/>
          <w:szCs w:val="24"/>
        </w:rPr>
        <w:t>może realizować wiele emisji listów zastawnych w oparciu o udzielone zezwolenie. Celem projektodawcy jest to, aby pojęcie „program emisji listów zastawnych” dotyczyło programu emisji hipotecznych listów zastawnych, programu emisji publicznych listów zastawnych albo programu emisji zarówno hipotecznych, jak i publicznych listów zastawnych.</w:t>
      </w:r>
    </w:p>
    <w:p w14:paraId="55ED9B44" w14:textId="1ACE9DF5" w:rsidR="00F872EC" w:rsidRPr="008D7149" w:rsidRDefault="00137AA1"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N</w:t>
      </w:r>
      <w:r w:rsidR="00EF441C" w:rsidRPr="008D7149">
        <w:rPr>
          <w:rFonts w:ascii="Times New Roman" w:hAnsi="Times New Roman" w:cs="Times New Roman"/>
          <w:szCs w:val="24"/>
        </w:rPr>
        <w:t xml:space="preserve">a podstawie projektowanego brzmienia </w:t>
      </w:r>
      <w:r w:rsidR="00EF441C" w:rsidRPr="008D7149">
        <w:rPr>
          <w:rFonts w:ascii="Times New Roman" w:hAnsi="Times New Roman" w:cs="Times New Roman"/>
          <w:b/>
          <w:szCs w:val="24"/>
        </w:rPr>
        <w:t xml:space="preserve">art. 12a ust. 2 </w:t>
      </w:r>
      <w:r w:rsidR="003A16E5" w:rsidRPr="008D7149">
        <w:rPr>
          <w:rFonts w:ascii="Times New Roman" w:hAnsi="Times New Roman" w:cs="Times New Roman"/>
          <w:szCs w:val="24"/>
        </w:rPr>
        <w:t>Ustawy</w:t>
      </w:r>
      <w:r w:rsidR="003A16E5" w:rsidRPr="008D7149">
        <w:rPr>
          <w:rFonts w:ascii="Times New Roman" w:hAnsi="Times New Roman" w:cs="Times New Roman"/>
          <w:b/>
          <w:szCs w:val="24"/>
        </w:rPr>
        <w:t xml:space="preserve"> </w:t>
      </w:r>
      <w:r w:rsidR="008A0285" w:rsidRPr="008D7149">
        <w:rPr>
          <w:rFonts w:ascii="Times New Roman" w:hAnsi="Times New Roman" w:cs="Times New Roman"/>
          <w:szCs w:val="24"/>
        </w:rPr>
        <w:t>KNF</w:t>
      </w:r>
      <w:r w:rsidRPr="008D7149">
        <w:rPr>
          <w:rFonts w:ascii="Times New Roman" w:hAnsi="Times New Roman" w:cs="Times New Roman"/>
          <w:szCs w:val="24"/>
        </w:rPr>
        <w:t xml:space="preserve"> dokonuje oceny przygotowania banku hipotecznego do </w:t>
      </w:r>
      <w:r w:rsidR="001B4A31" w:rsidRPr="008D7149">
        <w:rPr>
          <w:rFonts w:ascii="Times New Roman" w:hAnsi="Times New Roman" w:cs="Times New Roman"/>
          <w:szCs w:val="24"/>
        </w:rPr>
        <w:t>emitowania listów zastawnych w ramach</w:t>
      </w:r>
      <w:r w:rsidRPr="008D7149">
        <w:rPr>
          <w:rFonts w:ascii="Times New Roman" w:hAnsi="Times New Roman" w:cs="Times New Roman"/>
          <w:szCs w:val="24"/>
        </w:rPr>
        <w:t xml:space="preserve"> programu emisji listów zastawnych. Ocena ta </w:t>
      </w:r>
      <w:r w:rsidR="00731AB0" w:rsidRPr="008D7149">
        <w:rPr>
          <w:rFonts w:ascii="Times New Roman" w:hAnsi="Times New Roman" w:cs="Times New Roman"/>
          <w:szCs w:val="24"/>
        </w:rPr>
        <w:t xml:space="preserve">jest </w:t>
      </w:r>
      <w:r w:rsidRPr="008D7149">
        <w:rPr>
          <w:rFonts w:ascii="Times New Roman" w:hAnsi="Times New Roman" w:cs="Times New Roman"/>
          <w:szCs w:val="24"/>
        </w:rPr>
        <w:t xml:space="preserve">dokonywana w toku postępowania o wydanie </w:t>
      </w:r>
      <w:r w:rsidRPr="008D7149">
        <w:rPr>
          <w:rFonts w:ascii="Times New Roman" w:hAnsi="Times New Roman" w:cs="Times New Roman"/>
          <w:szCs w:val="24"/>
        </w:rPr>
        <w:lastRenderedPageBreak/>
        <w:t xml:space="preserve">zezwolenia na utworzenie banku hipotecznego i postępowania </w:t>
      </w:r>
      <w:r w:rsidR="00731AB0" w:rsidRPr="008D7149">
        <w:rPr>
          <w:rFonts w:ascii="Times New Roman" w:hAnsi="Times New Roman" w:cs="Times New Roman"/>
          <w:szCs w:val="24"/>
        </w:rPr>
        <w:t xml:space="preserve">o wydanie zezwolenia na </w:t>
      </w:r>
      <w:r w:rsidRPr="008D7149">
        <w:rPr>
          <w:rFonts w:ascii="Times New Roman" w:hAnsi="Times New Roman" w:cs="Times New Roman"/>
          <w:szCs w:val="24"/>
        </w:rPr>
        <w:t>rozpoczęci</w:t>
      </w:r>
      <w:r w:rsidR="00731AB0" w:rsidRPr="008D7149">
        <w:rPr>
          <w:rFonts w:ascii="Times New Roman" w:hAnsi="Times New Roman" w:cs="Times New Roman"/>
          <w:szCs w:val="24"/>
        </w:rPr>
        <w:t>e</w:t>
      </w:r>
      <w:r w:rsidRPr="008D7149">
        <w:rPr>
          <w:rFonts w:ascii="Times New Roman" w:hAnsi="Times New Roman" w:cs="Times New Roman"/>
          <w:szCs w:val="24"/>
        </w:rPr>
        <w:t xml:space="preserve"> działalności przez bank hipoteczny, zgodnie z przepisami </w:t>
      </w:r>
      <w:r w:rsidR="0076383A" w:rsidRPr="008D7149">
        <w:rPr>
          <w:rFonts w:ascii="Times New Roman" w:hAnsi="Times New Roman" w:cs="Times New Roman"/>
          <w:szCs w:val="24"/>
        </w:rPr>
        <w:t xml:space="preserve">odpowiednio </w:t>
      </w:r>
      <w:r w:rsidRPr="008D7149">
        <w:rPr>
          <w:rFonts w:ascii="Times New Roman" w:hAnsi="Times New Roman" w:cs="Times New Roman"/>
          <w:szCs w:val="24"/>
        </w:rPr>
        <w:t xml:space="preserve">art. </w:t>
      </w:r>
      <w:r w:rsidR="00080C43" w:rsidRPr="008D7149">
        <w:rPr>
          <w:rFonts w:ascii="Times New Roman" w:hAnsi="Times New Roman" w:cs="Times New Roman"/>
          <w:szCs w:val="24"/>
        </w:rPr>
        <w:t xml:space="preserve">34 ust. 1 </w:t>
      </w:r>
      <w:r w:rsidRPr="008D7149">
        <w:rPr>
          <w:rFonts w:ascii="Times New Roman" w:hAnsi="Times New Roman" w:cs="Times New Roman"/>
          <w:szCs w:val="24"/>
        </w:rPr>
        <w:t xml:space="preserve">i art. 36 </w:t>
      </w:r>
      <w:r w:rsidR="00731AB0" w:rsidRPr="008D7149">
        <w:rPr>
          <w:rFonts w:ascii="Times New Roman" w:hAnsi="Times New Roman" w:cs="Times New Roman"/>
          <w:szCs w:val="24"/>
        </w:rPr>
        <w:t xml:space="preserve">ust. 1 </w:t>
      </w:r>
      <w:r w:rsidRPr="008D7149">
        <w:rPr>
          <w:rFonts w:ascii="Times New Roman" w:hAnsi="Times New Roman" w:cs="Times New Roman"/>
          <w:szCs w:val="24"/>
        </w:rPr>
        <w:t xml:space="preserve">ustawy </w:t>
      </w:r>
      <w:r w:rsidR="0076383A" w:rsidRPr="008D7149">
        <w:rPr>
          <w:rFonts w:ascii="Times New Roman" w:hAnsi="Times New Roman" w:cs="Times New Roman"/>
          <w:szCs w:val="24"/>
        </w:rPr>
        <w:t xml:space="preserve">z dnia 29 sierpnia 1997 r. – </w:t>
      </w:r>
      <w:r w:rsidRPr="008D7149">
        <w:rPr>
          <w:rFonts w:ascii="Times New Roman" w:hAnsi="Times New Roman" w:cs="Times New Roman"/>
          <w:szCs w:val="24"/>
        </w:rPr>
        <w:t xml:space="preserve">Prawo bankowe. </w:t>
      </w:r>
      <w:r w:rsidR="00731AB0" w:rsidRPr="008D7149">
        <w:rPr>
          <w:rFonts w:ascii="Times New Roman" w:hAnsi="Times New Roman" w:cs="Times New Roman"/>
          <w:szCs w:val="24"/>
        </w:rPr>
        <w:t xml:space="preserve">Ocena przygotowania banku hipotecznego do </w:t>
      </w:r>
      <w:r w:rsidR="001B4A31" w:rsidRPr="008D7149">
        <w:rPr>
          <w:rFonts w:ascii="Times New Roman" w:hAnsi="Times New Roman" w:cs="Times New Roman"/>
          <w:szCs w:val="24"/>
        </w:rPr>
        <w:t xml:space="preserve">emitowania listów zastawnych w ramach </w:t>
      </w:r>
      <w:r w:rsidR="00731AB0" w:rsidRPr="008D7149">
        <w:rPr>
          <w:rFonts w:ascii="Times New Roman" w:hAnsi="Times New Roman" w:cs="Times New Roman"/>
          <w:szCs w:val="24"/>
        </w:rPr>
        <w:t xml:space="preserve">programu emisji listów zastawnych jest dokonywana także </w:t>
      </w:r>
      <w:r w:rsidR="00EE370E" w:rsidRPr="008D7149">
        <w:rPr>
          <w:rFonts w:ascii="Times New Roman" w:hAnsi="Times New Roman" w:cs="Times New Roman"/>
          <w:szCs w:val="24"/>
        </w:rPr>
        <w:t>w toku postę</w:t>
      </w:r>
      <w:r w:rsidR="00731AB0" w:rsidRPr="008D7149">
        <w:rPr>
          <w:rFonts w:ascii="Times New Roman" w:hAnsi="Times New Roman" w:cs="Times New Roman"/>
          <w:szCs w:val="24"/>
        </w:rPr>
        <w:t xml:space="preserve">powania o wydanie zezwolenia, o którym mowa w art. 34 ust. 2 ustawy z dnia 29 sierpnia 1997 r. – Prawo bankowe, </w:t>
      </w:r>
      <w:r w:rsidR="004D1695" w:rsidRPr="008D7149">
        <w:rPr>
          <w:rFonts w:ascii="Times New Roman" w:hAnsi="Times New Roman" w:cs="Times New Roman"/>
          <w:szCs w:val="24"/>
        </w:rPr>
        <w:t>w przypadku rozszerzenia przedmiotu działalności banku hipotecznego.</w:t>
      </w:r>
    </w:p>
    <w:p w14:paraId="176A59EB" w14:textId="0D491B3D" w:rsidR="00F872EC" w:rsidRPr="008D7149" w:rsidRDefault="00F872EC"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Powyższe rozwiązania mają na celu uwzględnienie specyfiki krajowego modelu bankowości hipotecznej, w której wykonywanie czynności w zakresie emisji hipotecznych lub publicznych listów zastawnych determinuje działalność banków hipotecznych.</w:t>
      </w:r>
    </w:p>
    <w:p w14:paraId="66085A85" w14:textId="77777777" w:rsidR="00D25647" w:rsidRPr="008D7149" w:rsidRDefault="00EC0779"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 xml:space="preserve">W </w:t>
      </w:r>
      <w:r w:rsidR="0076383A" w:rsidRPr="008D7149">
        <w:rPr>
          <w:rFonts w:ascii="Times New Roman" w:hAnsi="Times New Roman" w:cs="Times New Roman"/>
          <w:szCs w:val="24"/>
        </w:rPr>
        <w:t xml:space="preserve">projektowanym brzmieniu </w:t>
      </w:r>
      <w:r w:rsidRPr="008D7149">
        <w:rPr>
          <w:rFonts w:ascii="Times New Roman" w:hAnsi="Times New Roman" w:cs="Times New Roman"/>
          <w:b/>
          <w:szCs w:val="24"/>
        </w:rPr>
        <w:t>art. 12a ust</w:t>
      </w:r>
      <w:r w:rsidR="0076383A" w:rsidRPr="008D7149">
        <w:rPr>
          <w:rFonts w:ascii="Times New Roman" w:hAnsi="Times New Roman" w:cs="Times New Roman"/>
          <w:b/>
          <w:szCs w:val="24"/>
        </w:rPr>
        <w:t>.</w:t>
      </w:r>
      <w:r w:rsidRPr="008D7149">
        <w:rPr>
          <w:rFonts w:ascii="Times New Roman" w:hAnsi="Times New Roman" w:cs="Times New Roman"/>
          <w:b/>
          <w:szCs w:val="24"/>
        </w:rPr>
        <w:t xml:space="preserve"> </w:t>
      </w:r>
      <w:r w:rsidR="0076383A" w:rsidRPr="008D7149">
        <w:rPr>
          <w:rFonts w:ascii="Times New Roman" w:hAnsi="Times New Roman" w:cs="Times New Roman"/>
          <w:b/>
          <w:szCs w:val="24"/>
        </w:rPr>
        <w:t>3</w:t>
      </w:r>
      <w:r w:rsidRPr="008D7149">
        <w:rPr>
          <w:rFonts w:ascii="Times New Roman" w:hAnsi="Times New Roman" w:cs="Times New Roman"/>
          <w:szCs w:val="24"/>
        </w:rPr>
        <w:t xml:space="preserve"> </w:t>
      </w:r>
      <w:r w:rsidR="0076383A" w:rsidRPr="008D7149">
        <w:rPr>
          <w:rFonts w:ascii="Times New Roman" w:hAnsi="Times New Roman" w:cs="Times New Roman"/>
          <w:szCs w:val="24"/>
        </w:rPr>
        <w:t xml:space="preserve">Ustawy określono </w:t>
      </w:r>
      <w:r w:rsidRPr="008D7149">
        <w:rPr>
          <w:rFonts w:ascii="Times New Roman" w:hAnsi="Times New Roman" w:cs="Times New Roman"/>
          <w:szCs w:val="24"/>
        </w:rPr>
        <w:t>natomiast niezbędne elementy programu emisji listów zastawnych</w:t>
      </w:r>
      <w:r w:rsidR="00857AF9" w:rsidRPr="008D7149">
        <w:rPr>
          <w:rFonts w:ascii="Times New Roman" w:hAnsi="Times New Roman" w:cs="Times New Roman"/>
          <w:szCs w:val="24"/>
        </w:rPr>
        <w:t>.</w:t>
      </w:r>
    </w:p>
    <w:p w14:paraId="43442454" w14:textId="3F364BA6" w:rsidR="00845C9A" w:rsidRPr="008D7149" w:rsidRDefault="00C92FC3"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 xml:space="preserve">Zmiana </w:t>
      </w:r>
      <w:r w:rsidRPr="008D7149">
        <w:rPr>
          <w:rFonts w:ascii="Times New Roman" w:hAnsi="Times New Roman" w:cs="Times New Roman"/>
          <w:b/>
          <w:bCs/>
          <w:szCs w:val="24"/>
        </w:rPr>
        <w:t>w art. 13</w:t>
      </w:r>
      <w:r w:rsidRPr="008D7149">
        <w:rPr>
          <w:rFonts w:ascii="Times New Roman" w:hAnsi="Times New Roman" w:cs="Times New Roman"/>
          <w:szCs w:val="24"/>
        </w:rPr>
        <w:t xml:space="preserve"> Ustawy obejmuje</w:t>
      </w:r>
      <w:r w:rsidR="00BD21C9" w:rsidRPr="008D7149">
        <w:rPr>
          <w:rFonts w:ascii="Times New Roman" w:hAnsi="Times New Roman" w:cs="Times New Roman"/>
          <w:szCs w:val="24"/>
        </w:rPr>
        <w:t xml:space="preserve"> </w:t>
      </w:r>
      <w:r w:rsidR="00EF464A" w:rsidRPr="008D7149">
        <w:rPr>
          <w:rFonts w:ascii="Times New Roman" w:hAnsi="Times New Roman" w:cs="Times New Roman"/>
          <w:szCs w:val="24"/>
        </w:rPr>
        <w:t>uchylenie ust. 1</w:t>
      </w:r>
      <w:r w:rsidR="00943979" w:rsidRPr="008D7149">
        <w:rPr>
          <w:rFonts w:ascii="Times New Roman" w:hAnsi="Times New Roman" w:cs="Times New Roman"/>
          <w:szCs w:val="24"/>
        </w:rPr>
        <w:t>,</w:t>
      </w:r>
      <w:r w:rsidR="00EF464A" w:rsidRPr="008D7149">
        <w:rPr>
          <w:rFonts w:ascii="Times New Roman" w:hAnsi="Times New Roman" w:cs="Times New Roman"/>
          <w:szCs w:val="24"/>
        </w:rPr>
        <w:t xml:space="preserve"> określającego </w:t>
      </w:r>
      <w:r w:rsidR="00C56568" w:rsidRPr="008D7149">
        <w:rPr>
          <w:rFonts w:ascii="Times New Roman" w:hAnsi="Times New Roman" w:cs="Times New Roman"/>
          <w:szCs w:val="24"/>
        </w:rPr>
        <w:t xml:space="preserve">ograniczenie w zakresie </w:t>
      </w:r>
      <w:r w:rsidR="00EF464A" w:rsidRPr="008D7149">
        <w:rPr>
          <w:rFonts w:ascii="Times New Roman" w:hAnsi="Times New Roman" w:cs="Times New Roman"/>
          <w:szCs w:val="24"/>
        </w:rPr>
        <w:t>nabywania przez banki hipoteczne wierzytelności kredytowych zabezpieczonych hipotecznie oraz udzielanych kredytów w relacji do bankowo-hipotecznej wartości nieruchomości</w:t>
      </w:r>
      <w:r w:rsidR="00857AF9" w:rsidRPr="008D7149">
        <w:rPr>
          <w:rFonts w:ascii="Times New Roman" w:hAnsi="Times New Roman" w:cs="Times New Roman"/>
          <w:szCs w:val="24"/>
        </w:rPr>
        <w:t>, a także</w:t>
      </w:r>
      <w:r w:rsidR="00EF464A" w:rsidRPr="008D7149">
        <w:rPr>
          <w:rFonts w:ascii="Times New Roman" w:hAnsi="Times New Roman" w:cs="Times New Roman"/>
          <w:szCs w:val="24"/>
        </w:rPr>
        <w:t xml:space="preserve"> ogólnej kwoty wierzytelności banku hipotecznego</w:t>
      </w:r>
      <w:r w:rsidR="006A047A" w:rsidRPr="008D7149">
        <w:rPr>
          <w:rFonts w:ascii="Times New Roman" w:hAnsi="Times New Roman" w:cs="Times New Roman"/>
          <w:szCs w:val="24"/>
        </w:rPr>
        <w:t>.</w:t>
      </w:r>
      <w:r w:rsidR="00CC5DB9" w:rsidRPr="008D7149">
        <w:rPr>
          <w:rFonts w:ascii="Times New Roman" w:hAnsi="Times New Roman" w:cs="Times New Roman"/>
          <w:szCs w:val="24"/>
        </w:rPr>
        <w:t xml:space="preserve"> </w:t>
      </w:r>
      <w:r w:rsidR="0076383A" w:rsidRPr="008D7149">
        <w:rPr>
          <w:rFonts w:ascii="Times New Roman" w:hAnsi="Times New Roman" w:cs="Times New Roman"/>
          <w:szCs w:val="24"/>
        </w:rPr>
        <w:t xml:space="preserve">Wymaga jednak podkreślenia, że nadal </w:t>
      </w:r>
      <w:r w:rsidR="00EF464A" w:rsidRPr="008D7149">
        <w:rPr>
          <w:rFonts w:ascii="Times New Roman" w:hAnsi="Times New Roman" w:cs="Times New Roman"/>
          <w:szCs w:val="24"/>
        </w:rPr>
        <w:t xml:space="preserve">będą obowiązywały dotychczasowe </w:t>
      </w:r>
      <w:r w:rsidR="00CC5DB9" w:rsidRPr="008D7149">
        <w:rPr>
          <w:rFonts w:ascii="Times New Roman" w:hAnsi="Times New Roman" w:cs="Times New Roman"/>
          <w:szCs w:val="24"/>
        </w:rPr>
        <w:t>wymogi (limit</w:t>
      </w:r>
      <w:r w:rsidR="00943979" w:rsidRPr="008D7149">
        <w:rPr>
          <w:rFonts w:ascii="Times New Roman" w:hAnsi="Times New Roman" w:cs="Times New Roman"/>
          <w:szCs w:val="24"/>
        </w:rPr>
        <w:t>y</w:t>
      </w:r>
      <w:r w:rsidR="00CC5DB9" w:rsidRPr="008D7149">
        <w:rPr>
          <w:rFonts w:ascii="Times New Roman" w:hAnsi="Times New Roman" w:cs="Times New Roman"/>
          <w:szCs w:val="24"/>
        </w:rPr>
        <w:t xml:space="preserve">) </w:t>
      </w:r>
      <w:r w:rsidR="00EF464A" w:rsidRPr="008D7149">
        <w:rPr>
          <w:rFonts w:ascii="Times New Roman" w:hAnsi="Times New Roman" w:cs="Times New Roman"/>
          <w:szCs w:val="24"/>
        </w:rPr>
        <w:t>określone w art. 13 ust. 2 Ustawy.</w:t>
      </w:r>
      <w:r w:rsidR="00C51E30" w:rsidRPr="008D7149">
        <w:rPr>
          <w:rFonts w:ascii="Times New Roman" w:hAnsi="Times New Roman" w:cs="Times New Roman"/>
          <w:szCs w:val="24"/>
        </w:rPr>
        <w:t xml:space="preserve"> </w:t>
      </w:r>
      <w:r w:rsidR="00762167" w:rsidRPr="008D7149">
        <w:rPr>
          <w:rFonts w:ascii="Times New Roman" w:hAnsi="Times New Roman" w:cs="Times New Roman"/>
          <w:szCs w:val="24"/>
        </w:rPr>
        <w:t xml:space="preserve">Zgodnie z </w:t>
      </w:r>
      <w:r w:rsidR="00943979" w:rsidRPr="008D7149">
        <w:rPr>
          <w:rFonts w:ascii="Times New Roman" w:hAnsi="Times New Roman" w:cs="Times New Roman"/>
          <w:szCs w:val="24"/>
        </w:rPr>
        <w:t xml:space="preserve">ww. </w:t>
      </w:r>
      <w:r w:rsidR="00762167" w:rsidRPr="008D7149">
        <w:rPr>
          <w:rFonts w:ascii="Times New Roman" w:hAnsi="Times New Roman" w:cs="Times New Roman"/>
          <w:szCs w:val="24"/>
        </w:rPr>
        <w:t xml:space="preserve">przepisem wysokość pojedynczego kredytu zabezpieczonego hipoteką w dniu jego udzielania </w:t>
      </w:r>
      <w:r w:rsidR="00CC5DB9" w:rsidRPr="008D7149">
        <w:rPr>
          <w:rFonts w:ascii="Times New Roman" w:hAnsi="Times New Roman" w:cs="Times New Roman"/>
          <w:szCs w:val="24"/>
        </w:rPr>
        <w:t xml:space="preserve">lub </w:t>
      </w:r>
      <w:r w:rsidR="00762167" w:rsidRPr="008D7149">
        <w:rPr>
          <w:rFonts w:ascii="Times New Roman" w:hAnsi="Times New Roman" w:cs="Times New Roman"/>
          <w:szCs w:val="24"/>
        </w:rPr>
        <w:t>odpowiednio</w:t>
      </w:r>
      <w:r w:rsidR="00D25082" w:rsidRPr="008D7149">
        <w:rPr>
          <w:rFonts w:ascii="Times New Roman" w:hAnsi="Times New Roman" w:cs="Times New Roman"/>
          <w:szCs w:val="24"/>
        </w:rPr>
        <w:t xml:space="preserve"> w dniu </w:t>
      </w:r>
      <w:r w:rsidR="00D25082" w:rsidRPr="008D7149">
        <w:rPr>
          <w:rFonts w:ascii="Times New Roman" w:hAnsi="Times New Roman" w:cs="Times New Roman"/>
          <w:szCs w:val="24"/>
          <w:shd w:val="clear" w:color="auto" w:fill="FFFFFF"/>
        </w:rPr>
        <w:t>nabycia wierzytelności z tytułu takiego kredytu,</w:t>
      </w:r>
      <w:r w:rsidR="00762167" w:rsidRPr="008D7149">
        <w:rPr>
          <w:rFonts w:ascii="Times New Roman" w:hAnsi="Times New Roman" w:cs="Times New Roman"/>
          <w:szCs w:val="24"/>
        </w:rPr>
        <w:t xml:space="preserve"> w sytuacji gdy następuje nabycie przez bank hipoteczny wierzytelności z tytułu takiego kredytu</w:t>
      </w:r>
      <w:r w:rsidR="00CC5DB9" w:rsidRPr="008D7149">
        <w:rPr>
          <w:rFonts w:ascii="Times New Roman" w:hAnsi="Times New Roman" w:cs="Times New Roman"/>
          <w:szCs w:val="24"/>
        </w:rPr>
        <w:t>,</w:t>
      </w:r>
      <w:r w:rsidR="00762167" w:rsidRPr="008D7149">
        <w:rPr>
          <w:rFonts w:ascii="Times New Roman" w:hAnsi="Times New Roman" w:cs="Times New Roman"/>
          <w:szCs w:val="24"/>
        </w:rPr>
        <w:t xml:space="preserve"> nie może przekraczać </w:t>
      </w:r>
      <w:r w:rsidR="00CC5DB9" w:rsidRPr="008D7149">
        <w:rPr>
          <w:rFonts w:ascii="Times New Roman" w:hAnsi="Times New Roman" w:cs="Times New Roman"/>
          <w:szCs w:val="24"/>
        </w:rPr>
        <w:t>(</w:t>
      </w:r>
      <w:r w:rsidR="00762167" w:rsidRPr="008D7149">
        <w:rPr>
          <w:rFonts w:ascii="Times New Roman" w:hAnsi="Times New Roman" w:cs="Times New Roman"/>
          <w:szCs w:val="24"/>
        </w:rPr>
        <w:t>100%</w:t>
      </w:r>
      <w:r w:rsidR="00CC5DB9" w:rsidRPr="008D7149">
        <w:rPr>
          <w:rFonts w:ascii="Times New Roman" w:hAnsi="Times New Roman" w:cs="Times New Roman"/>
          <w:szCs w:val="24"/>
        </w:rPr>
        <w:t>)</w:t>
      </w:r>
      <w:r w:rsidR="00762167" w:rsidRPr="008D7149">
        <w:rPr>
          <w:rFonts w:ascii="Times New Roman" w:hAnsi="Times New Roman" w:cs="Times New Roman"/>
          <w:szCs w:val="24"/>
        </w:rPr>
        <w:t xml:space="preserve"> bankowo-hipotecznej wartości nieruchomości. </w:t>
      </w:r>
      <w:bookmarkStart w:id="0" w:name="mip53510508"/>
      <w:bookmarkStart w:id="1" w:name="mip53510509"/>
      <w:bookmarkStart w:id="2" w:name="mip53510510"/>
      <w:bookmarkStart w:id="3" w:name="mip53510511"/>
      <w:bookmarkEnd w:id="0"/>
      <w:bookmarkEnd w:id="1"/>
      <w:bookmarkEnd w:id="2"/>
      <w:bookmarkEnd w:id="3"/>
      <w:r w:rsidR="00CC5DB9" w:rsidRPr="008D7149">
        <w:rPr>
          <w:rFonts w:ascii="Times New Roman" w:hAnsi="Times New Roman" w:cs="Times New Roman"/>
          <w:szCs w:val="24"/>
        </w:rPr>
        <w:t>Wprowadzenie powyż</w:t>
      </w:r>
      <w:r w:rsidR="00CB3942" w:rsidRPr="008D7149">
        <w:rPr>
          <w:rFonts w:ascii="Times New Roman" w:hAnsi="Times New Roman" w:cs="Times New Roman"/>
          <w:szCs w:val="24"/>
        </w:rPr>
        <w:t>sze</w:t>
      </w:r>
      <w:r w:rsidR="00CC5DB9" w:rsidRPr="008D7149">
        <w:rPr>
          <w:rFonts w:ascii="Times New Roman" w:hAnsi="Times New Roman" w:cs="Times New Roman"/>
          <w:szCs w:val="24"/>
        </w:rPr>
        <w:t xml:space="preserve">j zmiany wychodzi naprzeciw postulatom zgłaszanym przez sektor bankowy. Jednocześnie w </w:t>
      </w:r>
      <w:r w:rsidR="00C51E30" w:rsidRPr="008D7149">
        <w:rPr>
          <w:rFonts w:ascii="Times New Roman" w:hAnsi="Times New Roman" w:cs="Times New Roman"/>
          <w:szCs w:val="24"/>
        </w:rPr>
        <w:t>p</w:t>
      </w:r>
      <w:r w:rsidRPr="008D7149">
        <w:rPr>
          <w:rFonts w:ascii="Times New Roman" w:hAnsi="Times New Roman" w:cs="Times New Roman"/>
          <w:szCs w:val="24"/>
        </w:rPr>
        <w:t>rojektowany</w:t>
      </w:r>
      <w:r w:rsidR="00C51E30" w:rsidRPr="008D7149">
        <w:rPr>
          <w:rFonts w:ascii="Times New Roman" w:hAnsi="Times New Roman" w:cs="Times New Roman"/>
          <w:szCs w:val="24"/>
        </w:rPr>
        <w:t xml:space="preserve">m </w:t>
      </w:r>
      <w:r w:rsidR="00C51E30" w:rsidRPr="008D7149">
        <w:rPr>
          <w:rFonts w:ascii="Times New Roman" w:hAnsi="Times New Roman" w:cs="Times New Roman"/>
          <w:b/>
          <w:szCs w:val="24"/>
        </w:rPr>
        <w:t>ust. 3</w:t>
      </w:r>
      <w:r w:rsidR="00C51E30" w:rsidRPr="008D7149">
        <w:rPr>
          <w:rFonts w:ascii="Times New Roman" w:hAnsi="Times New Roman" w:cs="Times New Roman"/>
          <w:szCs w:val="24"/>
        </w:rPr>
        <w:t xml:space="preserve"> </w:t>
      </w:r>
      <w:r w:rsidRPr="008D7149">
        <w:rPr>
          <w:rFonts w:ascii="Times New Roman" w:hAnsi="Times New Roman" w:cs="Times New Roman"/>
          <w:szCs w:val="24"/>
        </w:rPr>
        <w:t>zaw</w:t>
      </w:r>
      <w:r w:rsidR="00C51E30" w:rsidRPr="008D7149">
        <w:rPr>
          <w:rFonts w:ascii="Times New Roman" w:hAnsi="Times New Roman" w:cs="Times New Roman"/>
          <w:szCs w:val="24"/>
        </w:rPr>
        <w:t>arto</w:t>
      </w:r>
      <w:r w:rsidR="00F36805" w:rsidRPr="008D7149">
        <w:rPr>
          <w:rFonts w:ascii="Times New Roman" w:hAnsi="Times New Roman" w:cs="Times New Roman"/>
          <w:szCs w:val="24"/>
        </w:rPr>
        <w:t xml:space="preserve"> fakultatywn</w:t>
      </w:r>
      <w:r w:rsidR="0076383A" w:rsidRPr="008D7149">
        <w:rPr>
          <w:rFonts w:ascii="Times New Roman" w:hAnsi="Times New Roman" w:cs="Times New Roman"/>
          <w:szCs w:val="24"/>
        </w:rPr>
        <w:t xml:space="preserve">e upoważnienie ustawowe dla </w:t>
      </w:r>
      <w:r w:rsidR="00D331CA" w:rsidRPr="008D7149">
        <w:rPr>
          <w:rFonts w:ascii="Times New Roman" w:hAnsi="Times New Roman" w:cs="Times New Roman"/>
          <w:szCs w:val="24"/>
        </w:rPr>
        <w:t xml:space="preserve">ministra właściwego do spraw instytucji finansowych do </w:t>
      </w:r>
      <w:r w:rsidR="00056569" w:rsidRPr="008D7149">
        <w:rPr>
          <w:rFonts w:ascii="Times New Roman" w:hAnsi="Times New Roman" w:cs="Times New Roman"/>
          <w:szCs w:val="24"/>
        </w:rPr>
        <w:t xml:space="preserve">wydania rozporządzenia. </w:t>
      </w:r>
      <w:r w:rsidR="00F36805" w:rsidRPr="008D7149">
        <w:rPr>
          <w:rFonts w:ascii="Times New Roman" w:hAnsi="Times New Roman" w:cs="Times New Roman"/>
          <w:szCs w:val="24"/>
        </w:rPr>
        <w:t>W rozporządzeniu</w:t>
      </w:r>
      <w:r w:rsidR="0076383A" w:rsidRPr="008D7149">
        <w:rPr>
          <w:rFonts w:ascii="Times New Roman" w:hAnsi="Times New Roman" w:cs="Times New Roman"/>
          <w:szCs w:val="24"/>
        </w:rPr>
        <w:t xml:space="preserve"> tym</w:t>
      </w:r>
      <w:r w:rsidR="00F36805" w:rsidRPr="008D7149">
        <w:rPr>
          <w:rFonts w:ascii="Times New Roman" w:hAnsi="Times New Roman" w:cs="Times New Roman"/>
          <w:szCs w:val="24"/>
        </w:rPr>
        <w:t>, wyda</w:t>
      </w:r>
      <w:r w:rsidR="0076383A" w:rsidRPr="008D7149">
        <w:rPr>
          <w:rFonts w:ascii="Times New Roman" w:hAnsi="Times New Roman" w:cs="Times New Roman"/>
          <w:szCs w:val="24"/>
        </w:rPr>
        <w:t>wa</w:t>
      </w:r>
      <w:r w:rsidR="00F36805" w:rsidRPr="008D7149">
        <w:rPr>
          <w:rFonts w:ascii="Times New Roman" w:hAnsi="Times New Roman" w:cs="Times New Roman"/>
          <w:szCs w:val="24"/>
        </w:rPr>
        <w:t>nym po zasięgnięciu opinii Komitetu Stabilności Finansowej</w:t>
      </w:r>
      <w:r w:rsidR="0076383A" w:rsidRPr="008D7149">
        <w:rPr>
          <w:rFonts w:ascii="Times New Roman" w:hAnsi="Times New Roman" w:cs="Times New Roman"/>
          <w:szCs w:val="24"/>
        </w:rPr>
        <w:t>,</w:t>
      </w:r>
      <w:r w:rsidR="00035DDE" w:rsidRPr="008D7149">
        <w:rPr>
          <w:rFonts w:ascii="Times New Roman" w:hAnsi="Times New Roman" w:cs="Times New Roman"/>
          <w:szCs w:val="24"/>
        </w:rPr>
        <w:t xml:space="preserve"> będzie możliwe </w:t>
      </w:r>
      <w:r w:rsidR="005F1E03" w:rsidRPr="008D7149">
        <w:rPr>
          <w:rFonts w:ascii="Times New Roman" w:hAnsi="Times New Roman" w:cs="Times New Roman"/>
          <w:szCs w:val="24"/>
        </w:rPr>
        <w:t xml:space="preserve">określenie </w:t>
      </w:r>
      <w:r w:rsidR="00B21914" w:rsidRPr="008D7149">
        <w:rPr>
          <w:rFonts w:ascii="Times New Roman" w:hAnsi="Times New Roman" w:cs="Times New Roman"/>
          <w:szCs w:val="24"/>
        </w:rPr>
        <w:t>niższej</w:t>
      </w:r>
      <w:r w:rsidR="00137B5A" w:rsidRPr="008D7149">
        <w:rPr>
          <w:rFonts w:ascii="Times New Roman" w:hAnsi="Times New Roman" w:cs="Times New Roman"/>
          <w:szCs w:val="24"/>
        </w:rPr>
        <w:t xml:space="preserve">, </w:t>
      </w:r>
      <w:r w:rsidR="00A34E9B" w:rsidRPr="008D7149">
        <w:rPr>
          <w:rFonts w:ascii="Times New Roman" w:hAnsi="Times New Roman" w:cs="Times New Roman"/>
          <w:szCs w:val="24"/>
        </w:rPr>
        <w:t xml:space="preserve">wyrażonej w procentach, </w:t>
      </w:r>
      <w:r w:rsidR="00133DB2" w:rsidRPr="008D7149">
        <w:rPr>
          <w:rFonts w:ascii="Times New Roman" w:hAnsi="Times New Roman" w:cs="Times New Roman"/>
          <w:szCs w:val="24"/>
        </w:rPr>
        <w:t xml:space="preserve">maksymalnej </w:t>
      </w:r>
      <w:r w:rsidR="00137B5A" w:rsidRPr="008D7149">
        <w:rPr>
          <w:rFonts w:ascii="Times New Roman" w:hAnsi="Times New Roman" w:cs="Times New Roman"/>
          <w:szCs w:val="24"/>
        </w:rPr>
        <w:t>wysokości</w:t>
      </w:r>
      <w:r w:rsidR="005F1E03" w:rsidRPr="008D7149">
        <w:rPr>
          <w:rFonts w:ascii="Times New Roman" w:hAnsi="Times New Roman" w:cs="Times New Roman"/>
          <w:szCs w:val="24"/>
        </w:rPr>
        <w:t xml:space="preserve"> wskaźnika określającego dopuszczalny stosunek wysokości pojedynczego kredytu zabezpieczonego hipoteką do bankowo-hipotecznej wartości nieruchomości.</w:t>
      </w:r>
      <w:r w:rsidR="00BF0073" w:rsidRPr="008D7149">
        <w:rPr>
          <w:rFonts w:ascii="Times New Roman" w:hAnsi="Times New Roman" w:cs="Times New Roman"/>
          <w:szCs w:val="24"/>
        </w:rPr>
        <w:t xml:space="preserve"> </w:t>
      </w:r>
      <w:r w:rsidR="0076383A" w:rsidRPr="008D7149">
        <w:rPr>
          <w:rFonts w:ascii="Times New Roman" w:hAnsi="Times New Roman" w:cs="Times New Roman"/>
          <w:szCs w:val="24"/>
        </w:rPr>
        <w:t xml:space="preserve">Analogicznie </w:t>
      </w:r>
      <w:r w:rsidR="00BF0073" w:rsidRPr="008D7149">
        <w:rPr>
          <w:rFonts w:ascii="Times New Roman" w:hAnsi="Times New Roman" w:cs="Times New Roman"/>
          <w:szCs w:val="24"/>
        </w:rPr>
        <w:t>jak w ust. 2, wskaźnik określony w drodze rozporządzenia fakultatywnego</w:t>
      </w:r>
      <w:r w:rsidR="00BE001A" w:rsidRPr="008D7149">
        <w:rPr>
          <w:rFonts w:ascii="Times New Roman" w:hAnsi="Times New Roman" w:cs="Times New Roman"/>
          <w:szCs w:val="24"/>
        </w:rPr>
        <w:t xml:space="preserve"> </w:t>
      </w:r>
      <w:r w:rsidR="00733DB6" w:rsidRPr="008D7149">
        <w:rPr>
          <w:rFonts w:ascii="Times New Roman" w:hAnsi="Times New Roman" w:cs="Times New Roman"/>
          <w:szCs w:val="24"/>
        </w:rPr>
        <w:t xml:space="preserve">będzie </w:t>
      </w:r>
      <w:r w:rsidR="00D41286" w:rsidRPr="008D7149">
        <w:rPr>
          <w:rFonts w:ascii="Times New Roman" w:hAnsi="Times New Roman" w:cs="Times New Roman"/>
          <w:szCs w:val="24"/>
        </w:rPr>
        <w:t xml:space="preserve">się </w:t>
      </w:r>
      <w:r w:rsidR="008776D0" w:rsidRPr="008D7149">
        <w:rPr>
          <w:rFonts w:ascii="Times New Roman" w:hAnsi="Times New Roman" w:cs="Times New Roman"/>
          <w:szCs w:val="24"/>
        </w:rPr>
        <w:t xml:space="preserve">odnosił do stosunku wysokości pojedynczego kredytu zabezpieczonego hipoteką do bankowo-hipotecznej wartości nieruchomości w dniu jego udzielenia (w przypadku udzielania kredytów zabezpieczonych hipoteką) lub nabycia wierzytelności z tytułu takiego kredytu (przy </w:t>
      </w:r>
      <w:r w:rsidR="008776D0" w:rsidRPr="008D7149">
        <w:rPr>
          <w:rFonts w:ascii="Times New Roman" w:hAnsi="Times New Roman" w:cs="Times New Roman"/>
          <w:szCs w:val="24"/>
        </w:rPr>
        <w:lastRenderedPageBreak/>
        <w:t>nabywaniu wierzytelności innych banków z tytułu udzielonych przez nie kredytów zabezpieczonych hipoteką).</w:t>
      </w:r>
    </w:p>
    <w:p w14:paraId="360C3D39" w14:textId="072A28BB" w:rsidR="00672B93" w:rsidRPr="008D7149" w:rsidRDefault="00EF441C"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 xml:space="preserve">Projektowana zmiana </w:t>
      </w:r>
      <w:r w:rsidRPr="008D7149">
        <w:rPr>
          <w:rFonts w:ascii="Times New Roman" w:hAnsi="Times New Roman" w:cs="Times New Roman"/>
          <w:b/>
          <w:szCs w:val="24"/>
        </w:rPr>
        <w:t>art. 14</w:t>
      </w:r>
      <w:r w:rsidRPr="008D7149">
        <w:rPr>
          <w:rFonts w:ascii="Times New Roman" w:hAnsi="Times New Roman" w:cs="Times New Roman"/>
          <w:szCs w:val="24"/>
        </w:rPr>
        <w:t xml:space="preserve"> Ustawy ma charakter porządkowy i wynika z wprowadzenia do Ustawy skrótu dla </w:t>
      </w:r>
      <w:r w:rsidRPr="008D7149">
        <w:rPr>
          <w:rFonts w:ascii="Times New Roman" w:eastAsia="Times New Roman" w:hAnsi="Times New Roman" w:cs="Times New Roman"/>
          <w:szCs w:val="24"/>
        </w:rPr>
        <w:t xml:space="preserve">rozporządzenia Parlamentu Europejskiego i Rady (UE) nr 575/2013 z dnia 26 czerwca 2013 r. w sprawie wymogów ostrożnościowych dla instytucji kredytowych </w:t>
      </w:r>
      <w:r w:rsidR="00F81479" w:rsidRPr="008D7149">
        <w:rPr>
          <w:rFonts w:ascii="Times New Roman" w:eastAsia="Times New Roman" w:hAnsi="Times New Roman" w:cs="Times New Roman"/>
          <w:szCs w:val="24"/>
        </w:rPr>
        <w:t xml:space="preserve">oraz </w:t>
      </w:r>
      <w:r w:rsidRPr="008D7149">
        <w:rPr>
          <w:rFonts w:ascii="Times New Roman" w:eastAsia="Times New Roman" w:hAnsi="Times New Roman" w:cs="Times New Roman"/>
          <w:szCs w:val="24"/>
        </w:rPr>
        <w:t>zmieniające</w:t>
      </w:r>
      <w:r w:rsidR="00BA0EE9" w:rsidRPr="008D7149">
        <w:rPr>
          <w:rFonts w:ascii="Times New Roman" w:eastAsia="Times New Roman" w:hAnsi="Times New Roman" w:cs="Times New Roman"/>
          <w:szCs w:val="24"/>
        </w:rPr>
        <w:t>go</w:t>
      </w:r>
      <w:r w:rsidRPr="008D7149">
        <w:rPr>
          <w:rFonts w:ascii="Times New Roman" w:eastAsia="Times New Roman" w:hAnsi="Times New Roman" w:cs="Times New Roman"/>
          <w:szCs w:val="24"/>
        </w:rPr>
        <w:t xml:space="preserve"> rozporządzenie (UE) nr 648/2012 (Dz. Urz. UE L 176 z</w:t>
      </w:r>
      <w:r w:rsidR="0064245C">
        <w:rPr>
          <w:rFonts w:ascii="Times New Roman" w:eastAsia="Times New Roman" w:hAnsi="Times New Roman" w:cs="Times New Roman"/>
          <w:szCs w:val="24"/>
        </w:rPr>
        <w:t xml:space="preserve"> </w:t>
      </w:r>
      <w:r w:rsidRPr="008D7149">
        <w:rPr>
          <w:rFonts w:ascii="Times New Roman" w:eastAsia="Times New Roman" w:hAnsi="Times New Roman" w:cs="Times New Roman"/>
          <w:szCs w:val="24"/>
        </w:rPr>
        <w:t>27.06.2013, str. 1, z późn. zm.</w:t>
      </w:r>
      <w:r w:rsidRPr="008D7149">
        <w:rPr>
          <w:rFonts w:ascii="Times New Roman" w:hAnsi="Times New Roman" w:cs="Times New Roman"/>
          <w:szCs w:val="24"/>
        </w:rPr>
        <w:t>)</w:t>
      </w:r>
      <w:r w:rsidR="00845C9A" w:rsidRPr="008D7149">
        <w:rPr>
          <w:rFonts w:ascii="Times New Roman" w:hAnsi="Times New Roman" w:cs="Times New Roman"/>
          <w:szCs w:val="24"/>
        </w:rPr>
        <w:t>.</w:t>
      </w:r>
    </w:p>
    <w:p w14:paraId="1719CB6D" w14:textId="3201A5DC" w:rsidR="005075BC" w:rsidRPr="008D7149" w:rsidRDefault="00696E39" w:rsidP="008D7149">
      <w:pPr>
        <w:pStyle w:val="USTustnpkodeksu"/>
        <w:spacing w:before="120"/>
        <w:ind w:firstLine="0"/>
        <w:rPr>
          <w:rFonts w:ascii="Times New Roman" w:eastAsia="Times New Roman" w:hAnsi="Times New Roman" w:cs="Times New Roman"/>
          <w:szCs w:val="24"/>
        </w:rPr>
      </w:pPr>
      <w:r w:rsidRPr="008D7149">
        <w:rPr>
          <w:rFonts w:ascii="Times New Roman" w:eastAsia="Times New Roman" w:hAnsi="Times New Roman" w:cs="Times New Roman"/>
          <w:szCs w:val="24"/>
        </w:rPr>
        <w:t xml:space="preserve">W zmienianym brzmieniu </w:t>
      </w:r>
      <w:r w:rsidRPr="008D7149">
        <w:rPr>
          <w:rFonts w:ascii="Times New Roman" w:eastAsia="Times New Roman" w:hAnsi="Times New Roman" w:cs="Times New Roman"/>
          <w:b/>
          <w:szCs w:val="24"/>
        </w:rPr>
        <w:t>art. 15 ust</w:t>
      </w:r>
      <w:r w:rsidR="00733DB6" w:rsidRPr="008D7149">
        <w:rPr>
          <w:rFonts w:ascii="Times New Roman" w:eastAsia="Times New Roman" w:hAnsi="Times New Roman" w:cs="Times New Roman"/>
          <w:b/>
          <w:szCs w:val="24"/>
        </w:rPr>
        <w:t>.</w:t>
      </w:r>
      <w:r w:rsidRPr="008D7149">
        <w:rPr>
          <w:rFonts w:ascii="Times New Roman" w:eastAsia="Times New Roman" w:hAnsi="Times New Roman" w:cs="Times New Roman"/>
          <w:b/>
          <w:szCs w:val="24"/>
        </w:rPr>
        <w:t xml:space="preserve"> 2</w:t>
      </w:r>
      <w:r w:rsidRPr="008D7149">
        <w:rPr>
          <w:rFonts w:ascii="Times New Roman" w:eastAsia="Times New Roman" w:hAnsi="Times New Roman" w:cs="Times New Roman"/>
          <w:szCs w:val="24"/>
        </w:rPr>
        <w:t xml:space="preserve"> </w:t>
      </w:r>
      <w:r w:rsidR="00733DB6" w:rsidRPr="008D7149">
        <w:rPr>
          <w:rFonts w:ascii="Times New Roman" w:eastAsia="Times New Roman" w:hAnsi="Times New Roman" w:cs="Times New Roman"/>
          <w:szCs w:val="24"/>
        </w:rPr>
        <w:t xml:space="preserve">Ustawy </w:t>
      </w:r>
      <w:r w:rsidRPr="008D7149">
        <w:rPr>
          <w:rFonts w:ascii="Times New Roman" w:eastAsia="Times New Roman" w:hAnsi="Times New Roman" w:cs="Times New Roman"/>
          <w:szCs w:val="24"/>
        </w:rPr>
        <w:t xml:space="preserve">określono limity </w:t>
      </w:r>
      <w:r w:rsidR="00D67388" w:rsidRPr="008D7149">
        <w:rPr>
          <w:rFonts w:ascii="Times New Roman" w:eastAsia="Times New Roman" w:hAnsi="Times New Roman" w:cs="Times New Roman"/>
          <w:szCs w:val="24"/>
        </w:rPr>
        <w:t xml:space="preserve">łącznej </w:t>
      </w:r>
      <w:r w:rsidRPr="008D7149">
        <w:rPr>
          <w:rFonts w:ascii="Times New Roman" w:eastAsia="Times New Roman" w:hAnsi="Times New Roman" w:cs="Times New Roman"/>
          <w:szCs w:val="24"/>
        </w:rPr>
        <w:t xml:space="preserve">wysokości zobowiązań wynikających z czynności, o których mowa w ust. 1 pkt </w:t>
      </w:r>
      <w:r w:rsidR="003A4125" w:rsidRPr="008D7149">
        <w:rPr>
          <w:rFonts w:ascii="Times New Roman" w:eastAsia="Times New Roman" w:hAnsi="Times New Roman" w:cs="Times New Roman"/>
          <w:szCs w:val="24"/>
        </w:rPr>
        <w:t>2</w:t>
      </w:r>
      <w:r w:rsidR="00733DB6" w:rsidRPr="008D7149">
        <w:rPr>
          <w:rFonts w:ascii="Times New Roman" w:eastAsia="Times New Roman" w:hAnsi="Times New Roman" w:cs="Times New Roman"/>
          <w:szCs w:val="24"/>
        </w:rPr>
        <w:t xml:space="preserve"> i</w:t>
      </w:r>
      <w:r w:rsidR="0006275F" w:rsidRPr="008D7149">
        <w:rPr>
          <w:rFonts w:ascii="Times New Roman" w:eastAsia="Times New Roman" w:hAnsi="Times New Roman" w:cs="Times New Roman"/>
          <w:szCs w:val="24"/>
        </w:rPr>
        <w:t xml:space="preserve"> </w:t>
      </w:r>
      <w:r w:rsidRPr="008D7149">
        <w:rPr>
          <w:rFonts w:ascii="Times New Roman" w:eastAsia="Times New Roman" w:hAnsi="Times New Roman" w:cs="Times New Roman"/>
          <w:szCs w:val="24"/>
        </w:rPr>
        <w:t>3 tego artykułu (zaciąganie kredytów i pożyczek, emitowanie obligacji)</w:t>
      </w:r>
      <w:r w:rsidR="00853146" w:rsidRPr="008D7149">
        <w:rPr>
          <w:rFonts w:ascii="Times New Roman" w:eastAsia="Times New Roman" w:hAnsi="Times New Roman" w:cs="Times New Roman"/>
          <w:szCs w:val="24"/>
        </w:rPr>
        <w:t xml:space="preserve">. </w:t>
      </w:r>
      <w:r w:rsidR="00D67388" w:rsidRPr="008D7149">
        <w:rPr>
          <w:rFonts w:ascii="Times New Roman" w:eastAsia="Times New Roman" w:hAnsi="Times New Roman" w:cs="Times New Roman"/>
          <w:szCs w:val="24"/>
        </w:rPr>
        <w:t xml:space="preserve">Powyższe limity </w:t>
      </w:r>
      <w:r w:rsidR="00AA0398" w:rsidRPr="008D7149">
        <w:rPr>
          <w:rFonts w:ascii="Times New Roman" w:eastAsia="Times New Roman" w:hAnsi="Times New Roman" w:cs="Times New Roman"/>
          <w:szCs w:val="24"/>
        </w:rPr>
        <w:t xml:space="preserve">są </w:t>
      </w:r>
      <w:r w:rsidR="00D67388" w:rsidRPr="008D7149">
        <w:rPr>
          <w:rFonts w:ascii="Times New Roman" w:eastAsia="Times New Roman" w:hAnsi="Times New Roman" w:cs="Times New Roman"/>
          <w:szCs w:val="24"/>
        </w:rPr>
        <w:t xml:space="preserve">ustalone według kryterium stosowania </w:t>
      </w:r>
      <w:r w:rsidR="007B4414" w:rsidRPr="008D7149">
        <w:rPr>
          <w:rFonts w:ascii="Times New Roman" w:eastAsia="Times New Roman" w:hAnsi="Times New Roman" w:cs="Times New Roman"/>
          <w:szCs w:val="24"/>
        </w:rPr>
        <w:t>albo</w:t>
      </w:r>
      <w:r w:rsidR="00D67388" w:rsidRPr="008D7149">
        <w:rPr>
          <w:rFonts w:ascii="Times New Roman" w:eastAsia="Times New Roman" w:hAnsi="Times New Roman" w:cs="Times New Roman"/>
          <w:szCs w:val="24"/>
        </w:rPr>
        <w:t xml:space="preserve"> niestosowania przez bank hipoteczny</w:t>
      </w:r>
      <w:r w:rsidR="00D67388" w:rsidRPr="008D7149">
        <w:rPr>
          <w:rFonts w:ascii="Times New Roman" w:hAnsi="Times New Roman" w:cs="Times New Roman"/>
          <w:szCs w:val="24"/>
        </w:rPr>
        <w:t xml:space="preserve"> </w:t>
      </w:r>
      <w:r w:rsidR="00D67388" w:rsidRPr="008D7149">
        <w:rPr>
          <w:rFonts w:ascii="Times New Roman" w:eastAsia="Times New Roman" w:hAnsi="Times New Roman" w:cs="Times New Roman"/>
          <w:szCs w:val="24"/>
        </w:rPr>
        <w:t>wymogu stabilnego finansowania</w:t>
      </w:r>
      <w:r w:rsidR="00CB3942" w:rsidRPr="008D7149">
        <w:rPr>
          <w:rFonts w:ascii="Times New Roman" w:eastAsia="Times New Roman" w:hAnsi="Times New Roman" w:cs="Times New Roman"/>
          <w:szCs w:val="24"/>
        </w:rPr>
        <w:t xml:space="preserve"> </w:t>
      </w:r>
      <w:r w:rsidR="00D67388" w:rsidRPr="008D7149">
        <w:rPr>
          <w:rFonts w:ascii="Times New Roman" w:eastAsia="Times New Roman" w:hAnsi="Times New Roman" w:cs="Times New Roman"/>
          <w:szCs w:val="24"/>
        </w:rPr>
        <w:t>netto</w:t>
      </w:r>
      <w:r w:rsidR="00CB3942" w:rsidRPr="008D7149">
        <w:rPr>
          <w:rFonts w:ascii="Times New Roman" w:eastAsia="Times New Roman" w:hAnsi="Times New Roman" w:cs="Times New Roman"/>
          <w:szCs w:val="24"/>
        </w:rPr>
        <w:t>, określonego</w:t>
      </w:r>
      <w:r w:rsidR="00BC3DA2" w:rsidRPr="008D7149">
        <w:rPr>
          <w:rFonts w:ascii="Times New Roman" w:eastAsia="Times New Roman" w:hAnsi="Times New Roman" w:cs="Times New Roman"/>
          <w:szCs w:val="24"/>
        </w:rPr>
        <w:t xml:space="preserve"> </w:t>
      </w:r>
      <w:r w:rsidR="00CB3942" w:rsidRPr="008D7149">
        <w:rPr>
          <w:rFonts w:ascii="Times New Roman" w:eastAsia="Times New Roman" w:hAnsi="Times New Roman" w:cs="Times New Roman"/>
          <w:szCs w:val="24"/>
        </w:rPr>
        <w:t xml:space="preserve">w </w:t>
      </w:r>
      <w:r w:rsidR="00CB3942" w:rsidRPr="008D7149">
        <w:rPr>
          <w:rFonts w:ascii="Times New Roman" w:hAnsi="Times New Roman" w:cs="Times New Roman"/>
          <w:szCs w:val="24"/>
        </w:rPr>
        <w:t>art. 428b ust. 2</w:t>
      </w:r>
      <w:r w:rsidR="00CB3942" w:rsidRPr="008D7149">
        <w:rPr>
          <w:rFonts w:ascii="Times New Roman" w:eastAsia="Times New Roman" w:hAnsi="Times New Roman" w:cs="Times New Roman"/>
          <w:szCs w:val="24"/>
        </w:rPr>
        <w:t xml:space="preserve"> rozporządzenia (UE) nr 575/2013, </w:t>
      </w:r>
      <w:r w:rsidR="00D67388" w:rsidRPr="008D7149">
        <w:rPr>
          <w:rFonts w:ascii="Times New Roman" w:eastAsia="Times New Roman" w:hAnsi="Times New Roman" w:cs="Times New Roman"/>
          <w:szCs w:val="24"/>
        </w:rPr>
        <w:t xml:space="preserve">na zasadzie indywidualnej, o której mowa </w:t>
      </w:r>
      <w:r w:rsidR="00CB3942" w:rsidRPr="008D7149">
        <w:rPr>
          <w:rFonts w:ascii="Times New Roman" w:eastAsia="Times New Roman" w:hAnsi="Times New Roman" w:cs="Times New Roman"/>
          <w:szCs w:val="24"/>
        </w:rPr>
        <w:t>w tym rozporządzeniu</w:t>
      </w:r>
      <w:r w:rsidR="007B4414" w:rsidRPr="008D7149">
        <w:rPr>
          <w:rFonts w:ascii="Times New Roman" w:eastAsia="Times New Roman" w:hAnsi="Times New Roman" w:cs="Times New Roman"/>
          <w:szCs w:val="24"/>
        </w:rPr>
        <w:t xml:space="preserve">, przy czym poziomy </w:t>
      </w:r>
      <w:r w:rsidR="00D67388" w:rsidRPr="008D7149">
        <w:rPr>
          <w:rFonts w:ascii="Times New Roman" w:eastAsia="Times New Roman" w:hAnsi="Times New Roman" w:cs="Times New Roman"/>
          <w:szCs w:val="24"/>
        </w:rPr>
        <w:t xml:space="preserve">tych limitów </w:t>
      </w:r>
      <w:r w:rsidR="00635F24" w:rsidRPr="008D7149">
        <w:rPr>
          <w:rFonts w:ascii="Times New Roman" w:eastAsia="Times New Roman" w:hAnsi="Times New Roman" w:cs="Times New Roman"/>
          <w:szCs w:val="24"/>
        </w:rPr>
        <w:t xml:space="preserve">są różne </w:t>
      </w:r>
      <w:r w:rsidR="007B4414" w:rsidRPr="008D7149">
        <w:rPr>
          <w:rFonts w:ascii="Times New Roman" w:eastAsia="Times New Roman" w:hAnsi="Times New Roman" w:cs="Times New Roman"/>
          <w:szCs w:val="24"/>
        </w:rPr>
        <w:t xml:space="preserve">w zależności </w:t>
      </w:r>
      <w:r w:rsidR="00D67388" w:rsidRPr="008D7149">
        <w:rPr>
          <w:rFonts w:ascii="Times New Roman" w:eastAsia="Times New Roman" w:hAnsi="Times New Roman" w:cs="Times New Roman"/>
          <w:szCs w:val="24"/>
        </w:rPr>
        <w:t>od długoś</w:t>
      </w:r>
      <w:r w:rsidR="007B4414" w:rsidRPr="008D7149">
        <w:rPr>
          <w:rFonts w:ascii="Times New Roman" w:eastAsia="Times New Roman" w:hAnsi="Times New Roman" w:cs="Times New Roman"/>
          <w:szCs w:val="24"/>
        </w:rPr>
        <w:t>ci</w:t>
      </w:r>
      <w:r w:rsidR="00D67388" w:rsidRPr="008D7149">
        <w:rPr>
          <w:rFonts w:ascii="Times New Roman" w:eastAsia="Times New Roman" w:hAnsi="Times New Roman" w:cs="Times New Roman"/>
          <w:szCs w:val="24"/>
        </w:rPr>
        <w:t xml:space="preserve"> okresu prowadz</w:t>
      </w:r>
      <w:r w:rsidR="008E061F" w:rsidRPr="008D7149">
        <w:rPr>
          <w:rFonts w:ascii="Times New Roman" w:eastAsia="Times New Roman" w:hAnsi="Times New Roman" w:cs="Times New Roman"/>
          <w:szCs w:val="24"/>
        </w:rPr>
        <w:t>enia</w:t>
      </w:r>
      <w:r w:rsidR="00D67388" w:rsidRPr="008D7149">
        <w:rPr>
          <w:rFonts w:ascii="Times New Roman" w:eastAsia="Times New Roman" w:hAnsi="Times New Roman" w:cs="Times New Roman"/>
          <w:szCs w:val="24"/>
        </w:rPr>
        <w:t xml:space="preserve"> działalności bankowej. </w:t>
      </w:r>
      <w:r w:rsidR="00853146" w:rsidRPr="008D7149">
        <w:rPr>
          <w:rFonts w:ascii="Times New Roman" w:eastAsia="Times New Roman" w:hAnsi="Times New Roman" w:cs="Times New Roman"/>
          <w:szCs w:val="24"/>
        </w:rPr>
        <w:t>Proponowane rozwiązanie zakłada</w:t>
      </w:r>
      <w:r w:rsidR="00D67388" w:rsidRPr="008D7149">
        <w:rPr>
          <w:rFonts w:ascii="Times New Roman" w:eastAsia="Times New Roman" w:hAnsi="Times New Roman" w:cs="Times New Roman"/>
          <w:szCs w:val="24"/>
        </w:rPr>
        <w:t xml:space="preserve">, że limity </w:t>
      </w:r>
      <w:r w:rsidR="00635F24" w:rsidRPr="008D7149">
        <w:rPr>
          <w:rFonts w:ascii="Times New Roman" w:eastAsia="Times New Roman" w:hAnsi="Times New Roman" w:cs="Times New Roman"/>
          <w:szCs w:val="24"/>
        </w:rPr>
        <w:t xml:space="preserve">łącznej wysokości wskazanych zobowiązań </w:t>
      </w:r>
      <w:r w:rsidR="00D67388" w:rsidRPr="008D7149">
        <w:rPr>
          <w:rFonts w:ascii="Times New Roman" w:eastAsia="Times New Roman" w:hAnsi="Times New Roman" w:cs="Times New Roman"/>
          <w:szCs w:val="24"/>
        </w:rPr>
        <w:t>będą stosowane</w:t>
      </w:r>
      <w:r w:rsidR="00AA0398">
        <w:rPr>
          <w:rFonts w:ascii="Times New Roman" w:eastAsia="Times New Roman" w:hAnsi="Times New Roman" w:cs="Times New Roman"/>
          <w:szCs w:val="24"/>
        </w:rPr>
        <w:t>,</w:t>
      </w:r>
      <w:r w:rsidR="00D67388" w:rsidRPr="008D7149">
        <w:rPr>
          <w:rFonts w:ascii="Times New Roman" w:eastAsia="Times New Roman" w:hAnsi="Times New Roman" w:cs="Times New Roman"/>
          <w:szCs w:val="24"/>
        </w:rPr>
        <w:t xml:space="preserve"> począwszy od 19</w:t>
      </w:r>
      <w:r w:rsidR="00340C51">
        <w:rPr>
          <w:rFonts w:ascii="Times New Roman" w:eastAsia="Times New Roman" w:hAnsi="Times New Roman" w:cs="Times New Roman"/>
          <w:szCs w:val="24"/>
        </w:rPr>
        <w:t>.</w:t>
      </w:r>
      <w:r w:rsidR="00635F24" w:rsidRPr="008D7149">
        <w:rPr>
          <w:rFonts w:ascii="Times New Roman" w:eastAsia="Times New Roman" w:hAnsi="Times New Roman" w:cs="Times New Roman"/>
          <w:szCs w:val="24"/>
        </w:rPr>
        <w:t xml:space="preserve"> </w:t>
      </w:r>
      <w:r w:rsidR="00D67388" w:rsidRPr="008D7149">
        <w:rPr>
          <w:rFonts w:ascii="Times New Roman" w:eastAsia="Times New Roman" w:hAnsi="Times New Roman" w:cs="Times New Roman"/>
          <w:szCs w:val="24"/>
        </w:rPr>
        <w:t xml:space="preserve">miesiąca </w:t>
      </w:r>
      <w:r w:rsidR="008E061F" w:rsidRPr="008D7149">
        <w:rPr>
          <w:rFonts w:ascii="Times New Roman" w:eastAsia="Times New Roman" w:hAnsi="Times New Roman" w:cs="Times New Roman"/>
          <w:szCs w:val="24"/>
        </w:rPr>
        <w:t xml:space="preserve">liczonego </w:t>
      </w:r>
      <w:r w:rsidR="00D67388" w:rsidRPr="008D7149">
        <w:rPr>
          <w:rFonts w:ascii="Times New Roman" w:eastAsia="Times New Roman" w:hAnsi="Times New Roman" w:cs="Times New Roman"/>
          <w:szCs w:val="24"/>
        </w:rPr>
        <w:t>od dnia rozpoczęcia działalności operacyjnej</w:t>
      </w:r>
      <w:r w:rsidR="00DE71A9" w:rsidRPr="008D7149">
        <w:rPr>
          <w:rFonts w:ascii="Times New Roman" w:eastAsia="Times New Roman" w:hAnsi="Times New Roman" w:cs="Times New Roman"/>
          <w:szCs w:val="24"/>
        </w:rPr>
        <w:t xml:space="preserve"> przez bank, natomiast nie będą one obowiązywać </w:t>
      </w:r>
      <w:r w:rsidR="007B4414" w:rsidRPr="008D7149">
        <w:rPr>
          <w:rFonts w:ascii="Times New Roman" w:eastAsia="Times New Roman" w:hAnsi="Times New Roman" w:cs="Times New Roman"/>
          <w:szCs w:val="24"/>
        </w:rPr>
        <w:t xml:space="preserve">od </w:t>
      </w:r>
      <w:r w:rsidR="008E061F" w:rsidRPr="008D7149">
        <w:rPr>
          <w:rFonts w:ascii="Times New Roman" w:eastAsia="Times New Roman" w:hAnsi="Times New Roman" w:cs="Times New Roman"/>
          <w:szCs w:val="24"/>
        </w:rPr>
        <w:t xml:space="preserve">dnia </w:t>
      </w:r>
      <w:r w:rsidR="00DE71A9" w:rsidRPr="008D7149">
        <w:rPr>
          <w:rFonts w:ascii="Times New Roman" w:eastAsia="Times New Roman" w:hAnsi="Times New Roman" w:cs="Times New Roman"/>
          <w:szCs w:val="24"/>
        </w:rPr>
        <w:t>rozpoczęcia działalności operac</w:t>
      </w:r>
      <w:r w:rsidR="007B4414" w:rsidRPr="008D7149">
        <w:rPr>
          <w:rFonts w:ascii="Times New Roman" w:eastAsia="Times New Roman" w:hAnsi="Times New Roman" w:cs="Times New Roman"/>
          <w:szCs w:val="24"/>
        </w:rPr>
        <w:t xml:space="preserve">yjnej przez bank hipoteczny do </w:t>
      </w:r>
      <w:r w:rsidR="008E061F" w:rsidRPr="008D7149">
        <w:rPr>
          <w:rFonts w:ascii="Times New Roman" w:eastAsia="Times New Roman" w:hAnsi="Times New Roman" w:cs="Times New Roman"/>
          <w:szCs w:val="24"/>
        </w:rPr>
        <w:t xml:space="preserve">upływu </w:t>
      </w:r>
      <w:r w:rsidR="00DE71A9" w:rsidRPr="008D7149">
        <w:rPr>
          <w:rFonts w:ascii="Times New Roman" w:eastAsia="Times New Roman" w:hAnsi="Times New Roman" w:cs="Times New Roman"/>
          <w:szCs w:val="24"/>
        </w:rPr>
        <w:t>18</w:t>
      </w:r>
      <w:r w:rsidR="00340C51">
        <w:rPr>
          <w:rFonts w:ascii="Times New Roman" w:eastAsia="Times New Roman" w:hAnsi="Times New Roman" w:cs="Times New Roman"/>
          <w:szCs w:val="24"/>
        </w:rPr>
        <w:t>.</w:t>
      </w:r>
      <w:r w:rsidR="00DE71A9" w:rsidRPr="008D7149">
        <w:rPr>
          <w:rFonts w:ascii="Times New Roman" w:eastAsia="Times New Roman" w:hAnsi="Times New Roman" w:cs="Times New Roman"/>
          <w:szCs w:val="24"/>
        </w:rPr>
        <w:t xml:space="preserve"> miesiąca działalności banku</w:t>
      </w:r>
      <w:r w:rsidR="008E061F" w:rsidRPr="008D7149">
        <w:rPr>
          <w:rFonts w:ascii="Times New Roman" w:eastAsia="Times New Roman" w:hAnsi="Times New Roman" w:cs="Times New Roman"/>
          <w:szCs w:val="24"/>
        </w:rPr>
        <w:t xml:space="preserve"> hipotecznego</w:t>
      </w:r>
      <w:r w:rsidR="00952609" w:rsidRPr="008D7149">
        <w:rPr>
          <w:rFonts w:ascii="Times New Roman" w:eastAsia="Times New Roman" w:hAnsi="Times New Roman" w:cs="Times New Roman"/>
          <w:szCs w:val="24"/>
        </w:rPr>
        <w:t xml:space="preserve"> (projektowane brzmienie </w:t>
      </w:r>
      <w:r w:rsidR="00952609" w:rsidRPr="008D7149">
        <w:rPr>
          <w:rFonts w:ascii="Times New Roman" w:eastAsia="Times New Roman" w:hAnsi="Times New Roman" w:cs="Times New Roman"/>
          <w:b/>
          <w:szCs w:val="24"/>
        </w:rPr>
        <w:t>art. 15 ust. 2a</w:t>
      </w:r>
      <w:r w:rsidR="00952609" w:rsidRPr="008D7149">
        <w:rPr>
          <w:rFonts w:ascii="Times New Roman" w:eastAsia="Times New Roman" w:hAnsi="Times New Roman" w:cs="Times New Roman"/>
          <w:szCs w:val="24"/>
        </w:rPr>
        <w:t xml:space="preserve"> Ustawy)</w:t>
      </w:r>
      <w:r w:rsidR="005075BC" w:rsidRPr="008D7149">
        <w:rPr>
          <w:rFonts w:ascii="Times New Roman" w:eastAsia="Times New Roman" w:hAnsi="Times New Roman" w:cs="Times New Roman"/>
          <w:szCs w:val="24"/>
        </w:rPr>
        <w:t>.</w:t>
      </w:r>
    </w:p>
    <w:p w14:paraId="539DD9D5" w14:textId="16DDF2DA" w:rsidR="00FA502B" w:rsidRPr="008D7149" w:rsidRDefault="00635F24" w:rsidP="008D7149">
      <w:pPr>
        <w:pStyle w:val="USTustnpkodeksu"/>
        <w:spacing w:before="120"/>
        <w:ind w:firstLine="0"/>
        <w:rPr>
          <w:rFonts w:ascii="Times New Roman" w:eastAsia="Times New Roman" w:hAnsi="Times New Roman" w:cs="Times New Roman"/>
          <w:szCs w:val="24"/>
        </w:rPr>
      </w:pPr>
      <w:r w:rsidRPr="008D7149">
        <w:rPr>
          <w:rFonts w:ascii="Times New Roman" w:eastAsia="Times New Roman" w:hAnsi="Times New Roman" w:cs="Times New Roman"/>
          <w:szCs w:val="24"/>
        </w:rPr>
        <w:t>Projektowane wyłączenie z limitu pasywów dotyczy zarówno banków stosujących wymóg wskaźnika stabilnego finansowania netto (NSFR) na zasadzie indywidualnej (solo)</w:t>
      </w:r>
      <w:r w:rsidR="008E061F" w:rsidRPr="008D7149">
        <w:rPr>
          <w:rFonts w:ascii="Times New Roman" w:eastAsia="Times New Roman" w:hAnsi="Times New Roman" w:cs="Times New Roman"/>
          <w:szCs w:val="24"/>
        </w:rPr>
        <w:t>,</w:t>
      </w:r>
      <w:r w:rsidR="00FA502B" w:rsidRPr="008D7149">
        <w:rPr>
          <w:rFonts w:ascii="Times New Roman" w:eastAsia="Times New Roman" w:hAnsi="Times New Roman" w:cs="Times New Roman"/>
          <w:szCs w:val="24"/>
        </w:rPr>
        <w:t xml:space="preserve"> </w:t>
      </w:r>
      <w:r w:rsidRPr="008D7149">
        <w:rPr>
          <w:rFonts w:ascii="Times New Roman" w:eastAsia="Times New Roman" w:hAnsi="Times New Roman" w:cs="Times New Roman"/>
          <w:szCs w:val="24"/>
        </w:rPr>
        <w:t>jak również bankó</w:t>
      </w:r>
      <w:r w:rsidR="00FA502B" w:rsidRPr="008D7149">
        <w:rPr>
          <w:rFonts w:ascii="Times New Roman" w:eastAsia="Times New Roman" w:hAnsi="Times New Roman" w:cs="Times New Roman"/>
          <w:szCs w:val="24"/>
        </w:rPr>
        <w:t>w niestosujących tego wymogu na zasadzie indywidulanej.</w:t>
      </w:r>
    </w:p>
    <w:p w14:paraId="69BA93EC" w14:textId="0444BF05" w:rsidR="00E61086" w:rsidRPr="008D7149" w:rsidRDefault="008E061F" w:rsidP="008D7149">
      <w:pPr>
        <w:pStyle w:val="USTustnpkodeksu"/>
        <w:spacing w:before="120"/>
        <w:ind w:firstLine="0"/>
        <w:rPr>
          <w:rFonts w:ascii="Times New Roman" w:eastAsia="Times New Roman" w:hAnsi="Times New Roman" w:cs="Times New Roman"/>
          <w:szCs w:val="24"/>
        </w:rPr>
      </w:pPr>
      <w:r w:rsidRPr="008D7149">
        <w:rPr>
          <w:rFonts w:ascii="Times New Roman" w:eastAsia="Times New Roman" w:hAnsi="Times New Roman" w:cs="Times New Roman"/>
          <w:szCs w:val="24"/>
        </w:rPr>
        <w:t>Uwzględniając powyższe</w:t>
      </w:r>
      <w:r w:rsidR="0072202C">
        <w:rPr>
          <w:rFonts w:ascii="Times New Roman" w:eastAsia="Times New Roman" w:hAnsi="Times New Roman" w:cs="Times New Roman"/>
          <w:szCs w:val="24"/>
        </w:rPr>
        <w:t>,</w:t>
      </w:r>
      <w:r w:rsidRPr="008D7149">
        <w:rPr>
          <w:rFonts w:ascii="Times New Roman" w:eastAsia="Times New Roman" w:hAnsi="Times New Roman" w:cs="Times New Roman"/>
          <w:szCs w:val="24"/>
        </w:rPr>
        <w:t xml:space="preserve"> p</w:t>
      </w:r>
      <w:r w:rsidR="00DE71A9" w:rsidRPr="008D7149">
        <w:rPr>
          <w:rFonts w:ascii="Times New Roman" w:eastAsia="Times New Roman" w:hAnsi="Times New Roman" w:cs="Times New Roman"/>
          <w:szCs w:val="24"/>
        </w:rPr>
        <w:t>rzewiduje się</w:t>
      </w:r>
      <w:r w:rsidRPr="008D7149">
        <w:rPr>
          <w:rFonts w:ascii="Times New Roman" w:eastAsia="Times New Roman" w:hAnsi="Times New Roman" w:cs="Times New Roman"/>
          <w:szCs w:val="24"/>
        </w:rPr>
        <w:t xml:space="preserve">, że banki hipoteczne, które stosują wymóg NSFR na zasadzie indywidualnej, będą obowiązane do przestrzegania </w:t>
      </w:r>
      <w:r w:rsidR="00853146" w:rsidRPr="008D7149">
        <w:rPr>
          <w:rFonts w:ascii="Times New Roman" w:eastAsia="Times New Roman" w:hAnsi="Times New Roman" w:cs="Times New Roman"/>
          <w:szCs w:val="24"/>
        </w:rPr>
        <w:t>limit</w:t>
      </w:r>
      <w:r w:rsidRPr="008D7149">
        <w:rPr>
          <w:rFonts w:ascii="Times New Roman" w:eastAsia="Times New Roman" w:hAnsi="Times New Roman" w:cs="Times New Roman"/>
          <w:szCs w:val="24"/>
        </w:rPr>
        <w:t>u</w:t>
      </w:r>
      <w:r w:rsidR="00853146" w:rsidRPr="008D7149">
        <w:rPr>
          <w:rFonts w:ascii="Times New Roman" w:eastAsia="Times New Roman" w:hAnsi="Times New Roman" w:cs="Times New Roman"/>
          <w:szCs w:val="24"/>
        </w:rPr>
        <w:t xml:space="preserve"> </w:t>
      </w:r>
      <w:r w:rsidRPr="008D7149">
        <w:rPr>
          <w:rFonts w:ascii="Times New Roman" w:eastAsia="Times New Roman" w:hAnsi="Times New Roman" w:cs="Times New Roman"/>
          <w:szCs w:val="24"/>
        </w:rPr>
        <w:t xml:space="preserve">dotyczącego zaciągania ww. zobowiązań w wysokości </w:t>
      </w:r>
      <w:r w:rsidR="00853146" w:rsidRPr="008D7149">
        <w:rPr>
          <w:rFonts w:ascii="Times New Roman" w:eastAsia="Times New Roman" w:hAnsi="Times New Roman" w:cs="Times New Roman"/>
          <w:szCs w:val="24"/>
        </w:rPr>
        <w:t>10-krotności wysokości funduszy własnych banku hipotecznego</w:t>
      </w:r>
      <w:r w:rsidR="0072202C">
        <w:rPr>
          <w:rFonts w:ascii="Times New Roman" w:eastAsia="Times New Roman" w:hAnsi="Times New Roman" w:cs="Times New Roman"/>
          <w:szCs w:val="24"/>
        </w:rPr>
        <w:t>,</w:t>
      </w:r>
      <w:r w:rsidR="00853146" w:rsidRPr="008D7149">
        <w:rPr>
          <w:rFonts w:ascii="Times New Roman" w:eastAsia="Times New Roman" w:hAnsi="Times New Roman" w:cs="Times New Roman"/>
          <w:szCs w:val="24"/>
        </w:rPr>
        <w:t xml:space="preserve"> </w:t>
      </w:r>
      <w:r w:rsidR="00DE71A9" w:rsidRPr="008D7149">
        <w:rPr>
          <w:rFonts w:ascii="Times New Roman" w:eastAsia="Times New Roman" w:hAnsi="Times New Roman" w:cs="Times New Roman"/>
          <w:szCs w:val="24"/>
        </w:rPr>
        <w:t>począwszy od 19. miesiąca od dnia rozpoczęcia działalności operacyjnej</w:t>
      </w:r>
      <w:r w:rsidR="00853146" w:rsidRPr="008D7149">
        <w:rPr>
          <w:rFonts w:ascii="Times New Roman" w:eastAsia="Times New Roman" w:hAnsi="Times New Roman" w:cs="Times New Roman"/>
          <w:szCs w:val="24"/>
        </w:rPr>
        <w:t xml:space="preserve">. </w:t>
      </w:r>
      <w:r w:rsidR="00E61086" w:rsidRPr="008D7149">
        <w:rPr>
          <w:rFonts w:ascii="Times New Roman" w:eastAsia="Times New Roman" w:hAnsi="Times New Roman" w:cs="Times New Roman"/>
          <w:szCs w:val="24"/>
        </w:rPr>
        <w:t>W przypadku banków hipotecznych, które nie stosują wymogu NSFR na zasadzie indywidualnej</w:t>
      </w:r>
      <w:r w:rsidR="00635F24" w:rsidRPr="008D7149">
        <w:rPr>
          <w:rFonts w:ascii="Times New Roman" w:eastAsia="Times New Roman" w:hAnsi="Times New Roman" w:cs="Times New Roman"/>
          <w:szCs w:val="24"/>
        </w:rPr>
        <w:t>,</w:t>
      </w:r>
      <w:r w:rsidR="00E61086" w:rsidRPr="008D7149">
        <w:rPr>
          <w:rFonts w:ascii="Times New Roman" w:eastAsia="Times New Roman" w:hAnsi="Times New Roman" w:cs="Times New Roman"/>
          <w:szCs w:val="24"/>
        </w:rPr>
        <w:t xml:space="preserve"> przewiduje się </w:t>
      </w:r>
      <w:r w:rsidRPr="008D7149">
        <w:rPr>
          <w:rFonts w:ascii="Times New Roman" w:eastAsia="Times New Roman" w:hAnsi="Times New Roman" w:cs="Times New Roman"/>
          <w:szCs w:val="24"/>
        </w:rPr>
        <w:t xml:space="preserve">natomiast </w:t>
      </w:r>
      <w:r w:rsidR="00E61086" w:rsidRPr="008D7149">
        <w:rPr>
          <w:rFonts w:ascii="Times New Roman" w:eastAsia="Times New Roman" w:hAnsi="Times New Roman" w:cs="Times New Roman"/>
          <w:szCs w:val="24"/>
        </w:rPr>
        <w:t xml:space="preserve">limit 10-krotności wysokości funduszy własnych banku hipotecznego, </w:t>
      </w:r>
      <w:r w:rsidRPr="008D7149">
        <w:rPr>
          <w:rFonts w:ascii="Times New Roman" w:eastAsia="Times New Roman" w:hAnsi="Times New Roman" w:cs="Times New Roman"/>
          <w:szCs w:val="24"/>
        </w:rPr>
        <w:t xml:space="preserve">który będzie obowiązywał </w:t>
      </w:r>
      <w:r w:rsidR="00E61086" w:rsidRPr="008D7149">
        <w:rPr>
          <w:rFonts w:ascii="Times New Roman" w:eastAsia="Times New Roman" w:hAnsi="Times New Roman" w:cs="Times New Roman"/>
          <w:szCs w:val="24"/>
        </w:rPr>
        <w:t xml:space="preserve">w okresie od 19. miesiąca do pięciu lat od dnia rozpoczęcia działalności operacyjnej, a po upływie tego okresu – </w:t>
      </w:r>
      <w:r w:rsidRPr="008D7149">
        <w:rPr>
          <w:rFonts w:ascii="Times New Roman" w:eastAsia="Times New Roman" w:hAnsi="Times New Roman" w:cs="Times New Roman"/>
          <w:szCs w:val="24"/>
        </w:rPr>
        <w:t xml:space="preserve">limitu </w:t>
      </w:r>
      <w:r w:rsidR="00E61086" w:rsidRPr="008D7149">
        <w:rPr>
          <w:rFonts w:ascii="Times New Roman" w:eastAsia="Times New Roman" w:hAnsi="Times New Roman" w:cs="Times New Roman"/>
          <w:szCs w:val="24"/>
        </w:rPr>
        <w:t>sześciokrotnej wysokości funduszy własnych banku hipotecznego.</w:t>
      </w:r>
      <w:r w:rsidR="005075BC" w:rsidRPr="008D7149">
        <w:rPr>
          <w:rFonts w:ascii="Times New Roman" w:eastAsia="Times New Roman" w:hAnsi="Times New Roman" w:cs="Times New Roman"/>
          <w:szCs w:val="24"/>
        </w:rPr>
        <w:t xml:space="preserve"> </w:t>
      </w:r>
      <w:r w:rsidR="00952609" w:rsidRPr="008D7149">
        <w:rPr>
          <w:rFonts w:ascii="Times New Roman" w:eastAsia="Times New Roman" w:hAnsi="Times New Roman" w:cs="Times New Roman"/>
          <w:szCs w:val="24"/>
        </w:rPr>
        <w:t>P</w:t>
      </w:r>
      <w:r w:rsidR="00640E69" w:rsidRPr="008D7149">
        <w:rPr>
          <w:rFonts w:ascii="Times New Roman" w:eastAsia="Times New Roman" w:hAnsi="Times New Roman" w:cs="Times New Roman"/>
          <w:szCs w:val="24"/>
        </w:rPr>
        <w:t xml:space="preserve">rzyjęty okres 5-letni odpowiada obowiązującemu brzmieniu </w:t>
      </w:r>
      <w:r w:rsidR="00952609" w:rsidRPr="008D7149">
        <w:rPr>
          <w:rFonts w:ascii="Times New Roman" w:eastAsia="Times New Roman" w:hAnsi="Times New Roman" w:cs="Times New Roman"/>
          <w:szCs w:val="24"/>
        </w:rPr>
        <w:t>U</w:t>
      </w:r>
      <w:r w:rsidR="00640E69" w:rsidRPr="008D7149">
        <w:rPr>
          <w:rFonts w:ascii="Times New Roman" w:eastAsia="Times New Roman" w:hAnsi="Times New Roman" w:cs="Times New Roman"/>
          <w:szCs w:val="24"/>
        </w:rPr>
        <w:t xml:space="preserve">stawy, przy czym okres 18 miesięcy wyłączenia limitów przyjęto w następstwie dokonanej oceny </w:t>
      </w:r>
      <w:r w:rsidR="00620E06" w:rsidRPr="008D7149">
        <w:rPr>
          <w:rFonts w:ascii="Times New Roman" w:eastAsia="Times New Roman" w:hAnsi="Times New Roman" w:cs="Times New Roman"/>
          <w:szCs w:val="24"/>
        </w:rPr>
        <w:lastRenderedPageBreak/>
        <w:t>okresu</w:t>
      </w:r>
      <w:r w:rsidR="00952609" w:rsidRPr="008D7149">
        <w:rPr>
          <w:rFonts w:ascii="Times New Roman" w:eastAsia="Times New Roman" w:hAnsi="Times New Roman" w:cs="Times New Roman"/>
          <w:szCs w:val="24"/>
        </w:rPr>
        <w:t>,</w:t>
      </w:r>
      <w:r w:rsidR="00640E69" w:rsidRPr="008D7149">
        <w:rPr>
          <w:rFonts w:ascii="Times New Roman" w:eastAsia="Times New Roman" w:hAnsi="Times New Roman" w:cs="Times New Roman"/>
          <w:szCs w:val="24"/>
        </w:rPr>
        <w:t xml:space="preserve"> </w:t>
      </w:r>
      <w:r w:rsidR="00620E06" w:rsidRPr="008D7149">
        <w:rPr>
          <w:rFonts w:ascii="Times New Roman" w:eastAsia="Times New Roman" w:hAnsi="Times New Roman" w:cs="Times New Roman"/>
          <w:szCs w:val="24"/>
        </w:rPr>
        <w:t>którego</w:t>
      </w:r>
      <w:r w:rsidR="00640E69" w:rsidRPr="008D7149">
        <w:rPr>
          <w:rFonts w:ascii="Times New Roman" w:eastAsia="Times New Roman" w:hAnsi="Times New Roman" w:cs="Times New Roman"/>
          <w:szCs w:val="24"/>
        </w:rPr>
        <w:t xml:space="preserve"> bank hipoteczny potrzebowałby na zbudowanie swojego portfela </w:t>
      </w:r>
      <w:r w:rsidR="00620E06" w:rsidRPr="008D7149">
        <w:rPr>
          <w:rFonts w:ascii="Times New Roman" w:eastAsia="Times New Roman" w:hAnsi="Times New Roman" w:cs="Times New Roman"/>
          <w:szCs w:val="24"/>
        </w:rPr>
        <w:t>i</w:t>
      </w:r>
      <w:r w:rsidR="00640E69" w:rsidRPr="008D7149">
        <w:rPr>
          <w:rFonts w:ascii="Times New Roman" w:eastAsia="Times New Roman" w:hAnsi="Times New Roman" w:cs="Times New Roman"/>
          <w:szCs w:val="24"/>
        </w:rPr>
        <w:t xml:space="preserve"> wyemitowania listów zastawnych.</w:t>
      </w:r>
    </w:p>
    <w:p w14:paraId="35C9B2E1" w14:textId="77777777" w:rsidR="001D5A28" w:rsidRPr="008D7149" w:rsidRDefault="00853146" w:rsidP="008D7149">
      <w:pPr>
        <w:pStyle w:val="USTustnpkodeksu"/>
        <w:spacing w:before="120"/>
        <w:ind w:firstLine="0"/>
        <w:rPr>
          <w:rFonts w:ascii="Times New Roman" w:eastAsia="Times New Roman" w:hAnsi="Times New Roman" w:cs="Times New Roman"/>
          <w:bCs w:val="0"/>
          <w:szCs w:val="24"/>
        </w:rPr>
      </w:pPr>
      <w:r w:rsidRPr="008D7149">
        <w:rPr>
          <w:rFonts w:ascii="Times New Roman" w:eastAsia="Times New Roman" w:hAnsi="Times New Roman" w:cs="Times New Roman"/>
          <w:bCs w:val="0"/>
          <w:szCs w:val="24"/>
        </w:rPr>
        <w:t xml:space="preserve">Wprowadzane </w:t>
      </w:r>
      <w:r w:rsidR="00672B93" w:rsidRPr="008D7149">
        <w:rPr>
          <w:rFonts w:ascii="Times New Roman" w:eastAsia="Times New Roman" w:hAnsi="Times New Roman" w:cs="Times New Roman"/>
          <w:bCs w:val="0"/>
          <w:szCs w:val="24"/>
        </w:rPr>
        <w:t>zmiany</w:t>
      </w:r>
      <w:r w:rsidRPr="008D7149">
        <w:rPr>
          <w:rFonts w:ascii="Times New Roman" w:eastAsia="Times New Roman" w:hAnsi="Times New Roman" w:cs="Times New Roman"/>
          <w:bCs w:val="0"/>
          <w:szCs w:val="24"/>
        </w:rPr>
        <w:t xml:space="preserve"> mają na celu zwiększenie możliwości finansowania się przez bank hipoteczny pasywami innymi niż listy zastawne, w szczególności na samym początku działalności, kiedy fundusze własne są jeszcze niewielkie, a bank musi zgromadzić znaczącą ilość aktywów do przeprowadzenia pierwszych emisji.</w:t>
      </w:r>
      <w:r w:rsidR="00672B93" w:rsidRPr="008D7149">
        <w:rPr>
          <w:rFonts w:ascii="Times New Roman" w:eastAsia="Times New Roman" w:hAnsi="Times New Roman" w:cs="Times New Roman"/>
          <w:bCs w:val="0"/>
          <w:szCs w:val="24"/>
        </w:rPr>
        <w:t xml:space="preserve"> Proponowana zmiana modyfikacji wymogu określonego w art. 15 ust. 2 </w:t>
      </w:r>
      <w:r w:rsidR="00C56B2B" w:rsidRPr="008D7149">
        <w:rPr>
          <w:rFonts w:ascii="Times New Roman" w:eastAsia="Times New Roman" w:hAnsi="Times New Roman" w:cs="Times New Roman"/>
          <w:bCs w:val="0"/>
          <w:szCs w:val="24"/>
        </w:rPr>
        <w:t xml:space="preserve">Ustawy </w:t>
      </w:r>
      <w:r w:rsidR="00672B93" w:rsidRPr="008D7149">
        <w:rPr>
          <w:rFonts w:ascii="Times New Roman" w:eastAsia="Times New Roman" w:hAnsi="Times New Roman" w:cs="Times New Roman"/>
          <w:bCs w:val="0"/>
          <w:szCs w:val="24"/>
        </w:rPr>
        <w:t>wychodzi naprzeciw postulatom banków hipotecznych, a jednocześnie uwzględnia podejście nadzorcze.</w:t>
      </w:r>
    </w:p>
    <w:p w14:paraId="566BADA9" w14:textId="0CED9434" w:rsidR="00D24B40" w:rsidRPr="008D7149" w:rsidRDefault="005075BC" w:rsidP="008D7149">
      <w:pPr>
        <w:pStyle w:val="USTustnpkodeksu"/>
        <w:spacing w:before="120"/>
        <w:ind w:firstLine="0"/>
        <w:rPr>
          <w:rFonts w:ascii="Times New Roman" w:eastAsia="Times New Roman" w:hAnsi="Times New Roman" w:cs="Times New Roman"/>
          <w:bCs w:val="0"/>
          <w:szCs w:val="24"/>
        </w:rPr>
      </w:pPr>
      <w:r w:rsidRPr="008D7149">
        <w:rPr>
          <w:rFonts w:ascii="Times New Roman" w:eastAsia="Times New Roman" w:hAnsi="Times New Roman" w:cs="Times New Roman"/>
          <w:szCs w:val="24"/>
        </w:rPr>
        <w:t xml:space="preserve">Projektowany </w:t>
      </w:r>
      <w:r w:rsidRPr="008D7149">
        <w:rPr>
          <w:rFonts w:ascii="Times New Roman" w:eastAsia="Times New Roman" w:hAnsi="Times New Roman" w:cs="Times New Roman"/>
          <w:b/>
          <w:szCs w:val="24"/>
        </w:rPr>
        <w:t>art. 15 ust. 2a</w:t>
      </w:r>
      <w:r w:rsidRPr="008D7149">
        <w:rPr>
          <w:rFonts w:ascii="Times New Roman" w:eastAsia="Times New Roman" w:hAnsi="Times New Roman" w:cs="Times New Roman"/>
          <w:szCs w:val="24"/>
        </w:rPr>
        <w:t xml:space="preserve"> Ustawy potwierdza brak wymogu stosowania </w:t>
      </w:r>
      <w:r w:rsidR="009D1F69" w:rsidRPr="008D7149">
        <w:rPr>
          <w:rFonts w:ascii="Times New Roman" w:eastAsia="Times New Roman" w:hAnsi="Times New Roman" w:cs="Times New Roman"/>
          <w:bCs w:val="0"/>
          <w:szCs w:val="24"/>
        </w:rPr>
        <w:t xml:space="preserve">we wskazanym okresie </w:t>
      </w:r>
      <w:r w:rsidRPr="008D7149">
        <w:rPr>
          <w:rFonts w:ascii="Times New Roman" w:eastAsia="Times New Roman" w:hAnsi="Times New Roman" w:cs="Times New Roman"/>
          <w:szCs w:val="24"/>
        </w:rPr>
        <w:t>l</w:t>
      </w:r>
      <w:r w:rsidR="00D24B40" w:rsidRPr="008D7149">
        <w:rPr>
          <w:rFonts w:ascii="Times New Roman" w:eastAsia="Times New Roman" w:hAnsi="Times New Roman" w:cs="Times New Roman"/>
          <w:bCs w:val="0"/>
          <w:szCs w:val="24"/>
        </w:rPr>
        <w:t xml:space="preserve">imitów </w:t>
      </w:r>
      <w:r w:rsidRPr="008D7149">
        <w:rPr>
          <w:rFonts w:ascii="Times New Roman" w:eastAsia="Times New Roman" w:hAnsi="Times New Roman" w:cs="Times New Roman"/>
          <w:bCs w:val="0"/>
          <w:szCs w:val="24"/>
        </w:rPr>
        <w:t>określonych w art.</w:t>
      </w:r>
      <w:r w:rsidR="00D24B40" w:rsidRPr="008D7149">
        <w:rPr>
          <w:rFonts w:ascii="Times New Roman" w:eastAsia="Times New Roman" w:hAnsi="Times New Roman" w:cs="Times New Roman"/>
          <w:bCs w:val="0"/>
          <w:szCs w:val="24"/>
        </w:rPr>
        <w:t xml:space="preserve"> 15 </w:t>
      </w:r>
      <w:r w:rsidR="00952609" w:rsidRPr="008D7149">
        <w:rPr>
          <w:rFonts w:ascii="Times New Roman" w:eastAsia="Times New Roman" w:hAnsi="Times New Roman" w:cs="Times New Roman"/>
          <w:bCs w:val="0"/>
          <w:szCs w:val="24"/>
        </w:rPr>
        <w:t xml:space="preserve">ust. 2 Ustawy </w:t>
      </w:r>
      <w:r w:rsidR="009D1F69" w:rsidRPr="008D7149">
        <w:rPr>
          <w:rFonts w:ascii="Times New Roman" w:eastAsia="Times New Roman" w:hAnsi="Times New Roman" w:cs="Times New Roman"/>
          <w:bCs w:val="0"/>
          <w:szCs w:val="24"/>
        </w:rPr>
        <w:t xml:space="preserve">i </w:t>
      </w:r>
      <w:r w:rsidR="00D24B40" w:rsidRPr="008D7149">
        <w:rPr>
          <w:rFonts w:ascii="Times New Roman" w:eastAsia="Times New Roman" w:hAnsi="Times New Roman" w:cs="Times New Roman"/>
          <w:bCs w:val="0"/>
          <w:szCs w:val="24"/>
        </w:rPr>
        <w:t xml:space="preserve">jednocześnie </w:t>
      </w:r>
      <w:r w:rsidRPr="008D7149">
        <w:rPr>
          <w:rFonts w:ascii="Times New Roman" w:eastAsia="Times New Roman" w:hAnsi="Times New Roman" w:cs="Times New Roman"/>
          <w:bCs w:val="0"/>
          <w:szCs w:val="24"/>
        </w:rPr>
        <w:t xml:space="preserve">ma </w:t>
      </w:r>
      <w:r w:rsidR="00C72E62" w:rsidRPr="008D7149">
        <w:rPr>
          <w:rFonts w:ascii="Times New Roman" w:eastAsia="Times New Roman" w:hAnsi="Times New Roman" w:cs="Times New Roman"/>
          <w:bCs w:val="0"/>
          <w:szCs w:val="24"/>
        </w:rPr>
        <w:t xml:space="preserve">na celu wyeliminowanie </w:t>
      </w:r>
      <w:r w:rsidR="00D24B40" w:rsidRPr="008D7149">
        <w:rPr>
          <w:rFonts w:ascii="Times New Roman" w:eastAsia="Times New Roman" w:hAnsi="Times New Roman" w:cs="Times New Roman"/>
          <w:bCs w:val="0"/>
          <w:szCs w:val="24"/>
        </w:rPr>
        <w:t>ewentualn</w:t>
      </w:r>
      <w:r w:rsidR="00C72E62" w:rsidRPr="008D7149">
        <w:rPr>
          <w:rFonts w:ascii="Times New Roman" w:eastAsia="Times New Roman" w:hAnsi="Times New Roman" w:cs="Times New Roman"/>
          <w:bCs w:val="0"/>
          <w:szCs w:val="24"/>
        </w:rPr>
        <w:t>ych</w:t>
      </w:r>
      <w:r w:rsidR="00D24B40" w:rsidRPr="008D7149">
        <w:rPr>
          <w:rFonts w:ascii="Times New Roman" w:eastAsia="Times New Roman" w:hAnsi="Times New Roman" w:cs="Times New Roman"/>
          <w:bCs w:val="0"/>
          <w:szCs w:val="24"/>
        </w:rPr>
        <w:t xml:space="preserve"> wątpliwości interpretacyjn</w:t>
      </w:r>
      <w:r w:rsidR="00C72E62" w:rsidRPr="008D7149">
        <w:rPr>
          <w:rFonts w:ascii="Times New Roman" w:eastAsia="Times New Roman" w:hAnsi="Times New Roman" w:cs="Times New Roman"/>
          <w:bCs w:val="0"/>
          <w:szCs w:val="24"/>
        </w:rPr>
        <w:t>ych</w:t>
      </w:r>
      <w:r w:rsidR="00D24B40" w:rsidRPr="008D7149">
        <w:rPr>
          <w:rFonts w:ascii="Times New Roman" w:eastAsia="Times New Roman" w:hAnsi="Times New Roman" w:cs="Times New Roman"/>
          <w:bCs w:val="0"/>
          <w:szCs w:val="24"/>
        </w:rPr>
        <w:t xml:space="preserve"> ze strony </w:t>
      </w:r>
      <w:r w:rsidR="002C6244" w:rsidRPr="008D7149">
        <w:rPr>
          <w:rFonts w:ascii="Times New Roman" w:eastAsia="Times New Roman" w:hAnsi="Times New Roman" w:cs="Times New Roman"/>
          <w:bCs w:val="0"/>
          <w:szCs w:val="24"/>
        </w:rPr>
        <w:t xml:space="preserve">banków będących </w:t>
      </w:r>
      <w:r w:rsidR="00D24B40" w:rsidRPr="008D7149">
        <w:rPr>
          <w:rFonts w:ascii="Times New Roman" w:eastAsia="Times New Roman" w:hAnsi="Times New Roman" w:cs="Times New Roman"/>
          <w:bCs w:val="0"/>
          <w:szCs w:val="24"/>
        </w:rPr>
        <w:t>adresat</w:t>
      </w:r>
      <w:r w:rsidR="002C6244" w:rsidRPr="008D7149">
        <w:rPr>
          <w:rFonts w:ascii="Times New Roman" w:eastAsia="Times New Roman" w:hAnsi="Times New Roman" w:cs="Times New Roman"/>
          <w:bCs w:val="0"/>
          <w:szCs w:val="24"/>
        </w:rPr>
        <w:t>a</w:t>
      </w:r>
      <w:r w:rsidR="0027459D" w:rsidRPr="008D7149">
        <w:rPr>
          <w:rFonts w:ascii="Times New Roman" w:eastAsia="Times New Roman" w:hAnsi="Times New Roman" w:cs="Times New Roman"/>
          <w:bCs w:val="0"/>
          <w:szCs w:val="24"/>
        </w:rPr>
        <w:t>mi ww.</w:t>
      </w:r>
      <w:r w:rsidR="00D24B40" w:rsidRPr="008D7149">
        <w:rPr>
          <w:rFonts w:ascii="Times New Roman" w:eastAsia="Times New Roman" w:hAnsi="Times New Roman" w:cs="Times New Roman"/>
          <w:bCs w:val="0"/>
          <w:szCs w:val="24"/>
        </w:rPr>
        <w:t xml:space="preserve"> </w:t>
      </w:r>
      <w:r w:rsidRPr="008D7149">
        <w:rPr>
          <w:rFonts w:ascii="Times New Roman" w:eastAsia="Times New Roman" w:hAnsi="Times New Roman" w:cs="Times New Roman"/>
          <w:bCs w:val="0"/>
          <w:szCs w:val="24"/>
        </w:rPr>
        <w:t>wymogów.</w:t>
      </w:r>
    </w:p>
    <w:p w14:paraId="10DFE6B6" w14:textId="27F3C831" w:rsidR="00F50B06" w:rsidRPr="008D7149" w:rsidRDefault="00F50B06" w:rsidP="008D7149">
      <w:pPr>
        <w:pStyle w:val="USTustnpkodeksu"/>
        <w:spacing w:before="120"/>
        <w:ind w:firstLine="0"/>
        <w:rPr>
          <w:rFonts w:ascii="Times New Roman" w:eastAsia="Times New Roman" w:hAnsi="Times New Roman" w:cs="Times New Roman"/>
          <w:szCs w:val="24"/>
        </w:rPr>
      </w:pPr>
      <w:r w:rsidRPr="008D7149">
        <w:rPr>
          <w:rFonts w:ascii="Times New Roman" w:eastAsia="Times New Roman" w:hAnsi="Times New Roman" w:cs="Times New Roman"/>
          <w:szCs w:val="24"/>
        </w:rPr>
        <w:t xml:space="preserve">Zmiana w </w:t>
      </w:r>
      <w:r w:rsidRPr="008D7149">
        <w:rPr>
          <w:rFonts w:ascii="Times New Roman" w:eastAsia="Times New Roman" w:hAnsi="Times New Roman" w:cs="Times New Roman"/>
          <w:b/>
          <w:szCs w:val="24"/>
        </w:rPr>
        <w:t>art. 15 ust. 3</w:t>
      </w:r>
      <w:r w:rsidR="00B17E40" w:rsidRPr="008D7149">
        <w:rPr>
          <w:rFonts w:ascii="Times New Roman" w:eastAsia="Times New Roman" w:hAnsi="Times New Roman" w:cs="Times New Roman"/>
          <w:b/>
          <w:szCs w:val="24"/>
        </w:rPr>
        <w:t xml:space="preserve"> </w:t>
      </w:r>
      <w:r w:rsidR="00B17E40" w:rsidRPr="008D7149">
        <w:rPr>
          <w:rFonts w:ascii="Times New Roman" w:eastAsia="Times New Roman" w:hAnsi="Times New Roman" w:cs="Times New Roman"/>
          <w:szCs w:val="24"/>
        </w:rPr>
        <w:t>Ustawy,</w:t>
      </w:r>
      <w:r w:rsidR="00B17E40" w:rsidRPr="008D7149">
        <w:rPr>
          <w:rFonts w:ascii="Times New Roman" w:eastAsia="Times New Roman" w:hAnsi="Times New Roman" w:cs="Times New Roman"/>
          <w:b/>
          <w:szCs w:val="24"/>
        </w:rPr>
        <w:t xml:space="preserve"> </w:t>
      </w:r>
      <w:r w:rsidR="00B17E40" w:rsidRPr="008D7149">
        <w:rPr>
          <w:rFonts w:ascii="Times New Roman" w:eastAsia="Times New Roman" w:hAnsi="Times New Roman" w:cs="Times New Roman"/>
          <w:szCs w:val="24"/>
        </w:rPr>
        <w:t xml:space="preserve">podobnie jak zmiana </w:t>
      </w:r>
      <w:r w:rsidR="00B17E40" w:rsidRPr="008D7149">
        <w:rPr>
          <w:rFonts w:ascii="Times New Roman" w:eastAsia="Times New Roman" w:hAnsi="Times New Roman" w:cs="Times New Roman"/>
          <w:b/>
          <w:szCs w:val="24"/>
        </w:rPr>
        <w:t>w art. 15a we wprowadzeniu do wyliczenia Ustawy</w:t>
      </w:r>
      <w:r w:rsidR="00952609" w:rsidRPr="008D7149">
        <w:rPr>
          <w:rFonts w:ascii="Times New Roman" w:eastAsia="Times New Roman" w:hAnsi="Times New Roman" w:cs="Times New Roman"/>
          <w:b/>
          <w:szCs w:val="24"/>
        </w:rPr>
        <w:t>,</w:t>
      </w:r>
      <w:r w:rsidRPr="008D7149">
        <w:rPr>
          <w:rFonts w:ascii="Times New Roman" w:eastAsia="Times New Roman" w:hAnsi="Times New Roman" w:cs="Times New Roman"/>
          <w:szCs w:val="24"/>
        </w:rPr>
        <w:t xml:space="preserve"> ma charakter </w:t>
      </w:r>
      <w:r w:rsidR="00BB57D5" w:rsidRPr="008D7149">
        <w:rPr>
          <w:rFonts w:ascii="Times New Roman" w:eastAsia="Times New Roman" w:hAnsi="Times New Roman" w:cs="Times New Roman"/>
          <w:szCs w:val="24"/>
        </w:rPr>
        <w:t>wynikowy</w:t>
      </w:r>
      <w:r w:rsidRPr="008D7149">
        <w:rPr>
          <w:rFonts w:ascii="Times New Roman" w:eastAsia="Times New Roman" w:hAnsi="Times New Roman" w:cs="Times New Roman"/>
          <w:szCs w:val="24"/>
        </w:rPr>
        <w:t xml:space="preserve"> i polega na rezygnacji z dotychczasowego odwołania do </w:t>
      </w:r>
      <w:r w:rsidR="00B17E40" w:rsidRPr="008D7149">
        <w:rPr>
          <w:rFonts w:ascii="Times New Roman" w:eastAsia="Times New Roman" w:hAnsi="Times New Roman" w:cs="Times New Roman"/>
          <w:szCs w:val="24"/>
        </w:rPr>
        <w:t>art. 15 ust. 1 pkt 1</w:t>
      </w:r>
      <w:r w:rsidRPr="008D7149">
        <w:rPr>
          <w:rFonts w:ascii="Times New Roman" w:eastAsia="Times New Roman" w:hAnsi="Times New Roman" w:cs="Times New Roman"/>
          <w:szCs w:val="24"/>
        </w:rPr>
        <w:t xml:space="preserve">, który </w:t>
      </w:r>
      <w:r w:rsidR="00B17E40" w:rsidRPr="008D7149">
        <w:rPr>
          <w:rFonts w:ascii="Times New Roman" w:eastAsia="Times New Roman" w:hAnsi="Times New Roman" w:cs="Times New Roman"/>
          <w:szCs w:val="24"/>
        </w:rPr>
        <w:t>został uchylony</w:t>
      </w:r>
      <w:r w:rsidRPr="008D7149">
        <w:rPr>
          <w:rFonts w:ascii="Times New Roman" w:eastAsia="Times New Roman" w:hAnsi="Times New Roman" w:cs="Times New Roman"/>
          <w:szCs w:val="24"/>
        </w:rPr>
        <w:t>.</w:t>
      </w:r>
    </w:p>
    <w:p w14:paraId="0EB71E34" w14:textId="77777777" w:rsidR="001D5A28" w:rsidRPr="008D7149" w:rsidRDefault="00672B93" w:rsidP="008D7149">
      <w:pPr>
        <w:pStyle w:val="USTustnpkodeksu"/>
        <w:spacing w:before="120"/>
        <w:ind w:firstLine="0"/>
        <w:rPr>
          <w:rFonts w:ascii="Times New Roman" w:hAnsi="Times New Roman" w:cs="Times New Roman"/>
          <w:szCs w:val="24"/>
        </w:rPr>
      </w:pPr>
      <w:r w:rsidRPr="008D7149">
        <w:rPr>
          <w:rFonts w:ascii="Times New Roman" w:eastAsia="Times New Roman" w:hAnsi="Times New Roman" w:cs="Times New Roman"/>
          <w:szCs w:val="24"/>
        </w:rPr>
        <w:t>Projektowana zmiana</w:t>
      </w:r>
      <w:r w:rsidR="00EF441C" w:rsidRPr="008D7149">
        <w:rPr>
          <w:rFonts w:ascii="Times New Roman" w:hAnsi="Times New Roman" w:cs="Times New Roman"/>
          <w:szCs w:val="24"/>
        </w:rPr>
        <w:t xml:space="preserve"> </w:t>
      </w:r>
      <w:r w:rsidR="00EF441C" w:rsidRPr="008D7149">
        <w:rPr>
          <w:rFonts w:ascii="Times New Roman" w:hAnsi="Times New Roman" w:cs="Times New Roman"/>
          <w:b/>
          <w:szCs w:val="24"/>
        </w:rPr>
        <w:t xml:space="preserve">art. 15a pkt 2 </w:t>
      </w:r>
      <w:r w:rsidR="00EF441C" w:rsidRPr="008D7149">
        <w:rPr>
          <w:rFonts w:ascii="Times New Roman" w:hAnsi="Times New Roman" w:cs="Times New Roman"/>
          <w:szCs w:val="24"/>
        </w:rPr>
        <w:t>Ustawy</w:t>
      </w:r>
      <w:r w:rsidR="00EF441C" w:rsidRPr="008D7149">
        <w:rPr>
          <w:rFonts w:ascii="Times New Roman" w:hAnsi="Times New Roman" w:cs="Times New Roman"/>
          <w:b/>
          <w:szCs w:val="24"/>
        </w:rPr>
        <w:t xml:space="preserve"> </w:t>
      </w:r>
      <w:r w:rsidR="00EF441C" w:rsidRPr="008D7149">
        <w:rPr>
          <w:rFonts w:ascii="Times New Roman" w:hAnsi="Times New Roman" w:cs="Times New Roman"/>
          <w:szCs w:val="24"/>
        </w:rPr>
        <w:t>wskazuje na uprawnienie banków do zawierania umów o instrument pochodny na potrzeby wykonywanych czynności, tym samym sankcjonuje fu</w:t>
      </w:r>
      <w:r w:rsidR="00280C4D" w:rsidRPr="008D7149">
        <w:rPr>
          <w:rFonts w:ascii="Times New Roman" w:hAnsi="Times New Roman" w:cs="Times New Roman"/>
          <w:szCs w:val="24"/>
        </w:rPr>
        <w:t>nkcjonującą w obrocie praktykę.</w:t>
      </w:r>
    </w:p>
    <w:p w14:paraId="1EB42A3C" w14:textId="77777777" w:rsidR="001D5A28" w:rsidRPr="008D7149" w:rsidRDefault="00001313"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 xml:space="preserve">Zmiana w </w:t>
      </w:r>
      <w:r w:rsidRPr="008D7149">
        <w:rPr>
          <w:rFonts w:ascii="Times New Roman" w:hAnsi="Times New Roman" w:cs="Times New Roman"/>
          <w:b/>
          <w:szCs w:val="24"/>
        </w:rPr>
        <w:t xml:space="preserve">art. 17 ust. 2 </w:t>
      </w:r>
      <w:r w:rsidRPr="008D7149">
        <w:rPr>
          <w:rFonts w:ascii="Times New Roman" w:hAnsi="Times New Roman" w:cs="Times New Roman"/>
          <w:szCs w:val="24"/>
        </w:rPr>
        <w:t xml:space="preserve">Ustawy ma charakter </w:t>
      </w:r>
      <w:r w:rsidR="00A81C18" w:rsidRPr="008D7149">
        <w:rPr>
          <w:rFonts w:ascii="Times New Roman" w:hAnsi="Times New Roman" w:cs="Times New Roman"/>
          <w:szCs w:val="24"/>
        </w:rPr>
        <w:t xml:space="preserve">dostosowujący </w:t>
      </w:r>
      <w:r w:rsidRPr="008D7149">
        <w:rPr>
          <w:rFonts w:ascii="Times New Roman" w:hAnsi="Times New Roman" w:cs="Times New Roman"/>
          <w:szCs w:val="24"/>
        </w:rPr>
        <w:t xml:space="preserve">i wynika z przeniesienia wskazania aktu promulgacyjnego ustawy z dnia 29 sierpnia 1997 r. </w:t>
      </w:r>
      <w:r w:rsidR="004362A8" w:rsidRPr="008D7149">
        <w:rPr>
          <w:rFonts w:ascii="Times New Roman" w:hAnsi="Times New Roman" w:cs="Times New Roman"/>
          <w:szCs w:val="24"/>
        </w:rPr>
        <w:t>–</w:t>
      </w:r>
      <w:r w:rsidRPr="008D7149">
        <w:rPr>
          <w:rFonts w:ascii="Times New Roman" w:hAnsi="Times New Roman" w:cs="Times New Roman"/>
          <w:szCs w:val="24"/>
        </w:rPr>
        <w:t xml:space="preserve"> Prawo bankowe do pierwszego miejsca w Ustawie, w którym odesłanie do tej ustawy zostanie – w wyniku tej nowelizacji </w:t>
      </w:r>
      <w:r w:rsidR="004362A8" w:rsidRPr="008D7149">
        <w:rPr>
          <w:rFonts w:ascii="Times New Roman" w:hAnsi="Times New Roman" w:cs="Times New Roman"/>
          <w:szCs w:val="24"/>
        </w:rPr>
        <w:t>–</w:t>
      </w:r>
      <w:r w:rsidRPr="008D7149">
        <w:rPr>
          <w:rFonts w:ascii="Times New Roman" w:hAnsi="Times New Roman" w:cs="Times New Roman"/>
          <w:szCs w:val="24"/>
        </w:rPr>
        <w:t xml:space="preserve"> zawarte po raz pierwszy (art. 12a ust.</w:t>
      </w:r>
      <w:r w:rsidR="00D35BFD" w:rsidRPr="008D7149">
        <w:rPr>
          <w:rFonts w:ascii="Times New Roman" w:hAnsi="Times New Roman" w:cs="Times New Roman"/>
          <w:szCs w:val="24"/>
        </w:rPr>
        <w:t xml:space="preserve"> </w:t>
      </w:r>
      <w:r w:rsidR="00952609" w:rsidRPr="008D7149">
        <w:rPr>
          <w:rFonts w:ascii="Times New Roman" w:hAnsi="Times New Roman" w:cs="Times New Roman"/>
          <w:szCs w:val="24"/>
        </w:rPr>
        <w:t>1</w:t>
      </w:r>
      <w:r w:rsidR="00D35BFD" w:rsidRPr="008D7149">
        <w:rPr>
          <w:rFonts w:ascii="Times New Roman" w:hAnsi="Times New Roman" w:cs="Times New Roman"/>
          <w:szCs w:val="24"/>
        </w:rPr>
        <w:t xml:space="preserve"> pkt</w:t>
      </w:r>
      <w:r w:rsidRPr="008D7149">
        <w:rPr>
          <w:rFonts w:ascii="Times New Roman" w:hAnsi="Times New Roman" w:cs="Times New Roman"/>
          <w:szCs w:val="24"/>
        </w:rPr>
        <w:t xml:space="preserve"> 1 Ustawy).</w:t>
      </w:r>
    </w:p>
    <w:p w14:paraId="029B7ECF" w14:textId="5C60CAFA" w:rsidR="00BD1140" w:rsidRPr="008D7149" w:rsidRDefault="005C0A20"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zakresie </w:t>
      </w:r>
      <w:r w:rsidRPr="008D7149">
        <w:rPr>
          <w:rFonts w:ascii="Times New Roman" w:hAnsi="Times New Roman" w:cs="Times New Roman"/>
          <w:b/>
          <w:sz w:val="24"/>
          <w:szCs w:val="24"/>
        </w:rPr>
        <w:t>art. 18 ust</w:t>
      </w:r>
      <w:r w:rsidR="003F560C" w:rsidRPr="008D7149">
        <w:rPr>
          <w:rFonts w:ascii="Times New Roman" w:hAnsi="Times New Roman" w:cs="Times New Roman"/>
          <w:b/>
          <w:sz w:val="24"/>
          <w:szCs w:val="24"/>
        </w:rPr>
        <w:t>.</w:t>
      </w:r>
      <w:r w:rsidRPr="008D7149">
        <w:rPr>
          <w:rFonts w:ascii="Times New Roman" w:hAnsi="Times New Roman" w:cs="Times New Roman"/>
          <w:b/>
          <w:sz w:val="24"/>
          <w:szCs w:val="24"/>
        </w:rPr>
        <w:t xml:space="preserve"> 1 i 1a</w:t>
      </w:r>
      <w:r w:rsidR="00C1639B" w:rsidRPr="008D7149">
        <w:rPr>
          <w:rFonts w:ascii="Times New Roman" w:hAnsi="Times New Roman" w:cs="Times New Roman"/>
          <w:sz w:val="24"/>
          <w:szCs w:val="24"/>
        </w:rPr>
        <w:t xml:space="preserve"> </w:t>
      </w:r>
      <w:r w:rsidR="003F560C" w:rsidRPr="008D7149">
        <w:rPr>
          <w:rFonts w:ascii="Times New Roman" w:hAnsi="Times New Roman" w:cs="Times New Roman"/>
          <w:sz w:val="24"/>
          <w:szCs w:val="24"/>
        </w:rPr>
        <w:t xml:space="preserve">Ustawy </w:t>
      </w:r>
      <w:r w:rsidR="00C1639B" w:rsidRPr="008D7149">
        <w:rPr>
          <w:rFonts w:ascii="Times New Roman" w:hAnsi="Times New Roman" w:cs="Times New Roman"/>
          <w:sz w:val="24"/>
          <w:szCs w:val="24"/>
        </w:rPr>
        <w:t xml:space="preserve">stanowi dostosowanie poziomu </w:t>
      </w:r>
      <w:proofErr w:type="spellStart"/>
      <w:r w:rsidR="00C1639B" w:rsidRPr="008D7149">
        <w:rPr>
          <w:rFonts w:ascii="Times New Roman" w:hAnsi="Times New Roman" w:cs="Times New Roman"/>
          <w:sz w:val="24"/>
          <w:szCs w:val="24"/>
        </w:rPr>
        <w:t>nadzabezpieczenia</w:t>
      </w:r>
      <w:proofErr w:type="spellEnd"/>
      <w:r w:rsidR="00C1639B" w:rsidRPr="008D7149">
        <w:rPr>
          <w:rFonts w:ascii="Times New Roman" w:hAnsi="Times New Roman" w:cs="Times New Roman"/>
          <w:sz w:val="24"/>
          <w:szCs w:val="24"/>
        </w:rPr>
        <w:t xml:space="preserve"> </w:t>
      </w:r>
      <w:r w:rsidR="00357C7A" w:rsidRPr="008D7149">
        <w:rPr>
          <w:rFonts w:ascii="Times New Roman" w:hAnsi="Times New Roman" w:cs="Times New Roman"/>
          <w:sz w:val="24"/>
          <w:szCs w:val="24"/>
        </w:rPr>
        <w:t xml:space="preserve">do poziomu wskazanego </w:t>
      </w:r>
      <w:r w:rsidR="00E26362" w:rsidRPr="008D7149">
        <w:rPr>
          <w:rFonts w:ascii="Times New Roman" w:hAnsi="Times New Roman" w:cs="Times New Roman"/>
          <w:sz w:val="24"/>
          <w:szCs w:val="24"/>
        </w:rPr>
        <w:t xml:space="preserve">w </w:t>
      </w:r>
      <w:r w:rsidR="00894573" w:rsidRPr="008D7149">
        <w:rPr>
          <w:rFonts w:ascii="Times New Roman" w:hAnsi="Times New Roman" w:cs="Times New Roman"/>
          <w:sz w:val="24"/>
          <w:szCs w:val="24"/>
        </w:rPr>
        <w:t>r</w:t>
      </w:r>
      <w:r w:rsidR="00E26362" w:rsidRPr="008D7149">
        <w:rPr>
          <w:rFonts w:ascii="Times New Roman" w:hAnsi="Times New Roman" w:cs="Times New Roman"/>
          <w:sz w:val="24"/>
          <w:szCs w:val="24"/>
        </w:rPr>
        <w:t>ozporządzeniu 2019/2160</w:t>
      </w:r>
      <w:r w:rsidR="00894573" w:rsidRPr="008D7149">
        <w:rPr>
          <w:rFonts w:ascii="Times New Roman" w:hAnsi="Times New Roman" w:cs="Times New Roman"/>
          <w:sz w:val="24"/>
          <w:szCs w:val="24"/>
        </w:rPr>
        <w:t xml:space="preserve">. </w:t>
      </w:r>
      <w:r w:rsidR="00E94981" w:rsidRPr="008D7149">
        <w:rPr>
          <w:rFonts w:ascii="Times New Roman" w:hAnsi="Times New Roman" w:cs="Times New Roman"/>
          <w:sz w:val="24"/>
          <w:szCs w:val="24"/>
        </w:rPr>
        <w:t xml:space="preserve">Zgodnie z art. 129 ust. 3a tego rozporządzenia </w:t>
      </w:r>
      <w:r w:rsidR="00C1639B" w:rsidRPr="008D7149">
        <w:rPr>
          <w:rFonts w:ascii="Times New Roman" w:hAnsi="Times New Roman" w:cs="Times New Roman"/>
          <w:sz w:val="24"/>
          <w:szCs w:val="24"/>
        </w:rPr>
        <w:t xml:space="preserve">„poza wymogiem, zgodnie z którym obligacje zabezpieczone muszą być zabezpieczone kwalifikującymi się aktywami wymienionymi w ust. 1 niniejszego artykułu, obligacje te muszą spełniać wymóg, zgodnie z którym minimalny poziom </w:t>
      </w:r>
      <w:proofErr w:type="spellStart"/>
      <w:r w:rsidR="00C1639B" w:rsidRPr="008D7149">
        <w:rPr>
          <w:rFonts w:ascii="Times New Roman" w:hAnsi="Times New Roman" w:cs="Times New Roman"/>
          <w:sz w:val="24"/>
          <w:szCs w:val="24"/>
        </w:rPr>
        <w:t>nadzabezpieczenia</w:t>
      </w:r>
      <w:proofErr w:type="spellEnd"/>
      <w:r w:rsidR="00C1639B" w:rsidRPr="008D7149">
        <w:rPr>
          <w:rFonts w:ascii="Times New Roman" w:hAnsi="Times New Roman" w:cs="Times New Roman"/>
          <w:sz w:val="24"/>
          <w:szCs w:val="24"/>
        </w:rPr>
        <w:t xml:space="preserve"> zdefiniowanego w art. 3 pkt 14 dyrektywy (UE) 2019/2162 musi wynosić 5%</w:t>
      </w:r>
      <w:r w:rsidR="003423B0" w:rsidRPr="008D7149">
        <w:rPr>
          <w:rFonts w:ascii="Times New Roman" w:hAnsi="Times New Roman" w:cs="Times New Roman"/>
          <w:sz w:val="24"/>
          <w:szCs w:val="24"/>
        </w:rPr>
        <w:t>”</w:t>
      </w:r>
      <w:r w:rsidR="00C1639B" w:rsidRPr="008D7149">
        <w:rPr>
          <w:rFonts w:ascii="Times New Roman" w:hAnsi="Times New Roman" w:cs="Times New Roman"/>
          <w:sz w:val="24"/>
          <w:szCs w:val="24"/>
        </w:rPr>
        <w:t>.</w:t>
      </w:r>
      <w:r w:rsidR="00E94981" w:rsidRPr="008D7149">
        <w:rPr>
          <w:rFonts w:ascii="Times New Roman" w:hAnsi="Times New Roman" w:cs="Times New Roman"/>
          <w:sz w:val="24"/>
          <w:szCs w:val="24"/>
        </w:rPr>
        <w:t xml:space="preserve"> </w:t>
      </w:r>
      <w:r w:rsidR="00704E66" w:rsidRPr="008D7149">
        <w:rPr>
          <w:rFonts w:ascii="Times New Roman" w:hAnsi="Times New Roman" w:cs="Times New Roman"/>
          <w:sz w:val="24"/>
          <w:szCs w:val="24"/>
        </w:rPr>
        <w:t xml:space="preserve">W związku z tym w </w:t>
      </w:r>
      <w:r w:rsidR="00936F62" w:rsidRPr="008D7149">
        <w:rPr>
          <w:rFonts w:ascii="Times New Roman" w:hAnsi="Times New Roman" w:cs="Times New Roman"/>
          <w:sz w:val="24"/>
          <w:szCs w:val="24"/>
        </w:rPr>
        <w:t>projekcie przyjęto, ż</w:t>
      </w:r>
      <w:r w:rsidR="00B9137C" w:rsidRPr="008D7149">
        <w:rPr>
          <w:rFonts w:ascii="Times New Roman" w:hAnsi="Times New Roman" w:cs="Times New Roman"/>
          <w:sz w:val="24"/>
          <w:szCs w:val="24"/>
        </w:rPr>
        <w:t>e</w:t>
      </w:r>
      <w:r w:rsidR="00936F62" w:rsidRPr="008D7149">
        <w:rPr>
          <w:rFonts w:ascii="Times New Roman" w:hAnsi="Times New Roman" w:cs="Times New Roman"/>
          <w:sz w:val="24"/>
          <w:szCs w:val="24"/>
        </w:rPr>
        <w:t xml:space="preserve"> ob</w:t>
      </w:r>
      <w:r w:rsidR="00C56B2B" w:rsidRPr="008D7149">
        <w:rPr>
          <w:rFonts w:ascii="Times New Roman" w:hAnsi="Times New Roman" w:cs="Times New Roman"/>
          <w:sz w:val="24"/>
          <w:szCs w:val="24"/>
        </w:rPr>
        <w:t>o</w:t>
      </w:r>
      <w:r w:rsidR="00936F62" w:rsidRPr="008D7149">
        <w:rPr>
          <w:rFonts w:ascii="Times New Roman" w:hAnsi="Times New Roman" w:cs="Times New Roman"/>
          <w:sz w:val="24"/>
          <w:szCs w:val="24"/>
        </w:rPr>
        <w:t xml:space="preserve">wiązujący obecnie poziom </w:t>
      </w:r>
      <w:proofErr w:type="spellStart"/>
      <w:r w:rsidR="00936F62" w:rsidRPr="008D7149">
        <w:rPr>
          <w:rFonts w:ascii="Times New Roman" w:hAnsi="Times New Roman" w:cs="Times New Roman"/>
          <w:sz w:val="24"/>
          <w:szCs w:val="24"/>
        </w:rPr>
        <w:t>nadzabezpieczenia</w:t>
      </w:r>
      <w:proofErr w:type="spellEnd"/>
      <w:r w:rsidR="00936F62" w:rsidRPr="008D7149">
        <w:rPr>
          <w:rFonts w:ascii="Times New Roman" w:hAnsi="Times New Roman" w:cs="Times New Roman"/>
          <w:sz w:val="24"/>
          <w:szCs w:val="24"/>
        </w:rPr>
        <w:t xml:space="preserve"> (10%)</w:t>
      </w:r>
      <w:r w:rsidR="00704E66" w:rsidRPr="008D7149">
        <w:rPr>
          <w:rFonts w:ascii="Times New Roman" w:hAnsi="Times New Roman" w:cs="Times New Roman"/>
          <w:sz w:val="24"/>
          <w:szCs w:val="24"/>
        </w:rPr>
        <w:t>, wynikający z art. 18 ust</w:t>
      </w:r>
      <w:r w:rsidR="00886D65" w:rsidRPr="008D7149">
        <w:rPr>
          <w:rFonts w:ascii="Times New Roman" w:hAnsi="Times New Roman" w:cs="Times New Roman"/>
          <w:sz w:val="24"/>
          <w:szCs w:val="24"/>
        </w:rPr>
        <w:t>.</w:t>
      </w:r>
      <w:r w:rsidR="00704E66" w:rsidRPr="008D7149">
        <w:rPr>
          <w:rFonts w:ascii="Times New Roman" w:hAnsi="Times New Roman" w:cs="Times New Roman"/>
          <w:sz w:val="24"/>
          <w:szCs w:val="24"/>
        </w:rPr>
        <w:t xml:space="preserve"> 1 i 1a</w:t>
      </w:r>
      <w:r w:rsidR="00C56B2B" w:rsidRPr="008D7149">
        <w:rPr>
          <w:rFonts w:ascii="Times New Roman" w:hAnsi="Times New Roman" w:cs="Times New Roman"/>
          <w:sz w:val="24"/>
          <w:szCs w:val="24"/>
        </w:rPr>
        <w:t xml:space="preserve"> Ustawy</w:t>
      </w:r>
      <w:r w:rsidR="00704E66" w:rsidRPr="008D7149">
        <w:rPr>
          <w:rFonts w:ascii="Times New Roman" w:hAnsi="Times New Roman" w:cs="Times New Roman"/>
          <w:sz w:val="24"/>
          <w:szCs w:val="24"/>
        </w:rPr>
        <w:t>,</w:t>
      </w:r>
      <w:r w:rsidR="00936F62" w:rsidRPr="008D7149">
        <w:rPr>
          <w:rFonts w:ascii="Times New Roman" w:hAnsi="Times New Roman" w:cs="Times New Roman"/>
          <w:sz w:val="24"/>
          <w:szCs w:val="24"/>
        </w:rPr>
        <w:t xml:space="preserve"> zostanie obniżony do poziomu wskazanego w rozporządzeniu 2019/2160. </w:t>
      </w:r>
      <w:r w:rsidR="00704E66" w:rsidRPr="008D7149">
        <w:rPr>
          <w:rFonts w:ascii="Times New Roman" w:hAnsi="Times New Roman" w:cs="Times New Roman"/>
          <w:sz w:val="24"/>
          <w:szCs w:val="24"/>
        </w:rPr>
        <w:t xml:space="preserve">Ponadto </w:t>
      </w:r>
      <w:r w:rsidR="00E94981" w:rsidRPr="008D7149">
        <w:rPr>
          <w:rFonts w:ascii="Times New Roman" w:hAnsi="Times New Roman" w:cs="Times New Roman"/>
          <w:sz w:val="24"/>
          <w:szCs w:val="24"/>
        </w:rPr>
        <w:t xml:space="preserve">w związku z umożliwieniem bankom hipotecznym emitowania publicznych listów zastawnych, których zabezpieczeniem </w:t>
      </w:r>
      <w:r w:rsidR="00E94981" w:rsidRPr="008D7149">
        <w:rPr>
          <w:rFonts w:ascii="Times New Roman" w:hAnsi="Times New Roman" w:cs="Times New Roman"/>
          <w:sz w:val="24"/>
          <w:szCs w:val="24"/>
        </w:rPr>
        <w:lastRenderedPageBreak/>
        <w:t>będą nabyte przez bank hipoteczn</w:t>
      </w:r>
      <w:r w:rsidR="00DB1FA3" w:rsidRPr="008D7149">
        <w:rPr>
          <w:rFonts w:ascii="Times New Roman" w:hAnsi="Times New Roman" w:cs="Times New Roman"/>
          <w:sz w:val="24"/>
          <w:szCs w:val="24"/>
        </w:rPr>
        <w:t>y papiery wartościowe emitowane</w:t>
      </w:r>
      <w:r w:rsidR="00C56B2B" w:rsidRPr="008D7149">
        <w:rPr>
          <w:rFonts w:ascii="Times New Roman" w:hAnsi="Times New Roman" w:cs="Times New Roman"/>
          <w:sz w:val="24"/>
          <w:szCs w:val="24"/>
        </w:rPr>
        <w:t xml:space="preserve"> </w:t>
      </w:r>
      <w:r w:rsidR="00DB1FA3" w:rsidRPr="008D7149">
        <w:rPr>
          <w:rFonts w:ascii="Times New Roman" w:hAnsi="Times New Roman" w:cs="Times New Roman"/>
          <w:sz w:val="24"/>
          <w:szCs w:val="24"/>
        </w:rPr>
        <w:t xml:space="preserve">przez Skarb Państwa, </w:t>
      </w:r>
      <w:r w:rsidR="00C56B2B" w:rsidRPr="008D7149">
        <w:rPr>
          <w:rFonts w:ascii="Times New Roman" w:hAnsi="Times New Roman" w:cs="Times New Roman"/>
          <w:sz w:val="24"/>
          <w:szCs w:val="24"/>
        </w:rPr>
        <w:t xml:space="preserve">w art. 18 ust. 1a Ustawy </w:t>
      </w:r>
      <w:r w:rsidR="00DB1FA3" w:rsidRPr="008D7149">
        <w:rPr>
          <w:rFonts w:ascii="Times New Roman" w:hAnsi="Times New Roman" w:cs="Times New Roman"/>
          <w:sz w:val="24"/>
          <w:szCs w:val="24"/>
        </w:rPr>
        <w:t xml:space="preserve">wprowadzono dodatkowo doprecyzowanie </w:t>
      </w:r>
      <w:r w:rsidR="00C56B2B" w:rsidRPr="008D7149">
        <w:rPr>
          <w:rFonts w:ascii="Times New Roman" w:hAnsi="Times New Roman" w:cs="Times New Roman"/>
          <w:sz w:val="24"/>
          <w:szCs w:val="24"/>
        </w:rPr>
        <w:t xml:space="preserve">dotyczące </w:t>
      </w:r>
      <w:r w:rsidR="00DB1FA3" w:rsidRPr="008D7149">
        <w:rPr>
          <w:rFonts w:ascii="Times New Roman" w:hAnsi="Times New Roman" w:cs="Times New Roman"/>
          <w:sz w:val="24"/>
          <w:szCs w:val="24"/>
        </w:rPr>
        <w:t>klasyfikacji ww. papierów w ramach aktywów stanowiących podstawę emisji publicznych listów zastawnych</w:t>
      </w:r>
      <w:r w:rsidR="00886D65" w:rsidRPr="008D7149">
        <w:rPr>
          <w:rFonts w:ascii="Times New Roman" w:hAnsi="Times New Roman" w:cs="Times New Roman"/>
          <w:sz w:val="24"/>
          <w:szCs w:val="24"/>
        </w:rPr>
        <w:t>.</w:t>
      </w:r>
      <w:r w:rsidR="00DB1FA3" w:rsidRPr="008D7149">
        <w:rPr>
          <w:rFonts w:ascii="Times New Roman" w:hAnsi="Times New Roman" w:cs="Times New Roman"/>
          <w:sz w:val="24"/>
          <w:szCs w:val="24"/>
        </w:rPr>
        <w:t xml:space="preserve"> </w:t>
      </w:r>
      <w:r w:rsidR="00DB3892" w:rsidRPr="008D7149">
        <w:rPr>
          <w:rFonts w:ascii="Times New Roman" w:hAnsi="Times New Roman" w:cs="Times New Roman"/>
          <w:sz w:val="24"/>
          <w:szCs w:val="24"/>
        </w:rPr>
        <w:t xml:space="preserve">Zgodnie z przyjętą zasadą </w:t>
      </w:r>
      <w:r w:rsidR="00051F34" w:rsidRPr="008D7149">
        <w:rPr>
          <w:rFonts w:ascii="Times New Roman" w:hAnsi="Times New Roman" w:cs="Times New Roman"/>
          <w:sz w:val="24"/>
          <w:szCs w:val="24"/>
        </w:rPr>
        <w:t xml:space="preserve">w kwocie </w:t>
      </w:r>
      <w:r w:rsidR="00DB3892" w:rsidRPr="008D7149">
        <w:rPr>
          <w:rFonts w:ascii="Times New Roman" w:hAnsi="Times New Roman" w:cs="Times New Roman"/>
          <w:sz w:val="24"/>
          <w:szCs w:val="24"/>
        </w:rPr>
        <w:t xml:space="preserve">wierzytelności banku hipotecznego, do której odnoszą się limity </w:t>
      </w:r>
      <w:r w:rsidR="00886D65" w:rsidRPr="008D7149">
        <w:rPr>
          <w:rFonts w:ascii="Times New Roman" w:hAnsi="Times New Roman" w:cs="Times New Roman"/>
          <w:sz w:val="24"/>
          <w:szCs w:val="24"/>
        </w:rPr>
        <w:t xml:space="preserve">określone </w:t>
      </w:r>
      <w:r w:rsidR="00DB3892" w:rsidRPr="008D7149">
        <w:rPr>
          <w:rFonts w:ascii="Times New Roman" w:hAnsi="Times New Roman" w:cs="Times New Roman"/>
          <w:sz w:val="24"/>
          <w:szCs w:val="24"/>
        </w:rPr>
        <w:t xml:space="preserve">w ust. 1a, </w:t>
      </w:r>
      <w:r w:rsidR="00985EC8" w:rsidRPr="008D7149">
        <w:rPr>
          <w:rFonts w:ascii="Times New Roman" w:hAnsi="Times New Roman" w:cs="Times New Roman"/>
          <w:sz w:val="24"/>
          <w:szCs w:val="24"/>
        </w:rPr>
        <w:t xml:space="preserve">bank hipoteczny </w:t>
      </w:r>
      <w:r w:rsidR="00B66953" w:rsidRPr="008D7149">
        <w:rPr>
          <w:rFonts w:ascii="Times New Roman" w:hAnsi="Times New Roman" w:cs="Times New Roman"/>
          <w:sz w:val="24"/>
          <w:szCs w:val="24"/>
        </w:rPr>
        <w:t xml:space="preserve">może uwzględnić </w:t>
      </w:r>
      <w:r w:rsidR="00DB3892" w:rsidRPr="008D7149">
        <w:rPr>
          <w:rFonts w:ascii="Times New Roman" w:hAnsi="Times New Roman" w:cs="Times New Roman"/>
          <w:sz w:val="24"/>
          <w:szCs w:val="24"/>
        </w:rPr>
        <w:t>wierzytelności z tytułu nabytych papierów wartościowych, o których mowa w art. 3 ust. 2 pkt 4</w:t>
      </w:r>
      <w:r w:rsidR="00886D65" w:rsidRPr="008D7149">
        <w:rPr>
          <w:rFonts w:ascii="Times New Roman" w:hAnsi="Times New Roman" w:cs="Times New Roman"/>
          <w:sz w:val="24"/>
          <w:szCs w:val="24"/>
        </w:rPr>
        <w:t xml:space="preserve"> Ustawy</w:t>
      </w:r>
      <w:r w:rsidR="00DB3892" w:rsidRPr="008D7149">
        <w:rPr>
          <w:rFonts w:ascii="Times New Roman" w:hAnsi="Times New Roman" w:cs="Times New Roman"/>
          <w:sz w:val="24"/>
          <w:szCs w:val="24"/>
        </w:rPr>
        <w:t xml:space="preserve">, o ile nie stanowią one aktywów zastępczych, o których mowa w </w:t>
      </w:r>
      <w:r w:rsidR="00886D65" w:rsidRPr="008D7149">
        <w:rPr>
          <w:rFonts w:ascii="Times New Roman" w:hAnsi="Times New Roman" w:cs="Times New Roman"/>
          <w:sz w:val="24"/>
          <w:szCs w:val="24"/>
        </w:rPr>
        <w:t xml:space="preserve">art. 18 </w:t>
      </w:r>
      <w:r w:rsidR="00DB3892" w:rsidRPr="008D7149">
        <w:rPr>
          <w:rFonts w:ascii="Times New Roman" w:hAnsi="Times New Roman" w:cs="Times New Roman"/>
          <w:sz w:val="24"/>
          <w:szCs w:val="24"/>
        </w:rPr>
        <w:t>ust. 3 pkt 1</w:t>
      </w:r>
      <w:r w:rsidR="00886D65" w:rsidRPr="008D7149">
        <w:rPr>
          <w:rFonts w:ascii="Times New Roman" w:hAnsi="Times New Roman" w:cs="Times New Roman"/>
          <w:sz w:val="24"/>
          <w:szCs w:val="24"/>
        </w:rPr>
        <w:t xml:space="preserve"> Ustawy</w:t>
      </w:r>
      <w:r w:rsidR="00DB3892" w:rsidRPr="008D7149">
        <w:rPr>
          <w:rFonts w:ascii="Times New Roman" w:hAnsi="Times New Roman" w:cs="Times New Roman"/>
          <w:sz w:val="24"/>
          <w:szCs w:val="24"/>
        </w:rPr>
        <w:t xml:space="preserve">. </w:t>
      </w:r>
      <w:r w:rsidR="00BD1140" w:rsidRPr="008D7149">
        <w:rPr>
          <w:rFonts w:ascii="Times New Roman" w:hAnsi="Times New Roman" w:cs="Times New Roman"/>
          <w:sz w:val="24"/>
          <w:szCs w:val="24"/>
        </w:rPr>
        <w:t xml:space="preserve">Ww. doprecyzowanie wynika z projektowanych zmian art. 3 ust. 2 pkt 4 </w:t>
      </w:r>
      <w:r w:rsidR="00886D65" w:rsidRPr="008D7149">
        <w:rPr>
          <w:rFonts w:ascii="Times New Roman" w:hAnsi="Times New Roman" w:cs="Times New Roman"/>
          <w:sz w:val="24"/>
          <w:szCs w:val="24"/>
        </w:rPr>
        <w:t xml:space="preserve">Ustawy </w:t>
      </w:r>
      <w:r w:rsidR="00BD1140" w:rsidRPr="008D7149">
        <w:rPr>
          <w:rFonts w:ascii="Times New Roman" w:hAnsi="Times New Roman" w:cs="Times New Roman"/>
          <w:sz w:val="24"/>
          <w:szCs w:val="24"/>
        </w:rPr>
        <w:t>w zakresie rozszerzenia podstawy emisji publicznych listów zastawnych o wierzytelności z tytułu nabytych papierów wartościowych emitowanych przez Skarb Państwa</w:t>
      </w:r>
      <w:r w:rsidR="00985EC8" w:rsidRPr="008D7149">
        <w:rPr>
          <w:rFonts w:ascii="Times New Roman" w:hAnsi="Times New Roman" w:cs="Times New Roman"/>
          <w:sz w:val="24"/>
          <w:szCs w:val="24"/>
        </w:rPr>
        <w:t xml:space="preserve">, które w świetle obecnych rozwiązań mogą </w:t>
      </w:r>
      <w:r w:rsidR="00D57142" w:rsidRPr="008D7149">
        <w:rPr>
          <w:rFonts w:ascii="Times New Roman" w:hAnsi="Times New Roman" w:cs="Times New Roman"/>
          <w:sz w:val="24"/>
          <w:szCs w:val="24"/>
        </w:rPr>
        <w:t xml:space="preserve">być </w:t>
      </w:r>
      <w:r w:rsidR="00985EC8" w:rsidRPr="008D7149">
        <w:rPr>
          <w:rFonts w:ascii="Times New Roman" w:hAnsi="Times New Roman" w:cs="Times New Roman"/>
          <w:sz w:val="24"/>
          <w:szCs w:val="24"/>
        </w:rPr>
        <w:t>wyłącznie aktywa</w:t>
      </w:r>
      <w:r w:rsidR="00D57142" w:rsidRPr="008D7149">
        <w:rPr>
          <w:rFonts w:ascii="Times New Roman" w:hAnsi="Times New Roman" w:cs="Times New Roman"/>
          <w:sz w:val="24"/>
          <w:szCs w:val="24"/>
        </w:rPr>
        <w:t>mi</w:t>
      </w:r>
      <w:r w:rsidR="00985EC8" w:rsidRPr="008D7149">
        <w:rPr>
          <w:rFonts w:ascii="Times New Roman" w:hAnsi="Times New Roman" w:cs="Times New Roman"/>
          <w:sz w:val="24"/>
          <w:szCs w:val="24"/>
        </w:rPr>
        <w:t xml:space="preserve"> zastępcz</w:t>
      </w:r>
      <w:r w:rsidR="00D57142" w:rsidRPr="008D7149">
        <w:rPr>
          <w:rFonts w:ascii="Times New Roman" w:hAnsi="Times New Roman" w:cs="Times New Roman"/>
          <w:sz w:val="24"/>
          <w:szCs w:val="24"/>
        </w:rPr>
        <w:t>ymi.</w:t>
      </w:r>
      <w:r w:rsidR="00796E53" w:rsidRPr="008D7149">
        <w:rPr>
          <w:rFonts w:ascii="Times New Roman" w:hAnsi="Times New Roman" w:cs="Times New Roman"/>
          <w:sz w:val="24"/>
          <w:szCs w:val="24"/>
        </w:rPr>
        <w:t xml:space="preserve"> </w:t>
      </w:r>
      <w:r w:rsidR="00B66953" w:rsidRPr="008D7149">
        <w:rPr>
          <w:rFonts w:ascii="Times New Roman" w:hAnsi="Times New Roman" w:cs="Times New Roman"/>
          <w:sz w:val="24"/>
          <w:szCs w:val="24"/>
        </w:rPr>
        <w:t xml:space="preserve">Fakultatywny zwrot „może uwzględnić” </w:t>
      </w:r>
      <w:r w:rsidR="00190F3F" w:rsidRPr="008D7149">
        <w:rPr>
          <w:rFonts w:ascii="Times New Roman" w:hAnsi="Times New Roman" w:cs="Times New Roman"/>
          <w:sz w:val="24"/>
          <w:szCs w:val="24"/>
        </w:rPr>
        <w:t xml:space="preserve">ma na celu podkreślenie możliwości klasyfikacji przedmiotowych aktywów, o których mowa w art. 3 ust. 2 pkt 4 Ustawy, </w:t>
      </w:r>
      <w:r w:rsidR="00B477BF" w:rsidRPr="008D7149">
        <w:rPr>
          <w:rFonts w:ascii="Times New Roman" w:hAnsi="Times New Roman" w:cs="Times New Roman"/>
          <w:sz w:val="24"/>
          <w:szCs w:val="24"/>
        </w:rPr>
        <w:t>odpowiednio do aktywów podstawowych lub zastępczych</w:t>
      </w:r>
      <w:r w:rsidR="005C56B5" w:rsidRPr="008D7149">
        <w:rPr>
          <w:rFonts w:ascii="Times New Roman" w:hAnsi="Times New Roman" w:cs="Times New Roman"/>
          <w:sz w:val="24"/>
          <w:szCs w:val="24"/>
        </w:rPr>
        <w:t>,</w:t>
      </w:r>
      <w:r w:rsidR="00B477BF" w:rsidRPr="008D7149">
        <w:rPr>
          <w:rFonts w:ascii="Times New Roman" w:hAnsi="Times New Roman" w:cs="Times New Roman"/>
          <w:sz w:val="24"/>
          <w:szCs w:val="24"/>
        </w:rPr>
        <w:t xml:space="preserve"> w zależności od podjętej przez bank decyzji w zakresie </w:t>
      </w:r>
      <w:r w:rsidR="000202EA" w:rsidRPr="008D7149">
        <w:rPr>
          <w:rFonts w:ascii="Times New Roman" w:hAnsi="Times New Roman" w:cs="Times New Roman"/>
          <w:sz w:val="24"/>
          <w:szCs w:val="24"/>
        </w:rPr>
        <w:t>zasad</w:t>
      </w:r>
      <w:r w:rsidR="00B477BF" w:rsidRPr="008D7149">
        <w:rPr>
          <w:rFonts w:ascii="Times New Roman" w:hAnsi="Times New Roman" w:cs="Times New Roman"/>
          <w:sz w:val="24"/>
          <w:szCs w:val="24"/>
        </w:rPr>
        <w:t xml:space="preserve"> emisji</w:t>
      </w:r>
      <w:r w:rsidR="000202EA" w:rsidRPr="008D7149">
        <w:rPr>
          <w:rFonts w:ascii="Times New Roman" w:hAnsi="Times New Roman" w:cs="Times New Roman"/>
          <w:sz w:val="24"/>
          <w:szCs w:val="24"/>
        </w:rPr>
        <w:t xml:space="preserve"> i jej zabezpieczenia. Intencją przedmiotowego</w:t>
      </w:r>
      <w:r w:rsidR="00E412C1" w:rsidRPr="008D7149">
        <w:rPr>
          <w:rFonts w:ascii="Times New Roman" w:hAnsi="Times New Roman" w:cs="Times New Roman"/>
          <w:sz w:val="24"/>
          <w:szCs w:val="24"/>
        </w:rPr>
        <w:t xml:space="preserve"> doprecyzowania</w:t>
      </w:r>
      <w:r w:rsidR="000202EA" w:rsidRPr="008D7149">
        <w:rPr>
          <w:rFonts w:ascii="Times New Roman" w:hAnsi="Times New Roman" w:cs="Times New Roman"/>
          <w:sz w:val="24"/>
          <w:szCs w:val="24"/>
        </w:rPr>
        <w:t xml:space="preserve"> nie jest wprowadzanie zmian w dotychczasowych zasadach liczenia limitów określonych w art. 18 ust</w:t>
      </w:r>
      <w:r w:rsidR="00982337" w:rsidRPr="008D7149">
        <w:rPr>
          <w:rFonts w:ascii="Times New Roman" w:hAnsi="Times New Roman" w:cs="Times New Roman"/>
          <w:sz w:val="24"/>
          <w:szCs w:val="24"/>
        </w:rPr>
        <w:t>.</w:t>
      </w:r>
      <w:r w:rsidR="000202EA" w:rsidRPr="008D7149">
        <w:rPr>
          <w:rFonts w:ascii="Times New Roman" w:hAnsi="Times New Roman" w:cs="Times New Roman"/>
          <w:sz w:val="24"/>
          <w:szCs w:val="24"/>
        </w:rPr>
        <w:t xml:space="preserve"> 1a zdanie pierwsze.</w:t>
      </w:r>
    </w:p>
    <w:p w14:paraId="225C868B" w14:textId="0857C073"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Projektowane brzmienie</w:t>
      </w:r>
      <w:r w:rsidRPr="008D7149">
        <w:rPr>
          <w:rFonts w:ascii="Times New Roman" w:hAnsi="Times New Roman" w:cs="Times New Roman"/>
          <w:b/>
          <w:sz w:val="24"/>
          <w:szCs w:val="24"/>
        </w:rPr>
        <w:t xml:space="preserve"> art. 18</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 xml:space="preserve">ust. 2a </w:t>
      </w:r>
      <w:r w:rsidRPr="008D7149">
        <w:rPr>
          <w:rFonts w:ascii="Times New Roman" w:hAnsi="Times New Roman" w:cs="Times New Roman"/>
          <w:sz w:val="24"/>
          <w:szCs w:val="24"/>
        </w:rPr>
        <w:t>Ustawy</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wskazuje, ż</w:t>
      </w:r>
      <w:r w:rsidR="00A06E3E">
        <w:rPr>
          <w:rFonts w:ascii="Times New Roman" w:hAnsi="Times New Roman" w:cs="Times New Roman"/>
          <w:sz w:val="24"/>
          <w:szCs w:val="24"/>
        </w:rPr>
        <w:t>e</w:t>
      </w:r>
      <w:r w:rsidRPr="008D7149">
        <w:rPr>
          <w:rFonts w:ascii="Times New Roman" w:hAnsi="Times New Roman" w:cs="Times New Roman"/>
          <w:sz w:val="24"/>
          <w:szCs w:val="24"/>
        </w:rPr>
        <w:t xml:space="preserve"> przy spełnianiu wymogów, o których mowa w art. 18 ust. 1</w:t>
      </w:r>
      <w:r w:rsidR="00A06E3E">
        <w:rPr>
          <w:rFonts w:ascii="Times New Roman" w:hAnsi="Times New Roman" w:cs="Times New Roman"/>
          <w:sz w:val="24"/>
          <w:szCs w:val="24"/>
        </w:rPr>
        <w:t>–</w:t>
      </w:r>
      <w:r w:rsidRPr="008D7149">
        <w:rPr>
          <w:rFonts w:ascii="Times New Roman" w:hAnsi="Times New Roman" w:cs="Times New Roman"/>
          <w:sz w:val="24"/>
          <w:szCs w:val="24"/>
        </w:rPr>
        <w:t>2 Ustawy, nie uwzględnia się aktywów</w:t>
      </w:r>
      <w:r w:rsidR="0094030B" w:rsidRPr="008D7149">
        <w:rPr>
          <w:rFonts w:ascii="Times New Roman" w:hAnsi="Times New Roman" w:cs="Times New Roman"/>
          <w:sz w:val="24"/>
          <w:szCs w:val="24"/>
        </w:rPr>
        <w:t xml:space="preserve"> stanowiących zabezpieczenie listów zastawnych</w:t>
      </w:r>
      <w:r w:rsidRPr="008D7149">
        <w:rPr>
          <w:rFonts w:ascii="Times New Roman" w:hAnsi="Times New Roman" w:cs="Times New Roman"/>
          <w:sz w:val="24"/>
          <w:szCs w:val="24"/>
        </w:rPr>
        <w:t>, w przypadku których nastąpiło niewykonanie zobowiązania w rozumieniu art. 178 rozporządzenia (UE) nr 575/2013. Projektowany przepis ma na celu implementację regulacji zawartej w art. 15 ust. 4 zdanie ostanie (po wyliczeniu) dyrektywy 2019/2062.</w:t>
      </w:r>
      <w:r w:rsidR="001625AB" w:rsidRPr="008D7149">
        <w:rPr>
          <w:rFonts w:ascii="Times New Roman" w:hAnsi="Times New Roman" w:cs="Times New Roman"/>
          <w:sz w:val="24"/>
          <w:szCs w:val="24"/>
        </w:rPr>
        <w:t xml:space="preserve"> </w:t>
      </w:r>
      <w:r w:rsidR="0032027D" w:rsidRPr="008D7149">
        <w:rPr>
          <w:rFonts w:ascii="Times New Roman" w:hAnsi="Times New Roman" w:cs="Times New Roman"/>
          <w:sz w:val="24"/>
          <w:szCs w:val="24"/>
        </w:rPr>
        <w:t xml:space="preserve">W związku z zasadą określoną w ust. 2a </w:t>
      </w:r>
      <w:r w:rsidR="001625AB" w:rsidRPr="008D7149">
        <w:rPr>
          <w:rFonts w:ascii="Times New Roman" w:hAnsi="Times New Roman" w:cs="Times New Roman"/>
          <w:sz w:val="24"/>
          <w:szCs w:val="24"/>
        </w:rPr>
        <w:t xml:space="preserve">bank hipoteczny nie </w:t>
      </w:r>
      <w:r w:rsidR="0032027D" w:rsidRPr="008D7149">
        <w:rPr>
          <w:rFonts w:ascii="Times New Roman" w:hAnsi="Times New Roman" w:cs="Times New Roman"/>
          <w:sz w:val="24"/>
          <w:szCs w:val="24"/>
        </w:rPr>
        <w:t>będzie mógł</w:t>
      </w:r>
      <w:r w:rsidR="001625AB" w:rsidRPr="008D7149">
        <w:rPr>
          <w:rFonts w:ascii="Times New Roman" w:hAnsi="Times New Roman" w:cs="Times New Roman"/>
          <w:sz w:val="24"/>
          <w:szCs w:val="24"/>
        </w:rPr>
        <w:t xml:space="preserve"> </w:t>
      </w:r>
      <w:r w:rsidR="007E5E5E" w:rsidRPr="008D7149">
        <w:rPr>
          <w:rFonts w:ascii="Times New Roman" w:hAnsi="Times New Roman" w:cs="Times New Roman"/>
          <w:sz w:val="24"/>
          <w:szCs w:val="24"/>
        </w:rPr>
        <w:t xml:space="preserve">przy obliczaniu wymogów </w:t>
      </w:r>
      <w:r w:rsidR="005A0996" w:rsidRPr="008D7149">
        <w:rPr>
          <w:rFonts w:ascii="Times New Roman" w:hAnsi="Times New Roman" w:cs="Times New Roman"/>
          <w:sz w:val="24"/>
          <w:szCs w:val="24"/>
        </w:rPr>
        <w:t>z art. 18 ust. 1</w:t>
      </w:r>
      <w:r w:rsidR="00A06E3E">
        <w:rPr>
          <w:rFonts w:ascii="Times New Roman" w:hAnsi="Times New Roman" w:cs="Times New Roman"/>
          <w:sz w:val="24"/>
          <w:szCs w:val="24"/>
        </w:rPr>
        <w:t>–</w:t>
      </w:r>
      <w:r w:rsidR="005A0996" w:rsidRPr="008D7149">
        <w:rPr>
          <w:rFonts w:ascii="Times New Roman" w:hAnsi="Times New Roman" w:cs="Times New Roman"/>
          <w:sz w:val="24"/>
          <w:szCs w:val="24"/>
        </w:rPr>
        <w:t>2</w:t>
      </w:r>
      <w:r w:rsidR="009C4AD6" w:rsidRPr="008D7149">
        <w:rPr>
          <w:rFonts w:ascii="Times New Roman" w:hAnsi="Times New Roman" w:cs="Times New Roman"/>
          <w:sz w:val="24"/>
          <w:szCs w:val="24"/>
        </w:rPr>
        <w:t xml:space="preserve"> </w:t>
      </w:r>
      <w:r w:rsidR="00982858" w:rsidRPr="008D7149">
        <w:rPr>
          <w:rFonts w:ascii="Times New Roman" w:hAnsi="Times New Roman" w:cs="Times New Roman"/>
          <w:sz w:val="24"/>
          <w:szCs w:val="24"/>
        </w:rPr>
        <w:t xml:space="preserve">Ustawy </w:t>
      </w:r>
      <w:r w:rsidR="009C4AD6" w:rsidRPr="008D7149">
        <w:rPr>
          <w:rFonts w:ascii="Times New Roman" w:hAnsi="Times New Roman" w:cs="Times New Roman"/>
          <w:sz w:val="24"/>
          <w:szCs w:val="24"/>
        </w:rPr>
        <w:t xml:space="preserve">brać pod uwagę </w:t>
      </w:r>
      <w:r w:rsidR="00A671AF" w:rsidRPr="008D7149">
        <w:rPr>
          <w:rFonts w:ascii="Times New Roman" w:hAnsi="Times New Roman" w:cs="Times New Roman"/>
          <w:sz w:val="24"/>
          <w:szCs w:val="24"/>
        </w:rPr>
        <w:t>przede wszystkim</w:t>
      </w:r>
      <w:r w:rsidR="009C4AD6" w:rsidRPr="008D7149">
        <w:rPr>
          <w:rFonts w:ascii="Times New Roman" w:hAnsi="Times New Roman" w:cs="Times New Roman"/>
          <w:sz w:val="24"/>
          <w:szCs w:val="24"/>
        </w:rPr>
        <w:t xml:space="preserve"> takich wierzytelności</w:t>
      </w:r>
      <w:r w:rsidR="004169C7">
        <w:rPr>
          <w:rFonts w:ascii="Times New Roman" w:hAnsi="Times New Roman" w:cs="Times New Roman"/>
          <w:sz w:val="24"/>
          <w:szCs w:val="24"/>
        </w:rPr>
        <w:t>,</w:t>
      </w:r>
      <w:r w:rsidR="009C4AD6" w:rsidRPr="008D7149">
        <w:rPr>
          <w:rFonts w:ascii="Times New Roman" w:hAnsi="Times New Roman" w:cs="Times New Roman"/>
          <w:sz w:val="24"/>
          <w:szCs w:val="24"/>
        </w:rPr>
        <w:t xml:space="preserve"> w </w:t>
      </w:r>
      <w:r w:rsidR="00592ED2" w:rsidRPr="008D7149">
        <w:rPr>
          <w:rFonts w:ascii="Times New Roman" w:hAnsi="Times New Roman" w:cs="Times New Roman"/>
          <w:sz w:val="24"/>
          <w:szCs w:val="24"/>
        </w:rPr>
        <w:t xml:space="preserve">odniesieniu do </w:t>
      </w:r>
      <w:r w:rsidR="009C4AD6" w:rsidRPr="008D7149">
        <w:rPr>
          <w:rFonts w:ascii="Times New Roman" w:hAnsi="Times New Roman" w:cs="Times New Roman"/>
          <w:sz w:val="24"/>
          <w:szCs w:val="24"/>
        </w:rPr>
        <w:t>których</w:t>
      </w:r>
      <w:r w:rsidR="00592ED2" w:rsidRPr="008D7149">
        <w:rPr>
          <w:rFonts w:ascii="Times New Roman" w:hAnsi="Times New Roman" w:cs="Times New Roman"/>
          <w:sz w:val="24"/>
          <w:szCs w:val="24"/>
        </w:rPr>
        <w:t>,</w:t>
      </w:r>
      <w:r w:rsidR="009C4AD6" w:rsidRPr="008D7149">
        <w:rPr>
          <w:rFonts w:ascii="Times New Roman" w:hAnsi="Times New Roman" w:cs="Times New Roman"/>
          <w:sz w:val="24"/>
          <w:szCs w:val="24"/>
        </w:rPr>
        <w:t xml:space="preserve"> </w:t>
      </w:r>
      <w:r w:rsidR="00592ED2" w:rsidRPr="008D7149">
        <w:rPr>
          <w:rFonts w:ascii="Times New Roman" w:hAnsi="Times New Roman" w:cs="Times New Roman"/>
          <w:sz w:val="24"/>
          <w:szCs w:val="24"/>
        </w:rPr>
        <w:t xml:space="preserve">zgodnie z art. 178 ust. 1 rozporządzenia (UE) nr 575/2013, </w:t>
      </w:r>
      <w:r w:rsidR="00E56561" w:rsidRPr="008D7149">
        <w:rPr>
          <w:rFonts w:ascii="Times New Roman" w:hAnsi="Times New Roman" w:cs="Times New Roman"/>
          <w:sz w:val="24"/>
          <w:szCs w:val="24"/>
        </w:rPr>
        <w:t>bank stwierdzi</w:t>
      </w:r>
      <w:r w:rsidR="005C56B5" w:rsidRPr="008D7149">
        <w:rPr>
          <w:rFonts w:ascii="Times New Roman" w:hAnsi="Times New Roman" w:cs="Times New Roman"/>
          <w:sz w:val="24"/>
          <w:szCs w:val="24"/>
        </w:rPr>
        <w:t xml:space="preserve">, </w:t>
      </w:r>
      <w:r w:rsidR="00E56561" w:rsidRPr="008D7149">
        <w:rPr>
          <w:rFonts w:ascii="Times New Roman" w:hAnsi="Times New Roman" w:cs="Times New Roman"/>
          <w:sz w:val="24"/>
          <w:szCs w:val="24"/>
        </w:rPr>
        <w:t>że istnieje małe prawdopodobieństwo wywiązania się w pełni przez dłużnika z zobowiązań wobec banku</w:t>
      </w:r>
      <w:r w:rsidR="00970BD7" w:rsidRPr="008D7149">
        <w:rPr>
          <w:rFonts w:ascii="Times New Roman" w:hAnsi="Times New Roman" w:cs="Times New Roman"/>
          <w:sz w:val="24"/>
          <w:szCs w:val="24"/>
        </w:rPr>
        <w:t xml:space="preserve">, </w:t>
      </w:r>
      <w:r w:rsidR="00F35A61" w:rsidRPr="008D7149">
        <w:rPr>
          <w:rFonts w:ascii="Times New Roman" w:hAnsi="Times New Roman" w:cs="Times New Roman"/>
          <w:sz w:val="24"/>
          <w:szCs w:val="24"/>
        </w:rPr>
        <w:t>lub zwłoka w wykonaniu przez dłużnika istotnych zobowiązań przekracza 90 dni.</w:t>
      </w:r>
      <w:r w:rsidR="00CD65E9" w:rsidRPr="008D7149">
        <w:rPr>
          <w:rFonts w:ascii="Times New Roman" w:hAnsi="Times New Roman" w:cs="Times New Roman"/>
          <w:sz w:val="24"/>
          <w:szCs w:val="24"/>
        </w:rPr>
        <w:t xml:space="preserve"> </w:t>
      </w:r>
      <w:r w:rsidR="00AF6AB6" w:rsidRPr="008D7149">
        <w:rPr>
          <w:rFonts w:ascii="Times New Roman" w:hAnsi="Times New Roman" w:cs="Times New Roman"/>
          <w:sz w:val="24"/>
          <w:szCs w:val="24"/>
        </w:rPr>
        <w:t>Należy podkreślić, że przepisy U</w:t>
      </w:r>
      <w:r w:rsidR="0018666F" w:rsidRPr="008D7149">
        <w:rPr>
          <w:rFonts w:ascii="Times New Roman" w:hAnsi="Times New Roman" w:cs="Times New Roman"/>
          <w:sz w:val="24"/>
          <w:szCs w:val="24"/>
        </w:rPr>
        <w:t>staw</w:t>
      </w:r>
      <w:r w:rsidR="00AF6AB6" w:rsidRPr="008D7149">
        <w:rPr>
          <w:rFonts w:ascii="Times New Roman" w:hAnsi="Times New Roman" w:cs="Times New Roman"/>
          <w:sz w:val="24"/>
          <w:szCs w:val="24"/>
        </w:rPr>
        <w:t>y stanowią</w:t>
      </w:r>
      <w:r w:rsidR="00DC28E6" w:rsidRPr="008D7149">
        <w:rPr>
          <w:rFonts w:ascii="Times New Roman" w:hAnsi="Times New Roman" w:cs="Times New Roman"/>
          <w:sz w:val="24"/>
          <w:szCs w:val="24"/>
        </w:rPr>
        <w:t xml:space="preserve">, aby wierzytelności spełniające powyższe warunki nie były </w:t>
      </w:r>
      <w:r w:rsidR="008C0752" w:rsidRPr="008D7149">
        <w:rPr>
          <w:rFonts w:ascii="Times New Roman" w:hAnsi="Times New Roman" w:cs="Times New Roman"/>
          <w:sz w:val="24"/>
          <w:szCs w:val="24"/>
        </w:rPr>
        <w:t xml:space="preserve">również uwzględniane </w:t>
      </w:r>
      <w:r w:rsidR="005555CE" w:rsidRPr="008D7149">
        <w:rPr>
          <w:rFonts w:ascii="Times New Roman" w:hAnsi="Times New Roman" w:cs="Times New Roman"/>
          <w:sz w:val="24"/>
          <w:szCs w:val="24"/>
        </w:rPr>
        <w:t>dla celów obliczania dochodu</w:t>
      </w:r>
      <w:r w:rsidR="008C0752" w:rsidRPr="008D7149">
        <w:rPr>
          <w:rFonts w:ascii="Times New Roman" w:hAnsi="Times New Roman" w:cs="Times New Roman"/>
          <w:sz w:val="24"/>
          <w:szCs w:val="24"/>
        </w:rPr>
        <w:t xml:space="preserve"> bank</w:t>
      </w:r>
      <w:r w:rsidR="00DE287E" w:rsidRPr="008D7149">
        <w:rPr>
          <w:rFonts w:ascii="Times New Roman" w:hAnsi="Times New Roman" w:cs="Times New Roman"/>
          <w:sz w:val="24"/>
          <w:szCs w:val="24"/>
        </w:rPr>
        <w:t>u hipotecznego z tytułu odsetek</w:t>
      </w:r>
      <w:r w:rsidR="005555CE" w:rsidRPr="008D7149">
        <w:rPr>
          <w:rFonts w:ascii="Times New Roman" w:hAnsi="Times New Roman" w:cs="Times New Roman"/>
          <w:sz w:val="24"/>
          <w:szCs w:val="24"/>
        </w:rPr>
        <w:t>,</w:t>
      </w:r>
      <w:r w:rsidR="00DE287E" w:rsidRPr="008D7149">
        <w:rPr>
          <w:rFonts w:ascii="Times New Roman" w:hAnsi="Times New Roman" w:cs="Times New Roman"/>
          <w:sz w:val="24"/>
          <w:szCs w:val="24"/>
        </w:rPr>
        <w:t xml:space="preserve"> </w:t>
      </w:r>
      <w:r w:rsidR="005555CE" w:rsidRPr="008D7149">
        <w:rPr>
          <w:rFonts w:ascii="Times New Roman" w:hAnsi="Times New Roman" w:cs="Times New Roman"/>
          <w:sz w:val="24"/>
          <w:szCs w:val="24"/>
        </w:rPr>
        <w:t>ustalanego odrębnie dla hipotecznych listów zastawnych oraz publicznych listów zastawnych</w:t>
      </w:r>
      <w:r w:rsidR="008C0752" w:rsidRPr="008D7149">
        <w:rPr>
          <w:rFonts w:ascii="Times New Roman" w:hAnsi="Times New Roman" w:cs="Times New Roman"/>
          <w:sz w:val="24"/>
          <w:szCs w:val="24"/>
        </w:rPr>
        <w:t xml:space="preserve"> (</w:t>
      </w:r>
      <w:r w:rsidR="00982858" w:rsidRPr="008D7149">
        <w:rPr>
          <w:rFonts w:ascii="Times New Roman" w:hAnsi="Times New Roman" w:cs="Times New Roman"/>
          <w:sz w:val="24"/>
          <w:szCs w:val="24"/>
        </w:rPr>
        <w:t>a</w:t>
      </w:r>
      <w:r w:rsidR="00DE287E" w:rsidRPr="008D7149">
        <w:rPr>
          <w:rFonts w:ascii="Times New Roman" w:hAnsi="Times New Roman" w:cs="Times New Roman"/>
          <w:sz w:val="24"/>
          <w:szCs w:val="24"/>
        </w:rPr>
        <w:t>rt. 18 ust. 2</w:t>
      </w:r>
      <w:r w:rsidR="00982858" w:rsidRPr="008D7149">
        <w:rPr>
          <w:rFonts w:ascii="Times New Roman" w:hAnsi="Times New Roman" w:cs="Times New Roman"/>
          <w:sz w:val="24"/>
          <w:szCs w:val="24"/>
        </w:rPr>
        <w:t xml:space="preserve"> Ustawy</w:t>
      </w:r>
      <w:r w:rsidR="00DE287E" w:rsidRPr="008D7149">
        <w:rPr>
          <w:rFonts w:ascii="Times New Roman" w:hAnsi="Times New Roman" w:cs="Times New Roman"/>
          <w:sz w:val="24"/>
          <w:szCs w:val="24"/>
        </w:rPr>
        <w:t>).</w:t>
      </w:r>
    </w:p>
    <w:p w14:paraId="52A256F1" w14:textId="297EB746"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brzmieniu </w:t>
      </w:r>
      <w:r w:rsidRPr="008D7149">
        <w:rPr>
          <w:rFonts w:ascii="Times New Roman" w:hAnsi="Times New Roman" w:cs="Times New Roman"/>
          <w:b/>
          <w:sz w:val="24"/>
          <w:szCs w:val="24"/>
        </w:rPr>
        <w:t xml:space="preserve">art. 18 ust. 3 pkt </w:t>
      </w:r>
      <w:r w:rsidR="005D5B19" w:rsidRPr="008D7149">
        <w:rPr>
          <w:rFonts w:ascii="Times New Roman" w:hAnsi="Times New Roman" w:cs="Times New Roman"/>
          <w:b/>
          <w:sz w:val="24"/>
          <w:szCs w:val="24"/>
        </w:rPr>
        <w:t xml:space="preserve">1 i </w:t>
      </w:r>
      <w:r w:rsidRPr="008D7149">
        <w:rPr>
          <w:rFonts w:ascii="Times New Roman" w:hAnsi="Times New Roman" w:cs="Times New Roman"/>
          <w:b/>
          <w:sz w:val="24"/>
          <w:szCs w:val="24"/>
        </w:rPr>
        <w:t>3</w:t>
      </w:r>
      <w:r w:rsidRPr="008D7149">
        <w:rPr>
          <w:rFonts w:ascii="Times New Roman" w:hAnsi="Times New Roman" w:cs="Times New Roman"/>
          <w:sz w:val="24"/>
          <w:szCs w:val="24"/>
        </w:rPr>
        <w:t xml:space="preserve"> Ustawy doprecyzowaniu ulega rodzaj aktywów zastępczych, które mogą stanowić środki ulokowane przez bank hipoteczny</w:t>
      </w:r>
      <w:r w:rsidR="00E12CB0" w:rsidRPr="008D7149">
        <w:rPr>
          <w:rFonts w:ascii="Times New Roman" w:hAnsi="Times New Roman" w:cs="Times New Roman"/>
          <w:sz w:val="24"/>
          <w:szCs w:val="24"/>
        </w:rPr>
        <w:t xml:space="preserve"> w</w:t>
      </w:r>
      <w:r w:rsidRPr="008D7149">
        <w:rPr>
          <w:rFonts w:ascii="Times New Roman" w:hAnsi="Times New Roman" w:cs="Times New Roman"/>
          <w:sz w:val="24"/>
          <w:szCs w:val="24"/>
        </w:rPr>
        <w:t xml:space="preserve"> </w:t>
      </w:r>
      <w:r w:rsidR="0088341C" w:rsidRPr="008D7149">
        <w:rPr>
          <w:rFonts w:ascii="Times New Roman" w:hAnsi="Times New Roman" w:cs="Times New Roman"/>
          <w:sz w:val="24"/>
          <w:szCs w:val="24"/>
        </w:rPr>
        <w:t xml:space="preserve">papierach wartościowych </w:t>
      </w:r>
      <w:r w:rsidR="004A0CB8" w:rsidRPr="008D7149">
        <w:rPr>
          <w:rFonts w:ascii="Times New Roman" w:hAnsi="Times New Roman" w:cs="Times New Roman"/>
          <w:sz w:val="24"/>
          <w:szCs w:val="24"/>
        </w:rPr>
        <w:t xml:space="preserve">emitowanych lub gwarantowanych przez podmioty wymienione w </w:t>
      </w:r>
      <w:r w:rsidR="004A0CB8" w:rsidRPr="008D7149">
        <w:rPr>
          <w:rFonts w:ascii="Times New Roman" w:hAnsi="Times New Roman" w:cs="Times New Roman"/>
          <w:sz w:val="24"/>
          <w:szCs w:val="24"/>
        </w:rPr>
        <w:lastRenderedPageBreak/>
        <w:t>art. 3 ust. 2 pkt 1</w:t>
      </w:r>
      <w:r w:rsidR="00447331" w:rsidRPr="008D7149">
        <w:rPr>
          <w:rFonts w:ascii="Times New Roman" w:hAnsi="Times New Roman" w:cs="Times New Roman"/>
          <w:sz w:val="24"/>
          <w:szCs w:val="24"/>
        </w:rPr>
        <w:t xml:space="preserve"> Ustawy</w:t>
      </w:r>
      <w:r w:rsidR="004A0CB8" w:rsidRPr="008D7149">
        <w:rPr>
          <w:rFonts w:ascii="Times New Roman" w:hAnsi="Times New Roman" w:cs="Times New Roman"/>
          <w:sz w:val="24"/>
          <w:szCs w:val="24"/>
        </w:rPr>
        <w:t xml:space="preserve"> albo</w:t>
      </w:r>
      <w:r w:rsidR="0088341C" w:rsidRPr="008D7149">
        <w:rPr>
          <w:rFonts w:ascii="Times New Roman" w:hAnsi="Times New Roman" w:cs="Times New Roman"/>
          <w:sz w:val="24"/>
          <w:szCs w:val="24"/>
        </w:rPr>
        <w:t xml:space="preserve"> </w:t>
      </w:r>
      <w:r w:rsidRPr="008D7149">
        <w:rPr>
          <w:rFonts w:ascii="Times New Roman" w:hAnsi="Times New Roman" w:cs="Times New Roman"/>
          <w:sz w:val="24"/>
          <w:szCs w:val="24"/>
        </w:rPr>
        <w:t>w</w:t>
      </w:r>
      <w:r w:rsidR="004169C7">
        <w:rPr>
          <w:rFonts w:ascii="Times New Roman" w:hAnsi="Times New Roman" w:cs="Times New Roman"/>
          <w:sz w:val="24"/>
          <w:szCs w:val="24"/>
        </w:rPr>
        <w:t xml:space="preserve"> </w:t>
      </w:r>
      <w:r w:rsidRPr="008D7149">
        <w:rPr>
          <w:rFonts w:ascii="Times New Roman" w:hAnsi="Times New Roman" w:cs="Times New Roman"/>
          <w:sz w:val="24"/>
          <w:szCs w:val="24"/>
        </w:rPr>
        <w:t>bankach krajowych lub instytucjach kredytowych. Chodzi o aktywa spełnia</w:t>
      </w:r>
      <w:r w:rsidR="004169C7">
        <w:rPr>
          <w:rFonts w:ascii="Times New Roman" w:hAnsi="Times New Roman" w:cs="Times New Roman"/>
          <w:sz w:val="24"/>
          <w:szCs w:val="24"/>
        </w:rPr>
        <w:t xml:space="preserve">jące wymogi określone w </w:t>
      </w:r>
      <w:r w:rsidRPr="008D7149">
        <w:rPr>
          <w:rFonts w:ascii="Times New Roman" w:hAnsi="Times New Roman" w:cs="Times New Roman"/>
          <w:sz w:val="24"/>
          <w:szCs w:val="24"/>
        </w:rPr>
        <w:t>art. 129 ust. 1 lit. c rozporządzenia (UE) nr 575/2013. Obecne brzmienie odnosi się do środków posiadanych przez bank hipoteczny „w gotówce”</w:t>
      </w:r>
      <w:r w:rsidR="004169C7">
        <w:rPr>
          <w:rFonts w:ascii="Times New Roman" w:hAnsi="Times New Roman" w:cs="Times New Roman"/>
          <w:sz w:val="24"/>
          <w:szCs w:val="24"/>
        </w:rPr>
        <w:t xml:space="preserve"> </w:t>
      </w:r>
      <w:r w:rsidRPr="008D7149">
        <w:rPr>
          <w:rFonts w:ascii="Times New Roman" w:hAnsi="Times New Roman" w:cs="Times New Roman"/>
          <w:sz w:val="24"/>
          <w:szCs w:val="24"/>
        </w:rPr>
        <w:t>jako podstawy emisji, co budziło wątpliwości interpretacyjne wynikające z braku odniesieni</w:t>
      </w:r>
      <w:r w:rsidR="004169C7">
        <w:rPr>
          <w:rFonts w:ascii="Times New Roman" w:hAnsi="Times New Roman" w:cs="Times New Roman"/>
          <w:sz w:val="24"/>
          <w:szCs w:val="24"/>
        </w:rPr>
        <w:t xml:space="preserve">a do warunków zawartych w </w:t>
      </w:r>
      <w:r w:rsidRPr="008D7149">
        <w:rPr>
          <w:rFonts w:ascii="Times New Roman" w:hAnsi="Times New Roman" w:cs="Times New Roman"/>
          <w:sz w:val="24"/>
          <w:szCs w:val="24"/>
        </w:rPr>
        <w:t>ww. rozporządzeniu.</w:t>
      </w:r>
    </w:p>
    <w:p w14:paraId="38EE413B" w14:textId="6B282B2A" w:rsidR="00E1119B"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Projektowane brzmienie </w:t>
      </w:r>
      <w:r w:rsidRPr="008D7149">
        <w:rPr>
          <w:rFonts w:ascii="Times New Roman" w:hAnsi="Times New Roman" w:cs="Times New Roman"/>
          <w:b/>
          <w:sz w:val="24"/>
          <w:szCs w:val="24"/>
        </w:rPr>
        <w:t xml:space="preserve">art. 18 ust. 3a </w:t>
      </w:r>
      <w:r w:rsidRPr="008D7149">
        <w:rPr>
          <w:rFonts w:ascii="Times New Roman" w:hAnsi="Times New Roman" w:cs="Times New Roman"/>
          <w:sz w:val="24"/>
          <w:szCs w:val="24"/>
        </w:rPr>
        <w:t xml:space="preserve">Ustawy stanowi wdrożenie art. 16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dotyczącego tzw. </w:t>
      </w:r>
      <w:r w:rsidRPr="008D7149">
        <w:rPr>
          <w:rFonts w:ascii="Times New Roman" w:hAnsi="Times New Roman" w:cs="Times New Roman"/>
          <w:i/>
          <w:sz w:val="24"/>
          <w:szCs w:val="24"/>
        </w:rPr>
        <w:t>bufora płynności</w:t>
      </w:r>
      <w:r w:rsidRPr="008D7149">
        <w:rPr>
          <w:rFonts w:ascii="Times New Roman" w:hAnsi="Times New Roman" w:cs="Times New Roman"/>
          <w:sz w:val="24"/>
          <w:szCs w:val="24"/>
        </w:rPr>
        <w:t>. Obecnie banki hipoteczne zobowiązane są do utrzymywania nadwyżki płynnościowej w wysokości odpowiadającej co najmniej sześciomiesięcznym nominalnym wpływom z odsetek od listów zastawnych znajdujących się w obrocie</w:t>
      </w:r>
      <w:r w:rsidR="00E1119B" w:rsidRPr="008D7149">
        <w:rPr>
          <w:rFonts w:ascii="Times New Roman" w:hAnsi="Times New Roman" w:cs="Times New Roman"/>
          <w:sz w:val="24"/>
          <w:szCs w:val="24"/>
        </w:rPr>
        <w:t xml:space="preserve"> w</w:t>
      </w:r>
      <w:r w:rsidRPr="008D7149">
        <w:rPr>
          <w:rFonts w:ascii="Times New Roman" w:hAnsi="Times New Roman" w:cs="Times New Roman"/>
          <w:sz w:val="24"/>
          <w:szCs w:val="24"/>
        </w:rPr>
        <w:t xml:space="preserve"> </w:t>
      </w:r>
      <w:r w:rsidR="00E1119B" w:rsidRPr="008D7149">
        <w:rPr>
          <w:rFonts w:ascii="Times New Roman" w:hAnsi="Times New Roman" w:cs="Times New Roman"/>
          <w:sz w:val="24"/>
          <w:szCs w:val="24"/>
        </w:rPr>
        <w:t>celu zapewnienia terminowej obsługi należności od</w:t>
      </w:r>
      <w:r w:rsidR="004169C7">
        <w:rPr>
          <w:rFonts w:ascii="Times New Roman" w:hAnsi="Times New Roman" w:cs="Times New Roman"/>
          <w:sz w:val="24"/>
          <w:szCs w:val="24"/>
        </w:rPr>
        <w:t>setkowych od listów zastawnych.</w:t>
      </w:r>
    </w:p>
    <w:p w14:paraId="27493A91" w14:textId="38034DA4"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Środki przeznaczone na nadwyżkę płynności podlegają wpisowi do rejestru zabezpieczenia listów zastawnych i nie mogą stanowić pod</w:t>
      </w:r>
      <w:r w:rsidR="004169C7">
        <w:rPr>
          <w:rFonts w:ascii="Times New Roman" w:hAnsi="Times New Roman" w:cs="Times New Roman"/>
          <w:sz w:val="24"/>
          <w:szCs w:val="24"/>
        </w:rPr>
        <w:t>stawy emisji listów zastawnych.</w:t>
      </w:r>
    </w:p>
    <w:p w14:paraId="3F58A71D" w14:textId="77777777" w:rsidR="00BB57D5" w:rsidRPr="008D7149" w:rsidRDefault="00EF441C"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 xml:space="preserve">Zgodnie z wymogami dyrektywy </w:t>
      </w:r>
      <w:r w:rsidRPr="008D7149">
        <w:rPr>
          <w:rFonts w:ascii="Times New Roman" w:eastAsia="Calibri" w:hAnsi="Times New Roman" w:cs="Times New Roman"/>
          <w:szCs w:val="24"/>
        </w:rPr>
        <w:t>2019/2162,</w:t>
      </w:r>
      <w:r w:rsidRPr="008D7149">
        <w:rPr>
          <w:rFonts w:ascii="Times New Roman" w:hAnsi="Times New Roman" w:cs="Times New Roman"/>
          <w:szCs w:val="24"/>
        </w:rPr>
        <w:t xml:space="preserve"> projekt przewiduje zmianę polegającą na zobowiązaniu banku hipotecznego do utrzymywania odrębnie dla hipotecznych listów zastawnych oraz publicznych listów zastawnych, nadwyżki utworzonej z</w:t>
      </w:r>
      <w:r w:rsidR="00D35BFD" w:rsidRPr="008D7149">
        <w:rPr>
          <w:rFonts w:ascii="Times New Roman" w:hAnsi="Times New Roman" w:cs="Times New Roman"/>
          <w:szCs w:val="24"/>
        </w:rPr>
        <w:t xml:space="preserve"> aktywów spełniających warunki określone w projektowanym art. 18 ust. 3c Ustawy</w:t>
      </w:r>
      <w:r w:rsidRPr="008D7149">
        <w:rPr>
          <w:rFonts w:ascii="Times New Roman" w:hAnsi="Times New Roman" w:cs="Times New Roman"/>
          <w:szCs w:val="24"/>
        </w:rPr>
        <w:t xml:space="preserve">, w wysokości nie niższej niż </w:t>
      </w:r>
      <w:r w:rsidR="0094030B" w:rsidRPr="008D7149">
        <w:rPr>
          <w:rFonts w:ascii="Times New Roman" w:hAnsi="Times New Roman" w:cs="Times New Roman"/>
          <w:szCs w:val="24"/>
        </w:rPr>
        <w:t xml:space="preserve">maksymalny </w:t>
      </w:r>
      <w:r w:rsidRPr="008D7149">
        <w:rPr>
          <w:rFonts w:ascii="Times New Roman" w:hAnsi="Times New Roman" w:cs="Times New Roman"/>
          <w:szCs w:val="24"/>
        </w:rPr>
        <w:t>skumulowany wypływ płynności netto w okresie kolejnych 180 dni. Wypływ płynności netto stanowią wypływy płatności wymagalne w danym dniu</w:t>
      </w:r>
      <w:r w:rsidR="00886D65" w:rsidRPr="008D7149">
        <w:rPr>
          <w:rFonts w:ascii="Times New Roman" w:hAnsi="Times New Roman" w:cs="Times New Roman"/>
          <w:szCs w:val="24"/>
        </w:rPr>
        <w:t xml:space="preserve"> płatności</w:t>
      </w:r>
      <w:r w:rsidRPr="008D7149">
        <w:rPr>
          <w:rFonts w:ascii="Times New Roman" w:hAnsi="Times New Roman" w:cs="Times New Roman"/>
          <w:szCs w:val="24"/>
        </w:rPr>
        <w:t xml:space="preserve">, w tym płatności </w:t>
      </w:r>
      <w:r w:rsidR="0094030B" w:rsidRPr="008D7149">
        <w:rPr>
          <w:rFonts w:ascii="Times New Roman" w:hAnsi="Times New Roman" w:cs="Times New Roman"/>
          <w:szCs w:val="24"/>
        </w:rPr>
        <w:t xml:space="preserve">kwoty </w:t>
      </w:r>
      <w:bookmarkStart w:id="4" w:name="_Hlk82087569"/>
      <w:r w:rsidR="0094030B" w:rsidRPr="008D7149">
        <w:rPr>
          <w:rFonts w:ascii="Times New Roman" w:hAnsi="Times New Roman" w:cs="Times New Roman"/>
          <w:szCs w:val="24"/>
        </w:rPr>
        <w:t xml:space="preserve">wartości nominalnej listów zastawnych </w:t>
      </w:r>
      <w:bookmarkEnd w:id="4"/>
      <w:r w:rsidRPr="008D7149">
        <w:rPr>
          <w:rFonts w:ascii="Times New Roman" w:hAnsi="Times New Roman" w:cs="Times New Roman"/>
          <w:szCs w:val="24"/>
        </w:rPr>
        <w:t xml:space="preserve">i odsetek z tytułu </w:t>
      </w:r>
      <w:r w:rsidR="0094030B" w:rsidRPr="008D7149">
        <w:rPr>
          <w:rFonts w:ascii="Times New Roman" w:hAnsi="Times New Roman" w:cs="Times New Roman"/>
          <w:szCs w:val="24"/>
        </w:rPr>
        <w:t xml:space="preserve">tych </w:t>
      </w:r>
      <w:r w:rsidRPr="008D7149">
        <w:rPr>
          <w:rFonts w:ascii="Times New Roman" w:hAnsi="Times New Roman" w:cs="Times New Roman"/>
          <w:szCs w:val="24"/>
        </w:rPr>
        <w:t xml:space="preserve">listów oraz płatności z tytułu instrumentów pochodnych w ramach programu emisji listów zastawnych, po odliczeniu wpływów płatności wymagalnych w tym samym dniu </w:t>
      </w:r>
      <w:r w:rsidR="00A90F8B" w:rsidRPr="008D7149">
        <w:rPr>
          <w:rFonts w:ascii="Times New Roman" w:hAnsi="Times New Roman" w:cs="Times New Roman"/>
          <w:szCs w:val="24"/>
        </w:rPr>
        <w:t>z tytułu</w:t>
      </w:r>
      <w:r w:rsidRPr="008D7149">
        <w:rPr>
          <w:rFonts w:ascii="Times New Roman" w:hAnsi="Times New Roman" w:cs="Times New Roman"/>
          <w:szCs w:val="24"/>
        </w:rPr>
        <w:t xml:space="preserve"> aktywów stanowiących zabezpieczenie</w:t>
      </w:r>
      <w:r w:rsidR="00886D65" w:rsidRPr="008D7149">
        <w:rPr>
          <w:rFonts w:ascii="Times New Roman" w:hAnsi="Times New Roman" w:cs="Times New Roman"/>
          <w:szCs w:val="24"/>
        </w:rPr>
        <w:t xml:space="preserve"> listów zastawnych</w:t>
      </w:r>
      <w:r w:rsidRPr="008D7149">
        <w:rPr>
          <w:rFonts w:ascii="Times New Roman" w:hAnsi="Times New Roman" w:cs="Times New Roman"/>
          <w:szCs w:val="24"/>
        </w:rPr>
        <w:t xml:space="preserve">. W ten sposób określone wypływy płynności netto </w:t>
      </w:r>
      <w:r w:rsidR="003F560C" w:rsidRPr="008D7149">
        <w:rPr>
          <w:rFonts w:ascii="Times New Roman" w:hAnsi="Times New Roman" w:cs="Times New Roman"/>
          <w:szCs w:val="24"/>
        </w:rPr>
        <w:t xml:space="preserve">są </w:t>
      </w:r>
      <w:r w:rsidRPr="008D7149">
        <w:rPr>
          <w:rFonts w:ascii="Times New Roman" w:hAnsi="Times New Roman" w:cs="Times New Roman"/>
          <w:szCs w:val="24"/>
        </w:rPr>
        <w:t xml:space="preserve">zgodne z ich definicją zawartą w art. 3 pkt 16 dyrektywy </w:t>
      </w:r>
      <w:r w:rsidRPr="008D7149">
        <w:rPr>
          <w:rFonts w:ascii="Times New Roman" w:eastAsia="Calibri" w:hAnsi="Times New Roman" w:cs="Times New Roman"/>
          <w:szCs w:val="24"/>
        </w:rPr>
        <w:t>2019/2162</w:t>
      </w:r>
      <w:r w:rsidRPr="008D7149">
        <w:rPr>
          <w:rFonts w:ascii="Times New Roman" w:hAnsi="Times New Roman" w:cs="Times New Roman"/>
          <w:szCs w:val="24"/>
        </w:rPr>
        <w:t>.</w:t>
      </w:r>
    </w:p>
    <w:p w14:paraId="470FE697" w14:textId="0F9C6637" w:rsidR="00E03E57" w:rsidRPr="008D7149" w:rsidRDefault="00466E79"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 xml:space="preserve">Zgodnie z proponowanym </w:t>
      </w:r>
      <w:r w:rsidRPr="008D7149">
        <w:rPr>
          <w:rFonts w:ascii="Times New Roman" w:hAnsi="Times New Roman" w:cs="Times New Roman"/>
          <w:b/>
          <w:szCs w:val="24"/>
        </w:rPr>
        <w:t>art. 18 ust</w:t>
      </w:r>
      <w:r w:rsidR="003F560C" w:rsidRPr="008D7149">
        <w:rPr>
          <w:rFonts w:ascii="Times New Roman" w:hAnsi="Times New Roman" w:cs="Times New Roman"/>
          <w:b/>
          <w:szCs w:val="24"/>
        </w:rPr>
        <w:t>.</w:t>
      </w:r>
      <w:r w:rsidRPr="008D7149">
        <w:rPr>
          <w:rFonts w:ascii="Times New Roman" w:hAnsi="Times New Roman" w:cs="Times New Roman"/>
          <w:b/>
          <w:szCs w:val="24"/>
        </w:rPr>
        <w:t xml:space="preserve"> 3aa </w:t>
      </w:r>
      <w:r w:rsidR="00886D65" w:rsidRPr="008D7149">
        <w:rPr>
          <w:rFonts w:ascii="Times New Roman" w:hAnsi="Times New Roman" w:cs="Times New Roman"/>
          <w:b/>
          <w:szCs w:val="24"/>
        </w:rPr>
        <w:t xml:space="preserve">Ustawy </w:t>
      </w:r>
      <w:r w:rsidRPr="008D7149">
        <w:rPr>
          <w:rFonts w:ascii="Times New Roman" w:hAnsi="Times New Roman" w:cs="Times New Roman"/>
          <w:szCs w:val="24"/>
        </w:rPr>
        <w:t xml:space="preserve">wskazuje się, że wyliczanie płatności </w:t>
      </w:r>
      <w:r w:rsidR="00A90F8B" w:rsidRPr="008D7149">
        <w:rPr>
          <w:rFonts w:ascii="Times New Roman" w:hAnsi="Times New Roman" w:cs="Times New Roman"/>
          <w:szCs w:val="24"/>
        </w:rPr>
        <w:t>kwoty wartości nominalnej listów zastawnych</w:t>
      </w:r>
      <w:r w:rsidRPr="008D7149">
        <w:rPr>
          <w:rFonts w:ascii="Times New Roman" w:hAnsi="Times New Roman" w:cs="Times New Roman"/>
          <w:szCs w:val="24"/>
        </w:rPr>
        <w:t xml:space="preserve"> następuje przy uwzględnieniu przedłużonych</w:t>
      </w:r>
      <w:r w:rsidR="00A90F8B" w:rsidRPr="008D7149">
        <w:rPr>
          <w:rFonts w:ascii="Times New Roman" w:hAnsi="Times New Roman" w:cs="Times New Roman"/>
          <w:szCs w:val="24"/>
        </w:rPr>
        <w:t xml:space="preserve"> o 12 miesięcy </w:t>
      </w:r>
      <w:r w:rsidRPr="008D7149">
        <w:rPr>
          <w:rFonts w:ascii="Times New Roman" w:hAnsi="Times New Roman" w:cs="Times New Roman"/>
          <w:szCs w:val="24"/>
        </w:rPr>
        <w:t>terminów wymagalności listów zastawnych</w:t>
      </w:r>
      <w:r w:rsidR="00EB0ECA" w:rsidRPr="008D7149">
        <w:rPr>
          <w:rFonts w:ascii="Times New Roman" w:hAnsi="Times New Roman" w:cs="Times New Roman"/>
          <w:szCs w:val="24"/>
        </w:rPr>
        <w:t>.</w:t>
      </w:r>
      <w:r w:rsidR="00E03E57" w:rsidRPr="008D7149">
        <w:rPr>
          <w:rFonts w:ascii="Times New Roman" w:hAnsi="Times New Roman" w:cs="Times New Roman"/>
          <w:szCs w:val="24"/>
        </w:rPr>
        <w:t xml:space="preserve"> Powyższa zmiana uwzględnia przewidzianą fakultatywną możliwość dla państw członkowskich określoną w art. 16 ust. 5 dyrektywy 2019/2162. Zgodnie z tym przepisem, w przypadku obligacji zabezpieczonych (listów zastawnych) przewidujących </w:t>
      </w:r>
      <w:r w:rsidR="00F70D76" w:rsidRPr="008D7149">
        <w:rPr>
          <w:rFonts w:ascii="Times New Roman" w:hAnsi="Times New Roman" w:cs="Times New Roman"/>
          <w:szCs w:val="24"/>
        </w:rPr>
        <w:t xml:space="preserve">przedłużenie </w:t>
      </w:r>
      <w:r w:rsidR="00E03E57" w:rsidRPr="008D7149">
        <w:rPr>
          <w:rFonts w:ascii="Times New Roman" w:hAnsi="Times New Roman" w:cs="Times New Roman"/>
          <w:szCs w:val="24"/>
        </w:rPr>
        <w:t>terminu zapadalności</w:t>
      </w:r>
      <w:r w:rsidR="00704E66" w:rsidRPr="008D7149">
        <w:rPr>
          <w:rFonts w:ascii="Times New Roman" w:hAnsi="Times New Roman" w:cs="Times New Roman"/>
          <w:szCs w:val="24"/>
        </w:rPr>
        <w:t xml:space="preserve"> (por. </w:t>
      </w:r>
      <w:r w:rsidR="00886D65" w:rsidRPr="008D7149">
        <w:rPr>
          <w:rFonts w:ascii="Times New Roman" w:hAnsi="Times New Roman" w:cs="Times New Roman"/>
          <w:szCs w:val="24"/>
        </w:rPr>
        <w:t xml:space="preserve">projektowane brzmienie </w:t>
      </w:r>
      <w:r w:rsidR="00704E66" w:rsidRPr="008D7149">
        <w:rPr>
          <w:rFonts w:ascii="Times New Roman" w:hAnsi="Times New Roman" w:cs="Times New Roman"/>
          <w:szCs w:val="24"/>
        </w:rPr>
        <w:t xml:space="preserve">art. 7b </w:t>
      </w:r>
      <w:r w:rsidR="00D35BFD" w:rsidRPr="008D7149">
        <w:rPr>
          <w:rFonts w:ascii="Times New Roman" w:hAnsi="Times New Roman" w:cs="Times New Roman"/>
          <w:szCs w:val="24"/>
        </w:rPr>
        <w:t xml:space="preserve">ust. 1 </w:t>
      </w:r>
      <w:r w:rsidR="00704E66" w:rsidRPr="008D7149">
        <w:rPr>
          <w:rFonts w:ascii="Times New Roman" w:hAnsi="Times New Roman" w:cs="Times New Roman"/>
          <w:szCs w:val="24"/>
        </w:rPr>
        <w:t>Ustawy)</w:t>
      </w:r>
      <w:r w:rsidR="00E03E57" w:rsidRPr="008D7149">
        <w:rPr>
          <w:rFonts w:ascii="Times New Roman" w:hAnsi="Times New Roman" w:cs="Times New Roman"/>
          <w:szCs w:val="24"/>
        </w:rPr>
        <w:t xml:space="preserve">, </w:t>
      </w:r>
      <w:r w:rsidR="004169C7" w:rsidRPr="008D7149">
        <w:rPr>
          <w:rFonts w:ascii="Times New Roman" w:hAnsi="Times New Roman" w:cs="Times New Roman"/>
          <w:szCs w:val="24"/>
        </w:rPr>
        <w:t xml:space="preserve">jest </w:t>
      </w:r>
      <w:r w:rsidR="00E03E57" w:rsidRPr="008D7149">
        <w:rPr>
          <w:rFonts w:ascii="Times New Roman" w:hAnsi="Times New Roman" w:cs="Times New Roman"/>
          <w:szCs w:val="24"/>
        </w:rPr>
        <w:t>możliwe wyliczanie kwoty głównej na podstawie ostatecznego terminu zapadalności obligacji zabezpieczonej</w:t>
      </w:r>
      <w:r w:rsidR="00704E66" w:rsidRPr="008D7149">
        <w:rPr>
          <w:rFonts w:ascii="Times New Roman" w:hAnsi="Times New Roman" w:cs="Times New Roman"/>
          <w:szCs w:val="24"/>
        </w:rPr>
        <w:t>.</w:t>
      </w:r>
    </w:p>
    <w:p w14:paraId="480E0DA4" w14:textId="68D6A99C" w:rsidR="000F36E4" w:rsidRPr="008D7149" w:rsidRDefault="00EF441C"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lastRenderedPageBreak/>
        <w:t xml:space="preserve">W projektowanym brzmieniu </w:t>
      </w:r>
      <w:r w:rsidRPr="008D7149">
        <w:rPr>
          <w:rFonts w:ascii="Times New Roman" w:hAnsi="Times New Roman" w:cs="Times New Roman"/>
          <w:b/>
          <w:sz w:val="24"/>
          <w:szCs w:val="24"/>
        </w:rPr>
        <w:t>art. 18 ust. 3c</w:t>
      </w:r>
      <w:r w:rsidRPr="008D7149">
        <w:rPr>
          <w:rFonts w:ascii="Times New Roman" w:hAnsi="Times New Roman" w:cs="Times New Roman"/>
          <w:sz w:val="24"/>
          <w:szCs w:val="24"/>
        </w:rPr>
        <w:t xml:space="preserve"> Ustawy określono kategorie środków (aktywów), które </w:t>
      </w:r>
      <w:r w:rsidR="00FA710F" w:rsidRPr="008D7149">
        <w:rPr>
          <w:rFonts w:ascii="Times New Roman" w:hAnsi="Times New Roman" w:cs="Times New Roman"/>
          <w:sz w:val="24"/>
          <w:szCs w:val="24"/>
        </w:rPr>
        <w:t>są</w:t>
      </w:r>
      <w:r w:rsidRPr="008D7149">
        <w:rPr>
          <w:rFonts w:ascii="Times New Roman" w:hAnsi="Times New Roman" w:cs="Times New Roman"/>
          <w:sz w:val="24"/>
          <w:szCs w:val="24"/>
        </w:rPr>
        <w:t xml:space="preserve"> </w:t>
      </w:r>
      <w:r w:rsidR="00FA710F" w:rsidRPr="008D7149">
        <w:rPr>
          <w:rFonts w:ascii="Times New Roman" w:hAnsi="Times New Roman" w:cs="Times New Roman"/>
          <w:sz w:val="24"/>
          <w:szCs w:val="24"/>
        </w:rPr>
        <w:t>uwzględni</w:t>
      </w:r>
      <w:r w:rsidR="00C74A87" w:rsidRPr="008D7149">
        <w:rPr>
          <w:rFonts w:ascii="Times New Roman" w:hAnsi="Times New Roman" w:cs="Times New Roman"/>
          <w:sz w:val="24"/>
          <w:szCs w:val="24"/>
        </w:rPr>
        <w:t>a</w:t>
      </w:r>
      <w:r w:rsidR="00FA710F" w:rsidRPr="008D7149">
        <w:rPr>
          <w:rFonts w:ascii="Times New Roman" w:hAnsi="Times New Roman" w:cs="Times New Roman"/>
          <w:sz w:val="24"/>
          <w:szCs w:val="24"/>
        </w:rPr>
        <w:t xml:space="preserve">ne </w:t>
      </w:r>
      <w:r w:rsidR="00D35BFD" w:rsidRPr="008D7149">
        <w:rPr>
          <w:rFonts w:ascii="Times New Roman" w:hAnsi="Times New Roman" w:cs="Times New Roman"/>
          <w:sz w:val="24"/>
          <w:szCs w:val="24"/>
        </w:rPr>
        <w:t xml:space="preserve">przy </w:t>
      </w:r>
      <w:r w:rsidR="001522CA" w:rsidRPr="008D7149">
        <w:rPr>
          <w:rFonts w:ascii="Times New Roman" w:hAnsi="Times New Roman" w:cs="Times New Roman"/>
          <w:sz w:val="24"/>
          <w:szCs w:val="24"/>
        </w:rPr>
        <w:t>spełni</w:t>
      </w:r>
      <w:r w:rsidR="00D35BFD" w:rsidRPr="008D7149">
        <w:rPr>
          <w:rFonts w:ascii="Times New Roman" w:hAnsi="Times New Roman" w:cs="Times New Roman"/>
          <w:sz w:val="24"/>
          <w:szCs w:val="24"/>
        </w:rPr>
        <w:t>aniu</w:t>
      </w:r>
      <w:r w:rsidRPr="008D7149">
        <w:rPr>
          <w:rFonts w:ascii="Times New Roman" w:hAnsi="Times New Roman" w:cs="Times New Roman"/>
          <w:sz w:val="24"/>
          <w:szCs w:val="24"/>
        </w:rPr>
        <w:t xml:space="preserve"> wymogu kalkulacji nadwyżki, o której mowa w art. 18 ust. 3a Ustawy. </w:t>
      </w:r>
      <w:r w:rsidR="000F36E4" w:rsidRPr="008D7149">
        <w:rPr>
          <w:rFonts w:ascii="Times New Roman" w:hAnsi="Times New Roman" w:cs="Times New Roman"/>
          <w:sz w:val="24"/>
          <w:szCs w:val="24"/>
        </w:rPr>
        <w:t xml:space="preserve">Intencją art. 18 ust. 3c </w:t>
      </w:r>
      <w:r w:rsidR="007C4643" w:rsidRPr="008D7149">
        <w:rPr>
          <w:rFonts w:ascii="Times New Roman" w:hAnsi="Times New Roman" w:cs="Times New Roman"/>
          <w:sz w:val="24"/>
          <w:szCs w:val="24"/>
        </w:rPr>
        <w:t xml:space="preserve">Ustawy </w:t>
      </w:r>
      <w:r w:rsidR="000F36E4" w:rsidRPr="008D7149">
        <w:rPr>
          <w:rFonts w:ascii="Times New Roman" w:hAnsi="Times New Roman" w:cs="Times New Roman"/>
          <w:sz w:val="24"/>
          <w:szCs w:val="24"/>
        </w:rPr>
        <w:t xml:space="preserve">w proponowanym brzmieniu jest odzwierciedlenie rygorów art. </w:t>
      </w:r>
      <w:r w:rsidR="000F36E4" w:rsidRPr="008D7149">
        <w:rPr>
          <w:rFonts w:ascii="Times New Roman" w:eastAsia="Times New Roman" w:hAnsi="Times New Roman" w:cs="Times New Roman"/>
          <w:sz w:val="24"/>
          <w:szCs w:val="24"/>
        </w:rPr>
        <w:t xml:space="preserve">16 ust. 3 </w:t>
      </w:r>
      <w:r w:rsidR="000F36E4" w:rsidRPr="008D7149">
        <w:rPr>
          <w:rFonts w:ascii="Times New Roman" w:eastAsia="Calibri" w:hAnsi="Times New Roman" w:cs="Times New Roman"/>
          <w:sz w:val="24"/>
          <w:szCs w:val="24"/>
        </w:rPr>
        <w:t>(wprowadzenie do wyliczenia) dyrektywy 2019/2162, które wskazują na wymóg tworzenia nadwyżki ze środków kwalifikujących się do aktywów wskazanych w projektowanym artykule Ustawy.</w:t>
      </w:r>
    </w:p>
    <w:p w14:paraId="5E2E1DCD" w14:textId="6C9B8126" w:rsidR="00EF441C" w:rsidRPr="006A473C" w:rsidRDefault="00EF441C" w:rsidP="008D7149">
      <w:pPr>
        <w:pStyle w:val="USTustnpkodeksu"/>
        <w:spacing w:before="120"/>
        <w:ind w:firstLine="0"/>
        <w:rPr>
          <w:rFonts w:ascii="Times New Roman" w:eastAsia="Times New Roman" w:hAnsi="Times New Roman" w:cs="Times New Roman"/>
          <w:bCs w:val="0"/>
          <w:szCs w:val="24"/>
        </w:rPr>
      </w:pPr>
      <w:r w:rsidRPr="008D7149">
        <w:rPr>
          <w:rFonts w:ascii="Times New Roman" w:hAnsi="Times New Roman" w:cs="Times New Roman"/>
          <w:szCs w:val="24"/>
        </w:rPr>
        <w:t xml:space="preserve">Są to </w:t>
      </w:r>
      <w:r w:rsidRPr="008D7149">
        <w:rPr>
          <w:rFonts w:ascii="Times New Roman" w:eastAsia="Times New Roman" w:hAnsi="Times New Roman" w:cs="Times New Roman"/>
          <w:bCs w:val="0"/>
          <w:szCs w:val="24"/>
        </w:rPr>
        <w:t>aktywa poziomu 1, poziomu 2A lub 2B w rozumieniu art. 3 pkt 1</w:t>
      </w:r>
      <w:r w:rsidR="004169C7">
        <w:rPr>
          <w:rFonts w:ascii="Times New Roman" w:eastAsia="Times New Roman" w:hAnsi="Times New Roman" w:cs="Times New Roman"/>
          <w:bCs w:val="0"/>
          <w:szCs w:val="24"/>
        </w:rPr>
        <w:t>–</w:t>
      </w:r>
      <w:r w:rsidRPr="008D7149">
        <w:rPr>
          <w:rFonts w:ascii="Times New Roman" w:eastAsia="Times New Roman" w:hAnsi="Times New Roman" w:cs="Times New Roman"/>
          <w:bCs w:val="0"/>
          <w:szCs w:val="24"/>
        </w:rPr>
        <w:t>2 rozporządzenia delegowanego Komisji (UE) 2015/61 z dnia 10 października 2014 r. uzupełniającego rozporządzenie Parlamentu Europejs</w:t>
      </w:r>
      <w:r w:rsidR="00280F91" w:rsidRPr="008D7149">
        <w:rPr>
          <w:rFonts w:ascii="Times New Roman" w:eastAsia="Times New Roman" w:hAnsi="Times New Roman" w:cs="Times New Roman"/>
          <w:bCs w:val="0"/>
          <w:szCs w:val="24"/>
        </w:rPr>
        <w:t>kiego i Rady (UE) nr 575/2013 w</w:t>
      </w:r>
      <w:r w:rsidR="004169C7">
        <w:rPr>
          <w:rFonts w:ascii="Times New Roman" w:eastAsia="Times New Roman" w:hAnsi="Times New Roman" w:cs="Times New Roman"/>
          <w:bCs w:val="0"/>
          <w:szCs w:val="24"/>
        </w:rPr>
        <w:t xml:space="preserve"> </w:t>
      </w:r>
      <w:r w:rsidRPr="008D7149">
        <w:rPr>
          <w:rFonts w:ascii="Times New Roman" w:eastAsia="Times New Roman" w:hAnsi="Times New Roman" w:cs="Times New Roman"/>
          <w:bCs w:val="0"/>
          <w:szCs w:val="24"/>
        </w:rPr>
        <w:t>odniesieniu do wymogu pokrycia wypływów netto dla instytucji kredytowych, które zostały wycenione zgodnie z tym rozporządzeniem, i nie zostały wyemitowane przez ten bank hipoteczny, jego jednostkę dominującą, inną niż podmiot sektora publicznego, który nie jest instytucją kredytową ani jej jednostkę zależną ani inną jednostkę zależną jednostki dominującej tego banku hipotecznego</w:t>
      </w:r>
      <w:r w:rsidR="004169C7">
        <w:rPr>
          <w:rFonts w:ascii="Times New Roman" w:eastAsia="Times New Roman" w:hAnsi="Times New Roman" w:cs="Times New Roman"/>
          <w:bCs w:val="0"/>
          <w:szCs w:val="24"/>
        </w:rPr>
        <w:t xml:space="preserve"> </w:t>
      </w:r>
      <w:r w:rsidRPr="008D7149">
        <w:rPr>
          <w:rFonts w:ascii="Times New Roman" w:eastAsia="Times New Roman" w:hAnsi="Times New Roman" w:cs="Times New Roman"/>
          <w:bCs w:val="0"/>
          <w:szCs w:val="24"/>
        </w:rPr>
        <w:t>ani przez jednostkę specjalnego przeznaczenia do celów sekurytyzacji, z</w:t>
      </w:r>
      <w:r w:rsidR="004169C7">
        <w:rPr>
          <w:rFonts w:ascii="Times New Roman" w:eastAsia="Times New Roman" w:hAnsi="Times New Roman" w:cs="Times New Roman"/>
          <w:bCs w:val="0"/>
          <w:szCs w:val="24"/>
        </w:rPr>
        <w:t xml:space="preserve"> </w:t>
      </w:r>
      <w:r w:rsidRPr="008D7149">
        <w:rPr>
          <w:rFonts w:ascii="Times New Roman" w:eastAsia="Times New Roman" w:hAnsi="Times New Roman" w:cs="Times New Roman"/>
          <w:bCs w:val="0"/>
          <w:szCs w:val="24"/>
        </w:rPr>
        <w:t xml:space="preserve">którą dany bank hipoteczny jest blisko powiązany. Wprowadzenie powyższych regulacji dotyczących rodzaju aktywów na potrzeby kalkulowania nadwyżki utrzymywanej przez banki hipoteczne wynika z konieczności wdrożenia art. 16 ust. 3 lit. a dyrektywy </w:t>
      </w:r>
      <w:r w:rsidRPr="008D7149">
        <w:rPr>
          <w:rFonts w:ascii="Times New Roman" w:eastAsia="Calibri" w:hAnsi="Times New Roman" w:cs="Times New Roman"/>
          <w:szCs w:val="24"/>
        </w:rPr>
        <w:t>2019/2162</w:t>
      </w:r>
      <w:r w:rsidRPr="008D7149">
        <w:rPr>
          <w:rFonts w:ascii="Times New Roman" w:eastAsia="Times New Roman" w:hAnsi="Times New Roman" w:cs="Times New Roman"/>
          <w:bCs w:val="0"/>
          <w:szCs w:val="24"/>
        </w:rPr>
        <w:t xml:space="preserve"> </w:t>
      </w:r>
      <w:r w:rsidRPr="008D7149">
        <w:rPr>
          <w:rFonts w:ascii="Times New Roman" w:eastAsia="Times New Roman" w:hAnsi="Times New Roman" w:cs="Times New Roman"/>
          <w:bCs w:val="0"/>
          <w:i/>
          <w:szCs w:val="24"/>
        </w:rPr>
        <w:t>(Wymogi dotyczące bufora płynnościowego dla puli aktywów stanowiących zabezpieczenie).</w:t>
      </w:r>
    </w:p>
    <w:p w14:paraId="2A3A176B" w14:textId="27C17059" w:rsidR="00535480" w:rsidRPr="008D7149" w:rsidRDefault="00EF441C" w:rsidP="008D7149">
      <w:pPr>
        <w:spacing w:before="120" w:after="0" w:line="360" w:lineRule="auto"/>
        <w:jc w:val="both"/>
        <w:rPr>
          <w:rFonts w:ascii="Times New Roman" w:eastAsia="Times New Roman" w:hAnsi="Times New Roman" w:cs="Times New Roman"/>
          <w:sz w:val="24"/>
          <w:szCs w:val="24"/>
        </w:rPr>
      </w:pPr>
      <w:r w:rsidRPr="008D7149">
        <w:rPr>
          <w:rFonts w:ascii="Times New Roman" w:hAnsi="Times New Roman" w:cs="Times New Roman"/>
          <w:sz w:val="24"/>
          <w:szCs w:val="24"/>
        </w:rPr>
        <w:t xml:space="preserve">Zgodnie z projektowanym brzmieniem </w:t>
      </w:r>
      <w:r w:rsidRPr="008D7149">
        <w:rPr>
          <w:rFonts w:ascii="Times New Roman" w:hAnsi="Times New Roman" w:cs="Times New Roman"/>
          <w:b/>
          <w:sz w:val="24"/>
          <w:szCs w:val="24"/>
        </w:rPr>
        <w:t>art. 18 ust. 3d</w:t>
      </w:r>
      <w:r w:rsidRPr="008D7149">
        <w:rPr>
          <w:rFonts w:ascii="Times New Roman" w:hAnsi="Times New Roman" w:cs="Times New Roman"/>
          <w:sz w:val="24"/>
          <w:szCs w:val="24"/>
        </w:rPr>
        <w:t xml:space="preserve"> Ustawy w</w:t>
      </w:r>
      <w:r w:rsidRPr="008D7149">
        <w:rPr>
          <w:rFonts w:ascii="Times New Roman" w:eastAsia="Times New Roman" w:hAnsi="Times New Roman" w:cs="Times New Roman"/>
          <w:sz w:val="24"/>
          <w:szCs w:val="24"/>
        </w:rPr>
        <w:t xml:space="preserve"> nadwyżce, o której mowa w art. 18 ust. 3a Ustawy, nie uwzgl</w:t>
      </w:r>
      <w:r w:rsidR="00CD1E42">
        <w:rPr>
          <w:rFonts w:ascii="Times New Roman" w:eastAsia="Times New Roman" w:hAnsi="Times New Roman" w:cs="Times New Roman"/>
          <w:sz w:val="24"/>
          <w:szCs w:val="24"/>
        </w:rPr>
        <w:t xml:space="preserve">ędnia się aktywów, w </w:t>
      </w:r>
      <w:r w:rsidRPr="008D7149">
        <w:rPr>
          <w:rFonts w:ascii="Times New Roman" w:eastAsia="Times New Roman" w:hAnsi="Times New Roman" w:cs="Times New Roman"/>
          <w:sz w:val="24"/>
          <w:szCs w:val="24"/>
        </w:rPr>
        <w:t xml:space="preserve">przypadku których </w:t>
      </w:r>
      <w:r w:rsidR="00886D65" w:rsidRPr="008D7149">
        <w:rPr>
          <w:rFonts w:ascii="Times New Roman" w:eastAsia="Times New Roman" w:hAnsi="Times New Roman" w:cs="Times New Roman"/>
          <w:sz w:val="24"/>
          <w:szCs w:val="24"/>
        </w:rPr>
        <w:t>nastąpiło</w:t>
      </w:r>
      <w:r w:rsidRPr="008D7149">
        <w:rPr>
          <w:rFonts w:ascii="Times New Roman" w:eastAsia="Times New Roman" w:hAnsi="Times New Roman" w:cs="Times New Roman"/>
          <w:sz w:val="24"/>
          <w:szCs w:val="24"/>
        </w:rPr>
        <w:t xml:space="preserve"> niewykonani</w:t>
      </w:r>
      <w:r w:rsidR="00886D65" w:rsidRPr="008D7149">
        <w:rPr>
          <w:rFonts w:ascii="Times New Roman" w:eastAsia="Times New Roman" w:hAnsi="Times New Roman" w:cs="Times New Roman"/>
          <w:sz w:val="24"/>
          <w:szCs w:val="24"/>
        </w:rPr>
        <w:t>e</w:t>
      </w:r>
      <w:r w:rsidR="00CD1E42">
        <w:rPr>
          <w:rFonts w:ascii="Times New Roman" w:eastAsia="Times New Roman" w:hAnsi="Times New Roman" w:cs="Times New Roman"/>
          <w:sz w:val="24"/>
          <w:szCs w:val="24"/>
        </w:rPr>
        <w:t xml:space="preserve"> zobowiązania w </w:t>
      </w:r>
      <w:r w:rsidRPr="008D7149">
        <w:rPr>
          <w:rFonts w:ascii="Times New Roman" w:eastAsia="Times New Roman" w:hAnsi="Times New Roman" w:cs="Times New Roman"/>
          <w:sz w:val="24"/>
          <w:szCs w:val="24"/>
        </w:rPr>
        <w:t xml:space="preserve">rozumieniu art. 178 rozporządzenia (UE) nr 575/2013. Projektowane rozwiązanie wdraża art. 16 ust. 3 dyrektywy </w:t>
      </w:r>
      <w:r w:rsidRPr="008D7149">
        <w:rPr>
          <w:rFonts w:ascii="Times New Roman" w:eastAsia="Calibri" w:hAnsi="Times New Roman" w:cs="Times New Roman"/>
          <w:sz w:val="24"/>
          <w:szCs w:val="24"/>
        </w:rPr>
        <w:t>2019/2162</w:t>
      </w:r>
      <w:r w:rsidR="00CD1E42">
        <w:rPr>
          <w:rFonts w:ascii="Times New Roman" w:eastAsia="Times New Roman" w:hAnsi="Times New Roman" w:cs="Times New Roman"/>
          <w:sz w:val="24"/>
          <w:szCs w:val="24"/>
        </w:rPr>
        <w:t xml:space="preserve"> zdanie drugie (po wyliczeniu).</w:t>
      </w:r>
    </w:p>
    <w:p w14:paraId="0147E60C" w14:textId="25BD5AEB" w:rsidR="00E37E6A" w:rsidRPr="008D7149" w:rsidRDefault="00CD6A4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myśl p</w:t>
      </w:r>
      <w:r w:rsidR="00EF441C" w:rsidRPr="008D7149">
        <w:rPr>
          <w:rFonts w:ascii="Times New Roman" w:hAnsi="Times New Roman" w:cs="Times New Roman"/>
          <w:sz w:val="24"/>
          <w:szCs w:val="24"/>
        </w:rPr>
        <w:t>rojektowan</w:t>
      </w:r>
      <w:r w:rsidRPr="008D7149">
        <w:rPr>
          <w:rFonts w:ascii="Times New Roman" w:hAnsi="Times New Roman" w:cs="Times New Roman"/>
          <w:sz w:val="24"/>
          <w:szCs w:val="24"/>
        </w:rPr>
        <w:t>ego</w:t>
      </w:r>
      <w:r w:rsidR="00EF441C" w:rsidRPr="008D7149">
        <w:rPr>
          <w:rFonts w:ascii="Times New Roman" w:hAnsi="Times New Roman" w:cs="Times New Roman"/>
          <w:sz w:val="24"/>
          <w:szCs w:val="24"/>
        </w:rPr>
        <w:t xml:space="preserve"> </w:t>
      </w:r>
      <w:r w:rsidR="00EF441C" w:rsidRPr="008D7149">
        <w:rPr>
          <w:rFonts w:ascii="Times New Roman" w:hAnsi="Times New Roman" w:cs="Times New Roman"/>
          <w:b/>
          <w:sz w:val="24"/>
          <w:szCs w:val="24"/>
        </w:rPr>
        <w:t>art. 18 ust. 4</w:t>
      </w:r>
      <w:r w:rsidR="00EF441C" w:rsidRPr="008D7149">
        <w:rPr>
          <w:rFonts w:ascii="Times New Roman" w:hAnsi="Times New Roman" w:cs="Times New Roman"/>
          <w:sz w:val="24"/>
          <w:szCs w:val="24"/>
        </w:rPr>
        <w:t xml:space="preserve"> Ustawy</w:t>
      </w:r>
      <w:r w:rsidR="00E46335" w:rsidRPr="008D7149">
        <w:rPr>
          <w:rFonts w:ascii="Times New Roman" w:hAnsi="Times New Roman" w:cs="Times New Roman"/>
          <w:sz w:val="24"/>
          <w:szCs w:val="24"/>
        </w:rPr>
        <w:t xml:space="preserve"> </w:t>
      </w:r>
      <w:r w:rsidR="00A50549" w:rsidRPr="008D7149">
        <w:rPr>
          <w:rFonts w:ascii="Times New Roman" w:hAnsi="Times New Roman" w:cs="Times New Roman"/>
          <w:sz w:val="24"/>
          <w:szCs w:val="24"/>
        </w:rPr>
        <w:t xml:space="preserve">przy </w:t>
      </w:r>
      <w:r w:rsidR="00E37E6A" w:rsidRPr="008D7149">
        <w:rPr>
          <w:rFonts w:ascii="Times New Roman" w:hAnsi="Times New Roman" w:cs="Times New Roman"/>
          <w:sz w:val="24"/>
          <w:szCs w:val="24"/>
        </w:rPr>
        <w:t xml:space="preserve">określaniu kwot, o których mowa </w:t>
      </w:r>
      <w:r w:rsidR="00A50549" w:rsidRPr="008D7149">
        <w:rPr>
          <w:rFonts w:ascii="Times New Roman" w:hAnsi="Times New Roman" w:cs="Times New Roman"/>
          <w:sz w:val="24"/>
          <w:szCs w:val="24"/>
        </w:rPr>
        <w:t>w art. 18 ust. 1</w:t>
      </w:r>
      <w:r w:rsidR="00CD1E42">
        <w:rPr>
          <w:rFonts w:ascii="Times New Roman" w:hAnsi="Times New Roman" w:cs="Times New Roman"/>
          <w:sz w:val="24"/>
          <w:szCs w:val="24"/>
        </w:rPr>
        <w:t>–</w:t>
      </w:r>
      <w:r w:rsidR="00A50549" w:rsidRPr="008D7149">
        <w:rPr>
          <w:rFonts w:ascii="Times New Roman" w:hAnsi="Times New Roman" w:cs="Times New Roman"/>
          <w:sz w:val="24"/>
          <w:szCs w:val="24"/>
        </w:rPr>
        <w:t>2</w:t>
      </w:r>
      <w:r w:rsidR="00224287" w:rsidRPr="008D7149">
        <w:rPr>
          <w:rFonts w:ascii="Times New Roman" w:hAnsi="Times New Roman" w:cs="Times New Roman"/>
          <w:sz w:val="24"/>
          <w:szCs w:val="24"/>
        </w:rPr>
        <w:t xml:space="preserve"> Ustawy</w:t>
      </w:r>
      <w:r w:rsidR="00E07C2A" w:rsidRPr="008D7149">
        <w:rPr>
          <w:rFonts w:ascii="Times New Roman" w:hAnsi="Times New Roman" w:cs="Times New Roman"/>
          <w:sz w:val="24"/>
          <w:szCs w:val="24"/>
        </w:rPr>
        <w:t xml:space="preserve">, </w:t>
      </w:r>
      <w:r w:rsidRPr="008D7149">
        <w:rPr>
          <w:rFonts w:ascii="Times New Roman" w:hAnsi="Times New Roman" w:cs="Times New Roman"/>
          <w:sz w:val="24"/>
          <w:szCs w:val="24"/>
        </w:rPr>
        <w:t>uwzględnia się</w:t>
      </w:r>
      <w:r w:rsidR="00F26342" w:rsidRPr="008D7149">
        <w:rPr>
          <w:rFonts w:ascii="Times New Roman" w:hAnsi="Times New Roman" w:cs="Times New Roman"/>
          <w:sz w:val="24"/>
          <w:szCs w:val="24"/>
        </w:rPr>
        <w:t xml:space="preserve"> wartość </w:t>
      </w:r>
      <w:r w:rsidR="00E37E6A" w:rsidRPr="008D7149">
        <w:rPr>
          <w:rFonts w:ascii="Times New Roman" w:hAnsi="Times New Roman" w:cs="Times New Roman"/>
          <w:sz w:val="24"/>
          <w:szCs w:val="24"/>
        </w:rPr>
        <w:t xml:space="preserve">nabytych </w:t>
      </w:r>
      <w:r w:rsidR="00A50549" w:rsidRPr="008D7149">
        <w:rPr>
          <w:rFonts w:ascii="Times New Roman" w:hAnsi="Times New Roman" w:cs="Times New Roman"/>
          <w:sz w:val="24"/>
          <w:szCs w:val="24"/>
        </w:rPr>
        <w:t>instrument</w:t>
      </w:r>
      <w:r w:rsidR="00F26342" w:rsidRPr="008D7149">
        <w:rPr>
          <w:rFonts w:ascii="Times New Roman" w:hAnsi="Times New Roman" w:cs="Times New Roman"/>
          <w:sz w:val="24"/>
          <w:szCs w:val="24"/>
        </w:rPr>
        <w:t>ów pochodnych</w:t>
      </w:r>
      <w:r w:rsidR="00224287" w:rsidRPr="008D7149">
        <w:rPr>
          <w:rFonts w:ascii="Times New Roman" w:hAnsi="Times New Roman" w:cs="Times New Roman"/>
          <w:sz w:val="24"/>
          <w:szCs w:val="24"/>
        </w:rPr>
        <w:t>,</w:t>
      </w:r>
      <w:r w:rsidR="00F26342" w:rsidRPr="008D7149">
        <w:rPr>
          <w:rFonts w:ascii="Times New Roman" w:hAnsi="Times New Roman" w:cs="Times New Roman"/>
          <w:sz w:val="24"/>
          <w:szCs w:val="24"/>
        </w:rPr>
        <w:t xml:space="preserve"> </w:t>
      </w:r>
      <w:r w:rsidR="00E37E6A" w:rsidRPr="008D7149">
        <w:rPr>
          <w:rFonts w:ascii="Times New Roman" w:hAnsi="Times New Roman" w:cs="Times New Roman"/>
          <w:sz w:val="24"/>
          <w:szCs w:val="24"/>
        </w:rPr>
        <w:t xml:space="preserve">uwzględnionych w puli aktywów stanowiących zabezpieczenie, oraz zmiany ich wartości. Mając na uwadze zawarte w art. 18 ust. 4 </w:t>
      </w:r>
      <w:r w:rsidR="00224287" w:rsidRPr="008D7149">
        <w:rPr>
          <w:rFonts w:ascii="Times New Roman" w:hAnsi="Times New Roman" w:cs="Times New Roman"/>
          <w:sz w:val="24"/>
          <w:szCs w:val="24"/>
        </w:rPr>
        <w:t>Ustawy odesłanie</w:t>
      </w:r>
      <w:r w:rsidR="00E37E6A" w:rsidRPr="008D7149">
        <w:rPr>
          <w:rFonts w:ascii="Times New Roman" w:hAnsi="Times New Roman" w:cs="Times New Roman"/>
          <w:sz w:val="24"/>
          <w:szCs w:val="24"/>
        </w:rPr>
        <w:t xml:space="preserve"> do ust. 1</w:t>
      </w:r>
      <w:r w:rsidR="00CD1E42">
        <w:rPr>
          <w:rFonts w:ascii="Times New Roman" w:hAnsi="Times New Roman" w:cs="Times New Roman"/>
          <w:sz w:val="24"/>
          <w:szCs w:val="24"/>
        </w:rPr>
        <w:t>–</w:t>
      </w:r>
      <w:r w:rsidR="00E37E6A" w:rsidRPr="008D7149">
        <w:rPr>
          <w:rFonts w:ascii="Times New Roman" w:hAnsi="Times New Roman" w:cs="Times New Roman"/>
          <w:sz w:val="24"/>
          <w:szCs w:val="24"/>
        </w:rPr>
        <w:t>2 ww. artykułu</w:t>
      </w:r>
      <w:r w:rsidR="00224287" w:rsidRPr="008D7149">
        <w:rPr>
          <w:rFonts w:ascii="Times New Roman" w:hAnsi="Times New Roman" w:cs="Times New Roman"/>
          <w:sz w:val="24"/>
          <w:szCs w:val="24"/>
        </w:rPr>
        <w:t xml:space="preserve"> Ustawy</w:t>
      </w:r>
      <w:r w:rsidR="00E37E6A" w:rsidRPr="008D7149">
        <w:rPr>
          <w:rFonts w:ascii="Times New Roman" w:hAnsi="Times New Roman" w:cs="Times New Roman"/>
          <w:sz w:val="24"/>
          <w:szCs w:val="24"/>
        </w:rPr>
        <w:t xml:space="preserve">, wartość nabytych instrumentów pochodnych oraz zmiany ich wartości powinny być uwzględnione przy określaniu kwot, o których mowa </w:t>
      </w:r>
      <w:r w:rsidR="00224287" w:rsidRPr="008D7149">
        <w:rPr>
          <w:rFonts w:ascii="Times New Roman" w:hAnsi="Times New Roman" w:cs="Times New Roman"/>
          <w:sz w:val="24"/>
          <w:szCs w:val="24"/>
        </w:rPr>
        <w:t>w</w:t>
      </w:r>
      <w:r w:rsidR="00E37E6A" w:rsidRPr="008D7149">
        <w:rPr>
          <w:rFonts w:ascii="Times New Roman" w:hAnsi="Times New Roman" w:cs="Times New Roman"/>
          <w:sz w:val="24"/>
          <w:szCs w:val="24"/>
        </w:rPr>
        <w:t xml:space="preserve"> ust. 1 i 1a, </w:t>
      </w:r>
      <w:r w:rsidR="00854D3C" w:rsidRPr="008D7149">
        <w:rPr>
          <w:rFonts w:ascii="Times New Roman" w:hAnsi="Times New Roman" w:cs="Times New Roman"/>
          <w:sz w:val="24"/>
          <w:szCs w:val="24"/>
        </w:rPr>
        <w:t xml:space="preserve">natomiast </w:t>
      </w:r>
      <w:r w:rsidR="00A57F3D" w:rsidRPr="008D7149">
        <w:rPr>
          <w:rFonts w:ascii="Times New Roman" w:hAnsi="Times New Roman" w:cs="Times New Roman"/>
          <w:sz w:val="24"/>
          <w:szCs w:val="24"/>
        </w:rPr>
        <w:t>odsetki z tytułu instrumentów pochodnych powinny być uwzględniane przy określaniu dochodu banku hipotecznego z tytułu odsetek, zgodnie z art. 18 ust. 2</w:t>
      </w:r>
      <w:r w:rsidR="00224287" w:rsidRPr="008D7149">
        <w:rPr>
          <w:rFonts w:ascii="Times New Roman" w:hAnsi="Times New Roman" w:cs="Times New Roman"/>
          <w:sz w:val="24"/>
          <w:szCs w:val="24"/>
        </w:rPr>
        <w:t xml:space="preserve"> Ustawy</w:t>
      </w:r>
      <w:r w:rsidR="00A57F3D" w:rsidRPr="008D7149">
        <w:rPr>
          <w:rFonts w:ascii="Times New Roman" w:hAnsi="Times New Roman" w:cs="Times New Roman"/>
          <w:sz w:val="24"/>
          <w:szCs w:val="24"/>
        </w:rPr>
        <w:t>.</w:t>
      </w:r>
    </w:p>
    <w:p w14:paraId="6B599962" w14:textId="7C6109FD" w:rsidR="00E07C2A" w:rsidRPr="008D7149" w:rsidRDefault="002D3A2D"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t>A</w:t>
      </w:r>
      <w:r w:rsidR="00EF441C" w:rsidRPr="008D7149">
        <w:rPr>
          <w:rFonts w:ascii="Times New Roman" w:hAnsi="Times New Roman" w:cs="Times New Roman"/>
          <w:sz w:val="24"/>
          <w:szCs w:val="24"/>
        </w:rPr>
        <w:t xml:space="preserve">rt. 15 ust. </w:t>
      </w:r>
      <w:r w:rsidRPr="008D7149">
        <w:rPr>
          <w:rFonts w:ascii="Times New Roman" w:hAnsi="Times New Roman" w:cs="Times New Roman"/>
          <w:sz w:val="24"/>
          <w:szCs w:val="24"/>
        </w:rPr>
        <w:t>6</w:t>
      </w:r>
      <w:r w:rsidR="00EF441C" w:rsidRPr="008D7149">
        <w:rPr>
          <w:rFonts w:ascii="Times New Roman" w:hAnsi="Times New Roman" w:cs="Times New Roman"/>
          <w:sz w:val="24"/>
          <w:szCs w:val="24"/>
        </w:rPr>
        <w:t xml:space="preserve"> dyrektywy </w:t>
      </w:r>
      <w:r w:rsidR="00EF441C" w:rsidRPr="008D7149">
        <w:rPr>
          <w:rFonts w:ascii="Times New Roman" w:eastAsia="Calibri" w:hAnsi="Times New Roman" w:cs="Times New Roman"/>
          <w:sz w:val="24"/>
          <w:szCs w:val="24"/>
        </w:rPr>
        <w:t>2019/2162</w:t>
      </w:r>
      <w:r w:rsidRPr="008D7149">
        <w:rPr>
          <w:rFonts w:ascii="Times New Roman" w:eastAsia="Calibri" w:hAnsi="Times New Roman" w:cs="Times New Roman"/>
          <w:sz w:val="24"/>
          <w:szCs w:val="24"/>
        </w:rPr>
        <w:t xml:space="preserve"> stanowi, że „</w:t>
      </w:r>
      <w:r w:rsidRPr="008D7149">
        <w:rPr>
          <w:rFonts w:ascii="Times New Roman" w:eastAsia="Calibri" w:hAnsi="Times New Roman" w:cs="Times New Roman"/>
          <w:i/>
          <w:sz w:val="24"/>
          <w:szCs w:val="24"/>
        </w:rPr>
        <w:t xml:space="preserve">Wyliczenie wymaganego pokrycia zapewnia, aby łączna kwota główna wszystkich aktywów stanowiących zabezpieczenie była równa lub </w:t>
      </w:r>
      <w:r w:rsidRPr="008D7149">
        <w:rPr>
          <w:rFonts w:ascii="Times New Roman" w:eastAsia="Calibri" w:hAnsi="Times New Roman" w:cs="Times New Roman"/>
          <w:i/>
          <w:sz w:val="24"/>
          <w:szCs w:val="24"/>
        </w:rPr>
        <w:lastRenderedPageBreak/>
        <w:t>wyższa od łącznej kwoty głównej znajdujących się w obrocie obligacji zabezpieczonych („zasada nominalności”)</w:t>
      </w:r>
      <w:r w:rsidR="00447BB4">
        <w:rPr>
          <w:rFonts w:ascii="Times New Roman" w:eastAsia="Calibri" w:hAnsi="Times New Roman" w:cs="Times New Roman"/>
          <w:i/>
          <w:sz w:val="24"/>
          <w:szCs w:val="24"/>
        </w:rPr>
        <w:t>”</w:t>
      </w:r>
      <w:r w:rsidRPr="008D7149">
        <w:rPr>
          <w:rFonts w:ascii="Times New Roman" w:eastAsia="Calibri" w:hAnsi="Times New Roman" w:cs="Times New Roman"/>
          <w:i/>
          <w:sz w:val="24"/>
          <w:szCs w:val="24"/>
        </w:rPr>
        <w:t xml:space="preserve">. </w:t>
      </w:r>
      <w:r w:rsidR="00E07C2A" w:rsidRPr="008D7149">
        <w:rPr>
          <w:rFonts w:ascii="Times New Roman" w:eastAsia="Calibri" w:hAnsi="Times New Roman" w:cs="Times New Roman"/>
          <w:sz w:val="24"/>
          <w:szCs w:val="24"/>
        </w:rPr>
        <w:t xml:space="preserve">Stosownie do definicji </w:t>
      </w:r>
      <w:r w:rsidR="00224287" w:rsidRPr="008D7149">
        <w:rPr>
          <w:rFonts w:ascii="Times New Roman" w:eastAsia="Calibri" w:hAnsi="Times New Roman" w:cs="Times New Roman"/>
          <w:sz w:val="24"/>
          <w:szCs w:val="24"/>
        </w:rPr>
        <w:t xml:space="preserve">zawartej </w:t>
      </w:r>
      <w:r w:rsidR="00E07C2A" w:rsidRPr="008D7149">
        <w:rPr>
          <w:rFonts w:ascii="Times New Roman" w:eastAsia="Calibri" w:hAnsi="Times New Roman" w:cs="Times New Roman"/>
          <w:sz w:val="24"/>
          <w:szCs w:val="24"/>
        </w:rPr>
        <w:t xml:space="preserve">w art. 3 pkt 4 dyrektywy 2019/2162 „aktywa stanowiące zabezpieczenie” oznaczają aktywa zaliczone do puli aktywów stanowiących zabezpieczenie, przy czym warunki zaliczania instrumentów pochodnych do puli aktywów stanowiących zabezpieczenie określa art. 11 tej dyrektywy. W świetle powyższego </w:t>
      </w:r>
      <w:r w:rsidR="00224287" w:rsidRPr="008D7149">
        <w:rPr>
          <w:rFonts w:ascii="Times New Roman" w:eastAsia="Calibri" w:hAnsi="Times New Roman" w:cs="Times New Roman"/>
          <w:sz w:val="24"/>
          <w:szCs w:val="24"/>
        </w:rPr>
        <w:t xml:space="preserve">projektowane </w:t>
      </w:r>
      <w:r w:rsidR="00E07C2A" w:rsidRPr="008D7149">
        <w:rPr>
          <w:rFonts w:ascii="Times New Roman" w:eastAsia="Calibri" w:hAnsi="Times New Roman" w:cs="Times New Roman"/>
          <w:sz w:val="24"/>
          <w:szCs w:val="24"/>
        </w:rPr>
        <w:t>przepisy art. 18 ust. 1 i 1a</w:t>
      </w:r>
      <w:r w:rsidR="00224287" w:rsidRPr="008D7149">
        <w:rPr>
          <w:rFonts w:ascii="Times New Roman" w:eastAsia="Calibri" w:hAnsi="Times New Roman" w:cs="Times New Roman"/>
          <w:sz w:val="24"/>
          <w:szCs w:val="24"/>
        </w:rPr>
        <w:t xml:space="preserve"> Ustawy</w:t>
      </w:r>
      <w:r w:rsidR="00E07C2A" w:rsidRPr="008D7149">
        <w:rPr>
          <w:rFonts w:ascii="Times New Roman" w:eastAsia="Calibri" w:hAnsi="Times New Roman" w:cs="Times New Roman"/>
          <w:sz w:val="24"/>
          <w:szCs w:val="24"/>
        </w:rPr>
        <w:t xml:space="preserve">, a także art. 18 ust. 4 </w:t>
      </w:r>
      <w:r w:rsidR="00224287" w:rsidRPr="008D7149">
        <w:rPr>
          <w:rFonts w:ascii="Times New Roman" w:eastAsia="Calibri" w:hAnsi="Times New Roman" w:cs="Times New Roman"/>
          <w:sz w:val="24"/>
          <w:szCs w:val="24"/>
        </w:rPr>
        <w:t>Ustawy</w:t>
      </w:r>
      <w:r w:rsidR="00E07C2A" w:rsidRPr="008D7149">
        <w:rPr>
          <w:rFonts w:ascii="Times New Roman" w:eastAsia="Calibri" w:hAnsi="Times New Roman" w:cs="Times New Roman"/>
          <w:sz w:val="24"/>
          <w:szCs w:val="24"/>
        </w:rPr>
        <w:t xml:space="preserve">, odzwierciedlają przywołane </w:t>
      </w:r>
      <w:r w:rsidR="00224287" w:rsidRPr="008D7149">
        <w:rPr>
          <w:rFonts w:ascii="Times New Roman" w:eastAsia="Calibri" w:hAnsi="Times New Roman" w:cs="Times New Roman"/>
          <w:sz w:val="24"/>
          <w:szCs w:val="24"/>
        </w:rPr>
        <w:t>przepisy</w:t>
      </w:r>
      <w:r w:rsidR="00E07C2A" w:rsidRPr="008D7149">
        <w:rPr>
          <w:rFonts w:ascii="Times New Roman" w:eastAsia="Calibri" w:hAnsi="Times New Roman" w:cs="Times New Roman"/>
          <w:sz w:val="24"/>
          <w:szCs w:val="24"/>
        </w:rPr>
        <w:t xml:space="preserve"> dyrektywy 2019/2162.</w:t>
      </w:r>
    </w:p>
    <w:p w14:paraId="11A12476" w14:textId="324D848A" w:rsidR="00E03E57"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Art. 15 ust. 3 lit. d dyrektywy </w:t>
      </w:r>
      <w:r w:rsidRPr="008D7149">
        <w:rPr>
          <w:rFonts w:ascii="Times New Roman" w:eastAsia="Calibri" w:hAnsi="Times New Roman" w:cs="Times New Roman"/>
          <w:sz w:val="24"/>
          <w:szCs w:val="24"/>
        </w:rPr>
        <w:t>2019/2162</w:t>
      </w:r>
      <w:r w:rsidRPr="008D7149">
        <w:rPr>
          <w:rFonts w:ascii="Times New Roman" w:hAnsi="Times New Roman" w:cs="Times New Roman"/>
          <w:sz w:val="24"/>
          <w:szCs w:val="24"/>
        </w:rPr>
        <w:t xml:space="preserve"> stanowi, ż</w:t>
      </w:r>
      <w:r w:rsidR="00CC70C6">
        <w:rPr>
          <w:rFonts w:ascii="Times New Roman" w:hAnsi="Times New Roman" w:cs="Times New Roman"/>
          <w:sz w:val="24"/>
          <w:szCs w:val="24"/>
        </w:rPr>
        <w:t>e</w:t>
      </w:r>
      <w:r w:rsidRPr="008D7149">
        <w:rPr>
          <w:rFonts w:ascii="Times New Roman" w:hAnsi="Times New Roman" w:cs="Times New Roman"/>
          <w:sz w:val="24"/>
          <w:szCs w:val="24"/>
        </w:rPr>
        <w:t xml:space="preserve"> zobowiązania z tytułu obligacji zabezpieczonych obejmują również spodziewane koszty związane z utrzymaniem programu emi</w:t>
      </w:r>
      <w:r w:rsidR="00BE301F" w:rsidRPr="008D7149">
        <w:rPr>
          <w:rFonts w:ascii="Times New Roman" w:hAnsi="Times New Roman" w:cs="Times New Roman"/>
          <w:sz w:val="24"/>
          <w:szCs w:val="24"/>
        </w:rPr>
        <w:t>sji obligacji zabezpieczonych i</w:t>
      </w:r>
      <w:r w:rsidR="00CC70C6">
        <w:rPr>
          <w:rFonts w:ascii="Times New Roman" w:hAnsi="Times New Roman" w:cs="Times New Roman"/>
          <w:sz w:val="24"/>
          <w:szCs w:val="24"/>
        </w:rPr>
        <w:t xml:space="preserve"> </w:t>
      </w:r>
      <w:r w:rsidRPr="008D7149">
        <w:rPr>
          <w:rFonts w:ascii="Times New Roman" w:hAnsi="Times New Roman" w:cs="Times New Roman"/>
          <w:sz w:val="24"/>
          <w:szCs w:val="24"/>
        </w:rPr>
        <w:t xml:space="preserve">administrowaniem nim na potrzeby jego likwidacji. </w:t>
      </w:r>
      <w:r w:rsidR="00F70D76" w:rsidRPr="008D7149">
        <w:rPr>
          <w:rFonts w:ascii="Times New Roman" w:hAnsi="Times New Roman" w:cs="Times New Roman"/>
          <w:sz w:val="24"/>
          <w:szCs w:val="24"/>
        </w:rPr>
        <w:t xml:space="preserve">Warto zaznaczyć, że </w:t>
      </w:r>
      <w:r w:rsidR="00E07C2A" w:rsidRPr="008D7149">
        <w:rPr>
          <w:rFonts w:ascii="Times New Roman" w:hAnsi="Times New Roman" w:cs="Times New Roman"/>
          <w:sz w:val="24"/>
          <w:szCs w:val="24"/>
        </w:rPr>
        <w:t>spodziewane koszty związane z utrzymaniem programu emisji obligacji zabezpieczonych i administrowaniem nim na potrzeby jego likwidacji</w:t>
      </w:r>
      <w:r w:rsidR="00C510C2" w:rsidRPr="008D7149">
        <w:rPr>
          <w:rFonts w:ascii="Times New Roman" w:hAnsi="Times New Roman" w:cs="Times New Roman"/>
          <w:sz w:val="24"/>
          <w:szCs w:val="24"/>
        </w:rPr>
        <w:t xml:space="preserve"> będą </w:t>
      </w:r>
      <w:r w:rsidR="00F70D76" w:rsidRPr="008D7149">
        <w:rPr>
          <w:rFonts w:ascii="Times New Roman" w:hAnsi="Times New Roman" w:cs="Times New Roman"/>
          <w:sz w:val="24"/>
          <w:szCs w:val="24"/>
        </w:rPr>
        <w:t xml:space="preserve">uwzględnione </w:t>
      </w:r>
      <w:r w:rsidR="00C510C2" w:rsidRPr="008D7149">
        <w:rPr>
          <w:rFonts w:ascii="Times New Roman" w:hAnsi="Times New Roman" w:cs="Times New Roman"/>
          <w:sz w:val="24"/>
          <w:szCs w:val="24"/>
        </w:rPr>
        <w:t>w szczególności</w:t>
      </w:r>
      <w:r w:rsidR="00F70D76" w:rsidRPr="008D7149">
        <w:rPr>
          <w:rFonts w:ascii="Times New Roman" w:hAnsi="Times New Roman" w:cs="Times New Roman"/>
          <w:sz w:val="24"/>
          <w:szCs w:val="24"/>
        </w:rPr>
        <w:t xml:space="preserve"> </w:t>
      </w:r>
      <w:r w:rsidR="00E07C2A" w:rsidRPr="008D7149">
        <w:rPr>
          <w:rFonts w:ascii="Times New Roman" w:hAnsi="Times New Roman" w:cs="Times New Roman"/>
          <w:sz w:val="24"/>
          <w:szCs w:val="24"/>
        </w:rPr>
        <w:t xml:space="preserve">w nowelizowanym art. 25 Ustawy i </w:t>
      </w:r>
      <w:r w:rsidR="00F70D76" w:rsidRPr="008D7149">
        <w:rPr>
          <w:rFonts w:ascii="Times New Roman" w:hAnsi="Times New Roman" w:cs="Times New Roman"/>
          <w:sz w:val="24"/>
          <w:szCs w:val="24"/>
        </w:rPr>
        <w:t xml:space="preserve">w aktach wykonawczych wydanych na </w:t>
      </w:r>
      <w:r w:rsidR="00E07C2A" w:rsidRPr="008D7149">
        <w:rPr>
          <w:rFonts w:ascii="Times New Roman" w:hAnsi="Times New Roman" w:cs="Times New Roman"/>
          <w:sz w:val="24"/>
          <w:szCs w:val="24"/>
        </w:rPr>
        <w:t xml:space="preserve">jego </w:t>
      </w:r>
      <w:r w:rsidR="00F70D76" w:rsidRPr="008D7149">
        <w:rPr>
          <w:rFonts w:ascii="Times New Roman" w:hAnsi="Times New Roman" w:cs="Times New Roman"/>
          <w:sz w:val="24"/>
          <w:szCs w:val="24"/>
        </w:rPr>
        <w:t>podstawie (sposób przeprowadzania testu równowagi pokrycia) i projekt nie przewiduje wyliczenia przedmiotowych kosztów w sposób zryczałtowany (opcja w art. 15 ust. 3 dyrektywy 2019/2162).</w:t>
      </w:r>
    </w:p>
    <w:p w14:paraId="6E008C5F" w14:textId="62E27F91" w:rsidR="00936F62" w:rsidRPr="008D7149" w:rsidRDefault="00936F6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Ponadto przy implementacji art. 15 dyrektywy 2019/2162, ze względu na obowiązywanie ugruntowanej w przepisach krajowych zasady nominalności</w:t>
      </w:r>
      <w:r w:rsidR="00723F58" w:rsidRPr="008D7149">
        <w:rPr>
          <w:rFonts w:ascii="Times New Roman" w:hAnsi="Times New Roman" w:cs="Times New Roman"/>
          <w:sz w:val="24"/>
          <w:szCs w:val="24"/>
        </w:rPr>
        <w:t>,</w:t>
      </w:r>
      <w:r w:rsidRPr="008D7149">
        <w:rPr>
          <w:rFonts w:ascii="Times New Roman" w:hAnsi="Times New Roman" w:cs="Times New Roman"/>
          <w:sz w:val="24"/>
          <w:szCs w:val="24"/>
        </w:rPr>
        <w:t xml:space="preserve"> nie zakłada się wdrożenia opcjonalnych rozwiązań, o których mowa w art. 15 ust. 7 i 8 dyrektywy</w:t>
      </w:r>
      <w:r w:rsidR="00C510C2" w:rsidRPr="008D7149">
        <w:rPr>
          <w:rFonts w:ascii="Times New Roman" w:hAnsi="Times New Roman" w:cs="Times New Roman"/>
          <w:sz w:val="24"/>
          <w:szCs w:val="24"/>
        </w:rPr>
        <w:t xml:space="preserve"> 2019/2162</w:t>
      </w:r>
      <w:r w:rsidRPr="008D7149">
        <w:rPr>
          <w:rFonts w:ascii="Times New Roman" w:hAnsi="Times New Roman" w:cs="Times New Roman"/>
          <w:sz w:val="24"/>
          <w:szCs w:val="24"/>
        </w:rPr>
        <w:t>.</w:t>
      </w:r>
    </w:p>
    <w:p w14:paraId="2615F99F" w14:textId="77777777" w:rsidR="00EF441C" w:rsidRPr="008D7149" w:rsidRDefault="00936F6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w:t>
      </w:r>
      <w:r w:rsidR="00EF441C" w:rsidRPr="008D7149">
        <w:rPr>
          <w:rFonts w:ascii="Times New Roman" w:hAnsi="Times New Roman" w:cs="Times New Roman"/>
          <w:sz w:val="24"/>
          <w:szCs w:val="24"/>
        </w:rPr>
        <w:t xml:space="preserve"> nowym brzmieniu ust. 4 ww. artykułu Ustawy uwzględniono zmiany terminologii w zakresie instrumentów pochodnych, określanych wcześniej jako „instrumenty finansowe zabezpieczające”.</w:t>
      </w:r>
    </w:p>
    <w:p w14:paraId="4CD066EF" w14:textId="77777777"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Projektowane brzmienie dodawanego </w:t>
      </w:r>
      <w:r w:rsidRPr="008D7149">
        <w:rPr>
          <w:rFonts w:ascii="Times New Roman" w:hAnsi="Times New Roman" w:cs="Times New Roman"/>
          <w:b/>
          <w:sz w:val="24"/>
          <w:szCs w:val="24"/>
        </w:rPr>
        <w:t>art. 18a</w:t>
      </w:r>
      <w:r w:rsidRPr="008D7149">
        <w:rPr>
          <w:rFonts w:ascii="Times New Roman" w:hAnsi="Times New Roman" w:cs="Times New Roman"/>
          <w:sz w:val="24"/>
          <w:szCs w:val="24"/>
        </w:rPr>
        <w:t xml:space="preserve"> Ustawy transponuje art. 11 dyrektywy 2019/2162, w którym szczegółowo uregulowana została kwestia wymogów dla instrumentów pochodnych włączonych do puli aktywów stanowiących zabezpieczenie, określonych w art. 18 ust. 4 Ustawy.</w:t>
      </w:r>
    </w:p>
    <w:p w14:paraId="7209AB06" w14:textId="77777777"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Projektowane brzmienie art. 18a Ustawy precyzuje wymogi dla instrumentów pochodnych, które podlegają wpisaniu do rejestru zabezpieczenia listów zastawnych, z jednoczesnym określeniem warunków umowy, której przedmiotem jest instrument pochodny.</w:t>
      </w:r>
    </w:p>
    <w:p w14:paraId="77F2FAF7" w14:textId="77777777" w:rsidR="00FD7126"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Podstawowym warunkiem umowy o instrument pochodny jest to, aby umowa została zawarta w celu ograniczenia ryzyka walutowego lub ryzyka stopy procentowej związanego z wyemitowanymi listami zastawnymi. Ponadto </w:t>
      </w:r>
      <w:r w:rsidR="00A94154" w:rsidRPr="008D7149">
        <w:rPr>
          <w:rFonts w:ascii="Times New Roman" w:hAnsi="Times New Roman" w:cs="Times New Roman"/>
          <w:sz w:val="24"/>
          <w:szCs w:val="24"/>
        </w:rPr>
        <w:t xml:space="preserve">wyłączono uprawnienie do rozwiązania </w:t>
      </w:r>
      <w:r w:rsidRPr="008D7149">
        <w:rPr>
          <w:rFonts w:ascii="Times New Roman" w:hAnsi="Times New Roman" w:cs="Times New Roman"/>
          <w:sz w:val="24"/>
          <w:szCs w:val="24"/>
        </w:rPr>
        <w:t xml:space="preserve">ww. </w:t>
      </w:r>
      <w:r w:rsidR="00A94154" w:rsidRPr="008D7149">
        <w:rPr>
          <w:rFonts w:ascii="Times New Roman" w:hAnsi="Times New Roman" w:cs="Times New Roman"/>
          <w:sz w:val="24"/>
          <w:szCs w:val="24"/>
        </w:rPr>
        <w:lastRenderedPageBreak/>
        <w:t xml:space="preserve">umowy </w:t>
      </w:r>
      <w:r w:rsidRPr="008D7149">
        <w:rPr>
          <w:rFonts w:ascii="Times New Roman" w:hAnsi="Times New Roman" w:cs="Times New Roman"/>
          <w:sz w:val="24"/>
          <w:szCs w:val="24"/>
        </w:rPr>
        <w:t>z chwilą wszczęcia przymusowej restrukturyzacji lub postępowania upadłościowego wobec banku hipotecznego</w:t>
      </w:r>
      <w:r w:rsidR="007E138D" w:rsidRPr="008D7149">
        <w:rPr>
          <w:rFonts w:ascii="Times New Roman" w:hAnsi="Times New Roman" w:cs="Times New Roman"/>
          <w:sz w:val="24"/>
          <w:szCs w:val="24"/>
        </w:rPr>
        <w:t xml:space="preserve"> albo </w:t>
      </w:r>
      <w:r w:rsidR="005B6901" w:rsidRPr="008D7149">
        <w:rPr>
          <w:rFonts w:ascii="Times New Roman" w:hAnsi="Times New Roman" w:cs="Times New Roman"/>
          <w:sz w:val="24"/>
          <w:szCs w:val="24"/>
        </w:rPr>
        <w:t>oddalenia wniosku o ogłoszenie upadłości banku hipotecznego</w:t>
      </w:r>
      <w:r w:rsidR="00CC0D09" w:rsidRPr="008D7149">
        <w:rPr>
          <w:rFonts w:ascii="Times New Roman" w:hAnsi="Times New Roman" w:cs="Times New Roman"/>
          <w:sz w:val="24"/>
          <w:szCs w:val="24"/>
        </w:rPr>
        <w:t xml:space="preserve"> na podstawie art. 13</w:t>
      </w:r>
      <w:r w:rsidR="007E138D" w:rsidRPr="008D7149">
        <w:rPr>
          <w:rFonts w:ascii="Times New Roman" w:hAnsi="Times New Roman" w:cs="Times New Roman"/>
          <w:sz w:val="24"/>
          <w:szCs w:val="24"/>
        </w:rPr>
        <w:t xml:space="preserve"> ust. 1 lub 2</w:t>
      </w:r>
      <w:r w:rsidR="00CC0D09" w:rsidRPr="008D7149">
        <w:rPr>
          <w:rFonts w:ascii="Times New Roman" w:hAnsi="Times New Roman" w:cs="Times New Roman"/>
          <w:sz w:val="24"/>
          <w:szCs w:val="24"/>
        </w:rPr>
        <w:t xml:space="preserve"> ustawy </w:t>
      </w:r>
      <w:r w:rsidR="006A7D02" w:rsidRPr="008D7149">
        <w:rPr>
          <w:rFonts w:ascii="Times New Roman" w:hAnsi="Times New Roman" w:cs="Times New Roman"/>
          <w:sz w:val="24"/>
          <w:szCs w:val="24"/>
        </w:rPr>
        <w:t>z dnia 28 lutego 2003 r. – Prawo upadłościowe</w:t>
      </w:r>
      <w:r w:rsidR="00CC0D09" w:rsidRPr="008D7149">
        <w:rPr>
          <w:rFonts w:ascii="Times New Roman" w:hAnsi="Times New Roman" w:cs="Times New Roman"/>
          <w:sz w:val="24"/>
          <w:szCs w:val="24"/>
        </w:rPr>
        <w:t xml:space="preserve">, </w:t>
      </w:r>
      <w:r w:rsidR="00FD7126" w:rsidRPr="008D7149">
        <w:rPr>
          <w:rFonts w:ascii="Times New Roman" w:hAnsi="Times New Roman" w:cs="Times New Roman"/>
          <w:sz w:val="24"/>
          <w:szCs w:val="24"/>
        </w:rPr>
        <w:t xml:space="preserve">co odzwierciedla wymóg </w:t>
      </w:r>
      <w:r w:rsidR="00B175A8" w:rsidRPr="008D7149">
        <w:rPr>
          <w:rFonts w:ascii="Times New Roman" w:hAnsi="Times New Roman" w:cs="Times New Roman"/>
          <w:sz w:val="24"/>
          <w:szCs w:val="24"/>
        </w:rPr>
        <w:t xml:space="preserve">z </w:t>
      </w:r>
      <w:r w:rsidR="00FD7126" w:rsidRPr="008D7149">
        <w:rPr>
          <w:rFonts w:ascii="Times New Roman" w:hAnsi="Times New Roman" w:cs="Times New Roman"/>
          <w:sz w:val="24"/>
          <w:szCs w:val="24"/>
        </w:rPr>
        <w:t xml:space="preserve">art. 11 ust. 1 lit. d dyrektywy 2019/2162. Wskazać należy, że przepis </w:t>
      </w:r>
      <w:r w:rsidR="00C74A87" w:rsidRPr="008D7149">
        <w:rPr>
          <w:rFonts w:ascii="Times New Roman" w:hAnsi="Times New Roman" w:cs="Times New Roman"/>
          <w:sz w:val="24"/>
          <w:szCs w:val="24"/>
        </w:rPr>
        <w:t>ten</w:t>
      </w:r>
      <w:r w:rsidR="00FD7126" w:rsidRPr="008D7149">
        <w:rPr>
          <w:rFonts w:ascii="Times New Roman" w:hAnsi="Times New Roman" w:cs="Times New Roman"/>
          <w:sz w:val="24"/>
          <w:szCs w:val="24"/>
        </w:rPr>
        <w:t xml:space="preserve"> odnosi się do „stwierdzeni</w:t>
      </w:r>
      <w:r w:rsidR="00C74A87" w:rsidRPr="008D7149">
        <w:rPr>
          <w:rFonts w:ascii="Times New Roman" w:hAnsi="Times New Roman" w:cs="Times New Roman"/>
          <w:sz w:val="24"/>
          <w:szCs w:val="24"/>
        </w:rPr>
        <w:t>a</w:t>
      </w:r>
      <w:r w:rsidR="00FD7126" w:rsidRPr="008D7149">
        <w:rPr>
          <w:rFonts w:ascii="Times New Roman" w:hAnsi="Times New Roman" w:cs="Times New Roman"/>
          <w:sz w:val="24"/>
          <w:szCs w:val="24"/>
        </w:rPr>
        <w:t xml:space="preserve"> niewypłacalności” instytucji kredytowej, przy czym dyrektywa nie definiuje pojęcia niewypłacalności. Mając na uwadze, że niewypłacalność banku (instytucji kredytowej) na gruncie ustawy </w:t>
      </w:r>
      <w:r w:rsidR="00C74A87" w:rsidRPr="008D7149">
        <w:rPr>
          <w:rFonts w:ascii="Times New Roman" w:hAnsi="Times New Roman" w:cs="Times New Roman"/>
          <w:sz w:val="24"/>
          <w:szCs w:val="24"/>
        </w:rPr>
        <w:t xml:space="preserve">z dnia 29 sierpnia 1997 r. </w:t>
      </w:r>
      <w:r w:rsidR="00FD7126" w:rsidRPr="008D7149">
        <w:rPr>
          <w:rFonts w:ascii="Times New Roman" w:hAnsi="Times New Roman" w:cs="Times New Roman"/>
          <w:sz w:val="24"/>
          <w:szCs w:val="24"/>
        </w:rPr>
        <w:t>– Prawo bankowe stanowi przesłankę ogłoszenia jego upadłości, zgodnie z warunkami</w:t>
      </w:r>
      <w:r w:rsidR="00C74A87" w:rsidRPr="008D7149">
        <w:rPr>
          <w:rFonts w:ascii="Times New Roman" w:hAnsi="Times New Roman" w:cs="Times New Roman"/>
          <w:sz w:val="24"/>
          <w:szCs w:val="24"/>
        </w:rPr>
        <w:t>, o których mowa</w:t>
      </w:r>
      <w:r w:rsidR="00FD7126" w:rsidRPr="008D7149">
        <w:rPr>
          <w:rFonts w:ascii="Times New Roman" w:hAnsi="Times New Roman" w:cs="Times New Roman"/>
          <w:sz w:val="24"/>
          <w:szCs w:val="24"/>
        </w:rPr>
        <w:t xml:space="preserve"> w art. 158 tej ustawy, w projekcie zastosowano konstrukcję odwołującą się do ogłoszenia upadłości banku hipotecznego. Warto zaznaczyć, że </w:t>
      </w:r>
      <w:r w:rsidR="00C74A87" w:rsidRPr="008D7149">
        <w:rPr>
          <w:rFonts w:ascii="Times New Roman" w:hAnsi="Times New Roman" w:cs="Times New Roman"/>
          <w:sz w:val="24"/>
          <w:szCs w:val="24"/>
        </w:rPr>
        <w:t xml:space="preserve">ww. przepis </w:t>
      </w:r>
      <w:r w:rsidR="00FD7126" w:rsidRPr="008D7149">
        <w:rPr>
          <w:rFonts w:ascii="Times New Roman" w:hAnsi="Times New Roman" w:cs="Times New Roman"/>
          <w:sz w:val="24"/>
          <w:szCs w:val="24"/>
        </w:rPr>
        <w:t xml:space="preserve">dotyczy </w:t>
      </w:r>
      <w:r w:rsidR="00C74A87" w:rsidRPr="008D7149">
        <w:rPr>
          <w:rFonts w:ascii="Times New Roman" w:hAnsi="Times New Roman" w:cs="Times New Roman"/>
          <w:sz w:val="24"/>
          <w:szCs w:val="24"/>
        </w:rPr>
        <w:t xml:space="preserve">takiej </w:t>
      </w:r>
      <w:r w:rsidR="00FD7126" w:rsidRPr="008D7149">
        <w:rPr>
          <w:rFonts w:ascii="Times New Roman" w:hAnsi="Times New Roman" w:cs="Times New Roman"/>
          <w:sz w:val="24"/>
          <w:szCs w:val="24"/>
        </w:rPr>
        <w:t>sytuacji finansowej banku (hipotecznego), gdy według bilansu sporządzonego na koniec okresu sprawozdawczego aktywa banku nie wystarczają na zaspokojenie jego zobowiązań. Analogiczne rozumienie niewypłacalności banku</w:t>
      </w:r>
      <w:r w:rsidR="00C74A87" w:rsidRPr="008D7149">
        <w:rPr>
          <w:rFonts w:ascii="Times New Roman" w:hAnsi="Times New Roman" w:cs="Times New Roman"/>
          <w:sz w:val="24"/>
          <w:szCs w:val="24"/>
        </w:rPr>
        <w:t>,</w:t>
      </w:r>
      <w:r w:rsidR="00FD7126" w:rsidRPr="008D7149">
        <w:rPr>
          <w:rFonts w:ascii="Times New Roman" w:hAnsi="Times New Roman" w:cs="Times New Roman"/>
          <w:sz w:val="24"/>
          <w:szCs w:val="24"/>
        </w:rPr>
        <w:t xml:space="preserve"> tj. gdy według bilansu sporządzonego na koniec okresu sprawozdawczego aktywa banku nie wystarczają na zaspokojenie jego zobowiązań, występuje również na gruncie art. 426 ustawy </w:t>
      </w:r>
      <w:r w:rsidR="00C74A87" w:rsidRPr="008D7149">
        <w:rPr>
          <w:rFonts w:ascii="Times New Roman" w:hAnsi="Times New Roman" w:cs="Times New Roman"/>
          <w:sz w:val="24"/>
          <w:szCs w:val="24"/>
        </w:rPr>
        <w:t xml:space="preserve">z dnia 28 lutego 2003 r. </w:t>
      </w:r>
      <w:r w:rsidR="00FD7126" w:rsidRPr="008D7149">
        <w:rPr>
          <w:rFonts w:ascii="Times New Roman" w:hAnsi="Times New Roman" w:cs="Times New Roman"/>
          <w:sz w:val="24"/>
          <w:szCs w:val="24"/>
        </w:rPr>
        <w:t>– Prawo upadłościowe.</w:t>
      </w:r>
    </w:p>
    <w:p w14:paraId="3F92C440" w14:textId="47CA72C3" w:rsidR="0014016B"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Wycena instrumentów pochodnych </w:t>
      </w:r>
      <w:r w:rsidR="00F906E9" w:rsidRPr="008D7149">
        <w:rPr>
          <w:rFonts w:ascii="Times New Roman" w:hAnsi="Times New Roman" w:cs="Times New Roman"/>
          <w:sz w:val="24"/>
          <w:szCs w:val="24"/>
        </w:rPr>
        <w:t xml:space="preserve">będzie </w:t>
      </w:r>
      <w:r w:rsidR="00A61214" w:rsidRPr="008D7149">
        <w:rPr>
          <w:rFonts w:ascii="Times New Roman" w:hAnsi="Times New Roman" w:cs="Times New Roman"/>
          <w:sz w:val="24"/>
          <w:szCs w:val="24"/>
        </w:rPr>
        <w:t xml:space="preserve">dokonywana </w:t>
      </w:r>
      <w:r w:rsidRPr="008D7149">
        <w:rPr>
          <w:rFonts w:ascii="Times New Roman" w:hAnsi="Times New Roman" w:cs="Times New Roman"/>
          <w:sz w:val="24"/>
          <w:szCs w:val="24"/>
        </w:rPr>
        <w:t xml:space="preserve">zgodnie z przyjętymi przez bank hipoteczny zasadami </w:t>
      </w:r>
      <w:r w:rsidR="00403FD6" w:rsidRPr="008D7149">
        <w:rPr>
          <w:rFonts w:ascii="Times New Roman" w:hAnsi="Times New Roman" w:cs="Times New Roman"/>
          <w:sz w:val="24"/>
          <w:szCs w:val="24"/>
        </w:rPr>
        <w:t>(polityką</w:t>
      </w:r>
      <w:r w:rsidR="00A61214" w:rsidRPr="008D7149">
        <w:rPr>
          <w:rFonts w:ascii="Times New Roman" w:hAnsi="Times New Roman" w:cs="Times New Roman"/>
          <w:sz w:val="24"/>
          <w:szCs w:val="24"/>
        </w:rPr>
        <w:t xml:space="preserve">) </w:t>
      </w:r>
      <w:r w:rsidRPr="008D7149">
        <w:rPr>
          <w:rFonts w:ascii="Times New Roman" w:hAnsi="Times New Roman" w:cs="Times New Roman"/>
          <w:sz w:val="24"/>
          <w:szCs w:val="24"/>
        </w:rPr>
        <w:t>rachunkowości. Projektowane brzmienie art. 18a Ustawy określa również katalog podmiotów, które mogą być stroną umowy o instrument pochodny. Katalog kontrahentów, którzy mogą być stroną zawieranej przez bank hipoteczny umowy o instrument pochodny, podlegającej wpisaniu do rejestru zabezpieczenia listów zastawnych, został ograniczony do</w:t>
      </w:r>
      <w:r w:rsidR="00A32856" w:rsidRPr="008D7149">
        <w:rPr>
          <w:rFonts w:ascii="Times New Roman" w:hAnsi="Times New Roman" w:cs="Times New Roman"/>
          <w:sz w:val="24"/>
          <w:szCs w:val="24"/>
        </w:rPr>
        <w:t xml:space="preserve"> podmiotów nadzorowanych</w:t>
      </w:r>
      <w:r w:rsidR="00537852">
        <w:rPr>
          <w:rFonts w:ascii="Times New Roman" w:hAnsi="Times New Roman" w:cs="Times New Roman"/>
          <w:sz w:val="24"/>
          <w:szCs w:val="24"/>
        </w:rPr>
        <w:t>,</w:t>
      </w:r>
      <w:r w:rsidR="00A32856" w:rsidRPr="008D7149">
        <w:rPr>
          <w:rFonts w:ascii="Times New Roman" w:hAnsi="Times New Roman" w:cs="Times New Roman"/>
          <w:sz w:val="24"/>
          <w:szCs w:val="24"/>
        </w:rPr>
        <w:t xml:space="preserve"> </w:t>
      </w:r>
      <w:r w:rsidRPr="008D7149">
        <w:rPr>
          <w:rFonts w:ascii="Times New Roman" w:hAnsi="Times New Roman" w:cs="Times New Roman"/>
          <w:sz w:val="24"/>
          <w:szCs w:val="24"/>
        </w:rPr>
        <w:t>tj. banku krajowego (w</w:t>
      </w:r>
      <w:r w:rsidR="00537852">
        <w:rPr>
          <w:rFonts w:ascii="Times New Roman" w:hAnsi="Times New Roman" w:cs="Times New Roman"/>
          <w:sz w:val="24"/>
          <w:szCs w:val="24"/>
        </w:rPr>
        <w:t xml:space="preserve"> </w:t>
      </w:r>
      <w:r w:rsidRPr="008D7149">
        <w:rPr>
          <w:rFonts w:ascii="Times New Roman" w:hAnsi="Times New Roman" w:cs="Times New Roman"/>
          <w:sz w:val="24"/>
          <w:szCs w:val="24"/>
        </w:rPr>
        <w:t>rozumieniu art. 4 ust. 1 pkt 1 ustawy z dnia 29 sierpnia 1997 r. – Prawo bankowe), instytucji kredytowej (w rozumieniu art. 4 ust. 1 pkt 1</w:t>
      </w:r>
      <w:r w:rsidR="00102E8A" w:rsidRPr="008D7149">
        <w:rPr>
          <w:rFonts w:ascii="Times New Roman" w:hAnsi="Times New Roman" w:cs="Times New Roman"/>
          <w:sz w:val="24"/>
          <w:szCs w:val="24"/>
        </w:rPr>
        <w:t>7</w:t>
      </w:r>
      <w:r w:rsidRPr="008D7149">
        <w:rPr>
          <w:rFonts w:ascii="Times New Roman" w:hAnsi="Times New Roman" w:cs="Times New Roman"/>
          <w:sz w:val="24"/>
          <w:szCs w:val="24"/>
        </w:rPr>
        <w:t xml:space="preserve"> </w:t>
      </w:r>
      <w:r w:rsidR="00102E8A" w:rsidRPr="008D7149">
        <w:rPr>
          <w:rFonts w:ascii="Times New Roman" w:hAnsi="Times New Roman" w:cs="Times New Roman"/>
          <w:sz w:val="24"/>
          <w:szCs w:val="24"/>
        </w:rPr>
        <w:t>ustawy z dnia 29 sierpnia 1997 r. – Prawo bankowe</w:t>
      </w:r>
      <w:r w:rsidRPr="008D7149">
        <w:rPr>
          <w:rFonts w:ascii="Times New Roman" w:hAnsi="Times New Roman" w:cs="Times New Roman"/>
          <w:sz w:val="24"/>
          <w:szCs w:val="24"/>
        </w:rPr>
        <w:t>)</w:t>
      </w:r>
      <w:r w:rsidR="0047794D" w:rsidRPr="008D7149">
        <w:rPr>
          <w:rFonts w:ascii="Times New Roman" w:hAnsi="Times New Roman" w:cs="Times New Roman"/>
          <w:sz w:val="24"/>
          <w:szCs w:val="24"/>
        </w:rPr>
        <w:t xml:space="preserve">, domu maklerskiego (w rozumieniu </w:t>
      </w:r>
      <w:r w:rsidR="00282DA4" w:rsidRPr="008D7149">
        <w:rPr>
          <w:rFonts w:ascii="Times New Roman" w:hAnsi="Times New Roman" w:cs="Times New Roman"/>
          <w:sz w:val="24"/>
          <w:szCs w:val="24"/>
        </w:rPr>
        <w:t>art. 110a ust. 1 pkt 4 ustawy z dnia 29 lipca 2005 r. o obrocie instrumentami finansowymi</w:t>
      </w:r>
      <w:r w:rsidR="0047794D" w:rsidRPr="008D7149">
        <w:rPr>
          <w:rFonts w:ascii="Times New Roman" w:hAnsi="Times New Roman" w:cs="Times New Roman"/>
          <w:sz w:val="24"/>
          <w:szCs w:val="24"/>
        </w:rPr>
        <w:t>) oraz zagranicznej</w:t>
      </w:r>
      <w:r w:rsidRPr="008D7149">
        <w:rPr>
          <w:rFonts w:ascii="Times New Roman" w:hAnsi="Times New Roman" w:cs="Times New Roman"/>
          <w:sz w:val="24"/>
          <w:szCs w:val="24"/>
        </w:rPr>
        <w:t xml:space="preserve"> firmy inwestycyjnej (w rozumieniu art. 3 pkt 3</w:t>
      </w:r>
      <w:r w:rsidR="00043644" w:rsidRPr="008D7149">
        <w:rPr>
          <w:rFonts w:ascii="Times New Roman" w:hAnsi="Times New Roman" w:cs="Times New Roman"/>
          <w:sz w:val="24"/>
          <w:szCs w:val="24"/>
        </w:rPr>
        <w:t>2</w:t>
      </w:r>
      <w:r w:rsidRPr="008D7149">
        <w:rPr>
          <w:rFonts w:ascii="Times New Roman" w:hAnsi="Times New Roman" w:cs="Times New Roman"/>
          <w:sz w:val="24"/>
          <w:szCs w:val="24"/>
        </w:rPr>
        <w:t xml:space="preserve"> ustawy z dnia 29 lipca 2005 r. o obrocie instrumentami finansowymi), które muszą posiadać odpowiedni rating kredytowy.</w:t>
      </w:r>
      <w:r w:rsidR="00F70D76" w:rsidRPr="008D7149">
        <w:rPr>
          <w:rFonts w:ascii="Times New Roman" w:hAnsi="Times New Roman" w:cs="Times New Roman"/>
          <w:sz w:val="24"/>
          <w:szCs w:val="24"/>
        </w:rPr>
        <w:t xml:space="preserve"> Przyjęte kryteria</w:t>
      </w:r>
      <w:r w:rsidR="00A32856" w:rsidRPr="008D7149">
        <w:rPr>
          <w:rFonts w:ascii="Times New Roman" w:hAnsi="Times New Roman" w:cs="Times New Roman"/>
          <w:sz w:val="24"/>
          <w:szCs w:val="24"/>
        </w:rPr>
        <w:t xml:space="preserve"> kwalifikowalności, jakie muszą spełniać podmioty będące</w:t>
      </w:r>
      <w:r w:rsidR="00F70D76" w:rsidRPr="008D7149">
        <w:rPr>
          <w:rFonts w:ascii="Times New Roman" w:hAnsi="Times New Roman" w:cs="Times New Roman"/>
          <w:sz w:val="24"/>
          <w:szCs w:val="24"/>
        </w:rPr>
        <w:t xml:space="preserve"> stroną umowy o instrument pochodny</w:t>
      </w:r>
      <w:r w:rsidR="00F906E9" w:rsidRPr="008D7149">
        <w:rPr>
          <w:rFonts w:ascii="Times New Roman" w:hAnsi="Times New Roman" w:cs="Times New Roman"/>
          <w:sz w:val="24"/>
          <w:szCs w:val="24"/>
        </w:rPr>
        <w:t>,</w:t>
      </w:r>
      <w:r w:rsidR="00F70D76" w:rsidRPr="008D7149">
        <w:rPr>
          <w:rFonts w:ascii="Times New Roman" w:hAnsi="Times New Roman" w:cs="Times New Roman"/>
          <w:sz w:val="24"/>
          <w:szCs w:val="24"/>
        </w:rPr>
        <w:t xml:space="preserve"> zostały określone szczegółowo w </w:t>
      </w:r>
      <w:r w:rsidR="00F906E9" w:rsidRPr="008D7149">
        <w:rPr>
          <w:rFonts w:ascii="Times New Roman" w:hAnsi="Times New Roman" w:cs="Times New Roman"/>
          <w:sz w:val="24"/>
          <w:szCs w:val="24"/>
        </w:rPr>
        <w:t xml:space="preserve">projektowanym </w:t>
      </w:r>
      <w:r w:rsidR="00F70D76" w:rsidRPr="008D7149">
        <w:rPr>
          <w:rFonts w:ascii="Times New Roman" w:hAnsi="Times New Roman" w:cs="Times New Roman"/>
          <w:sz w:val="24"/>
          <w:szCs w:val="24"/>
        </w:rPr>
        <w:t>art. 18a ust. 1 pkt 3</w:t>
      </w:r>
      <w:r w:rsidR="00F906E9" w:rsidRPr="008D7149">
        <w:rPr>
          <w:rFonts w:ascii="Times New Roman" w:hAnsi="Times New Roman" w:cs="Times New Roman"/>
          <w:sz w:val="24"/>
          <w:szCs w:val="24"/>
        </w:rPr>
        <w:t xml:space="preserve"> Ustawy</w:t>
      </w:r>
      <w:r w:rsidR="00A32856" w:rsidRPr="008D7149">
        <w:rPr>
          <w:rFonts w:ascii="Times New Roman" w:hAnsi="Times New Roman" w:cs="Times New Roman"/>
          <w:sz w:val="24"/>
          <w:szCs w:val="24"/>
        </w:rPr>
        <w:t>.</w:t>
      </w:r>
    </w:p>
    <w:p w14:paraId="7C7FA217" w14:textId="38E302FC"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 katalogu podmiotów, z którymi bank hipoteczny może zawrzeć umowę o instrument pochodny</w:t>
      </w:r>
      <w:r w:rsidR="00537852">
        <w:rPr>
          <w:rFonts w:ascii="Times New Roman" w:hAnsi="Times New Roman" w:cs="Times New Roman"/>
          <w:sz w:val="24"/>
          <w:szCs w:val="24"/>
        </w:rPr>
        <w:t>,</w:t>
      </w:r>
      <w:r w:rsidRPr="008D7149">
        <w:rPr>
          <w:rFonts w:ascii="Times New Roman" w:hAnsi="Times New Roman" w:cs="Times New Roman"/>
          <w:sz w:val="24"/>
          <w:szCs w:val="24"/>
        </w:rPr>
        <w:t xml:space="preserve"> zostały wyłączone podmioty, wobec których toczy się postępowanie restrukturyzacyjne na podstawie przepisów ustawy z dnia 15 maja 2015 r. </w:t>
      </w:r>
      <w:r w:rsidR="004362A8" w:rsidRPr="008D7149">
        <w:rPr>
          <w:rFonts w:ascii="Times New Roman" w:hAnsi="Times New Roman" w:cs="Times New Roman"/>
          <w:sz w:val="24"/>
          <w:szCs w:val="24"/>
        </w:rPr>
        <w:t>–</w:t>
      </w:r>
      <w:r w:rsidRPr="008D7149">
        <w:rPr>
          <w:rFonts w:ascii="Times New Roman" w:hAnsi="Times New Roman" w:cs="Times New Roman"/>
          <w:sz w:val="24"/>
          <w:szCs w:val="24"/>
        </w:rPr>
        <w:t xml:space="preserve"> Prawo restrukturyzacyjne, podmioty znajdujące się w likwidacji lub w upadłości</w:t>
      </w:r>
      <w:r w:rsidR="0047794D" w:rsidRPr="008D7149">
        <w:rPr>
          <w:rFonts w:ascii="Times New Roman" w:hAnsi="Times New Roman" w:cs="Times New Roman"/>
          <w:sz w:val="24"/>
          <w:szCs w:val="24"/>
        </w:rPr>
        <w:t>, podmioty</w:t>
      </w:r>
      <w:r w:rsidR="00537852">
        <w:rPr>
          <w:rFonts w:ascii="Times New Roman" w:hAnsi="Times New Roman" w:cs="Times New Roman"/>
          <w:sz w:val="24"/>
          <w:szCs w:val="24"/>
        </w:rPr>
        <w:t>,</w:t>
      </w:r>
      <w:r w:rsidR="0047794D" w:rsidRPr="008D7149">
        <w:rPr>
          <w:rFonts w:ascii="Times New Roman" w:hAnsi="Times New Roman" w:cs="Times New Roman"/>
          <w:sz w:val="24"/>
          <w:szCs w:val="24"/>
        </w:rPr>
        <w:t xml:space="preserve"> w </w:t>
      </w:r>
      <w:r w:rsidR="0047794D" w:rsidRPr="008D7149">
        <w:rPr>
          <w:rFonts w:ascii="Times New Roman" w:hAnsi="Times New Roman" w:cs="Times New Roman"/>
          <w:sz w:val="24"/>
          <w:szCs w:val="24"/>
        </w:rPr>
        <w:lastRenderedPageBreak/>
        <w:t xml:space="preserve">stosunku do których oddalono wniosek o ogłoszenie upadłości na podstawie art. 13 ust. 1 lub 2 ustawy z dnia 28 lutego 2003 r. – Prawo upadłościowe, </w:t>
      </w:r>
      <w:r w:rsidR="00B175A8" w:rsidRPr="008D7149">
        <w:rPr>
          <w:rFonts w:ascii="Times New Roman" w:hAnsi="Times New Roman" w:cs="Times New Roman"/>
          <w:sz w:val="24"/>
          <w:szCs w:val="24"/>
        </w:rPr>
        <w:t xml:space="preserve">a także </w:t>
      </w:r>
      <w:r w:rsidRPr="008D7149">
        <w:rPr>
          <w:rFonts w:ascii="Times New Roman" w:hAnsi="Times New Roman" w:cs="Times New Roman"/>
          <w:sz w:val="24"/>
          <w:szCs w:val="24"/>
        </w:rPr>
        <w:t>podmiot w</w:t>
      </w:r>
      <w:r w:rsidR="00537852">
        <w:rPr>
          <w:rFonts w:ascii="Times New Roman" w:hAnsi="Times New Roman" w:cs="Times New Roman"/>
          <w:sz w:val="24"/>
          <w:szCs w:val="24"/>
        </w:rPr>
        <w:t xml:space="preserve"> </w:t>
      </w:r>
      <w:r w:rsidRPr="008D7149">
        <w:rPr>
          <w:rFonts w:ascii="Times New Roman" w:hAnsi="Times New Roman" w:cs="Times New Roman"/>
          <w:sz w:val="24"/>
          <w:szCs w:val="24"/>
        </w:rPr>
        <w:t xml:space="preserve">przymusowej restrukturyzacji, o którym mowa w art. 2 pkt 44 ustawy </w:t>
      </w:r>
      <w:r w:rsidR="00A05B34" w:rsidRPr="008D7149">
        <w:rPr>
          <w:rFonts w:ascii="Times New Roman" w:hAnsi="Times New Roman" w:cs="Times New Roman"/>
          <w:sz w:val="24"/>
          <w:szCs w:val="24"/>
        </w:rPr>
        <w:t>o BFG</w:t>
      </w:r>
      <w:r w:rsidRPr="008D7149">
        <w:rPr>
          <w:rFonts w:ascii="Times New Roman" w:hAnsi="Times New Roman" w:cs="Times New Roman"/>
          <w:sz w:val="24"/>
          <w:szCs w:val="24"/>
        </w:rPr>
        <w:t>.</w:t>
      </w:r>
    </w:p>
    <w:p w14:paraId="477A3A33" w14:textId="77777777" w:rsidR="00EF441C" w:rsidRPr="008D7149" w:rsidRDefault="00EF441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transponowanym art. 11 ust. 1 lit. b oraz ust. 2 lit. b dyrektywy 2019/2162 niezbędnym wymogiem jest odpowiednie udokumentowanie instrumentów pochodnych zaliczonych do puli aktywów, co ma na celu przede wszystkim </w:t>
      </w:r>
      <w:r w:rsidR="00D104DA" w:rsidRPr="008D7149">
        <w:rPr>
          <w:rFonts w:ascii="Times New Roman" w:hAnsi="Times New Roman" w:cs="Times New Roman"/>
          <w:sz w:val="24"/>
          <w:szCs w:val="24"/>
        </w:rPr>
        <w:t xml:space="preserve">umożliwienie </w:t>
      </w:r>
      <w:r w:rsidRPr="008D7149">
        <w:rPr>
          <w:rFonts w:ascii="Times New Roman" w:hAnsi="Times New Roman" w:cs="Times New Roman"/>
          <w:sz w:val="24"/>
          <w:szCs w:val="24"/>
        </w:rPr>
        <w:t>identyfikacj</w:t>
      </w:r>
      <w:r w:rsidR="00D104DA" w:rsidRPr="008D7149">
        <w:rPr>
          <w:rFonts w:ascii="Times New Roman" w:hAnsi="Times New Roman" w:cs="Times New Roman"/>
          <w:sz w:val="24"/>
          <w:szCs w:val="24"/>
        </w:rPr>
        <w:t>i</w:t>
      </w:r>
      <w:r w:rsidRPr="008D7149">
        <w:rPr>
          <w:rFonts w:ascii="Times New Roman" w:hAnsi="Times New Roman" w:cs="Times New Roman"/>
          <w:sz w:val="24"/>
          <w:szCs w:val="24"/>
        </w:rPr>
        <w:t xml:space="preserve"> rodzaju zabezpieczanego ryzyka oraz spełnienia pozostałych wymogów dla instrumentów pochodnych określonych przepisami prawa</w:t>
      </w:r>
      <w:r w:rsidR="009A56EA" w:rsidRPr="008D7149">
        <w:rPr>
          <w:rFonts w:ascii="Times New Roman" w:hAnsi="Times New Roman" w:cs="Times New Roman"/>
          <w:sz w:val="24"/>
          <w:szCs w:val="24"/>
        </w:rPr>
        <w:t xml:space="preserve"> (</w:t>
      </w:r>
      <w:r w:rsidR="00F906E9" w:rsidRPr="008D7149">
        <w:rPr>
          <w:rFonts w:ascii="Times New Roman" w:hAnsi="Times New Roman" w:cs="Times New Roman"/>
          <w:sz w:val="24"/>
          <w:szCs w:val="24"/>
        </w:rPr>
        <w:t xml:space="preserve">projektowany </w:t>
      </w:r>
      <w:r w:rsidR="009A56EA" w:rsidRPr="008D7149">
        <w:rPr>
          <w:rFonts w:ascii="Times New Roman" w:hAnsi="Times New Roman" w:cs="Times New Roman"/>
          <w:b/>
          <w:sz w:val="24"/>
          <w:szCs w:val="24"/>
        </w:rPr>
        <w:t>art. 18a ust. 2 i 3</w:t>
      </w:r>
      <w:r w:rsidR="009A56EA" w:rsidRPr="008D7149">
        <w:rPr>
          <w:rFonts w:ascii="Times New Roman" w:hAnsi="Times New Roman" w:cs="Times New Roman"/>
          <w:sz w:val="24"/>
          <w:szCs w:val="24"/>
        </w:rPr>
        <w:t xml:space="preserve"> Ustawy)</w:t>
      </w:r>
      <w:r w:rsidR="001A6FA8" w:rsidRPr="008D7149">
        <w:rPr>
          <w:rFonts w:ascii="Times New Roman" w:hAnsi="Times New Roman" w:cs="Times New Roman"/>
          <w:sz w:val="24"/>
          <w:szCs w:val="24"/>
        </w:rPr>
        <w:t>.</w:t>
      </w:r>
    </w:p>
    <w:p w14:paraId="1FB3A4AF" w14:textId="38299321" w:rsidR="00EF441C" w:rsidRPr="008D7149" w:rsidRDefault="003C1EBF"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Na podstawie</w:t>
      </w:r>
      <w:r w:rsidR="00EF441C" w:rsidRPr="008D7149">
        <w:rPr>
          <w:rFonts w:ascii="Times New Roman" w:hAnsi="Times New Roman" w:cs="Times New Roman"/>
          <w:szCs w:val="24"/>
        </w:rPr>
        <w:t xml:space="preserve"> </w:t>
      </w:r>
      <w:r w:rsidRPr="008D7149">
        <w:rPr>
          <w:rFonts w:ascii="Times New Roman" w:hAnsi="Times New Roman" w:cs="Times New Roman"/>
          <w:szCs w:val="24"/>
        </w:rPr>
        <w:t xml:space="preserve">projektowanego brzmienia </w:t>
      </w:r>
      <w:r w:rsidR="00EF441C" w:rsidRPr="008D7149">
        <w:rPr>
          <w:rFonts w:ascii="Times New Roman" w:hAnsi="Times New Roman" w:cs="Times New Roman"/>
          <w:b/>
          <w:szCs w:val="24"/>
        </w:rPr>
        <w:t xml:space="preserve">art. 20a </w:t>
      </w:r>
      <w:r w:rsidR="00EF441C" w:rsidRPr="008D7149">
        <w:rPr>
          <w:rFonts w:ascii="Times New Roman" w:hAnsi="Times New Roman" w:cs="Times New Roman"/>
          <w:szCs w:val="24"/>
        </w:rPr>
        <w:t>Ustawy</w:t>
      </w:r>
      <w:r w:rsidR="00EF441C" w:rsidRPr="008D7149">
        <w:rPr>
          <w:rFonts w:ascii="Times New Roman" w:hAnsi="Times New Roman" w:cs="Times New Roman"/>
          <w:b/>
          <w:szCs w:val="24"/>
        </w:rPr>
        <w:t xml:space="preserve"> </w:t>
      </w:r>
      <w:r w:rsidR="00EF441C" w:rsidRPr="008D7149">
        <w:rPr>
          <w:rFonts w:ascii="Times New Roman" w:hAnsi="Times New Roman" w:cs="Times New Roman"/>
          <w:szCs w:val="24"/>
        </w:rPr>
        <w:t xml:space="preserve">bank hipoteczny </w:t>
      </w:r>
      <w:r w:rsidR="00537852" w:rsidRPr="008D7149">
        <w:rPr>
          <w:rFonts w:ascii="Times New Roman" w:hAnsi="Times New Roman" w:cs="Times New Roman"/>
          <w:szCs w:val="24"/>
        </w:rPr>
        <w:t xml:space="preserve">jest </w:t>
      </w:r>
      <w:r w:rsidR="00EF441C" w:rsidRPr="008D7149">
        <w:rPr>
          <w:rFonts w:ascii="Times New Roman" w:hAnsi="Times New Roman" w:cs="Times New Roman"/>
          <w:szCs w:val="24"/>
        </w:rPr>
        <w:t>obowiązany opracować i wdrożyć procedury monitorowania utrzymywania ciągłości ubezpieczenia od zdarzeń losowych nieruchomości stanowiących zabezpieczenie wierzytelności banku hipotecznego emitującego listy zastawne, przez cały okres w</w:t>
      </w:r>
      <w:r w:rsidR="00537852">
        <w:rPr>
          <w:rFonts w:ascii="Times New Roman" w:hAnsi="Times New Roman" w:cs="Times New Roman"/>
          <w:szCs w:val="24"/>
        </w:rPr>
        <w:t xml:space="preserve"> </w:t>
      </w:r>
      <w:r w:rsidR="00EF441C" w:rsidRPr="008D7149">
        <w:rPr>
          <w:rFonts w:ascii="Times New Roman" w:hAnsi="Times New Roman" w:cs="Times New Roman"/>
          <w:szCs w:val="24"/>
        </w:rPr>
        <w:t>którym wierzytelności te wpisane są do rejestru zabezpieczenia listów zastawnych. Przedmiotowa regulacja wynika z transpozycji art. 6 ust. 6 dyrektywy 2019/2162 (na gruncie Ustawy „nieruchomości” są rzeczowymi aktywami zabezpieczającymi w rozumieniu dyrektywy 2019/2162).</w:t>
      </w:r>
    </w:p>
    <w:p w14:paraId="2004DB73" w14:textId="77777777" w:rsidR="0027459D" w:rsidRPr="008D7149" w:rsidRDefault="00EF441C"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Projektowane brzmienie</w:t>
      </w:r>
      <w:r w:rsidRPr="008D7149">
        <w:rPr>
          <w:rFonts w:ascii="Times New Roman" w:hAnsi="Times New Roman" w:cs="Times New Roman"/>
          <w:b/>
          <w:szCs w:val="24"/>
        </w:rPr>
        <w:t xml:space="preserve"> art. 21a</w:t>
      </w:r>
      <w:r w:rsidRPr="008D7149">
        <w:rPr>
          <w:rFonts w:ascii="Times New Roman" w:hAnsi="Times New Roman" w:cs="Times New Roman"/>
          <w:szCs w:val="24"/>
        </w:rPr>
        <w:t xml:space="preserve"> Ustawy przewiduje nałożenie na bank hipoteczny obowiązku </w:t>
      </w:r>
      <w:r w:rsidR="00B30271" w:rsidRPr="008D7149">
        <w:rPr>
          <w:rFonts w:ascii="Times New Roman" w:hAnsi="Times New Roman" w:cs="Times New Roman"/>
          <w:szCs w:val="24"/>
        </w:rPr>
        <w:t>posiadania rozwiązań zapewniających</w:t>
      </w:r>
      <w:r w:rsidR="0027459D" w:rsidRPr="008D7149">
        <w:rPr>
          <w:rFonts w:ascii="Times New Roman" w:hAnsi="Times New Roman" w:cs="Times New Roman"/>
          <w:szCs w:val="24"/>
        </w:rPr>
        <w:t xml:space="preserve"> ustalanie terminu wykupu wyemitowanych listów zastawnych według stanu na każdy kolejny dzień oddzielnie, w szczególności w ramach funkcjonującego w banku hipotecznym systemu informatycznego.</w:t>
      </w:r>
    </w:p>
    <w:p w14:paraId="7563800C" w14:textId="09287987" w:rsidR="00EF441C" w:rsidRPr="008D7149" w:rsidRDefault="00EF441C"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Proponowane rozwiązanie ma charakter proceduralny w odniesieniu do rozwiązań dyrektywy 2019/2162, ponieważ właściwe monitorowanie terminu wykupu listów zastawnych ma znaczenie w kontekście wypełniania wymogów określonych w Ustawie, w szczególności określonych w art. 18 Ustawy.</w:t>
      </w:r>
    </w:p>
    <w:p w14:paraId="4341986F" w14:textId="2DFE3933" w:rsidR="0064484F"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Nowelizacja </w:t>
      </w:r>
      <w:r w:rsidRPr="008D7149">
        <w:rPr>
          <w:rFonts w:ascii="Times New Roman" w:hAnsi="Times New Roman" w:cs="Times New Roman"/>
          <w:b/>
          <w:sz w:val="24"/>
          <w:szCs w:val="24"/>
        </w:rPr>
        <w:t>art. 24</w:t>
      </w:r>
      <w:r w:rsidR="003C1EBF" w:rsidRPr="008D7149">
        <w:rPr>
          <w:rFonts w:ascii="Times New Roman" w:hAnsi="Times New Roman" w:cs="Times New Roman"/>
          <w:b/>
          <w:sz w:val="24"/>
          <w:szCs w:val="24"/>
        </w:rPr>
        <w:t xml:space="preserve"> </w:t>
      </w:r>
      <w:r w:rsidR="003C1EBF" w:rsidRPr="008D7149">
        <w:rPr>
          <w:rFonts w:ascii="Times New Roman" w:hAnsi="Times New Roman" w:cs="Times New Roman"/>
          <w:sz w:val="24"/>
          <w:szCs w:val="24"/>
        </w:rPr>
        <w:t>Ustawy,</w:t>
      </w:r>
      <w:r w:rsidR="00D5712A" w:rsidRPr="008D7149">
        <w:rPr>
          <w:rFonts w:ascii="Times New Roman" w:hAnsi="Times New Roman" w:cs="Times New Roman"/>
          <w:sz w:val="24"/>
          <w:szCs w:val="24"/>
        </w:rPr>
        <w:t xml:space="preserve"> polegająca</w:t>
      </w:r>
      <w:r w:rsidR="00D104DA" w:rsidRPr="008D7149">
        <w:rPr>
          <w:rFonts w:ascii="Times New Roman" w:hAnsi="Times New Roman" w:cs="Times New Roman"/>
          <w:sz w:val="24"/>
          <w:szCs w:val="24"/>
        </w:rPr>
        <w:t xml:space="preserve"> na </w:t>
      </w:r>
      <w:r w:rsidR="00A945BF" w:rsidRPr="008D7149">
        <w:rPr>
          <w:rFonts w:ascii="Times New Roman" w:hAnsi="Times New Roman" w:cs="Times New Roman"/>
          <w:sz w:val="24"/>
          <w:szCs w:val="24"/>
        </w:rPr>
        <w:t xml:space="preserve">uchyleniu </w:t>
      </w:r>
      <w:r w:rsidR="00D104DA" w:rsidRPr="008D7149">
        <w:rPr>
          <w:rFonts w:ascii="Times New Roman" w:hAnsi="Times New Roman" w:cs="Times New Roman"/>
          <w:sz w:val="24"/>
          <w:szCs w:val="24"/>
        </w:rPr>
        <w:t>ust. 2</w:t>
      </w:r>
      <w:r w:rsidR="00D5712A" w:rsidRPr="008D7149">
        <w:rPr>
          <w:rFonts w:ascii="Times New Roman" w:hAnsi="Times New Roman" w:cs="Times New Roman"/>
          <w:sz w:val="24"/>
          <w:szCs w:val="24"/>
        </w:rPr>
        <w:t>,</w:t>
      </w:r>
      <w:r w:rsidR="00D104DA" w:rsidRPr="008D7149">
        <w:rPr>
          <w:rFonts w:ascii="Times New Roman" w:hAnsi="Times New Roman" w:cs="Times New Roman"/>
          <w:sz w:val="24"/>
          <w:szCs w:val="24"/>
        </w:rPr>
        <w:t xml:space="preserve"> </w:t>
      </w:r>
      <w:r w:rsidR="0096490B" w:rsidRPr="008D7149">
        <w:rPr>
          <w:rFonts w:ascii="Times New Roman" w:hAnsi="Times New Roman" w:cs="Times New Roman"/>
          <w:sz w:val="24"/>
          <w:szCs w:val="24"/>
        </w:rPr>
        <w:t xml:space="preserve">wprowadza likwidację obowiązku ujawniania informacji w księdze wieczystej o wpisaniu wierzytelności do rejestru zabezpieczenia hipotecznych listów zastawnych. </w:t>
      </w:r>
      <w:r w:rsidR="0064484F" w:rsidRPr="008D7149">
        <w:rPr>
          <w:rFonts w:ascii="Times New Roman" w:hAnsi="Times New Roman" w:cs="Times New Roman"/>
          <w:sz w:val="24"/>
          <w:szCs w:val="24"/>
        </w:rPr>
        <w:t>Wymaga zauważenia, ż</w:t>
      </w:r>
      <w:r w:rsidR="00537852">
        <w:rPr>
          <w:rFonts w:ascii="Times New Roman" w:hAnsi="Times New Roman" w:cs="Times New Roman"/>
          <w:sz w:val="24"/>
          <w:szCs w:val="24"/>
        </w:rPr>
        <w:t>e</w:t>
      </w:r>
      <w:r w:rsidR="0064484F" w:rsidRPr="008D7149">
        <w:rPr>
          <w:rFonts w:ascii="Times New Roman" w:hAnsi="Times New Roman" w:cs="Times New Roman"/>
          <w:sz w:val="24"/>
          <w:szCs w:val="24"/>
        </w:rPr>
        <w:t xml:space="preserve"> powyższa regulacja była powiązana ze zniesionym </w:t>
      </w:r>
      <w:r w:rsidR="008D582C" w:rsidRPr="008D7149">
        <w:rPr>
          <w:rFonts w:ascii="Times New Roman" w:hAnsi="Times New Roman" w:cs="Times New Roman"/>
          <w:sz w:val="24"/>
          <w:szCs w:val="24"/>
        </w:rPr>
        <w:t xml:space="preserve">już </w:t>
      </w:r>
      <w:r w:rsidR="0064484F" w:rsidRPr="008D7149">
        <w:rPr>
          <w:rFonts w:ascii="Times New Roman" w:hAnsi="Times New Roman" w:cs="Times New Roman"/>
          <w:sz w:val="24"/>
          <w:szCs w:val="24"/>
        </w:rPr>
        <w:t xml:space="preserve">uprawnieniem banków hipotecznych do bezwzględnego pierwszeństwa zaspokojenia roszczeń przed innymi wierzycielami w postępowaniu egzekucyjnym prowadzonym na podstawie art. 1025 </w:t>
      </w:r>
      <w:r w:rsidR="009E7012" w:rsidRPr="008D7149">
        <w:rPr>
          <w:rFonts w:ascii="Times New Roman" w:hAnsi="Times New Roman" w:cs="Times New Roman"/>
          <w:sz w:val="24"/>
          <w:szCs w:val="24"/>
        </w:rPr>
        <w:t xml:space="preserve">ustawy </w:t>
      </w:r>
      <w:r w:rsidR="003C1EBF" w:rsidRPr="008D7149">
        <w:rPr>
          <w:rFonts w:ascii="Times New Roman" w:hAnsi="Times New Roman" w:cs="Times New Roman"/>
          <w:sz w:val="24"/>
          <w:szCs w:val="24"/>
        </w:rPr>
        <w:t xml:space="preserve">z dnia 17 listopada 1964 r. </w:t>
      </w:r>
      <w:r w:rsidR="005E4C39" w:rsidRPr="008D7149">
        <w:rPr>
          <w:rFonts w:ascii="Times New Roman" w:hAnsi="Times New Roman" w:cs="Times New Roman"/>
          <w:sz w:val="24"/>
          <w:szCs w:val="24"/>
        </w:rPr>
        <w:t>–</w:t>
      </w:r>
      <w:r w:rsidR="003C1EBF" w:rsidRPr="008D7149">
        <w:rPr>
          <w:rFonts w:ascii="Times New Roman" w:hAnsi="Times New Roman" w:cs="Times New Roman"/>
          <w:sz w:val="24"/>
          <w:szCs w:val="24"/>
        </w:rPr>
        <w:t xml:space="preserve"> </w:t>
      </w:r>
      <w:r w:rsidR="009E7012" w:rsidRPr="00537852">
        <w:rPr>
          <w:rFonts w:ascii="Times New Roman" w:hAnsi="Times New Roman" w:cs="Times New Roman"/>
          <w:sz w:val="24"/>
          <w:szCs w:val="24"/>
        </w:rPr>
        <w:t xml:space="preserve">Kodeks </w:t>
      </w:r>
      <w:r w:rsidR="0064484F" w:rsidRPr="00537852">
        <w:rPr>
          <w:rFonts w:ascii="Times New Roman" w:hAnsi="Times New Roman" w:cs="Times New Roman"/>
          <w:sz w:val="24"/>
          <w:szCs w:val="24"/>
        </w:rPr>
        <w:t>postępowania cywilnego</w:t>
      </w:r>
      <w:r w:rsidR="00537852">
        <w:rPr>
          <w:rFonts w:ascii="Times New Roman" w:hAnsi="Times New Roman" w:cs="Times New Roman"/>
          <w:sz w:val="24"/>
          <w:szCs w:val="24"/>
        </w:rPr>
        <w:t xml:space="preserve"> (Dz. U. z 2021 r. poz. 1805, z późn. zm.)</w:t>
      </w:r>
      <w:r w:rsidR="0064484F" w:rsidRPr="00537852">
        <w:rPr>
          <w:rFonts w:ascii="Times New Roman" w:hAnsi="Times New Roman" w:cs="Times New Roman"/>
          <w:sz w:val="24"/>
          <w:szCs w:val="24"/>
        </w:rPr>
        <w:t xml:space="preserve">. Przepis </w:t>
      </w:r>
      <w:r w:rsidR="0064484F" w:rsidRPr="008D7149">
        <w:rPr>
          <w:rFonts w:ascii="Times New Roman" w:hAnsi="Times New Roman" w:cs="Times New Roman"/>
          <w:sz w:val="24"/>
          <w:szCs w:val="24"/>
        </w:rPr>
        <w:t xml:space="preserve">art. 24 ust. 2 </w:t>
      </w:r>
      <w:r w:rsidR="00BD45BC" w:rsidRPr="008D7149">
        <w:rPr>
          <w:rFonts w:ascii="Times New Roman" w:hAnsi="Times New Roman" w:cs="Times New Roman"/>
          <w:sz w:val="24"/>
          <w:szCs w:val="24"/>
        </w:rPr>
        <w:t xml:space="preserve">Ustawy </w:t>
      </w:r>
      <w:r w:rsidR="0064484F" w:rsidRPr="008D7149">
        <w:rPr>
          <w:rFonts w:ascii="Times New Roman" w:hAnsi="Times New Roman" w:cs="Times New Roman"/>
          <w:sz w:val="24"/>
          <w:szCs w:val="24"/>
        </w:rPr>
        <w:t xml:space="preserve">określał obowiązek </w:t>
      </w:r>
      <w:r w:rsidR="009E7012" w:rsidRPr="008D7149">
        <w:rPr>
          <w:rFonts w:ascii="Times New Roman" w:hAnsi="Times New Roman" w:cs="Times New Roman"/>
          <w:sz w:val="24"/>
          <w:szCs w:val="24"/>
        </w:rPr>
        <w:t xml:space="preserve">ujawnienia informacji o takim pierwszeństwie w księdze wieczystej, natomiast wobec jego zniesienia zamieszczenie tego rodzaju informacji w </w:t>
      </w:r>
      <w:r w:rsidR="009E7012" w:rsidRPr="008D7149">
        <w:rPr>
          <w:rFonts w:ascii="Times New Roman" w:hAnsi="Times New Roman" w:cs="Times New Roman"/>
          <w:sz w:val="24"/>
          <w:szCs w:val="24"/>
        </w:rPr>
        <w:lastRenderedPageBreak/>
        <w:t>przypadku banków hipotecznych stało się bezprzedmiotowe. Podkreślić należy, że zgodnie z art. 20 ust. 1 Ustawy wierzytelność banku hipotecznego, która ma być wpisana do rejestru zabezpieczenia hipotecznych listów zastawnych, może być zabezpieczona wyłącznie hipoteką wpisaną w księdze wieczystej na pierwszym miejscu.</w:t>
      </w:r>
    </w:p>
    <w:p w14:paraId="7A9B8D66" w14:textId="43845893" w:rsidR="00EF441C" w:rsidRPr="008D7149" w:rsidRDefault="0096490B"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t>
      </w:r>
      <w:r w:rsidR="00A945BF" w:rsidRPr="008D7149">
        <w:rPr>
          <w:rFonts w:ascii="Times New Roman" w:hAnsi="Times New Roman" w:cs="Times New Roman"/>
          <w:b/>
          <w:sz w:val="24"/>
          <w:szCs w:val="24"/>
        </w:rPr>
        <w:t xml:space="preserve">w </w:t>
      </w:r>
      <w:r w:rsidR="008D582C" w:rsidRPr="008D7149">
        <w:rPr>
          <w:rFonts w:ascii="Times New Roman" w:hAnsi="Times New Roman" w:cs="Times New Roman"/>
          <w:b/>
          <w:sz w:val="24"/>
          <w:szCs w:val="24"/>
        </w:rPr>
        <w:t xml:space="preserve">art. 24 </w:t>
      </w:r>
      <w:r w:rsidR="00EF441C" w:rsidRPr="008D7149">
        <w:rPr>
          <w:rFonts w:ascii="Times New Roman" w:hAnsi="Times New Roman" w:cs="Times New Roman"/>
          <w:b/>
          <w:sz w:val="24"/>
          <w:szCs w:val="24"/>
        </w:rPr>
        <w:t>ust. 2a pkt 1</w:t>
      </w:r>
      <w:r w:rsidR="00EF441C"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ww. artykułu </w:t>
      </w:r>
      <w:r w:rsidR="00EF441C" w:rsidRPr="008D7149">
        <w:rPr>
          <w:rFonts w:ascii="Times New Roman" w:hAnsi="Times New Roman" w:cs="Times New Roman"/>
          <w:sz w:val="24"/>
          <w:szCs w:val="24"/>
        </w:rPr>
        <w:t xml:space="preserve">Ustawy ma </w:t>
      </w:r>
      <w:r w:rsidR="00C7239C" w:rsidRPr="008D7149">
        <w:rPr>
          <w:rFonts w:ascii="Times New Roman" w:hAnsi="Times New Roman" w:cs="Times New Roman"/>
          <w:sz w:val="24"/>
          <w:szCs w:val="24"/>
        </w:rPr>
        <w:t>natomiast</w:t>
      </w:r>
      <w:r w:rsidR="00A06465" w:rsidRPr="008D7149">
        <w:rPr>
          <w:rFonts w:ascii="Times New Roman" w:hAnsi="Times New Roman" w:cs="Times New Roman"/>
          <w:sz w:val="24"/>
          <w:szCs w:val="24"/>
        </w:rPr>
        <w:t xml:space="preserve"> </w:t>
      </w:r>
      <w:r w:rsidR="00EF441C" w:rsidRPr="008D7149">
        <w:rPr>
          <w:rFonts w:ascii="Times New Roman" w:hAnsi="Times New Roman" w:cs="Times New Roman"/>
          <w:sz w:val="24"/>
          <w:szCs w:val="24"/>
        </w:rPr>
        <w:t>charakter porządkujący i jest związana ze zmianą terminologii dotyczącej instrumentów pochodnych.</w:t>
      </w:r>
    </w:p>
    <w:p w14:paraId="7417DF09" w14:textId="77777777" w:rsidR="00E76630" w:rsidRPr="008D7149" w:rsidRDefault="00A81C18"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 xml:space="preserve">art. 25 ust. 2 pkt 2 </w:t>
      </w:r>
      <w:r w:rsidRPr="008D7149">
        <w:rPr>
          <w:rFonts w:ascii="Times New Roman" w:hAnsi="Times New Roman" w:cs="Times New Roman"/>
          <w:sz w:val="24"/>
          <w:szCs w:val="24"/>
        </w:rPr>
        <w:t xml:space="preserve">Ustawy ma charakter dostosowujący i wynika z przeniesienia wskazania aktu promulgacyjnego </w:t>
      </w:r>
      <w:r w:rsidR="00656F70" w:rsidRPr="008D7149">
        <w:rPr>
          <w:rFonts w:ascii="Times New Roman" w:hAnsi="Times New Roman" w:cs="Times New Roman"/>
          <w:sz w:val="24"/>
          <w:szCs w:val="24"/>
        </w:rPr>
        <w:t xml:space="preserve">ustawy </w:t>
      </w:r>
      <w:r w:rsidRPr="008D7149">
        <w:rPr>
          <w:rFonts w:ascii="Times New Roman" w:hAnsi="Times New Roman" w:cs="Times New Roman"/>
          <w:sz w:val="24"/>
          <w:szCs w:val="24"/>
        </w:rPr>
        <w:t xml:space="preserve">z dnia 28 lutego 2003 r. </w:t>
      </w:r>
      <w:r w:rsidR="00B9137C" w:rsidRPr="008D7149">
        <w:rPr>
          <w:rFonts w:ascii="Times New Roman" w:hAnsi="Times New Roman" w:cs="Times New Roman"/>
          <w:sz w:val="24"/>
          <w:szCs w:val="24"/>
        </w:rPr>
        <w:t>–</w:t>
      </w:r>
      <w:r w:rsidRPr="008D7149">
        <w:rPr>
          <w:rFonts w:ascii="Times New Roman" w:hAnsi="Times New Roman" w:cs="Times New Roman"/>
          <w:sz w:val="24"/>
          <w:szCs w:val="24"/>
        </w:rPr>
        <w:t xml:space="preserve"> Prawo upadłościowe do pierwszego miejsca w Ustawie, w którym odesłanie do tej ustawy zostanie – w wyniku tej nowelizacji </w:t>
      </w:r>
      <w:r w:rsidR="005E4C39" w:rsidRPr="008D7149">
        <w:rPr>
          <w:rFonts w:ascii="Times New Roman" w:hAnsi="Times New Roman" w:cs="Times New Roman"/>
          <w:sz w:val="24"/>
          <w:szCs w:val="24"/>
        </w:rPr>
        <w:t>–</w:t>
      </w:r>
      <w:r w:rsidRPr="008D7149">
        <w:rPr>
          <w:rFonts w:ascii="Times New Roman" w:hAnsi="Times New Roman" w:cs="Times New Roman"/>
          <w:sz w:val="24"/>
          <w:szCs w:val="24"/>
        </w:rPr>
        <w:t xml:space="preserve"> zawarte po raz pierwszy (art. 2a Ustawy).</w:t>
      </w:r>
    </w:p>
    <w:p w14:paraId="7350D8BE" w14:textId="40EC7AFA" w:rsidR="00D807DD" w:rsidRPr="008D7149" w:rsidRDefault="004C3C92"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Proponowana nowelizacja </w:t>
      </w:r>
      <w:r w:rsidRPr="008D7149">
        <w:rPr>
          <w:rFonts w:ascii="Times New Roman" w:hAnsi="Times New Roman" w:cs="Times New Roman"/>
          <w:b/>
          <w:sz w:val="24"/>
          <w:szCs w:val="24"/>
        </w:rPr>
        <w:t xml:space="preserve">art. 25 ust. 3 </w:t>
      </w:r>
      <w:r w:rsidR="009B58C8" w:rsidRPr="008D7149">
        <w:rPr>
          <w:rFonts w:ascii="Times New Roman" w:hAnsi="Times New Roman" w:cs="Times New Roman"/>
          <w:sz w:val="24"/>
          <w:szCs w:val="24"/>
        </w:rPr>
        <w:t xml:space="preserve">Ustawy rozszerza dotychczasowe wymogi </w:t>
      </w:r>
      <w:r w:rsidR="00336F45" w:rsidRPr="008D7149">
        <w:rPr>
          <w:rFonts w:ascii="Times New Roman" w:hAnsi="Times New Roman" w:cs="Times New Roman"/>
          <w:sz w:val="24"/>
          <w:szCs w:val="24"/>
        </w:rPr>
        <w:t xml:space="preserve">w zakresie </w:t>
      </w:r>
      <w:r w:rsidR="009B58C8" w:rsidRPr="008D7149">
        <w:rPr>
          <w:rFonts w:ascii="Times New Roman" w:hAnsi="Times New Roman" w:cs="Times New Roman"/>
          <w:sz w:val="24"/>
          <w:szCs w:val="24"/>
        </w:rPr>
        <w:t>przeprowadzania przez bank hipoteczny testu równowagi pokrycia i testu płynnośc</w:t>
      </w:r>
      <w:r w:rsidR="00336F45" w:rsidRPr="008D7149">
        <w:rPr>
          <w:rFonts w:ascii="Times New Roman" w:hAnsi="Times New Roman" w:cs="Times New Roman"/>
          <w:sz w:val="24"/>
          <w:szCs w:val="24"/>
        </w:rPr>
        <w:t xml:space="preserve">i i </w:t>
      </w:r>
      <w:r w:rsidR="00C510C2" w:rsidRPr="008D7149">
        <w:rPr>
          <w:rFonts w:ascii="Times New Roman" w:hAnsi="Times New Roman" w:cs="Times New Roman"/>
          <w:sz w:val="24"/>
          <w:szCs w:val="24"/>
        </w:rPr>
        <w:t xml:space="preserve">jest </w:t>
      </w:r>
      <w:r w:rsidR="00336F45" w:rsidRPr="008D7149">
        <w:rPr>
          <w:rFonts w:ascii="Times New Roman" w:hAnsi="Times New Roman" w:cs="Times New Roman"/>
          <w:sz w:val="24"/>
          <w:szCs w:val="24"/>
        </w:rPr>
        <w:t xml:space="preserve">związana z wdrożeniem art. 15 dyrektywy 2019/2162. Na podstawie nowelizowanego art. 25 ust. 3 Ustawy, bank hipoteczny przeprowadzając test równowagi pokrycia i test płynności, </w:t>
      </w:r>
      <w:r w:rsidR="00C510C2" w:rsidRPr="008D7149">
        <w:rPr>
          <w:rFonts w:ascii="Times New Roman" w:hAnsi="Times New Roman" w:cs="Times New Roman"/>
          <w:sz w:val="24"/>
          <w:szCs w:val="24"/>
        </w:rPr>
        <w:t>będzie uwzględniał</w:t>
      </w:r>
      <w:r w:rsidR="00336F45" w:rsidRPr="008D7149">
        <w:rPr>
          <w:rFonts w:ascii="Times New Roman" w:hAnsi="Times New Roman" w:cs="Times New Roman"/>
          <w:sz w:val="24"/>
          <w:szCs w:val="24"/>
        </w:rPr>
        <w:t xml:space="preserve"> </w:t>
      </w:r>
      <w:r w:rsidR="008D7A3F" w:rsidRPr="008D7149">
        <w:rPr>
          <w:rFonts w:ascii="Times New Roman" w:hAnsi="Times New Roman" w:cs="Times New Roman"/>
          <w:sz w:val="24"/>
          <w:szCs w:val="24"/>
        </w:rPr>
        <w:t xml:space="preserve">również </w:t>
      </w:r>
      <w:r w:rsidR="00336F45" w:rsidRPr="008D7149">
        <w:rPr>
          <w:rFonts w:ascii="Times New Roman" w:hAnsi="Times New Roman" w:cs="Times New Roman"/>
          <w:sz w:val="24"/>
          <w:szCs w:val="24"/>
        </w:rPr>
        <w:t>instrumenty pochodne uwzględnione w puli aktywów stanowiących zabezpieczenie, a także szacowane koszty utrzymania programu emisji listów zastawnych i szacowane koszty administrowania tym programem w przypadku jego likwidacji</w:t>
      </w:r>
      <w:r w:rsidR="00346B7A" w:rsidRPr="008D7149">
        <w:rPr>
          <w:rFonts w:ascii="Times New Roman" w:hAnsi="Times New Roman" w:cs="Times New Roman"/>
          <w:sz w:val="24"/>
          <w:szCs w:val="24"/>
        </w:rPr>
        <w:t xml:space="preserve"> </w:t>
      </w:r>
      <w:r w:rsidR="00D807DD" w:rsidRPr="008D7149">
        <w:rPr>
          <w:rFonts w:ascii="Times New Roman" w:hAnsi="Times New Roman" w:cs="Times New Roman"/>
          <w:sz w:val="24"/>
          <w:szCs w:val="24"/>
        </w:rPr>
        <w:t xml:space="preserve">(ust. 3 pkt 1 i 2). Ponadto zgodnie z ust. 3 pkt 3, który </w:t>
      </w:r>
      <w:r w:rsidR="00346B7A" w:rsidRPr="008D7149">
        <w:rPr>
          <w:rFonts w:ascii="Times New Roman" w:hAnsi="Times New Roman" w:cs="Times New Roman"/>
          <w:sz w:val="24"/>
          <w:szCs w:val="24"/>
        </w:rPr>
        <w:t xml:space="preserve">zawiera normę prawną </w:t>
      </w:r>
      <w:r w:rsidR="00D807DD" w:rsidRPr="008D7149">
        <w:rPr>
          <w:rFonts w:ascii="Times New Roman" w:hAnsi="Times New Roman" w:cs="Times New Roman"/>
          <w:sz w:val="24"/>
          <w:szCs w:val="24"/>
        </w:rPr>
        <w:t xml:space="preserve">zawartą w dotychczasowym </w:t>
      </w:r>
      <w:r w:rsidR="00346B7A" w:rsidRPr="008D7149">
        <w:rPr>
          <w:rFonts w:ascii="Times New Roman" w:hAnsi="Times New Roman" w:cs="Times New Roman"/>
          <w:sz w:val="24"/>
          <w:szCs w:val="24"/>
        </w:rPr>
        <w:t xml:space="preserve">brzmieniu </w:t>
      </w:r>
      <w:r w:rsidR="00D807DD" w:rsidRPr="008D7149">
        <w:rPr>
          <w:rFonts w:ascii="Times New Roman" w:hAnsi="Times New Roman" w:cs="Times New Roman"/>
          <w:sz w:val="24"/>
          <w:szCs w:val="24"/>
        </w:rPr>
        <w:t>ust. 3 ww. artykułu, bank hipoteczny będzie uwzględniał koszty likwidacji osobnej masy upadłości oraz różnice walutowe i oprocentowania (jeżeli takie różnice między składnikami osobnej masy upadłości a zobowiązaniami z listów zastawnych nie będą zabezpieczone przez odpowiednie transakcje zabezpieczające przed ryzykiem zmiany stopy procentowej lub ryzykiem walutowym).</w:t>
      </w:r>
    </w:p>
    <w:p w14:paraId="369C0EE9" w14:textId="54254A7A" w:rsidR="00102E8A" w:rsidRPr="008D7149" w:rsidRDefault="00EF441C"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t xml:space="preserve">Projektowane zmiany w </w:t>
      </w:r>
      <w:r w:rsidRPr="008D7149">
        <w:rPr>
          <w:rFonts w:ascii="Times New Roman" w:hAnsi="Times New Roman" w:cs="Times New Roman"/>
          <w:b/>
          <w:szCs w:val="24"/>
        </w:rPr>
        <w:t>art. 29 i art. 30</w:t>
      </w:r>
      <w:r w:rsidRPr="008D7149">
        <w:rPr>
          <w:rFonts w:ascii="Times New Roman" w:hAnsi="Times New Roman" w:cs="Times New Roman"/>
          <w:szCs w:val="24"/>
        </w:rPr>
        <w:t xml:space="preserve"> Ustawy dotyczą powiernika, powoływanego zgodnie z dotychczasowym art. 27 ust. 1 Ustawy, przy każdym banku hipotecznym. Zaproponowano modyfikację statusu niezależności </w:t>
      </w:r>
      <w:r w:rsidR="00102E8A" w:rsidRPr="008D7149">
        <w:rPr>
          <w:rFonts w:ascii="Times New Roman" w:hAnsi="Times New Roman" w:cs="Times New Roman"/>
          <w:szCs w:val="24"/>
        </w:rPr>
        <w:t xml:space="preserve">powiernika, o której mowa w obecnym brzmieniu </w:t>
      </w:r>
      <w:r w:rsidRPr="008D7149">
        <w:rPr>
          <w:rFonts w:ascii="Times New Roman" w:hAnsi="Times New Roman" w:cs="Times New Roman"/>
          <w:szCs w:val="24"/>
        </w:rPr>
        <w:t>art. 29 ust. 1 Ustawy</w:t>
      </w:r>
      <w:r w:rsidR="00102E8A" w:rsidRPr="008D7149">
        <w:rPr>
          <w:rFonts w:ascii="Times New Roman" w:hAnsi="Times New Roman" w:cs="Times New Roman"/>
          <w:szCs w:val="24"/>
        </w:rPr>
        <w:t>. Modyfikacja ta polega na</w:t>
      </w:r>
      <w:r w:rsidRPr="008D7149">
        <w:rPr>
          <w:rFonts w:ascii="Times New Roman" w:hAnsi="Times New Roman" w:cs="Times New Roman"/>
          <w:szCs w:val="24"/>
        </w:rPr>
        <w:t xml:space="preserve"> wyraźn</w:t>
      </w:r>
      <w:r w:rsidR="00102E8A" w:rsidRPr="008D7149">
        <w:rPr>
          <w:rFonts w:ascii="Times New Roman" w:hAnsi="Times New Roman" w:cs="Times New Roman"/>
          <w:szCs w:val="24"/>
        </w:rPr>
        <w:t>ym</w:t>
      </w:r>
      <w:r w:rsidRPr="008D7149">
        <w:rPr>
          <w:rFonts w:ascii="Times New Roman" w:hAnsi="Times New Roman" w:cs="Times New Roman"/>
          <w:szCs w:val="24"/>
        </w:rPr>
        <w:t xml:space="preserve"> wskazani</w:t>
      </w:r>
      <w:r w:rsidR="00102E8A" w:rsidRPr="008D7149">
        <w:rPr>
          <w:rFonts w:ascii="Times New Roman" w:hAnsi="Times New Roman" w:cs="Times New Roman"/>
          <w:szCs w:val="24"/>
        </w:rPr>
        <w:t>u</w:t>
      </w:r>
      <w:r w:rsidRPr="008D7149">
        <w:rPr>
          <w:rFonts w:ascii="Times New Roman" w:hAnsi="Times New Roman" w:cs="Times New Roman"/>
          <w:szCs w:val="24"/>
        </w:rPr>
        <w:t xml:space="preserve">, że powiernik i jego zastępca </w:t>
      </w:r>
      <w:r w:rsidR="00050270" w:rsidRPr="008D7149">
        <w:rPr>
          <w:rFonts w:ascii="Times New Roman" w:eastAsia="Times New Roman" w:hAnsi="Times New Roman" w:cs="Times New Roman"/>
          <w:szCs w:val="24"/>
        </w:rPr>
        <w:t xml:space="preserve">są niezależni od firmy audytorskiej, o której mowa w ustawie z dnia 11 maja 2017 r. </w:t>
      </w:r>
      <w:r w:rsidR="00050270" w:rsidRPr="00420AB2">
        <w:rPr>
          <w:rFonts w:ascii="Times New Roman" w:eastAsia="Times New Roman" w:hAnsi="Times New Roman" w:cs="Times New Roman"/>
          <w:szCs w:val="24"/>
        </w:rPr>
        <w:t>o biegłych rewidentach,</w:t>
      </w:r>
      <w:r w:rsidR="00050270" w:rsidRPr="008D7149">
        <w:rPr>
          <w:rFonts w:ascii="Times New Roman" w:eastAsia="Times New Roman" w:hAnsi="Times New Roman" w:cs="Times New Roman"/>
          <w:szCs w:val="24"/>
        </w:rPr>
        <w:t xml:space="preserve"> firmach audytorskich oraz nadzorze publicznym (Dz. U. z 2020 r. poz. 1415</w:t>
      </w:r>
      <w:r w:rsidR="005567FB" w:rsidRPr="008D7149">
        <w:rPr>
          <w:rFonts w:ascii="Times New Roman" w:eastAsia="Times New Roman" w:hAnsi="Times New Roman" w:cs="Times New Roman"/>
          <w:szCs w:val="24"/>
        </w:rPr>
        <w:t>, z późn. zm.</w:t>
      </w:r>
      <w:r w:rsidR="00050270" w:rsidRPr="008D7149">
        <w:rPr>
          <w:rFonts w:ascii="Times New Roman" w:eastAsia="Times New Roman" w:hAnsi="Times New Roman" w:cs="Times New Roman"/>
          <w:szCs w:val="24"/>
        </w:rPr>
        <w:t>), badającej sprawozdanie finansowe banku hipotecznego</w:t>
      </w:r>
      <w:r w:rsidRPr="008D7149">
        <w:rPr>
          <w:rFonts w:ascii="Times New Roman" w:hAnsi="Times New Roman" w:cs="Times New Roman"/>
          <w:szCs w:val="24"/>
        </w:rPr>
        <w:t xml:space="preserve">. Wprowadzenie ww. regulacji wynika z art. 13 ust. 3 dyrektywy </w:t>
      </w:r>
      <w:r w:rsidRPr="008D7149">
        <w:rPr>
          <w:rFonts w:ascii="Times New Roman" w:eastAsia="Calibri" w:hAnsi="Times New Roman" w:cs="Times New Roman"/>
          <w:szCs w:val="24"/>
        </w:rPr>
        <w:t>2019/2162</w:t>
      </w:r>
      <w:r w:rsidRPr="008D7149">
        <w:rPr>
          <w:rFonts w:ascii="Times New Roman" w:hAnsi="Times New Roman" w:cs="Times New Roman"/>
          <w:szCs w:val="24"/>
        </w:rPr>
        <w:t>.</w:t>
      </w:r>
    </w:p>
    <w:p w14:paraId="1BF4D76A" w14:textId="6D6EB74B" w:rsidR="00EF441C" w:rsidRPr="008D7149" w:rsidRDefault="00EF441C" w:rsidP="008D7149">
      <w:pPr>
        <w:pStyle w:val="ZARTzmartartykuempunktem"/>
        <w:spacing w:before="120"/>
        <w:ind w:left="0" w:firstLine="0"/>
        <w:rPr>
          <w:rFonts w:ascii="Times New Roman" w:hAnsi="Times New Roman" w:cs="Times New Roman"/>
          <w:szCs w:val="24"/>
        </w:rPr>
      </w:pPr>
      <w:r w:rsidRPr="008D7149">
        <w:rPr>
          <w:rFonts w:ascii="Times New Roman" w:hAnsi="Times New Roman" w:cs="Times New Roman"/>
          <w:szCs w:val="24"/>
        </w:rPr>
        <w:lastRenderedPageBreak/>
        <w:t xml:space="preserve">W świetle projektowanego brzmienia art. 30 ust. 2 Ustawy powiernik corocznie, w terminie do dnia 31 marca, </w:t>
      </w:r>
      <w:r w:rsidR="00102E8A" w:rsidRPr="008D7149">
        <w:rPr>
          <w:rFonts w:ascii="Times New Roman" w:hAnsi="Times New Roman" w:cs="Times New Roman"/>
          <w:szCs w:val="24"/>
        </w:rPr>
        <w:t xml:space="preserve">będzie </w:t>
      </w:r>
      <w:r w:rsidRPr="008D7149">
        <w:rPr>
          <w:rFonts w:ascii="Times New Roman" w:hAnsi="Times New Roman" w:cs="Times New Roman"/>
          <w:szCs w:val="24"/>
        </w:rPr>
        <w:t>przedstawia</w:t>
      </w:r>
      <w:r w:rsidR="00102E8A" w:rsidRPr="008D7149">
        <w:rPr>
          <w:rFonts w:ascii="Times New Roman" w:hAnsi="Times New Roman" w:cs="Times New Roman"/>
          <w:szCs w:val="24"/>
        </w:rPr>
        <w:t>ł</w:t>
      </w:r>
      <w:r w:rsidRPr="008D7149">
        <w:rPr>
          <w:rFonts w:ascii="Times New Roman" w:hAnsi="Times New Roman" w:cs="Times New Roman"/>
          <w:szCs w:val="24"/>
        </w:rPr>
        <w:t xml:space="preserve"> </w:t>
      </w:r>
      <w:r w:rsidR="008A0285" w:rsidRPr="008D7149">
        <w:rPr>
          <w:rFonts w:ascii="Times New Roman" w:hAnsi="Times New Roman" w:cs="Times New Roman"/>
          <w:szCs w:val="24"/>
        </w:rPr>
        <w:t>KNF</w:t>
      </w:r>
      <w:r w:rsidRPr="008D7149">
        <w:rPr>
          <w:rFonts w:ascii="Times New Roman" w:hAnsi="Times New Roman" w:cs="Times New Roman"/>
          <w:szCs w:val="24"/>
        </w:rPr>
        <w:t xml:space="preserve"> sprawozdanie za rok poprzedni, który to obowiązek wynika z art. 13 ust. 2 lit. d dyrektywy 2019/2162. Jednocześnie w </w:t>
      </w:r>
      <w:r w:rsidRPr="008D7149">
        <w:rPr>
          <w:rFonts w:ascii="Times New Roman" w:hAnsi="Times New Roman" w:cs="Times New Roman"/>
          <w:b/>
          <w:szCs w:val="24"/>
        </w:rPr>
        <w:t xml:space="preserve">art. </w:t>
      </w:r>
      <w:r w:rsidR="00FF582C" w:rsidRPr="008D7149">
        <w:rPr>
          <w:rFonts w:ascii="Times New Roman" w:hAnsi="Times New Roman" w:cs="Times New Roman"/>
          <w:b/>
          <w:szCs w:val="24"/>
        </w:rPr>
        <w:t>20</w:t>
      </w:r>
      <w:r w:rsidR="00A81C18" w:rsidRPr="008D7149">
        <w:rPr>
          <w:rFonts w:ascii="Times New Roman" w:hAnsi="Times New Roman" w:cs="Times New Roman"/>
          <w:b/>
          <w:szCs w:val="24"/>
        </w:rPr>
        <w:t xml:space="preserve"> ust. 1</w:t>
      </w:r>
      <w:r w:rsidRPr="008D7149">
        <w:rPr>
          <w:rFonts w:ascii="Times New Roman" w:hAnsi="Times New Roman" w:cs="Times New Roman"/>
          <w:b/>
          <w:szCs w:val="24"/>
        </w:rPr>
        <w:t xml:space="preserve"> projektu</w:t>
      </w:r>
      <w:r w:rsidRPr="008D7149">
        <w:rPr>
          <w:rFonts w:ascii="Times New Roman" w:hAnsi="Times New Roman" w:cs="Times New Roman"/>
          <w:szCs w:val="24"/>
        </w:rPr>
        <w:t xml:space="preserve"> wprowadzono przepis dotyczący terminu złożenia pierwszego sprawozdania przez powiernika, a także zakresu tego sprawozdania.</w:t>
      </w:r>
    </w:p>
    <w:p w14:paraId="539EAEB7" w14:textId="77777777" w:rsidR="00A81C18" w:rsidRPr="008D7149" w:rsidRDefault="00A81C18" w:rsidP="008D7149">
      <w:pPr>
        <w:pStyle w:val="ZARTzmartartykuempunktem"/>
        <w:spacing w:before="120"/>
        <w:ind w:left="0" w:firstLine="0"/>
        <w:rPr>
          <w:rFonts w:ascii="Times New Roman" w:eastAsia="Times New Roman" w:hAnsi="Times New Roman" w:cs="Times New Roman"/>
          <w:szCs w:val="24"/>
        </w:rPr>
      </w:pPr>
      <w:r w:rsidRPr="008D7149">
        <w:rPr>
          <w:rFonts w:ascii="Times New Roman" w:eastAsia="Times New Roman" w:hAnsi="Times New Roman" w:cs="Times New Roman"/>
          <w:szCs w:val="24"/>
        </w:rPr>
        <w:t xml:space="preserve">Zmiana w </w:t>
      </w:r>
      <w:r w:rsidRPr="008D7149">
        <w:rPr>
          <w:rFonts w:ascii="Times New Roman" w:eastAsia="Times New Roman" w:hAnsi="Times New Roman" w:cs="Times New Roman"/>
          <w:b/>
          <w:szCs w:val="24"/>
        </w:rPr>
        <w:t>art. 32 ust. 1</w:t>
      </w:r>
      <w:r w:rsidRPr="008D7149">
        <w:rPr>
          <w:rFonts w:ascii="Times New Roman" w:eastAsia="Times New Roman" w:hAnsi="Times New Roman" w:cs="Times New Roman"/>
          <w:szCs w:val="24"/>
        </w:rPr>
        <w:t xml:space="preserve"> Ustawy ma charakter dostosowujący i polega na </w:t>
      </w:r>
      <w:r w:rsidR="005612F8" w:rsidRPr="008D7149">
        <w:rPr>
          <w:rFonts w:ascii="Times New Roman" w:eastAsia="Times New Roman" w:hAnsi="Times New Roman" w:cs="Times New Roman"/>
          <w:szCs w:val="24"/>
        </w:rPr>
        <w:t xml:space="preserve">zmianie </w:t>
      </w:r>
      <w:r w:rsidRPr="008D7149">
        <w:rPr>
          <w:rFonts w:ascii="Times New Roman" w:eastAsia="Times New Roman" w:hAnsi="Times New Roman" w:cs="Times New Roman"/>
          <w:szCs w:val="24"/>
        </w:rPr>
        <w:t>odesłania do art. 30 Ustawy</w:t>
      </w:r>
      <w:r w:rsidR="00703DDF" w:rsidRPr="008D7149">
        <w:rPr>
          <w:rFonts w:ascii="Times New Roman" w:eastAsia="Times New Roman" w:hAnsi="Times New Roman" w:cs="Times New Roman"/>
          <w:szCs w:val="24"/>
        </w:rPr>
        <w:t>.</w:t>
      </w:r>
    </w:p>
    <w:p w14:paraId="14E013CE" w14:textId="4B369C24" w:rsidR="003509F8" w:rsidRPr="008D7149" w:rsidRDefault="00B2428E" w:rsidP="008D7149">
      <w:pPr>
        <w:pStyle w:val="ARTartustawynprozporzdzenia"/>
        <w:ind w:firstLine="0"/>
        <w:rPr>
          <w:rFonts w:ascii="Times New Roman" w:hAnsi="Times New Roman" w:cs="Times New Roman"/>
          <w:szCs w:val="24"/>
        </w:rPr>
      </w:pPr>
      <w:r w:rsidRPr="008D7149">
        <w:rPr>
          <w:rFonts w:ascii="Times New Roman" w:hAnsi="Times New Roman" w:cs="Times New Roman"/>
          <w:szCs w:val="24"/>
        </w:rPr>
        <w:t xml:space="preserve">Zgodnie z projektowanym brzmieniem </w:t>
      </w:r>
      <w:r w:rsidRPr="008D7149">
        <w:rPr>
          <w:rFonts w:ascii="Times New Roman" w:hAnsi="Times New Roman" w:cs="Times New Roman"/>
          <w:b/>
          <w:szCs w:val="24"/>
        </w:rPr>
        <w:t xml:space="preserve">art. 33a ust. 1 </w:t>
      </w:r>
      <w:r w:rsidRPr="008D7149">
        <w:rPr>
          <w:rFonts w:ascii="Times New Roman" w:hAnsi="Times New Roman" w:cs="Times New Roman"/>
          <w:szCs w:val="24"/>
        </w:rPr>
        <w:t>Ustawy</w:t>
      </w:r>
      <w:r w:rsidRPr="008D7149">
        <w:rPr>
          <w:rFonts w:ascii="Times New Roman" w:hAnsi="Times New Roman" w:cs="Times New Roman"/>
          <w:b/>
          <w:szCs w:val="24"/>
        </w:rPr>
        <w:t xml:space="preserve"> </w:t>
      </w:r>
      <w:r w:rsidR="00893104" w:rsidRPr="008D7149">
        <w:rPr>
          <w:rFonts w:ascii="Times New Roman" w:hAnsi="Times New Roman" w:cs="Times New Roman"/>
          <w:szCs w:val="24"/>
        </w:rPr>
        <w:t>wskazano, ż</w:t>
      </w:r>
      <w:r w:rsidR="00420AB2">
        <w:rPr>
          <w:rFonts w:ascii="Times New Roman" w:hAnsi="Times New Roman" w:cs="Times New Roman"/>
          <w:szCs w:val="24"/>
        </w:rPr>
        <w:t>e</w:t>
      </w:r>
      <w:r w:rsidR="00893104" w:rsidRPr="008D7149">
        <w:rPr>
          <w:rFonts w:ascii="Times New Roman" w:hAnsi="Times New Roman" w:cs="Times New Roman"/>
          <w:szCs w:val="24"/>
        </w:rPr>
        <w:t xml:space="preserve"> </w:t>
      </w:r>
      <w:r w:rsidR="008A0285" w:rsidRPr="008D7149">
        <w:rPr>
          <w:rFonts w:ascii="Times New Roman" w:hAnsi="Times New Roman" w:cs="Times New Roman"/>
          <w:szCs w:val="24"/>
        </w:rPr>
        <w:t>KNF</w:t>
      </w:r>
      <w:r w:rsidR="00893104" w:rsidRPr="008D7149">
        <w:rPr>
          <w:rFonts w:ascii="Times New Roman" w:hAnsi="Times New Roman" w:cs="Times New Roman"/>
          <w:szCs w:val="24"/>
        </w:rPr>
        <w:t xml:space="preserve"> sprawuje nadzór nad </w:t>
      </w:r>
      <w:r w:rsidR="00B30271" w:rsidRPr="008D7149">
        <w:rPr>
          <w:rFonts w:ascii="Times New Roman" w:hAnsi="Times New Roman" w:cs="Times New Roman"/>
          <w:szCs w:val="24"/>
        </w:rPr>
        <w:t xml:space="preserve">działalnością banku hipotecznego w zakresie emitowania </w:t>
      </w:r>
      <w:r w:rsidR="00893104" w:rsidRPr="008D7149">
        <w:rPr>
          <w:rFonts w:ascii="Times New Roman" w:hAnsi="Times New Roman" w:cs="Times New Roman"/>
          <w:szCs w:val="24"/>
        </w:rPr>
        <w:t xml:space="preserve">listów zastawnych, w ramach nadzoru sprawowanego na podstawie przepisów </w:t>
      </w:r>
      <w:r w:rsidR="004130D3" w:rsidRPr="008D7149">
        <w:rPr>
          <w:rFonts w:ascii="Times New Roman" w:hAnsi="Times New Roman" w:cs="Times New Roman"/>
          <w:szCs w:val="24"/>
        </w:rPr>
        <w:t>Ustawy</w:t>
      </w:r>
      <w:r w:rsidR="00893104" w:rsidRPr="008D7149">
        <w:rPr>
          <w:rFonts w:ascii="Times New Roman" w:hAnsi="Times New Roman" w:cs="Times New Roman"/>
          <w:szCs w:val="24"/>
        </w:rPr>
        <w:t xml:space="preserve"> oraz ustawy z dnia 29 sierpnia 1997</w:t>
      </w:r>
      <w:r w:rsidR="004130D3" w:rsidRPr="008D7149">
        <w:rPr>
          <w:rFonts w:ascii="Times New Roman" w:hAnsi="Times New Roman" w:cs="Times New Roman"/>
          <w:szCs w:val="24"/>
        </w:rPr>
        <w:t xml:space="preserve"> </w:t>
      </w:r>
      <w:r w:rsidR="00893104" w:rsidRPr="008D7149">
        <w:rPr>
          <w:rFonts w:ascii="Times New Roman" w:hAnsi="Times New Roman" w:cs="Times New Roman"/>
          <w:szCs w:val="24"/>
        </w:rPr>
        <w:t>r.</w:t>
      </w:r>
      <w:r w:rsidR="004130D3" w:rsidRPr="008D7149">
        <w:rPr>
          <w:rFonts w:ascii="Times New Roman" w:hAnsi="Times New Roman" w:cs="Times New Roman"/>
          <w:szCs w:val="24"/>
        </w:rPr>
        <w:t xml:space="preserve"> </w:t>
      </w:r>
      <w:r w:rsidR="00893104" w:rsidRPr="008D7149">
        <w:rPr>
          <w:rFonts w:ascii="Times New Roman" w:hAnsi="Times New Roman" w:cs="Times New Roman"/>
          <w:szCs w:val="24"/>
        </w:rPr>
        <w:t>–</w:t>
      </w:r>
      <w:r w:rsidR="004130D3" w:rsidRPr="008D7149">
        <w:rPr>
          <w:rFonts w:ascii="Times New Roman" w:hAnsi="Times New Roman" w:cs="Times New Roman"/>
          <w:szCs w:val="24"/>
        </w:rPr>
        <w:t xml:space="preserve"> </w:t>
      </w:r>
      <w:r w:rsidR="00893104" w:rsidRPr="008D7149">
        <w:rPr>
          <w:rFonts w:ascii="Times New Roman" w:hAnsi="Times New Roman" w:cs="Times New Roman"/>
          <w:szCs w:val="24"/>
        </w:rPr>
        <w:t xml:space="preserve">Prawo bankowe. Ponadto zgodnie z </w:t>
      </w:r>
      <w:r w:rsidR="00893104" w:rsidRPr="008D7149">
        <w:rPr>
          <w:rFonts w:ascii="Times New Roman" w:hAnsi="Times New Roman" w:cs="Times New Roman"/>
          <w:b/>
          <w:szCs w:val="24"/>
        </w:rPr>
        <w:t>art. 33a ust. 2</w:t>
      </w:r>
      <w:r w:rsidR="00893104" w:rsidRPr="008D7149">
        <w:rPr>
          <w:rFonts w:ascii="Times New Roman" w:hAnsi="Times New Roman" w:cs="Times New Roman"/>
          <w:szCs w:val="24"/>
        </w:rPr>
        <w:t xml:space="preserve"> </w:t>
      </w:r>
      <w:r w:rsidR="008A0285" w:rsidRPr="008D7149">
        <w:rPr>
          <w:rFonts w:ascii="Times New Roman" w:hAnsi="Times New Roman" w:cs="Times New Roman"/>
          <w:szCs w:val="24"/>
        </w:rPr>
        <w:t>KNF</w:t>
      </w:r>
      <w:r w:rsidR="00893104" w:rsidRPr="008D7149">
        <w:rPr>
          <w:rFonts w:ascii="Times New Roman" w:hAnsi="Times New Roman" w:cs="Times New Roman"/>
          <w:szCs w:val="24"/>
        </w:rPr>
        <w:t xml:space="preserve"> </w:t>
      </w:r>
      <w:r w:rsidRPr="008D7149">
        <w:rPr>
          <w:rFonts w:ascii="Times New Roman" w:hAnsi="Times New Roman" w:cs="Times New Roman"/>
          <w:szCs w:val="24"/>
        </w:rPr>
        <w:t xml:space="preserve">zostaje zobowiązana do </w:t>
      </w:r>
      <w:r w:rsidR="009E7012" w:rsidRPr="008D7149">
        <w:rPr>
          <w:rFonts w:ascii="Times New Roman" w:hAnsi="Times New Roman" w:cs="Times New Roman"/>
          <w:szCs w:val="24"/>
        </w:rPr>
        <w:t xml:space="preserve">oceny, nie rzadziej niż co </w:t>
      </w:r>
      <w:r w:rsidR="00893104" w:rsidRPr="008D7149">
        <w:rPr>
          <w:rFonts w:ascii="Times New Roman" w:hAnsi="Times New Roman" w:cs="Times New Roman"/>
          <w:szCs w:val="24"/>
        </w:rPr>
        <w:t xml:space="preserve">12 </w:t>
      </w:r>
      <w:r w:rsidR="009E7012" w:rsidRPr="008D7149">
        <w:rPr>
          <w:rFonts w:ascii="Times New Roman" w:hAnsi="Times New Roman" w:cs="Times New Roman"/>
          <w:szCs w:val="24"/>
        </w:rPr>
        <w:t xml:space="preserve">miesięcy, czy emitowanie listów zastawnych przez bank hipoteczny jest zgodne z przepisami Ustawy </w:t>
      </w:r>
      <w:r w:rsidR="002425A5" w:rsidRPr="008D7149">
        <w:rPr>
          <w:rFonts w:ascii="Times New Roman" w:hAnsi="Times New Roman" w:cs="Times New Roman"/>
          <w:szCs w:val="24"/>
        </w:rPr>
        <w:t xml:space="preserve">oraz </w:t>
      </w:r>
      <w:r w:rsidR="009E7012" w:rsidRPr="008D7149">
        <w:rPr>
          <w:rFonts w:ascii="Times New Roman" w:hAnsi="Times New Roman" w:cs="Times New Roman"/>
          <w:szCs w:val="24"/>
        </w:rPr>
        <w:t xml:space="preserve">wydanymi na jej podstawie aktami wykonawczymi. </w:t>
      </w:r>
      <w:r w:rsidRPr="008D7149">
        <w:rPr>
          <w:rFonts w:ascii="Times New Roman" w:hAnsi="Times New Roman" w:cs="Times New Roman"/>
          <w:szCs w:val="24"/>
        </w:rPr>
        <w:t>Powyższa regulacja determinowana jest wdrożeniem art. 18 ust. 3 dyrektywy 2019/2162.</w:t>
      </w:r>
    </w:p>
    <w:p w14:paraId="736492A2" w14:textId="08E54C22" w:rsidR="003509F8" w:rsidRPr="008D7149" w:rsidRDefault="004130D3" w:rsidP="008D7149">
      <w:pPr>
        <w:pStyle w:val="ARTartustawynprozporzdzenia"/>
        <w:ind w:firstLine="0"/>
        <w:rPr>
          <w:rFonts w:ascii="Times New Roman" w:hAnsi="Times New Roman" w:cs="Times New Roman"/>
          <w:szCs w:val="24"/>
        </w:rPr>
      </w:pPr>
      <w:r w:rsidRPr="008D7149">
        <w:rPr>
          <w:rFonts w:ascii="Times New Roman" w:hAnsi="Times New Roman" w:cs="Times New Roman"/>
          <w:szCs w:val="24"/>
        </w:rPr>
        <w:t>Z</w:t>
      </w:r>
      <w:r w:rsidR="00400B91" w:rsidRPr="008D7149">
        <w:rPr>
          <w:rFonts w:ascii="Times New Roman" w:hAnsi="Times New Roman" w:cs="Times New Roman"/>
          <w:szCs w:val="24"/>
        </w:rPr>
        <w:t xml:space="preserve">godnie </w:t>
      </w:r>
      <w:r w:rsidR="003509F8" w:rsidRPr="008D7149">
        <w:rPr>
          <w:rFonts w:ascii="Times New Roman" w:hAnsi="Times New Roman" w:cs="Times New Roman"/>
          <w:szCs w:val="24"/>
        </w:rPr>
        <w:t xml:space="preserve">z </w:t>
      </w:r>
      <w:r w:rsidR="00400B91" w:rsidRPr="008D7149">
        <w:rPr>
          <w:rFonts w:ascii="Times New Roman" w:hAnsi="Times New Roman" w:cs="Times New Roman"/>
          <w:szCs w:val="24"/>
        </w:rPr>
        <w:t xml:space="preserve">projektowanym </w:t>
      </w:r>
      <w:r w:rsidR="00400B91" w:rsidRPr="008D7149">
        <w:rPr>
          <w:rFonts w:ascii="Times New Roman" w:hAnsi="Times New Roman" w:cs="Times New Roman"/>
          <w:b/>
          <w:szCs w:val="24"/>
        </w:rPr>
        <w:t xml:space="preserve">art. 33a ust. </w:t>
      </w:r>
      <w:r w:rsidR="00893104" w:rsidRPr="008D7149">
        <w:rPr>
          <w:rFonts w:ascii="Times New Roman" w:hAnsi="Times New Roman" w:cs="Times New Roman"/>
          <w:b/>
          <w:szCs w:val="24"/>
        </w:rPr>
        <w:t>3</w:t>
      </w:r>
      <w:r w:rsidR="00400B91" w:rsidRPr="008D7149">
        <w:rPr>
          <w:rFonts w:ascii="Times New Roman" w:hAnsi="Times New Roman" w:cs="Times New Roman"/>
          <w:szCs w:val="24"/>
        </w:rPr>
        <w:t xml:space="preserve"> </w:t>
      </w:r>
      <w:r w:rsidR="003509F8" w:rsidRPr="008D7149">
        <w:rPr>
          <w:rFonts w:ascii="Times New Roman" w:hAnsi="Times New Roman" w:cs="Times New Roman"/>
          <w:szCs w:val="24"/>
        </w:rPr>
        <w:t xml:space="preserve">Ustawy </w:t>
      </w:r>
      <w:r w:rsidR="008A0285" w:rsidRPr="008D7149">
        <w:rPr>
          <w:rFonts w:ascii="Times New Roman" w:hAnsi="Times New Roman" w:cs="Times New Roman"/>
          <w:szCs w:val="24"/>
        </w:rPr>
        <w:t>KNF</w:t>
      </w:r>
      <w:r w:rsidR="00400B91" w:rsidRPr="008D7149">
        <w:rPr>
          <w:rFonts w:ascii="Times New Roman" w:hAnsi="Times New Roman" w:cs="Times New Roman"/>
          <w:szCs w:val="24"/>
        </w:rPr>
        <w:t xml:space="preserve"> </w:t>
      </w:r>
      <w:r w:rsidR="003509F8" w:rsidRPr="008D7149">
        <w:rPr>
          <w:rFonts w:ascii="Times New Roman" w:hAnsi="Times New Roman" w:cs="Times New Roman"/>
          <w:szCs w:val="24"/>
        </w:rPr>
        <w:t>zosta</w:t>
      </w:r>
      <w:r w:rsidRPr="008D7149">
        <w:rPr>
          <w:rFonts w:ascii="Times New Roman" w:hAnsi="Times New Roman" w:cs="Times New Roman"/>
          <w:szCs w:val="24"/>
        </w:rPr>
        <w:t>nie</w:t>
      </w:r>
      <w:r w:rsidR="003509F8" w:rsidRPr="008D7149">
        <w:rPr>
          <w:rFonts w:ascii="Times New Roman" w:hAnsi="Times New Roman" w:cs="Times New Roman"/>
          <w:szCs w:val="24"/>
        </w:rPr>
        <w:t xml:space="preserve"> przyznane </w:t>
      </w:r>
      <w:r w:rsidR="00400B91" w:rsidRPr="008D7149">
        <w:rPr>
          <w:rFonts w:ascii="Times New Roman" w:hAnsi="Times New Roman" w:cs="Times New Roman"/>
          <w:szCs w:val="24"/>
        </w:rPr>
        <w:t>uprawnieni</w:t>
      </w:r>
      <w:r w:rsidR="003509F8" w:rsidRPr="008D7149">
        <w:rPr>
          <w:rFonts w:ascii="Times New Roman" w:hAnsi="Times New Roman" w:cs="Times New Roman"/>
          <w:szCs w:val="24"/>
        </w:rPr>
        <w:t>e</w:t>
      </w:r>
      <w:r w:rsidR="00400B91" w:rsidRPr="008D7149">
        <w:rPr>
          <w:rFonts w:ascii="Times New Roman" w:hAnsi="Times New Roman" w:cs="Times New Roman"/>
          <w:szCs w:val="24"/>
        </w:rPr>
        <w:t xml:space="preserve"> do żądania informacji dotyczących realizowanych przez banki hipoteczne emisji</w:t>
      </w:r>
      <w:r w:rsidR="003509F8" w:rsidRPr="008D7149">
        <w:rPr>
          <w:rFonts w:ascii="Times New Roman" w:hAnsi="Times New Roman" w:cs="Times New Roman"/>
          <w:szCs w:val="24"/>
        </w:rPr>
        <w:t xml:space="preserve"> listów zastawnych</w:t>
      </w:r>
      <w:r w:rsidR="00400B91" w:rsidRPr="008D7149">
        <w:rPr>
          <w:rFonts w:ascii="Times New Roman" w:hAnsi="Times New Roman" w:cs="Times New Roman"/>
          <w:szCs w:val="24"/>
        </w:rPr>
        <w:t xml:space="preserve">, w zakresie </w:t>
      </w:r>
      <w:r w:rsidR="003509F8" w:rsidRPr="008D7149">
        <w:rPr>
          <w:rFonts w:ascii="Times New Roman" w:hAnsi="Times New Roman" w:cs="Times New Roman"/>
          <w:szCs w:val="24"/>
        </w:rPr>
        <w:t xml:space="preserve">określonym w </w:t>
      </w:r>
      <w:r w:rsidR="00400B91" w:rsidRPr="008D7149">
        <w:rPr>
          <w:rFonts w:ascii="Times New Roman" w:hAnsi="Times New Roman" w:cs="Times New Roman"/>
          <w:szCs w:val="24"/>
        </w:rPr>
        <w:t>art. 33c ust.</w:t>
      </w:r>
      <w:r w:rsidR="003509F8" w:rsidRPr="008D7149">
        <w:rPr>
          <w:rFonts w:ascii="Times New Roman" w:hAnsi="Times New Roman" w:cs="Times New Roman"/>
          <w:szCs w:val="24"/>
        </w:rPr>
        <w:t xml:space="preserve"> </w:t>
      </w:r>
      <w:r w:rsidR="00400B91" w:rsidRPr="008D7149">
        <w:rPr>
          <w:rFonts w:ascii="Times New Roman" w:hAnsi="Times New Roman" w:cs="Times New Roman"/>
          <w:szCs w:val="24"/>
        </w:rPr>
        <w:t>1</w:t>
      </w:r>
      <w:r w:rsidR="003509F8" w:rsidRPr="008D7149">
        <w:rPr>
          <w:rFonts w:ascii="Times New Roman" w:hAnsi="Times New Roman" w:cs="Times New Roman"/>
          <w:szCs w:val="24"/>
        </w:rPr>
        <w:t xml:space="preserve"> Ustawy</w:t>
      </w:r>
      <w:r w:rsidR="0069544F" w:rsidRPr="008D7149">
        <w:rPr>
          <w:rFonts w:ascii="Times New Roman" w:hAnsi="Times New Roman" w:cs="Times New Roman"/>
          <w:szCs w:val="24"/>
        </w:rPr>
        <w:t>, według stanu na dzień wskazany w takim żądaniu</w:t>
      </w:r>
      <w:r w:rsidR="003509F8" w:rsidRPr="008D7149">
        <w:rPr>
          <w:rFonts w:ascii="Times New Roman" w:hAnsi="Times New Roman" w:cs="Times New Roman"/>
          <w:szCs w:val="24"/>
        </w:rPr>
        <w:t>.</w:t>
      </w:r>
    </w:p>
    <w:p w14:paraId="745A5805" w14:textId="2705D1DE" w:rsidR="00B2428E" w:rsidRPr="008D7149" w:rsidRDefault="003509F8" w:rsidP="008D7149">
      <w:pPr>
        <w:pStyle w:val="ARTartustawynprozporzdzenia"/>
        <w:ind w:firstLine="0"/>
        <w:rPr>
          <w:rFonts w:ascii="Times New Roman" w:hAnsi="Times New Roman" w:cs="Times New Roman"/>
          <w:szCs w:val="24"/>
        </w:rPr>
      </w:pPr>
      <w:r w:rsidRPr="008D7149">
        <w:rPr>
          <w:rFonts w:ascii="Times New Roman" w:hAnsi="Times New Roman" w:cs="Times New Roman"/>
          <w:szCs w:val="24"/>
        </w:rPr>
        <w:t>W</w:t>
      </w:r>
      <w:r w:rsidR="00400B91" w:rsidRPr="008D7149">
        <w:rPr>
          <w:rFonts w:ascii="Times New Roman" w:hAnsi="Times New Roman" w:cs="Times New Roman"/>
          <w:szCs w:val="24"/>
        </w:rPr>
        <w:t xml:space="preserve"> razie stwierdzenia nieprawidłowości </w:t>
      </w:r>
      <w:r w:rsidR="008A0285" w:rsidRPr="008D7149">
        <w:rPr>
          <w:rFonts w:ascii="Times New Roman" w:hAnsi="Times New Roman" w:cs="Times New Roman"/>
          <w:szCs w:val="24"/>
        </w:rPr>
        <w:t>KNF</w:t>
      </w:r>
      <w:r w:rsidRPr="008D7149">
        <w:rPr>
          <w:rFonts w:ascii="Times New Roman" w:hAnsi="Times New Roman" w:cs="Times New Roman"/>
          <w:szCs w:val="24"/>
        </w:rPr>
        <w:t xml:space="preserve"> będzie mogła</w:t>
      </w:r>
      <w:r w:rsidR="00400B91" w:rsidRPr="008D7149">
        <w:rPr>
          <w:rFonts w:ascii="Times New Roman" w:hAnsi="Times New Roman" w:cs="Times New Roman"/>
          <w:szCs w:val="24"/>
        </w:rPr>
        <w:t xml:space="preserve"> zobowiązać bank hipoteczny </w:t>
      </w:r>
      <w:r w:rsidR="004130D3" w:rsidRPr="008D7149">
        <w:rPr>
          <w:rFonts w:ascii="Times New Roman" w:hAnsi="Times New Roman" w:cs="Times New Roman"/>
          <w:szCs w:val="24"/>
        </w:rPr>
        <w:t xml:space="preserve">do </w:t>
      </w:r>
      <w:r w:rsidR="009F2D6E" w:rsidRPr="008D7149">
        <w:rPr>
          <w:rFonts w:ascii="Times New Roman" w:hAnsi="Times New Roman" w:cs="Times New Roman"/>
          <w:szCs w:val="24"/>
        </w:rPr>
        <w:t>dostosowani</w:t>
      </w:r>
      <w:r w:rsidR="004130D3" w:rsidRPr="008D7149">
        <w:rPr>
          <w:rFonts w:ascii="Times New Roman" w:hAnsi="Times New Roman" w:cs="Times New Roman"/>
          <w:szCs w:val="24"/>
        </w:rPr>
        <w:t>a</w:t>
      </w:r>
      <w:r w:rsidR="009F2D6E" w:rsidRPr="008D7149">
        <w:rPr>
          <w:rFonts w:ascii="Times New Roman" w:hAnsi="Times New Roman" w:cs="Times New Roman"/>
          <w:szCs w:val="24"/>
        </w:rPr>
        <w:t xml:space="preserve"> </w:t>
      </w:r>
      <w:r w:rsidR="00982337" w:rsidRPr="008D7149">
        <w:rPr>
          <w:rFonts w:ascii="Times New Roman" w:hAnsi="Times New Roman" w:cs="Times New Roman"/>
          <w:szCs w:val="24"/>
        </w:rPr>
        <w:t xml:space="preserve">emitowania listów zastawnych w ramach </w:t>
      </w:r>
      <w:r w:rsidR="009F2D6E" w:rsidRPr="008D7149">
        <w:rPr>
          <w:rFonts w:ascii="Times New Roman" w:hAnsi="Times New Roman" w:cs="Times New Roman"/>
          <w:szCs w:val="24"/>
        </w:rPr>
        <w:t xml:space="preserve">programu emisji </w:t>
      </w:r>
      <w:r w:rsidR="00181233" w:rsidRPr="008D7149">
        <w:rPr>
          <w:rFonts w:ascii="Times New Roman" w:hAnsi="Times New Roman" w:cs="Times New Roman"/>
          <w:szCs w:val="24"/>
        </w:rPr>
        <w:t xml:space="preserve">listów zastawnych </w:t>
      </w:r>
      <w:r w:rsidR="009F2D6E" w:rsidRPr="008D7149">
        <w:rPr>
          <w:rFonts w:ascii="Times New Roman" w:hAnsi="Times New Roman" w:cs="Times New Roman"/>
          <w:szCs w:val="24"/>
        </w:rPr>
        <w:t>do obowiązujących przepisów prawa w określonym terminie</w:t>
      </w:r>
      <w:r w:rsidRPr="008D7149">
        <w:rPr>
          <w:rFonts w:ascii="Times New Roman" w:hAnsi="Times New Roman" w:cs="Times New Roman"/>
          <w:szCs w:val="24"/>
        </w:rPr>
        <w:t xml:space="preserve"> (projektowany </w:t>
      </w:r>
      <w:r w:rsidRPr="008D7149">
        <w:rPr>
          <w:rFonts w:ascii="Times New Roman" w:hAnsi="Times New Roman" w:cs="Times New Roman"/>
          <w:b/>
          <w:szCs w:val="24"/>
        </w:rPr>
        <w:t xml:space="preserve">art. 33a ust. </w:t>
      </w:r>
      <w:r w:rsidR="009F2D6E" w:rsidRPr="008D7149">
        <w:rPr>
          <w:rFonts w:ascii="Times New Roman" w:hAnsi="Times New Roman" w:cs="Times New Roman"/>
          <w:b/>
          <w:szCs w:val="24"/>
        </w:rPr>
        <w:t>4</w:t>
      </w:r>
      <w:r w:rsidR="009F2D6E" w:rsidRPr="008D7149">
        <w:rPr>
          <w:rFonts w:ascii="Times New Roman" w:hAnsi="Times New Roman" w:cs="Times New Roman"/>
          <w:szCs w:val="24"/>
        </w:rPr>
        <w:t xml:space="preserve"> </w:t>
      </w:r>
      <w:r w:rsidRPr="008D7149">
        <w:rPr>
          <w:rFonts w:ascii="Times New Roman" w:hAnsi="Times New Roman" w:cs="Times New Roman"/>
          <w:szCs w:val="24"/>
        </w:rPr>
        <w:t>Ustawy)</w:t>
      </w:r>
      <w:r w:rsidR="00400B91" w:rsidRPr="008D7149">
        <w:rPr>
          <w:rFonts w:ascii="Times New Roman" w:hAnsi="Times New Roman" w:cs="Times New Roman"/>
          <w:szCs w:val="24"/>
        </w:rPr>
        <w:t>.</w:t>
      </w:r>
    </w:p>
    <w:p w14:paraId="2D9BFEC6" w14:textId="3E456C6C" w:rsidR="00B2428E" w:rsidRPr="008D7149" w:rsidRDefault="00B2428E"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Projektowane brzmienie </w:t>
      </w:r>
      <w:r w:rsidRPr="008D7149">
        <w:rPr>
          <w:rFonts w:ascii="Times New Roman" w:hAnsi="Times New Roman" w:cs="Times New Roman"/>
          <w:b/>
          <w:sz w:val="24"/>
          <w:szCs w:val="24"/>
        </w:rPr>
        <w:t>art. 33b ust.</w:t>
      </w:r>
      <w:r w:rsidR="002425A5" w:rsidRPr="008D7149">
        <w:rPr>
          <w:rFonts w:ascii="Times New Roman" w:hAnsi="Times New Roman" w:cs="Times New Roman"/>
          <w:b/>
          <w:sz w:val="24"/>
          <w:szCs w:val="24"/>
        </w:rPr>
        <w:t xml:space="preserve"> 1</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Ustawy nakłada wymóg prowadzenia przez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wykazu banków hipotecznych</w:t>
      </w:r>
      <w:r w:rsidR="00A161C5" w:rsidRPr="008D7149">
        <w:rPr>
          <w:rFonts w:ascii="Times New Roman" w:hAnsi="Times New Roman" w:cs="Times New Roman"/>
          <w:sz w:val="24"/>
          <w:szCs w:val="24"/>
        </w:rPr>
        <w:t>. Wykaz ten</w:t>
      </w:r>
      <w:r w:rsidR="00383B20" w:rsidRPr="008D7149">
        <w:rPr>
          <w:rFonts w:ascii="Times New Roman" w:hAnsi="Times New Roman" w:cs="Times New Roman"/>
          <w:sz w:val="24"/>
          <w:szCs w:val="24"/>
        </w:rPr>
        <w:t>,</w:t>
      </w:r>
      <w:r w:rsidR="00A161C5" w:rsidRPr="008D7149">
        <w:rPr>
          <w:rFonts w:ascii="Times New Roman" w:hAnsi="Times New Roman" w:cs="Times New Roman"/>
          <w:sz w:val="24"/>
          <w:szCs w:val="24"/>
        </w:rPr>
        <w:t xml:space="preserve"> nie później niż do dnia 31 stycznia, będzie przekazywany przez </w:t>
      </w:r>
      <w:r w:rsidR="00E12859" w:rsidRPr="008D7149">
        <w:rPr>
          <w:rFonts w:ascii="Times New Roman" w:hAnsi="Times New Roman" w:cs="Times New Roman"/>
          <w:sz w:val="24"/>
          <w:szCs w:val="24"/>
        </w:rPr>
        <w:t>KNF</w:t>
      </w:r>
      <w:r w:rsidR="00A161C5" w:rsidRPr="008D7149">
        <w:rPr>
          <w:rFonts w:ascii="Times New Roman" w:hAnsi="Times New Roman" w:cs="Times New Roman"/>
          <w:sz w:val="24"/>
          <w:szCs w:val="24"/>
        </w:rPr>
        <w:t xml:space="preserve"> Europejskiemu Urzędowi Nadzoru Bankowego</w:t>
      </w:r>
      <w:r w:rsidR="00EF0A6A" w:rsidRPr="008D7149">
        <w:rPr>
          <w:rFonts w:ascii="Times New Roman" w:hAnsi="Times New Roman" w:cs="Times New Roman"/>
          <w:sz w:val="24"/>
          <w:szCs w:val="24"/>
        </w:rPr>
        <w:t xml:space="preserve"> (projektowany art. 33b ust.</w:t>
      </w:r>
      <w:r w:rsidR="00F16789" w:rsidRPr="008D7149">
        <w:rPr>
          <w:rFonts w:ascii="Times New Roman" w:hAnsi="Times New Roman" w:cs="Times New Roman"/>
          <w:sz w:val="24"/>
          <w:szCs w:val="24"/>
        </w:rPr>
        <w:t xml:space="preserve"> </w:t>
      </w:r>
      <w:r w:rsidR="00EF0A6A" w:rsidRPr="008D7149">
        <w:rPr>
          <w:rFonts w:ascii="Times New Roman" w:hAnsi="Times New Roman" w:cs="Times New Roman"/>
          <w:sz w:val="24"/>
          <w:szCs w:val="24"/>
        </w:rPr>
        <w:t>2 Ustawy)</w:t>
      </w:r>
      <w:r w:rsidR="00A161C5"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Komisja będzie również </w:t>
      </w:r>
      <w:r w:rsidR="006A0303" w:rsidRPr="008D7149">
        <w:rPr>
          <w:rFonts w:ascii="Times New Roman" w:hAnsi="Times New Roman" w:cs="Times New Roman"/>
          <w:sz w:val="24"/>
          <w:szCs w:val="24"/>
        </w:rPr>
        <w:t xml:space="preserve">udostępniała </w:t>
      </w:r>
      <w:r w:rsidR="00A161C5" w:rsidRPr="008D7149">
        <w:rPr>
          <w:rFonts w:ascii="Times New Roman" w:hAnsi="Times New Roman" w:cs="Times New Roman"/>
          <w:sz w:val="24"/>
          <w:szCs w:val="24"/>
        </w:rPr>
        <w:t xml:space="preserve">na swojej </w:t>
      </w:r>
      <w:r w:rsidR="006A0303" w:rsidRPr="008D7149">
        <w:rPr>
          <w:rFonts w:ascii="Times New Roman" w:hAnsi="Times New Roman" w:cs="Times New Roman"/>
          <w:sz w:val="24"/>
          <w:szCs w:val="24"/>
        </w:rPr>
        <w:t xml:space="preserve">stronie </w:t>
      </w:r>
      <w:r w:rsidR="009677ED" w:rsidRPr="008D7149">
        <w:rPr>
          <w:rFonts w:ascii="Times New Roman" w:hAnsi="Times New Roman" w:cs="Times New Roman"/>
          <w:sz w:val="24"/>
          <w:szCs w:val="24"/>
        </w:rPr>
        <w:t>wykaz</w:t>
      </w:r>
      <w:r w:rsidR="006A0303" w:rsidRPr="008D7149">
        <w:rPr>
          <w:rFonts w:ascii="Times New Roman" w:hAnsi="Times New Roman" w:cs="Times New Roman"/>
          <w:sz w:val="24"/>
          <w:szCs w:val="24"/>
        </w:rPr>
        <w:t xml:space="preserve"> emisj</w:t>
      </w:r>
      <w:r w:rsidR="009677ED" w:rsidRPr="008D7149">
        <w:rPr>
          <w:rFonts w:ascii="Times New Roman" w:hAnsi="Times New Roman" w:cs="Times New Roman"/>
          <w:sz w:val="24"/>
          <w:szCs w:val="24"/>
        </w:rPr>
        <w:t>i</w:t>
      </w:r>
      <w:r w:rsidR="006A0303" w:rsidRPr="008D7149">
        <w:rPr>
          <w:rFonts w:ascii="Times New Roman" w:hAnsi="Times New Roman" w:cs="Times New Roman"/>
          <w:sz w:val="24"/>
          <w:szCs w:val="24"/>
        </w:rPr>
        <w:t xml:space="preserve"> listów </w:t>
      </w:r>
      <w:r w:rsidRPr="008D7149">
        <w:rPr>
          <w:rFonts w:ascii="Times New Roman" w:hAnsi="Times New Roman" w:cs="Times New Roman"/>
          <w:sz w:val="24"/>
          <w:szCs w:val="24"/>
        </w:rPr>
        <w:t>zastawnych</w:t>
      </w:r>
      <w:r w:rsidR="00D528A2" w:rsidRPr="008D7149">
        <w:rPr>
          <w:rFonts w:ascii="Times New Roman" w:hAnsi="Times New Roman" w:cs="Times New Roman"/>
          <w:sz w:val="24"/>
          <w:szCs w:val="24"/>
        </w:rPr>
        <w:t xml:space="preserve">, w ramach których wyemitowano listy zastawne </w:t>
      </w:r>
      <w:r w:rsidRPr="008D7149">
        <w:rPr>
          <w:rFonts w:ascii="Times New Roman" w:hAnsi="Times New Roman" w:cs="Times New Roman"/>
          <w:sz w:val="24"/>
          <w:szCs w:val="24"/>
        </w:rPr>
        <w:t>oznaczon</w:t>
      </w:r>
      <w:r w:rsidR="00D528A2" w:rsidRPr="008D7149">
        <w:rPr>
          <w:rFonts w:ascii="Times New Roman" w:hAnsi="Times New Roman" w:cs="Times New Roman"/>
          <w:sz w:val="24"/>
          <w:szCs w:val="24"/>
        </w:rPr>
        <w:t>e</w:t>
      </w:r>
      <w:r w:rsidRPr="008D7149">
        <w:rPr>
          <w:rFonts w:ascii="Times New Roman" w:hAnsi="Times New Roman" w:cs="Times New Roman"/>
          <w:sz w:val="24"/>
          <w:szCs w:val="24"/>
        </w:rPr>
        <w:t xml:space="preserve"> jako „europejski list zastawny”</w:t>
      </w:r>
      <w:r w:rsidR="00D528A2" w:rsidRPr="008D7149">
        <w:rPr>
          <w:rFonts w:ascii="Times New Roman" w:hAnsi="Times New Roman" w:cs="Times New Roman"/>
          <w:sz w:val="24"/>
          <w:szCs w:val="24"/>
        </w:rPr>
        <w:t>,</w:t>
      </w:r>
      <w:r w:rsidRPr="008D7149">
        <w:rPr>
          <w:rFonts w:ascii="Times New Roman" w:hAnsi="Times New Roman" w:cs="Times New Roman"/>
          <w:sz w:val="24"/>
          <w:szCs w:val="24"/>
        </w:rPr>
        <w:t xml:space="preserve"> „europejska obligacja zabezpieczona”</w:t>
      </w:r>
      <w:r w:rsidR="00D528A2" w:rsidRPr="008D7149">
        <w:rPr>
          <w:rFonts w:ascii="Times New Roman" w:hAnsi="Times New Roman" w:cs="Times New Roman"/>
          <w:sz w:val="24"/>
          <w:szCs w:val="24"/>
        </w:rPr>
        <w:t xml:space="preserve">, „europejski list zastawny (premium)” lub „europejska obligacja zabezpieczona (premium)” </w:t>
      </w:r>
      <w:r w:rsidR="003509F8" w:rsidRPr="008D7149">
        <w:rPr>
          <w:rFonts w:ascii="Times New Roman" w:hAnsi="Times New Roman" w:cs="Times New Roman"/>
          <w:sz w:val="24"/>
          <w:szCs w:val="24"/>
        </w:rPr>
        <w:t xml:space="preserve">(projektowany </w:t>
      </w:r>
      <w:r w:rsidR="003509F8" w:rsidRPr="008D7149">
        <w:rPr>
          <w:rFonts w:ascii="Times New Roman" w:hAnsi="Times New Roman" w:cs="Times New Roman"/>
          <w:b/>
          <w:sz w:val="24"/>
          <w:szCs w:val="24"/>
        </w:rPr>
        <w:t>art. 33b ust. 4</w:t>
      </w:r>
      <w:r w:rsidR="003509F8" w:rsidRPr="008D7149">
        <w:rPr>
          <w:rFonts w:ascii="Times New Roman" w:hAnsi="Times New Roman" w:cs="Times New Roman"/>
          <w:sz w:val="24"/>
          <w:szCs w:val="24"/>
        </w:rPr>
        <w:t xml:space="preserve"> Ustawy). </w:t>
      </w:r>
      <w:r w:rsidR="00E12859" w:rsidRPr="008D7149">
        <w:rPr>
          <w:rFonts w:ascii="Times New Roman" w:hAnsi="Times New Roman" w:cs="Times New Roman"/>
          <w:sz w:val="24"/>
          <w:szCs w:val="24"/>
        </w:rPr>
        <w:t>KNF</w:t>
      </w:r>
      <w:r w:rsidR="003509F8" w:rsidRPr="008D7149">
        <w:rPr>
          <w:rFonts w:ascii="Times New Roman" w:hAnsi="Times New Roman" w:cs="Times New Roman"/>
          <w:sz w:val="24"/>
          <w:szCs w:val="24"/>
        </w:rPr>
        <w:t xml:space="preserve"> będzie również udostępniała na swojej stronie internetowej</w:t>
      </w:r>
      <w:r w:rsidR="00A161C5" w:rsidRPr="008D7149">
        <w:rPr>
          <w:rFonts w:ascii="Times New Roman" w:hAnsi="Times New Roman" w:cs="Times New Roman"/>
          <w:sz w:val="24"/>
          <w:szCs w:val="24"/>
        </w:rPr>
        <w:t xml:space="preserve"> </w:t>
      </w:r>
      <w:r w:rsidRPr="008D7149">
        <w:rPr>
          <w:rFonts w:ascii="Times New Roman" w:hAnsi="Times New Roman" w:cs="Times New Roman"/>
          <w:sz w:val="24"/>
          <w:szCs w:val="24"/>
        </w:rPr>
        <w:t>obowiązując</w:t>
      </w:r>
      <w:r w:rsidR="003509F8" w:rsidRPr="008D7149">
        <w:rPr>
          <w:rFonts w:ascii="Times New Roman" w:hAnsi="Times New Roman" w:cs="Times New Roman"/>
          <w:sz w:val="24"/>
          <w:szCs w:val="24"/>
        </w:rPr>
        <w:t>e</w:t>
      </w:r>
      <w:r w:rsidRPr="008D7149">
        <w:rPr>
          <w:rFonts w:ascii="Times New Roman" w:hAnsi="Times New Roman" w:cs="Times New Roman"/>
          <w:sz w:val="24"/>
          <w:szCs w:val="24"/>
        </w:rPr>
        <w:t xml:space="preserve"> </w:t>
      </w:r>
      <w:r w:rsidR="00A161C5" w:rsidRPr="008D7149">
        <w:rPr>
          <w:rFonts w:ascii="Times New Roman" w:hAnsi="Times New Roman" w:cs="Times New Roman"/>
          <w:sz w:val="24"/>
          <w:szCs w:val="24"/>
        </w:rPr>
        <w:t xml:space="preserve">i </w:t>
      </w:r>
      <w:r w:rsidRPr="008D7149">
        <w:rPr>
          <w:rFonts w:ascii="Times New Roman" w:hAnsi="Times New Roman" w:cs="Times New Roman"/>
          <w:sz w:val="24"/>
          <w:szCs w:val="24"/>
        </w:rPr>
        <w:t>projektowan</w:t>
      </w:r>
      <w:r w:rsidR="003509F8" w:rsidRPr="008D7149">
        <w:rPr>
          <w:rFonts w:ascii="Times New Roman" w:hAnsi="Times New Roman" w:cs="Times New Roman"/>
          <w:sz w:val="24"/>
          <w:szCs w:val="24"/>
        </w:rPr>
        <w:t>e</w:t>
      </w:r>
      <w:r w:rsidRPr="008D7149">
        <w:rPr>
          <w:rFonts w:ascii="Times New Roman" w:hAnsi="Times New Roman" w:cs="Times New Roman"/>
          <w:sz w:val="24"/>
          <w:szCs w:val="24"/>
        </w:rPr>
        <w:t xml:space="preserve"> przepis</w:t>
      </w:r>
      <w:r w:rsidR="003509F8" w:rsidRPr="008D7149">
        <w:rPr>
          <w:rFonts w:ascii="Times New Roman" w:hAnsi="Times New Roman" w:cs="Times New Roman"/>
          <w:sz w:val="24"/>
          <w:szCs w:val="24"/>
        </w:rPr>
        <w:t>y</w:t>
      </w:r>
      <w:r w:rsidRPr="008D7149">
        <w:rPr>
          <w:rFonts w:ascii="Times New Roman" w:hAnsi="Times New Roman" w:cs="Times New Roman"/>
          <w:sz w:val="24"/>
          <w:szCs w:val="24"/>
        </w:rPr>
        <w:t xml:space="preserve"> prawa powszechnie obowiązującego w zakresie </w:t>
      </w:r>
      <w:r w:rsidR="009677ED" w:rsidRPr="008D7149">
        <w:rPr>
          <w:rFonts w:ascii="Times New Roman" w:hAnsi="Times New Roman" w:cs="Times New Roman"/>
          <w:sz w:val="24"/>
          <w:szCs w:val="24"/>
        </w:rPr>
        <w:t xml:space="preserve">emisji </w:t>
      </w:r>
      <w:r w:rsidRPr="008D7149">
        <w:rPr>
          <w:rFonts w:ascii="Times New Roman" w:hAnsi="Times New Roman" w:cs="Times New Roman"/>
          <w:sz w:val="24"/>
          <w:szCs w:val="24"/>
        </w:rPr>
        <w:t xml:space="preserve">listów zastawnych, </w:t>
      </w:r>
      <w:r w:rsidR="009F5D38" w:rsidRPr="008D7149">
        <w:rPr>
          <w:rFonts w:ascii="Times New Roman" w:hAnsi="Times New Roman" w:cs="Times New Roman"/>
          <w:sz w:val="24"/>
          <w:szCs w:val="24"/>
        </w:rPr>
        <w:t xml:space="preserve">a także </w:t>
      </w:r>
      <w:r w:rsidRPr="008D7149">
        <w:rPr>
          <w:rFonts w:ascii="Times New Roman" w:hAnsi="Times New Roman" w:cs="Times New Roman"/>
          <w:sz w:val="24"/>
          <w:szCs w:val="24"/>
        </w:rPr>
        <w:lastRenderedPageBreak/>
        <w:t>wytyczn</w:t>
      </w:r>
      <w:r w:rsidR="009F5D38" w:rsidRPr="008D7149">
        <w:rPr>
          <w:rFonts w:ascii="Times New Roman" w:hAnsi="Times New Roman" w:cs="Times New Roman"/>
          <w:sz w:val="24"/>
          <w:szCs w:val="24"/>
        </w:rPr>
        <w:t>e</w:t>
      </w:r>
      <w:r w:rsidRPr="008D7149">
        <w:rPr>
          <w:rFonts w:ascii="Times New Roman" w:hAnsi="Times New Roman" w:cs="Times New Roman"/>
          <w:sz w:val="24"/>
          <w:szCs w:val="24"/>
        </w:rPr>
        <w:t xml:space="preserve"> i stanowisk</w:t>
      </w:r>
      <w:r w:rsidR="009F5D38" w:rsidRPr="008D7149">
        <w:rPr>
          <w:rFonts w:ascii="Times New Roman" w:hAnsi="Times New Roman" w:cs="Times New Roman"/>
          <w:sz w:val="24"/>
          <w:szCs w:val="24"/>
        </w:rPr>
        <w:t>a</w:t>
      </w:r>
      <w:r w:rsidRPr="008D7149">
        <w:rPr>
          <w:rFonts w:ascii="Times New Roman" w:hAnsi="Times New Roman" w:cs="Times New Roman"/>
          <w:sz w:val="24"/>
          <w:szCs w:val="24"/>
        </w:rPr>
        <w:t xml:space="preserve">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oraz wytyczn</w:t>
      </w:r>
      <w:r w:rsidR="009F5D38" w:rsidRPr="008D7149">
        <w:rPr>
          <w:rFonts w:ascii="Times New Roman" w:hAnsi="Times New Roman" w:cs="Times New Roman"/>
          <w:sz w:val="24"/>
          <w:szCs w:val="24"/>
        </w:rPr>
        <w:t>e</w:t>
      </w:r>
      <w:r w:rsidRPr="008D7149">
        <w:rPr>
          <w:rFonts w:ascii="Times New Roman" w:hAnsi="Times New Roman" w:cs="Times New Roman"/>
          <w:sz w:val="24"/>
          <w:szCs w:val="24"/>
        </w:rPr>
        <w:t xml:space="preserve"> europejskich urzędów nadzoru</w:t>
      </w:r>
      <w:r w:rsidR="009677ED" w:rsidRPr="008D7149">
        <w:rPr>
          <w:rFonts w:ascii="Times New Roman" w:hAnsi="Times New Roman" w:cs="Times New Roman"/>
          <w:sz w:val="24"/>
          <w:szCs w:val="24"/>
        </w:rPr>
        <w:t xml:space="preserve"> z tego zakresu</w:t>
      </w:r>
      <w:r w:rsidR="009F5D38" w:rsidRPr="008D7149">
        <w:rPr>
          <w:rFonts w:ascii="Times New Roman" w:hAnsi="Times New Roman" w:cs="Times New Roman"/>
          <w:sz w:val="24"/>
          <w:szCs w:val="24"/>
        </w:rPr>
        <w:t xml:space="preserve"> (projektowany </w:t>
      </w:r>
      <w:r w:rsidR="009F5D38" w:rsidRPr="008D7149">
        <w:rPr>
          <w:rFonts w:ascii="Times New Roman" w:hAnsi="Times New Roman" w:cs="Times New Roman"/>
          <w:b/>
          <w:sz w:val="24"/>
          <w:szCs w:val="24"/>
        </w:rPr>
        <w:t>art. 33b ust. 3</w:t>
      </w:r>
      <w:r w:rsidR="009F5D38" w:rsidRPr="008D7149">
        <w:rPr>
          <w:rFonts w:ascii="Times New Roman" w:hAnsi="Times New Roman" w:cs="Times New Roman"/>
          <w:sz w:val="24"/>
          <w:szCs w:val="24"/>
        </w:rPr>
        <w:t xml:space="preserve"> Ustawy)</w:t>
      </w:r>
      <w:r w:rsidRPr="008D7149">
        <w:rPr>
          <w:rFonts w:ascii="Times New Roman" w:hAnsi="Times New Roman" w:cs="Times New Roman"/>
          <w:sz w:val="24"/>
          <w:szCs w:val="24"/>
        </w:rPr>
        <w:t xml:space="preserve">. </w:t>
      </w:r>
      <w:r w:rsidR="00337992" w:rsidRPr="008D7149">
        <w:rPr>
          <w:rFonts w:ascii="Times New Roman" w:hAnsi="Times New Roman" w:cs="Times New Roman"/>
          <w:sz w:val="24"/>
          <w:szCs w:val="24"/>
        </w:rPr>
        <w:t xml:space="preserve">Na podstawie ust. 5 </w:t>
      </w:r>
      <w:r w:rsidR="00E12859" w:rsidRPr="008D7149">
        <w:rPr>
          <w:rFonts w:ascii="Times New Roman" w:hAnsi="Times New Roman" w:cs="Times New Roman"/>
          <w:sz w:val="24"/>
          <w:szCs w:val="24"/>
        </w:rPr>
        <w:t>KNF</w:t>
      </w:r>
      <w:r w:rsidR="00337992" w:rsidRPr="008D7149">
        <w:rPr>
          <w:rFonts w:ascii="Times New Roman" w:hAnsi="Times New Roman" w:cs="Times New Roman"/>
          <w:sz w:val="24"/>
          <w:szCs w:val="24"/>
        </w:rPr>
        <w:t xml:space="preserve"> jest zobowiązana do aktualizacji informacji i wykazów udostępnianych na stronie internetowej.</w:t>
      </w:r>
    </w:p>
    <w:p w14:paraId="4421C456" w14:textId="0910EA52" w:rsidR="00453047" w:rsidRPr="008D7149" w:rsidRDefault="008275C6"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Projektowane brzmienie</w:t>
      </w:r>
      <w:r w:rsidRPr="008D7149">
        <w:rPr>
          <w:rFonts w:ascii="Times New Roman" w:hAnsi="Times New Roman" w:cs="Times New Roman"/>
          <w:b/>
          <w:sz w:val="24"/>
          <w:szCs w:val="24"/>
        </w:rPr>
        <w:t xml:space="preserve"> art. 33c ust. 1 </w:t>
      </w:r>
      <w:r w:rsidRPr="008D7149">
        <w:rPr>
          <w:rFonts w:ascii="Times New Roman" w:hAnsi="Times New Roman" w:cs="Times New Roman"/>
          <w:sz w:val="24"/>
          <w:szCs w:val="24"/>
        </w:rPr>
        <w:t>Ustawy</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przewiduje</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wprowadzenie obowiązku banku hipotecznego</w:t>
      </w:r>
      <w:r w:rsidR="00907E49" w:rsidRPr="008D7149">
        <w:rPr>
          <w:rFonts w:ascii="Times New Roman" w:hAnsi="Times New Roman" w:cs="Times New Roman"/>
          <w:sz w:val="24"/>
          <w:szCs w:val="24"/>
        </w:rPr>
        <w:t>,</w:t>
      </w:r>
      <w:r w:rsidRPr="008D7149">
        <w:rPr>
          <w:rFonts w:ascii="Times New Roman" w:hAnsi="Times New Roman" w:cs="Times New Roman"/>
          <w:sz w:val="24"/>
          <w:szCs w:val="24"/>
        </w:rPr>
        <w:t xml:space="preserve"> polegając</w:t>
      </w:r>
      <w:r w:rsidR="002C0A64" w:rsidRPr="008D7149">
        <w:rPr>
          <w:rFonts w:ascii="Times New Roman" w:hAnsi="Times New Roman" w:cs="Times New Roman"/>
          <w:sz w:val="24"/>
          <w:szCs w:val="24"/>
        </w:rPr>
        <w:t>ego</w:t>
      </w:r>
      <w:r w:rsidRPr="008D7149">
        <w:rPr>
          <w:rFonts w:ascii="Times New Roman" w:hAnsi="Times New Roman" w:cs="Times New Roman"/>
          <w:sz w:val="24"/>
          <w:szCs w:val="24"/>
        </w:rPr>
        <w:t xml:space="preserve"> na przekazywaniu do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informacji dotyczących emisji listów zastawnych oraz określa zakres tych informacji. </w:t>
      </w:r>
      <w:r w:rsidRPr="008D7149">
        <w:rPr>
          <w:rFonts w:ascii="Times New Roman" w:hAnsi="Times New Roman" w:cs="Times New Roman"/>
          <w:b/>
          <w:sz w:val="24"/>
          <w:szCs w:val="24"/>
        </w:rPr>
        <w:t xml:space="preserve">Art. 33c ust. </w:t>
      </w:r>
      <w:r w:rsidR="009F5D38" w:rsidRPr="008D7149">
        <w:rPr>
          <w:rFonts w:ascii="Times New Roman" w:hAnsi="Times New Roman" w:cs="Times New Roman"/>
          <w:b/>
          <w:sz w:val="24"/>
          <w:szCs w:val="24"/>
        </w:rPr>
        <w:t>2</w:t>
      </w:r>
      <w:r w:rsidR="00AF4A7B" w:rsidRPr="008D7149">
        <w:rPr>
          <w:rFonts w:ascii="Times New Roman" w:hAnsi="Times New Roman" w:cs="Times New Roman"/>
          <w:sz w:val="24"/>
          <w:szCs w:val="24"/>
        </w:rPr>
        <w:t xml:space="preserve"> </w:t>
      </w:r>
      <w:r w:rsidR="002C0A64" w:rsidRPr="008D7149">
        <w:rPr>
          <w:rFonts w:ascii="Times New Roman" w:hAnsi="Times New Roman" w:cs="Times New Roman"/>
          <w:sz w:val="24"/>
          <w:szCs w:val="24"/>
        </w:rPr>
        <w:t xml:space="preserve">Ustawy </w:t>
      </w:r>
      <w:r w:rsidRPr="008D7149">
        <w:rPr>
          <w:rFonts w:ascii="Times New Roman" w:hAnsi="Times New Roman" w:cs="Times New Roman"/>
          <w:sz w:val="24"/>
          <w:szCs w:val="24"/>
        </w:rPr>
        <w:t>wskazuje, że informacje te bank hipoteczny przekazuje również w przypadku upadłości</w:t>
      </w:r>
      <w:r w:rsidR="00013D4A" w:rsidRPr="008D7149">
        <w:rPr>
          <w:rFonts w:ascii="Times New Roman" w:hAnsi="Times New Roman" w:cs="Times New Roman"/>
          <w:sz w:val="24"/>
          <w:szCs w:val="24"/>
        </w:rPr>
        <w:t xml:space="preserve"> lub oddalenia przez sąd wniosku o ogłoszenie upadłości </w:t>
      </w:r>
      <w:r w:rsidRPr="008D7149">
        <w:rPr>
          <w:rFonts w:ascii="Times New Roman" w:hAnsi="Times New Roman" w:cs="Times New Roman"/>
          <w:sz w:val="24"/>
          <w:szCs w:val="24"/>
        </w:rPr>
        <w:t>albo wszczęcia przymusowej restrukturyzacji</w:t>
      </w:r>
      <w:r w:rsidR="00D528A2" w:rsidRPr="008D7149">
        <w:rPr>
          <w:rFonts w:ascii="Times New Roman" w:hAnsi="Times New Roman" w:cs="Times New Roman"/>
          <w:sz w:val="24"/>
          <w:szCs w:val="24"/>
        </w:rPr>
        <w:t xml:space="preserve"> lub uporządkowanej likwidacji</w:t>
      </w:r>
      <w:r w:rsidRPr="008D7149">
        <w:rPr>
          <w:rFonts w:ascii="Times New Roman" w:hAnsi="Times New Roman" w:cs="Times New Roman"/>
          <w:sz w:val="24"/>
          <w:szCs w:val="24"/>
        </w:rPr>
        <w:t>.</w:t>
      </w:r>
      <w:r w:rsidR="002C0A64" w:rsidRPr="008D7149">
        <w:rPr>
          <w:rFonts w:ascii="Times New Roman" w:hAnsi="Times New Roman" w:cs="Times New Roman"/>
          <w:sz w:val="24"/>
          <w:szCs w:val="24"/>
        </w:rPr>
        <w:t xml:space="preserve"> </w:t>
      </w:r>
      <w:r w:rsidR="00453047" w:rsidRPr="008D7149">
        <w:rPr>
          <w:rFonts w:ascii="Times New Roman" w:hAnsi="Times New Roman" w:cs="Times New Roman"/>
          <w:sz w:val="24"/>
          <w:szCs w:val="24"/>
        </w:rPr>
        <w:t xml:space="preserve">Zgodnie z </w:t>
      </w:r>
      <w:r w:rsidR="00453047" w:rsidRPr="008D7149">
        <w:rPr>
          <w:rFonts w:ascii="Times New Roman" w:hAnsi="Times New Roman" w:cs="Times New Roman"/>
          <w:b/>
          <w:sz w:val="24"/>
          <w:szCs w:val="24"/>
        </w:rPr>
        <w:t>art. 33c ust. 3</w:t>
      </w:r>
      <w:r w:rsidR="00EB35EA" w:rsidRPr="008D7149">
        <w:rPr>
          <w:rFonts w:ascii="Times New Roman" w:hAnsi="Times New Roman" w:cs="Times New Roman"/>
          <w:b/>
          <w:sz w:val="24"/>
          <w:szCs w:val="24"/>
        </w:rPr>
        <w:t xml:space="preserve"> </w:t>
      </w:r>
      <w:r w:rsidR="00EB35EA" w:rsidRPr="008D7149">
        <w:rPr>
          <w:rFonts w:ascii="Times New Roman" w:hAnsi="Times New Roman" w:cs="Times New Roman"/>
          <w:sz w:val="24"/>
          <w:szCs w:val="24"/>
        </w:rPr>
        <w:t>Ustawy</w:t>
      </w:r>
      <w:r w:rsidR="00453047" w:rsidRPr="008D7149">
        <w:rPr>
          <w:rFonts w:ascii="Times New Roman" w:hAnsi="Times New Roman" w:cs="Times New Roman"/>
          <w:sz w:val="24"/>
          <w:szCs w:val="24"/>
        </w:rPr>
        <w:t>, informacje o których mowa w ust. 1 ww. artykułu, będą przekazywane za pomocą środków komunikacji elektronicznej w rozumieniu art. 2 pkt 5 ustawy z dnia 18 lipca 2002 r. o świadczeniu usług drogą elektroniczną.</w:t>
      </w:r>
    </w:p>
    <w:p w14:paraId="5E75E577" w14:textId="68FA0C13" w:rsidR="002B7950" w:rsidRPr="008D7149" w:rsidRDefault="002C0A64"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Dodatkowo </w:t>
      </w:r>
      <w:r w:rsidRPr="008D7149">
        <w:rPr>
          <w:rFonts w:ascii="Times New Roman" w:hAnsi="Times New Roman" w:cs="Times New Roman"/>
          <w:b/>
          <w:sz w:val="24"/>
          <w:szCs w:val="24"/>
        </w:rPr>
        <w:t xml:space="preserve">art. </w:t>
      </w:r>
      <w:r w:rsidR="00FF582C" w:rsidRPr="008D7149">
        <w:rPr>
          <w:rFonts w:ascii="Times New Roman" w:hAnsi="Times New Roman" w:cs="Times New Roman"/>
          <w:b/>
          <w:sz w:val="24"/>
          <w:szCs w:val="24"/>
        </w:rPr>
        <w:t>20</w:t>
      </w:r>
      <w:r w:rsidRPr="008D7149">
        <w:rPr>
          <w:rFonts w:ascii="Times New Roman" w:hAnsi="Times New Roman" w:cs="Times New Roman"/>
          <w:b/>
          <w:sz w:val="24"/>
          <w:szCs w:val="24"/>
        </w:rPr>
        <w:t xml:space="preserve"> ust. 2</w:t>
      </w:r>
      <w:r w:rsidR="009F5D38" w:rsidRPr="008D7149">
        <w:rPr>
          <w:rFonts w:ascii="Times New Roman" w:hAnsi="Times New Roman" w:cs="Times New Roman"/>
          <w:b/>
          <w:sz w:val="24"/>
          <w:szCs w:val="24"/>
        </w:rPr>
        <w:t xml:space="preserve"> </w:t>
      </w:r>
      <w:r w:rsidRPr="008D7149">
        <w:rPr>
          <w:rFonts w:ascii="Times New Roman" w:hAnsi="Times New Roman" w:cs="Times New Roman"/>
          <w:sz w:val="24"/>
          <w:szCs w:val="24"/>
        </w:rPr>
        <w:t>Ustawy przewiduje przepis</w:t>
      </w:r>
      <w:r w:rsidR="004130D3" w:rsidRPr="008D7149">
        <w:rPr>
          <w:rFonts w:ascii="Times New Roman" w:hAnsi="Times New Roman" w:cs="Times New Roman"/>
          <w:sz w:val="24"/>
          <w:szCs w:val="24"/>
        </w:rPr>
        <w:t>y</w:t>
      </w:r>
      <w:r w:rsidRPr="008D7149">
        <w:rPr>
          <w:rFonts w:ascii="Times New Roman" w:hAnsi="Times New Roman" w:cs="Times New Roman"/>
          <w:sz w:val="24"/>
          <w:szCs w:val="24"/>
        </w:rPr>
        <w:t xml:space="preserve"> </w:t>
      </w:r>
      <w:r w:rsidR="008E67B5" w:rsidRPr="008D7149">
        <w:rPr>
          <w:rFonts w:ascii="Times New Roman" w:hAnsi="Times New Roman" w:cs="Times New Roman"/>
          <w:sz w:val="24"/>
          <w:szCs w:val="24"/>
        </w:rPr>
        <w:t>dostosowujące</w:t>
      </w:r>
      <w:r w:rsidRPr="008D7149">
        <w:rPr>
          <w:rFonts w:ascii="Times New Roman" w:hAnsi="Times New Roman" w:cs="Times New Roman"/>
          <w:sz w:val="24"/>
          <w:szCs w:val="24"/>
        </w:rPr>
        <w:t xml:space="preserve"> dotycząc</w:t>
      </w:r>
      <w:r w:rsidR="004130D3" w:rsidRPr="008D7149">
        <w:rPr>
          <w:rFonts w:ascii="Times New Roman" w:hAnsi="Times New Roman" w:cs="Times New Roman"/>
          <w:sz w:val="24"/>
          <w:szCs w:val="24"/>
        </w:rPr>
        <w:t>e</w:t>
      </w:r>
      <w:r w:rsidRPr="008D7149">
        <w:rPr>
          <w:rFonts w:ascii="Times New Roman" w:hAnsi="Times New Roman" w:cs="Times New Roman"/>
          <w:sz w:val="24"/>
          <w:szCs w:val="24"/>
        </w:rPr>
        <w:t xml:space="preserve"> pierwszego terminu przekazania tych informacji przez banki hipoteczne.</w:t>
      </w:r>
      <w:r w:rsidR="00293C66" w:rsidRPr="008D7149">
        <w:rPr>
          <w:rFonts w:ascii="Times New Roman" w:hAnsi="Times New Roman" w:cs="Times New Roman"/>
          <w:sz w:val="24"/>
          <w:szCs w:val="24"/>
        </w:rPr>
        <w:t xml:space="preserve"> </w:t>
      </w:r>
      <w:r w:rsidR="008275C6" w:rsidRPr="008D7149">
        <w:rPr>
          <w:rFonts w:ascii="Times New Roman" w:hAnsi="Times New Roman" w:cs="Times New Roman"/>
          <w:sz w:val="24"/>
          <w:szCs w:val="24"/>
        </w:rPr>
        <w:t xml:space="preserve">Jednocześnie kwestie dotyczące </w:t>
      </w:r>
      <w:r w:rsidR="00453047" w:rsidRPr="008D7149">
        <w:rPr>
          <w:rFonts w:ascii="Times New Roman" w:hAnsi="Times New Roman" w:cs="Times New Roman"/>
          <w:sz w:val="24"/>
          <w:szCs w:val="24"/>
        </w:rPr>
        <w:t xml:space="preserve">szczegółowego </w:t>
      </w:r>
      <w:r w:rsidR="008275C6" w:rsidRPr="008D7149">
        <w:rPr>
          <w:rFonts w:ascii="Times New Roman" w:hAnsi="Times New Roman" w:cs="Times New Roman"/>
          <w:sz w:val="24"/>
          <w:szCs w:val="24"/>
        </w:rPr>
        <w:t>zakresu</w:t>
      </w:r>
      <w:r w:rsidR="00483A30" w:rsidRPr="008D7149">
        <w:rPr>
          <w:rFonts w:ascii="Times New Roman" w:hAnsi="Times New Roman" w:cs="Times New Roman"/>
          <w:sz w:val="24"/>
          <w:szCs w:val="24"/>
        </w:rPr>
        <w:t xml:space="preserve"> informacji</w:t>
      </w:r>
      <w:r w:rsidR="008275C6" w:rsidRPr="008D7149">
        <w:rPr>
          <w:rFonts w:ascii="Times New Roman" w:hAnsi="Times New Roman" w:cs="Times New Roman"/>
          <w:sz w:val="24"/>
          <w:szCs w:val="24"/>
        </w:rPr>
        <w:t xml:space="preserve"> </w:t>
      </w:r>
      <w:r w:rsidR="00013D4A" w:rsidRPr="008D7149">
        <w:rPr>
          <w:rFonts w:ascii="Times New Roman" w:hAnsi="Times New Roman" w:cs="Times New Roman"/>
          <w:sz w:val="24"/>
          <w:szCs w:val="24"/>
        </w:rPr>
        <w:t xml:space="preserve">mogą </w:t>
      </w:r>
      <w:r w:rsidR="00483A30" w:rsidRPr="008D7149">
        <w:rPr>
          <w:rFonts w:ascii="Times New Roman" w:hAnsi="Times New Roman" w:cs="Times New Roman"/>
          <w:sz w:val="24"/>
          <w:szCs w:val="24"/>
        </w:rPr>
        <w:t>zosta</w:t>
      </w:r>
      <w:r w:rsidR="00013D4A" w:rsidRPr="008D7149">
        <w:rPr>
          <w:rFonts w:ascii="Times New Roman" w:hAnsi="Times New Roman" w:cs="Times New Roman"/>
          <w:sz w:val="24"/>
          <w:szCs w:val="24"/>
        </w:rPr>
        <w:t>ć</w:t>
      </w:r>
      <w:r w:rsidR="00483A30" w:rsidRPr="008D7149">
        <w:rPr>
          <w:rFonts w:ascii="Times New Roman" w:hAnsi="Times New Roman" w:cs="Times New Roman"/>
          <w:sz w:val="24"/>
          <w:szCs w:val="24"/>
        </w:rPr>
        <w:t xml:space="preserve"> uszczegółowione </w:t>
      </w:r>
      <w:r w:rsidR="008275C6" w:rsidRPr="008D7149">
        <w:rPr>
          <w:rFonts w:ascii="Times New Roman" w:hAnsi="Times New Roman" w:cs="Times New Roman"/>
          <w:sz w:val="24"/>
          <w:szCs w:val="24"/>
        </w:rPr>
        <w:t>w akcie wykonawczym wydawanym</w:t>
      </w:r>
      <w:r w:rsidR="00EC4025" w:rsidRPr="008D7149">
        <w:rPr>
          <w:rFonts w:ascii="Times New Roman" w:hAnsi="Times New Roman" w:cs="Times New Roman"/>
          <w:sz w:val="24"/>
          <w:szCs w:val="24"/>
        </w:rPr>
        <w:t xml:space="preserve">, po zasięgnięciu opinii </w:t>
      </w:r>
      <w:r w:rsidR="00E12859" w:rsidRPr="008D7149">
        <w:rPr>
          <w:rFonts w:ascii="Times New Roman" w:hAnsi="Times New Roman" w:cs="Times New Roman"/>
          <w:sz w:val="24"/>
          <w:szCs w:val="24"/>
        </w:rPr>
        <w:t>KNF</w:t>
      </w:r>
      <w:r w:rsidR="00EC4025" w:rsidRPr="008D7149">
        <w:rPr>
          <w:rFonts w:ascii="Times New Roman" w:hAnsi="Times New Roman" w:cs="Times New Roman"/>
          <w:sz w:val="24"/>
          <w:szCs w:val="24"/>
        </w:rPr>
        <w:t>,</w:t>
      </w:r>
      <w:r w:rsidR="008275C6" w:rsidRPr="008D7149">
        <w:rPr>
          <w:rFonts w:ascii="Times New Roman" w:hAnsi="Times New Roman" w:cs="Times New Roman"/>
          <w:sz w:val="24"/>
          <w:szCs w:val="24"/>
        </w:rPr>
        <w:t xml:space="preserve"> na podstawie projektowanego brzmienia </w:t>
      </w:r>
      <w:r w:rsidR="00EC4025" w:rsidRPr="008D7149">
        <w:rPr>
          <w:rFonts w:ascii="Times New Roman" w:hAnsi="Times New Roman" w:cs="Times New Roman"/>
          <w:b/>
          <w:sz w:val="24"/>
          <w:szCs w:val="24"/>
        </w:rPr>
        <w:t xml:space="preserve">art. 33c ust. </w:t>
      </w:r>
      <w:r w:rsidR="00453047" w:rsidRPr="008D7149">
        <w:rPr>
          <w:rFonts w:ascii="Times New Roman" w:hAnsi="Times New Roman" w:cs="Times New Roman"/>
          <w:b/>
          <w:sz w:val="24"/>
          <w:szCs w:val="24"/>
        </w:rPr>
        <w:t>4</w:t>
      </w:r>
      <w:r w:rsidR="00383B20" w:rsidRPr="008D7149">
        <w:rPr>
          <w:rFonts w:ascii="Times New Roman" w:hAnsi="Times New Roman" w:cs="Times New Roman"/>
          <w:sz w:val="24"/>
          <w:szCs w:val="24"/>
        </w:rPr>
        <w:t xml:space="preserve"> </w:t>
      </w:r>
      <w:r w:rsidR="008275C6" w:rsidRPr="008D7149">
        <w:rPr>
          <w:rFonts w:ascii="Times New Roman" w:hAnsi="Times New Roman" w:cs="Times New Roman"/>
          <w:sz w:val="24"/>
          <w:szCs w:val="24"/>
        </w:rPr>
        <w:t>Ustawy.</w:t>
      </w:r>
      <w:r w:rsidR="00501156" w:rsidRPr="008D7149">
        <w:rPr>
          <w:rFonts w:ascii="Times New Roman" w:hAnsi="Times New Roman" w:cs="Times New Roman"/>
          <w:sz w:val="24"/>
          <w:szCs w:val="24"/>
        </w:rPr>
        <w:t xml:space="preserve"> Przyjęte rozwiązanie umożliwia dostosowanie w sz</w:t>
      </w:r>
      <w:r w:rsidR="002B7950" w:rsidRPr="008D7149">
        <w:rPr>
          <w:rFonts w:ascii="Times New Roman" w:hAnsi="Times New Roman" w:cs="Times New Roman"/>
          <w:sz w:val="24"/>
          <w:szCs w:val="24"/>
        </w:rPr>
        <w:t>czegółowym</w:t>
      </w:r>
      <w:r w:rsidR="00501156" w:rsidRPr="008D7149">
        <w:rPr>
          <w:rFonts w:ascii="Times New Roman" w:hAnsi="Times New Roman" w:cs="Times New Roman"/>
          <w:sz w:val="24"/>
          <w:szCs w:val="24"/>
        </w:rPr>
        <w:t xml:space="preserve"> zakresie katalogu informacji</w:t>
      </w:r>
      <w:r w:rsidR="00A50E96" w:rsidRPr="008D7149">
        <w:rPr>
          <w:rFonts w:ascii="Times New Roman" w:hAnsi="Times New Roman" w:cs="Times New Roman"/>
          <w:sz w:val="24"/>
          <w:szCs w:val="24"/>
        </w:rPr>
        <w:t xml:space="preserve"> </w:t>
      </w:r>
      <w:r w:rsidR="00501156" w:rsidRPr="008D7149">
        <w:rPr>
          <w:rFonts w:ascii="Times New Roman" w:hAnsi="Times New Roman" w:cs="Times New Roman"/>
          <w:sz w:val="24"/>
          <w:szCs w:val="24"/>
        </w:rPr>
        <w:t xml:space="preserve">przekazywanych </w:t>
      </w:r>
      <w:r w:rsidR="00E12859" w:rsidRPr="008D7149">
        <w:rPr>
          <w:rFonts w:ascii="Times New Roman" w:hAnsi="Times New Roman" w:cs="Times New Roman"/>
          <w:sz w:val="24"/>
          <w:szCs w:val="24"/>
        </w:rPr>
        <w:t xml:space="preserve">KNF </w:t>
      </w:r>
      <w:r w:rsidR="00501156" w:rsidRPr="008D7149">
        <w:rPr>
          <w:rFonts w:ascii="Times New Roman" w:hAnsi="Times New Roman" w:cs="Times New Roman"/>
          <w:sz w:val="24"/>
          <w:szCs w:val="24"/>
        </w:rPr>
        <w:t>w związku ze sprawowanym nadzorem na</w:t>
      </w:r>
      <w:r w:rsidR="00723F58" w:rsidRPr="008D7149">
        <w:rPr>
          <w:rFonts w:ascii="Times New Roman" w:hAnsi="Times New Roman" w:cs="Times New Roman"/>
          <w:sz w:val="24"/>
          <w:szCs w:val="24"/>
        </w:rPr>
        <w:t>d</w:t>
      </w:r>
      <w:r w:rsidR="00501156" w:rsidRPr="008D7149">
        <w:rPr>
          <w:rFonts w:ascii="Times New Roman" w:hAnsi="Times New Roman" w:cs="Times New Roman"/>
          <w:sz w:val="24"/>
          <w:szCs w:val="24"/>
        </w:rPr>
        <w:t xml:space="preserve"> </w:t>
      </w:r>
      <w:r w:rsidR="00F50D5D" w:rsidRPr="008D7149">
        <w:rPr>
          <w:rFonts w:ascii="Times New Roman" w:hAnsi="Times New Roman" w:cs="Times New Roman"/>
          <w:sz w:val="24"/>
          <w:szCs w:val="24"/>
        </w:rPr>
        <w:t xml:space="preserve">działalnością banku hipotecznego w zakresie emitowania </w:t>
      </w:r>
      <w:r w:rsidR="00501156" w:rsidRPr="008D7149">
        <w:rPr>
          <w:rFonts w:ascii="Times New Roman" w:hAnsi="Times New Roman" w:cs="Times New Roman"/>
          <w:sz w:val="24"/>
          <w:szCs w:val="24"/>
        </w:rPr>
        <w:t>listów zastawnych, w toku funkcjonowania implementowanych rozwiązań dyrektywy 2019/2162.</w:t>
      </w:r>
    </w:p>
    <w:p w14:paraId="16743A50" w14:textId="5BAE2F42" w:rsidR="008D3C0F" w:rsidRPr="008D7149" w:rsidRDefault="005C7248"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brzmieniem projektowanego </w:t>
      </w:r>
      <w:r w:rsidRPr="008D7149">
        <w:rPr>
          <w:rFonts w:ascii="Times New Roman" w:hAnsi="Times New Roman" w:cs="Times New Roman"/>
          <w:b/>
          <w:sz w:val="24"/>
          <w:szCs w:val="24"/>
        </w:rPr>
        <w:t xml:space="preserve">art. 33d ust. 1 </w:t>
      </w:r>
      <w:r w:rsidRPr="008D7149">
        <w:rPr>
          <w:rFonts w:ascii="Times New Roman" w:hAnsi="Times New Roman" w:cs="Times New Roman"/>
          <w:sz w:val="24"/>
          <w:szCs w:val="24"/>
        </w:rPr>
        <w:t>Ustawy,</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określony zostanie katalog informacji, które bank hipoteczny zamieszcza na swojej </w:t>
      </w:r>
      <w:r w:rsidR="00420AB2">
        <w:rPr>
          <w:rFonts w:ascii="Times New Roman" w:hAnsi="Times New Roman" w:cs="Times New Roman"/>
          <w:sz w:val="24"/>
          <w:szCs w:val="24"/>
        </w:rPr>
        <w:t xml:space="preserve">stronie </w:t>
      </w:r>
      <w:r w:rsidRPr="008D7149">
        <w:rPr>
          <w:rFonts w:ascii="Times New Roman" w:eastAsia="Calibri" w:hAnsi="Times New Roman" w:cs="Times New Roman"/>
          <w:sz w:val="24"/>
          <w:szCs w:val="24"/>
        </w:rPr>
        <w:t>internetowej w zakresie dotycząc</w:t>
      </w:r>
      <w:r w:rsidR="00EF0A6A" w:rsidRPr="008D7149">
        <w:rPr>
          <w:rFonts w:ascii="Times New Roman" w:eastAsia="Calibri" w:hAnsi="Times New Roman" w:cs="Times New Roman"/>
          <w:sz w:val="24"/>
          <w:szCs w:val="24"/>
        </w:rPr>
        <w:t>ym</w:t>
      </w:r>
      <w:r w:rsidRPr="008D7149">
        <w:rPr>
          <w:rFonts w:ascii="Times New Roman" w:eastAsia="Calibri" w:hAnsi="Times New Roman" w:cs="Times New Roman"/>
          <w:sz w:val="24"/>
          <w:szCs w:val="24"/>
        </w:rPr>
        <w:t xml:space="preserve"> emisji listów zastawnych. Dane te bank hipoteczny będzie zamieszczał nie później niż do końca każdego kwartału, według stanu na ostatni dzień kwartału poprzedniego. </w:t>
      </w:r>
      <w:r w:rsidR="004F738D" w:rsidRPr="008D7149">
        <w:rPr>
          <w:rFonts w:ascii="Times New Roman" w:eastAsia="Calibri" w:hAnsi="Times New Roman" w:cs="Times New Roman"/>
          <w:sz w:val="24"/>
          <w:szCs w:val="24"/>
        </w:rPr>
        <w:t>Zapewni to</w:t>
      </w:r>
      <w:r w:rsidRPr="008D7149">
        <w:rPr>
          <w:rFonts w:ascii="Times New Roman" w:hAnsi="Times New Roman" w:cs="Times New Roman"/>
          <w:sz w:val="24"/>
          <w:szCs w:val="24"/>
        </w:rPr>
        <w:t xml:space="preserve"> inwestorom nabywającym listy zastawne dostęp do odpowiednich informacji o </w:t>
      </w:r>
      <w:r w:rsidR="00035BF8" w:rsidRPr="008D7149">
        <w:rPr>
          <w:rFonts w:ascii="Times New Roman" w:hAnsi="Times New Roman" w:cs="Times New Roman"/>
          <w:sz w:val="24"/>
          <w:szCs w:val="24"/>
        </w:rPr>
        <w:t xml:space="preserve">emitowanych listach zastawnych </w:t>
      </w:r>
      <w:r w:rsidRPr="008D7149">
        <w:rPr>
          <w:rFonts w:ascii="Times New Roman" w:hAnsi="Times New Roman" w:cs="Times New Roman"/>
          <w:sz w:val="24"/>
          <w:szCs w:val="24"/>
        </w:rPr>
        <w:t>i dokonanie odpowiedniej oceny ryzyka związanego z</w:t>
      </w:r>
      <w:r w:rsidR="00420AB2">
        <w:rPr>
          <w:rFonts w:ascii="Times New Roman" w:hAnsi="Times New Roman" w:cs="Times New Roman"/>
          <w:sz w:val="24"/>
          <w:szCs w:val="24"/>
        </w:rPr>
        <w:t xml:space="preserve"> </w:t>
      </w:r>
      <w:r w:rsidRPr="008D7149">
        <w:rPr>
          <w:rFonts w:ascii="Times New Roman" w:hAnsi="Times New Roman" w:cs="Times New Roman"/>
          <w:sz w:val="24"/>
          <w:szCs w:val="24"/>
        </w:rPr>
        <w:t xml:space="preserve">inwestycją w tę kategorię instrumentów finansowych. </w:t>
      </w:r>
      <w:r w:rsidR="008D582C" w:rsidRPr="008D7149">
        <w:rPr>
          <w:rFonts w:ascii="Times New Roman" w:hAnsi="Times New Roman" w:cs="Times New Roman"/>
          <w:sz w:val="24"/>
          <w:szCs w:val="24"/>
        </w:rPr>
        <w:t xml:space="preserve">Wśród </w:t>
      </w:r>
      <w:r w:rsidR="008D3C0F" w:rsidRPr="008D7149">
        <w:rPr>
          <w:rFonts w:ascii="Times New Roman" w:hAnsi="Times New Roman" w:cs="Times New Roman"/>
          <w:sz w:val="24"/>
          <w:szCs w:val="24"/>
        </w:rPr>
        <w:t xml:space="preserve">obligatoryjnie przedstawianych </w:t>
      </w:r>
      <w:r w:rsidR="008D582C" w:rsidRPr="008D7149">
        <w:rPr>
          <w:rFonts w:ascii="Times New Roman" w:hAnsi="Times New Roman" w:cs="Times New Roman"/>
          <w:sz w:val="24"/>
          <w:szCs w:val="24"/>
        </w:rPr>
        <w:t>informacji</w:t>
      </w:r>
      <w:r w:rsidR="008D3C0F" w:rsidRPr="008D7149">
        <w:rPr>
          <w:rFonts w:ascii="Times New Roman" w:hAnsi="Times New Roman" w:cs="Times New Roman"/>
          <w:sz w:val="24"/>
          <w:szCs w:val="24"/>
        </w:rPr>
        <w:t xml:space="preserve"> </w:t>
      </w:r>
      <w:r w:rsidR="008D582C" w:rsidRPr="008D7149">
        <w:rPr>
          <w:rFonts w:ascii="Times New Roman" w:hAnsi="Times New Roman" w:cs="Times New Roman"/>
          <w:sz w:val="24"/>
          <w:szCs w:val="24"/>
        </w:rPr>
        <w:t>znajd</w:t>
      </w:r>
      <w:r w:rsidR="008D3C0F" w:rsidRPr="008D7149">
        <w:rPr>
          <w:rFonts w:ascii="Times New Roman" w:hAnsi="Times New Roman" w:cs="Times New Roman"/>
          <w:sz w:val="24"/>
          <w:szCs w:val="24"/>
        </w:rPr>
        <w:t xml:space="preserve">ują </w:t>
      </w:r>
      <w:r w:rsidR="008D582C" w:rsidRPr="008D7149">
        <w:rPr>
          <w:rFonts w:ascii="Times New Roman" w:hAnsi="Times New Roman" w:cs="Times New Roman"/>
          <w:sz w:val="24"/>
          <w:szCs w:val="24"/>
        </w:rPr>
        <w:t>się m</w:t>
      </w:r>
      <w:r w:rsidR="008D3C0F" w:rsidRPr="008D7149">
        <w:rPr>
          <w:rFonts w:ascii="Times New Roman" w:hAnsi="Times New Roman" w:cs="Times New Roman"/>
          <w:sz w:val="24"/>
          <w:szCs w:val="24"/>
        </w:rPr>
        <w:t xml:space="preserve">iędzy innymi informacje </w:t>
      </w:r>
      <w:r w:rsidR="008D582C" w:rsidRPr="008D7149">
        <w:rPr>
          <w:rFonts w:ascii="Times New Roman" w:hAnsi="Times New Roman" w:cs="Times New Roman"/>
          <w:sz w:val="24"/>
          <w:szCs w:val="24"/>
        </w:rPr>
        <w:t xml:space="preserve">na temat </w:t>
      </w:r>
      <w:r w:rsidR="00A50E96" w:rsidRPr="008D7149">
        <w:rPr>
          <w:rFonts w:ascii="Times New Roman" w:hAnsi="Times New Roman" w:cs="Times New Roman"/>
          <w:sz w:val="24"/>
          <w:szCs w:val="24"/>
        </w:rPr>
        <w:t xml:space="preserve">rozkładu geograficznego aktywów stanowiących zabezpieczenie udzielonych kredytów, rodzaju takich aktywów, informacji na temat </w:t>
      </w:r>
      <w:r w:rsidR="008D582C" w:rsidRPr="008D7149">
        <w:rPr>
          <w:rFonts w:ascii="Times New Roman" w:hAnsi="Times New Roman" w:cs="Times New Roman"/>
          <w:sz w:val="24"/>
          <w:szCs w:val="24"/>
        </w:rPr>
        <w:t xml:space="preserve">kwoty </w:t>
      </w:r>
      <w:r w:rsidR="00043644" w:rsidRPr="008D7149">
        <w:rPr>
          <w:rFonts w:ascii="Times New Roman" w:hAnsi="Times New Roman" w:cs="Times New Roman"/>
          <w:sz w:val="24"/>
          <w:szCs w:val="24"/>
        </w:rPr>
        <w:t xml:space="preserve">związanych z </w:t>
      </w:r>
      <w:r w:rsidR="00A50E96" w:rsidRPr="008D7149">
        <w:rPr>
          <w:rFonts w:ascii="Times New Roman" w:hAnsi="Times New Roman" w:cs="Times New Roman"/>
          <w:sz w:val="24"/>
          <w:szCs w:val="24"/>
        </w:rPr>
        <w:t>nimi kredytów oraz metody wyceny takich aktywów</w:t>
      </w:r>
      <w:r w:rsidR="00035BF8" w:rsidRPr="008D7149">
        <w:rPr>
          <w:rFonts w:ascii="Times New Roman" w:hAnsi="Times New Roman" w:cs="Times New Roman"/>
          <w:sz w:val="24"/>
          <w:szCs w:val="24"/>
        </w:rPr>
        <w:t xml:space="preserve"> </w:t>
      </w:r>
      <w:r w:rsidR="008D3C0F" w:rsidRPr="008D7149">
        <w:rPr>
          <w:rFonts w:ascii="Times New Roman" w:hAnsi="Times New Roman" w:cs="Times New Roman"/>
          <w:sz w:val="24"/>
          <w:szCs w:val="24"/>
        </w:rPr>
        <w:t>(</w:t>
      </w:r>
      <w:r w:rsidR="008D3C0F" w:rsidRPr="008D7149">
        <w:rPr>
          <w:rFonts w:ascii="Times New Roman" w:hAnsi="Times New Roman" w:cs="Times New Roman"/>
          <w:b/>
          <w:sz w:val="24"/>
          <w:szCs w:val="24"/>
        </w:rPr>
        <w:t xml:space="preserve">art. 33d ust. 1 pkt </w:t>
      </w:r>
      <w:r w:rsidR="00E84875" w:rsidRPr="008D7149">
        <w:rPr>
          <w:rFonts w:ascii="Times New Roman" w:hAnsi="Times New Roman" w:cs="Times New Roman"/>
          <w:b/>
          <w:sz w:val="24"/>
          <w:szCs w:val="24"/>
        </w:rPr>
        <w:t xml:space="preserve">3 </w:t>
      </w:r>
      <w:r w:rsidR="00723F58" w:rsidRPr="008D7149">
        <w:rPr>
          <w:rFonts w:ascii="Times New Roman" w:hAnsi="Times New Roman" w:cs="Times New Roman"/>
          <w:sz w:val="24"/>
          <w:szCs w:val="24"/>
        </w:rPr>
        <w:t>Ustawy</w:t>
      </w:r>
      <w:r w:rsidR="008D3C0F" w:rsidRPr="008D7149">
        <w:rPr>
          <w:rFonts w:ascii="Times New Roman" w:hAnsi="Times New Roman" w:cs="Times New Roman"/>
          <w:sz w:val="24"/>
          <w:szCs w:val="24"/>
        </w:rPr>
        <w:t xml:space="preserve">), przy czym powinny one być w taki sposób udostępnione przez bank hipoteczny, aby inwestor mógł </w:t>
      </w:r>
      <w:r w:rsidR="004130D3" w:rsidRPr="008D7149">
        <w:rPr>
          <w:rFonts w:ascii="Times New Roman" w:hAnsi="Times New Roman" w:cs="Times New Roman"/>
          <w:sz w:val="24"/>
          <w:szCs w:val="24"/>
        </w:rPr>
        <w:t xml:space="preserve">prawidłowo </w:t>
      </w:r>
      <w:r w:rsidR="008D3C0F" w:rsidRPr="008D7149">
        <w:rPr>
          <w:rFonts w:ascii="Times New Roman" w:hAnsi="Times New Roman" w:cs="Times New Roman"/>
          <w:sz w:val="24"/>
          <w:szCs w:val="24"/>
        </w:rPr>
        <w:t>ocenić ryzyko związane z udzielonymi kredytami w aspekcie wartości zabezpieczeń dla tych kredytów (w całościowym ujęciu dla danej emisji).</w:t>
      </w:r>
    </w:p>
    <w:p w14:paraId="03EDC9BC" w14:textId="77777777" w:rsidR="004E53C9" w:rsidRPr="008D7149" w:rsidRDefault="000D2B7F"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Warto</w:t>
      </w:r>
      <w:r w:rsidR="00163EF9" w:rsidRPr="008D7149">
        <w:rPr>
          <w:rFonts w:ascii="Times New Roman" w:hAnsi="Times New Roman" w:cs="Times New Roman"/>
          <w:sz w:val="24"/>
          <w:szCs w:val="24"/>
        </w:rPr>
        <w:t xml:space="preserve"> wskazać, że </w:t>
      </w:r>
      <w:r w:rsidRPr="008D7149">
        <w:rPr>
          <w:rFonts w:ascii="Times New Roman" w:hAnsi="Times New Roman" w:cs="Times New Roman"/>
          <w:sz w:val="24"/>
          <w:szCs w:val="24"/>
        </w:rPr>
        <w:t xml:space="preserve">zgodnie z </w:t>
      </w:r>
      <w:r w:rsidR="00723F58" w:rsidRPr="008D7149">
        <w:rPr>
          <w:rFonts w:ascii="Times New Roman" w:hAnsi="Times New Roman" w:cs="Times New Roman"/>
          <w:sz w:val="24"/>
          <w:szCs w:val="24"/>
        </w:rPr>
        <w:t xml:space="preserve">projektowanym </w:t>
      </w:r>
      <w:r w:rsidRPr="008D7149">
        <w:rPr>
          <w:rFonts w:ascii="Times New Roman" w:hAnsi="Times New Roman" w:cs="Times New Roman"/>
          <w:b/>
          <w:sz w:val="24"/>
          <w:szCs w:val="24"/>
        </w:rPr>
        <w:t xml:space="preserve">art. 33d ust. 1 pkt </w:t>
      </w:r>
      <w:r w:rsidR="00E84875" w:rsidRPr="008D7149">
        <w:rPr>
          <w:rFonts w:ascii="Times New Roman" w:hAnsi="Times New Roman" w:cs="Times New Roman"/>
          <w:b/>
          <w:sz w:val="24"/>
          <w:szCs w:val="24"/>
        </w:rPr>
        <w:t>5</w:t>
      </w:r>
      <w:r w:rsidR="00E84875" w:rsidRPr="008D7149">
        <w:rPr>
          <w:rFonts w:ascii="Times New Roman" w:hAnsi="Times New Roman" w:cs="Times New Roman"/>
          <w:sz w:val="24"/>
          <w:szCs w:val="24"/>
        </w:rPr>
        <w:t xml:space="preserve"> </w:t>
      </w:r>
      <w:r w:rsidR="00723F58" w:rsidRPr="008D7149">
        <w:rPr>
          <w:rFonts w:ascii="Times New Roman" w:hAnsi="Times New Roman" w:cs="Times New Roman"/>
          <w:sz w:val="24"/>
          <w:szCs w:val="24"/>
        </w:rPr>
        <w:t xml:space="preserve">Ustawy </w:t>
      </w:r>
      <w:r w:rsidRPr="008D7149">
        <w:rPr>
          <w:rFonts w:ascii="Times New Roman" w:hAnsi="Times New Roman" w:cs="Times New Roman"/>
          <w:sz w:val="24"/>
          <w:szCs w:val="24"/>
        </w:rPr>
        <w:t>bank hipoteczny będzie zamieszcz</w:t>
      </w:r>
      <w:r w:rsidR="00163EF9" w:rsidRPr="008D7149">
        <w:rPr>
          <w:rFonts w:ascii="Times New Roman" w:hAnsi="Times New Roman" w:cs="Times New Roman"/>
          <w:sz w:val="24"/>
          <w:szCs w:val="24"/>
        </w:rPr>
        <w:t>ać</w:t>
      </w:r>
      <w:r w:rsidRPr="008D7149">
        <w:rPr>
          <w:rFonts w:ascii="Times New Roman" w:hAnsi="Times New Roman" w:cs="Times New Roman"/>
          <w:sz w:val="24"/>
          <w:szCs w:val="24"/>
        </w:rPr>
        <w:t xml:space="preserve"> </w:t>
      </w:r>
      <w:r w:rsidR="000F6045" w:rsidRPr="008D7149">
        <w:rPr>
          <w:rFonts w:ascii="Times New Roman" w:hAnsi="Times New Roman" w:cs="Times New Roman"/>
          <w:sz w:val="24"/>
          <w:szCs w:val="24"/>
        </w:rPr>
        <w:t xml:space="preserve">również </w:t>
      </w:r>
      <w:r w:rsidRPr="008D7149">
        <w:rPr>
          <w:rFonts w:ascii="Times New Roman" w:hAnsi="Times New Roman" w:cs="Times New Roman"/>
          <w:sz w:val="24"/>
          <w:szCs w:val="24"/>
        </w:rPr>
        <w:t xml:space="preserve">informacje o zdarzeniach, których wystąpienie powoduje przedłużenie terminu zapadalności listów zastawnych. </w:t>
      </w:r>
      <w:r w:rsidR="008E67B5" w:rsidRPr="008D7149">
        <w:rPr>
          <w:rFonts w:ascii="Times New Roman" w:hAnsi="Times New Roman" w:cs="Times New Roman"/>
          <w:sz w:val="24"/>
          <w:szCs w:val="24"/>
        </w:rPr>
        <w:t>Ww.</w:t>
      </w:r>
      <w:r w:rsidR="00C6135D" w:rsidRPr="008D7149">
        <w:rPr>
          <w:rFonts w:ascii="Times New Roman" w:hAnsi="Times New Roman" w:cs="Times New Roman"/>
          <w:sz w:val="24"/>
          <w:szCs w:val="24"/>
        </w:rPr>
        <w:t xml:space="preserve"> </w:t>
      </w:r>
      <w:r w:rsidR="00163EF9" w:rsidRPr="008D7149">
        <w:rPr>
          <w:rFonts w:ascii="Times New Roman" w:hAnsi="Times New Roman" w:cs="Times New Roman"/>
          <w:sz w:val="24"/>
          <w:szCs w:val="24"/>
        </w:rPr>
        <w:t xml:space="preserve">obowiązek informacyjny banku </w:t>
      </w:r>
      <w:r w:rsidRPr="008D7149">
        <w:rPr>
          <w:rFonts w:ascii="Times New Roman" w:hAnsi="Times New Roman" w:cs="Times New Roman"/>
          <w:sz w:val="24"/>
          <w:szCs w:val="24"/>
        </w:rPr>
        <w:t>stanowi implementację art. 14 ust. 2 lit. e dyrektywy 2019/2162</w:t>
      </w:r>
      <w:r w:rsidR="00163EF9" w:rsidRPr="008D7149">
        <w:rPr>
          <w:rFonts w:ascii="Times New Roman" w:hAnsi="Times New Roman" w:cs="Times New Roman"/>
          <w:sz w:val="24"/>
          <w:szCs w:val="24"/>
        </w:rPr>
        <w:t>, przy czym dotyczy on zdarzeń mogą</w:t>
      </w:r>
      <w:r w:rsidR="000F6045" w:rsidRPr="008D7149">
        <w:rPr>
          <w:rFonts w:ascii="Times New Roman" w:hAnsi="Times New Roman" w:cs="Times New Roman"/>
          <w:sz w:val="24"/>
          <w:szCs w:val="24"/>
        </w:rPr>
        <w:t>cych</w:t>
      </w:r>
      <w:r w:rsidR="00163EF9" w:rsidRPr="008D7149">
        <w:rPr>
          <w:rFonts w:ascii="Times New Roman" w:hAnsi="Times New Roman" w:cs="Times New Roman"/>
          <w:sz w:val="24"/>
          <w:szCs w:val="24"/>
        </w:rPr>
        <w:t xml:space="preserve"> wystąpić w przyszłości</w:t>
      </w:r>
      <w:r w:rsidR="000F6045" w:rsidRPr="008D7149">
        <w:rPr>
          <w:rFonts w:ascii="Times New Roman" w:hAnsi="Times New Roman" w:cs="Times New Roman"/>
          <w:sz w:val="24"/>
          <w:szCs w:val="24"/>
        </w:rPr>
        <w:t>, w</w:t>
      </w:r>
      <w:r w:rsidR="00163EF9" w:rsidRPr="008D7149">
        <w:rPr>
          <w:rFonts w:ascii="Times New Roman" w:hAnsi="Times New Roman" w:cs="Times New Roman"/>
          <w:sz w:val="24"/>
          <w:szCs w:val="24"/>
        </w:rPr>
        <w:t xml:space="preserve"> następstwie </w:t>
      </w:r>
      <w:r w:rsidR="00EC610E" w:rsidRPr="008D7149">
        <w:rPr>
          <w:rFonts w:ascii="Times New Roman" w:hAnsi="Times New Roman" w:cs="Times New Roman"/>
          <w:sz w:val="24"/>
          <w:szCs w:val="24"/>
        </w:rPr>
        <w:t xml:space="preserve">których </w:t>
      </w:r>
      <w:r w:rsidR="00163EF9" w:rsidRPr="008D7149">
        <w:rPr>
          <w:rFonts w:ascii="Times New Roman" w:hAnsi="Times New Roman" w:cs="Times New Roman"/>
          <w:sz w:val="24"/>
          <w:szCs w:val="24"/>
        </w:rPr>
        <w:t xml:space="preserve">pierwotny termin zapadalności emitowanych listów zastawnych </w:t>
      </w:r>
      <w:r w:rsidR="000F6045" w:rsidRPr="008D7149">
        <w:rPr>
          <w:rFonts w:ascii="Times New Roman" w:hAnsi="Times New Roman" w:cs="Times New Roman"/>
          <w:sz w:val="24"/>
          <w:szCs w:val="24"/>
        </w:rPr>
        <w:t xml:space="preserve">ulegnie przedłużeniu. </w:t>
      </w:r>
      <w:r w:rsidR="004E53C9" w:rsidRPr="008D7149">
        <w:rPr>
          <w:rFonts w:ascii="Times New Roman" w:hAnsi="Times New Roman" w:cs="Times New Roman"/>
          <w:sz w:val="24"/>
          <w:szCs w:val="24"/>
        </w:rPr>
        <w:t xml:space="preserve">W dyrektywie 2019/2162 </w:t>
      </w:r>
      <w:r w:rsidR="008E67B5" w:rsidRPr="008D7149">
        <w:rPr>
          <w:rFonts w:ascii="Times New Roman" w:hAnsi="Times New Roman" w:cs="Times New Roman"/>
          <w:sz w:val="24"/>
          <w:szCs w:val="24"/>
        </w:rPr>
        <w:t xml:space="preserve">wskazano, </w:t>
      </w:r>
      <w:r w:rsidR="004E53C9" w:rsidRPr="008D7149">
        <w:rPr>
          <w:rFonts w:ascii="Times New Roman" w:hAnsi="Times New Roman" w:cs="Times New Roman"/>
          <w:sz w:val="24"/>
          <w:szCs w:val="24"/>
        </w:rPr>
        <w:t>ż</w:t>
      </w:r>
      <w:r w:rsidR="008E67B5" w:rsidRPr="008D7149">
        <w:rPr>
          <w:rFonts w:ascii="Times New Roman" w:hAnsi="Times New Roman" w:cs="Times New Roman"/>
          <w:sz w:val="24"/>
          <w:szCs w:val="24"/>
        </w:rPr>
        <w:t>e</w:t>
      </w:r>
      <w:r w:rsidR="004E53C9" w:rsidRPr="008D7149">
        <w:rPr>
          <w:rFonts w:ascii="Times New Roman" w:hAnsi="Times New Roman" w:cs="Times New Roman"/>
          <w:sz w:val="24"/>
          <w:szCs w:val="24"/>
        </w:rPr>
        <w:t xml:space="preserve"> informacja </w:t>
      </w:r>
      <w:r w:rsidRPr="008D7149">
        <w:rPr>
          <w:rFonts w:ascii="Times New Roman" w:hAnsi="Times New Roman" w:cs="Times New Roman"/>
          <w:sz w:val="24"/>
          <w:szCs w:val="24"/>
        </w:rPr>
        <w:t xml:space="preserve">przekazywana inwestorom </w:t>
      </w:r>
      <w:r w:rsidR="00053EFC" w:rsidRPr="008D7149">
        <w:rPr>
          <w:rFonts w:ascii="Times New Roman" w:hAnsi="Times New Roman" w:cs="Times New Roman"/>
          <w:sz w:val="24"/>
          <w:szCs w:val="24"/>
        </w:rPr>
        <w:t>ma</w:t>
      </w:r>
      <w:r w:rsidR="000F6045"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zawierać </w:t>
      </w:r>
      <w:r w:rsidR="00035BF8" w:rsidRPr="008D7149">
        <w:rPr>
          <w:rFonts w:ascii="Times New Roman" w:hAnsi="Times New Roman" w:cs="Times New Roman"/>
          <w:i/>
          <w:sz w:val="24"/>
          <w:szCs w:val="24"/>
        </w:rPr>
        <w:t>„(…)</w:t>
      </w:r>
      <w:r w:rsidR="00E062E2" w:rsidRPr="008D7149">
        <w:rPr>
          <w:rFonts w:ascii="Times New Roman" w:hAnsi="Times New Roman" w:cs="Times New Roman"/>
          <w:i/>
          <w:sz w:val="24"/>
          <w:szCs w:val="24"/>
        </w:rPr>
        <w:t xml:space="preserve"> </w:t>
      </w:r>
      <w:r w:rsidRPr="008D7149">
        <w:rPr>
          <w:rFonts w:ascii="Times New Roman" w:hAnsi="Times New Roman" w:cs="Times New Roman"/>
          <w:i/>
          <w:sz w:val="24"/>
          <w:szCs w:val="24"/>
        </w:rPr>
        <w:t>w stosownych przypadkach, przegląd zdarzeń aktywujących przedłużenie terminu zapadalności</w:t>
      </w:r>
      <w:r w:rsidRPr="008D7149">
        <w:rPr>
          <w:rFonts w:ascii="Times New Roman" w:hAnsi="Times New Roman" w:cs="Times New Roman"/>
          <w:sz w:val="24"/>
          <w:szCs w:val="24"/>
        </w:rPr>
        <w:t>”</w:t>
      </w:r>
      <w:r w:rsidR="004E53C9" w:rsidRPr="008D7149">
        <w:rPr>
          <w:rFonts w:ascii="Times New Roman" w:hAnsi="Times New Roman" w:cs="Times New Roman"/>
          <w:sz w:val="24"/>
          <w:szCs w:val="24"/>
        </w:rPr>
        <w:t>, co</w:t>
      </w:r>
      <w:r w:rsidRPr="008D7149">
        <w:rPr>
          <w:rFonts w:ascii="Times New Roman" w:hAnsi="Times New Roman" w:cs="Times New Roman"/>
          <w:sz w:val="24"/>
          <w:szCs w:val="24"/>
        </w:rPr>
        <w:t xml:space="preserve"> uwzględnia opcjonalny charakter wprowadzenia przez poszczególne państwa członkowskie rozwiązań dotyczących przedłużenia terminu zapadalności obligacji zabezpieczonych. Dyrektywa</w:t>
      </w:r>
      <w:r w:rsidR="004E53C9" w:rsidRPr="008D7149">
        <w:rPr>
          <w:rFonts w:ascii="Times New Roman" w:hAnsi="Times New Roman" w:cs="Times New Roman"/>
          <w:sz w:val="24"/>
          <w:szCs w:val="24"/>
        </w:rPr>
        <w:t xml:space="preserve"> 2019/2162 </w:t>
      </w:r>
      <w:r w:rsidRPr="008D7149">
        <w:rPr>
          <w:rFonts w:ascii="Times New Roman" w:hAnsi="Times New Roman" w:cs="Times New Roman"/>
          <w:sz w:val="24"/>
          <w:szCs w:val="24"/>
        </w:rPr>
        <w:t>wymaga, aby zdarzenia pozwalające na przedłużenie przez emitentów terminów zapadalności były odpowiednio zdefiniowane w prawie krajowym (</w:t>
      </w:r>
      <w:r w:rsidR="004E53C9" w:rsidRPr="008D7149">
        <w:rPr>
          <w:rFonts w:ascii="Times New Roman" w:hAnsi="Times New Roman" w:cs="Times New Roman"/>
          <w:sz w:val="24"/>
          <w:szCs w:val="24"/>
        </w:rPr>
        <w:t xml:space="preserve">por. </w:t>
      </w:r>
      <w:r w:rsidRPr="008D7149">
        <w:rPr>
          <w:rFonts w:ascii="Times New Roman" w:hAnsi="Times New Roman" w:cs="Times New Roman"/>
          <w:sz w:val="24"/>
          <w:szCs w:val="24"/>
        </w:rPr>
        <w:t>art. 17</w:t>
      </w:r>
      <w:r w:rsidR="004E53C9" w:rsidRPr="008D7149">
        <w:rPr>
          <w:rFonts w:ascii="Times New Roman" w:hAnsi="Times New Roman" w:cs="Times New Roman"/>
          <w:sz w:val="24"/>
          <w:szCs w:val="24"/>
        </w:rPr>
        <w:t>), j</w:t>
      </w:r>
      <w:r w:rsidRPr="008D7149">
        <w:rPr>
          <w:rFonts w:ascii="Times New Roman" w:hAnsi="Times New Roman" w:cs="Times New Roman"/>
          <w:sz w:val="24"/>
          <w:szCs w:val="24"/>
        </w:rPr>
        <w:t>ednocześnie nie narzuca określonego katalogu zdarzeń, który</w:t>
      </w:r>
      <w:r w:rsidR="004E53C9" w:rsidRPr="008D7149">
        <w:rPr>
          <w:rFonts w:ascii="Times New Roman" w:hAnsi="Times New Roman" w:cs="Times New Roman"/>
          <w:sz w:val="24"/>
          <w:szCs w:val="24"/>
        </w:rPr>
        <w:t>ch wystąpienie skutkuje przedłużeniem zapadalności emitowanych obligacji zabezpieczonych</w:t>
      </w:r>
      <w:r w:rsidR="000F6045" w:rsidRPr="008D7149">
        <w:rPr>
          <w:rFonts w:ascii="Times New Roman" w:hAnsi="Times New Roman" w:cs="Times New Roman"/>
          <w:sz w:val="24"/>
          <w:szCs w:val="24"/>
        </w:rPr>
        <w:t xml:space="preserve"> (listów zastawnych).</w:t>
      </w:r>
    </w:p>
    <w:p w14:paraId="5460ED63" w14:textId="42BF2901" w:rsidR="00C94FFF" w:rsidRPr="008D7149" w:rsidRDefault="005C724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Szczegółowy zakres informacji </w:t>
      </w:r>
      <w:r w:rsidR="008E67B5" w:rsidRPr="008D7149">
        <w:rPr>
          <w:rFonts w:ascii="Times New Roman" w:hAnsi="Times New Roman" w:cs="Times New Roman"/>
          <w:sz w:val="24"/>
          <w:szCs w:val="24"/>
        </w:rPr>
        <w:t xml:space="preserve">przekazywanych przez banki hipoteczne </w:t>
      </w:r>
      <w:r w:rsidRPr="008D7149">
        <w:rPr>
          <w:rFonts w:ascii="Times New Roman" w:hAnsi="Times New Roman" w:cs="Times New Roman"/>
          <w:sz w:val="24"/>
          <w:szCs w:val="24"/>
        </w:rPr>
        <w:t>oraz sposób ich prezentacji może zostać określony w drodze aktu wykonawczego</w:t>
      </w:r>
      <w:r w:rsidR="00A41F39" w:rsidRPr="008D7149">
        <w:rPr>
          <w:rFonts w:ascii="Times New Roman" w:hAnsi="Times New Roman" w:cs="Times New Roman"/>
          <w:sz w:val="24"/>
          <w:szCs w:val="24"/>
        </w:rPr>
        <w:t xml:space="preserve"> </w:t>
      </w:r>
      <w:r w:rsidRPr="008D7149">
        <w:rPr>
          <w:rFonts w:ascii="Times New Roman" w:hAnsi="Times New Roman" w:cs="Times New Roman"/>
          <w:sz w:val="24"/>
          <w:szCs w:val="24"/>
        </w:rPr>
        <w:t>wydawanego</w:t>
      </w:r>
      <w:r w:rsidR="008E67B5" w:rsidRPr="008D7149">
        <w:rPr>
          <w:rFonts w:ascii="Times New Roman" w:hAnsi="Times New Roman" w:cs="Times New Roman"/>
          <w:sz w:val="24"/>
          <w:szCs w:val="24"/>
        </w:rPr>
        <w:t xml:space="preserve"> przez ministra właściwego do spraw instytucji finansowych</w:t>
      </w:r>
      <w:r w:rsidR="00A41F39" w:rsidRPr="008D7149">
        <w:rPr>
          <w:rFonts w:ascii="Times New Roman" w:hAnsi="Times New Roman" w:cs="Times New Roman"/>
          <w:sz w:val="24"/>
          <w:szCs w:val="24"/>
        </w:rPr>
        <w:t xml:space="preserve">, po zasięgnięciu opinii </w:t>
      </w:r>
      <w:r w:rsidR="00E12859" w:rsidRPr="008D7149">
        <w:rPr>
          <w:rFonts w:ascii="Times New Roman" w:hAnsi="Times New Roman" w:cs="Times New Roman"/>
          <w:sz w:val="24"/>
          <w:szCs w:val="24"/>
        </w:rPr>
        <w:t>KNF</w:t>
      </w:r>
      <w:r w:rsidR="00A41F39" w:rsidRPr="008D7149">
        <w:rPr>
          <w:rFonts w:ascii="Times New Roman" w:hAnsi="Times New Roman" w:cs="Times New Roman"/>
          <w:sz w:val="24"/>
          <w:szCs w:val="24"/>
        </w:rPr>
        <w:t>,</w:t>
      </w:r>
      <w:r w:rsidRPr="008D7149">
        <w:rPr>
          <w:rFonts w:ascii="Times New Roman" w:hAnsi="Times New Roman" w:cs="Times New Roman"/>
          <w:sz w:val="24"/>
          <w:szCs w:val="24"/>
        </w:rPr>
        <w:t xml:space="preserve"> na podstawie projektowanego brzmienia </w:t>
      </w:r>
      <w:r w:rsidRPr="008D7149">
        <w:rPr>
          <w:rFonts w:ascii="Times New Roman" w:hAnsi="Times New Roman" w:cs="Times New Roman"/>
          <w:b/>
          <w:sz w:val="24"/>
          <w:szCs w:val="24"/>
        </w:rPr>
        <w:t>art. 33</w:t>
      </w:r>
      <w:r w:rsidR="00464441" w:rsidRPr="008D7149">
        <w:rPr>
          <w:rFonts w:ascii="Times New Roman" w:hAnsi="Times New Roman" w:cs="Times New Roman"/>
          <w:b/>
          <w:sz w:val="24"/>
          <w:szCs w:val="24"/>
        </w:rPr>
        <w:t>d</w:t>
      </w:r>
      <w:r w:rsidRPr="008D7149">
        <w:rPr>
          <w:rFonts w:ascii="Times New Roman" w:hAnsi="Times New Roman" w:cs="Times New Roman"/>
          <w:b/>
          <w:sz w:val="24"/>
          <w:szCs w:val="24"/>
        </w:rPr>
        <w:t xml:space="preserve"> ust. 2</w:t>
      </w:r>
      <w:r w:rsidRPr="008D7149">
        <w:rPr>
          <w:rFonts w:ascii="Times New Roman" w:hAnsi="Times New Roman" w:cs="Times New Roman"/>
          <w:sz w:val="24"/>
          <w:szCs w:val="24"/>
        </w:rPr>
        <w:t xml:space="preserve"> Ustawy.</w:t>
      </w:r>
      <w:r w:rsidR="00A41F39" w:rsidRPr="008D7149">
        <w:rPr>
          <w:rFonts w:ascii="Times New Roman" w:hAnsi="Times New Roman" w:cs="Times New Roman"/>
          <w:sz w:val="24"/>
          <w:szCs w:val="24"/>
        </w:rPr>
        <w:t xml:space="preserve"> </w:t>
      </w:r>
      <w:r w:rsidR="004130D3" w:rsidRPr="008D7149">
        <w:rPr>
          <w:rFonts w:ascii="Times New Roman" w:hAnsi="Times New Roman" w:cs="Times New Roman"/>
          <w:sz w:val="24"/>
          <w:szCs w:val="24"/>
        </w:rPr>
        <w:t xml:space="preserve">Powyższe rozwiązanie w postaci fakultatywnego upoważnienia ustawowego </w:t>
      </w:r>
      <w:r w:rsidR="00C94FFF" w:rsidRPr="008D7149">
        <w:rPr>
          <w:rFonts w:ascii="Times New Roman" w:hAnsi="Times New Roman" w:cs="Times New Roman"/>
          <w:sz w:val="24"/>
          <w:szCs w:val="24"/>
        </w:rPr>
        <w:t xml:space="preserve">pozwoli na możliwie szybkie dostosowanie zakresu udostępnianych informacji </w:t>
      </w:r>
      <w:r w:rsidR="004130D3" w:rsidRPr="008D7149">
        <w:rPr>
          <w:rFonts w:ascii="Times New Roman" w:hAnsi="Times New Roman" w:cs="Times New Roman"/>
          <w:sz w:val="24"/>
          <w:szCs w:val="24"/>
        </w:rPr>
        <w:t xml:space="preserve">do ewentualnych </w:t>
      </w:r>
      <w:r w:rsidR="00112CAE" w:rsidRPr="008D7149">
        <w:rPr>
          <w:rFonts w:ascii="Times New Roman" w:hAnsi="Times New Roman" w:cs="Times New Roman"/>
          <w:sz w:val="24"/>
          <w:szCs w:val="24"/>
        </w:rPr>
        <w:t>nowych standardów</w:t>
      </w:r>
      <w:r w:rsidR="00EE039D" w:rsidRPr="008D7149">
        <w:rPr>
          <w:rFonts w:ascii="Times New Roman" w:hAnsi="Times New Roman" w:cs="Times New Roman"/>
          <w:sz w:val="24"/>
          <w:szCs w:val="24"/>
        </w:rPr>
        <w:t xml:space="preserve"> ujawniania informacji o emisj</w:t>
      </w:r>
      <w:r w:rsidR="00035BF8" w:rsidRPr="008D7149">
        <w:rPr>
          <w:rFonts w:ascii="Times New Roman" w:hAnsi="Times New Roman" w:cs="Times New Roman"/>
          <w:sz w:val="24"/>
          <w:szCs w:val="24"/>
        </w:rPr>
        <w:t>ach</w:t>
      </w:r>
      <w:r w:rsidR="00EE039D" w:rsidRPr="008D7149">
        <w:rPr>
          <w:rFonts w:ascii="Times New Roman" w:hAnsi="Times New Roman" w:cs="Times New Roman"/>
          <w:sz w:val="24"/>
          <w:szCs w:val="24"/>
        </w:rPr>
        <w:t xml:space="preserve"> listów zastawnych</w:t>
      </w:r>
      <w:r w:rsidR="00112CAE" w:rsidRPr="008D7149">
        <w:rPr>
          <w:rFonts w:ascii="Times New Roman" w:hAnsi="Times New Roman" w:cs="Times New Roman"/>
          <w:sz w:val="24"/>
          <w:szCs w:val="24"/>
        </w:rPr>
        <w:t xml:space="preserve"> na poziomie europejskim</w:t>
      </w:r>
      <w:r w:rsidR="004130D3" w:rsidRPr="008D7149">
        <w:rPr>
          <w:rFonts w:ascii="Times New Roman" w:hAnsi="Times New Roman" w:cs="Times New Roman"/>
          <w:sz w:val="24"/>
          <w:szCs w:val="24"/>
        </w:rPr>
        <w:t xml:space="preserve"> albo do standardów, które banki hipoteczne </w:t>
      </w:r>
      <w:r w:rsidR="00661702" w:rsidRPr="008D7149">
        <w:rPr>
          <w:rFonts w:ascii="Times New Roman" w:hAnsi="Times New Roman" w:cs="Times New Roman"/>
          <w:sz w:val="24"/>
          <w:szCs w:val="24"/>
        </w:rPr>
        <w:t xml:space="preserve">będą stosowały w praktyce. Rozwiązanie to umożliwi </w:t>
      </w:r>
      <w:r w:rsidR="00112CAE" w:rsidRPr="008D7149">
        <w:rPr>
          <w:rFonts w:ascii="Times New Roman" w:hAnsi="Times New Roman" w:cs="Times New Roman"/>
          <w:sz w:val="24"/>
          <w:szCs w:val="24"/>
        </w:rPr>
        <w:t>dostosowani</w:t>
      </w:r>
      <w:r w:rsidR="00661702" w:rsidRPr="008D7149">
        <w:rPr>
          <w:rFonts w:ascii="Times New Roman" w:hAnsi="Times New Roman" w:cs="Times New Roman"/>
          <w:sz w:val="24"/>
          <w:szCs w:val="24"/>
        </w:rPr>
        <w:t>e</w:t>
      </w:r>
      <w:r w:rsidR="008F778D" w:rsidRPr="008D7149">
        <w:rPr>
          <w:rFonts w:ascii="Times New Roman" w:hAnsi="Times New Roman" w:cs="Times New Roman"/>
          <w:sz w:val="24"/>
          <w:szCs w:val="24"/>
        </w:rPr>
        <w:t xml:space="preserve"> </w:t>
      </w:r>
      <w:r w:rsidR="00661702" w:rsidRPr="008D7149">
        <w:rPr>
          <w:rFonts w:ascii="Times New Roman" w:hAnsi="Times New Roman" w:cs="Times New Roman"/>
          <w:sz w:val="24"/>
          <w:szCs w:val="24"/>
        </w:rPr>
        <w:t xml:space="preserve">zakresu </w:t>
      </w:r>
      <w:r w:rsidR="008F778D" w:rsidRPr="008D7149">
        <w:rPr>
          <w:rFonts w:ascii="Times New Roman" w:hAnsi="Times New Roman" w:cs="Times New Roman"/>
          <w:sz w:val="24"/>
          <w:szCs w:val="24"/>
        </w:rPr>
        <w:t>szczegółowych</w:t>
      </w:r>
      <w:r w:rsidR="00C338B4" w:rsidRPr="008D7149">
        <w:rPr>
          <w:rFonts w:ascii="Times New Roman" w:hAnsi="Times New Roman" w:cs="Times New Roman"/>
          <w:sz w:val="24"/>
          <w:szCs w:val="24"/>
        </w:rPr>
        <w:t xml:space="preserve"> informacji </w:t>
      </w:r>
      <w:r w:rsidR="00661702" w:rsidRPr="008D7149">
        <w:rPr>
          <w:rFonts w:ascii="Times New Roman" w:hAnsi="Times New Roman" w:cs="Times New Roman"/>
          <w:sz w:val="24"/>
          <w:szCs w:val="24"/>
        </w:rPr>
        <w:t xml:space="preserve">także </w:t>
      </w:r>
      <w:r w:rsidR="00112CAE" w:rsidRPr="008D7149">
        <w:rPr>
          <w:rFonts w:ascii="Times New Roman" w:hAnsi="Times New Roman" w:cs="Times New Roman"/>
          <w:sz w:val="24"/>
          <w:szCs w:val="24"/>
        </w:rPr>
        <w:t xml:space="preserve">do </w:t>
      </w:r>
      <w:r w:rsidR="00EE039D" w:rsidRPr="008D7149">
        <w:rPr>
          <w:rFonts w:ascii="Times New Roman" w:hAnsi="Times New Roman" w:cs="Times New Roman"/>
          <w:sz w:val="24"/>
          <w:szCs w:val="24"/>
        </w:rPr>
        <w:t xml:space="preserve">zmieniających się </w:t>
      </w:r>
      <w:r w:rsidR="00112CAE" w:rsidRPr="008D7149">
        <w:rPr>
          <w:rFonts w:ascii="Times New Roman" w:hAnsi="Times New Roman" w:cs="Times New Roman"/>
          <w:sz w:val="24"/>
          <w:szCs w:val="24"/>
        </w:rPr>
        <w:t>uwarunkowań rynkowych.</w:t>
      </w:r>
    </w:p>
    <w:p w14:paraId="257FE2BB" w14:textId="0A829C44" w:rsidR="005C7248" w:rsidRPr="008D7149" w:rsidRDefault="002C0A64"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Dodatkowo </w:t>
      </w:r>
      <w:r w:rsidRPr="008D7149">
        <w:rPr>
          <w:rFonts w:ascii="Times New Roman" w:hAnsi="Times New Roman" w:cs="Times New Roman"/>
          <w:b/>
          <w:sz w:val="24"/>
          <w:szCs w:val="24"/>
        </w:rPr>
        <w:t xml:space="preserve">art. </w:t>
      </w:r>
      <w:r w:rsidR="00FF582C" w:rsidRPr="008D7149">
        <w:rPr>
          <w:rFonts w:ascii="Times New Roman" w:hAnsi="Times New Roman" w:cs="Times New Roman"/>
          <w:b/>
          <w:sz w:val="24"/>
          <w:szCs w:val="24"/>
        </w:rPr>
        <w:t>20</w:t>
      </w:r>
      <w:r w:rsidRPr="008D7149">
        <w:rPr>
          <w:rFonts w:ascii="Times New Roman" w:hAnsi="Times New Roman" w:cs="Times New Roman"/>
          <w:b/>
          <w:sz w:val="24"/>
          <w:szCs w:val="24"/>
        </w:rPr>
        <w:t xml:space="preserve"> ust. </w:t>
      </w:r>
      <w:r w:rsidR="00A50E96" w:rsidRPr="008D7149">
        <w:rPr>
          <w:rFonts w:ascii="Times New Roman" w:hAnsi="Times New Roman" w:cs="Times New Roman"/>
          <w:b/>
          <w:sz w:val="24"/>
          <w:szCs w:val="24"/>
        </w:rPr>
        <w:t>3</w:t>
      </w:r>
      <w:r w:rsidRPr="008D7149">
        <w:rPr>
          <w:rFonts w:ascii="Times New Roman" w:hAnsi="Times New Roman" w:cs="Times New Roman"/>
          <w:sz w:val="24"/>
          <w:szCs w:val="24"/>
        </w:rPr>
        <w:t xml:space="preserve"> Ustawy przewiduje przepis </w:t>
      </w:r>
      <w:r w:rsidR="008E67B5" w:rsidRPr="008D7149">
        <w:rPr>
          <w:rFonts w:ascii="Times New Roman" w:hAnsi="Times New Roman" w:cs="Times New Roman"/>
          <w:sz w:val="24"/>
          <w:szCs w:val="24"/>
        </w:rPr>
        <w:t>dostosowujący</w:t>
      </w:r>
      <w:r w:rsidRPr="008D7149">
        <w:rPr>
          <w:rFonts w:ascii="Times New Roman" w:hAnsi="Times New Roman" w:cs="Times New Roman"/>
          <w:sz w:val="24"/>
          <w:szCs w:val="24"/>
        </w:rPr>
        <w:t xml:space="preserve"> dotyczący pierwszego terminu udostępnienia tych informacji przez banki hipoteczne.</w:t>
      </w:r>
    </w:p>
    <w:p w14:paraId="01466ACA" w14:textId="4457E891" w:rsidR="00A40961" w:rsidRPr="00024084" w:rsidRDefault="00464441" w:rsidP="008D7149">
      <w:pPr>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8D7149">
        <w:rPr>
          <w:rFonts w:ascii="Times New Roman" w:eastAsia="Times New Roman" w:hAnsi="Times New Roman" w:cs="Times New Roman"/>
          <w:bCs/>
          <w:sz w:val="24"/>
          <w:szCs w:val="24"/>
          <w:lang w:eastAsia="pl-PL"/>
        </w:rPr>
        <w:t>W projektowany</w:t>
      </w:r>
      <w:r w:rsidR="00024084">
        <w:rPr>
          <w:rFonts w:ascii="Times New Roman" w:eastAsia="Times New Roman" w:hAnsi="Times New Roman" w:cs="Times New Roman"/>
          <w:bCs/>
          <w:sz w:val="24"/>
          <w:szCs w:val="24"/>
          <w:lang w:eastAsia="pl-PL"/>
        </w:rPr>
        <w:t>m</w:t>
      </w:r>
      <w:r w:rsidRPr="008D7149">
        <w:rPr>
          <w:rFonts w:ascii="Times New Roman" w:eastAsia="Times New Roman" w:hAnsi="Times New Roman" w:cs="Times New Roman"/>
          <w:bCs/>
          <w:sz w:val="24"/>
          <w:szCs w:val="24"/>
          <w:lang w:eastAsia="pl-PL"/>
        </w:rPr>
        <w:t xml:space="preserve"> brzmieniu </w:t>
      </w:r>
      <w:r w:rsidRPr="008D7149">
        <w:rPr>
          <w:rFonts w:ascii="Times New Roman" w:eastAsia="Times New Roman" w:hAnsi="Times New Roman" w:cs="Times New Roman"/>
          <w:b/>
          <w:bCs/>
          <w:sz w:val="24"/>
          <w:szCs w:val="24"/>
          <w:lang w:eastAsia="pl-PL"/>
        </w:rPr>
        <w:t>art. 33</w:t>
      </w:r>
      <w:r w:rsidR="002C0A64" w:rsidRPr="008D7149">
        <w:rPr>
          <w:rFonts w:ascii="Times New Roman" w:eastAsia="Times New Roman" w:hAnsi="Times New Roman" w:cs="Times New Roman"/>
          <w:b/>
          <w:bCs/>
          <w:sz w:val="24"/>
          <w:szCs w:val="24"/>
          <w:lang w:eastAsia="pl-PL"/>
        </w:rPr>
        <w:t>e</w:t>
      </w:r>
      <w:r w:rsidR="00024084" w:rsidRPr="00024084">
        <w:rPr>
          <w:rFonts w:ascii="Times New Roman" w:eastAsia="Times New Roman" w:hAnsi="Times New Roman" w:cs="Times New Roman"/>
          <w:b/>
          <w:bCs/>
          <w:sz w:val="24"/>
          <w:szCs w:val="24"/>
          <w:lang w:eastAsia="pl-PL"/>
        </w:rPr>
        <w:t>–</w:t>
      </w:r>
      <w:r w:rsidR="007E1870" w:rsidRPr="008D7149">
        <w:rPr>
          <w:rFonts w:ascii="Times New Roman" w:eastAsia="Times New Roman" w:hAnsi="Times New Roman" w:cs="Times New Roman"/>
          <w:b/>
          <w:bCs/>
          <w:sz w:val="24"/>
          <w:szCs w:val="24"/>
          <w:lang w:eastAsia="pl-PL"/>
        </w:rPr>
        <w:t>33</w:t>
      </w:r>
      <w:r w:rsidR="002C0A64" w:rsidRPr="008D7149">
        <w:rPr>
          <w:rFonts w:ascii="Times New Roman" w:eastAsia="Times New Roman" w:hAnsi="Times New Roman" w:cs="Times New Roman"/>
          <w:b/>
          <w:bCs/>
          <w:sz w:val="24"/>
          <w:szCs w:val="24"/>
          <w:lang w:eastAsia="pl-PL"/>
        </w:rPr>
        <w:t>h</w:t>
      </w:r>
      <w:r w:rsidRPr="008D7149">
        <w:rPr>
          <w:rFonts w:ascii="Times New Roman" w:eastAsia="Times New Roman" w:hAnsi="Times New Roman" w:cs="Times New Roman"/>
          <w:bCs/>
          <w:sz w:val="24"/>
          <w:szCs w:val="24"/>
          <w:lang w:eastAsia="pl-PL"/>
        </w:rPr>
        <w:t xml:space="preserve"> Ustawy przewidziano uprawnienia </w:t>
      </w:r>
      <w:r w:rsidR="00E12859" w:rsidRPr="008D7149">
        <w:rPr>
          <w:rFonts w:ascii="Times New Roman" w:hAnsi="Times New Roman" w:cs="Times New Roman"/>
          <w:sz w:val="24"/>
          <w:szCs w:val="24"/>
        </w:rPr>
        <w:t>KNF</w:t>
      </w:r>
      <w:r w:rsidRPr="008D7149">
        <w:rPr>
          <w:rFonts w:ascii="Times New Roman" w:eastAsia="Times New Roman" w:hAnsi="Times New Roman" w:cs="Times New Roman"/>
          <w:bCs/>
          <w:sz w:val="24"/>
          <w:szCs w:val="24"/>
          <w:lang w:eastAsia="pl-PL"/>
        </w:rPr>
        <w:t xml:space="preserve"> do nakładania sankcji administracyjnych oraz publikowania informacji o</w:t>
      </w:r>
      <w:r w:rsidR="00024084">
        <w:rPr>
          <w:rFonts w:ascii="Times New Roman" w:eastAsia="Times New Roman" w:hAnsi="Times New Roman" w:cs="Times New Roman"/>
          <w:bCs/>
          <w:sz w:val="24"/>
          <w:szCs w:val="24"/>
          <w:lang w:eastAsia="pl-PL"/>
        </w:rPr>
        <w:t xml:space="preserve"> </w:t>
      </w:r>
      <w:r w:rsidRPr="008D7149">
        <w:rPr>
          <w:rFonts w:ascii="Times New Roman" w:eastAsia="Times New Roman" w:hAnsi="Times New Roman" w:cs="Times New Roman"/>
          <w:bCs/>
          <w:sz w:val="24"/>
          <w:szCs w:val="24"/>
          <w:lang w:eastAsia="pl-PL"/>
        </w:rPr>
        <w:t>nałożonych sankcjach w przypadkach określonych w projekcie ustawy.</w:t>
      </w:r>
      <w:r w:rsidRPr="008D7149">
        <w:rPr>
          <w:rFonts w:ascii="Times New Roman" w:eastAsia="Calibri" w:hAnsi="Times New Roman" w:cs="Times New Roman"/>
          <w:sz w:val="24"/>
          <w:szCs w:val="24"/>
        </w:rPr>
        <w:t xml:space="preserve"> Powyższe regulacje stanowią transpozycję art. 23 i art. 24 dyrektywy 2019/2162.</w:t>
      </w:r>
      <w:r w:rsidR="00CC1DAB" w:rsidRPr="008D7149">
        <w:rPr>
          <w:rFonts w:ascii="Times New Roman" w:eastAsia="Calibri" w:hAnsi="Times New Roman" w:cs="Times New Roman"/>
          <w:sz w:val="24"/>
          <w:szCs w:val="24"/>
        </w:rPr>
        <w:t xml:space="preserve"> </w:t>
      </w:r>
    </w:p>
    <w:p w14:paraId="057B7DC9" w14:textId="6CA4B20A" w:rsidR="00A40961" w:rsidRPr="008D7149" w:rsidRDefault="00A40961" w:rsidP="008D7149">
      <w:pPr>
        <w:autoSpaceDE w:val="0"/>
        <w:autoSpaceDN w:val="0"/>
        <w:adjustRightInd w:val="0"/>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Ze względu na szczególny ka</w:t>
      </w:r>
      <w:r w:rsidR="00923001" w:rsidRPr="008D7149">
        <w:rPr>
          <w:rFonts w:ascii="Times New Roman" w:eastAsia="Calibri" w:hAnsi="Times New Roman" w:cs="Times New Roman"/>
          <w:sz w:val="24"/>
          <w:szCs w:val="24"/>
        </w:rPr>
        <w:t>talog sytuacji przewidzianych w</w:t>
      </w:r>
      <w:r w:rsidRPr="008D7149">
        <w:rPr>
          <w:rFonts w:ascii="Times New Roman" w:eastAsia="Calibri" w:hAnsi="Times New Roman" w:cs="Times New Roman"/>
          <w:sz w:val="24"/>
          <w:szCs w:val="24"/>
        </w:rPr>
        <w:t xml:space="preserve"> dyrektywie 2019/2162</w:t>
      </w:r>
      <w:r w:rsidR="00C52C7A" w:rsidRPr="008D7149">
        <w:rPr>
          <w:rFonts w:ascii="Times New Roman" w:eastAsia="Calibri" w:hAnsi="Times New Roman" w:cs="Times New Roman"/>
          <w:sz w:val="24"/>
          <w:szCs w:val="24"/>
        </w:rPr>
        <w:t xml:space="preserve"> </w:t>
      </w:r>
      <w:r w:rsidRPr="008D7149">
        <w:rPr>
          <w:rFonts w:ascii="Times New Roman" w:eastAsia="Calibri" w:hAnsi="Times New Roman" w:cs="Times New Roman"/>
          <w:sz w:val="24"/>
          <w:szCs w:val="24"/>
        </w:rPr>
        <w:t xml:space="preserve">przyjęto, że w przypadku naruszeń przepisów dotyczących emisji listów zastawnych będą miały zastosowanie sankcje administracyjne określone w przepisach niniejszej Ustawy, niezależnie </w:t>
      </w:r>
      <w:r w:rsidRPr="008D7149">
        <w:rPr>
          <w:rFonts w:ascii="Times New Roman" w:eastAsia="Calibri" w:hAnsi="Times New Roman" w:cs="Times New Roman"/>
          <w:sz w:val="24"/>
          <w:szCs w:val="24"/>
        </w:rPr>
        <w:lastRenderedPageBreak/>
        <w:t xml:space="preserve">od stosowania przez </w:t>
      </w:r>
      <w:r w:rsidR="00E12859" w:rsidRPr="008D7149">
        <w:rPr>
          <w:rFonts w:ascii="Times New Roman" w:hAnsi="Times New Roman" w:cs="Times New Roman"/>
          <w:sz w:val="24"/>
          <w:szCs w:val="24"/>
        </w:rPr>
        <w:t xml:space="preserve">KNF </w:t>
      </w:r>
      <w:r w:rsidRPr="008D7149">
        <w:rPr>
          <w:rFonts w:ascii="Times New Roman" w:eastAsia="Calibri" w:hAnsi="Times New Roman" w:cs="Times New Roman"/>
          <w:sz w:val="24"/>
          <w:szCs w:val="24"/>
        </w:rPr>
        <w:t>ogólnych środków prawnych, o których mowa w ustawie z dnia 27 sierpnia 1997 r. – Prawo bankowe</w:t>
      </w:r>
      <w:r w:rsidR="008E67B5"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i na zasadach tam określonych.</w:t>
      </w:r>
    </w:p>
    <w:p w14:paraId="6D95368C" w14:textId="51D28D09" w:rsidR="00E230C7" w:rsidRPr="008D7149" w:rsidRDefault="00A40961"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Przepisy przyznające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uprawnienie do nakładania sankcji administracyjnych implementują art. 23 dyrektywy 2019/2162, który zobowiązuje państwa członkowskie do określenia sankcji administracyjnych za naruszenia wymienione w dyrektywie.</w:t>
      </w:r>
    </w:p>
    <w:p w14:paraId="7F3FC7FB" w14:textId="4211ED50" w:rsidR="006D6861" w:rsidRPr="008D7149" w:rsidRDefault="00464441"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brzmieniu </w:t>
      </w:r>
      <w:r w:rsidR="007E1870" w:rsidRPr="008D7149">
        <w:rPr>
          <w:rFonts w:ascii="Times New Roman" w:hAnsi="Times New Roman" w:cs="Times New Roman"/>
          <w:b/>
          <w:sz w:val="24"/>
          <w:szCs w:val="24"/>
        </w:rPr>
        <w:t>art. 33e</w:t>
      </w:r>
      <w:r w:rsidRPr="008D7149">
        <w:rPr>
          <w:rFonts w:ascii="Times New Roman" w:hAnsi="Times New Roman" w:cs="Times New Roman"/>
          <w:sz w:val="24"/>
          <w:szCs w:val="24"/>
        </w:rPr>
        <w:t xml:space="preserve"> Ustawy określono przypadk</w:t>
      </w:r>
      <w:r w:rsidR="00E508D4" w:rsidRPr="008D7149">
        <w:rPr>
          <w:rFonts w:ascii="Times New Roman" w:hAnsi="Times New Roman" w:cs="Times New Roman"/>
          <w:sz w:val="24"/>
          <w:szCs w:val="24"/>
        </w:rPr>
        <w:t xml:space="preserve">i, </w:t>
      </w:r>
      <w:r w:rsidRPr="008D7149">
        <w:rPr>
          <w:rFonts w:ascii="Times New Roman" w:hAnsi="Times New Roman" w:cs="Times New Roman"/>
          <w:sz w:val="24"/>
          <w:szCs w:val="24"/>
        </w:rPr>
        <w:t>w</w:t>
      </w:r>
      <w:r w:rsidR="003B13CD" w:rsidRPr="008D7149">
        <w:rPr>
          <w:rFonts w:ascii="Times New Roman" w:hAnsi="Times New Roman" w:cs="Times New Roman"/>
          <w:sz w:val="24"/>
          <w:szCs w:val="24"/>
        </w:rPr>
        <w:t xml:space="preserve"> odniesieniu do </w:t>
      </w:r>
      <w:r w:rsidRPr="008D7149">
        <w:rPr>
          <w:rFonts w:ascii="Times New Roman" w:hAnsi="Times New Roman" w:cs="Times New Roman"/>
          <w:sz w:val="24"/>
          <w:szCs w:val="24"/>
        </w:rPr>
        <w:t xml:space="preserve">których </w:t>
      </w:r>
      <w:r w:rsidR="003B13CD" w:rsidRPr="008D7149">
        <w:rPr>
          <w:rFonts w:ascii="Times New Roman" w:hAnsi="Times New Roman" w:cs="Times New Roman"/>
          <w:sz w:val="24"/>
          <w:szCs w:val="24"/>
        </w:rPr>
        <w:t xml:space="preserve">może być zastosowana </w:t>
      </w:r>
      <w:r w:rsidRPr="008D7149">
        <w:rPr>
          <w:rFonts w:ascii="Times New Roman" w:hAnsi="Times New Roman" w:cs="Times New Roman"/>
          <w:sz w:val="24"/>
          <w:szCs w:val="24"/>
        </w:rPr>
        <w:t>sankcj</w:t>
      </w:r>
      <w:r w:rsidR="003B13CD" w:rsidRPr="008D7149">
        <w:rPr>
          <w:rFonts w:ascii="Times New Roman" w:hAnsi="Times New Roman" w:cs="Times New Roman"/>
          <w:sz w:val="24"/>
          <w:szCs w:val="24"/>
        </w:rPr>
        <w:t>a</w:t>
      </w:r>
      <w:r w:rsidRPr="008D7149">
        <w:rPr>
          <w:rFonts w:ascii="Times New Roman" w:hAnsi="Times New Roman" w:cs="Times New Roman"/>
          <w:sz w:val="24"/>
          <w:szCs w:val="24"/>
        </w:rPr>
        <w:t xml:space="preserve"> </w:t>
      </w:r>
      <w:r w:rsidR="003B13CD" w:rsidRPr="008D7149">
        <w:rPr>
          <w:rFonts w:ascii="Times New Roman" w:hAnsi="Times New Roman" w:cs="Times New Roman"/>
          <w:sz w:val="24"/>
          <w:szCs w:val="24"/>
        </w:rPr>
        <w:t xml:space="preserve">polegająca na </w:t>
      </w:r>
      <w:r w:rsidR="00F16789" w:rsidRPr="008D7149">
        <w:rPr>
          <w:rFonts w:ascii="Times New Roman" w:hAnsi="Times New Roman" w:cs="Times New Roman"/>
          <w:sz w:val="24"/>
          <w:szCs w:val="24"/>
        </w:rPr>
        <w:t>ograniczeni</w:t>
      </w:r>
      <w:r w:rsidR="003B13CD" w:rsidRPr="008D7149">
        <w:rPr>
          <w:rFonts w:ascii="Times New Roman" w:hAnsi="Times New Roman" w:cs="Times New Roman"/>
          <w:sz w:val="24"/>
          <w:szCs w:val="24"/>
        </w:rPr>
        <w:t>u</w:t>
      </w:r>
      <w:r w:rsidR="00F16789" w:rsidRPr="008D7149">
        <w:rPr>
          <w:rFonts w:ascii="Times New Roman" w:hAnsi="Times New Roman" w:cs="Times New Roman"/>
          <w:sz w:val="24"/>
          <w:szCs w:val="24"/>
        </w:rPr>
        <w:t xml:space="preserve"> działalności banku hipotecznego</w:t>
      </w:r>
      <w:r w:rsidR="00F8397C" w:rsidRPr="008D7149">
        <w:rPr>
          <w:rFonts w:ascii="Times New Roman" w:hAnsi="Times New Roman" w:cs="Times New Roman"/>
          <w:sz w:val="24"/>
          <w:szCs w:val="24"/>
        </w:rPr>
        <w:t xml:space="preserve"> </w:t>
      </w:r>
      <w:r w:rsidR="00F16789" w:rsidRPr="008D7149">
        <w:rPr>
          <w:rFonts w:ascii="Times New Roman" w:hAnsi="Times New Roman" w:cs="Times New Roman"/>
          <w:sz w:val="24"/>
          <w:szCs w:val="24"/>
        </w:rPr>
        <w:t>w zakresie dotyczącym emitowania listów zastawnych</w:t>
      </w:r>
      <w:r w:rsidR="00E510C8" w:rsidRPr="008D7149">
        <w:rPr>
          <w:rFonts w:ascii="Times New Roman" w:hAnsi="Times New Roman" w:cs="Times New Roman"/>
          <w:sz w:val="24"/>
          <w:szCs w:val="24"/>
        </w:rPr>
        <w:t xml:space="preserve"> (katalog sankcji nadzorczych obejmujący</w:t>
      </w:r>
      <w:r w:rsidR="00E508D4" w:rsidRPr="008D7149">
        <w:rPr>
          <w:rFonts w:ascii="Times New Roman" w:hAnsi="Times New Roman" w:cs="Times New Roman"/>
          <w:sz w:val="24"/>
          <w:szCs w:val="24"/>
        </w:rPr>
        <w:t>ch</w:t>
      </w:r>
      <w:r w:rsidR="00E510C8" w:rsidRPr="008D7149">
        <w:rPr>
          <w:rFonts w:ascii="Times New Roman" w:hAnsi="Times New Roman" w:cs="Times New Roman"/>
          <w:sz w:val="24"/>
          <w:szCs w:val="24"/>
        </w:rPr>
        <w:t xml:space="preserve"> ograniczeni</w:t>
      </w:r>
      <w:r w:rsidR="00BB1D62" w:rsidRPr="008D7149">
        <w:rPr>
          <w:rFonts w:ascii="Times New Roman" w:hAnsi="Times New Roman" w:cs="Times New Roman"/>
          <w:sz w:val="24"/>
          <w:szCs w:val="24"/>
        </w:rPr>
        <w:t xml:space="preserve">e </w:t>
      </w:r>
      <w:r w:rsidR="00E510C8" w:rsidRPr="008D7149">
        <w:rPr>
          <w:rFonts w:ascii="Times New Roman" w:hAnsi="Times New Roman" w:cs="Times New Roman"/>
          <w:sz w:val="24"/>
          <w:szCs w:val="24"/>
        </w:rPr>
        <w:t>działalności banku przewiduje art. 138 ust. 3 pkt 3 ustawy z dnia 29 sierpnia 1997 r. – Prawo bankowe)</w:t>
      </w:r>
      <w:r w:rsidR="005E664C" w:rsidRPr="008D7149">
        <w:rPr>
          <w:rFonts w:ascii="Times New Roman" w:hAnsi="Times New Roman" w:cs="Times New Roman"/>
          <w:sz w:val="24"/>
          <w:szCs w:val="24"/>
        </w:rPr>
        <w:t xml:space="preserve">. </w:t>
      </w:r>
      <w:r w:rsidR="0067344C" w:rsidRPr="008D7149">
        <w:rPr>
          <w:rFonts w:ascii="Times New Roman" w:hAnsi="Times New Roman" w:cs="Times New Roman"/>
          <w:sz w:val="24"/>
          <w:szCs w:val="24"/>
        </w:rPr>
        <w:t>P</w:t>
      </w:r>
      <w:r w:rsidR="005E664C" w:rsidRPr="008D7149">
        <w:rPr>
          <w:rFonts w:ascii="Times New Roman" w:hAnsi="Times New Roman" w:cs="Times New Roman"/>
          <w:sz w:val="24"/>
          <w:szCs w:val="24"/>
        </w:rPr>
        <w:t>owyższ</w:t>
      </w:r>
      <w:r w:rsidR="0047228D" w:rsidRPr="008D7149">
        <w:rPr>
          <w:rFonts w:ascii="Times New Roman" w:hAnsi="Times New Roman" w:cs="Times New Roman"/>
          <w:sz w:val="24"/>
          <w:szCs w:val="24"/>
        </w:rPr>
        <w:t>a regulacja</w:t>
      </w:r>
      <w:r w:rsidR="00E508D4" w:rsidRPr="008D7149">
        <w:rPr>
          <w:rFonts w:ascii="Times New Roman" w:hAnsi="Times New Roman" w:cs="Times New Roman"/>
          <w:sz w:val="24"/>
          <w:szCs w:val="24"/>
        </w:rPr>
        <w:t xml:space="preserve"> </w:t>
      </w:r>
      <w:r w:rsidR="005E664C" w:rsidRPr="008D7149">
        <w:rPr>
          <w:rFonts w:ascii="Times New Roman" w:hAnsi="Times New Roman" w:cs="Times New Roman"/>
          <w:sz w:val="24"/>
          <w:szCs w:val="24"/>
        </w:rPr>
        <w:t xml:space="preserve">odzwierciedla </w:t>
      </w:r>
      <w:r w:rsidRPr="008D7149">
        <w:rPr>
          <w:rFonts w:ascii="Times New Roman" w:hAnsi="Times New Roman" w:cs="Times New Roman"/>
          <w:sz w:val="24"/>
          <w:szCs w:val="24"/>
        </w:rPr>
        <w:t xml:space="preserve">art. 23 ust. 2 lit. a dyrektywy 2019/2162. </w:t>
      </w:r>
      <w:r w:rsidR="006D6861" w:rsidRPr="008D7149">
        <w:rPr>
          <w:rFonts w:ascii="Times New Roman" w:hAnsi="Times New Roman" w:cs="Times New Roman"/>
          <w:sz w:val="24"/>
          <w:szCs w:val="24"/>
        </w:rPr>
        <w:t xml:space="preserve">Wskazać należy, że ograniczenie działalności banku hipotecznego w zakresie dotyczącym emitowania listów zastawnych pozostaje bez wpływu na już wyemitowane listy zastawne. </w:t>
      </w:r>
      <w:r w:rsidR="00E510C8" w:rsidRPr="008D7149">
        <w:rPr>
          <w:rFonts w:ascii="Times New Roman" w:hAnsi="Times New Roman" w:cs="Times New Roman"/>
          <w:sz w:val="24"/>
          <w:szCs w:val="24"/>
        </w:rPr>
        <w:t>W konsekwencji sankcji ograniczenia działalności, b</w:t>
      </w:r>
      <w:r w:rsidR="006D6861" w:rsidRPr="008D7149">
        <w:rPr>
          <w:rFonts w:ascii="Times New Roman" w:hAnsi="Times New Roman" w:cs="Times New Roman"/>
          <w:sz w:val="24"/>
          <w:szCs w:val="24"/>
        </w:rPr>
        <w:t>ank hipoteczn</w:t>
      </w:r>
      <w:r w:rsidR="00E510C8" w:rsidRPr="008D7149">
        <w:rPr>
          <w:rFonts w:ascii="Times New Roman" w:hAnsi="Times New Roman" w:cs="Times New Roman"/>
          <w:sz w:val="24"/>
          <w:szCs w:val="24"/>
        </w:rPr>
        <w:t xml:space="preserve">y nie będzie mógł </w:t>
      </w:r>
      <w:r w:rsidR="006D6861" w:rsidRPr="008D7149">
        <w:rPr>
          <w:rFonts w:ascii="Times New Roman" w:hAnsi="Times New Roman" w:cs="Times New Roman"/>
          <w:sz w:val="24"/>
          <w:szCs w:val="24"/>
        </w:rPr>
        <w:t>emitowa</w:t>
      </w:r>
      <w:r w:rsidR="00E510C8" w:rsidRPr="008D7149">
        <w:rPr>
          <w:rFonts w:ascii="Times New Roman" w:hAnsi="Times New Roman" w:cs="Times New Roman"/>
          <w:sz w:val="24"/>
          <w:szCs w:val="24"/>
        </w:rPr>
        <w:t>ć listów zastawnych, lecz</w:t>
      </w:r>
      <w:r w:rsidR="006D6861" w:rsidRPr="008D7149">
        <w:rPr>
          <w:rFonts w:ascii="Times New Roman" w:hAnsi="Times New Roman" w:cs="Times New Roman"/>
          <w:sz w:val="24"/>
          <w:szCs w:val="24"/>
        </w:rPr>
        <w:t xml:space="preserve"> nadal będą ciążyły na nim zobowiązania z tytułu już wyemitowanych listów zastawnych</w:t>
      </w:r>
      <w:r w:rsidR="00E510C8" w:rsidRPr="008D7149">
        <w:rPr>
          <w:rFonts w:ascii="Times New Roman" w:hAnsi="Times New Roman" w:cs="Times New Roman"/>
          <w:sz w:val="24"/>
          <w:szCs w:val="24"/>
        </w:rPr>
        <w:t xml:space="preserve">. Organ nadzoru nad rynkiem finansowym będzie nadal sprawował nadzór nad danym bankiem hipotecznym w pełnym zakresie, podejmując wszelkie stosowne działania wynikające z sytuacji tego banku. </w:t>
      </w:r>
      <w:r w:rsidR="00E12859" w:rsidRPr="008D7149">
        <w:rPr>
          <w:rFonts w:ascii="Times New Roman" w:hAnsi="Times New Roman" w:cs="Times New Roman"/>
          <w:sz w:val="24"/>
          <w:szCs w:val="24"/>
        </w:rPr>
        <w:t>KNF</w:t>
      </w:r>
      <w:r w:rsidR="00E510C8" w:rsidRPr="008D7149">
        <w:rPr>
          <w:rFonts w:ascii="Times New Roman" w:hAnsi="Times New Roman" w:cs="Times New Roman"/>
          <w:sz w:val="24"/>
          <w:szCs w:val="24"/>
        </w:rPr>
        <w:t xml:space="preserve"> posiada uprawnienia nadzorcze określone w przepisach </w:t>
      </w:r>
      <w:r w:rsidR="00024084">
        <w:rPr>
          <w:rFonts w:ascii="Times New Roman" w:hAnsi="Times New Roman" w:cs="Times New Roman"/>
          <w:sz w:val="24"/>
          <w:szCs w:val="24"/>
        </w:rPr>
        <w:t>r</w:t>
      </w:r>
      <w:r w:rsidR="00E510C8" w:rsidRPr="008D7149">
        <w:rPr>
          <w:rFonts w:ascii="Times New Roman" w:hAnsi="Times New Roman" w:cs="Times New Roman"/>
          <w:sz w:val="24"/>
          <w:szCs w:val="24"/>
        </w:rPr>
        <w:t>ozdziału 11 i następnych ustawy z dnia 29 sierpnia 1997 r. – Prawo bankowe, mające zapewnić wykonanie zobowiązań z listów zastawnych wyemitowanych przed wydaniem tej decyzji. Warto nadmienić, że gdyby jednak doszło do przejęcia tego banku przez inny bank, nabycia przez inny bank hipoteczny przedsiębiorstwa bankowego lub jego zorganizowanej części czy nawet likwidacji banku, to obowiązujące przepisy gwarantują następstwo prawne zobowiązań z tytułu wyemitowanych listów zastawnych i zaspokojenie wierzycieli.</w:t>
      </w:r>
    </w:p>
    <w:p w14:paraId="4CE7ED41" w14:textId="3D44EE84" w:rsidR="00F62EF3" w:rsidRPr="008D7149" w:rsidRDefault="00464441"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Mając na uwadze charakter tej sankcji</w:t>
      </w:r>
      <w:r w:rsidR="008D0F75">
        <w:rPr>
          <w:rFonts w:ascii="Times New Roman" w:hAnsi="Times New Roman" w:cs="Times New Roman"/>
          <w:sz w:val="24"/>
          <w:szCs w:val="24"/>
        </w:rPr>
        <w:t>,</w:t>
      </w:r>
      <w:r w:rsidRPr="008D7149">
        <w:rPr>
          <w:rFonts w:ascii="Times New Roman" w:hAnsi="Times New Roman" w:cs="Times New Roman"/>
          <w:sz w:val="24"/>
          <w:szCs w:val="24"/>
        </w:rPr>
        <w:t xml:space="preserve"> w projekcie Ustawy określono katalog przesłanek, których zaistnienie będzie obligowało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do </w:t>
      </w:r>
      <w:r w:rsidR="00F16789" w:rsidRPr="008D7149">
        <w:rPr>
          <w:rFonts w:ascii="Times New Roman" w:hAnsi="Times New Roman" w:cs="Times New Roman"/>
          <w:sz w:val="24"/>
          <w:szCs w:val="24"/>
        </w:rPr>
        <w:t>ograniczenia działalności banku hipotecznego</w:t>
      </w:r>
      <w:r w:rsidRPr="008D7149">
        <w:rPr>
          <w:rFonts w:ascii="Times New Roman" w:hAnsi="Times New Roman" w:cs="Times New Roman"/>
          <w:sz w:val="24"/>
          <w:szCs w:val="24"/>
        </w:rPr>
        <w:t xml:space="preserve"> </w:t>
      </w:r>
      <w:r w:rsidR="001935BB" w:rsidRPr="008D7149">
        <w:rPr>
          <w:rFonts w:ascii="Times New Roman" w:hAnsi="Times New Roman" w:cs="Times New Roman"/>
          <w:sz w:val="24"/>
          <w:szCs w:val="24"/>
        </w:rPr>
        <w:t>(</w:t>
      </w:r>
      <w:r w:rsidRPr="008D7149">
        <w:rPr>
          <w:rFonts w:ascii="Times New Roman" w:hAnsi="Times New Roman" w:cs="Times New Roman"/>
          <w:sz w:val="24"/>
          <w:szCs w:val="24"/>
        </w:rPr>
        <w:t>bank hipoteczny</w:t>
      </w:r>
      <w:r w:rsidR="008D0F75">
        <w:rPr>
          <w:rFonts w:ascii="Times New Roman" w:hAnsi="Times New Roman" w:cs="Times New Roman"/>
          <w:sz w:val="24"/>
          <w:szCs w:val="24"/>
        </w:rPr>
        <w:t xml:space="preserve"> </w:t>
      </w:r>
      <w:r w:rsidRPr="008D7149">
        <w:rPr>
          <w:rFonts w:ascii="Times New Roman" w:hAnsi="Times New Roman" w:cs="Times New Roman"/>
          <w:sz w:val="24"/>
          <w:szCs w:val="24"/>
        </w:rPr>
        <w:t>uzyskał</w:t>
      </w:r>
      <w:r w:rsidR="005E664C" w:rsidRPr="008D7149">
        <w:rPr>
          <w:rFonts w:ascii="Times New Roman" w:hAnsi="Times New Roman" w:cs="Times New Roman"/>
          <w:sz w:val="24"/>
          <w:szCs w:val="24"/>
        </w:rPr>
        <w:t xml:space="preserve"> wskazane </w:t>
      </w:r>
      <w:r w:rsidRPr="008D7149">
        <w:rPr>
          <w:rFonts w:ascii="Times New Roman" w:hAnsi="Times New Roman" w:cs="Times New Roman"/>
          <w:sz w:val="24"/>
          <w:szCs w:val="24"/>
        </w:rPr>
        <w:t>zezwolenie na podstawie nieprawdziwych informacji lub dokumentów poświadczających nieprawdę</w:t>
      </w:r>
      <w:r w:rsidR="002C0A64" w:rsidRPr="008D7149">
        <w:rPr>
          <w:rFonts w:ascii="Times New Roman" w:hAnsi="Times New Roman" w:cs="Times New Roman"/>
          <w:sz w:val="24"/>
          <w:szCs w:val="24"/>
        </w:rPr>
        <w:t xml:space="preserve"> lub</w:t>
      </w:r>
      <w:r w:rsidRPr="008D7149">
        <w:rPr>
          <w:rFonts w:ascii="Times New Roman" w:hAnsi="Times New Roman" w:cs="Times New Roman"/>
          <w:sz w:val="24"/>
          <w:szCs w:val="24"/>
        </w:rPr>
        <w:t xml:space="preserve"> </w:t>
      </w:r>
      <w:r w:rsidR="00982337" w:rsidRPr="008D7149">
        <w:rPr>
          <w:rFonts w:ascii="Times New Roman" w:hAnsi="Times New Roman" w:cs="Times New Roman"/>
          <w:sz w:val="24"/>
          <w:szCs w:val="24"/>
        </w:rPr>
        <w:t xml:space="preserve">emituje listy zastawne w ramach programu </w:t>
      </w:r>
      <w:r w:rsidRPr="008D7149">
        <w:rPr>
          <w:rFonts w:ascii="Times New Roman" w:hAnsi="Times New Roman" w:cs="Times New Roman"/>
          <w:sz w:val="24"/>
          <w:szCs w:val="24"/>
        </w:rPr>
        <w:t>emisji listów zastawnych</w:t>
      </w:r>
      <w:r w:rsidR="009F5D38" w:rsidRPr="008D7149">
        <w:rPr>
          <w:rFonts w:ascii="Times New Roman" w:hAnsi="Times New Roman" w:cs="Times New Roman"/>
          <w:sz w:val="24"/>
          <w:szCs w:val="24"/>
        </w:rPr>
        <w:t>,</w:t>
      </w:r>
      <w:r w:rsidRPr="008D7149">
        <w:rPr>
          <w:rFonts w:ascii="Times New Roman" w:hAnsi="Times New Roman" w:cs="Times New Roman"/>
          <w:sz w:val="24"/>
          <w:szCs w:val="24"/>
        </w:rPr>
        <w:t xml:space="preserve"> rażąc</w:t>
      </w:r>
      <w:r w:rsidR="009F5D38" w:rsidRPr="008D7149">
        <w:rPr>
          <w:rFonts w:ascii="Times New Roman" w:hAnsi="Times New Roman" w:cs="Times New Roman"/>
          <w:sz w:val="24"/>
          <w:szCs w:val="24"/>
        </w:rPr>
        <w:t>o</w:t>
      </w:r>
      <w:r w:rsidRPr="008D7149">
        <w:rPr>
          <w:rFonts w:ascii="Times New Roman" w:hAnsi="Times New Roman" w:cs="Times New Roman"/>
          <w:sz w:val="24"/>
          <w:szCs w:val="24"/>
        </w:rPr>
        <w:t xml:space="preserve"> </w:t>
      </w:r>
      <w:r w:rsidR="00ED701F" w:rsidRPr="008D7149">
        <w:rPr>
          <w:rFonts w:ascii="Times New Roman" w:hAnsi="Times New Roman" w:cs="Times New Roman"/>
          <w:sz w:val="24"/>
          <w:szCs w:val="24"/>
        </w:rPr>
        <w:t>i</w:t>
      </w:r>
      <w:r w:rsidR="00F16789" w:rsidRPr="008D7149">
        <w:rPr>
          <w:rFonts w:ascii="Times New Roman" w:hAnsi="Times New Roman" w:cs="Times New Roman"/>
          <w:sz w:val="24"/>
          <w:szCs w:val="24"/>
        </w:rPr>
        <w:t xml:space="preserve"> uporczywie</w:t>
      </w:r>
      <w:r w:rsidR="00ED701F" w:rsidRPr="008D7149">
        <w:rPr>
          <w:rFonts w:ascii="Times New Roman" w:hAnsi="Times New Roman" w:cs="Times New Roman"/>
          <w:sz w:val="24"/>
          <w:szCs w:val="24"/>
        </w:rPr>
        <w:t xml:space="preserve"> </w:t>
      </w:r>
      <w:r w:rsidR="009F5D38" w:rsidRPr="008D7149">
        <w:rPr>
          <w:rFonts w:ascii="Times New Roman" w:hAnsi="Times New Roman" w:cs="Times New Roman"/>
          <w:sz w:val="24"/>
          <w:szCs w:val="24"/>
        </w:rPr>
        <w:t xml:space="preserve">naruszając </w:t>
      </w:r>
      <w:r w:rsidR="00B9137C" w:rsidRPr="008D7149">
        <w:rPr>
          <w:rFonts w:ascii="Times New Roman" w:hAnsi="Times New Roman" w:cs="Times New Roman"/>
          <w:sz w:val="24"/>
          <w:szCs w:val="24"/>
        </w:rPr>
        <w:t xml:space="preserve">przepisy </w:t>
      </w:r>
      <w:r w:rsidRPr="008D7149">
        <w:rPr>
          <w:rFonts w:ascii="Times New Roman" w:hAnsi="Times New Roman" w:cs="Times New Roman"/>
          <w:sz w:val="24"/>
          <w:szCs w:val="24"/>
        </w:rPr>
        <w:t>prawa</w:t>
      </w:r>
      <w:r w:rsidR="001935BB" w:rsidRPr="008D7149">
        <w:rPr>
          <w:rFonts w:ascii="Times New Roman" w:hAnsi="Times New Roman" w:cs="Times New Roman"/>
          <w:sz w:val="24"/>
          <w:szCs w:val="24"/>
        </w:rPr>
        <w:t>)</w:t>
      </w:r>
      <w:r w:rsidR="009A568A"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Powyższy katalog przypadków obligatoryjnego </w:t>
      </w:r>
      <w:r w:rsidR="00F16789" w:rsidRPr="008D7149">
        <w:rPr>
          <w:rFonts w:ascii="Times New Roman" w:hAnsi="Times New Roman" w:cs="Times New Roman"/>
          <w:sz w:val="24"/>
          <w:szCs w:val="24"/>
        </w:rPr>
        <w:t xml:space="preserve">ograniczenia działalności banku hipotecznego </w:t>
      </w:r>
      <w:r w:rsidRPr="008D7149">
        <w:rPr>
          <w:rFonts w:ascii="Times New Roman" w:hAnsi="Times New Roman" w:cs="Times New Roman"/>
          <w:sz w:val="24"/>
          <w:szCs w:val="24"/>
        </w:rPr>
        <w:t>dotyczy szczególnie istotnych, rażących naruszeń prawa</w:t>
      </w:r>
      <w:r w:rsidR="009F5D38" w:rsidRPr="008D7149">
        <w:rPr>
          <w:rFonts w:ascii="Times New Roman" w:hAnsi="Times New Roman" w:cs="Times New Roman"/>
          <w:sz w:val="24"/>
          <w:szCs w:val="24"/>
        </w:rPr>
        <w:t>,</w:t>
      </w:r>
      <w:r w:rsidRPr="008D7149">
        <w:rPr>
          <w:rFonts w:ascii="Times New Roman" w:hAnsi="Times New Roman" w:cs="Times New Roman"/>
          <w:sz w:val="24"/>
          <w:szCs w:val="24"/>
        </w:rPr>
        <w:t xml:space="preserve"> mających wpływ na bezpieczeństwo emitowanych listów zastawnych oraz na poziom ochrony inwestorów.</w:t>
      </w:r>
    </w:p>
    <w:p w14:paraId="7885C73A" w14:textId="7A9D8513" w:rsidR="002013E5" w:rsidRPr="008D7149" w:rsidRDefault="00464441"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W przypadkach wymienionych natomiast w </w:t>
      </w:r>
      <w:r w:rsidRPr="008D7149">
        <w:rPr>
          <w:rFonts w:ascii="Times New Roman" w:hAnsi="Times New Roman" w:cs="Times New Roman"/>
          <w:b/>
          <w:sz w:val="24"/>
          <w:szCs w:val="24"/>
        </w:rPr>
        <w:t>art. 33</w:t>
      </w:r>
      <w:r w:rsidR="00917ECA" w:rsidRPr="008D7149">
        <w:rPr>
          <w:rFonts w:ascii="Times New Roman" w:hAnsi="Times New Roman" w:cs="Times New Roman"/>
          <w:b/>
          <w:sz w:val="24"/>
          <w:szCs w:val="24"/>
        </w:rPr>
        <w:t>e</w:t>
      </w:r>
      <w:r w:rsidRPr="008D7149">
        <w:rPr>
          <w:rFonts w:ascii="Times New Roman" w:hAnsi="Times New Roman" w:cs="Times New Roman"/>
          <w:b/>
          <w:sz w:val="24"/>
          <w:szCs w:val="24"/>
        </w:rPr>
        <w:t xml:space="preserve"> ust. 2</w:t>
      </w:r>
      <w:r w:rsidRPr="008D7149">
        <w:rPr>
          <w:rFonts w:ascii="Times New Roman" w:hAnsi="Times New Roman" w:cs="Times New Roman"/>
          <w:sz w:val="24"/>
          <w:szCs w:val="24"/>
        </w:rPr>
        <w:t xml:space="preserve"> Ustawy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będzie </w:t>
      </w:r>
      <w:r w:rsidR="006D6861" w:rsidRPr="008D7149">
        <w:rPr>
          <w:rFonts w:ascii="Times New Roman" w:hAnsi="Times New Roman" w:cs="Times New Roman"/>
          <w:sz w:val="24"/>
          <w:szCs w:val="24"/>
        </w:rPr>
        <w:t xml:space="preserve">natomiast </w:t>
      </w:r>
      <w:r w:rsidRPr="008D7149">
        <w:rPr>
          <w:rFonts w:ascii="Times New Roman" w:hAnsi="Times New Roman" w:cs="Times New Roman"/>
          <w:sz w:val="24"/>
          <w:szCs w:val="24"/>
        </w:rPr>
        <w:t xml:space="preserve">uprawniona do nałożenia sankcji polegającej na </w:t>
      </w:r>
      <w:r w:rsidR="00F16789" w:rsidRPr="008D7149">
        <w:rPr>
          <w:rFonts w:ascii="Times New Roman" w:hAnsi="Times New Roman" w:cs="Times New Roman"/>
          <w:sz w:val="24"/>
          <w:szCs w:val="24"/>
        </w:rPr>
        <w:t xml:space="preserve">ograniczeniu działalności banku hipotecznego </w:t>
      </w:r>
      <w:r w:rsidR="00C71117" w:rsidRPr="008D7149">
        <w:rPr>
          <w:rFonts w:ascii="Times New Roman" w:hAnsi="Times New Roman" w:cs="Times New Roman"/>
          <w:sz w:val="24"/>
          <w:szCs w:val="24"/>
        </w:rPr>
        <w:t>w zakresie dotyczącym emitowania listów zastawnych.</w:t>
      </w:r>
    </w:p>
    <w:p w14:paraId="083B7ADE" w14:textId="7ACB6F64" w:rsidR="00982FA8" w:rsidRPr="008D7149" w:rsidRDefault="004218D0"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w:t>
      </w:r>
      <w:r w:rsidR="004C18E0" w:rsidRPr="008D7149">
        <w:rPr>
          <w:rFonts w:ascii="Times New Roman" w:hAnsi="Times New Roman" w:cs="Times New Roman"/>
          <w:sz w:val="24"/>
          <w:szCs w:val="24"/>
        </w:rPr>
        <w:t xml:space="preserve">y </w:t>
      </w:r>
      <w:r w:rsidRPr="008D7149">
        <w:rPr>
          <w:rFonts w:ascii="Times New Roman" w:hAnsi="Times New Roman" w:cs="Times New Roman"/>
          <w:b/>
          <w:sz w:val="24"/>
          <w:szCs w:val="24"/>
        </w:rPr>
        <w:t>art. 33f</w:t>
      </w:r>
      <w:r w:rsidRPr="008D7149">
        <w:rPr>
          <w:rFonts w:ascii="Times New Roman" w:hAnsi="Times New Roman" w:cs="Times New Roman"/>
          <w:sz w:val="24"/>
          <w:szCs w:val="24"/>
        </w:rPr>
        <w:t xml:space="preserve"> Ustawy </w:t>
      </w:r>
      <w:r w:rsidR="00982FA8" w:rsidRPr="008D7149">
        <w:rPr>
          <w:rFonts w:ascii="Times New Roman" w:hAnsi="Times New Roman" w:cs="Times New Roman"/>
          <w:sz w:val="24"/>
          <w:szCs w:val="24"/>
        </w:rPr>
        <w:t xml:space="preserve">reguluje </w:t>
      </w:r>
      <w:r w:rsidR="0026311A" w:rsidRPr="008D7149">
        <w:rPr>
          <w:rFonts w:ascii="Times New Roman" w:hAnsi="Times New Roman" w:cs="Times New Roman"/>
          <w:sz w:val="24"/>
          <w:szCs w:val="24"/>
        </w:rPr>
        <w:t xml:space="preserve">sankcje </w:t>
      </w:r>
      <w:r w:rsidR="001935BB" w:rsidRPr="008D7149">
        <w:rPr>
          <w:rFonts w:ascii="Times New Roman" w:hAnsi="Times New Roman" w:cs="Times New Roman"/>
          <w:sz w:val="24"/>
          <w:szCs w:val="24"/>
        </w:rPr>
        <w:t xml:space="preserve">administracyjne w postaci </w:t>
      </w:r>
      <w:r w:rsidRPr="008D7149">
        <w:rPr>
          <w:rFonts w:ascii="Times New Roman" w:hAnsi="Times New Roman" w:cs="Times New Roman"/>
          <w:sz w:val="24"/>
          <w:szCs w:val="24"/>
        </w:rPr>
        <w:t>kar pieniężnych</w:t>
      </w:r>
      <w:r w:rsidR="00982FA8" w:rsidRPr="008D7149">
        <w:rPr>
          <w:rFonts w:ascii="Times New Roman" w:hAnsi="Times New Roman" w:cs="Times New Roman"/>
          <w:sz w:val="24"/>
          <w:szCs w:val="24"/>
        </w:rPr>
        <w:t xml:space="preserve">, które </w:t>
      </w:r>
      <w:r w:rsidR="0026311A" w:rsidRPr="008D7149">
        <w:rPr>
          <w:rFonts w:ascii="Times New Roman" w:hAnsi="Times New Roman" w:cs="Times New Roman"/>
          <w:sz w:val="24"/>
          <w:szCs w:val="24"/>
        </w:rPr>
        <w:t xml:space="preserve">mogą być nałożone przez </w:t>
      </w:r>
      <w:r w:rsidR="00E12859" w:rsidRPr="008D7149">
        <w:rPr>
          <w:rFonts w:ascii="Times New Roman" w:hAnsi="Times New Roman" w:cs="Times New Roman"/>
          <w:sz w:val="24"/>
          <w:szCs w:val="24"/>
        </w:rPr>
        <w:t xml:space="preserve">KNF </w:t>
      </w:r>
      <w:r w:rsidR="00982FA8" w:rsidRPr="008D7149">
        <w:rPr>
          <w:rFonts w:ascii="Times New Roman" w:hAnsi="Times New Roman" w:cs="Times New Roman"/>
          <w:sz w:val="24"/>
          <w:szCs w:val="24"/>
        </w:rPr>
        <w:t>zamiast ograniczenia</w:t>
      </w:r>
      <w:r w:rsidR="0026311A" w:rsidRPr="008D7149">
        <w:rPr>
          <w:rFonts w:ascii="Times New Roman" w:hAnsi="Times New Roman" w:cs="Times New Roman"/>
          <w:sz w:val="24"/>
          <w:szCs w:val="24"/>
        </w:rPr>
        <w:t xml:space="preserve"> działalności banku hipotecznego, jeżeli uzasadnia to charakter naruszeń, o których mowa w art. 33e ust. 1 pkt 1 i ust. 2</w:t>
      </w:r>
      <w:r w:rsidR="001935BB" w:rsidRPr="008D7149">
        <w:rPr>
          <w:rFonts w:ascii="Times New Roman" w:hAnsi="Times New Roman" w:cs="Times New Roman"/>
          <w:sz w:val="24"/>
          <w:szCs w:val="24"/>
        </w:rPr>
        <w:t xml:space="preserve"> Ustawy</w:t>
      </w:r>
      <w:r w:rsidR="0026311A" w:rsidRPr="008D7149">
        <w:rPr>
          <w:rFonts w:ascii="Times New Roman" w:hAnsi="Times New Roman" w:cs="Times New Roman"/>
          <w:sz w:val="24"/>
          <w:szCs w:val="24"/>
        </w:rPr>
        <w:t xml:space="preserve">. </w:t>
      </w:r>
      <w:r w:rsidR="009031D4" w:rsidRPr="008D7149">
        <w:rPr>
          <w:rFonts w:ascii="Times New Roman" w:hAnsi="Times New Roman" w:cs="Times New Roman"/>
          <w:sz w:val="24"/>
          <w:szCs w:val="24"/>
        </w:rPr>
        <w:t>Należy wskazać, że a</w:t>
      </w:r>
      <w:r w:rsidR="0026311A" w:rsidRPr="008D7149">
        <w:rPr>
          <w:rFonts w:ascii="Times New Roman" w:hAnsi="Times New Roman" w:cs="Times New Roman"/>
          <w:sz w:val="24"/>
          <w:szCs w:val="24"/>
        </w:rPr>
        <w:t>lternatywn</w:t>
      </w:r>
      <w:r w:rsidR="00F70326" w:rsidRPr="008D7149">
        <w:rPr>
          <w:rFonts w:ascii="Times New Roman" w:hAnsi="Times New Roman" w:cs="Times New Roman"/>
          <w:sz w:val="24"/>
          <w:szCs w:val="24"/>
        </w:rPr>
        <w:t xml:space="preserve">e </w:t>
      </w:r>
      <w:r w:rsidR="0026311A" w:rsidRPr="008D7149">
        <w:rPr>
          <w:rFonts w:ascii="Times New Roman" w:hAnsi="Times New Roman" w:cs="Times New Roman"/>
          <w:sz w:val="24"/>
          <w:szCs w:val="24"/>
        </w:rPr>
        <w:t>zastosowani</w:t>
      </w:r>
      <w:r w:rsidR="00F70326" w:rsidRPr="008D7149">
        <w:rPr>
          <w:rFonts w:ascii="Times New Roman" w:hAnsi="Times New Roman" w:cs="Times New Roman"/>
          <w:sz w:val="24"/>
          <w:szCs w:val="24"/>
        </w:rPr>
        <w:t>e</w:t>
      </w:r>
      <w:r w:rsidR="0026311A" w:rsidRPr="008D7149">
        <w:rPr>
          <w:rFonts w:ascii="Times New Roman" w:hAnsi="Times New Roman" w:cs="Times New Roman"/>
          <w:sz w:val="24"/>
          <w:szCs w:val="24"/>
        </w:rPr>
        <w:t xml:space="preserve"> kary pieniężnej </w:t>
      </w:r>
      <w:r w:rsidR="00F70326" w:rsidRPr="008D7149">
        <w:rPr>
          <w:rFonts w:ascii="Times New Roman" w:hAnsi="Times New Roman" w:cs="Times New Roman"/>
          <w:sz w:val="24"/>
          <w:szCs w:val="24"/>
        </w:rPr>
        <w:t xml:space="preserve">wobec banku </w:t>
      </w:r>
      <w:r w:rsidR="0026311A" w:rsidRPr="008D7149">
        <w:rPr>
          <w:rFonts w:ascii="Times New Roman" w:hAnsi="Times New Roman" w:cs="Times New Roman"/>
          <w:sz w:val="24"/>
          <w:szCs w:val="24"/>
        </w:rPr>
        <w:t>hipoteczn</w:t>
      </w:r>
      <w:r w:rsidR="00F70326" w:rsidRPr="008D7149">
        <w:rPr>
          <w:rFonts w:ascii="Times New Roman" w:hAnsi="Times New Roman" w:cs="Times New Roman"/>
          <w:sz w:val="24"/>
          <w:szCs w:val="24"/>
        </w:rPr>
        <w:t>ego</w:t>
      </w:r>
      <w:r w:rsidR="0026311A" w:rsidRPr="008D7149">
        <w:rPr>
          <w:rFonts w:ascii="Times New Roman" w:hAnsi="Times New Roman" w:cs="Times New Roman"/>
          <w:sz w:val="24"/>
          <w:szCs w:val="24"/>
        </w:rPr>
        <w:t xml:space="preserve"> lub członka zarządu banku hipotecznego odpowiedzialnego za naruszenie, o którym mowa w art. 33e ust. 1 pkt 1</w:t>
      </w:r>
      <w:r w:rsidR="001935BB" w:rsidRPr="008D7149">
        <w:rPr>
          <w:rFonts w:ascii="Times New Roman" w:hAnsi="Times New Roman" w:cs="Times New Roman"/>
          <w:sz w:val="24"/>
          <w:szCs w:val="24"/>
        </w:rPr>
        <w:t xml:space="preserve"> Ustawy</w:t>
      </w:r>
      <w:r w:rsidR="0026311A" w:rsidRPr="008D7149">
        <w:rPr>
          <w:rFonts w:ascii="Times New Roman" w:hAnsi="Times New Roman" w:cs="Times New Roman"/>
          <w:sz w:val="24"/>
          <w:szCs w:val="24"/>
        </w:rPr>
        <w:t xml:space="preserve">, stwarza organowi nadzoru nad rynkiem finansowym </w:t>
      </w:r>
      <w:r w:rsidR="00F70326" w:rsidRPr="008D7149">
        <w:rPr>
          <w:rFonts w:ascii="Times New Roman" w:hAnsi="Times New Roman" w:cs="Times New Roman"/>
          <w:sz w:val="24"/>
          <w:szCs w:val="24"/>
        </w:rPr>
        <w:t>możliwość p</w:t>
      </w:r>
      <w:r w:rsidR="0026311A" w:rsidRPr="008D7149">
        <w:rPr>
          <w:rFonts w:ascii="Times New Roman" w:hAnsi="Times New Roman" w:cs="Times New Roman"/>
          <w:sz w:val="24"/>
          <w:szCs w:val="24"/>
        </w:rPr>
        <w:t>odejmowani</w:t>
      </w:r>
      <w:r w:rsidR="00F70326" w:rsidRPr="008D7149">
        <w:rPr>
          <w:rFonts w:ascii="Times New Roman" w:hAnsi="Times New Roman" w:cs="Times New Roman"/>
          <w:sz w:val="24"/>
          <w:szCs w:val="24"/>
        </w:rPr>
        <w:t>a</w:t>
      </w:r>
      <w:r w:rsidR="0026311A" w:rsidRPr="008D7149">
        <w:rPr>
          <w:rFonts w:ascii="Times New Roman" w:hAnsi="Times New Roman" w:cs="Times New Roman"/>
          <w:sz w:val="24"/>
          <w:szCs w:val="24"/>
        </w:rPr>
        <w:t xml:space="preserve"> decyzji stosownie do charakteru stwierdzonego naruszenia.</w:t>
      </w:r>
      <w:r w:rsidR="00F70326" w:rsidRPr="008D7149">
        <w:rPr>
          <w:rFonts w:ascii="Times New Roman" w:hAnsi="Times New Roman" w:cs="Times New Roman"/>
          <w:sz w:val="24"/>
          <w:szCs w:val="24"/>
        </w:rPr>
        <w:t xml:space="preserve"> </w:t>
      </w:r>
      <w:r w:rsidR="009031D4" w:rsidRPr="008D7149">
        <w:rPr>
          <w:rFonts w:ascii="Times New Roman" w:hAnsi="Times New Roman" w:cs="Times New Roman"/>
          <w:sz w:val="24"/>
          <w:szCs w:val="24"/>
        </w:rPr>
        <w:t>P</w:t>
      </w:r>
      <w:r w:rsidR="0026311A" w:rsidRPr="008D7149">
        <w:rPr>
          <w:rFonts w:ascii="Times New Roman" w:hAnsi="Times New Roman" w:cs="Times New Roman"/>
          <w:sz w:val="24"/>
          <w:szCs w:val="24"/>
        </w:rPr>
        <w:t>rzykład</w:t>
      </w:r>
      <w:r w:rsidR="009031D4" w:rsidRPr="008D7149">
        <w:rPr>
          <w:rFonts w:ascii="Times New Roman" w:hAnsi="Times New Roman" w:cs="Times New Roman"/>
          <w:sz w:val="24"/>
          <w:szCs w:val="24"/>
        </w:rPr>
        <w:t>em</w:t>
      </w:r>
      <w:r w:rsidR="0026311A" w:rsidRPr="008D7149">
        <w:rPr>
          <w:rFonts w:ascii="Times New Roman" w:hAnsi="Times New Roman" w:cs="Times New Roman"/>
          <w:sz w:val="24"/>
          <w:szCs w:val="24"/>
        </w:rPr>
        <w:t xml:space="preserve"> takiego naruszenia mo</w:t>
      </w:r>
      <w:r w:rsidR="009031D4" w:rsidRPr="008D7149">
        <w:rPr>
          <w:rFonts w:ascii="Times New Roman" w:hAnsi="Times New Roman" w:cs="Times New Roman"/>
          <w:sz w:val="24"/>
          <w:szCs w:val="24"/>
        </w:rPr>
        <w:t xml:space="preserve">gą być </w:t>
      </w:r>
      <w:r w:rsidR="0026311A" w:rsidRPr="008D7149">
        <w:rPr>
          <w:rFonts w:ascii="Times New Roman" w:hAnsi="Times New Roman" w:cs="Times New Roman"/>
          <w:sz w:val="24"/>
          <w:szCs w:val="24"/>
        </w:rPr>
        <w:t>przekazane przez założycieli lub bank</w:t>
      </w:r>
      <w:r w:rsidR="00F70326" w:rsidRPr="008D7149">
        <w:rPr>
          <w:rFonts w:ascii="Times New Roman" w:hAnsi="Times New Roman" w:cs="Times New Roman"/>
          <w:sz w:val="24"/>
          <w:szCs w:val="24"/>
        </w:rPr>
        <w:t xml:space="preserve"> </w:t>
      </w:r>
      <w:r w:rsidR="001935BB" w:rsidRPr="008D7149">
        <w:rPr>
          <w:rFonts w:ascii="Times New Roman" w:hAnsi="Times New Roman" w:cs="Times New Roman"/>
          <w:sz w:val="24"/>
          <w:szCs w:val="24"/>
        </w:rPr>
        <w:t xml:space="preserve">hipoteczny </w:t>
      </w:r>
      <w:r w:rsidR="0026311A" w:rsidRPr="008D7149">
        <w:rPr>
          <w:rFonts w:ascii="Times New Roman" w:hAnsi="Times New Roman" w:cs="Times New Roman"/>
          <w:sz w:val="24"/>
          <w:szCs w:val="24"/>
        </w:rPr>
        <w:t>błędne informacje</w:t>
      </w:r>
      <w:r w:rsidR="009031D4" w:rsidRPr="008D7149">
        <w:rPr>
          <w:rFonts w:ascii="Times New Roman" w:hAnsi="Times New Roman" w:cs="Times New Roman"/>
          <w:sz w:val="24"/>
          <w:szCs w:val="24"/>
        </w:rPr>
        <w:t>,</w:t>
      </w:r>
      <w:r w:rsidR="0026311A" w:rsidRPr="008D7149">
        <w:rPr>
          <w:rFonts w:ascii="Times New Roman" w:hAnsi="Times New Roman" w:cs="Times New Roman"/>
          <w:sz w:val="24"/>
          <w:szCs w:val="24"/>
        </w:rPr>
        <w:t xml:space="preserve"> na podstawie których </w:t>
      </w:r>
      <w:r w:rsidR="00E12859" w:rsidRPr="008D7149">
        <w:rPr>
          <w:rFonts w:ascii="Times New Roman" w:hAnsi="Times New Roman" w:cs="Times New Roman"/>
          <w:sz w:val="24"/>
          <w:szCs w:val="24"/>
        </w:rPr>
        <w:t xml:space="preserve">KNF </w:t>
      </w:r>
      <w:r w:rsidR="0026311A" w:rsidRPr="008D7149">
        <w:rPr>
          <w:rFonts w:ascii="Times New Roman" w:hAnsi="Times New Roman" w:cs="Times New Roman"/>
          <w:sz w:val="24"/>
          <w:szCs w:val="24"/>
        </w:rPr>
        <w:t>dokonywała oceny odpowiedniości członka zarządu, przy czym te informacje pochodziły od kandydata, a wnioskodawca (założyciel/bank</w:t>
      </w:r>
      <w:r w:rsidR="001935BB" w:rsidRPr="008D7149">
        <w:rPr>
          <w:rFonts w:ascii="Times New Roman" w:hAnsi="Times New Roman" w:cs="Times New Roman"/>
          <w:sz w:val="24"/>
          <w:szCs w:val="24"/>
        </w:rPr>
        <w:t xml:space="preserve"> hipoteczny</w:t>
      </w:r>
      <w:r w:rsidR="0026311A" w:rsidRPr="008D7149">
        <w:rPr>
          <w:rFonts w:ascii="Times New Roman" w:hAnsi="Times New Roman" w:cs="Times New Roman"/>
          <w:sz w:val="24"/>
          <w:szCs w:val="24"/>
        </w:rPr>
        <w:t xml:space="preserve">) miał </w:t>
      </w:r>
      <w:r w:rsidR="001935BB" w:rsidRPr="008D7149">
        <w:rPr>
          <w:rFonts w:ascii="Times New Roman" w:hAnsi="Times New Roman" w:cs="Times New Roman"/>
          <w:sz w:val="24"/>
          <w:szCs w:val="24"/>
        </w:rPr>
        <w:t xml:space="preserve">jedynie </w:t>
      </w:r>
      <w:r w:rsidR="0026311A" w:rsidRPr="008D7149">
        <w:rPr>
          <w:rFonts w:ascii="Times New Roman" w:hAnsi="Times New Roman" w:cs="Times New Roman"/>
          <w:sz w:val="24"/>
          <w:szCs w:val="24"/>
        </w:rPr>
        <w:t>ograniczone możliwości zweryfikowania tych informacji</w:t>
      </w:r>
      <w:r w:rsidR="009031D4" w:rsidRPr="008D7149">
        <w:rPr>
          <w:rFonts w:ascii="Times New Roman" w:hAnsi="Times New Roman" w:cs="Times New Roman"/>
          <w:sz w:val="24"/>
          <w:szCs w:val="24"/>
        </w:rPr>
        <w:t xml:space="preserve"> </w:t>
      </w:r>
      <w:r w:rsidR="00F70326" w:rsidRPr="008D7149">
        <w:rPr>
          <w:rFonts w:ascii="Times New Roman" w:hAnsi="Times New Roman" w:cs="Times New Roman"/>
          <w:sz w:val="24"/>
          <w:szCs w:val="24"/>
        </w:rPr>
        <w:t>(</w:t>
      </w:r>
      <w:r w:rsidR="0026311A" w:rsidRPr="008D7149">
        <w:rPr>
          <w:rFonts w:ascii="Times New Roman" w:hAnsi="Times New Roman" w:cs="Times New Roman"/>
          <w:sz w:val="24"/>
          <w:szCs w:val="24"/>
        </w:rPr>
        <w:t xml:space="preserve">np. błędny lub </w:t>
      </w:r>
      <w:r w:rsidR="00F70326" w:rsidRPr="008D7149">
        <w:rPr>
          <w:rFonts w:ascii="Times New Roman" w:hAnsi="Times New Roman" w:cs="Times New Roman"/>
          <w:sz w:val="24"/>
          <w:szCs w:val="24"/>
        </w:rPr>
        <w:t xml:space="preserve">nieprawdziwy </w:t>
      </w:r>
      <w:r w:rsidR="0026311A" w:rsidRPr="008D7149">
        <w:rPr>
          <w:rFonts w:ascii="Times New Roman" w:hAnsi="Times New Roman" w:cs="Times New Roman"/>
          <w:sz w:val="24"/>
          <w:szCs w:val="24"/>
        </w:rPr>
        <w:t>życiorys zawodowy kandydata</w:t>
      </w:r>
      <w:r w:rsidR="00F70326" w:rsidRPr="008D7149">
        <w:rPr>
          <w:rFonts w:ascii="Times New Roman" w:hAnsi="Times New Roman" w:cs="Times New Roman"/>
          <w:sz w:val="24"/>
          <w:szCs w:val="24"/>
        </w:rPr>
        <w:t xml:space="preserve"> na członka zarządu)</w:t>
      </w:r>
      <w:r w:rsidR="0026311A" w:rsidRPr="008D7149">
        <w:rPr>
          <w:rFonts w:ascii="Times New Roman" w:hAnsi="Times New Roman" w:cs="Times New Roman"/>
          <w:sz w:val="24"/>
          <w:szCs w:val="24"/>
        </w:rPr>
        <w:t>.</w:t>
      </w:r>
    </w:p>
    <w:p w14:paraId="6CE54B3F" w14:textId="10DA500B" w:rsidR="009031D4" w:rsidRPr="008D7149" w:rsidRDefault="009031D4"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odniesieniu do przesłanki </w:t>
      </w:r>
      <w:r w:rsidR="001935BB" w:rsidRPr="008D7149">
        <w:rPr>
          <w:rFonts w:ascii="Times New Roman" w:hAnsi="Times New Roman" w:cs="Times New Roman"/>
          <w:sz w:val="24"/>
          <w:szCs w:val="24"/>
        </w:rPr>
        <w:t xml:space="preserve">z </w:t>
      </w:r>
      <w:r w:rsidRPr="008D7149">
        <w:rPr>
          <w:rFonts w:ascii="Times New Roman" w:hAnsi="Times New Roman" w:cs="Times New Roman"/>
          <w:sz w:val="24"/>
          <w:szCs w:val="24"/>
        </w:rPr>
        <w:t xml:space="preserve">art. 33e ust. 2 pkt 1 </w:t>
      </w:r>
      <w:r w:rsidR="001935BB" w:rsidRPr="008D7149">
        <w:rPr>
          <w:rFonts w:ascii="Times New Roman" w:hAnsi="Times New Roman" w:cs="Times New Roman"/>
          <w:sz w:val="24"/>
          <w:szCs w:val="24"/>
        </w:rPr>
        <w:t xml:space="preserve">Ustawy </w:t>
      </w:r>
      <w:r w:rsidRPr="008D7149">
        <w:rPr>
          <w:rFonts w:ascii="Times New Roman" w:hAnsi="Times New Roman" w:cs="Times New Roman"/>
          <w:sz w:val="24"/>
          <w:szCs w:val="24"/>
        </w:rPr>
        <w:t>(bank hipoteczny przestał spełniać warunki do prowadzenia działalności w zakresie emitowania listów zastawnych) przykładem może być sytuacja, gdy upłynęła kadencja powiernika i jego zastępcy, a bank hipoteczny nie składa wniosku o powołanie nowych powierników, lub</w:t>
      </w:r>
      <w:r w:rsidR="001935BB" w:rsidRPr="008D7149">
        <w:rPr>
          <w:rFonts w:ascii="Times New Roman" w:hAnsi="Times New Roman" w:cs="Times New Roman"/>
          <w:sz w:val="24"/>
          <w:szCs w:val="24"/>
        </w:rPr>
        <w:t>,</w:t>
      </w:r>
      <w:r w:rsidRPr="008D7149">
        <w:rPr>
          <w:rFonts w:ascii="Times New Roman" w:hAnsi="Times New Roman" w:cs="Times New Roman"/>
          <w:sz w:val="24"/>
          <w:szCs w:val="24"/>
        </w:rPr>
        <w:t xml:space="preserve"> składając takie wnioski, przedstawia kandydatów, którzy nie spełniają wymagań ustawowych i tym samym bank hipoteczny pozostaje bez nadzoru powiernika.</w:t>
      </w:r>
    </w:p>
    <w:p w14:paraId="33849D5C" w14:textId="356F9829" w:rsidR="009031D4" w:rsidRPr="008D7149" w:rsidRDefault="009031D4"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kontekście </w:t>
      </w:r>
      <w:r w:rsidR="00466EC5" w:rsidRPr="008D7149">
        <w:rPr>
          <w:rFonts w:ascii="Times New Roman" w:hAnsi="Times New Roman" w:cs="Times New Roman"/>
          <w:sz w:val="24"/>
          <w:szCs w:val="24"/>
        </w:rPr>
        <w:t>powyższego</w:t>
      </w:r>
      <w:r w:rsidRPr="008D7149">
        <w:rPr>
          <w:rFonts w:ascii="Times New Roman" w:hAnsi="Times New Roman" w:cs="Times New Roman"/>
          <w:sz w:val="24"/>
          <w:szCs w:val="24"/>
        </w:rPr>
        <w:t xml:space="preserve">, jeżeli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uzna naruszenie za istotne, ale nie na tyle poważne, </w:t>
      </w:r>
      <w:r w:rsidR="00E62C74">
        <w:rPr>
          <w:rFonts w:ascii="Times New Roman" w:hAnsi="Times New Roman" w:cs="Times New Roman"/>
          <w:sz w:val="24"/>
          <w:szCs w:val="24"/>
        </w:rPr>
        <w:t>a</w:t>
      </w:r>
      <w:r w:rsidRPr="008D7149">
        <w:rPr>
          <w:rFonts w:ascii="Times New Roman" w:hAnsi="Times New Roman" w:cs="Times New Roman"/>
          <w:sz w:val="24"/>
          <w:szCs w:val="24"/>
        </w:rPr>
        <w:t>by skutkowało ograniczeniem działalności banku</w:t>
      </w:r>
      <w:r w:rsidR="001935BB" w:rsidRPr="008D7149">
        <w:rPr>
          <w:rFonts w:ascii="Times New Roman" w:hAnsi="Times New Roman" w:cs="Times New Roman"/>
          <w:sz w:val="24"/>
          <w:szCs w:val="24"/>
        </w:rPr>
        <w:t xml:space="preserve"> hipotecznego</w:t>
      </w:r>
      <w:r w:rsidRPr="008D7149">
        <w:rPr>
          <w:rFonts w:ascii="Times New Roman" w:hAnsi="Times New Roman" w:cs="Times New Roman"/>
          <w:sz w:val="24"/>
          <w:szCs w:val="24"/>
        </w:rPr>
        <w:t>, może na podstawie art. 33f ust. 1</w:t>
      </w:r>
      <w:r w:rsidR="001935BB" w:rsidRPr="008D7149">
        <w:rPr>
          <w:rFonts w:ascii="Times New Roman" w:hAnsi="Times New Roman" w:cs="Times New Roman"/>
          <w:sz w:val="24"/>
          <w:szCs w:val="24"/>
        </w:rPr>
        <w:t xml:space="preserve"> Ustawy</w:t>
      </w:r>
      <w:r w:rsidRPr="008D7149">
        <w:rPr>
          <w:rFonts w:ascii="Times New Roman" w:hAnsi="Times New Roman" w:cs="Times New Roman"/>
          <w:sz w:val="24"/>
          <w:szCs w:val="24"/>
        </w:rPr>
        <w:t xml:space="preserve"> nałożyć, w drodze decyzji administracyjnej, karę pieniężną</w:t>
      </w:r>
      <w:r w:rsidR="001935BB" w:rsidRPr="008D7149">
        <w:rPr>
          <w:rFonts w:ascii="Times New Roman" w:hAnsi="Times New Roman" w:cs="Times New Roman"/>
          <w:sz w:val="24"/>
          <w:szCs w:val="24"/>
        </w:rPr>
        <w:t xml:space="preserve"> zamiast decyzji o ograniczeniu działalności takiego banku hipotecznego</w:t>
      </w:r>
      <w:r w:rsidRPr="008D7149">
        <w:rPr>
          <w:rFonts w:ascii="Times New Roman" w:hAnsi="Times New Roman" w:cs="Times New Roman"/>
          <w:sz w:val="24"/>
          <w:szCs w:val="24"/>
        </w:rPr>
        <w:t>.</w:t>
      </w:r>
    </w:p>
    <w:p w14:paraId="626C4123" w14:textId="1CD4CE2E" w:rsidR="00DE6E79" w:rsidRPr="008D7149" w:rsidRDefault="004C18E0"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B</w:t>
      </w:r>
      <w:r w:rsidR="004218D0" w:rsidRPr="008D7149">
        <w:rPr>
          <w:rFonts w:ascii="Times New Roman" w:hAnsi="Times New Roman" w:cs="Times New Roman"/>
          <w:sz w:val="24"/>
          <w:szCs w:val="24"/>
        </w:rPr>
        <w:t>rzmienie art. 33f ust. 3 pkt 1 Ustawy dotyczące wysokości kar pieniężnych nakładanych na bank hipoteczny, odnoszące się odpowiednio do wykazanego lub prognozowanego przychodu, jest analogiczne z rozwiązaniami zawartymi w art. 138 ust. 3 pkt 3a ustawy z dnia 29 sierpnia 1997 r. – Prawo bankowe</w:t>
      </w:r>
      <w:r w:rsidR="0079035D" w:rsidRPr="008D7149">
        <w:rPr>
          <w:rFonts w:ascii="Times New Roman" w:hAnsi="Times New Roman" w:cs="Times New Roman"/>
          <w:sz w:val="24"/>
          <w:szCs w:val="24"/>
        </w:rPr>
        <w:t xml:space="preserve">, </w:t>
      </w:r>
      <w:r w:rsidR="0079035D" w:rsidRPr="008D7149">
        <w:rPr>
          <w:rFonts w:ascii="Times New Roman" w:eastAsia="Calibri" w:hAnsi="Times New Roman" w:cs="Times New Roman"/>
          <w:sz w:val="24"/>
          <w:szCs w:val="24"/>
        </w:rPr>
        <w:t xml:space="preserve">art. 62 </w:t>
      </w:r>
      <w:r w:rsidR="006F412B" w:rsidRPr="008D7149">
        <w:rPr>
          <w:rFonts w:ascii="Times New Roman" w:eastAsia="Calibri" w:hAnsi="Times New Roman" w:cs="Times New Roman"/>
          <w:sz w:val="24"/>
          <w:szCs w:val="24"/>
        </w:rPr>
        <w:t xml:space="preserve">ust. 1 </w:t>
      </w:r>
      <w:r w:rsidR="0079035D" w:rsidRPr="008D7149">
        <w:rPr>
          <w:rFonts w:ascii="Times New Roman" w:eastAsia="Calibri" w:hAnsi="Times New Roman" w:cs="Times New Roman"/>
          <w:sz w:val="24"/>
          <w:szCs w:val="24"/>
        </w:rPr>
        <w:t>pkt 2 lit</w:t>
      </w:r>
      <w:r w:rsidR="006F412B" w:rsidRPr="008D7149">
        <w:rPr>
          <w:rFonts w:ascii="Times New Roman" w:eastAsia="Calibri" w:hAnsi="Times New Roman" w:cs="Times New Roman"/>
          <w:sz w:val="24"/>
          <w:szCs w:val="24"/>
        </w:rPr>
        <w:t>.</w:t>
      </w:r>
      <w:r w:rsidR="0079035D" w:rsidRPr="008D7149">
        <w:rPr>
          <w:rFonts w:ascii="Times New Roman" w:eastAsia="Calibri" w:hAnsi="Times New Roman" w:cs="Times New Roman"/>
          <w:sz w:val="24"/>
          <w:szCs w:val="24"/>
        </w:rPr>
        <w:t xml:space="preserve"> c ustawy </w:t>
      </w:r>
      <w:r w:rsidR="00172710" w:rsidRPr="008D7149">
        <w:rPr>
          <w:rFonts w:ascii="Times New Roman" w:eastAsia="Calibri" w:hAnsi="Times New Roman" w:cs="Times New Roman"/>
          <w:sz w:val="24"/>
          <w:szCs w:val="24"/>
        </w:rPr>
        <w:t xml:space="preserve">z dnia 5 sierpnia 2015 r. </w:t>
      </w:r>
      <w:r w:rsidR="0079035D" w:rsidRPr="008D7149">
        <w:rPr>
          <w:rFonts w:ascii="Times New Roman" w:eastAsia="Calibri" w:hAnsi="Times New Roman" w:cs="Times New Roman"/>
          <w:sz w:val="24"/>
          <w:szCs w:val="24"/>
        </w:rPr>
        <w:t>o nadzorze makroostrożnościowym nad systemem finansowym i zarządzaniu kryzysowym w systemie finansowym</w:t>
      </w:r>
      <w:r w:rsidR="00402A0B" w:rsidRPr="008D7149">
        <w:rPr>
          <w:rFonts w:ascii="Times New Roman" w:eastAsia="Calibri" w:hAnsi="Times New Roman" w:cs="Times New Roman"/>
          <w:sz w:val="24"/>
          <w:szCs w:val="24"/>
        </w:rPr>
        <w:t xml:space="preserve">, </w:t>
      </w:r>
      <w:r w:rsidR="0079035D" w:rsidRPr="008D7149">
        <w:rPr>
          <w:rFonts w:ascii="Times New Roman" w:eastAsia="Calibri" w:hAnsi="Times New Roman" w:cs="Times New Roman"/>
          <w:sz w:val="24"/>
          <w:szCs w:val="24"/>
        </w:rPr>
        <w:t xml:space="preserve">jak również w </w:t>
      </w:r>
      <w:r w:rsidR="003B0557" w:rsidRPr="008D7149">
        <w:rPr>
          <w:rFonts w:ascii="Times New Roman" w:eastAsia="Calibri" w:hAnsi="Times New Roman" w:cs="Times New Roman"/>
          <w:sz w:val="24"/>
          <w:szCs w:val="24"/>
        </w:rPr>
        <w:t xml:space="preserve">art. 337a </w:t>
      </w:r>
      <w:r w:rsidR="00B87AF9" w:rsidRPr="008D7149">
        <w:rPr>
          <w:rFonts w:ascii="Times New Roman" w:eastAsia="Calibri" w:hAnsi="Times New Roman" w:cs="Times New Roman"/>
          <w:sz w:val="24"/>
          <w:szCs w:val="24"/>
        </w:rPr>
        <w:t xml:space="preserve">§ </w:t>
      </w:r>
      <w:r w:rsidR="003B0557" w:rsidRPr="008D7149">
        <w:rPr>
          <w:rFonts w:ascii="Times New Roman" w:eastAsia="Calibri" w:hAnsi="Times New Roman" w:cs="Times New Roman"/>
          <w:sz w:val="24"/>
          <w:szCs w:val="24"/>
        </w:rPr>
        <w:t xml:space="preserve">1 pkt 1 lit. a </w:t>
      </w:r>
      <w:r w:rsidR="0079035D" w:rsidRPr="008D7149">
        <w:rPr>
          <w:rFonts w:ascii="Times New Roman" w:eastAsia="Calibri" w:hAnsi="Times New Roman" w:cs="Times New Roman"/>
          <w:sz w:val="24"/>
          <w:szCs w:val="24"/>
        </w:rPr>
        <w:t>ustaw</w:t>
      </w:r>
      <w:r w:rsidR="003B0557" w:rsidRPr="008D7149">
        <w:rPr>
          <w:rFonts w:ascii="Times New Roman" w:eastAsia="Calibri" w:hAnsi="Times New Roman" w:cs="Times New Roman"/>
          <w:sz w:val="24"/>
          <w:szCs w:val="24"/>
        </w:rPr>
        <w:t>y</w:t>
      </w:r>
      <w:r w:rsidR="0079035D" w:rsidRPr="008D7149">
        <w:rPr>
          <w:rFonts w:ascii="Times New Roman" w:eastAsia="Calibri" w:hAnsi="Times New Roman" w:cs="Times New Roman"/>
          <w:sz w:val="24"/>
          <w:szCs w:val="24"/>
        </w:rPr>
        <w:t xml:space="preserve"> o </w:t>
      </w:r>
      <w:r w:rsidR="0081459E" w:rsidRPr="008D7149">
        <w:rPr>
          <w:rFonts w:ascii="Times New Roman" w:eastAsia="Calibri" w:hAnsi="Times New Roman" w:cs="Times New Roman"/>
          <w:sz w:val="24"/>
          <w:szCs w:val="24"/>
        </w:rPr>
        <w:t>BFG</w:t>
      </w:r>
      <w:r w:rsidR="0076556C" w:rsidRPr="008D7149">
        <w:rPr>
          <w:rFonts w:ascii="Times New Roman" w:eastAsia="Calibri" w:hAnsi="Times New Roman" w:cs="Times New Roman"/>
          <w:sz w:val="24"/>
          <w:szCs w:val="24"/>
        </w:rPr>
        <w:t xml:space="preserve">. </w:t>
      </w:r>
      <w:r w:rsidR="00FE27C6" w:rsidRPr="008D7149">
        <w:rPr>
          <w:rFonts w:ascii="Times New Roman" w:eastAsia="Calibri" w:hAnsi="Times New Roman" w:cs="Times New Roman"/>
          <w:sz w:val="24"/>
          <w:szCs w:val="24"/>
        </w:rPr>
        <w:t xml:space="preserve">Podkreślić należy, że </w:t>
      </w:r>
      <w:r w:rsidR="0076556C" w:rsidRPr="008D7149">
        <w:rPr>
          <w:rFonts w:ascii="Times New Roman" w:eastAsia="Calibri" w:hAnsi="Times New Roman" w:cs="Times New Roman"/>
          <w:sz w:val="24"/>
          <w:szCs w:val="24"/>
        </w:rPr>
        <w:t xml:space="preserve">kategoria </w:t>
      </w:r>
      <w:r w:rsidR="0079035D" w:rsidRPr="008D7149">
        <w:rPr>
          <w:rFonts w:ascii="Times New Roman" w:eastAsia="Calibri" w:hAnsi="Times New Roman" w:cs="Times New Roman"/>
          <w:sz w:val="24"/>
          <w:szCs w:val="24"/>
        </w:rPr>
        <w:t xml:space="preserve">regulacyjna ,,prognozowany przychód” </w:t>
      </w:r>
      <w:r w:rsidR="00402A0B" w:rsidRPr="008D7149">
        <w:rPr>
          <w:rFonts w:ascii="Times New Roman" w:eastAsia="Calibri" w:hAnsi="Times New Roman" w:cs="Times New Roman"/>
          <w:sz w:val="24"/>
          <w:szCs w:val="24"/>
        </w:rPr>
        <w:t>w</w:t>
      </w:r>
      <w:r w:rsidR="0079035D" w:rsidRPr="008D7149">
        <w:rPr>
          <w:rFonts w:ascii="Times New Roman" w:eastAsia="Calibri" w:hAnsi="Times New Roman" w:cs="Times New Roman"/>
          <w:sz w:val="24"/>
          <w:szCs w:val="24"/>
        </w:rPr>
        <w:t xml:space="preserve"> art. 33f ust. 3 pkt 1 i art. 33g pkt 3 </w:t>
      </w:r>
      <w:r w:rsidR="0076556C" w:rsidRPr="008D7149">
        <w:rPr>
          <w:rFonts w:ascii="Times New Roman" w:eastAsia="Calibri" w:hAnsi="Times New Roman" w:cs="Times New Roman"/>
          <w:sz w:val="24"/>
          <w:szCs w:val="24"/>
        </w:rPr>
        <w:t xml:space="preserve">Ustawy nie </w:t>
      </w:r>
      <w:r w:rsidR="0079035D" w:rsidRPr="008D7149">
        <w:rPr>
          <w:rFonts w:ascii="Times New Roman" w:eastAsia="Calibri" w:hAnsi="Times New Roman" w:cs="Times New Roman"/>
          <w:sz w:val="24"/>
          <w:szCs w:val="24"/>
        </w:rPr>
        <w:t xml:space="preserve">jest </w:t>
      </w:r>
      <w:r w:rsidR="00FE27C6" w:rsidRPr="008D7149">
        <w:rPr>
          <w:rFonts w:ascii="Times New Roman" w:eastAsia="Calibri" w:hAnsi="Times New Roman" w:cs="Times New Roman"/>
          <w:sz w:val="24"/>
          <w:szCs w:val="24"/>
        </w:rPr>
        <w:t xml:space="preserve">pojęciem </w:t>
      </w:r>
      <w:r w:rsidR="0079035D" w:rsidRPr="008D7149">
        <w:rPr>
          <w:rFonts w:ascii="Times New Roman" w:eastAsia="Calibri" w:hAnsi="Times New Roman" w:cs="Times New Roman"/>
          <w:sz w:val="24"/>
          <w:szCs w:val="24"/>
        </w:rPr>
        <w:t>autonomiczn</w:t>
      </w:r>
      <w:r w:rsidR="00FE27C6" w:rsidRPr="008D7149">
        <w:rPr>
          <w:rFonts w:ascii="Times New Roman" w:eastAsia="Calibri" w:hAnsi="Times New Roman" w:cs="Times New Roman"/>
          <w:sz w:val="24"/>
          <w:szCs w:val="24"/>
        </w:rPr>
        <w:t>ym</w:t>
      </w:r>
      <w:r w:rsidR="0079035D" w:rsidRPr="008D7149">
        <w:rPr>
          <w:rFonts w:ascii="Times New Roman" w:eastAsia="Calibri" w:hAnsi="Times New Roman" w:cs="Times New Roman"/>
          <w:sz w:val="24"/>
          <w:szCs w:val="24"/>
        </w:rPr>
        <w:t xml:space="preserve">, lecz </w:t>
      </w:r>
      <w:r w:rsidR="00FE27C6" w:rsidRPr="008D7149">
        <w:rPr>
          <w:rFonts w:ascii="Times New Roman" w:eastAsia="Calibri" w:hAnsi="Times New Roman" w:cs="Times New Roman"/>
          <w:sz w:val="24"/>
          <w:szCs w:val="24"/>
        </w:rPr>
        <w:t xml:space="preserve">jest tak samo </w:t>
      </w:r>
      <w:r w:rsidR="0079035D" w:rsidRPr="008D7149">
        <w:rPr>
          <w:rFonts w:ascii="Times New Roman" w:eastAsia="Calibri" w:hAnsi="Times New Roman" w:cs="Times New Roman"/>
          <w:sz w:val="24"/>
          <w:szCs w:val="24"/>
        </w:rPr>
        <w:t>definiowan</w:t>
      </w:r>
      <w:r w:rsidR="00FE27C6" w:rsidRPr="008D7149">
        <w:rPr>
          <w:rFonts w:ascii="Times New Roman" w:eastAsia="Calibri" w:hAnsi="Times New Roman" w:cs="Times New Roman"/>
          <w:sz w:val="24"/>
          <w:szCs w:val="24"/>
        </w:rPr>
        <w:t>e jak</w:t>
      </w:r>
      <w:r w:rsidR="0079035D" w:rsidRPr="008D7149">
        <w:rPr>
          <w:rFonts w:ascii="Times New Roman" w:eastAsia="Calibri" w:hAnsi="Times New Roman" w:cs="Times New Roman"/>
          <w:sz w:val="24"/>
          <w:szCs w:val="24"/>
        </w:rPr>
        <w:t xml:space="preserve"> w wymienionych </w:t>
      </w:r>
      <w:r w:rsidR="0079035D" w:rsidRPr="008D7149">
        <w:rPr>
          <w:rFonts w:ascii="Times New Roman" w:eastAsia="Calibri" w:hAnsi="Times New Roman" w:cs="Times New Roman"/>
          <w:sz w:val="24"/>
          <w:szCs w:val="24"/>
        </w:rPr>
        <w:lastRenderedPageBreak/>
        <w:t>ustawach</w:t>
      </w:r>
      <w:r w:rsidRPr="008D7149">
        <w:rPr>
          <w:rFonts w:ascii="Times New Roman" w:eastAsia="Calibri" w:hAnsi="Times New Roman" w:cs="Times New Roman"/>
          <w:sz w:val="24"/>
          <w:szCs w:val="24"/>
        </w:rPr>
        <w:t xml:space="preserve">. </w:t>
      </w:r>
      <w:r w:rsidR="0079035D" w:rsidRPr="008D7149">
        <w:rPr>
          <w:rFonts w:ascii="Times New Roman" w:eastAsia="Calibri" w:hAnsi="Times New Roman" w:cs="Times New Roman"/>
          <w:sz w:val="24"/>
          <w:szCs w:val="24"/>
        </w:rPr>
        <w:t xml:space="preserve">Wprowadzenie tego pojęcia do </w:t>
      </w:r>
      <w:r w:rsidR="0076556C" w:rsidRPr="008D7149">
        <w:rPr>
          <w:rFonts w:ascii="Times New Roman" w:eastAsia="Calibri" w:hAnsi="Times New Roman" w:cs="Times New Roman"/>
          <w:sz w:val="24"/>
          <w:szCs w:val="24"/>
        </w:rPr>
        <w:t>Ustawy m</w:t>
      </w:r>
      <w:r w:rsidR="0079035D" w:rsidRPr="008D7149">
        <w:rPr>
          <w:rFonts w:ascii="Times New Roman" w:eastAsia="Calibri" w:hAnsi="Times New Roman" w:cs="Times New Roman"/>
          <w:sz w:val="24"/>
          <w:szCs w:val="24"/>
        </w:rPr>
        <w:t xml:space="preserve">a </w:t>
      </w:r>
      <w:r w:rsidR="0076556C" w:rsidRPr="008D7149">
        <w:rPr>
          <w:rFonts w:ascii="Times New Roman" w:eastAsia="Calibri" w:hAnsi="Times New Roman" w:cs="Times New Roman"/>
          <w:sz w:val="24"/>
          <w:szCs w:val="24"/>
        </w:rPr>
        <w:t xml:space="preserve">na </w:t>
      </w:r>
      <w:r w:rsidR="0079035D" w:rsidRPr="008D7149">
        <w:rPr>
          <w:rFonts w:ascii="Times New Roman" w:eastAsia="Calibri" w:hAnsi="Times New Roman" w:cs="Times New Roman"/>
          <w:sz w:val="24"/>
          <w:szCs w:val="24"/>
        </w:rPr>
        <w:t>celu zapewnienie jednolitego podejścia do systemu sankcji zarówno dla banków uniwersalnych</w:t>
      </w:r>
      <w:r w:rsidR="006F412B" w:rsidRPr="008D7149">
        <w:rPr>
          <w:rFonts w:ascii="Times New Roman" w:eastAsia="Calibri" w:hAnsi="Times New Roman" w:cs="Times New Roman"/>
          <w:sz w:val="24"/>
          <w:szCs w:val="24"/>
        </w:rPr>
        <w:t>,</w:t>
      </w:r>
      <w:r w:rsidR="0079035D" w:rsidRPr="008D7149">
        <w:rPr>
          <w:rFonts w:ascii="Times New Roman" w:eastAsia="Calibri" w:hAnsi="Times New Roman" w:cs="Times New Roman"/>
          <w:sz w:val="24"/>
          <w:szCs w:val="24"/>
        </w:rPr>
        <w:t xml:space="preserve"> jak i dla banków hipotecznych</w:t>
      </w:r>
      <w:r w:rsidR="006F412B" w:rsidRPr="008D7149">
        <w:rPr>
          <w:rFonts w:ascii="Times New Roman" w:eastAsia="Calibri" w:hAnsi="Times New Roman" w:cs="Times New Roman"/>
          <w:sz w:val="24"/>
          <w:szCs w:val="24"/>
        </w:rPr>
        <w:t xml:space="preserve">, a także </w:t>
      </w:r>
      <w:r w:rsidR="0079035D" w:rsidRPr="008D7149">
        <w:rPr>
          <w:rFonts w:ascii="Times New Roman" w:eastAsia="Calibri" w:hAnsi="Times New Roman" w:cs="Times New Roman"/>
          <w:sz w:val="24"/>
          <w:szCs w:val="24"/>
        </w:rPr>
        <w:t xml:space="preserve">nieróżnicowanie </w:t>
      </w:r>
      <w:r w:rsidR="00402A0B" w:rsidRPr="008D7149">
        <w:rPr>
          <w:rFonts w:ascii="Times New Roman" w:eastAsia="Calibri" w:hAnsi="Times New Roman" w:cs="Times New Roman"/>
          <w:sz w:val="24"/>
          <w:szCs w:val="24"/>
        </w:rPr>
        <w:t xml:space="preserve">kategorii sankcji w zależności od </w:t>
      </w:r>
      <w:r w:rsidR="0079035D" w:rsidRPr="008D7149">
        <w:rPr>
          <w:rFonts w:ascii="Times New Roman" w:eastAsia="Calibri" w:hAnsi="Times New Roman" w:cs="Times New Roman"/>
          <w:sz w:val="24"/>
          <w:szCs w:val="24"/>
        </w:rPr>
        <w:t xml:space="preserve">rodzaju banku. </w:t>
      </w:r>
      <w:r w:rsidR="00F8397C" w:rsidRPr="008D7149">
        <w:rPr>
          <w:rFonts w:ascii="Times New Roman" w:hAnsi="Times New Roman" w:cs="Times New Roman"/>
          <w:sz w:val="24"/>
          <w:szCs w:val="24"/>
        </w:rPr>
        <w:t xml:space="preserve">Kary pieniężne mogą być nakładane zarówno na bank hipoteczny, jak i na członka zarządu banku hipotecznego odpowiedzialnego za zaistniałe naruszenia. Projektowane brzmienie </w:t>
      </w:r>
      <w:r w:rsidR="00F8397C" w:rsidRPr="008D7149">
        <w:rPr>
          <w:rFonts w:ascii="Times New Roman" w:hAnsi="Times New Roman" w:cs="Times New Roman"/>
          <w:b/>
          <w:sz w:val="24"/>
          <w:szCs w:val="24"/>
        </w:rPr>
        <w:t>art. 33</w:t>
      </w:r>
      <w:r w:rsidR="008B232E" w:rsidRPr="008D7149">
        <w:rPr>
          <w:rFonts w:ascii="Times New Roman" w:hAnsi="Times New Roman" w:cs="Times New Roman"/>
          <w:b/>
          <w:sz w:val="24"/>
          <w:szCs w:val="24"/>
        </w:rPr>
        <w:t>g</w:t>
      </w:r>
      <w:r w:rsidR="00F8397C" w:rsidRPr="008D7149">
        <w:rPr>
          <w:rFonts w:ascii="Times New Roman" w:hAnsi="Times New Roman" w:cs="Times New Roman"/>
          <w:sz w:val="24"/>
          <w:szCs w:val="24"/>
        </w:rPr>
        <w:t xml:space="preserve"> Ustawy wskazuje czynniki, które powinna wziąć pod uwagę </w:t>
      </w:r>
      <w:r w:rsidR="00E12859" w:rsidRPr="008D7149">
        <w:rPr>
          <w:rFonts w:ascii="Times New Roman" w:hAnsi="Times New Roman" w:cs="Times New Roman"/>
          <w:sz w:val="24"/>
          <w:szCs w:val="24"/>
        </w:rPr>
        <w:t>KNF</w:t>
      </w:r>
      <w:r w:rsidR="00F8397C" w:rsidRPr="008D7149">
        <w:rPr>
          <w:rFonts w:ascii="Times New Roman" w:hAnsi="Times New Roman" w:cs="Times New Roman"/>
          <w:sz w:val="24"/>
          <w:szCs w:val="24"/>
        </w:rPr>
        <w:t>, ustalając wyso</w:t>
      </w:r>
      <w:r w:rsidR="00F639BC">
        <w:rPr>
          <w:rFonts w:ascii="Times New Roman" w:hAnsi="Times New Roman" w:cs="Times New Roman"/>
          <w:sz w:val="24"/>
          <w:szCs w:val="24"/>
        </w:rPr>
        <w:t>kość kary pieniężnej.</w:t>
      </w:r>
    </w:p>
    <w:p w14:paraId="6E0BBB3F" w14:textId="7DFBB702" w:rsidR="00ED701F" w:rsidRPr="008D7149" w:rsidRDefault="006F412B"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Projektowany</w:t>
      </w:r>
      <w:r w:rsidR="00F8397C" w:rsidRPr="008D7149">
        <w:rPr>
          <w:rFonts w:ascii="Times New Roman" w:hAnsi="Times New Roman" w:cs="Times New Roman"/>
          <w:sz w:val="24"/>
          <w:szCs w:val="24"/>
        </w:rPr>
        <w:t xml:space="preserve"> </w:t>
      </w:r>
      <w:r w:rsidR="00F8397C" w:rsidRPr="008D7149">
        <w:rPr>
          <w:rFonts w:ascii="Times New Roman" w:hAnsi="Times New Roman" w:cs="Times New Roman"/>
          <w:b/>
          <w:sz w:val="24"/>
          <w:szCs w:val="24"/>
        </w:rPr>
        <w:t>art. 33</w:t>
      </w:r>
      <w:r w:rsidR="008B232E" w:rsidRPr="008D7149">
        <w:rPr>
          <w:rFonts w:ascii="Times New Roman" w:hAnsi="Times New Roman" w:cs="Times New Roman"/>
          <w:b/>
          <w:sz w:val="24"/>
          <w:szCs w:val="24"/>
        </w:rPr>
        <w:t>h</w:t>
      </w:r>
      <w:r w:rsidR="00F8397C" w:rsidRPr="008D7149">
        <w:rPr>
          <w:rFonts w:ascii="Times New Roman" w:hAnsi="Times New Roman" w:cs="Times New Roman"/>
          <w:sz w:val="24"/>
          <w:szCs w:val="24"/>
        </w:rPr>
        <w:t xml:space="preserve"> Ustawy określa warunki przekazania do publicznej wiadomości informacji o </w:t>
      </w:r>
      <w:r w:rsidR="003B35D0" w:rsidRPr="008D7149">
        <w:rPr>
          <w:rFonts w:ascii="Times New Roman" w:hAnsi="Times New Roman" w:cs="Times New Roman"/>
          <w:sz w:val="24"/>
          <w:szCs w:val="24"/>
        </w:rPr>
        <w:t>nałożeniu sankcji administracyjnej</w:t>
      </w:r>
      <w:r w:rsidR="00F8397C" w:rsidRPr="008D7149">
        <w:rPr>
          <w:rFonts w:ascii="Times New Roman" w:hAnsi="Times New Roman" w:cs="Times New Roman"/>
          <w:sz w:val="24"/>
          <w:szCs w:val="24"/>
        </w:rPr>
        <w:t xml:space="preserve">. </w:t>
      </w:r>
      <w:r w:rsidR="00ED701F" w:rsidRPr="008D7149">
        <w:rPr>
          <w:rFonts w:ascii="Times New Roman" w:eastAsia="Calibri" w:hAnsi="Times New Roman" w:cs="Times New Roman"/>
          <w:sz w:val="24"/>
          <w:szCs w:val="24"/>
        </w:rPr>
        <w:t>Na podstawie art. 33h ust. 2</w:t>
      </w:r>
      <w:r w:rsidRPr="008D7149">
        <w:rPr>
          <w:rFonts w:ascii="Times New Roman" w:eastAsia="Calibri" w:hAnsi="Times New Roman" w:cs="Times New Roman"/>
          <w:sz w:val="24"/>
          <w:szCs w:val="24"/>
        </w:rPr>
        <w:t xml:space="preserve"> Ustawy</w:t>
      </w:r>
      <w:r w:rsidR="00ED701F" w:rsidRPr="008D7149">
        <w:rPr>
          <w:rFonts w:ascii="Times New Roman" w:eastAsia="Calibri" w:hAnsi="Times New Roman" w:cs="Times New Roman"/>
          <w:sz w:val="24"/>
          <w:szCs w:val="24"/>
        </w:rPr>
        <w:t xml:space="preserve"> publikacja na stronie internetowej </w:t>
      </w:r>
      <w:r w:rsidR="00E12859" w:rsidRPr="008D7149">
        <w:rPr>
          <w:rFonts w:ascii="Times New Roman" w:hAnsi="Times New Roman" w:cs="Times New Roman"/>
          <w:sz w:val="24"/>
          <w:szCs w:val="24"/>
        </w:rPr>
        <w:t xml:space="preserve">KNF </w:t>
      </w:r>
      <w:r w:rsidR="00ED701F" w:rsidRPr="008D7149">
        <w:rPr>
          <w:rFonts w:ascii="Times New Roman" w:eastAsia="Calibri" w:hAnsi="Times New Roman" w:cs="Times New Roman"/>
          <w:sz w:val="24"/>
          <w:szCs w:val="24"/>
        </w:rPr>
        <w:t>obejmuje również wskazanie imienia i nazwiska członka zarządu</w:t>
      </w:r>
      <w:r w:rsidR="00ED701F" w:rsidRPr="008D7149">
        <w:rPr>
          <w:rFonts w:ascii="Times New Roman" w:hAnsi="Times New Roman" w:cs="Times New Roman"/>
          <w:sz w:val="24"/>
          <w:szCs w:val="24"/>
        </w:rPr>
        <w:t xml:space="preserve"> </w:t>
      </w:r>
      <w:r w:rsidR="00ED701F" w:rsidRPr="008D7149">
        <w:rPr>
          <w:rFonts w:ascii="Times New Roman" w:eastAsia="Calibri" w:hAnsi="Times New Roman" w:cs="Times New Roman"/>
          <w:sz w:val="24"/>
          <w:szCs w:val="24"/>
        </w:rPr>
        <w:t xml:space="preserve">odpowiedzialnego za dane naruszenie </w:t>
      </w:r>
      <w:r w:rsidR="003C674A" w:rsidRPr="008D7149">
        <w:rPr>
          <w:rFonts w:ascii="Times New Roman" w:hAnsi="Times New Roman" w:cs="Times New Roman"/>
          <w:sz w:val="24"/>
          <w:szCs w:val="24"/>
        </w:rPr>
        <w:t>–</w:t>
      </w:r>
      <w:r w:rsidR="00ED701F" w:rsidRPr="008D7149">
        <w:rPr>
          <w:rFonts w:ascii="Times New Roman" w:eastAsia="Calibri" w:hAnsi="Times New Roman" w:cs="Times New Roman"/>
          <w:sz w:val="24"/>
          <w:szCs w:val="24"/>
        </w:rPr>
        <w:t xml:space="preserve"> przez okres nie dłuższy niż rok. Zgodnie z przyjętymi założeniami okres jednego roku udostępnienia ww. danych jest niezbędny z perspektywy realizacji celów nadzorczych, w szczególności w zakresie zapewnienia prawidłowego funkcjonowania rynku finansowego, z</w:t>
      </w:r>
      <w:r w:rsidR="00ED701F" w:rsidRPr="008D7149">
        <w:rPr>
          <w:rFonts w:ascii="Times New Roman" w:eastAsia="Times New Roman" w:hAnsi="Times New Roman" w:cs="Times New Roman"/>
          <w:sz w:val="24"/>
          <w:szCs w:val="24"/>
          <w:lang w:eastAsia="pl-PL"/>
        </w:rPr>
        <w:t>aufania do rynku finansowego, jego bezpieczeństwa</w:t>
      </w:r>
      <w:r w:rsidR="00ED701F" w:rsidRPr="008D7149">
        <w:rPr>
          <w:rFonts w:ascii="Times New Roman" w:hAnsi="Times New Roman" w:cs="Times New Roman"/>
          <w:sz w:val="24"/>
          <w:szCs w:val="24"/>
        </w:rPr>
        <w:t xml:space="preserve">, a także </w:t>
      </w:r>
      <w:r w:rsidR="00ED701F" w:rsidRPr="008D7149">
        <w:rPr>
          <w:rFonts w:ascii="Times New Roman" w:eastAsia="Times New Roman" w:hAnsi="Times New Roman" w:cs="Times New Roman"/>
          <w:sz w:val="24"/>
          <w:szCs w:val="24"/>
          <w:lang w:eastAsia="pl-PL"/>
        </w:rPr>
        <w:t>zapewnienia ochrony uczestników tego rynku. Jednocześnie proponowany maksymalny okres wskazywania tożsamości danego członka zarządu jest spójny z rozwiązaniami innych ustaw sektorowych rynku finansowego w analogicznych przypadkach publikowania informacji o nałożonych sankcjach (np. art. 10b ust. 2 ustawy</w:t>
      </w:r>
      <w:r w:rsidR="009F5D38" w:rsidRPr="008D7149">
        <w:rPr>
          <w:rFonts w:ascii="Times New Roman" w:eastAsia="Times New Roman" w:hAnsi="Times New Roman" w:cs="Times New Roman"/>
          <w:sz w:val="24"/>
          <w:szCs w:val="24"/>
          <w:lang w:eastAsia="pl-PL"/>
        </w:rPr>
        <w:t xml:space="preserve"> </w:t>
      </w:r>
      <w:r w:rsidR="009F5D38" w:rsidRPr="008D7149">
        <w:rPr>
          <w:rFonts w:ascii="Times New Roman" w:hAnsi="Times New Roman" w:cs="Times New Roman"/>
          <w:sz w:val="24"/>
          <w:szCs w:val="24"/>
        </w:rPr>
        <w:t xml:space="preserve">z dnia 29 sierpnia 1997 r. – </w:t>
      </w:r>
      <w:r w:rsidR="00ED701F" w:rsidRPr="008D7149">
        <w:rPr>
          <w:rFonts w:ascii="Times New Roman" w:eastAsia="Times New Roman" w:hAnsi="Times New Roman" w:cs="Times New Roman"/>
          <w:sz w:val="24"/>
          <w:szCs w:val="24"/>
          <w:lang w:eastAsia="pl-PL"/>
        </w:rPr>
        <w:t>Prawo bankowe, art. 170e ust. 9</w:t>
      </w:r>
      <w:r w:rsidR="0098196E" w:rsidRPr="008D7149">
        <w:rPr>
          <w:rFonts w:ascii="Times New Roman" w:eastAsia="Times New Roman" w:hAnsi="Times New Roman" w:cs="Times New Roman"/>
          <w:sz w:val="24"/>
          <w:szCs w:val="24"/>
          <w:lang w:eastAsia="pl-PL"/>
        </w:rPr>
        <w:t xml:space="preserve"> oraz art. </w:t>
      </w:r>
      <w:r w:rsidR="00ED701F" w:rsidRPr="008D7149">
        <w:rPr>
          <w:rFonts w:ascii="Times New Roman" w:eastAsia="Times New Roman" w:hAnsi="Times New Roman" w:cs="Times New Roman"/>
          <w:sz w:val="24"/>
          <w:szCs w:val="24"/>
          <w:lang w:eastAsia="pl-PL"/>
        </w:rPr>
        <w:t xml:space="preserve">170f ust. 8 ustawy </w:t>
      </w:r>
      <w:r w:rsidR="0098196E" w:rsidRPr="008D7149">
        <w:rPr>
          <w:rFonts w:ascii="Times New Roman" w:hAnsi="Times New Roman" w:cs="Times New Roman"/>
          <w:sz w:val="24"/>
          <w:szCs w:val="24"/>
        </w:rPr>
        <w:t xml:space="preserve">z dnia 29 lipca 2005 r. </w:t>
      </w:r>
      <w:r w:rsidR="00ED701F" w:rsidRPr="00E7000E">
        <w:rPr>
          <w:rFonts w:ascii="Times New Roman" w:eastAsia="Times New Roman" w:hAnsi="Times New Roman" w:cs="Times New Roman"/>
          <w:sz w:val="24"/>
          <w:szCs w:val="24"/>
          <w:lang w:eastAsia="pl-PL"/>
        </w:rPr>
        <w:t>o obro</w:t>
      </w:r>
      <w:r w:rsidR="00F639BC" w:rsidRPr="00E7000E">
        <w:rPr>
          <w:rFonts w:ascii="Times New Roman" w:eastAsia="Times New Roman" w:hAnsi="Times New Roman" w:cs="Times New Roman"/>
          <w:sz w:val="24"/>
          <w:szCs w:val="24"/>
          <w:lang w:eastAsia="pl-PL"/>
        </w:rPr>
        <w:t>cie instrumentami finansowymi</w:t>
      </w:r>
      <w:r w:rsidR="00F639BC">
        <w:rPr>
          <w:rFonts w:ascii="Times New Roman" w:eastAsia="Times New Roman" w:hAnsi="Times New Roman" w:cs="Times New Roman"/>
          <w:sz w:val="24"/>
          <w:szCs w:val="24"/>
          <w:lang w:eastAsia="pl-PL"/>
        </w:rPr>
        <w:t>).</w:t>
      </w:r>
    </w:p>
    <w:p w14:paraId="531B5BE4" w14:textId="125A4593" w:rsidR="00ED701F" w:rsidRPr="008D7149" w:rsidRDefault="00ED701F" w:rsidP="008D7149">
      <w:pPr>
        <w:autoSpaceDE w:val="0"/>
        <w:autoSpaceDN w:val="0"/>
        <w:adjustRightInd w:val="0"/>
        <w:spacing w:before="120" w:after="0" w:line="360" w:lineRule="auto"/>
        <w:jc w:val="both"/>
        <w:rPr>
          <w:rFonts w:ascii="Times New Roman" w:eastAsia="Calibri" w:hAnsi="Times New Roman" w:cs="Times New Roman"/>
          <w:sz w:val="24"/>
          <w:szCs w:val="24"/>
        </w:rPr>
      </w:pPr>
      <w:r w:rsidRPr="008D7149">
        <w:rPr>
          <w:rFonts w:ascii="Times New Roman" w:eastAsia="Times New Roman" w:hAnsi="Times New Roman" w:cs="Times New Roman"/>
          <w:sz w:val="24"/>
          <w:szCs w:val="24"/>
          <w:lang w:eastAsia="pl-PL"/>
        </w:rPr>
        <w:t xml:space="preserve">Propozycja zasad udostępniania na stronie internetowej </w:t>
      </w:r>
      <w:r w:rsidR="00E12859" w:rsidRPr="008D7149">
        <w:rPr>
          <w:rFonts w:ascii="Times New Roman" w:hAnsi="Times New Roman" w:cs="Times New Roman"/>
          <w:sz w:val="24"/>
          <w:szCs w:val="24"/>
        </w:rPr>
        <w:t xml:space="preserve">KNF </w:t>
      </w:r>
      <w:r w:rsidRPr="008D7149">
        <w:rPr>
          <w:rFonts w:ascii="Times New Roman" w:eastAsia="Times New Roman" w:hAnsi="Times New Roman" w:cs="Times New Roman"/>
          <w:sz w:val="24"/>
          <w:szCs w:val="24"/>
          <w:lang w:eastAsia="pl-PL"/>
        </w:rPr>
        <w:t>danych osobowych członka zarządu odpowiedzialnego za naruszenie prawa związana była z przeprowadzeniem analizy pod katem jej zgodności z właściwymi przepisami o ochronie danych osobowych, m.in. art. 5, art. 6, art. 13-15 i art. 23</w:t>
      </w:r>
      <w:r w:rsidRPr="008D7149">
        <w:rPr>
          <w:rFonts w:ascii="Times New Roman" w:hAnsi="Times New Roman" w:cs="Times New Roman"/>
          <w:sz w:val="24"/>
          <w:szCs w:val="24"/>
        </w:rPr>
        <w:t xml:space="preserve"> </w:t>
      </w:r>
      <w:r w:rsidRPr="008D7149">
        <w:rPr>
          <w:rFonts w:ascii="Times New Roman" w:eastAsia="Times New Roman" w:hAnsi="Times New Roman" w:cs="Times New Roman"/>
          <w:sz w:val="24"/>
          <w:szCs w:val="24"/>
          <w:lang w:eastAsia="pl-PL"/>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w:t>
      </w:r>
      <w:r w:rsidR="0098196E" w:rsidRPr="008D7149">
        <w:rPr>
          <w:rFonts w:ascii="Times New Roman" w:eastAsia="Times New Roman" w:hAnsi="Times New Roman" w:cs="Times New Roman"/>
          <w:sz w:val="24"/>
          <w:szCs w:val="24"/>
          <w:lang w:eastAsia="pl-PL"/>
        </w:rPr>
        <w:t>(</w:t>
      </w:r>
      <w:r w:rsidRPr="008D7149">
        <w:rPr>
          <w:rFonts w:ascii="Times New Roman" w:eastAsia="Times New Roman" w:hAnsi="Times New Roman" w:cs="Times New Roman"/>
          <w:sz w:val="24"/>
          <w:szCs w:val="24"/>
          <w:lang w:eastAsia="pl-PL"/>
        </w:rPr>
        <w:t xml:space="preserve">Dz. Urz. UE L 119 z </w:t>
      </w:r>
      <w:r w:rsidR="00EF10A0">
        <w:rPr>
          <w:rFonts w:ascii="Times New Roman" w:eastAsia="Times New Roman" w:hAnsi="Times New Roman" w:cs="Times New Roman"/>
          <w:sz w:val="24"/>
          <w:szCs w:val="24"/>
          <w:lang w:eastAsia="pl-PL"/>
        </w:rPr>
        <w:t>0</w:t>
      </w:r>
      <w:r w:rsidRPr="008D7149">
        <w:rPr>
          <w:rFonts w:ascii="Times New Roman" w:eastAsia="Times New Roman" w:hAnsi="Times New Roman" w:cs="Times New Roman"/>
          <w:sz w:val="24"/>
          <w:szCs w:val="24"/>
          <w:lang w:eastAsia="pl-PL"/>
        </w:rPr>
        <w:t>4.05.2016, str. 1</w:t>
      </w:r>
      <w:r w:rsidR="0098196E" w:rsidRPr="008D7149">
        <w:rPr>
          <w:rFonts w:ascii="Times New Roman" w:eastAsia="Times New Roman" w:hAnsi="Times New Roman" w:cs="Times New Roman"/>
          <w:sz w:val="24"/>
          <w:szCs w:val="24"/>
          <w:lang w:eastAsia="pl-PL"/>
        </w:rPr>
        <w:t>)</w:t>
      </w:r>
      <w:r w:rsidRPr="008D7149">
        <w:rPr>
          <w:rFonts w:ascii="Times New Roman" w:eastAsia="Times New Roman" w:hAnsi="Times New Roman" w:cs="Times New Roman"/>
          <w:sz w:val="24"/>
          <w:szCs w:val="24"/>
          <w:lang w:eastAsia="pl-PL"/>
        </w:rPr>
        <w:t xml:space="preserve">. Uwzględniając przepisy RODO, jak i preambułę (m.in. motyw 50 i 73), w ocenie projektodawcy, upublicznienie tożsamości osoby odpowiedzialnej za naruszenie prawa, </w:t>
      </w:r>
      <w:r w:rsidRPr="008D7149">
        <w:rPr>
          <w:rFonts w:ascii="Times New Roman" w:eastAsia="Calibri" w:hAnsi="Times New Roman" w:cs="Times New Roman"/>
          <w:sz w:val="24"/>
          <w:szCs w:val="24"/>
        </w:rPr>
        <w:t xml:space="preserve">przez wskazanie jej imienia i nazwiska, </w:t>
      </w:r>
      <w:r w:rsidRPr="008D7149">
        <w:rPr>
          <w:rFonts w:ascii="Times New Roman" w:eastAsia="Times New Roman" w:hAnsi="Times New Roman" w:cs="Times New Roman"/>
          <w:sz w:val="24"/>
          <w:szCs w:val="24"/>
          <w:lang w:eastAsia="pl-PL"/>
        </w:rPr>
        <w:t xml:space="preserve">przez okres nie dłuższy </w:t>
      </w:r>
      <w:r w:rsidR="0098196E" w:rsidRPr="008D7149">
        <w:rPr>
          <w:rFonts w:ascii="Times New Roman" w:eastAsia="Times New Roman" w:hAnsi="Times New Roman" w:cs="Times New Roman"/>
          <w:sz w:val="24"/>
          <w:szCs w:val="24"/>
          <w:lang w:eastAsia="pl-PL"/>
        </w:rPr>
        <w:t xml:space="preserve">niż </w:t>
      </w:r>
      <w:r w:rsidRPr="008D7149">
        <w:rPr>
          <w:rFonts w:ascii="Times New Roman" w:eastAsia="Times New Roman" w:hAnsi="Times New Roman" w:cs="Times New Roman"/>
          <w:sz w:val="24"/>
          <w:szCs w:val="24"/>
          <w:lang w:eastAsia="pl-PL"/>
        </w:rPr>
        <w:t xml:space="preserve">rok, </w:t>
      </w:r>
      <w:r w:rsidRPr="008D7149">
        <w:rPr>
          <w:rFonts w:ascii="Times New Roman" w:eastAsia="Calibri" w:hAnsi="Times New Roman" w:cs="Times New Roman"/>
          <w:sz w:val="24"/>
          <w:szCs w:val="24"/>
        </w:rPr>
        <w:t>stanowi niezbędny i proporcjonalny środek, który zapewnia realizację ważnych celów leżących w ogólnym interesie publicznym.</w:t>
      </w:r>
    </w:p>
    <w:p w14:paraId="5BA12B58" w14:textId="223D6F9E" w:rsidR="00ED701F" w:rsidRPr="008D7149" w:rsidRDefault="00ED701F"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sz w:val="24"/>
          <w:szCs w:val="24"/>
          <w:lang w:eastAsia="pl-PL"/>
        </w:rPr>
        <w:lastRenderedPageBreak/>
        <w:t xml:space="preserve">Zaznaczyć należy, że w projektowanych rozwiązaniach </w:t>
      </w:r>
      <w:r w:rsidRPr="008D7149">
        <w:rPr>
          <w:rFonts w:ascii="Times New Roman" w:eastAsia="Calibri" w:hAnsi="Times New Roman" w:cs="Times New Roman"/>
          <w:sz w:val="24"/>
          <w:szCs w:val="24"/>
        </w:rPr>
        <w:t xml:space="preserve">zawarto warunek uprzedniego poinformowania członka zarządu o udostępnieniu jego danych osobowych. Przewidziano również, że </w:t>
      </w:r>
      <w:r w:rsidR="00E12859" w:rsidRPr="008D7149">
        <w:rPr>
          <w:rFonts w:ascii="Times New Roman" w:hAnsi="Times New Roman" w:cs="Times New Roman"/>
          <w:sz w:val="24"/>
          <w:szCs w:val="24"/>
        </w:rPr>
        <w:t xml:space="preserve">KNF </w:t>
      </w:r>
      <w:r w:rsidRPr="008D7149">
        <w:rPr>
          <w:rFonts w:ascii="Times New Roman" w:eastAsia="Calibri" w:hAnsi="Times New Roman" w:cs="Times New Roman"/>
          <w:sz w:val="24"/>
          <w:szCs w:val="24"/>
        </w:rPr>
        <w:t xml:space="preserve">nie podaje </w:t>
      </w:r>
      <w:r w:rsidR="0054556D" w:rsidRPr="008D7149">
        <w:rPr>
          <w:rFonts w:ascii="Times New Roman" w:eastAsia="Calibri" w:hAnsi="Times New Roman" w:cs="Times New Roman"/>
          <w:sz w:val="24"/>
          <w:szCs w:val="24"/>
        </w:rPr>
        <w:t xml:space="preserve">firmy (nazwy banku) lub </w:t>
      </w:r>
      <w:r w:rsidRPr="008D7149">
        <w:rPr>
          <w:rFonts w:ascii="Times New Roman" w:eastAsia="Calibri" w:hAnsi="Times New Roman" w:cs="Times New Roman"/>
          <w:sz w:val="24"/>
          <w:szCs w:val="24"/>
        </w:rPr>
        <w:t xml:space="preserve">imienia i nazwiska członka zarządu banku hipotecznego odpowiedzialnego za dane naruszenie, </w:t>
      </w:r>
      <w:r w:rsidR="002050F8" w:rsidRPr="008D7149">
        <w:rPr>
          <w:rFonts w:ascii="Times New Roman" w:eastAsia="Calibri" w:hAnsi="Times New Roman" w:cs="Times New Roman"/>
          <w:sz w:val="24"/>
          <w:szCs w:val="24"/>
        </w:rPr>
        <w:t xml:space="preserve">w szczególności </w:t>
      </w:r>
      <w:r w:rsidRPr="008D7149">
        <w:rPr>
          <w:rFonts w:ascii="Times New Roman" w:eastAsia="Calibri" w:hAnsi="Times New Roman" w:cs="Times New Roman"/>
          <w:sz w:val="24"/>
          <w:szCs w:val="24"/>
        </w:rPr>
        <w:t>jeżeli udostępnienie tych danych byłoby środkiem niewspółmiernym do wagi dokonanego naruszenia lub wyrządziłoby niewspółmierną szkodę temu członkowi zarządu</w:t>
      </w:r>
      <w:r w:rsidR="0098196E" w:rsidRPr="008D7149">
        <w:rPr>
          <w:rFonts w:ascii="Times New Roman" w:eastAsia="Calibri" w:hAnsi="Times New Roman" w:cs="Times New Roman"/>
          <w:sz w:val="24"/>
          <w:szCs w:val="24"/>
        </w:rPr>
        <w:t xml:space="preserve"> (</w:t>
      </w:r>
      <w:r w:rsidR="0098196E" w:rsidRPr="008D7149">
        <w:rPr>
          <w:rFonts w:ascii="Times New Roman" w:eastAsia="Calibri" w:hAnsi="Times New Roman" w:cs="Times New Roman"/>
          <w:b/>
          <w:sz w:val="24"/>
          <w:szCs w:val="24"/>
        </w:rPr>
        <w:t>art. 33h ust. 3</w:t>
      </w:r>
      <w:r w:rsidR="0098196E" w:rsidRPr="008D7149">
        <w:rPr>
          <w:rFonts w:ascii="Times New Roman" w:eastAsia="Calibri" w:hAnsi="Times New Roman" w:cs="Times New Roman"/>
          <w:sz w:val="24"/>
          <w:szCs w:val="24"/>
        </w:rPr>
        <w:t xml:space="preserve"> Ustawy)</w:t>
      </w:r>
      <w:r w:rsidRPr="008D7149">
        <w:rPr>
          <w:rFonts w:ascii="Times New Roman" w:eastAsia="Calibri" w:hAnsi="Times New Roman" w:cs="Times New Roman"/>
          <w:sz w:val="24"/>
          <w:szCs w:val="24"/>
        </w:rPr>
        <w:t>.</w:t>
      </w:r>
      <w:r w:rsidR="00410033" w:rsidRPr="008D7149">
        <w:rPr>
          <w:rFonts w:ascii="Times New Roman" w:eastAsia="Calibri" w:hAnsi="Times New Roman" w:cs="Times New Roman"/>
          <w:sz w:val="24"/>
          <w:szCs w:val="24"/>
        </w:rPr>
        <w:t xml:space="preserve"> </w:t>
      </w:r>
      <w:r w:rsidR="007C4643" w:rsidRPr="008D7149">
        <w:rPr>
          <w:rFonts w:ascii="Times New Roman" w:eastAsia="Calibri" w:hAnsi="Times New Roman" w:cs="Times New Roman"/>
          <w:sz w:val="24"/>
          <w:szCs w:val="24"/>
        </w:rPr>
        <w:t>Wymaga podkreślenia</w:t>
      </w:r>
      <w:r w:rsidR="00410033" w:rsidRPr="008D7149">
        <w:rPr>
          <w:rFonts w:ascii="Times New Roman" w:eastAsia="Calibri" w:hAnsi="Times New Roman" w:cs="Times New Roman"/>
          <w:sz w:val="24"/>
          <w:szCs w:val="24"/>
        </w:rPr>
        <w:t xml:space="preserve">, </w:t>
      </w:r>
      <w:r w:rsidR="00715DD9">
        <w:rPr>
          <w:rFonts w:ascii="Times New Roman" w:eastAsia="Calibri" w:hAnsi="Times New Roman" w:cs="Times New Roman"/>
          <w:sz w:val="24"/>
          <w:szCs w:val="24"/>
        </w:rPr>
        <w:t>ż</w:t>
      </w:r>
      <w:r w:rsidR="00410033" w:rsidRPr="008D7149">
        <w:rPr>
          <w:rFonts w:ascii="Times New Roman" w:eastAsia="Calibri" w:hAnsi="Times New Roman" w:cs="Times New Roman"/>
          <w:sz w:val="24"/>
          <w:szCs w:val="24"/>
        </w:rPr>
        <w:t xml:space="preserve">e projektowane w art. 33h ust. 3 </w:t>
      </w:r>
      <w:r w:rsidR="007C4643" w:rsidRPr="008D7149">
        <w:rPr>
          <w:rFonts w:ascii="Times New Roman" w:eastAsia="Calibri" w:hAnsi="Times New Roman" w:cs="Times New Roman"/>
          <w:sz w:val="24"/>
          <w:szCs w:val="24"/>
        </w:rPr>
        <w:t xml:space="preserve">Ustawy </w:t>
      </w:r>
      <w:r w:rsidR="00410033" w:rsidRPr="008D7149">
        <w:rPr>
          <w:rFonts w:ascii="Times New Roman" w:eastAsia="Calibri" w:hAnsi="Times New Roman" w:cs="Times New Roman"/>
          <w:sz w:val="24"/>
          <w:szCs w:val="24"/>
        </w:rPr>
        <w:t>przesłanki odstąpienia od publikacji danych osobowych odpowiadają regulacjom zawartym w art. 10b ust. 3 ustawy z dnia 29 sierpnia 1997 r. – Prawo bankowe, które określają warunki anonimizacji udostępnianych publicznie danych.</w:t>
      </w:r>
    </w:p>
    <w:p w14:paraId="5108AFED" w14:textId="020BFDD3" w:rsidR="003B35D0" w:rsidRPr="008D7149" w:rsidRDefault="003B35D0"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Na podstawie projektowanego brzmienia </w:t>
      </w:r>
      <w:r w:rsidRPr="008D7149">
        <w:rPr>
          <w:rFonts w:ascii="Times New Roman" w:hAnsi="Times New Roman" w:cs="Times New Roman"/>
          <w:b/>
          <w:sz w:val="24"/>
          <w:szCs w:val="24"/>
        </w:rPr>
        <w:t>art. 33i</w:t>
      </w:r>
      <w:r w:rsidRPr="008D7149">
        <w:rPr>
          <w:rFonts w:ascii="Times New Roman" w:hAnsi="Times New Roman" w:cs="Times New Roman"/>
          <w:sz w:val="24"/>
          <w:szCs w:val="24"/>
        </w:rPr>
        <w:t xml:space="preserve"> Ustawy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będzie informowała Europejski Urząd Nadzoru Bankowego o nałożeniu sankcji administracyjnej i o złożeniu wniosku o ponowne rozpatrzenie sprawy albo złożeniu skargi do sądu administracyjnego oraz wyniku</w:t>
      </w:r>
      <w:r w:rsidR="00962968" w:rsidRPr="008D7149">
        <w:rPr>
          <w:rFonts w:ascii="Times New Roman" w:hAnsi="Times New Roman" w:cs="Times New Roman"/>
          <w:sz w:val="24"/>
          <w:szCs w:val="24"/>
        </w:rPr>
        <w:t xml:space="preserve"> tego</w:t>
      </w:r>
      <w:r w:rsidRPr="008D7149">
        <w:rPr>
          <w:rFonts w:ascii="Times New Roman" w:hAnsi="Times New Roman" w:cs="Times New Roman"/>
          <w:sz w:val="24"/>
          <w:szCs w:val="24"/>
        </w:rPr>
        <w:t xml:space="preserve"> postępowania.</w:t>
      </w:r>
    </w:p>
    <w:p w14:paraId="43D43604" w14:textId="3D0AC743" w:rsidR="00C51D0F" w:rsidRPr="008D7149" w:rsidRDefault="00962968"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Projektowane brzmienie</w:t>
      </w:r>
      <w:r w:rsidRPr="008D7149">
        <w:rPr>
          <w:rFonts w:ascii="Times New Roman" w:hAnsi="Times New Roman" w:cs="Times New Roman"/>
          <w:b/>
          <w:sz w:val="24"/>
          <w:szCs w:val="24"/>
        </w:rPr>
        <w:t xml:space="preserve"> a</w:t>
      </w:r>
      <w:r w:rsidR="003B35D0" w:rsidRPr="008D7149">
        <w:rPr>
          <w:rFonts w:ascii="Times New Roman" w:hAnsi="Times New Roman" w:cs="Times New Roman"/>
          <w:b/>
          <w:sz w:val="24"/>
          <w:szCs w:val="24"/>
        </w:rPr>
        <w:t>rt. 37</w:t>
      </w:r>
      <w:r w:rsidR="003B35D0"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ust. 1 </w:t>
      </w:r>
      <w:r w:rsidR="003B35D0" w:rsidRPr="008D7149">
        <w:rPr>
          <w:rFonts w:ascii="Times New Roman" w:hAnsi="Times New Roman" w:cs="Times New Roman"/>
          <w:sz w:val="24"/>
          <w:szCs w:val="24"/>
        </w:rPr>
        <w:t xml:space="preserve">Ustawy </w:t>
      </w:r>
      <w:r w:rsidRPr="008D7149">
        <w:rPr>
          <w:rFonts w:ascii="Times New Roman" w:hAnsi="Times New Roman" w:cs="Times New Roman"/>
          <w:sz w:val="24"/>
          <w:szCs w:val="24"/>
        </w:rPr>
        <w:t xml:space="preserve">zakłada, że sankcje karne </w:t>
      </w:r>
      <w:r w:rsidR="003B35D0" w:rsidRPr="008D7149">
        <w:rPr>
          <w:rFonts w:ascii="Times New Roman" w:hAnsi="Times New Roman" w:cs="Times New Roman"/>
          <w:sz w:val="24"/>
          <w:szCs w:val="24"/>
        </w:rPr>
        <w:t xml:space="preserve">będą stosowane w sposób niezależny od ewentualnych sankcji administracyjnych, z uwzględnieniem zasad odpowiedzialności karnej. </w:t>
      </w:r>
      <w:r w:rsidRPr="008D7149">
        <w:rPr>
          <w:rFonts w:ascii="Times New Roman" w:hAnsi="Times New Roman" w:cs="Times New Roman"/>
          <w:sz w:val="24"/>
          <w:szCs w:val="24"/>
        </w:rPr>
        <w:t xml:space="preserve">W nowym brzmieniu </w:t>
      </w:r>
      <w:r w:rsidR="00E60BBE" w:rsidRPr="008D7149">
        <w:rPr>
          <w:rFonts w:ascii="Times New Roman" w:hAnsi="Times New Roman" w:cs="Times New Roman"/>
          <w:sz w:val="24"/>
          <w:szCs w:val="24"/>
        </w:rPr>
        <w:t xml:space="preserve">art. 37 </w:t>
      </w:r>
      <w:r w:rsidRPr="008D7149">
        <w:rPr>
          <w:rFonts w:ascii="Times New Roman" w:hAnsi="Times New Roman" w:cs="Times New Roman"/>
          <w:sz w:val="24"/>
          <w:szCs w:val="24"/>
        </w:rPr>
        <w:t xml:space="preserve">ust. 1 Ustawy dokonano jednak zmian w zakresie odesłań do konkretnych przepisów Ustawy </w:t>
      </w:r>
      <w:r w:rsidR="00E60BBE" w:rsidRPr="008D7149">
        <w:rPr>
          <w:rFonts w:ascii="Times New Roman" w:hAnsi="Times New Roman" w:cs="Times New Roman"/>
          <w:sz w:val="24"/>
          <w:szCs w:val="24"/>
        </w:rPr>
        <w:t xml:space="preserve">w </w:t>
      </w:r>
      <w:r w:rsidR="00565326" w:rsidRPr="008D7149">
        <w:rPr>
          <w:rFonts w:ascii="Times New Roman" w:hAnsi="Times New Roman" w:cs="Times New Roman"/>
          <w:sz w:val="24"/>
          <w:szCs w:val="24"/>
        </w:rPr>
        <w:t xml:space="preserve">ten </w:t>
      </w:r>
      <w:r w:rsidR="00E60BBE" w:rsidRPr="008D7149">
        <w:rPr>
          <w:rFonts w:ascii="Times New Roman" w:hAnsi="Times New Roman" w:cs="Times New Roman"/>
          <w:sz w:val="24"/>
          <w:szCs w:val="24"/>
        </w:rPr>
        <w:t>sposób,</w:t>
      </w:r>
      <w:r w:rsidR="006616A3" w:rsidRPr="008D7149">
        <w:rPr>
          <w:rFonts w:ascii="Times New Roman" w:hAnsi="Times New Roman" w:cs="Times New Roman"/>
          <w:sz w:val="24"/>
          <w:szCs w:val="24"/>
        </w:rPr>
        <w:t xml:space="preserve"> </w:t>
      </w:r>
      <w:r w:rsidR="00565326" w:rsidRPr="008D7149">
        <w:rPr>
          <w:rFonts w:ascii="Times New Roman" w:hAnsi="Times New Roman" w:cs="Times New Roman"/>
          <w:sz w:val="24"/>
          <w:szCs w:val="24"/>
        </w:rPr>
        <w:t>że</w:t>
      </w:r>
      <w:r w:rsidR="006616A3" w:rsidRPr="008D7149">
        <w:rPr>
          <w:rFonts w:ascii="Times New Roman" w:hAnsi="Times New Roman" w:cs="Times New Roman"/>
          <w:sz w:val="24"/>
          <w:szCs w:val="24"/>
        </w:rPr>
        <w:t xml:space="preserve"> </w:t>
      </w:r>
      <w:r w:rsidR="00E60BBE" w:rsidRPr="008D7149">
        <w:rPr>
          <w:rFonts w:ascii="Times New Roman" w:hAnsi="Times New Roman" w:cs="Times New Roman"/>
          <w:sz w:val="24"/>
          <w:szCs w:val="24"/>
        </w:rPr>
        <w:t xml:space="preserve">zakres czynów podlegających sankcjom karnym </w:t>
      </w:r>
      <w:r w:rsidR="006616A3" w:rsidRPr="008D7149">
        <w:rPr>
          <w:rFonts w:ascii="Times New Roman" w:hAnsi="Times New Roman" w:cs="Times New Roman"/>
          <w:sz w:val="24"/>
          <w:szCs w:val="24"/>
        </w:rPr>
        <w:t xml:space="preserve">został wyodrębniony od </w:t>
      </w:r>
      <w:r w:rsidRPr="008D7149">
        <w:rPr>
          <w:rFonts w:ascii="Times New Roman" w:hAnsi="Times New Roman" w:cs="Times New Roman"/>
          <w:sz w:val="24"/>
          <w:szCs w:val="24"/>
        </w:rPr>
        <w:t xml:space="preserve">czynów podlegających sankcjom administracyjnym stosowanym </w:t>
      </w:r>
      <w:r w:rsidR="00E60BBE" w:rsidRPr="008D7149">
        <w:rPr>
          <w:rFonts w:ascii="Times New Roman" w:hAnsi="Times New Roman" w:cs="Times New Roman"/>
          <w:sz w:val="24"/>
          <w:szCs w:val="24"/>
        </w:rPr>
        <w:t xml:space="preserve">przez </w:t>
      </w:r>
      <w:r w:rsidR="00E12859" w:rsidRPr="008D7149">
        <w:rPr>
          <w:rFonts w:ascii="Times New Roman" w:hAnsi="Times New Roman" w:cs="Times New Roman"/>
          <w:sz w:val="24"/>
          <w:szCs w:val="24"/>
        </w:rPr>
        <w:t>KNF</w:t>
      </w:r>
      <w:r w:rsidR="00E60BBE" w:rsidRPr="008D7149">
        <w:rPr>
          <w:rFonts w:ascii="Times New Roman" w:hAnsi="Times New Roman" w:cs="Times New Roman"/>
          <w:sz w:val="24"/>
          <w:szCs w:val="24"/>
        </w:rPr>
        <w:t>.</w:t>
      </w:r>
      <w:r w:rsidR="003B0557" w:rsidRPr="008D7149">
        <w:rPr>
          <w:rFonts w:ascii="Times New Roman" w:hAnsi="Times New Roman" w:cs="Times New Roman"/>
          <w:sz w:val="24"/>
          <w:szCs w:val="24"/>
        </w:rPr>
        <w:t xml:space="preserve"> </w:t>
      </w:r>
      <w:r w:rsidR="00FA29D1" w:rsidRPr="008D7149">
        <w:rPr>
          <w:rFonts w:ascii="Times New Roman" w:hAnsi="Times New Roman" w:cs="Times New Roman"/>
          <w:sz w:val="24"/>
          <w:szCs w:val="24"/>
        </w:rPr>
        <w:t xml:space="preserve">Celem </w:t>
      </w:r>
      <w:r w:rsidR="00192000" w:rsidRPr="008D7149">
        <w:rPr>
          <w:rFonts w:ascii="Times New Roman" w:hAnsi="Times New Roman" w:cs="Times New Roman"/>
          <w:sz w:val="24"/>
          <w:szCs w:val="24"/>
        </w:rPr>
        <w:t xml:space="preserve">dokonanych zmian </w:t>
      </w:r>
      <w:r w:rsidR="00FA29D1" w:rsidRPr="008D7149">
        <w:rPr>
          <w:rFonts w:ascii="Times New Roman" w:hAnsi="Times New Roman" w:cs="Times New Roman"/>
          <w:sz w:val="24"/>
          <w:szCs w:val="24"/>
        </w:rPr>
        <w:t>w ob</w:t>
      </w:r>
      <w:r w:rsidR="006F5681" w:rsidRPr="008D7149">
        <w:rPr>
          <w:rFonts w:ascii="Times New Roman" w:hAnsi="Times New Roman" w:cs="Times New Roman"/>
          <w:sz w:val="24"/>
          <w:szCs w:val="24"/>
        </w:rPr>
        <w:t>szarze</w:t>
      </w:r>
      <w:r w:rsidR="00FA29D1" w:rsidRPr="008D7149">
        <w:rPr>
          <w:rFonts w:ascii="Times New Roman" w:hAnsi="Times New Roman" w:cs="Times New Roman"/>
          <w:sz w:val="24"/>
          <w:szCs w:val="24"/>
        </w:rPr>
        <w:t xml:space="preserve"> naruszeń przepisów Ustawy jest wyeliminowanie </w:t>
      </w:r>
      <w:r w:rsidR="00CD59E6" w:rsidRPr="008D7149">
        <w:rPr>
          <w:rFonts w:ascii="Times New Roman" w:hAnsi="Times New Roman" w:cs="Times New Roman"/>
          <w:sz w:val="24"/>
          <w:szCs w:val="24"/>
        </w:rPr>
        <w:t xml:space="preserve">sytuacji, która </w:t>
      </w:r>
      <w:r w:rsidR="006F5681" w:rsidRPr="008D7149">
        <w:rPr>
          <w:rFonts w:ascii="Times New Roman" w:hAnsi="Times New Roman" w:cs="Times New Roman"/>
          <w:sz w:val="24"/>
          <w:szCs w:val="24"/>
        </w:rPr>
        <w:t xml:space="preserve">mogłaby </w:t>
      </w:r>
      <w:r w:rsidR="00CD59E6" w:rsidRPr="008D7149">
        <w:rPr>
          <w:rFonts w:ascii="Times New Roman" w:hAnsi="Times New Roman" w:cs="Times New Roman"/>
          <w:sz w:val="24"/>
          <w:szCs w:val="24"/>
        </w:rPr>
        <w:t>prowadzi</w:t>
      </w:r>
      <w:r w:rsidR="006F5681" w:rsidRPr="008D7149">
        <w:rPr>
          <w:rFonts w:ascii="Times New Roman" w:hAnsi="Times New Roman" w:cs="Times New Roman"/>
          <w:sz w:val="24"/>
          <w:szCs w:val="24"/>
        </w:rPr>
        <w:t>ć</w:t>
      </w:r>
      <w:r w:rsidR="00CD59E6" w:rsidRPr="008D7149">
        <w:rPr>
          <w:rFonts w:ascii="Times New Roman" w:hAnsi="Times New Roman" w:cs="Times New Roman"/>
          <w:sz w:val="24"/>
          <w:szCs w:val="24"/>
        </w:rPr>
        <w:t xml:space="preserve"> do „podwójnego karania”</w:t>
      </w:r>
      <w:r w:rsidR="00715DD9">
        <w:rPr>
          <w:rFonts w:ascii="Times New Roman" w:hAnsi="Times New Roman" w:cs="Times New Roman"/>
          <w:sz w:val="24"/>
          <w:szCs w:val="24"/>
        </w:rPr>
        <w:t>,</w:t>
      </w:r>
      <w:r w:rsidR="00CD59E6" w:rsidRPr="008D7149">
        <w:rPr>
          <w:rFonts w:ascii="Times New Roman" w:hAnsi="Times New Roman" w:cs="Times New Roman"/>
          <w:sz w:val="24"/>
          <w:szCs w:val="24"/>
        </w:rPr>
        <w:t xml:space="preserve"> tj. równoległego stosowania administracyjnej sankcji kary pieniężnej, jak i sankcji karnej o tożsamym charakterze</w:t>
      </w:r>
      <w:r w:rsidR="006F5681" w:rsidRPr="008D7149">
        <w:rPr>
          <w:rFonts w:ascii="Times New Roman" w:hAnsi="Times New Roman" w:cs="Times New Roman"/>
          <w:sz w:val="24"/>
          <w:szCs w:val="24"/>
        </w:rPr>
        <w:t>,</w:t>
      </w:r>
      <w:r w:rsidR="00CD59E6" w:rsidRPr="008D7149">
        <w:rPr>
          <w:rFonts w:ascii="Times New Roman" w:hAnsi="Times New Roman" w:cs="Times New Roman"/>
          <w:sz w:val="24"/>
          <w:szCs w:val="24"/>
        </w:rPr>
        <w:t xml:space="preserve"> za to samo naruszenie. </w:t>
      </w:r>
      <w:r w:rsidR="006F5681" w:rsidRPr="008D7149">
        <w:rPr>
          <w:rFonts w:ascii="Times New Roman" w:hAnsi="Times New Roman" w:cs="Times New Roman"/>
          <w:sz w:val="24"/>
          <w:szCs w:val="24"/>
        </w:rPr>
        <w:t xml:space="preserve">Ponadto </w:t>
      </w:r>
      <w:r w:rsidR="004F3C75" w:rsidRPr="008D7149">
        <w:rPr>
          <w:rFonts w:ascii="Times New Roman" w:hAnsi="Times New Roman" w:cs="Times New Roman"/>
          <w:sz w:val="24"/>
          <w:szCs w:val="24"/>
        </w:rPr>
        <w:t xml:space="preserve">modyfikacja </w:t>
      </w:r>
      <w:r w:rsidR="006F5681" w:rsidRPr="008D7149">
        <w:rPr>
          <w:rFonts w:ascii="Times New Roman" w:hAnsi="Times New Roman" w:cs="Times New Roman"/>
          <w:sz w:val="24"/>
          <w:szCs w:val="24"/>
        </w:rPr>
        <w:t>dotychczasowej treś</w:t>
      </w:r>
      <w:r w:rsidR="004F3C75" w:rsidRPr="008D7149">
        <w:rPr>
          <w:rFonts w:ascii="Times New Roman" w:hAnsi="Times New Roman" w:cs="Times New Roman"/>
          <w:sz w:val="24"/>
          <w:szCs w:val="24"/>
        </w:rPr>
        <w:t>ci</w:t>
      </w:r>
      <w:r w:rsidR="006F5681" w:rsidRPr="008D7149">
        <w:rPr>
          <w:rFonts w:ascii="Times New Roman" w:hAnsi="Times New Roman" w:cs="Times New Roman"/>
          <w:sz w:val="24"/>
          <w:szCs w:val="24"/>
        </w:rPr>
        <w:t xml:space="preserve"> art. 37 Ustawy polega na dostosowaniu karalności czynów do </w:t>
      </w:r>
      <w:r w:rsidR="004F3C75" w:rsidRPr="008D7149">
        <w:rPr>
          <w:rFonts w:ascii="Times New Roman" w:hAnsi="Times New Roman" w:cs="Times New Roman"/>
          <w:sz w:val="24"/>
          <w:szCs w:val="24"/>
        </w:rPr>
        <w:t xml:space="preserve">wprowadzanych zmian (przykładowo w zakresie stosowania oznaczeń </w:t>
      </w:r>
      <w:r w:rsidR="00C51D0F" w:rsidRPr="008D7149">
        <w:rPr>
          <w:rFonts w:ascii="Times New Roman" w:hAnsi="Times New Roman" w:cs="Times New Roman"/>
          <w:sz w:val="24"/>
          <w:szCs w:val="24"/>
        </w:rPr>
        <w:t>określonych w art. 7d, zastrzeżonych dla listów zastawnych, przy emisji papierów wartościowych przez nieuprawnione podmioty).</w:t>
      </w:r>
    </w:p>
    <w:p w14:paraId="2BDCE27A" w14:textId="77777777" w:rsidR="00164B46" w:rsidRDefault="008D7149" w:rsidP="00164B46">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AD36C8" w:rsidRPr="008D7149">
        <w:rPr>
          <w:rFonts w:ascii="Times New Roman" w:hAnsi="Times New Roman" w:cs="Times New Roman"/>
          <w:b/>
          <w:sz w:val="24"/>
          <w:szCs w:val="24"/>
        </w:rPr>
        <w:t>Art. 2 projektu</w:t>
      </w:r>
      <w:r w:rsidR="00AD36C8" w:rsidRPr="008D7149">
        <w:rPr>
          <w:rFonts w:ascii="Times New Roman" w:hAnsi="Times New Roman" w:cs="Times New Roman"/>
          <w:sz w:val="24"/>
          <w:szCs w:val="24"/>
        </w:rPr>
        <w:t xml:space="preserve"> wprowadza zmianę brzmienia art. 16 ust</w:t>
      </w:r>
      <w:r w:rsidR="00FD5FA4" w:rsidRPr="008D7149">
        <w:rPr>
          <w:rFonts w:ascii="Times New Roman" w:hAnsi="Times New Roman" w:cs="Times New Roman"/>
          <w:sz w:val="24"/>
          <w:szCs w:val="24"/>
        </w:rPr>
        <w:t>.</w:t>
      </w:r>
      <w:r w:rsidR="00AD36C8" w:rsidRPr="008D7149">
        <w:rPr>
          <w:rFonts w:ascii="Times New Roman" w:hAnsi="Times New Roman" w:cs="Times New Roman"/>
          <w:sz w:val="24"/>
          <w:szCs w:val="24"/>
        </w:rPr>
        <w:t xml:space="preserve"> 2 pkt 5 ustawy z dnia 6 lipca 1982 r. o księgach wieczystych i hipotece</w:t>
      </w:r>
      <w:r w:rsidR="00FD5FA4" w:rsidRPr="008D7149">
        <w:rPr>
          <w:rFonts w:ascii="Times New Roman" w:hAnsi="Times New Roman" w:cs="Times New Roman"/>
          <w:sz w:val="24"/>
          <w:szCs w:val="24"/>
        </w:rPr>
        <w:t xml:space="preserve"> (Dz. U. z 2019 r. poz. 2204</w:t>
      </w:r>
      <w:r w:rsidR="005567FB" w:rsidRPr="008D7149">
        <w:rPr>
          <w:rFonts w:ascii="Times New Roman" w:hAnsi="Times New Roman" w:cs="Times New Roman"/>
          <w:sz w:val="24"/>
          <w:szCs w:val="24"/>
        </w:rPr>
        <w:t>, z późn. zm.</w:t>
      </w:r>
      <w:r w:rsidR="00FD5FA4" w:rsidRPr="008D7149">
        <w:rPr>
          <w:rFonts w:ascii="Times New Roman" w:hAnsi="Times New Roman" w:cs="Times New Roman"/>
          <w:sz w:val="24"/>
          <w:szCs w:val="24"/>
        </w:rPr>
        <w:t>)</w:t>
      </w:r>
      <w:r w:rsidR="00AD36C8" w:rsidRPr="008D7149">
        <w:rPr>
          <w:rFonts w:ascii="Times New Roman" w:hAnsi="Times New Roman" w:cs="Times New Roman"/>
          <w:sz w:val="24"/>
          <w:szCs w:val="24"/>
        </w:rPr>
        <w:t>, która wynika z uchylenia art. 24 ust. 2 Ustawy</w:t>
      </w:r>
      <w:r w:rsidR="00FD5FA4" w:rsidRPr="008D7149">
        <w:rPr>
          <w:rFonts w:ascii="Times New Roman" w:hAnsi="Times New Roman" w:cs="Times New Roman"/>
          <w:sz w:val="24"/>
          <w:szCs w:val="24"/>
        </w:rPr>
        <w:t>,</w:t>
      </w:r>
      <w:r w:rsidR="00A30963" w:rsidRPr="008D7149">
        <w:rPr>
          <w:rFonts w:ascii="Times New Roman" w:hAnsi="Times New Roman" w:cs="Times New Roman"/>
          <w:sz w:val="24"/>
          <w:szCs w:val="24"/>
        </w:rPr>
        <w:t xml:space="preserve"> tj. wyłączenia wymogu ujawnienia </w:t>
      </w:r>
      <w:r w:rsidR="00FD5FA4" w:rsidRPr="008D7149">
        <w:rPr>
          <w:rFonts w:ascii="Times New Roman" w:hAnsi="Times New Roman" w:cs="Times New Roman"/>
          <w:sz w:val="24"/>
          <w:szCs w:val="24"/>
        </w:rPr>
        <w:t xml:space="preserve">w księgach wieczystych </w:t>
      </w:r>
      <w:r w:rsidR="00A30963" w:rsidRPr="008D7149">
        <w:rPr>
          <w:rFonts w:ascii="Times New Roman" w:hAnsi="Times New Roman" w:cs="Times New Roman"/>
          <w:sz w:val="24"/>
          <w:szCs w:val="24"/>
        </w:rPr>
        <w:t>informacji o wpisaniu wierzytelności banku hipotecznego do rejestru zabezpieczenia listów zastawnych. W świetle projektowanego brzmienia art. 16 ust</w:t>
      </w:r>
      <w:r w:rsidR="00FD5FA4" w:rsidRPr="008D7149">
        <w:rPr>
          <w:rFonts w:ascii="Times New Roman" w:hAnsi="Times New Roman" w:cs="Times New Roman"/>
          <w:sz w:val="24"/>
          <w:szCs w:val="24"/>
        </w:rPr>
        <w:t>.</w:t>
      </w:r>
      <w:r w:rsidR="00A30963" w:rsidRPr="008D7149">
        <w:rPr>
          <w:rFonts w:ascii="Times New Roman" w:hAnsi="Times New Roman" w:cs="Times New Roman"/>
          <w:sz w:val="24"/>
          <w:szCs w:val="24"/>
        </w:rPr>
        <w:t xml:space="preserve"> 2 pkt 5 </w:t>
      </w:r>
      <w:r w:rsidR="00FD5FA4" w:rsidRPr="008D7149">
        <w:rPr>
          <w:rFonts w:ascii="Times New Roman" w:hAnsi="Times New Roman" w:cs="Times New Roman"/>
          <w:sz w:val="24"/>
          <w:szCs w:val="24"/>
        </w:rPr>
        <w:t xml:space="preserve">ustawy z dnia 6 lipca 1982 r. o księgach wieczystych i hipotece </w:t>
      </w:r>
      <w:r w:rsidR="00A30963" w:rsidRPr="008D7149">
        <w:rPr>
          <w:rFonts w:ascii="Times New Roman" w:hAnsi="Times New Roman" w:cs="Times New Roman"/>
          <w:sz w:val="24"/>
          <w:szCs w:val="24"/>
        </w:rPr>
        <w:t xml:space="preserve">ujawieniu w księdze wieczystej podlegają </w:t>
      </w:r>
      <w:r w:rsidR="000A1CEE" w:rsidRPr="008D7149">
        <w:rPr>
          <w:rFonts w:ascii="Times New Roman" w:hAnsi="Times New Roman" w:cs="Times New Roman"/>
          <w:sz w:val="24"/>
          <w:szCs w:val="24"/>
        </w:rPr>
        <w:t xml:space="preserve">wyłącznie </w:t>
      </w:r>
      <w:r w:rsidR="00A30963" w:rsidRPr="008D7149">
        <w:rPr>
          <w:rFonts w:ascii="Times New Roman" w:hAnsi="Times New Roman" w:cs="Times New Roman"/>
          <w:sz w:val="24"/>
          <w:szCs w:val="24"/>
        </w:rPr>
        <w:t>wierzytelności banku hipotecznego zabezpieczone hipoteką.</w:t>
      </w:r>
    </w:p>
    <w:p w14:paraId="73120322" w14:textId="7A34B599" w:rsidR="00605872" w:rsidRPr="008D7149" w:rsidRDefault="00164B46" w:rsidP="00164B46">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rPr>
        <w:tab/>
      </w:r>
      <w:r w:rsidR="00605872" w:rsidRPr="008D7149">
        <w:rPr>
          <w:rFonts w:ascii="Times New Roman" w:hAnsi="Times New Roman" w:cs="Times New Roman"/>
          <w:b/>
          <w:sz w:val="24"/>
          <w:szCs w:val="24"/>
        </w:rPr>
        <w:t xml:space="preserve">Art. 3 projektu </w:t>
      </w:r>
      <w:r w:rsidR="00605872" w:rsidRPr="008D7149">
        <w:rPr>
          <w:rFonts w:ascii="Times New Roman" w:hAnsi="Times New Roman" w:cs="Times New Roman"/>
          <w:sz w:val="24"/>
          <w:szCs w:val="24"/>
        </w:rPr>
        <w:t>wprowadza zmiany do ustawy z dnia 26 lipca 1991 r. o podatku dochodowym od osób fizycznych</w:t>
      </w:r>
      <w:r w:rsidR="00800141" w:rsidRPr="008D7149">
        <w:rPr>
          <w:rFonts w:ascii="Times New Roman" w:hAnsi="Times New Roman" w:cs="Times New Roman"/>
          <w:sz w:val="24"/>
          <w:szCs w:val="24"/>
        </w:rPr>
        <w:t xml:space="preserve"> (Dz. U. z 2021 r. poz. 1128, z późn. zm.).</w:t>
      </w:r>
    </w:p>
    <w:p w14:paraId="150F1316" w14:textId="46686D34" w:rsidR="00605872"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Dodanie </w:t>
      </w:r>
      <w:r w:rsidRPr="008D7149">
        <w:rPr>
          <w:rFonts w:ascii="Times New Roman" w:hAnsi="Times New Roman" w:cs="Times New Roman"/>
          <w:b/>
          <w:sz w:val="24"/>
          <w:szCs w:val="24"/>
        </w:rPr>
        <w:t xml:space="preserve">w art. 21 </w:t>
      </w:r>
      <w:r w:rsidR="00800141" w:rsidRPr="008D7149">
        <w:rPr>
          <w:rFonts w:ascii="Times New Roman" w:hAnsi="Times New Roman" w:cs="Times New Roman"/>
          <w:b/>
          <w:sz w:val="24"/>
          <w:szCs w:val="24"/>
        </w:rPr>
        <w:t xml:space="preserve">w </w:t>
      </w:r>
      <w:r w:rsidRPr="008D7149">
        <w:rPr>
          <w:rFonts w:ascii="Times New Roman" w:hAnsi="Times New Roman" w:cs="Times New Roman"/>
          <w:b/>
          <w:sz w:val="24"/>
          <w:szCs w:val="24"/>
        </w:rPr>
        <w:t xml:space="preserve">ust. 1 pkt 130d </w:t>
      </w:r>
      <w:r w:rsidRPr="008D7149">
        <w:rPr>
          <w:rFonts w:ascii="Times New Roman" w:hAnsi="Times New Roman" w:cs="Times New Roman"/>
          <w:sz w:val="24"/>
          <w:szCs w:val="24"/>
        </w:rPr>
        <w:t>ustawy z dnia 26 lipca 1991 r. o podatku dochodowym od osób fizycznych jest powiązane z tematyką przedmiotowej nowelizacji (zmiany w niektórych przepisach odrębnych ustaw). Ta zmiana wprowadza zwolnienie od podatku odsetek lub dyskonta od obligacji emitowanych przez BFG na rynkach zagranicznych oraz dochodów z odpłatnego zbycia obligacji w odniesieniu do wska</w:t>
      </w:r>
      <w:r w:rsidR="00AD60BC" w:rsidRPr="008D7149">
        <w:rPr>
          <w:rFonts w:ascii="Times New Roman" w:hAnsi="Times New Roman" w:cs="Times New Roman"/>
          <w:sz w:val="24"/>
          <w:szCs w:val="24"/>
        </w:rPr>
        <w:t>zanych osób fizycznych, tj. nie</w:t>
      </w:r>
      <w:r w:rsidRPr="008D7149">
        <w:rPr>
          <w:rFonts w:ascii="Times New Roman" w:hAnsi="Times New Roman" w:cs="Times New Roman"/>
          <w:sz w:val="24"/>
          <w:szCs w:val="24"/>
        </w:rPr>
        <w:t>mających na terytorium Rzeczypospolitej Polskiej miejsca zamieszkania, w związku z dochodami (przychodami) osiąganymi na terytorium Rzeczypospolitej Polskiej (og</w:t>
      </w:r>
      <w:r w:rsidR="00F639BC">
        <w:rPr>
          <w:rFonts w:ascii="Times New Roman" w:hAnsi="Times New Roman" w:cs="Times New Roman"/>
          <w:sz w:val="24"/>
          <w:szCs w:val="24"/>
        </w:rPr>
        <w:t>raniczony obowiązek podatkowy).</w:t>
      </w:r>
    </w:p>
    <w:p w14:paraId="7E5BDD79" w14:textId="29EFCE07" w:rsidR="00605872"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Jednym z warunków powodzenia emisji obligacji przeprowadzanej na międzynarodowych rynkach finansowych jest zwolnienie z opodatkowania uzyskiwanych z tego tytułu odsetek. Zwolnienie zaś dochodów z odpłatnego zbycia obligacji w sposób znaczący wpływa na zwiększenie ich płynności na rynku wtórnym, a w konsekwencji również oddziałuje na decyzję potencjalnych inwestorów o zakupie obligacji. Brak takiego zwolnienia może utrudnić lub wręcz uniemożliwić, w warunkach dużej konkurencji, uplasowanie się obligacji na zagranicznym rynku finansowym i podnieść koszty emisji, przez konieczność zaproponowania przez emitenta wyższego progu rentowności, rekompensującego wysokość podatku od uzyskiwanych dochodów. Konieczność odprowadzania w kraju emitenta </w:t>
      </w:r>
      <w:r w:rsidR="00F639BC">
        <w:rPr>
          <w:rFonts w:ascii="Times New Roman" w:hAnsi="Times New Roman" w:cs="Times New Roman"/>
          <w:sz w:val="24"/>
          <w:szCs w:val="24"/>
        </w:rPr>
        <w:t>–</w:t>
      </w:r>
      <w:r w:rsidRPr="008D7149">
        <w:rPr>
          <w:rFonts w:ascii="Times New Roman" w:hAnsi="Times New Roman" w:cs="Times New Roman"/>
          <w:sz w:val="24"/>
          <w:szCs w:val="24"/>
        </w:rPr>
        <w:t xml:space="preserve"> w Polsce </w:t>
      </w:r>
      <w:r w:rsidR="00F639BC">
        <w:rPr>
          <w:rFonts w:ascii="Times New Roman" w:hAnsi="Times New Roman" w:cs="Times New Roman"/>
          <w:sz w:val="24"/>
          <w:szCs w:val="24"/>
        </w:rPr>
        <w:t>–</w:t>
      </w:r>
      <w:r w:rsidRPr="008D7149">
        <w:rPr>
          <w:rFonts w:ascii="Times New Roman" w:hAnsi="Times New Roman" w:cs="Times New Roman"/>
          <w:sz w:val="24"/>
          <w:szCs w:val="24"/>
        </w:rPr>
        <w:t xml:space="preserve"> podatku stanowi barierę powstrzymującą od inwestycji w takie papiery W przypadku niewprowadzenia w życie proponowanego zwolnienia, inwestycje w takie papiery emitowane przez </w:t>
      </w:r>
      <w:r w:rsidR="00A05B34" w:rsidRPr="008D7149">
        <w:rPr>
          <w:rFonts w:ascii="Times New Roman" w:hAnsi="Times New Roman" w:cs="Times New Roman"/>
          <w:sz w:val="24"/>
          <w:szCs w:val="24"/>
        </w:rPr>
        <w:t xml:space="preserve">BFG </w:t>
      </w:r>
      <w:r w:rsidRPr="008D7149">
        <w:rPr>
          <w:rFonts w:ascii="Times New Roman" w:hAnsi="Times New Roman" w:cs="Times New Roman"/>
          <w:sz w:val="24"/>
          <w:szCs w:val="24"/>
        </w:rPr>
        <w:t>w dalszym ciągu pozostaną w istocie na poziomie zerowym.</w:t>
      </w:r>
    </w:p>
    <w:p w14:paraId="254C6AC9" w14:textId="6FBF9CE9" w:rsidR="00605872"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Ponadto dla zachowania konkurencyjności obligacji w stosunku do obligacji innych emitentów z regionu wystąpiłaby konieczność tzw. „ubruttowienia odsetek”, czyli powiększenia odsetek o równowartość obciążeń podatkowych. W standardowych dokumentacjach emisyjnych na rynkach zagranicznych, w większości przypadków zawarte są klauzule „</w:t>
      </w:r>
      <w:proofErr w:type="spellStart"/>
      <w:r w:rsidRPr="008D7149">
        <w:rPr>
          <w:rFonts w:ascii="Times New Roman" w:hAnsi="Times New Roman" w:cs="Times New Roman"/>
          <w:i/>
          <w:sz w:val="24"/>
          <w:szCs w:val="24"/>
        </w:rPr>
        <w:t>gross-up</w:t>
      </w:r>
      <w:proofErr w:type="spellEnd"/>
      <w:r w:rsidRPr="008D7149">
        <w:rPr>
          <w:rFonts w:ascii="Times New Roman" w:hAnsi="Times New Roman" w:cs="Times New Roman"/>
          <w:sz w:val="24"/>
          <w:szCs w:val="24"/>
        </w:rPr>
        <w:t xml:space="preserve">” nakładające na emitenta obowiązek ubruttowienia wypłacanej kwoty pożytków o obciążenia podatkowe, co powoduje, że emitent </w:t>
      </w:r>
      <w:r w:rsidR="00F639BC">
        <w:rPr>
          <w:rFonts w:ascii="Times New Roman" w:hAnsi="Times New Roman" w:cs="Times New Roman"/>
          <w:sz w:val="24"/>
          <w:szCs w:val="24"/>
        </w:rPr>
        <w:t>–</w:t>
      </w:r>
      <w:r w:rsidRPr="008D7149">
        <w:rPr>
          <w:rFonts w:ascii="Times New Roman" w:hAnsi="Times New Roman" w:cs="Times New Roman"/>
          <w:sz w:val="24"/>
          <w:szCs w:val="24"/>
        </w:rPr>
        <w:t xml:space="preserve"> będzie wpłacał jako płatnik podatek u źródła z tytułu wypłacanych należności.</w:t>
      </w:r>
    </w:p>
    <w:p w14:paraId="7EF8E5C9" w14:textId="45DE93B8" w:rsidR="00DF56F1" w:rsidRDefault="00605872" w:rsidP="00DF56F1">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Emisja obligacji za granicę przez BFG jest alternatywnym źródłem finansowania, niemniej BFG będzie sięgał po ten sposób finansowania, kiedy z innych dostępnych źródeł nie będzie możliwe takie finansowanie, np. pożyczka z budżetu państwa. BFG, którego działania są wyznaczone ustawą, nie może sięgać po rozwiązania z jakich korzystają podmioty </w:t>
      </w:r>
      <w:r w:rsidRPr="008D7149">
        <w:rPr>
          <w:rFonts w:ascii="Times New Roman" w:hAnsi="Times New Roman" w:cs="Times New Roman"/>
          <w:sz w:val="24"/>
          <w:szCs w:val="24"/>
        </w:rPr>
        <w:lastRenderedPageBreak/>
        <w:t>gospodarcze, które ułatwiają takie emisje na rynkach zagranicznych, np. tworzenie dla emisji zagranicznych SPV w krajach</w:t>
      </w:r>
      <w:r w:rsidR="00AD60BC" w:rsidRPr="008D7149">
        <w:rPr>
          <w:rFonts w:ascii="Times New Roman" w:hAnsi="Times New Roman" w:cs="Times New Roman"/>
          <w:sz w:val="24"/>
          <w:szCs w:val="24"/>
        </w:rPr>
        <w:t>,</w:t>
      </w:r>
      <w:r w:rsidRPr="008D7149">
        <w:rPr>
          <w:rFonts w:ascii="Times New Roman" w:hAnsi="Times New Roman" w:cs="Times New Roman"/>
          <w:sz w:val="24"/>
          <w:szCs w:val="24"/>
        </w:rPr>
        <w:t xml:space="preserve"> gdzie występuje zwolnienie z podatku od dochodów kapitałowych. W istocie brak zwolnienia z podatku powoduje, że emisja będzie z punktu widzenia ekonomicznego nieopłacalna, zatem w praktyce niemożliwa. Warto przy tym podkreślić, ż</w:t>
      </w:r>
      <w:r w:rsidR="00DF56F1">
        <w:rPr>
          <w:rFonts w:ascii="Times New Roman" w:hAnsi="Times New Roman" w:cs="Times New Roman"/>
          <w:sz w:val="24"/>
          <w:szCs w:val="24"/>
        </w:rPr>
        <w:t>e</w:t>
      </w:r>
      <w:r w:rsidRPr="008D7149">
        <w:rPr>
          <w:rFonts w:ascii="Times New Roman" w:hAnsi="Times New Roman" w:cs="Times New Roman"/>
          <w:sz w:val="24"/>
          <w:szCs w:val="24"/>
        </w:rPr>
        <w:t xml:space="preserve"> takie zwolnienia występują w ustawie CIT i PIT dla Banku Gospodarstwa Krajowego w zakresie obligacji oferowanych na rynkach zagranicznych, przeznaczonych na finansowanie ustawowych celów działalności Banku Gospodarstwa Krajowego, dotyczących wspierania polityki gospodarczej Rady Ministrów, realizacji rządowych programów społeczno-gospodarczych oraz programów samorządności lokalnej i rozwoju regionalnego, oraz dochody z odpłatnego zbycia tych obligacji, uzyskane przez</w:t>
      </w:r>
      <w:r w:rsidR="00DF56F1">
        <w:rPr>
          <w:rFonts w:ascii="Times New Roman" w:hAnsi="Times New Roman" w:cs="Times New Roman"/>
          <w:sz w:val="24"/>
          <w:szCs w:val="24"/>
        </w:rPr>
        <w:t xml:space="preserve"> tzw. podatników nierezydentów.</w:t>
      </w:r>
    </w:p>
    <w:p w14:paraId="09EF757A" w14:textId="14EB19A9" w:rsidR="00605872" w:rsidRPr="008D7149" w:rsidRDefault="00DF56F1" w:rsidP="00DF56F1">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605872" w:rsidRPr="008D7149">
        <w:rPr>
          <w:rFonts w:ascii="Times New Roman" w:hAnsi="Times New Roman" w:cs="Times New Roman"/>
          <w:b/>
          <w:sz w:val="24"/>
          <w:szCs w:val="24"/>
        </w:rPr>
        <w:t xml:space="preserve">Art. 4 projektu </w:t>
      </w:r>
      <w:r w:rsidR="00605872" w:rsidRPr="008D7149">
        <w:rPr>
          <w:rFonts w:ascii="Times New Roman" w:hAnsi="Times New Roman" w:cs="Times New Roman"/>
          <w:sz w:val="24"/>
          <w:szCs w:val="24"/>
        </w:rPr>
        <w:t>wprowadza zmiany do ustawy z dnia 15 lutego 1992 r. o podatku dochodowym od osób prawnych</w:t>
      </w:r>
      <w:r w:rsidR="007A7115" w:rsidRPr="008D7149">
        <w:rPr>
          <w:rFonts w:ascii="Times New Roman" w:hAnsi="Times New Roman" w:cs="Times New Roman"/>
          <w:sz w:val="24"/>
          <w:szCs w:val="24"/>
        </w:rPr>
        <w:t xml:space="preserve"> (Dz. U. z 2021 r. poz. 1800, z późn. zm.).</w:t>
      </w:r>
    </w:p>
    <w:p w14:paraId="3308EEC1" w14:textId="2C966737" w:rsidR="008F7693"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związku z przygotowaniem przepisów mających regulować w </w:t>
      </w:r>
      <w:r w:rsidR="0024209B" w:rsidRPr="008D7149">
        <w:rPr>
          <w:rFonts w:ascii="Times New Roman" w:hAnsi="Times New Roman" w:cs="Times New Roman"/>
          <w:sz w:val="24"/>
          <w:szCs w:val="24"/>
        </w:rPr>
        <w:t xml:space="preserve">ustawie z dnia 29 sierpnia 1997 r. </w:t>
      </w:r>
      <w:r w:rsidR="00F639BC">
        <w:rPr>
          <w:rFonts w:ascii="Times New Roman" w:hAnsi="Times New Roman" w:cs="Times New Roman"/>
          <w:sz w:val="24"/>
          <w:szCs w:val="24"/>
        </w:rPr>
        <w:t>–</w:t>
      </w:r>
      <w:r w:rsidR="0024209B" w:rsidRPr="008D7149">
        <w:rPr>
          <w:rFonts w:ascii="Times New Roman" w:hAnsi="Times New Roman" w:cs="Times New Roman"/>
          <w:sz w:val="24"/>
          <w:szCs w:val="24"/>
        </w:rPr>
        <w:t xml:space="preserve"> Prawo bankowe </w:t>
      </w:r>
      <w:r w:rsidRPr="008D7149">
        <w:rPr>
          <w:rFonts w:ascii="Times New Roman" w:hAnsi="Times New Roman" w:cs="Times New Roman"/>
          <w:sz w:val="24"/>
          <w:szCs w:val="24"/>
        </w:rPr>
        <w:t>zasady powoływania przez banki działające w formie spółki akcyjnej instytucjonalnych systemów ochr</w:t>
      </w:r>
      <w:r w:rsidR="00CD7A32" w:rsidRPr="008D7149">
        <w:rPr>
          <w:rFonts w:ascii="Times New Roman" w:hAnsi="Times New Roman" w:cs="Times New Roman"/>
          <w:sz w:val="24"/>
          <w:szCs w:val="24"/>
        </w:rPr>
        <w:t xml:space="preserve">ony, jednocześnie przygotowano </w:t>
      </w:r>
      <w:r w:rsidRPr="008D7149">
        <w:rPr>
          <w:rFonts w:ascii="Times New Roman" w:hAnsi="Times New Roman" w:cs="Times New Roman"/>
          <w:sz w:val="24"/>
          <w:szCs w:val="24"/>
        </w:rPr>
        <w:t xml:space="preserve">zmiany przepisów ustawy </w:t>
      </w:r>
      <w:r w:rsidR="007A7115" w:rsidRPr="008D7149">
        <w:rPr>
          <w:rFonts w:ascii="Times New Roman" w:hAnsi="Times New Roman" w:cs="Times New Roman"/>
          <w:sz w:val="24"/>
          <w:szCs w:val="24"/>
        </w:rPr>
        <w:t xml:space="preserve">z dnia 15 lutego 1992 r. </w:t>
      </w:r>
      <w:r w:rsidRPr="008D7149">
        <w:rPr>
          <w:rFonts w:ascii="Times New Roman" w:hAnsi="Times New Roman" w:cs="Times New Roman"/>
          <w:sz w:val="24"/>
          <w:szCs w:val="24"/>
        </w:rPr>
        <w:t xml:space="preserve">o podatku dochodowym od osób prawnych w celu wprowadzenia zwolnień podatkowych w zakresie podatku dochodowego od osób prawnych albo możliwości zaliczenia wydatków ponoszonych na system ochrony do kosztów uzyskania przychodów. Wprowadzenie zmian w ustawie </w:t>
      </w:r>
      <w:r w:rsidR="007A7115" w:rsidRPr="008D7149">
        <w:rPr>
          <w:rFonts w:ascii="Times New Roman" w:hAnsi="Times New Roman" w:cs="Times New Roman"/>
          <w:sz w:val="24"/>
          <w:szCs w:val="24"/>
        </w:rPr>
        <w:t xml:space="preserve">z dnia 15 lutego 1992 r. </w:t>
      </w:r>
      <w:r w:rsidRPr="008D7149">
        <w:rPr>
          <w:rFonts w:ascii="Times New Roman" w:hAnsi="Times New Roman" w:cs="Times New Roman"/>
          <w:sz w:val="24"/>
          <w:szCs w:val="24"/>
        </w:rPr>
        <w:t>o podatku dochodowym od osób prawnych jest uzasadnione pozytywnym wpływem istnienia instytucjonalnego systemu ochrony na utrzymanie stabilności finansowej oraz zmniejszenia ryzyka zaangażowania funduszy publicznych lub prawdopodobieństwa ich zaangażowania wobec sektora finansowego, w związku ze zmniejszeniem ryzyka wystąpienia przypadku upadłości banku komercyjnego. Beneficjentem tych zmian będą:</w:t>
      </w:r>
    </w:p>
    <w:p w14:paraId="2740EE87" w14:textId="4099C615" w:rsidR="008F7693" w:rsidRPr="008D7149" w:rsidRDefault="00605872" w:rsidP="008D7149">
      <w:pPr>
        <w:pStyle w:val="Akapitzlist"/>
        <w:numPr>
          <w:ilvl w:val="0"/>
          <w:numId w:val="25"/>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podmioty, na rzecz których przekazywane jest wsparcie ze strony systemu ochrony (</w:t>
      </w:r>
      <w:r w:rsidR="007A7115" w:rsidRPr="008D7149">
        <w:rPr>
          <w:rFonts w:ascii="Times New Roman" w:hAnsi="Times New Roman" w:cs="Times New Roman"/>
          <w:sz w:val="24"/>
          <w:szCs w:val="24"/>
        </w:rPr>
        <w:t xml:space="preserve">projektowany </w:t>
      </w:r>
      <w:r w:rsidRPr="008D7149">
        <w:rPr>
          <w:rFonts w:ascii="Times New Roman" w:hAnsi="Times New Roman" w:cs="Times New Roman"/>
          <w:sz w:val="24"/>
          <w:szCs w:val="24"/>
        </w:rPr>
        <w:t>art. 12 ust. 4 pkt 24b</w:t>
      </w:r>
      <w:r w:rsidR="007A7115" w:rsidRPr="008D7149">
        <w:rPr>
          <w:rFonts w:ascii="Times New Roman" w:hAnsi="Times New Roman" w:cs="Times New Roman"/>
          <w:sz w:val="24"/>
          <w:szCs w:val="24"/>
        </w:rPr>
        <w:t xml:space="preserve"> ustawy z dnia 15 lutego 1992 r. o podatku dochodowym od osób prawnych</w:t>
      </w:r>
      <w:r w:rsidRPr="008D7149">
        <w:rPr>
          <w:rFonts w:ascii="Times New Roman" w:hAnsi="Times New Roman" w:cs="Times New Roman"/>
          <w:sz w:val="24"/>
          <w:szCs w:val="24"/>
        </w:rPr>
        <w:t>)</w:t>
      </w:r>
      <w:r w:rsidR="008F7693" w:rsidRPr="008D7149">
        <w:rPr>
          <w:rFonts w:ascii="Times New Roman" w:hAnsi="Times New Roman" w:cs="Times New Roman"/>
          <w:sz w:val="24"/>
          <w:szCs w:val="24"/>
        </w:rPr>
        <w:t>;</w:t>
      </w:r>
    </w:p>
    <w:p w14:paraId="52F48E36" w14:textId="3013F439" w:rsidR="008F7693" w:rsidRPr="008D7149" w:rsidRDefault="00605872" w:rsidP="008D7149">
      <w:pPr>
        <w:pStyle w:val="Akapitzlist"/>
        <w:numPr>
          <w:ilvl w:val="0"/>
          <w:numId w:val="25"/>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banki dokonujące wpłat do systemu jako uczestnicy (</w:t>
      </w:r>
      <w:r w:rsidR="007A7115" w:rsidRPr="008D7149">
        <w:rPr>
          <w:rFonts w:ascii="Times New Roman" w:hAnsi="Times New Roman" w:cs="Times New Roman"/>
          <w:sz w:val="24"/>
          <w:szCs w:val="24"/>
        </w:rPr>
        <w:t xml:space="preserve">projektowany </w:t>
      </w:r>
      <w:r w:rsidRPr="008D7149">
        <w:rPr>
          <w:rFonts w:ascii="Times New Roman" w:hAnsi="Times New Roman" w:cs="Times New Roman"/>
          <w:sz w:val="24"/>
          <w:szCs w:val="24"/>
        </w:rPr>
        <w:t>art. 15 ust. 1h pkt 5</w:t>
      </w:r>
      <w:r w:rsidR="007A7115" w:rsidRPr="008D7149">
        <w:rPr>
          <w:rFonts w:ascii="Times New Roman" w:hAnsi="Times New Roman" w:cs="Times New Roman"/>
          <w:sz w:val="24"/>
          <w:szCs w:val="24"/>
        </w:rPr>
        <w:t xml:space="preserve"> ustawy z dnia 15 lutego 1992 r. o podatku dochodowym od osób prawnych</w:t>
      </w:r>
      <w:r w:rsidRPr="008D7149">
        <w:rPr>
          <w:rFonts w:ascii="Times New Roman" w:hAnsi="Times New Roman" w:cs="Times New Roman"/>
          <w:sz w:val="24"/>
          <w:szCs w:val="24"/>
        </w:rPr>
        <w:t>)</w:t>
      </w:r>
      <w:r w:rsidR="008F7693" w:rsidRPr="008D7149">
        <w:rPr>
          <w:rFonts w:ascii="Times New Roman" w:hAnsi="Times New Roman" w:cs="Times New Roman"/>
          <w:sz w:val="24"/>
          <w:szCs w:val="24"/>
        </w:rPr>
        <w:t>;</w:t>
      </w:r>
    </w:p>
    <w:p w14:paraId="427A79F3" w14:textId="0F630CCC" w:rsidR="00605872" w:rsidRPr="008D7149" w:rsidRDefault="00605872" w:rsidP="008D7149">
      <w:pPr>
        <w:pStyle w:val="Akapitzlist"/>
        <w:numPr>
          <w:ilvl w:val="0"/>
          <w:numId w:val="25"/>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sam system ochrony instytucjonalnej (</w:t>
      </w:r>
      <w:r w:rsidR="007A7115" w:rsidRPr="008D7149">
        <w:rPr>
          <w:rFonts w:ascii="Times New Roman" w:hAnsi="Times New Roman" w:cs="Times New Roman"/>
          <w:sz w:val="24"/>
          <w:szCs w:val="24"/>
        </w:rPr>
        <w:t xml:space="preserve">projektowany </w:t>
      </w:r>
      <w:r w:rsidRPr="008D7149">
        <w:rPr>
          <w:rFonts w:ascii="Times New Roman" w:hAnsi="Times New Roman" w:cs="Times New Roman"/>
          <w:sz w:val="24"/>
          <w:szCs w:val="24"/>
        </w:rPr>
        <w:t>art. 17 ust. 1 pkt 5</w:t>
      </w:r>
      <w:r w:rsidR="005148E2" w:rsidRPr="008D7149">
        <w:rPr>
          <w:rFonts w:ascii="Times New Roman" w:hAnsi="Times New Roman" w:cs="Times New Roman"/>
          <w:sz w:val="24"/>
          <w:szCs w:val="24"/>
        </w:rPr>
        <w:t>6</w:t>
      </w:r>
      <w:r w:rsidR="00C317C9" w:rsidRPr="008D7149">
        <w:rPr>
          <w:rFonts w:ascii="Times New Roman" w:hAnsi="Times New Roman" w:cs="Times New Roman"/>
          <w:sz w:val="24"/>
          <w:szCs w:val="24"/>
        </w:rPr>
        <w:t>c</w:t>
      </w:r>
      <w:r w:rsidR="007A7115" w:rsidRPr="008D7149">
        <w:rPr>
          <w:rFonts w:ascii="Times New Roman" w:hAnsi="Times New Roman" w:cs="Times New Roman"/>
          <w:sz w:val="24"/>
          <w:szCs w:val="24"/>
        </w:rPr>
        <w:t xml:space="preserve"> ustawy z dnia 15 lutego 1992 r. o podatku dochodowym od osób prawnych</w:t>
      </w:r>
      <w:r w:rsidRPr="008D7149">
        <w:rPr>
          <w:rFonts w:ascii="Times New Roman" w:hAnsi="Times New Roman" w:cs="Times New Roman"/>
          <w:sz w:val="24"/>
          <w:szCs w:val="24"/>
        </w:rPr>
        <w:t>).</w:t>
      </w:r>
    </w:p>
    <w:p w14:paraId="6FA534B1" w14:textId="75C90399" w:rsidR="00605872"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Tym samym fundusz pomocowy, z którego środki przeznaczane będą na finansowanie zadań systemu ochrony w zakresie pomocy finansowej dla uczestników systemu ochrony mającej na </w:t>
      </w:r>
      <w:r w:rsidRPr="008D7149">
        <w:rPr>
          <w:rFonts w:ascii="Times New Roman" w:hAnsi="Times New Roman" w:cs="Times New Roman"/>
          <w:sz w:val="24"/>
          <w:szCs w:val="24"/>
        </w:rPr>
        <w:lastRenderedPageBreak/>
        <w:t>celu poprawę ich wypłacalności i zapobieżenie upadłości, tworzony z wpłat uczestników systemu ochrony, którzy te wpłaty będą uznawać jako koszt uzyskania przychodu, zaś środki zgromadzone w ramach funduszu z uwagi na jego cele będą zwolnione z podatku dochodowego.</w:t>
      </w:r>
    </w:p>
    <w:p w14:paraId="2FE36D34" w14:textId="24AA9EC0" w:rsidR="00605872"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Dodawany w </w:t>
      </w:r>
      <w:r w:rsidRPr="008D7149">
        <w:rPr>
          <w:rFonts w:ascii="Times New Roman" w:hAnsi="Times New Roman" w:cs="Times New Roman"/>
          <w:b/>
          <w:sz w:val="24"/>
          <w:szCs w:val="24"/>
        </w:rPr>
        <w:t>art. 12 ust. 4</w:t>
      </w:r>
      <w:r w:rsidRPr="008D7149">
        <w:rPr>
          <w:rFonts w:ascii="Times New Roman" w:hAnsi="Times New Roman" w:cs="Times New Roman"/>
          <w:sz w:val="24"/>
          <w:szCs w:val="24"/>
        </w:rPr>
        <w:t xml:space="preserve"> ustawy </w:t>
      </w:r>
      <w:r w:rsidR="007A7115" w:rsidRPr="008D7149">
        <w:rPr>
          <w:rFonts w:ascii="Times New Roman" w:hAnsi="Times New Roman" w:cs="Times New Roman"/>
          <w:sz w:val="24"/>
          <w:szCs w:val="24"/>
        </w:rPr>
        <w:t xml:space="preserve">z dnia 15 lutego 1992 r. </w:t>
      </w:r>
      <w:r w:rsidRPr="008D7149">
        <w:rPr>
          <w:rFonts w:ascii="Times New Roman" w:hAnsi="Times New Roman" w:cs="Times New Roman"/>
          <w:sz w:val="24"/>
          <w:szCs w:val="24"/>
        </w:rPr>
        <w:t xml:space="preserve">o podatku dochodowym od osób prawnych nowy pkt 24b ma na celu wyłączenie z przychodu </w:t>
      </w:r>
      <w:r w:rsidR="004549A7" w:rsidRPr="008D7149">
        <w:rPr>
          <w:rFonts w:ascii="Times New Roman" w:hAnsi="Times New Roman" w:cs="Times New Roman"/>
          <w:sz w:val="24"/>
          <w:szCs w:val="24"/>
        </w:rPr>
        <w:t>otrzymanych środków z funduszu pomocowego, o którym mowa w projektowanym art. 130h ust. 1 ustawy z dnia 29 sierpnia 1997 r. – Prawo bankowe – w części przeznaczonej na realizację celów, o których mowa w projektowanym art. 130b ust. 1 ustawy z dnia 29 sierpnia 1997 r. – Prawo bankowe, i wsparcia, o którym mowa w art. 130b ust. 2 tej ustawy</w:t>
      </w:r>
      <w:r w:rsidRPr="008D7149">
        <w:rPr>
          <w:rFonts w:ascii="Times New Roman" w:hAnsi="Times New Roman" w:cs="Times New Roman"/>
          <w:sz w:val="24"/>
          <w:szCs w:val="24"/>
        </w:rPr>
        <w:t xml:space="preserve">. Celem funkcjonowania systemu ochrony jest, zgodnie z </w:t>
      </w:r>
      <w:r w:rsidR="00AF2325" w:rsidRPr="008D7149">
        <w:rPr>
          <w:rFonts w:ascii="Times New Roman" w:hAnsi="Times New Roman" w:cs="Times New Roman"/>
          <w:sz w:val="24"/>
          <w:szCs w:val="24"/>
        </w:rPr>
        <w:t>projektowanym</w:t>
      </w:r>
      <w:r w:rsidRPr="008D7149">
        <w:rPr>
          <w:rFonts w:ascii="Times New Roman" w:hAnsi="Times New Roman" w:cs="Times New Roman"/>
          <w:sz w:val="24"/>
          <w:szCs w:val="24"/>
        </w:rPr>
        <w:t xml:space="preserve"> art. 130b ust. 1 ustawy </w:t>
      </w:r>
      <w:r w:rsidR="00E266AD"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zapewnienie płynności i wypłacalności każdego jego uczestnika na zasadach określonych w ustawie i w umowie systemu ochrony, w szczególności przez udzielanie pożyczek, gwarancji i poręczeń na warunkach określonych w umowie systemu ochrony. Dodatkowo, zgodnie z </w:t>
      </w:r>
      <w:r w:rsidR="00AF2325"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 xml:space="preserve">art. 130b ust. 2 ustawy </w:t>
      </w:r>
      <w:r w:rsidR="00E266AD"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system ochrony może również udzielać wsparcia przymusowej restrukturyzacji, wszczętej wobec</w:t>
      </w:r>
      <w:r w:rsidR="00FB0600" w:rsidRPr="008D7149">
        <w:rPr>
          <w:rFonts w:ascii="Times New Roman" w:hAnsi="Times New Roman" w:cs="Times New Roman"/>
          <w:sz w:val="24"/>
          <w:szCs w:val="24"/>
        </w:rPr>
        <w:t xml:space="preserve"> banku będącego spółką akcyjną, w tym</w:t>
      </w:r>
      <w:r w:rsidRPr="008D7149">
        <w:rPr>
          <w:rFonts w:ascii="Times New Roman" w:hAnsi="Times New Roman" w:cs="Times New Roman"/>
          <w:sz w:val="24"/>
          <w:szCs w:val="24"/>
        </w:rPr>
        <w:t xml:space="preserve"> uczestnika systemu ochrony</w:t>
      </w:r>
      <w:r w:rsidR="00C317C9" w:rsidRPr="008D7149">
        <w:rPr>
          <w:rFonts w:ascii="Times New Roman" w:hAnsi="Times New Roman" w:cs="Times New Roman"/>
          <w:sz w:val="24"/>
          <w:szCs w:val="24"/>
        </w:rPr>
        <w:t>,</w:t>
      </w:r>
      <w:r w:rsidRPr="008D7149">
        <w:rPr>
          <w:rFonts w:ascii="Times New Roman" w:hAnsi="Times New Roman" w:cs="Times New Roman"/>
          <w:sz w:val="24"/>
          <w:szCs w:val="24"/>
        </w:rPr>
        <w:t xml:space="preserve"> </w:t>
      </w:r>
      <w:r w:rsidR="00FB0600" w:rsidRPr="008D7149">
        <w:rPr>
          <w:rFonts w:ascii="Times New Roman" w:hAnsi="Times New Roman" w:cs="Times New Roman"/>
          <w:sz w:val="24"/>
          <w:szCs w:val="24"/>
        </w:rPr>
        <w:t xml:space="preserve">a także </w:t>
      </w:r>
      <w:r w:rsidRPr="008D7149">
        <w:rPr>
          <w:rFonts w:ascii="Times New Roman" w:hAnsi="Times New Roman" w:cs="Times New Roman"/>
          <w:sz w:val="24"/>
          <w:szCs w:val="24"/>
        </w:rPr>
        <w:t>gdy taki uczestnik występuje jako podmiot przejmujący</w:t>
      </w:r>
      <w:r w:rsidR="00FB0600" w:rsidRPr="008D7149">
        <w:rPr>
          <w:rFonts w:ascii="Times New Roman" w:hAnsi="Times New Roman" w:cs="Times New Roman"/>
          <w:sz w:val="24"/>
          <w:szCs w:val="24"/>
        </w:rPr>
        <w:t>.</w:t>
      </w:r>
      <w:r w:rsidR="00C317C9" w:rsidRPr="008D7149">
        <w:rPr>
          <w:rFonts w:ascii="Times New Roman" w:hAnsi="Times New Roman" w:cs="Times New Roman"/>
          <w:sz w:val="24"/>
          <w:szCs w:val="24"/>
        </w:rPr>
        <w:t xml:space="preserve"> </w:t>
      </w:r>
      <w:r w:rsidR="00FB0600" w:rsidRPr="008D7149">
        <w:rPr>
          <w:rFonts w:ascii="Times New Roman" w:hAnsi="Times New Roman" w:cs="Times New Roman"/>
          <w:sz w:val="24"/>
          <w:szCs w:val="24"/>
        </w:rPr>
        <w:t>Ponadto wsparcie może być także udzielone</w:t>
      </w:r>
      <w:r w:rsidR="00C317C9" w:rsidRPr="008D7149">
        <w:rPr>
          <w:rFonts w:ascii="Times New Roman" w:hAnsi="Times New Roman" w:cs="Times New Roman"/>
          <w:sz w:val="24"/>
          <w:szCs w:val="24"/>
        </w:rPr>
        <w:t xml:space="preserve"> podmiotowi przejmującemu w sytuacji, o której mowa w art. 174 ust. 1 pkt 3 ustawy o BFG</w:t>
      </w:r>
      <w:r w:rsidR="00FB0600" w:rsidRPr="008D7149">
        <w:rPr>
          <w:rFonts w:ascii="Times New Roman" w:hAnsi="Times New Roman" w:cs="Times New Roman"/>
          <w:sz w:val="24"/>
          <w:szCs w:val="24"/>
        </w:rPr>
        <w:t>, także gdy nie jest uczestnikiem systemu ochrony, co zapewni równe warunki konkurencji</w:t>
      </w:r>
      <w:r w:rsidRPr="008D7149">
        <w:rPr>
          <w:rFonts w:ascii="Times New Roman" w:hAnsi="Times New Roman" w:cs="Times New Roman"/>
          <w:sz w:val="24"/>
          <w:szCs w:val="24"/>
        </w:rPr>
        <w:t xml:space="preserve">. Wsparcie takie może dotyczyć również przejęcia banku, zgodnie z art. 146b ust. 1 ustawy </w:t>
      </w:r>
      <w:r w:rsidR="00E266AD"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w:t>
      </w:r>
      <w:r w:rsidR="00346B7A" w:rsidRPr="008D7149">
        <w:rPr>
          <w:rFonts w:ascii="Times New Roman" w:hAnsi="Times New Roman" w:cs="Times New Roman"/>
          <w:sz w:val="24"/>
          <w:szCs w:val="24"/>
        </w:rPr>
        <w:t>,</w:t>
      </w:r>
      <w:r w:rsidR="00FB0600" w:rsidRPr="008D7149">
        <w:rPr>
          <w:rFonts w:ascii="Times New Roman" w:hAnsi="Times New Roman" w:cs="Times New Roman"/>
          <w:sz w:val="24"/>
          <w:szCs w:val="24"/>
        </w:rPr>
        <w:t xml:space="preserve"> gdy </w:t>
      </w:r>
      <w:r w:rsidRPr="008D7149">
        <w:rPr>
          <w:rFonts w:ascii="Times New Roman" w:hAnsi="Times New Roman" w:cs="Times New Roman"/>
          <w:sz w:val="24"/>
          <w:szCs w:val="24"/>
        </w:rPr>
        <w:t xml:space="preserve">podmiotem przejmowanym jest </w:t>
      </w:r>
      <w:r w:rsidR="00FB0600" w:rsidRPr="008D7149">
        <w:rPr>
          <w:rFonts w:ascii="Times New Roman" w:hAnsi="Times New Roman" w:cs="Times New Roman"/>
          <w:sz w:val="24"/>
          <w:szCs w:val="24"/>
        </w:rPr>
        <w:t>bank będący spółką akcyjną</w:t>
      </w:r>
      <w:r w:rsidRPr="008D7149">
        <w:rPr>
          <w:rFonts w:ascii="Times New Roman" w:hAnsi="Times New Roman" w:cs="Times New Roman"/>
          <w:sz w:val="24"/>
          <w:szCs w:val="24"/>
        </w:rPr>
        <w:t xml:space="preserve">. Proponowane w art. 12 ust. 4 pkt 24b ustawy </w:t>
      </w:r>
      <w:r w:rsidR="00C4595D" w:rsidRPr="008D7149">
        <w:rPr>
          <w:rFonts w:ascii="Times New Roman" w:hAnsi="Times New Roman" w:cs="Times New Roman"/>
          <w:sz w:val="24"/>
          <w:szCs w:val="24"/>
        </w:rPr>
        <w:t xml:space="preserve">z dnia 15 lutego 1992 r. </w:t>
      </w:r>
      <w:r w:rsidRPr="008D7149">
        <w:rPr>
          <w:rFonts w:ascii="Times New Roman" w:hAnsi="Times New Roman" w:cs="Times New Roman"/>
          <w:sz w:val="24"/>
          <w:szCs w:val="24"/>
        </w:rPr>
        <w:t>o podatku dochodowym od osób prawnych wyłączenie dotyczyć będzie zatem zarówno podmiotu przejmującego, jak i przejmowanego, którym udzielono pomocy z systemu ochrony. Celem tego wyłączenia, podobnie jak w przypadku już funkcjonujących wyłączeń, zgodnie z art. 12 ust. 4 pkt 23</w:t>
      </w:r>
      <w:r w:rsidR="00A5327C">
        <w:rPr>
          <w:rFonts w:ascii="Times New Roman" w:hAnsi="Times New Roman" w:cs="Times New Roman"/>
          <w:sz w:val="24"/>
          <w:szCs w:val="24"/>
        </w:rPr>
        <w:t>–</w:t>
      </w:r>
      <w:r w:rsidRPr="008D7149">
        <w:rPr>
          <w:rFonts w:ascii="Times New Roman" w:hAnsi="Times New Roman" w:cs="Times New Roman"/>
          <w:sz w:val="24"/>
          <w:szCs w:val="24"/>
        </w:rPr>
        <w:t>24a</w:t>
      </w:r>
      <w:r w:rsidR="00C4595D" w:rsidRPr="008D7149">
        <w:rPr>
          <w:rFonts w:ascii="Times New Roman" w:hAnsi="Times New Roman" w:cs="Times New Roman"/>
          <w:sz w:val="24"/>
          <w:szCs w:val="24"/>
        </w:rPr>
        <w:t xml:space="preserve"> tej ustawy</w:t>
      </w:r>
      <w:r w:rsidRPr="008D7149">
        <w:rPr>
          <w:rFonts w:ascii="Times New Roman" w:hAnsi="Times New Roman" w:cs="Times New Roman"/>
          <w:sz w:val="24"/>
          <w:szCs w:val="24"/>
        </w:rPr>
        <w:t xml:space="preserve">, jest umożliwienie uniknięcia obciążenia podatkowego w odniesieniu do środków otrzymanych w związku z przymusową restrukturyzacją prowadzoną przez </w:t>
      </w:r>
      <w:r w:rsidR="00A05B34" w:rsidRPr="008D7149">
        <w:rPr>
          <w:rFonts w:ascii="Times New Roman" w:hAnsi="Times New Roman" w:cs="Times New Roman"/>
          <w:sz w:val="24"/>
          <w:szCs w:val="24"/>
        </w:rPr>
        <w:t>BFG</w:t>
      </w:r>
      <w:r w:rsidRPr="008D7149">
        <w:rPr>
          <w:rFonts w:ascii="Times New Roman" w:hAnsi="Times New Roman" w:cs="Times New Roman"/>
          <w:sz w:val="24"/>
          <w:szCs w:val="24"/>
        </w:rPr>
        <w:t xml:space="preserve">. Wprawdzie wyłączone środki będą pochodziły ze wsparcia udzielonego przez instytucjonalny system ochrony, to jednak jest ono udzielane w ramach procesu przymusowej restrukturyzacji. Takie wyłączenie będzie również przysługiwało w przypadku wsparcia procesu przejęcia, o którym mowa w art. 146 ust. 1 ustawy </w:t>
      </w:r>
      <w:r w:rsidR="00E266AD"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w:t>
      </w:r>
    </w:p>
    <w:p w14:paraId="42E123F4" w14:textId="46730651" w:rsidR="00605872"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Projektowany </w:t>
      </w:r>
      <w:r w:rsidRPr="008D7149">
        <w:rPr>
          <w:rFonts w:ascii="Times New Roman" w:hAnsi="Times New Roman" w:cs="Times New Roman"/>
          <w:b/>
          <w:sz w:val="24"/>
          <w:szCs w:val="24"/>
        </w:rPr>
        <w:t xml:space="preserve">pkt 5 w art. 15 ust. 1h </w:t>
      </w:r>
      <w:r w:rsidRPr="008D7149">
        <w:rPr>
          <w:rFonts w:ascii="Times New Roman" w:hAnsi="Times New Roman" w:cs="Times New Roman"/>
          <w:sz w:val="24"/>
          <w:szCs w:val="24"/>
        </w:rPr>
        <w:t xml:space="preserve">ustawy </w:t>
      </w:r>
      <w:r w:rsidR="00C4595D" w:rsidRPr="008D7149">
        <w:rPr>
          <w:rFonts w:ascii="Times New Roman" w:hAnsi="Times New Roman" w:cs="Times New Roman"/>
          <w:sz w:val="24"/>
          <w:szCs w:val="24"/>
        </w:rPr>
        <w:t xml:space="preserve">z dnia 15 lutego 1992 r. </w:t>
      </w:r>
      <w:r w:rsidRPr="008D7149">
        <w:rPr>
          <w:rFonts w:ascii="Times New Roman" w:hAnsi="Times New Roman" w:cs="Times New Roman"/>
          <w:sz w:val="24"/>
          <w:szCs w:val="24"/>
        </w:rPr>
        <w:t xml:space="preserve">o podatku dochodowym od osób prawnych umożliwia rozszerzenie katalogu kosztów uzyskania przychodu banku o wszystkie wpłaty dokonywane przez bank w charakterze uczestnika systemu ochrony na fundusz pomocowy, zgodnie z </w:t>
      </w:r>
      <w:r w:rsidR="00AF2325"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 xml:space="preserve">art. 130h ust. 2 ustawy </w:t>
      </w:r>
      <w:r w:rsidR="000A307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Takie rozwiązanie umożliwia obniżenie kosztów podatkowych bankom, które przyczyniają się do zapewnienia stabilności systemu finansowego i uniknięcia niekontrolowanej upadłości banków. W sytuacji braku takiej pomocy ze strony banków i upadłości banku krajowego, koszty dla systemu finansowego, a tym samym dla budżetu państwa</w:t>
      </w:r>
      <w:r w:rsidR="00662938">
        <w:rPr>
          <w:rFonts w:ascii="Times New Roman" w:hAnsi="Times New Roman" w:cs="Times New Roman"/>
          <w:sz w:val="24"/>
          <w:szCs w:val="24"/>
        </w:rPr>
        <w:t>,</w:t>
      </w:r>
      <w:r w:rsidRPr="008D7149">
        <w:rPr>
          <w:rFonts w:ascii="Times New Roman" w:hAnsi="Times New Roman" w:cs="Times New Roman"/>
          <w:sz w:val="24"/>
          <w:szCs w:val="24"/>
        </w:rPr>
        <w:t xml:space="preserve"> będą nieproporcjonalnie większe niż koszty budżetu państwa wynikające z zaliczenia takiej pomocy do kosztów uzyskania przychodu.</w:t>
      </w:r>
    </w:p>
    <w:p w14:paraId="4D7089CF" w14:textId="582E47D3" w:rsidR="00025E36" w:rsidRPr="008D7149" w:rsidRDefault="00025E36"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 xml:space="preserve">art. 16 w ust. 1 pkt 58 </w:t>
      </w:r>
      <w:r w:rsidRPr="008D7149">
        <w:rPr>
          <w:rFonts w:ascii="Times New Roman" w:hAnsi="Times New Roman" w:cs="Times New Roman"/>
          <w:sz w:val="24"/>
          <w:szCs w:val="24"/>
        </w:rPr>
        <w:t>ma charakter porządkowy służący uwzględ</w:t>
      </w:r>
      <w:r w:rsidR="00CD7A32" w:rsidRPr="008D7149">
        <w:rPr>
          <w:rFonts w:ascii="Times New Roman" w:hAnsi="Times New Roman" w:cs="Times New Roman"/>
          <w:sz w:val="24"/>
          <w:szCs w:val="24"/>
        </w:rPr>
        <w:t xml:space="preserve">nieniu zmian wprowadzanych </w:t>
      </w:r>
      <w:r w:rsidRPr="008D7149">
        <w:rPr>
          <w:rFonts w:ascii="Times New Roman" w:hAnsi="Times New Roman" w:cs="Times New Roman"/>
          <w:sz w:val="24"/>
          <w:szCs w:val="24"/>
        </w:rPr>
        <w:t>w art. 17 w ust. 1.</w:t>
      </w:r>
    </w:p>
    <w:p w14:paraId="222D5F35" w14:textId="3C511724" w:rsidR="00025E36" w:rsidRPr="008D7149" w:rsidRDefault="00605872"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 w</w:t>
      </w:r>
      <w:r w:rsidRPr="008D7149">
        <w:rPr>
          <w:rFonts w:ascii="Times New Roman" w:hAnsi="Times New Roman" w:cs="Times New Roman"/>
          <w:b/>
          <w:sz w:val="24"/>
          <w:szCs w:val="24"/>
        </w:rPr>
        <w:t xml:space="preserve"> art. 17 w ust. 1 pkt 50e </w:t>
      </w:r>
      <w:r w:rsidRPr="008D7149">
        <w:rPr>
          <w:rFonts w:ascii="Times New Roman" w:hAnsi="Times New Roman" w:cs="Times New Roman"/>
          <w:sz w:val="24"/>
          <w:szCs w:val="24"/>
        </w:rPr>
        <w:t xml:space="preserve">ustawy z dnia 15 lutego 1992 r. o podatku dochodowym od osób prawnych stanowi analogiczne rozwiązanie w zakresie zwolnień podatkowych jak w przypadku ww. propozycji dodania w ust. 1 pkt 130d ustawy z dnia 26 lipca 1991 r. o podatku dochodowym od osób fizycznych. Na tej podstawie zwolnione zostałyby od podatku odsetki lub dyskonto od obligacji emitowanych przez </w:t>
      </w:r>
      <w:r w:rsidR="00A05B34" w:rsidRPr="008D7149">
        <w:rPr>
          <w:rFonts w:ascii="Times New Roman" w:hAnsi="Times New Roman" w:cs="Times New Roman"/>
          <w:sz w:val="24"/>
          <w:szCs w:val="24"/>
        </w:rPr>
        <w:t xml:space="preserve">BFG </w:t>
      </w:r>
      <w:r w:rsidRPr="008D7149">
        <w:rPr>
          <w:rFonts w:ascii="Times New Roman" w:hAnsi="Times New Roman" w:cs="Times New Roman"/>
          <w:sz w:val="24"/>
          <w:szCs w:val="24"/>
        </w:rPr>
        <w:t>i oferowanych na rynkach zagranicznych oraz dochody z odpłatnego zbycia tych obligacji, uzyskane przez wskazanych podatników, tj. niemających na terytorium Rzeczypospolitej Polskiej siedziby lub zarządu.</w:t>
      </w:r>
    </w:p>
    <w:p w14:paraId="2A27C950" w14:textId="5DCD0901" w:rsidR="00605872" w:rsidRPr="008E1F1D" w:rsidRDefault="00025E36"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Dodawan</w:t>
      </w:r>
      <w:r w:rsidR="00AF2325" w:rsidRPr="008D7149">
        <w:rPr>
          <w:rFonts w:ascii="Times New Roman" w:hAnsi="Times New Roman" w:cs="Times New Roman"/>
          <w:sz w:val="24"/>
          <w:szCs w:val="24"/>
        </w:rPr>
        <w:t>e</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pkt 5</w:t>
      </w:r>
      <w:r w:rsidR="005148E2" w:rsidRPr="008D7149">
        <w:rPr>
          <w:rFonts w:ascii="Times New Roman" w:hAnsi="Times New Roman" w:cs="Times New Roman"/>
          <w:b/>
          <w:sz w:val="24"/>
          <w:szCs w:val="24"/>
        </w:rPr>
        <w:t>6</w:t>
      </w:r>
      <w:r w:rsidRPr="008D7149">
        <w:rPr>
          <w:rFonts w:ascii="Times New Roman" w:hAnsi="Times New Roman" w:cs="Times New Roman"/>
          <w:b/>
          <w:sz w:val="24"/>
          <w:szCs w:val="24"/>
        </w:rPr>
        <w:t>c-5</w:t>
      </w:r>
      <w:r w:rsidR="005148E2" w:rsidRPr="008D7149">
        <w:rPr>
          <w:rFonts w:ascii="Times New Roman" w:hAnsi="Times New Roman" w:cs="Times New Roman"/>
          <w:b/>
          <w:sz w:val="24"/>
          <w:szCs w:val="24"/>
        </w:rPr>
        <w:t>6</w:t>
      </w:r>
      <w:r w:rsidRPr="008D7149">
        <w:rPr>
          <w:rFonts w:ascii="Times New Roman" w:hAnsi="Times New Roman" w:cs="Times New Roman"/>
          <w:b/>
          <w:sz w:val="24"/>
          <w:szCs w:val="24"/>
        </w:rPr>
        <w:t>f w art. 17 ust. 1</w:t>
      </w:r>
      <w:r w:rsidRPr="008D7149">
        <w:rPr>
          <w:rFonts w:ascii="Times New Roman" w:hAnsi="Times New Roman" w:cs="Times New Roman"/>
          <w:sz w:val="24"/>
          <w:szCs w:val="24"/>
        </w:rPr>
        <w:t xml:space="preserve"> ustawy </w:t>
      </w:r>
      <w:r w:rsidR="00C4595D" w:rsidRPr="008D7149">
        <w:rPr>
          <w:rFonts w:ascii="Times New Roman" w:hAnsi="Times New Roman" w:cs="Times New Roman"/>
          <w:sz w:val="24"/>
          <w:szCs w:val="24"/>
        </w:rPr>
        <w:t xml:space="preserve">z dnia 15 lutego 1992 r. </w:t>
      </w:r>
      <w:r w:rsidRPr="008D7149">
        <w:rPr>
          <w:rFonts w:ascii="Times New Roman" w:hAnsi="Times New Roman" w:cs="Times New Roman"/>
          <w:sz w:val="24"/>
          <w:szCs w:val="24"/>
        </w:rPr>
        <w:t xml:space="preserve">o podatku dochodowym od osób prawnych mają na celu zwolnienie przedmiotowe z podatku dochodowego, środków wpłaconych przez uczestników systemu ochrony. Zwolnienie to pozwoli na uniknięcie obciążenia podatkiem od osób prawnych systemu ochrony, w związku z gromadzeniem środków na funduszu pomocowym, pochodzących z wpłat uczestników. Wyłączenie obejmuje jedynie wpłaty w części przeznaczonej na finansowanie zadań systemu ochrony, w zakresie pomocy finansowej dla uczestników systemu ochrony mającej na celu poprawę ich wypłacalności i zapobieżenie upadłości oraz udzielanie przez system ochrony wsparcia, o którym mowa w </w:t>
      </w:r>
      <w:r w:rsidR="00AF2325"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art. 130b ust. 2</w:t>
      </w:r>
      <w:r w:rsidR="00725C1F" w:rsidRPr="008D7149">
        <w:rPr>
          <w:rFonts w:ascii="Times New Roman" w:hAnsi="Times New Roman" w:cs="Times New Roman"/>
          <w:sz w:val="24"/>
          <w:szCs w:val="24"/>
        </w:rPr>
        <w:t xml:space="preserve"> ustawy </w:t>
      </w:r>
      <w:r w:rsidR="000A307E" w:rsidRPr="008D7149">
        <w:rPr>
          <w:rFonts w:ascii="Times New Roman" w:hAnsi="Times New Roman" w:cs="Times New Roman"/>
          <w:sz w:val="24"/>
          <w:szCs w:val="24"/>
        </w:rPr>
        <w:t xml:space="preserve">z dnia 29 sierpnia 1997 r. </w:t>
      </w:r>
      <w:r w:rsidR="00725C1F" w:rsidRPr="008D7149">
        <w:rPr>
          <w:rFonts w:ascii="Times New Roman" w:hAnsi="Times New Roman" w:cs="Times New Roman"/>
          <w:sz w:val="24"/>
          <w:szCs w:val="24"/>
        </w:rPr>
        <w:t>– Prawo bankowe</w:t>
      </w:r>
      <w:r w:rsidRPr="008D7149">
        <w:rPr>
          <w:rFonts w:ascii="Times New Roman" w:hAnsi="Times New Roman" w:cs="Times New Roman"/>
          <w:sz w:val="24"/>
          <w:szCs w:val="24"/>
        </w:rPr>
        <w:t xml:space="preserve">. W konsekwencji tego z wyłączenia korzystają także pożyczki ze środków funduszu pomocowego oraz środki przekazane z tego funduszu np. w formie dotacji, która może być udzielona na realizację celów, o których mowa w </w:t>
      </w:r>
      <w:r w:rsidR="00AF2325"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art. 130b ust. 1</w:t>
      </w:r>
      <w:r w:rsidR="00C4595D" w:rsidRPr="008D7149">
        <w:rPr>
          <w:rFonts w:ascii="Times New Roman" w:hAnsi="Times New Roman" w:cs="Times New Roman"/>
          <w:sz w:val="24"/>
          <w:szCs w:val="24"/>
        </w:rPr>
        <w:t>,</w:t>
      </w:r>
      <w:r w:rsidRPr="008D7149">
        <w:rPr>
          <w:rFonts w:ascii="Times New Roman" w:hAnsi="Times New Roman" w:cs="Times New Roman"/>
          <w:sz w:val="24"/>
          <w:szCs w:val="24"/>
        </w:rPr>
        <w:t xml:space="preserve"> i wsparcia, o którym mowa w </w:t>
      </w:r>
      <w:r w:rsidR="00AF2325"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 xml:space="preserve">art. 130b ust. 2 </w:t>
      </w:r>
      <w:r w:rsidR="00725C1F" w:rsidRPr="008D7149">
        <w:rPr>
          <w:rFonts w:ascii="Times New Roman" w:hAnsi="Times New Roman" w:cs="Times New Roman"/>
          <w:sz w:val="24"/>
          <w:szCs w:val="24"/>
        </w:rPr>
        <w:t>ustawy</w:t>
      </w:r>
      <w:r w:rsidRPr="008D7149">
        <w:rPr>
          <w:rFonts w:ascii="Times New Roman" w:hAnsi="Times New Roman" w:cs="Times New Roman"/>
          <w:sz w:val="24"/>
          <w:szCs w:val="24"/>
        </w:rPr>
        <w:t xml:space="preserve"> </w:t>
      </w:r>
      <w:r w:rsidR="000A307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w:t>
      </w:r>
      <w:r w:rsidR="00725C1F" w:rsidRPr="008D7149">
        <w:rPr>
          <w:rFonts w:ascii="Times New Roman" w:hAnsi="Times New Roman" w:cs="Times New Roman"/>
          <w:sz w:val="24"/>
          <w:szCs w:val="24"/>
        </w:rPr>
        <w:t xml:space="preserve"> P</w:t>
      </w:r>
      <w:r w:rsidRPr="008D7149">
        <w:rPr>
          <w:rFonts w:ascii="Times New Roman" w:hAnsi="Times New Roman" w:cs="Times New Roman"/>
          <w:sz w:val="24"/>
          <w:szCs w:val="24"/>
        </w:rPr>
        <w:t>rawo bankowe</w:t>
      </w:r>
      <w:r w:rsidR="002E0C9E">
        <w:rPr>
          <w:rFonts w:ascii="Times New Roman" w:hAnsi="Times New Roman" w:cs="Times New Roman"/>
          <w:sz w:val="24"/>
          <w:szCs w:val="24"/>
        </w:rPr>
        <w:t>,</w:t>
      </w:r>
      <w:r w:rsidR="00725C1F" w:rsidRPr="008D7149">
        <w:rPr>
          <w:rFonts w:ascii="Times New Roman" w:hAnsi="Times New Roman" w:cs="Times New Roman"/>
          <w:sz w:val="24"/>
          <w:szCs w:val="24"/>
        </w:rPr>
        <w:t xml:space="preserve"> np. </w:t>
      </w:r>
      <w:r w:rsidRPr="008D7149">
        <w:rPr>
          <w:rFonts w:ascii="Times New Roman" w:hAnsi="Times New Roman" w:cs="Times New Roman"/>
          <w:sz w:val="24"/>
          <w:szCs w:val="24"/>
        </w:rPr>
        <w:t>w transakcji przejęcia</w:t>
      </w:r>
      <w:r w:rsidR="002E0C9E">
        <w:rPr>
          <w:rFonts w:ascii="Times New Roman" w:hAnsi="Times New Roman" w:cs="Times New Roman"/>
          <w:sz w:val="24"/>
          <w:szCs w:val="24"/>
        </w:rPr>
        <w:t>,</w:t>
      </w:r>
      <w:r w:rsidR="00725C1F" w:rsidRPr="008D7149">
        <w:rPr>
          <w:rFonts w:ascii="Times New Roman" w:hAnsi="Times New Roman" w:cs="Times New Roman"/>
          <w:sz w:val="24"/>
          <w:szCs w:val="24"/>
        </w:rPr>
        <w:t xml:space="preserve"> tj. zwolnienie dla środków przekazanych z funduszu </w:t>
      </w:r>
      <w:r w:rsidR="00725C1F" w:rsidRPr="008D7149">
        <w:rPr>
          <w:rFonts w:ascii="Times New Roman" w:hAnsi="Times New Roman" w:cs="Times New Roman"/>
          <w:sz w:val="24"/>
          <w:szCs w:val="24"/>
        </w:rPr>
        <w:lastRenderedPageBreak/>
        <w:t>pomocowego na rzecz banku przejm</w:t>
      </w:r>
      <w:r w:rsidR="003C3983" w:rsidRPr="008D7149">
        <w:rPr>
          <w:rFonts w:ascii="Times New Roman" w:hAnsi="Times New Roman" w:cs="Times New Roman"/>
          <w:sz w:val="24"/>
          <w:szCs w:val="24"/>
        </w:rPr>
        <w:t>owanego, czyli np. sytuacja</w:t>
      </w:r>
      <w:r w:rsidR="0027300E" w:rsidRPr="008D7149">
        <w:rPr>
          <w:rFonts w:ascii="Times New Roman" w:hAnsi="Times New Roman" w:cs="Times New Roman"/>
          <w:sz w:val="24"/>
          <w:szCs w:val="24"/>
        </w:rPr>
        <w:t>,</w:t>
      </w:r>
      <w:r w:rsidR="003C3983" w:rsidRPr="008D7149">
        <w:rPr>
          <w:rFonts w:ascii="Times New Roman" w:hAnsi="Times New Roman" w:cs="Times New Roman"/>
          <w:sz w:val="24"/>
          <w:szCs w:val="24"/>
        </w:rPr>
        <w:t xml:space="preserve"> o której mowa w projektowanym art. 130b ust. 2 pkt 2 ustawy </w:t>
      </w:r>
      <w:r w:rsidR="000A307E" w:rsidRPr="008D7149">
        <w:rPr>
          <w:rFonts w:ascii="Times New Roman" w:hAnsi="Times New Roman" w:cs="Times New Roman"/>
          <w:sz w:val="24"/>
          <w:szCs w:val="24"/>
        </w:rPr>
        <w:t xml:space="preserve">z dnia 29 sierpnia 1997 r. </w:t>
      </w:r>
      <w:r w:rsidR="003C3983" w:rsidRPr="008D7149">
        <w:rPr>
          <w:rFonts w:ascii="Times New Roman" w:hAnsi="Times New Roman" w:cs="Times New Roman"/>
          <w:sz w:val="24"/>
          <w:szCs w:val="24"/>
        </w:rPr>
        <w:t xml:space="preserve">– Prawo bankowe w związku z art. 174 ust. 1 pkt 3 ustawy o BFG </w:t>
      </w:r>
      <w:r w:rsidR="008E1F1D">
        <w:rPr>
          <w:rFonts w:ascii="Times New Roman" w:hAnsi="Times New Roman" w:cs="Times New Roman"/>
          <w:sz w:val="24"/>
          <w:szCs w:val="24"/>
        </w:rPr>
        <w:t>–</w:t>
      </w:r>
      <w:r w:rsidR="00C4595D" w:rsidRPr="008D7149">
        <w:rPr>
          <w:rFonts w:ascii="Times New Roman" w:hAnsi="Times New Roman" w:cs="Times New Roman"/>
          <w:sz w:val="24"/>
          <w:szCs w:val="24"/>
        </w:rPr>
        <w:t xml:space="preserve"> </w:t>
      </w:r>
      <w:r w:rsidR="003C3983" w:rsidRPr="008D7149">
        <w:rPr>
          <w:rFonts w:ascii="Times New Roman" w:hAnsi="Times New Roman" w:cs="Times New Roman"/>
          <w:sz w:val="24"/>
          <w:szCs w:val="24"/>
        </w:rPr>
        <w:t>tzw. przejęcie udziałowe banku (przejmowanego) przez inny podmiot (bank, fundusz inwestycyjny etc.).</w:t>
      </w:r>
    </w:p>
    <w:p w14:paraId="5362C280" w14:textId="5E84E87E" w:rsidR="000C0E75" w:rsidRPr="00D3730A" w:rsidRDefault="00363B51" w:rsidP="00344D4C">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DE5AF2" w:rsidRPr="008D7149">
        <w:rPr>
          <w:rFonts w:ascii="Times New Roman" w:hAnsi="Times New Roman" w:cs="Times New Roman"/>
          <w:b/>
          <w:sz w:val="24"/>
          <w:szCs w:val="24"/>
        </w:rPr>
        <w:t xml:space="preserve">Art. </w:t>
      </w:r>
      <w:r w:rsidR="00605872" w:rsidRPr="008D7149">
        <w:rPr>
          <w:rFonts w:ascii="Times New Roman" w:hAnsi="Times New Roman" w:cs="Times New Roman"/>
          <w:b/>
          <w:sz w:val="24"/>
          <w:szCs w:val="24"/>
        </w:rPr>
        <w:t>5</w:t>
      </w:r>
      <w:r w:rsidR="00DE5AF2" w:rsidRPr="008D7149">
        <w:rPr>
          <w:rFonts w:ascii="Times New Roman" w:hAnsi="Times New Roman" w:cs="Times New Roman"/>
          <w:b/>
          <w:sz w:val="24"/>
          <w:szCs w:val="24"/>
        </w:rPr>
        <w:t xml:space="preserve"> projektu</w:t>
      </w:r>
      <w:r w:rsidR="00DE5AF2" w:rsidRPr="008D7149">
        <w:rPr>
          <w:rFonts w:ascii="Times New Roman" w:hAnsi="Times New Roman" w:cs="Times New Roman"/>
          <w:sz w:val="24"/>
          <w:szCs w:val="24"/>
        </w:rPr>
        <w:t xml:space="preserve"> wprowadza zmiany do ustawy </w:t>
      </w:r>
      <w:r w:rsidR="00DE5AF2" w:rsidRPr="00D3730A">
        <w:rPr>
          <w:rFonts w:ascii="Times New Roman" w:hAnsi="Times New Roman" w:cs="Times New Roman"/>
          <w:sz w:val="24"/>
          <w:szCs w:val="24"/>
        </w:rPr>
        <w:t>z dnia 29 sierpnia 1997 r. – Prawo ban</w:t>
      </w:r>
      <w:r w:rsidR="00A23441" w:rsidRPr="00D3730A">
        <w:rPr>
          <w:rFonts w:ascii="Times New Roman" w:hAnsi="Times New Roman" w:cs="Times New Roman"/>
          <w:sz w:val="24"/>
          <w:szCs w:val="24"/>
        </w:rPr>
        <w:t>kowe</w:t>
      </w:r>
      <w:r w:rsidR="000A307E" w:rsidRPr="00D3730A">
        <w:rPr>
          <w:rFonts w:ascii="Times New Roman" w:hAnsi="Times New Roman" w:cs="Times New Roman"/>
          <w:sz w:val="24"/>
          <w:szCs w:val="24"/>
        </w:rPr>
        <w:t>.</w:t>
      </w:r>
    </w:p>
    <w:p w14:paraId="57E7874F" w14:textId="1B4EB7F8" w:rsidR="000C0E75" w:rsidRPr="008D7149" w:rsidRDefault="000C0E75"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Projektowany</w:t>
      </w:r>
      <w:r w:rsidRPr="008D7149">
        <w:rPr>
          <w:rFonts w:ascii="Times New Roman" w:hAnsi="Times New Roman" w:cs="Times New Roman"/>
          <w:b/>
          <w:sz w:val="24"/>
          <w:szCs w:val="24"/>
        </w:rPr>
        <w:t xml:space="preserve"> art. 1 pkt 1a ustawy – Prawo bankowe </w:t>
      </w:r>
      <w:r w:rsidRPr="008D7149">
        <w:rPr>
          <w:rFonts w:ascii="Times New Roman" w:hAnsi="Times New Roman" w:cs="Times New Roman"/>
          <w:sz w:val="24"/>
          <w:szCs w:val="24"/>
        </w:rPr>
        <w:t>rozszerza zakres regulacji będącej przedmiotem ustawy – Prawo bankowe o zasady tworzenia i funkcjonowania systemu ochrony. Proponowana zmiana ma na celu umożliwienie bankom komercyjnym tworzenie instytucjonalnych systemów ochrony, jak zostało to rozwiązane w odniesieniu do banków spółdzielczych w ustawie z dnia 7 grudnia 2000 r. o funkcjonowaniu banków spółdzielczych, ich zrzeszaniu się i bankach zrzeszających (Dz. U. z 2021 r. poz. 102, z późn. zm.), zwanej dalej „ustawą o bankach spółdzielczych”, gdzie jednak zakres przepisów tej ustawy ma ograniczone zastosowanie wyłącznie dla banków w formie spółdzielni, tym samym nie można ich zastosować do banków w formie spółki akcyjnej. Odpowiednie stosowanie tych regulacji nie jest również właściwym rozwiązaniem z uwagi na znaczące różnice w funkcjonowaniu banku spółdzielczego a banku notowanego na giełdzie banku komercyjnego, ich struktur kapitałowych, udziałowych, reżimu prawnego czy większych obowiązków regulacyjnych, które spoczywają na banku komercyjnym</w:t>
      </w:r>
      <w:r w:rsidR="00652808">
        <w:rPr>
          <w:rFonts w:ascii="Times New Roman" w:hAnsi="Times New Roman" w:cs="Times New Roman"/>
          <w:sz w:val="24"/>
          <w:szCs w:val="24"/>
        </w:rPr>
        <w:t>,</w:t>
      </w:r>
      <w:r w:rsidRPr="008D7149">
        <w:rPr>
          <w:rFonts w:ascii="Times New Roman" w:hAnsi="Times New Roman" w:cs="Times New Roman"/>
          <w:sz w:val="24"/>
          <w:szCs w:val="24"/>
        </w:rPr>
        <w:t xml:space="preserve"> m.in. z uwagi na uczestnictwo w obrocie na rynku regulowanym. Zaproponowane regulacje dostosowują przepisy funkcjonujące dla banków spółdzielczych do sytuacji prawnej banku komercyjnego, uwzględniając także większą skale działalności tych podmiotów, powiązania transgraniczne czy zaawansowanie organizacyjne (rozbudowane komórki zarządzania ryzykiem, </w:t>
      </w:r>
      <w:proofErr w:type="spellStart"/>
      <w:r w:rsidRPr="008D7149">
        <w:rPr>
          <w:rFonts w:ascii="Times New Roman" w:hAnsi="Times New Roman" w:cs="Times New Roman"/>
          <w:i/>
          <w:sz w:val="24"/>
          <w:szCs w:val="24"/>
        </w:rPr>
        <w:t>compliance</w:t>
      </w:r>
      <w:proofErr w:type="spellEnd"/>
      <w:r w:rsidR="00F639BC">
        <w:rPr>
          <w:rFonts w:ascii="Times New Roman" w:hAnsi="Times New Roman" w:cs="Times New Roman"/>
          <w:sz w:val="24"/>
          <w:szCs w:val="24"/>
        </w:rPr>
        <w:t xml:space="preserve"> etc.).</w:t>
      </w:r>
    </w:p>
    <w:p w14:paraId="683ECA5F" w14:textId="0D79F2BB" w:rsidR="000C0E75" w:rsidRPr="008D7149" w:rsidRDefault="000C0E75"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 xml:space="preserve">art. 4 </w:t>
      </w:r>
      <w:r w:rsidR="007F0C0C" w:rsidRPr="008D7149">
        <w:rPr>
          <w:rFonts w:ascii="Times New Roman" w:hAnsi="Times New Roman" w:cs="Times New Roman"/>
          <w:b/>
          <w:sz w:val="24"/>
          <w:szCs w:val="24"/>
        </w:rPr>
        <w:t xml:space="preserve">ust. 1 </w:t>
      </w:r>
      <w:r w:rsidRPr="008D7149">
        <w:rPr>
          <w:rFonts w:ascii="Times New Roman" w:hAnsi="Times New Roman" w:cs="Times New Roman"/>
          <w:b/>
          <w:sz w:val="24"/>
          <w:szCs w:val="24"/>
        </w:rPr>
        <w:t xml:space="preserve">pkt 9a ustawy – Prawo bankowe </w:t>
      </w:r>
      <w:r w:rsidRPr="008D7149">
        <w:rPr>
          <w:rFonts w:ascii="Times New Roman" w:hAnsi="Times New Roman" w:cs="Times New Roman"/>
          <w:sz w:val="24"/>
          <w:szCs w:val="24"/>
        </w:rPr>
        <w:t>wprowadza definicję systemu ochrony, zgodnie z którą systemem ochrony jest instytucjonalny system ochrony</w:t>
      </w:r>
      <w:r w:rsidR="003C3983" w:rsidRPr="008D7149">
        <w:rPr>
          <w:rFonts w:ascii="Times New Roman" w:hAnsi="Times New Roman" w:cs="Times New Roman"/>
          <w:sz w:val="24"/>
          <w:szCs w:val="24"/>
        </w:rPr>
        <w:t>, którego uczestnikami są</w:t>
      </w:r>
      <w:r w:rsidRPr="008D7149">
        <w:rPr>
          <w:rFonts w:ascii="Times New Roman" w:hAnsi="Times New Roman" w:cs="Times New Roman"/>
          <w:sz w:val="24"/>
          <w:szCs w:val="24"/>
        </w:rPr>
        <w:t xml:space="preserve"> </w:t>
      </w:r>
      <w:r w:rsidR="007664D3" w:rsidRPr="008D7149">
        <w:rPr>
          <w:rFonts w:ascii="Times New Roman" w:hAnsi="Times New Roman" w:cs="Times New Roman"/>
          <w:sz w:val="24"/>
          <w:szCs w:val="24"/>
        </w:rPr>
        <w:t>bank</w:t>
      </w:r>
      <w:r w:rsidR="003C3983" w:rsidRPr="008D7149">
        <w:rPr>
          <w:rFonts w:ascii="Times New Roman" w:hAnsi="Times New Roman" w:cs="Times New Roman"/>
          <w:sz w:val="24"/>
          <w:szCs w:val="24"/>
        </w:rPr>
        <w:t>i</w:t>
      </w:r>
      <w:r w:rsidR="007664D3" w:rsidRPr="008D7149">
        <w:rPr>
          <w:rFonts w:ascii="Times New Roman" w:hAnsi="Times New Roman" w:cs="Times New Roman"/>
          <w:sz w:val="24"/>
          <w:szCs w:val="24"/>
        </w:rPr>
        <w:t xml:space="preserve"> działając</w:t>
      </w:r>
      <w:r w:rsidR="003C3983" w:rsidRPr="008D7149">
        <w:rPr>
          <w:rFonts w:ascii="Times New Roman" w:hAnsi="Times New Roman" w:cs="Times New Roman"/>
          <w:sz w:val="24"/>
          <w:szCs w:val="24"/>
        </w:rPr>
        <w:t>e</w:t>
      </w:r>
      <w:r w:rsidR="007664D3" w:rsidRPr="008D7149">
        <w:rPr>
          <w:rFonts w:ascii="Times New Roman" w:hAnsi="Times New Roman" w:cs="Times New Roman"/>
          <w:sz w:val="24"/>
          <w:szCs w:val="24"/>
        </w:rPr>
        <w:t xml:space="preserve"> w formie spółki akcyjnej</w:t>
      </w:r>
      <w:r w:rsidR="007F0C0C" w:rsidRPr="008D7149">
        <w:rPr>
          <w:rFonts w:ascii="Times New Roman" w:hAnsi="Times New Roman" w:cs="Times New Roman"/>
          <w:sz w:val="24"/>
          <w:szCs w:val="24"/>
        </w:rPr>
        <w:t>,</w:t>
      </w:r>
      <w:r w:rsidR="007664D3"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uznany przez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Jest to konstrukcja definicji tożsama z definicją funkcjonującą w ustawie o bankach spółdzielczych (art. 2 pkt 6 tej ustawy). Warunki, jakie musi spełniać taki system, określone są w art. </w:t>
      </w:r>
      <w:r w:rsidRPr="008D7149">
        <w:rPr>
          <w:rFonts w:ascii="Times New Roman" w:hAnsi="Times New Roman" w:cs="Times New Roman"/>
          <w:color w:val="000000"/>
          <w:sz w:val="24"/>
          <w:szCs w:val="24"/>
        </w:rPr>
        <w:t xml:space="preserve">113 ust. 7 rozporządzenia nr 575/2013 i wiążą się m.in. z koniecznością wzajemnego gwarantowania zobowiązań przez członków systemu, powołaniem funduszu pomocowego, zorganizowaniem mechanizmów monitorowania ryzyka w całym systemie oraz zatwierdzeniem systemu przez </w:t>
      </w:r>
      <w:r w:rsidR="00E12859" w:rsidRPr="008D7149">
        <w:rPr>
          <w:rFonts w:ascii="Times New Roman" w:hAnsi="Times New Roman" w:cs="Times New Roman"/>
          <w:sz w:val="24"/>
          <w:szCs w:val="24"/>
        </w:rPr>
        <w:t>KNF</w:t>
      </w:r>
      <w:r w:rsidRPr="008D7149">
        <w:rPr>
          <w:rFonts w:ascii="Times New Roman" w:hAnsi="Times New Roman" w:cs="Times New Roman"/>
          <w:color w:val="000000"/>
          <w:sz w:val="24"/>
          <w:szCs w:val="24"/>
        </w:rPr>
        <w:t>.</w:t>
      </w:r>
    </w:p>
    <w:p w14:paraId="4BE69533" w14:textId="223C451B" w:rsidR="00E5609F" w:rsidRPr="008D7149" w:rsidRDefault="00E5609F"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Zmiana polegająca na dodaniu do </w:t>
      </w:r>
      <w:r w:rsidRPr="008D7149">
        <w:rPr>
          <w:rFonts w:ascii="Times New Roman" w:hAnsi="Times New Roman" w:cs="Times New Roman"/>
          <w:b/>
          <w:sz w:val="24"/>
          <w:szCs w:val="24"/>
        </w:rPr>
        <w:t>art. 36</w:t>
      </w:r>
      <w:r w:rsidRPr="008D7149">
        <w:rPr>
          <w:rFonts w:ascii="Times New Roman" w:hAnsi="Times New Roman" w:cs="Times New Roman"/>
          <w:sz w:val="24"/>
          <w:szCs w:val="24"/>
        </w:rPr>
        <w:t xml:space="preserve"> ww. ustawy ust. 2b zmierza do wprowadzenia zasady, zgodnie z którą do wniosku o wydanie zezwolenia na rozpoczęcie działalności przez bank hipoteczny załącza się m.in. regulacje wewnętrzne dotyczące działalności banku hipotecznego i emisji listów zastawnych.</w:t>
      </w:r>
    </w:p>
    <w:p w14:paraId="67F69493" w14:textId="52BCAB89" w:rsidR="00E5609F" w:rsidRPr="008D7149" w:rsidRDefault="00E5609F"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Powyższa zmiana odzwierciedla przyjęte rozwiązania w projektowanym art. 12a ust. 2 Ustawy, zgodnie z którymi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w toku postępowania o wydanie zezwolenia na utworzenie banku hipotecznego, o którym mowa w art. 34 ust. 1 ustawy z dnia 29 sierpnia 1997 r. – Prawo bankowe, oraz postępowania o wydanie zezwolenia na rozpoczęcie działalności przez bank hipoteczny, o którym mowa w art. 36 ust. 1 ustawy z dnia 29 sierpnia 1997 r. – Prawo bankowe, dokonuje oceny przygotowania banku hipotecznego do emitowania listów zastawnych w ramach programu emisji listów zastawnych. Wymaga podkreślenia, że poszczególne elementy programu emisji listów zastawnych, o których mowa w projektowanym art. 12a ust. 3 Ustawy, podlegają weryfikacji w postępowaniu licencyjnym, które wiąże się z koniecznością uzyskania przez bank hipoteczny kolejno dwóch odrębnych zezwoleń wydawanych przez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na utworzenie banku, a następnie na podjęcie działalności przez już utworzony bank.</w:t>
      </w:r>
    </w:p>
    <w:p w14:paraId="3FA6836C" w14:textId="5EDDABD9" w:rsidR="00E5609F" w:rsidRPr="008D7149" w:rsidRDefault="00E5609F"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Dodanie ust. 3b do art. 36 ww. ustawy nakłada na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wymóg informowania Europejskiego Urzędu Nadzoru Giełd i Papierów Wartościowych o wydaniu bankowi hipotecznemu zezwolenia, o którym mowa w art. 36 ust. 1 ustawy z dnia 29 sierpnia 1997 r. – Prawo bankowe.</w:t>
      </w:r>
    </w:p>
    <w:p w14:paraId="6B14F72C" w14:textId="4D0F008D" w:rsidR="000C0E75" w:rsidRPr="008D7149" w:rsidRDefault="000C0E75"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105 ust. 1 pkt 4</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ustawy – Prawo bankowe</w:t>
      </w:r>
      <w:r w:rsidRPr="008D7149">
        <w:rPr>
          <w:rFonts w:ascii="Times New Roman" w:hAnsi="Times New Roman" w:cs="Times New Roman"/>
          <w:sz w:val="24"/>
          <w:szCs w:val="24"/>
        </w:rPr>
        <w:t xml:space="preserve"> rozszerza wyliczenie zawarte w tym przepisie o jednostkę zarządzającą systemem ochrony, o której mowa w </w:t>
      </w:r>
      <w:r w:rsidR="007664D3"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art. 130e ust. 1 ustawy – Prawo bankowe</w:t>
      </w:r>
      <w:r w:rsidR="00652808">
        <w:rPr>
          <w:rFonts w:ascii="Times New Roman" w:hAnsi="Times New Roman" w:cs="Times New Roman"/>
          <w:sz w:val="24"/>
          <w:szCs w:val="24"/>
        </w:rPr>
        <w:t>,</w:t>
      </w:r>
      <w:r w:rsidRPr="008D7149">
        <w:rPr>
          <w:rFonts w:ascii="Times New Roman" w:hAnsi="Times New Roman" w:cs="Times New Roman"/>
          <w:sz w:val="24"/>
          <w:szCs w:val="24"/>
        </w:rPr>
        <w:t xml:space="preserve"> w zakresie informacji niezbędnych do realizacji cel</w:t>
      </w:r>
      <w:r w:rsidR="00E266AD" w:rsidRPr="008D7149">
        <w:rPr>
          <w:rFonts w:ascii="Times New Roman" w:hAnsi="Times New Roman" w:cs="Times New Roman"/>
          <w:sz w:val="24"/>
          <w:szCs w:val="24"/>
        </w:rPr>
        <w:t>ów</w:t>
      </w:r>
      <w:r w:rsidRPr="008D7149">
        <w:rPr>
          <w:rFonts w:ascii="Times New Roman" w:hAnsi="Times New Roman" w:cs="Times New Roman"/>
          <w:sz w:val="24"/>
          <w:szCs w:val="24"/>
        </w:rPr>
        <w:t>, o który</w:t>
      </w:r>
      <w:r w:rsidR="00E266AD" w:rsidRPr="008D7149">
        <w:rPr>
          <w:rFonts w:ascii="Times New Roman" w:hAnsi="Times New Roman" w:cs="Times New Roman"/>
          <w:sz w:val="24"/>
          <w:szCs w:val="24"/>
        </w:rPr>
        <w:t>ch</w:t>
      </w:r>
      <w:r w:rsidRPr="008D7149">
        <w:rPr>
          <w:rFonts w:ascii="Times New Roman" w:hAnsi="Times New Roman" w:cs="Times New Roman"/>
          <w:sz w:val="24"/>
          <w:szCs w:val="24"/>
        </w:rPr>
        <w:t xml:space="preserve"> mowa w </w:t>
      </w:r>
      <w:r w:rsidR="007664D3"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art. 130b ust</w:t>
      </w:r>
      <w:r w:rsidR="007664D3" w:rsidRPr="008D7149">
        <w:rPr>
          <w:rFonts w:ascii="Times New Roman" w:hAnsi="Times New Roman" w:cs="Times New Roman"/>
          <w:sz w:val="24"/>
          <w:szCs w:val="24"/>
        </w:rPr>
        <w:t>.</w:t>
      </w:r>
      <w:r w:rsidRPr="008D7149">
        <w:rPr>
          <w:rFonts w:ascii="Times New Roman" w:hAnsi="Times New Roman" w:cs="Times New Roman"/>
          <w:sz w:val="24"/>
          <w:szCs w:val="24"/>
        </w:rPr>
        <w:t xml:space="preserve"> 1 i 2 ustawy – Prawo bankowe, lub zadań organu zarządzającego określonych w </w:t>
      </w:r>
      <w:r w:rsidR="007664D3"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 xml:space="preserve">art. 130k ust. 1 pkt 3 i </w:t>
      </w:r>
      <w:r w:rsidR="00E266AD" w:rsidRPr="008D7149">
        <w:rPr>
          <w:rFonts w:ascii="Times New Roman" w:hAnsi="Times New Roman" w:cs="Times New Roman"/>
          <w:sz w:val="24"/>
          <w:szCs w:val="24"/>
        </w:rPr>
        <w:t xml:space="preserve">4 oraz ust. 2 </w:t>
      </w:r>
      <w:r w:rsidRPr="008D7149">
        <w:rPr>
          <w:rFonts w:ascii="Times New Roman" w:hAnsi="Times New Roman" w:cs="Times New Roman"/>
          <w:sz w:val="24"/>
          <w:szCs w:val="24"/>
        </w:rPr>
        <w:t xml:space="preserve">ustawy – Prawo bankowe, jeżeli bank jest uczestnikiem tego systemu ochrony. Przepis umożliwi przekazanie tajemnicy bankowej bankowi, który jest uczestnikiem systemu ochrony uregulowanego w </w:t>
      </w:r>
      <w:r w:rsidR="007664D3" w:rsidRPr="008D7149">
        <w:rPr>
          <w:rFonts w:ascii="Times New Roman" w:hAnsi="Times New Roman" w:cs="Times New Roman"/>
          <w:sz w:val="24"/>
          <w:szCs w:val="24"/>
        </w:rPr>
        <w:t xml:space="preserve">projektowanym </w:t>
      </w:r>
      <w:r w:rsidRPr="008D7149">
        <w:rPr>
          <w:rFonts w:ascii="Times New Roman" w:hAnsi="Times New Roman" w:cs="Times New Roman"/>
          <w:sz w:val="24"/>
          <w:szCs w:val="24"/>
        </w:rPr>
        <w:t>rozdziale 10a ustawy – Prawo bankowe</w:t>
      </w:r>
      <w:r w:rsidR="00652808">
        <w:rPr>
          <w:rFonts w:ascii="Times New Roman" w:hAnsi="Times New Roman" w:cs="Times New Roman"/>
          <w:sz w:val="24"/>
          <w:szCs w:val="24"/>
        </w:rPr>
        <w:t>,</w:t>
      </w:r>
      <w:r w:rsidRPr="008D7149">
        <w:rPr>
          <w:rFonts w:ascii="Times New Roman" w:hAnsi="Times New Roman" w:cs="Times New Roman"/>
          <w:sz w:val="24"/>
          <w:szCs w:val="24"/>
        </w:rPr>
        <w:t xml:space="preserve"> na rzecz powołanej na podstawie tych przepisów jednostki zarządzającej systemem ochrony. Zakres informacji przekazywanych przez bank, będący uczestnikiem systemu ochrony, został ograniczony celami funkcjonowania systemu ochrony, a także zakresem sytuacji, w których system ten może udzielić wsparcia (prowadzona przez </w:t>
      </w:r>
      <w:r w:rsidR="00A05B34" w:rsidRPr="008D7149">
        <w:rPr>
          <w:rFonts w:ascii="Times New Roman" w:hAnsi="Times New Roman" w:cs="Times New Roman"/>
          <w:sz w:val="24"/>
          <w:szCs w:val="24"/>
        </w:rPr>
        <w:t xml:space="preserve">BFG </w:t>
      </w:r>
      <w:r w:rsidRPr="008D7149">
        <w:rPr>
          <w:rFonts w:ascii="Times New Roman" w:hAnsi="Times New Roman" w:cs="Times New Roman"/>
          <w:sz w:val="24"/>
          <w:szCs w:val="24"/>
        </w:rPr>
        <w:t>przymusowa restrukturyzacja oraz przejęcie banku, o którym mowa w art. 146b ust 1 ustawy – Prawo bankowe). Rozszerzenie</w:t>
      </w:r>
      <w:r w:rsidR="00652808">
        <w:rPr>
          <w:rFonts w:ascii="Times New Roman" w:hAnsi="Times New Roman" w:cs="Times New Roman"/>
          <w:sz w:val="24"/>
          <w:szCs w:val="24"/>
        </w:rPr>
        <w:t xml:space="preserve"> </w:t>
      </w:r>
      <w:r w:rsidRPr="008D7149">
        <w:rPr>
          <w:rFonts w:ascii="Times New Roman" w:hAnsi="Times New Roman" w:cs="Times New Roman"/>
          <w:sz w:val="24"/>
          <w:szCs w:val="24"/>
        </w:rPr>
        <w:t xml:space="preserve">obowiązku udzielenia informacji stanowiących tajemnicę bankową następuje więc w minimalnym </w:t>
      </w:r>
      <w:r w:rsidRPr="008D7149">
        <w:rPr>
          <w:rFonts w:ascii="Times New Roman" w:hAnsi="Times New Roman" w:cs="Times New Roman"/>
          <w:sz w:val="24"/>
          <w:szCs w:val="24"/>
        </w:rPr>
        <w:lastRenderedPageBreak/>
        <w:t>zakresie, niezbędnym do prawidłowego funkcjonowania systemu ochrony oraz realizowania przez niego swoich zadań.</w:t>
      </w:r>
    </w:p>
    <w:p w14:paraId="7B192EB9" w14:textId="454A0C33" w:rsidR="001E0C2B" w:rsidRPr="008D7149" w:rsidRDefault="001E0C2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poglądami komentatorów Prawa bankowego (zob. np. B. </w:t>
      </w:r>
      <w:proofErr w:type="spellStart"/>
      <w:r w:rsidRPr="008D7149">
        <w:rPr>
          <w:rFonts w:ascii="Times New Roman" w:hAnsi="Times New Roman" w:cs="Times New Roman"/>
          <w:sz w:val="24"/>
          <w:szCs w:val="24"/>
        </w:rPr>
        <w:t>Smykla</w:t>
      </w:r>
      <w:proofErr w:type="spellEnd"/>
      <w:r w:rsidRPr="008D7149">
        <w:rPr>
          <w:rFonts w:ascii="Times New Roman" w:hAnsi="Times New Roman" w:cs="Times New Roman"/>
          <w:sz w:val="24"/>
          <w:szCs w:val="24"/>
        </w:rPr>
        <w:t>, Prawo bankowe. Komentarz, Warszawa 2011, Komentarz do art. 104 i art. 105), w art. 104 określany jest zakres podmiotowy i przedmiotowy tajemnicy bankowej. Przedmiotem regulacji tego przepisu nie jest natomiast kwestia obowiązku przekazywania informacji nieobjętych tajemnicą bankową. Przypadki, w których takie obowiązki są określane</w:t>
      </w:r>
      <w:r w:rsidR="006D6CA9">
        <w:rPr>
          <w:rFonts w:ascii="Times New Roman" w:hAnsi="Times New Roman" w:cs="Times New Roman"/>
          <w:sz w:val="24"/>
          <w:szCs w:val="24"/>
        </w:rPr>
        <w:t>,</w:t>
      </w:r>
      <w:r w:rsidRPr="008D7149">
        <w:rPr>
          <w:rFonts w:ascii="Times New Roman" w:hAnsi="Times New Roman" w:cs="Times New Roman"/>
          <w:sz w:val="24"/>
          <w:szCs w:val="24"/>
        </w:rPr>
        <w:t xml:space="preserve"> stanowią przedmiot regulacji art. 105</w:t>
      </w:r>
      <w:r w:rsidR="00342427" w:rsidRPr="008D7149">
        <w:rPr>
          <w:rFonts w:ascii="Times New Roman" w:hAnsi="Times New Roman" w:cs="Times New Roman"/>
          <w:sz w:val="24"/>
          <w:szCs w:val="24"/>
        </w:rPr>
        <w:t>, stąd zmiana w tej właśnie jednostce.</w:t>
      </w:r>
    </w:p>
    <w:p w14:paraId="32B5B874" w14:textId="77777777" w:rsidR="009078EC" w:rsidRPr="008D7149" w:rsidRDefault="00FD5FA4"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105 ust. 2</w:t>
      </w:r>
      <w:r w:rsidRPr="008D7149">
        <w:rPr>
          <w:rFonts w:ascii="Times New Roman" w:hAnsi="Times New Roman" w:cs="Times New Roman"/>
          <w:sz w:val="24"/>
          <w:szCs w:val="24"/>
        </w:rPr>
        <w:t xml:space="preserve"> ustawy z dnia 29 sierpnia 1997 r. – Prawo bankowe </w:t>
      </w:r>
      <w:r w:rsidR="009078EC" w:rsidRPr="008D7149">
        <w:rPr>
          <w:rFonts w:ascii="Times New Roman" w:hAnsi="Times New Roman" w:cs="Times New Roman"/>
          <w:sz w:val="24"/>
          <w:szCs w:val="24"/>
        </w:rPr>
        <w:t xml:space="preserve">ma charakter dostosowujący i wynika z przeniesienia wskazania aktu promulgacyjnego ustawy z dnia 29 sierpnia 1997 r. o listach zastawnych i bankach hipotecznych do pierwszego miejsca w ww. ustawie, w którym odesłanie do tej ustawy zostanie – w wyniku tej nowelizacji </w:t>
      </w:r>
      <w:r w:rsidR="006E01D6" w:rsidRPr="008D7149">
        <w:rPr>
          <w:rFonts w:ascii="Times New Roman" w:hAnsi="Times New Roman" w:cs="Times New Roman"/>
          <w:sz w:val="24"/>
          <w:szCs w:val="24"/>
        </w:rPr>
        <w:t>–</w:t>
      </w:r>
      <w:r w:rsidR="009078EC" w:rsidRPr="008D7149">
        <w:rPr>
          <w:rFonts w:ascii="Times New Roman" w:hAnsi="Times New Roman" w:cs="Times New Roman"/>
          <w:sz w:val="24"/>
          <w:szCs w:val="24"/>
        </w:rPr>
        <w:t xml:space="preserve"> zawarte po raz pierwszy (art. 36 ust. 2b ustawy z dnia 29 sierpnia 1997 r. – Prawo bankowe).</w:t>
      </w:r>
    </w:p>
    <w:p w14:paraId="48F8E0E8" w14:textId="5E0992D7" w:rsidR="001C6DBD" w:rsidRPr="008D7149" w:rsidRDefault="001C6DBD"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Zmiany w </w:t>
      </w:r>
      <w:r w:rsidRPr="008D7149">
        <w:rPr>
          <w:rFonts w:ascii="Times New Roman" w:hAnsi="Times New Roman" w:cs="Times New Roman"/>
          <w:b/>
          <w:sz w:val="24"/>
          <w:szCs w:val="24"/>
        </w:rPr>
        <w:t>art. 106d i art. 106e</w:t>
      </w:r>
      <w:r w:rsidRPr="008D7149">
        <w:rPr>
          <w:rFonts w:ascii="Times New Roman" w:hAnsi="Times New Roman" w:cs="Times New Roman"/>
          <w:sz w:val="24"/>
          <w:szCs w:val="24"/>
        </w:rPr>
        <w:t xml:space="preserve"> </w:t>
      </w:r>
      <w:r w:rsidR="00E266AD" w:rsidRPr="008D7149">
        <w:rPr>
          <w:rFonts w:ascii="Times New Roman" w:hAnsi="Times New Roman" w:cs="Times New Roman"/>
          <w:sz w:val="24"/>
          <w:szCs w:val="24"/>
        </w:rPr>
        <w:t xml:space="preserve">ustawy z dnia 29 sierpnia 1997 r. – Prawo bankowe </w:t>
      </w:r>
      <w:r w:rsidRPr="008D7149">
        <w:rPr>
          <w:rFonts w:ascii="Times New Roman" w:hAnsi="Times New Roman" w:cs="Times New Roman"/>
          <w:sz w:val="24"/>
          <w:szCs w:val="24"/>
        </w:rPr>
        <w:t>mają charakter wynikowy związany z wprowadzaną możliwością utworzenia systemu ochrony także w sektorze banków komercyjnych, tym samym polegają na dodaniu tego systemu obok systemu ochrony przewidzianego dla banków spółdzielczych w niniejszych przepisach, zrównując ich uprawnienia w</w:t>
      </w:r>
      <w:r w:rsidR="00F639BC">
        <w:rPr>
          <w:rFonts w:ascii="Times New Roman" w:hAnsi="Times New Roman" w:cs="Times New Roman"/>
          <w:sz w:val="24"/>
          <w:szCs w:val="24"/>
        </w:rPr>
        <w:t xml:space="preserve"> zakresie przetwarzania danych.</w:t>
      </w:r>
    </w:p>
    <w:p w14:paraId="30AF55CD" w14:textId="76B353B7"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Dodanie </w:t>
      </w:r>
      <w:r w:rsidRPr="008D7149">
        <w:rPr>
          <w:rFonts w:ascii="Times New Roman" w:hAnsi="Times New Roman" w:cs="Times New Roman"/>
          <w:b/>
          <w:sz w:val="24"/>
          <w:szCs w:val="24"/>
        </w:rPr>
        <w:t>art. 130b-130l</w:t>
      </w:r>
      <w:r w:rsidRPr="008D7149">
        <w:rPr>
          <w:rFonts w:ascii="Times New Roman" w:hAnsi="Times New Roman" w:cs="Times New Roman"/>
          <w:sz w:val="24"/>
          <w:szCs w:val="24"/>
        </w:rPr>
        <w:t xml:space="preserve"> do ustawy </w:t>
      </w:r>
      <w:r w:rsidR="000A307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wynika z pozytywnych doświadczeń z wprowadzonych ustawą z dnia 25 czerwca 2015 r. o zmianie ustawy o funkcjonowaniu banków spółdzielczych, ich zrzeszaniu się i bankach zrzeszających oraz niektórych innych ustaw (Dz. U. poz. 1166), oraz funkcjonujących w sektorze banków spółdzielczych mechanizmów samopomocowych w postaci Systemów Ochrony Instytucjonalnej (z ang. IPS </w:t>
      </w:r>
      <w:r w:rsidR="00344D4C">
        <w:rPr>
          <w:rFonts w:ascii="Times New Roman" w:hAnsi="Times New Roman" w:cs="Times New Roman"/>
          <w:sz w:val="24"/>
          <w:szCs w:val="24"/>
        </w:rPr>
        <w:t>–</w:t>
      </w:r>
      <w:r w:rsidRPr="008D7149">
        <w:rPr>
          <w:rFonts w:ascii="Times New Roman" w:hAnsi="Times New Roman" w:cs="Times New Roman"/>
          <w:sz w:val="24"/>
          <w:szCs w:val="24"/>
        </w:rPr>
        <w:t xml:space="preserve"> </w:t>
      </w:r>
      <w:proofErr w:type="spellStart"/>
      <w:r w:rsidRPr="008D7149">
        <w:rPr>
          <w:rFonts w:ascii="Times New Roman" w:hAnsi="Times New Roman" w:cs="Times New Roman"/>
          <w:i/>
          <w:sz w:val="24"/>
          <w:szCs w:val="24"/>
        </w:rPr>
        <w:t>Institutional</w:t>
      </w:r>
      <w:proofErr w:type="spellEnd"/>
      <w:r w:rsidRPr="008D7149">
        <w:rPr>
          <w:rFonts w:ascii="Times New Roman" w:hAnsi="Times New Roman" w:cs="Times New Roman"/>
          <w:i/>
          <w:sz w:val="24"/>
          <w:szCs w:val="24"/>
        </w:rPr>
        <w:t xml:space="preserve"> </w:t>
      </w:r>
      <w:proofErr w:type="spellStart"/>
      <w:r w:rsidRPr="008D7149">
        <w:rPr>
          <w:rFonts w:ascii="Times New Roman" w:hAnsi="Times New Roman" w:cs="Times New Roman"/>
          <w:i/>
          <w:sz w:val="24"/>
          <w:szCs w:val="24"/>
        </w:rPr>
        <w:t>Protection</w:t>
      </w:r>
      <w:proofErr w:type="spellEnd"/>
      <w:r w:rsidRPr="008D7149">
        <w:rPr>
          <w:rFonts w:ascii="Times New Roman" w:hAnsi="Times New Roman" w:cs="Times New Roman"/>
          <w:i/>
          <w:sz w:val="24"/>
          <w:szCs w:val="24"/>
        </w:rPr>
        <w:t xml:space="preserve"> </w:t>
      </w:r>
      <w:proofErr w:type="spellStart"/>
      <w:r w:rsidRPr="008D7149">
        <w:rPr>
          <w:rFonts w:ascii="Times New Roman" w:hAnsi="Times New Roman" w:cs="Times New Roman"/>
          <w:i/>
          <w:sz w:val="24"/>
          <w:szCs w:val="24"/>
        </w:rPr>
        <w:t>Scheme</w:t>
      </w:r>
      <w:proofErr w:type="spellEnd"/>
      <w:r w:rsidRPr="008D7149">
        <w:rPr>
          <w:rFonts w:ascii="Times New Roman" w:hAnsi="Times New Roman" w:cs="Times New Roman"/>
          <w:sz w:val="24"/>
          <w:szCs w:val="24"/>
        </w:rPr>
        <w:t>), będących nowoczesnym sposobem ochrony płynności finansowej i wypłacalności uczestniczących w tym systemie banków (w tym przypadku banków spółdzielczych). Na bazie tych przepisów w krajowym systemie bankowym powstały i stale funkcjonują dwa systemy IPS, tj.:</w:t>
      </w:r>
    </w:p>
    <w:p w14:paraId="517B60F4" w14:textId="35F45A72" w:rsidR="00A27238" w:rsidRPr="008D7149" w:rsidRDefault="00A27238" w:rsidP="008D7149">
      <w:pPr>
        <w:pStyle w:val="Akapitzlist"/>
        <w:numPr>
          <w:ilvl w:val="0"/>
          <w:numId w:val="6"/>
        </w:numPr>
        <w:autoSpaceDE w:val="0"/>
        <w:autoSpaceDN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Spółdzielczy System Ochrony SGB zarządzany przez Spółdzielnię IPS-SGB oraz</w:t>
      </w:r>
    </w:p>
    <w:p w14:paraId="054360ED" w14:textId="77777777" w:rsidR="00A27238" w:rsidRPr="008D7149" w:rsidRDefault="00A27238" w:rsidP="008D7149">
      <w:pPr>
        <w:pStyle w:val="Akapitzlist"/>
        <w:numPr>
          <w:ilvl w:val="0"/>
          <w:numId w:val="6"/>
        </w:numPr>
        <w:autoSpaceDE w:val="0"/>
        <w:autoSpaceDN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System Ochrony Zrzeszenia BPS zarządzany przez Spółdzielnię SOZ BPS.</w:t>
      </w:r>
    </w:p>
    <w:p w14:paraId="21CE28A4" w14:textId="4BE038C6"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Ponad 6 lat funkcjonowania tych mechanizmów pokazało, jak duży jest ich wkład w stabilność krajowego systemu finansowego, jak również, że mechanizmy samopomocowe w wielu przypadkach okazują się skuteczniejsze względem rozwiazywania problemów poszczególnych </w:t>
      </w:r>
      <w:r w:rsidRPr="008D7149">
        <w:rPr>
          <w:rFonts w:ascii="Times New Roman" w:hAnsi="Times New Roman" w:cs="Times New Roman"/>
          <w:sz w:val="24"/>
          <w:szCs w:val="24"/>
        </w:rPr>
        <w:lastRenderedPageBreak/>
        <w:t>banków niż ewentualna interwencja państwa w postaci działań nadzorczych czy użycia instrumentów restrukturyzacji i uporządkowanej likwidacji.</w:t>
      </w:r>
    </w:p>
    <w:p w14:paraId="7CF9D1AC" w14:textId="73EEDBAB"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Od czasów globalnego kryzysu finansowego z lat 2008–2009 instytucje finansowe, w tym przede wszystkim banki w regionie Europy Środkowo-Wschodniej</w:t>
      </w:r>
      <w:r w:rsidR="00704865">
        <w:rPr>
          <w:rFonts w:ascii="Times New Roman" w:hAnsi="Times New Roman" w:cs="Times New Roman"/>
          <w:sz w:val="24"/>
          <w:szCs w:val="24"/>
        </w:rPr>
        <w:t>,</w:t>
      </w:r>
      <w:r w:rsidRPr="008D7149">
        <w:rPr>
          <w:rFonts w:ascii="Times New Roman" w:hAnsi="Times New Roman" w:cs="Times New Roman"/>
          <w:sz w:val="24"/>
          <w:szCs w:val="24"/>
        </w:rPr>
        <w:t xml:space="preserve"> znacząco poprawiły jakość posiadanych w bilansie aktywów, zgromadziły istotnie większe bufory kapitałowe, a także wzmocniły swoją płynność, dzięki czemu były lepiej przygotowane do ewentualnego szoku zewnętrznego. Jednak pandemia COVID-19 była i nadal pozostaje zupełnie innym czynnikiem ryzyka. Szczególny charakter tego szoku wynika z jego globalnej skali oraz faktu, że jego źródło znajduje się poza systemem finansowy</w:t>
      </w:r>
      <w:r w:rsidR="00F639BC">
        <w:rPr>
          <w:rFonts w:ascii="Times New Roman" w:hAnsi="Times New Roman" w:cs="Times New Roman"/>
          <w:sz w:val="24"/>
          <w:szCs w:val="24"/>
        </w:rPr>
        <w:t>m.</w:t>
      </w:r>
    </w:p>
    <w:p w14:paraId="16EDB93C" w14:textId="2D6E23DC"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Pandemia COVID-19 pokazała, że mimo starań regulatorów, nadzorców</w:t>
      </w:r>
      <w:r w:rsidR="007664D3" w:rsidRPr="008D7149">
        <w:rPr>
          <w:rFonts w:ascii="Times New Roman" w:hAnsi="Times New Roman" w:cs="Times New Roman"/>
          <w:sz w:val="24"/>
          <w:szCs w:val="24"/>
        </w:rPr>
        <w:t>,</w:t>
      </w:r>
      <w:r w:rsidRPr="008D7149">
        <w:rPr>
          <w:rFonts w:ascii="Times New Roman" w:hAnsi="Times New Roman" w:cs="Times New Roman"/>
          <w:sz w:val="24"/>
          <w:szCs w:val="24"/>
        </w:rPr>
        <w:t xml:space="preserve"> a także samych banków i utrzymywanej przez nie dyscypliny kapitałowej, nie da się przewidzieć wszystkich scenariuszy i zagrożeń dla stabilności systemu finansowego, z tego względu istotne jest, </w:t>
      </w:r>
      <w:r w:rsidR="00704865">
        <w:rPr>
          <w:rFonts w:ascii="Times New Roman" w:hAnsi="Times New Roman" w:cs="Times New Roman"/>
          <w:sz w:val="24"/>
          <w:szCs w:val="24"/>
        </w:rPr>
        <w:t>a</w:t>
      </w:r>
      <w:r w:rsidRPr="008D7149">
        <w:rPr>
          <w:rFonts w:ascii="Times New Roman" w:hAnsi="Times New Roman" w:cs="Times New Roman"/>
          <w:sz w:val="24"/>
          <w:szCs w:val="24"/>
        </w:rPr>
        <w:t>by prawodawca zapewnił wszelkie możliwe i skuteczne mechanizmy, które pozwolą przygotować się na przyszłe, jeszcze niezidentyfikowane zagrożenia. Art. 113 rozporządzenia (UE) nr 575/2013 daje bankom możliwość tworzenia ww. mechanizmów samopomocowych, które doskonale sprawdziły się w sektorze spółdzielczym oraz pokazały, że banki umieją</w:t>
      </w:r>
      <w:r w:rsidR="00913150">
        <w:rPr>
          <w:rFonts w:ascii="Times New Roman" w:hAnsi="Times New Roman" w:cs="Times New Roman"/>
          <w:sz w:val="24"/>
          <w:szCs w:val="24"/>
        </w:rPr>
        <w:t>,</w:t>
      </w:r>
      <w:r w:rsidRPr="008D7149">
        <w:rPr>
          <w:rFonts w:ascii="Times New Roman" w:hAnsi="Times New Roman" w:cs="Times New Roman"/>
          <w:sz w:val="24"/>
          <w:szCs w:val="24"/>
        </w:rPr>
        <w:t xml:space="preserve"> a przede wszystkim chcą same sobie pomagać</w:t>
      </w:r>
      <w:r w:rsidR="00913150">
        <w:rPr>
          <w:rFonts w:ascii="Times New Roman" w:hAnsi="Times New Roman" w:cs="Times New Roman"/>
          <w:sz w:val="24"/>
          <w:szCs w:val="24"/>
        </w:rPr>
        <w:t>,</w:t>
      </w:r>
      <w:r w:rsidRPr="008D7149">
        <w:rPr>
          <w:rFonts w:ascii="Times New Roman" w:hAnsi="Times New Roman" w:cs="Times New Roman"/>
          <w:sz w:val="24"/>
          <w:szCs w:val="24"/>
        </w:rPr>
        <w:t xml:space="preserve"> poczuwając się do solidarnej odpowiedzialności za sektor bankowy i jego stabilność, z tego względu zaproponowane regulacje, biorąc za wzór rozwiązania wprowadzone w ustawie z dnia 25 czerwca 2015 r. o zmianie ustawy o funkcjonowaniu banków spółdzielczych, ich zrzeszaniu się i bankach zrzeszających oraz niektórych innych ustaw dla banków spółdzielczych, mają na celu zapewnienie podobnych ram instytucjonalnych dla banków sektora komercyjnego działających w formie spółek akcyjnych.</w:t>
      </w:r>
    </w:p>
    <w:p w14:paraId="38E7EF1D" w14:textId="5D282ACB"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130b</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ustawy – Prawo bankowe</w:t>
      </w:r>
      <w:r w:rsidRPr="008D7149">
        <w:rPr>
          <w:rFonts w:ascii="Times New Roman" w:hAnsi="Times New Roman" w:cs="Times New Roman"/>
          <w:sz w:val="24"/>
          <w:szCs w:val="24"/>
        </w:rPr>
        <w:t xml:space="preserve"> reguluje cele funkcjonowania instytucjonalnego systemu ochrony dla banków działających w formie spółki akcyjnej oraz zakres wsparcia udzielanego przez ten system (przepis jest analogiczny do art. 22a ustawy o bankach spółdzielczych z uwzględnieniem specyfiki banku komercyjnego). Celem funkcjonowania systemu ma być zapewnienie płynności i wypłacalności każdego uczestnika tego sytemu na zasadach określonych w ustawie oraz umowie systemu ochrony (rozwiązanie zgodne z art. 113 ust. 7 rozporządzenia nr 575/2013). Jest to nadrzędny cel każdego systemu ochrony. Pomoc udzielana uczestnikom systemu ochrony, która bezpośrednio przekłada się na realizację celu, będzie mogła w szczególności przybrać formę pożyczek, gwarancji, poręczeń lub innych podobnych form finansowania, będzie udzielania w razie problemów z ich wypłacalnością oraz aby przeciwdziałać zagrożeniom upadłości uczestników.</w:t>
      </w:r>
    </w:p>
    <w:p w14:paraId="34CD0DD8" w14:textId="17A6E522"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Zgodnie z ust. 2 </w:t>
      </w:r>
      <w:r w:rsidR="000A307E" w:rsidRPr="008D7149">
        <w:rPr>
          <w:rFonts w:ascii="Times New Roman" w:hAnsi="Times New Roman" w:cs="Times New Roman"/>
          <w:sz w:val="24"/>
          <w:szCs w:val="24"/>
        </w:rPr>
        <w:t xml:space="preserve">ww. przepisu </w:t>
      </w:r>
      <w:r w:rsidRPr="008D7149">
        <w:rPr>
          <w:rFonts w:ascii="Times New Roman" w:hAnsi="Times New Roman" w:cs="Times New Roman"/>
          <w:sz w:val="24"/>
          <w:szCs w:val="24"/>
        </w:rPr>
        <w:t xml:space="preserve">system ochrony może także wspierać prowadzoną przez BFG przymusową restrukturyzację, o której mowa w ustawie o BFG, jeżeli została wszczęta wobec </w:t>
      </w:r>
      <w:r w:rsidR="005148E2" w:rsidRPr="008D7149">
        <w:rPr>
          <w:rFonts w:ascii="Times New Roman" w:hAnsi="Times New Roman" w:cs="Times New Roman"/>
          <w:sz w:val="24"/>
          <w:szCs w:val="24"/>
        </w:rPr>
        <w:t>banku będącego spółką akcyjną</w:t>
      </w:r>
      <w:r w:rsidRPr="008D7149">
        <w:rPr>
          <w:rFonts w:ascii="Times New Roman" w:hAnsi="Times New Roman" w:cs="Times New Roman"/>
          <w:sz w:val="24"/>
          <w:szCs w:val="24"/>
        </w:rPr>
        <w:t>, oraz wspierać przejęcie banku</w:t>
      </w:r>
      <w:r w:rsidR="00BE1B04" w:rsidRPr="008D7149">
        <w:rPr>
          <w:rFonts w:ascii="Times New Roman" w:hAnsi="Times New Roman" w:cs="Times New Roman"/>
          <w:sz w:val="24"/>
          <w:szCs w:val="24"/>
        </w:rPr>
        <w:t xml:space="preserve"> będącego spółką akcyjną</w:t>
      </w:r>
      <w:r w:rsidRPr="008D7149">
        <w:rPr>
          <w:rFonts w:ascii="Times New Roman" w:hAnsi="Times New Roman" w:cs="Times New Roman"/>
          <w:sz w:val="24"/>
          <w:szCs w:val="24"/>
        </w:rPr>
        <w:t>, o którym mowa w art. 146</w:t>
      </w:r>
      <w:r w:rsidR="00BE1B04" w:rsidRPr="008D7149">
        <w:rPr>
          <w:rFonts w:ascii="Times New Roman" w:hAnsi="Times New Roman" w:cs="Times New Roman"/>
          <w:sz w:val="24"/>
          <w:szCs w:val="24"/>
        </w:rPr>
        <w:t xml:space="preserve">b ust. 1 ustawy </w:t>
      </w:r>
      <w:r w:rsidR="003212A9">
        <w:rPr>
          <w:rFonts w:ascii="Times New Roman" w:hAnsi="Times New Roman" w:cs="Times New Roman"/>
          <w:sz w:val="24"/>
          <w:szCs w:val="24"/>
        </w:rPr>
        <w:t>–</w:t>
      </w:r>
      <w:r w:rsidR="00BE1B04" w:rsidRPr="008D7149">
        <w:rPr>
          <w:rFonts w:ascii="Times New Roman" w:hAnsi="Times New Roman" w:cs="Times New Roman"/>
          <w:sz w:val="24"/>
          <w:szCs w:val="24"/>
        </w:rPr>
        <w:t xml:space="preserve"> Prawo bankowe</w:t>
      </w:r>
      <w:r w:rsidRPr="008D7149">
        <w:rPr>
          <w:rFonts w:ascii="Times New Roman" w:hAnsi="Times New Roman" w:cs="Times New Roman"/>
          <w:sz w:val="24"/>
          <w:szCs w:val="24"/>
        </w:rPr>
        <w:t>. Jest to uzupełnienie względem przepisów dot</w:t>
      </w:r>
      <w:r w:rsidR="003212A9">
        <w:rPr>
          <w:rFonts w:ascii="Times New Roman" w:hAnsi="Times New Roman" w:cs="Times New Roman"/>
          <w:sz w:val="24"/>
          <w:szCs w:val="24"/>
        </w:rPr>
        <w:t>yczących</w:t>
      </w:r>
      <w:r w:rsidRPr="008D7149">
        <w:rPr>
          <w:rFonts w:ascii="Times New Roman" w:hAnsi="Times New Roman" w:cs="Times New Roman"/>
          <w:sz w:val="24"/>
          <w:szCs w:val="24"/>
        </w:rPr>
        <w:t xml:space="preserve"> systemu ochrony dla banków spółdzielczych i wynika z doświadczeń BFG z prowadzenia przymusowych restrukturyzacji w sektorze spółdzielczym oraz zaangażowania w te procesy systemu ochrony (np. przymusową restrukturyzację banku spółdzielczego w Przemkowie wspierał finansowo Spółdzielczy System Ochrony SGB</w:t>
      </w:r>
      <w:r w:rsidRPr="008D7149">
        <w:rPr>
          <w:rStyle w:val="Odwoanieprzypisudolnego"/>
          <w:rFonts w:ascii="Times New Roman" w:hAnsi="Times New Roman" w:cs="Times New Roman"/>
          <w:sz w:val="24"/>
          <w:szCs w:val="24"/>
        </w:rPr>
        <w:footnoteReference w:id="3"/>
      </w:r>
      <w:r w:rsidRPr="008D7149">
        <w:rPr>
          <w:rFonts w:ascii="Times New Roman" w:hAnsi="Times New Roman" w:cs="Times New Roman"/>
          <w:sz w:val="24"/>
          <w:szCs w:val="24"/>
        </w:rPr>
        <w:t>). W tym kontekście wskazać nadto należy, że w wyniku przeprowadzenia przymusowej restrukturyzacji, jak i przejęcia banku, o którym mowa w art. 146b ust. 1 ustawy</w:t>
      </w:r>
      <w:r w:rsidR="000A307E" w:rsidRPr="008D7149">
        <w:rPr>
          <w:rFonts w:ascii="Times New Roman" w:hAnsi="Times New Roman" w:cs="Times New Roman"/>
          <w:sz w:val="24"/>
          <w:szCs w:val="24"/>
        </w:rPr>
        <w:t xml:space="preserve"> z dnia 29 sierpnia 1997 r.</w:t>
      </w:r>
      <w:r w:rsidRPr="008D7149">
        <w:rPr>
          <w:rFonts w:ascii="Times New Roman" w:hAnsi="Times New Roman" w:cs="Times New Roman"/>
          <w:sz w:val="24"/>
          <w:szCs w:val="24"/>
        </w:rPr>
        <w:t xml:space="preserve"> – Prawo bankowe</w:t>
      </w:r>
      <w:r w:rsidR="003212A9">
        <w:rPr>
          <w:rFonts w:ascii="Times New Roman" w:hAnsi="Times New Roman" w:cs="Times New Roman"/>
          <w:sz w:val="24"/>
          <w:szCs w:val="24"/>
        </w:rPr>
        <w:t>,</w:t>
      </w:r>
      <w:r w:rsidRPr="008D7149">
        <w:rPr>
          <w:rFonts w:ascii="Times New Roman" w:hAnsi="Times New Roman" w:cs="Times New Roman"/>
          <w:sz w:val="24"/>
          <w:szCs w:val="24"/>
        </w:rPr>
        <w:t xml:space="preserve"> nie dochodzi do spełnienia warunku gwarancji, o którym mowa w art. 2 pkt 57 ustawy o BFG (związanego m.in. ze złożeniem wniosku o ogłoszenie upadłości banku), a tym samym nie dochodzi do konieczności dokonania przez BFG wypłat z systemu gwarantowania depozytów w bankach. W odwrotnej sytuacji, tj. w przypadku upadłości banku o większej skali działania, realizacja wypłat środków gwarantowanych mogłaby wymagać wykorzystania całości środków funduszu gwarancyjnego banków oraz zaciągnięcia przez BFG dodatkowych zobowiązań np. pożyczki z budżetu państwa. Konieczność spłaty ww. zobowiązań oraz odbudowa zasobów funduszu gwarancyjnego banków skutkowałaby koniecznością istotnego podwyższenia pobieranych przez BFG składek na fundusz gwarancyjny banków. Zgodnie z wdrożoną w Polsce w 2016 r. dyrektywą Parlamentu Europejskiego i Rady 2014/49/UE z dnia 16 kwietnia 2014 r. w sprawie systemów gwarancji depozytów</w:t>
      </w:r>
      <w:r w:rsidRPr="008D7149">
        <w:rPr>
          <w:rStyle w:val="Odwoanieprzypisudolnego"/>
          <w:rFonts w:ascii="Times New Roman" w:hAnsi="Times New Roman" w:cs="Times New Roman"/>
          <w:sz w:val="24"/>
          <w:szCs w:val="24"/>
        </w:rPr>
        <w:footnoteReference w:id="4"/>
      </w:r>
      <w:r w:rsidR="00B77361" w:rsidRPr="008D7149">
        <w:rPr>
          <w:rFonts w:ascii="Times New Roman" w:hAnsi="Times New Roman" w:cs="Times New Roman"/>
          <w:sz w:val="24"/>
          <w:szCs w:val="24"/>
        </w:rPr>
        <w:t>, zwaną dalej</w:t>
      </w:r>
      <w:r w:rsidRPr="008D7149">
        <w:rPr>
          <w:rFonts w:ascii="Times New Roman" w:hAnsi="Times New Roman" w:cs="Times New Roman"/>
          <w:sz w:val="24"/>
          <w:szCs w:val="24"/>
        </w:rPr>
        <w:t xml:space="preserve"> „dyrektywą DGS”, państwa członkowskie mają zapewnić, aby poziom dostępnych środków finansowych systemu gwarancji depozytów (w Polsce: BFG) wynosił co najmniej 0,8% kwoty gwarantowanych depozytów członków tego systemu i został osiągnięty do dnia 3 lipca 2024 r. Aktualnie stan środków własnych BFG możliwych do wykorzystania na finansowanie wypłat deponentom ponad dwukrotnie przekracza minimum wymagane przepisami unijnymi, jednak w sytuacji ich wykorzystania z uwagi na powyższy termin lub po jego upłynięciu, BFG</w:t>
      </w:r>
      <w:r w:rsidR="0027300E"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musiałby praktycznie natychmiastowo odbudować te zasoby, które były gromadzone latami. Ciężar tego spoczywałby na bankach. W konsekwencji istnienie systemu ochrony i jego potencjalny udział w procesach restrukturyzacyjnych, o </w:t>
      </w:r>
      <w:r w:rsidRPr="008D7149">
        <w:rPr>
          <w:rFonts w:ascii="Times New Roman" w:hAnsi="Times New Roman" w:cs="Times New Roman"/>
          <w:sz w:val="24"/>
          <w:szCs w:val="24"/>
        </w:rPr>
        <w:lastRenderedPageBreak/>
        <w:t xml:space="preserve">których mowa w projektowanym art. 130b ust. 2 ustawy </w:t>
      </w:r>
      <w:r w:rsidR="000F6E1A"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zapobiegających upadłości banków, będzie miało pozytywny wpływ na utrzymanie stabilności finansowej, a jednocześnie będzie ograniczało wysokość potencjalnego zaangażowania finansowego uczestników systemu ochrony związanego z negatywną sytuacją finansową banków, przede wszystkim konieczności uzupełnienia zasobów funduszu gwarancyjn</w:t>
      </w:r>
      <w:r w:rsidR="00F639BC">
        <w:rPr>
          <w:rFonts w:ascii="Times New Roman" w:hAnsi="Times New Roman" w:cs="Times New Roman"/>
          <w:sz w:val="24"/>
          <w:szCs w:val="24"/>
        </w:rPr>
        <w:t>ego banków po jego wyczerpaniu.</w:t>
      </w:r>
    </w:p>
    <w:p w14:paraId="3998D6EF" w14:textId="432F9B42"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ust. 4 </w:t>
      </w:r>
      <w:r w:rsidR="000F6E1A" w:rsidRPr="008D7149">
        <w:rPr>
          <w:rFonts w:ascii="Times New Roman" w:hAnsi="Times New Roman" w:cs="Times New Roman"/>
          <w:sz w:val="24"/>
          <w:szCs w:val="24"/>
        </w:rPr>
        <w:t xml:space="preserve">ww. przepisu </w:t>
      </w:r>
      <w:r w:rsidRPr="008D7149">
        <w:rPr>
          <w:rFonts w:ascii="Times New Roman" w:hAnsi="Times New Roman" w:cs="Times New Roman"/>
          <w:sz w:val="24"/>
          <w:szCs w:val="24"/>
        </w:rPr>
        <w:t xml:space="preserve">wskazuje na kwestie, które musi zawierać umowa systemu ochrony w zakresie odpowiedzialności uczestnika systemu – przepis </w:t>
      </w:r>
      <w:r w:rsidR="000F6E1A" w:rsidRPr="008D7149">
        <w:rPr>
          <w:rFonts w:ascii="Times New Roman" w:hAnsi="Times New Roman" w:cs="Times New Roman"/>
          <w:sz w:val="24"/>
          <w:szCs w:val="24"/>
        </w:rPr>
        <w:t xml:space="preserve">wynika z dostosowania </w:t>
      </w:r>
      <w:r w:rsidRPr="008D7149">
        <w:rPr>
          <w:rFonts w:ascii="Times New Roman" w:hAnsi="Times New Roman" w:cs="Times New Roman"/>
          <w:sz w:val="24"/>
          <w:szCs w:val="24"/>
        </w:rPr>
        <w:t xml:space="preserve">art. 22a ust. 2 </w:t>
      </w:r>
      <w:r w:rsidR="008C5E02" w:rsidRPr="008D7149">
        <w:rPr>
          <w:rFonts w:ascii="Times New Roman" w:hAnsi="Times New Roman" w:cs="Times New Roman"/>
          <w:sz w:val="24"/>
          <w:szCs w:val="24"/>
        </w:rPr>
        <w:t>ustawy o bankach spółdzielczych do sytuacji banków komercyjnych</w:t>
      </w:r>
      <w:r w:rsidR="000F6E1A" w:rsidRPr="008D7149">
        <w:rPr>
          <w:rFonts w:ascii="Times New Roman" w:hAnsi="Times New Roman" w:cs="Times New Roman"/>
          <w:sz w:val="24"/>
          <w:szCs w:val="24"/>
        </w:rPr>
        <w:t>,</w:t>
      </w:r>
      <w:r w:rsidR="008C5E02" w:rsidRPr="008D7149">
        <w:rPr>
          <w:rFonts w:ascii="Times New Roman" w:hAnsi="Times New Roman" w:cs="Times New Roman"/>
          <w:sz w:val="24"/>
          <w:szCs w:val="24"/>
        </w:rPr>
        <w:t xml:space="preserve"> tj. odpowiedzialność została ograniczona do zobowiązań wynikających z udziału w systemie ochrony. Wynika to z pełnej dobrowolności przystąpienia do tego systemu.</w:t>
      </w:r>
    </w:p>
    <w:p w14:paraId="377A62E5" w14:textId="37D5C527"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Dodawany </w:t>
      </w:r>
      <w:r w:rsidRPr="008D7149">
        <w:rPr>
          <w:rFonts w:ascii="Times New Roman" w:hAnsi="Times New Roman" w:cs="Times New Roman"/>
          <w:b/>
          <w:sz w:val="24"/>
          <w:szCs w:val="24"/>
        </w:rPr>
        <w:t>art. 130c w ust. 1</w:t>
      </w:r>
      <w:r w:rsidRPr="008D7149">
        <w:rPr>
          <w:rFonts w:ascii="Times New Roman" w:hAnsi="Times New Roman" w:cs="Times New Roman"/>
          <w:sz w:val="24"/>
          <w:szCs w:val="24"/>
        </w:rPr>
        <w:t xml:space="preserve"> ustawy </w:t>
      </w:r>
      <w:r w:rsidR="000F6E1A"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wskazuje, że banki prowadzące działalność w formie spółek akcyjnych mogą zarówno utworzyć system ochrony przewidziany w rozdziale 10a oraz do niego przystąpić po jego utworzeniu (przepis wzorowany na art. 22b ust. 1 ustawy o bankach spółdzielczych).</w:t>
      </w:r>
    </w:p>
    <w:p w14:paraId="6D30BD63" w14:textId="78B0FF26"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Utworzenie systemu ochrony nastąpi na podstawie umowy systemu ochrony. Udział banków w systemie ochrony ma dobrowolny charakter. Jest to system prywatny, na którego funkcjonowanie nie mają wpływu organy publiczne. System ochrony jest emanacją współpracy, mechanizmów samopomocy oraz odpowiedzialności uczestników sektora bankowego za jego stabilność i prawidłowe funkcjonowanie, nie zastępuje natomiast nadzoru czy zadań właściwych organów publicznych.</w:t>
      </w:r>
    </w:p>
    <w:p w14:paraId="01DE62C6" w14:textId="64266603"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Proponowany ust. 3 (wzorowany na art. 22b ust. 3 ustawy o bankach spółdzielczych) wprowadza obligatoryjne zatwierdzenie projektu umowy systemu ochrony przez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(okoliczność wynikająca z art. 113 ust. 7 </w:t>
      </w:r>
      <w:r w:rsidRPr="00D5569E">
        <w:rPr>
          <w:rFonts w:ascii="Times New Roman" w:hAnsi="Times New Roman" w:cs="Times New Roman"/>
          <w:i/>
          <w:sz w:val="24"/>
          <w:szCs w:val="24"/>
        </w:rPr>
        <w:t>in fine</w:t>
      </w:r>
      <w:r w:rsidRPr="008D7149">
        <w:rPr>
          <w:rFonts w:ascii="Times New Roman" w:hAnsi="Times New Roman" w:cs="Times New Roman"/>
          <w:sz w:val="24"/>
          <w:szCs w:val="24"/>
        </w:rPr>
        <w:t xml:space="preserve"> rozporządzenia nr 575/2013), a także wskazuje na podmiot, który przedstawi ją temu organowi z wnioskiem o zatwierdzenie i uznanie systemu ochrony. Jednocześnie wskazano, że stroną takiego postępowania administracyjnego jest wyłącznie ten upoważniony do reprezentacji bank. Przepis ten ma </w:t>
      </w:r>
      <w:r w:rsidR="00317785">
        <w:rPr>
          <w:rFonts w:ascii="Times New Roman" w:hAnsi="Times New Roman" w:cs="Times New Roman"/>
          <w:sz w:val="24"/>
          <w:szCs w:val="24"/>
        </w:rPr>
        <w:t xml:space="preserve">na </w:t>
      </w:r>
      <w:r w:rsidRPr="008D7149">
        <w:rPr>
          <w:rFonts w:ascii="Times New Roman" w:hAnsi="Times New Roman" w:cs="Times New Roman"/>
          <w:sz w:val="24"/>
          <w:szCs w:val="24"/>
        </w:rPr>
        <w:t xml:space="preserve">celu uproszczenie oraz niewydłużanie procesu tworzenia systemu ochrony i </w:t>
      </w:r>
      <w:r w:rsidR="00EF2AB3" w:rsidRPr="008D7149">
        <w:rPr>
          <w:rFonts w:ascii="Times New Roman" w:hAnsi="Times New Roman" w:cs="Times New Roman"/>
          <w:sz w:val="24"/>
          <w:szCs w:val="24"/>
        </w:rPr>
        <w:t xml:space="preserve">jest </w:t>
      </w:r>
      <w:r w:rsidRPr="008D7149">
        <w:rPr>
          <w:rFonts w:ascii="Times New Roman" w:hAnsi="Times New Roman" w:cs="Times New Roman"/>
          <w:sz w:val="24"/>
          <w:szCs w:val="24"/>
        </w:rPr>
        <w:t>uzasadnion</w:t>
      </w:r>
      <w:r w:rsidR="00317785">
        <w:rPr>
          <w:rFonts w:ascii="Times New Roman" w:hAnsi="Times New Roman" w:cs="Times New Roman"/>
          <w:sz w:val="24"/>
          <w:szCs w:val="24"/>
        </w:rPr>
        <w:t>y</w:t>
      </w:r>
      <w:r w:rsidRPr="008D7149">
        <w:rPr>
          <w:rFonts w:ascii="Times New Roman" w:hAnsi="Times New Roman" w:cs="Times New Roman"/>
          <w:sz w:val="24"/>
          <w:szCs w:val="24"/>
        </w:rPr>
        <w:t xml:space="preserve"> faktem, że tworzenie systemu ochrony jest procesem dobrowolnym, a cel i interes wszystkich banków, mających zamiar uczestniczyć w tym systemie, jest wspólny.</w:t>
      </w:r>
    </w:p>
    <w:p w14:paraId="4B7FF74F" w14:textId="1BCC4A10"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ust. 4 wskazano na termin, w jakim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wydaje decyzję w sprawie, o której mowa w projektowanym ust. 3, i wynosi on 30 dni od dnia otrzymania projektu umowy systemu </w:t>
      </w:r>
      <w:r w:rsidRPr="008D7149">
        <w:rPr>
          <w:rFonts w:ascii="Times New Roman" w:hAnsi="Times New Roman" w:cs="Times New Roman"/>
          <w:sz w:val="24"/>
          <w:szCs w:val="24"/>
        </w:rPr>
        <w:lastRenderedPageBreak/>
        <w:t xml:space="preserve">ochrony. Termin ten został określony w sposób krótszy niż analogiczny termin określony w ustawie o bankach spółdzielczych, co wynika z uproszczenia zadań i skali powiązań w ramach tego systemu w sektorze komercyjnym względem rozbudowanego systemu ochrony dla banków spółdzielczych, gdzie bierze on udział także w zarządzaniu ryzykiem i </w:t>
      </w:r>
      <w:r w:rsidR="00B77361" w:rsidRPr="008D7149">
        <w:rPr>
          <w:rFonts w:ascii="Times New Roman" w:hAnsi="Times New Roman" w:cs="Times New Roman"/>
          <w:sz w:val="24"/>
          <w:szCs w:val="24"/>
        </w:rPr>
        <w:t>kontroli</w:t>
      </w:r>
      <w:r w:rsidRPr="008D7149">
        <w:rPr>
          <w:rFonts w:ascii="Times New Roman" w:hAnsi="Times New Roman" w:cs="Times New Roman"/>
          <w:sz w:val="24"/>
          <w:szCs w:val="24"/>
        </w:rPr>
        <w:t xml:space="preserve">. Powyższe wynika z tego, że do systemu ochrony w sektorze spółdzielczym należą także mniejsze, lokalne i mniej zaawansowane organizacyjnie podmioty spółdzielcze, ich sytuacja podlega ciągłemu monitorowaniu przez jednostkę zarządzającą systemem ochrony. Są one poddawane ocenie zarówno ilościowej, jak i jakościowej (np. analiza danych sprawozdawczych, w szczególności bilans – struktura, trendy, rachunek wyników, wskaźniki finansowe), a także kontroli w zakresie przestrzegania nadzorczych norm regulacyjnych, analizy zakresu i stopnia wdrożenia procedur wzorcowych czy analizy skali nieprawidłowości stwierdzonych po kontrolach audytu i innych kontrolach zewnętrznych. Wszystkie te czynności nie byłyby możliwe do przeniesienia na grunt podmiotów komercyjnych, jak również nie byłoby to uzasadnione. Z tego względu 30 dniowy termin określony dla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na wydanie decyzji jest wystarczający.</w:t>
      </w:r>
    </w:p>
    <w:p w14:paraId="073F6015" w14:textId="52ABA4CB"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ust. 5 (wzorowanym na art. 22b ust. 5 ustawy o bankach spółdzielczych) wymieniono przesłanki wydania przez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decyzji o odmowie zatwierdzenia projektu umowy systemu ochrony, o której mowa w ust. 3. Z uwagi na to, że system ochrony jest dobrowolną inicjatywą </w:t>
      </w:r>
      <w:proofErr w:type="spellStart"/>
      <w:r w:rsidRPr="008D7149">
        <w:rPr>
          <w:rFonts w:ascii="Times New Roman" w:hAnsi="Times New Roman" w:cs="Times New Roman"/>
          <w:sz w:val="24"/>
          <w:szCs w:val="24"/>
        </w:rPr>
        <w:t>stabilnościową</w:t>
      </w:r>
      <w:proofErr w:type="spellEnd"/>
      <w:r w:rsidRPr="008D7149">
        <w:rPr>
          <w:rFonts w:ascii="Times New Roman" w:hAnsi="Times New Roman" w:cs="Times New Roman"/>
          <w:sz w:val="24"/>
          <w:szCs w:val="24"/>
        </w:rPr>
        <w:t xml:space="preserve"> uczestników rynku, ocena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została ograniczona do sprawdzenia, czy umowa systemu ochrony naruszałaby przepisy prawa, interesy uczestników systemu ochrony, nie zapewniałaby bezpieczeństwa środków gromadzonych u uczestników systemu ochrony lub nie byłyby spełnione warunki określone w art. 113 ust. 7 lit. b</w:t>
      </w:r>
      <w:r w:rsidR="00DB338C">
        <w:rPr>
          <w:rFonts w:ascii="Times New Roman" w:hAnsi="Times New Roman" w:cs="Times New Roman"/>
          <w:sz w:val="24"/>
          <w:szCs w:val="24"/>
        </w:rPr>
        <w:t>–</w:t>
      </w:r>
      <w:r w:rsidRPr="008D7149">
        <w:rPr>
          <w:rFonts w:ascii="Times New Roman" w:hAnsi="Times New Roman" w:cs="Times New Roman"/>
          <w:sz w:val="24"/>
          <w:szCs w:val="24"/>
        </w:rPr>
        <w:t xml:space="preserve">d oraz lit. </w:t>
      </w:r>
      <w:r w:rsidR="00CD7A32" w:rsidRPr="008D7149">
        <w:rPr>
          <w:rFonts w:ascii="Times New Roman" w:hAnsi="Times New Roman" w:cs="Times New Roman"/>
          <w:sz w:val="24"/>
          <w:szCs w:val="24"/>
        </w:rPr>
        <w:t>f</w:t>
      </w:r>
      <w:r w:rsidR="00DB338C">
        <w:rPr>
          <w:rFonts w:ascii="Times New Roman" w:hAnsi="Times New Roman" w:cs="Times New Roman"/>
          <w:sz w:val="24"/>
          <w:szCs w:val="24"/>
        </w:rPr>
        <w:t>–</w:t>
      </w:r>
      <w:r w:rsidR="00CD7A32" w:rsidRPr="008D7149">
        <w:rPr>
          <w:rFonts w:ascii="Times New Roman" w:hAnsi="Times New Roman" w:cs="Times New Roman"/>
          <w:sz w:val="24"/>
          <w:szCs w:val="24"/>
        </w:rPr>
        <w:t xml:space="preserve">i rozporządzenia </w:t>
      </w:r>
      <w:r w:rsidR="000F6E1A" w:rsidRPr="008D7149">
        <w:rPr>
          <w:rFonts w:ascii="Times New Roman" w:hAnsi="Times New Roman" w:cs="Times New Roman"/>
          <w:sz w:val="24"/>
          <w:szCs w:val="24"/>
        </w:rPr>
        <w:t xml:space="preserve">(UE) </w:t>
      </w:r>
      <w:r w:rsidR="00CD7A32" w:rsidRPr="008D7149">
        <w:rPr>
          <w:rFonts w:ascii="Times New Roman" w:hAnsi="Times New Roman" w:cs="Times New Roman"/>
          <w:sz w:val="24"/>
          <w:szCs w:val="24"/>
        </w:rPr>
        <w:t>nr 575/2013.</w:t>
      </w:r>
    </w:p>
    <w:p w14:paraId="2555A999" w14:textId="273DB150"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ust. 6 (analogicznym jak art. 22b ust. 6 ustawy o bankach spółdzielczych) wskazano fakultatywne elementy decyzji o uznaniu systemu ochrony, które mogą określać termin, od którego system ochrony </w:t>
      </w:r>
      <w:r w:rsidR="00B77361" w:rsidRPr="008D7149">
        <w:rPr>
          <w:rFonts w:ascii="Times New Roman" w:hAnsi="Times New Roman" w:cs="Times New Roman"/>
          <w:sz w:val="24"/>
          <w:szCs w:val="24"/>
        </w:rPr>
        <w:t>powinien</w:t>
      </w:r>
      <w:r w:rsidRPr="008D7149">
        <w:rPr>
          <w:rFonts w:ascii="Times New Roman" w:hAnsi="Times New Roman" w:cs="Times New Roman"/>
          <w:sz w:val="24"/>
          <w:szCs w:val="24"/>
        </w:rPr>
        <w:t xml:space="preserve"> funkcjonować zgodnie z umową systemu ochrony, dodatkowe warunki, których spełnienie zapewni bezpieczeństwo funkcjonowania systemu ochrony, a także termin, po upływie którego decyzja wygaśnie, jeżeli warunki</w:t>
      </w:r>
      <w:r w:rsidR="00F135EC">
        <w:rPr>
          <w:rFonts w:ascii="Times New Roman" w:hAnsi="Times New Roman" w:cs="Times New Roman"/>
          <w:sz w:val="24"/>
          <w:szCs w:val="24"/>
        </w:rPr>
        <w:t>,</w:t>
      </w:r>
      <w:r w:rsidRPr="008D7149">
        <w:rPr>
          <w:rFonts w:ascii="Times New Roman" w:hAnsi="Times New Roman" w:cs="Times New Roman"/>
          <w:sz w:val="24"/>
          <w:szCs w:val="24"/>
        </w:rPr>
        <w:t xml:space="preserve"> o których mowa w projektowanym pkt 2, nie zostaną spełnione. Jest to katalog przykładowy, jednak jednoznacznie wskazuje kierunek działania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który sprowadza się wyłącznie do badania bezpieczeństwa funkcjonowania tego systemu ochrony, co wynika z nadzorczej roli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wobec uczestników tego systemu (banków komercyjnych podlegających nadzorowi), ale też zapewnienia pełnej niezależności funkcjonalnej i decyzyjnej systemu ochrony.</w:t>
      </w:r>
    </w:p>
    <w:p w14:paraId="62580D40" w14:textId="764E3013"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W projektowanym ust. 7 oraz 8 wskazano przesłanki, po wystąpienia których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może uchylić decyzję o uznaniu systemu ochrony. Przepisy są wzorowane na art. 22b ust. 7 i 8 ustawy o bankach spółdzielczych. Rola kontrolna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została ograniczona do badania zgodności funkcjonowani</w:t>
      </w:r>
      <w:r w:rsidR="001E70D2">
        <w:rPr>
          <w:rFonts w:ascii="Times New Roman" w:hAnsi="Times New Roman" w:cs="Times New Roman"/>
          <w:sz w:val="24"/>
          <w:szCs w:val="24"/>
        </w:rPr>
        <w:t>a</w:t>
      </w:r>
      <w:r w:rsidRPr="008D7149">
        <w:rPr>
          <w:rFonts w:ascii="Times New Roman" w:hAnsi="Times New Roman" w:cs="Times New Roman"/>
          <w:sz w:val="24"/>
          <w:szCs w:val="24"/>
        </w:rPr>
        <w:t xml:space="preserve"> systemu ochrony z prawem oraz warunkami określonymi w </w:t>
      </w:r>
      <w:r w:rsidR="001C6DBD" w:rsidRPr="008D7149">
        <w:rPr>
          <w:rFonts w:ascii="Times New Roman" w:hAnsi="Times New Roman" w:cs="Times New Roman"/>
          <w:sz w:val="24"/>
          <w:szCs w:val="24"/>
        </w:rPr>
        <w:t>art. 113 ust. 7 lit. b</w:t>
      </w:r>
      <w:r w:rsidR="00F54C26">
        <w:rPr>
          <w:rFonts w:ascii="Times New Roman" w:hAnsi="Times New Roman" w:cs="Times New Roman"/>
          <w:sz w:val="24"/>
          <w:szCs w:val="24"/>
        </w:rPr>
        <w:t>–</w:t>
      </w:r>
      <w:r w:rsidR="001C6DBD" w:rsidRPr="008D7149">
        <w:rPr>
          <w:rFonts w:ascii="Times New Roman" w:hAnsi="Times New Roman" w:cs="Times New Roman"/>
          <w:sz w:val="24"/>
          <w:szCs w:val="24"/>
        </w:rPr>
        <w:t>d lub lit. f</w:t>
      </w:r>
      <w:r w:rsidR="00F54C26">
        <w:rPr>
          <w:rFonts w:ascii="Times New Roman" w:hAnsi="Times New Roman" w:cs="Times New Roman"/>
          <w:sz w:val="24"/>
          <w:szCs w:val="24"/>
        </w:rPr>
        <w:t>–</w:t>
      </w:r>
      <w:r w:rsidR="001C6DBD" w:rsidRPr="008D7149">
        <w:rPr>
          <w:rFonts w:ascii="Times New Roman" w:hAnsi="Times New Roman" w:cs="Times New Roman"/>
          <w:sz w:val="24"/>
          <w:szCs w:val="24"/>
        </w:rPr>
        <w:t xml:space="preserve">i rozporządzenia </w:t>
      </w:r>
      <w:r w:rsidR="000F6E1A" w:rsidRPr="008D7149">
        <w:rPr>
          <w:rFonts w:ascii="Times New Roman" w:hAnsi="Times New Roman" w:cs="Times New Roman"/>
          <w:sz w:val="24"/>
          <w:szCs w:val="24"/>
        </w:rPr>
        <w:t xml:space="preserve">(UE) </w:t>
      </w:r>
      <w:r w:rsidR="001C6DBD" w:rsidRPr="008D7149">
        <w:rPr>
          <w:rFonts w:ascii="Times New Roman" w:hAnsi="Times New Roman" w:cs="Times New Roman"/>
          <w:sz w:val="24"/>
          <w:szCs w:val="24"/>
        </w:rPr>
        <w:t>nr 575/2013</w:t>
      </w:r>
      <w:r w:rsidRPr="008D7149">
        <w:rPr>
          <w:rFonts w:ascii="Times New Roman" w:hAnsi="Times New Roman" w:cs="Times New Roman"/>
          <w:sz w:val="24"/>
          <w:szCs w:val="24"/>
        </w:rPr>
        <w:t>, a także oceny, czy funkcjonowanie systemu ochrony zapewnia bezpieczeństw</w:t>
      </w:r>
      <w:r w:rsidR="00024904">
        <w:rPr>
          <w:rFonts w:ascii="Times New Roman" w:hAnsi="Times New Roman" w:cs="Times New Roman"/>
          <w:sz w:val="24"/>
          <w:szCs w:val="24"/>
        </w:rPr>
        <w:t>o</w:t>
      </w:r>
      <w:r w:rsidRPr="008D7149">
        <w:rPr>
          <w:rFonts w:ascii="Times New Roman" w:hAnsi="Times New Roman" w:cs="Times New Roman"/>
          <w:sz w:val="24"/>
          <w:szCs w:val="24"/>
        </w:rPr>
        <w:t xml:space="preserve"> zgromadzonych przez ten system środków pieniężnych. Ponadto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ma możliwość uchylenia decyzji o uznaniu systemu ochrony, gdy została ona wydana na podstawie fałszywych dokumentów, nieprawdziwych oświadczeń lub wskutek innych działań sprzecznych z prawem bądź system ochrony przestał spełniać warunki określone w tej decyzji.</w:t>
      </w:r>
    </w:p>
    <w:p w14:paraId="670132B4" w14:textId="1FDCB640"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Wskazać należy, że utworzenie systemu ochrony ma odbywać się w dużej mierze w sposób analogiczny do tworzenia systemu ochrony w przypadku banków spółdzielczych, co zostało uregulowane w ustawie o bankach spółdzielczych</w:t>
      </w:r>
      <w:r w:rsidRPr="008D7149">
        <w:rPr>
          <w:rFonts w:ascii="Times New Roman" w:hAnsi="Times New Roman" w:cs="Times New Roman"/>
          <w:i/>
          <w:sz w:val="24"/>
          <w:szCs w:val="24"/>
        </w:rPr>
        <w:t xml:space="preserve">. </w:t>
      </w:r>
      <w:r w:rsidRPr="008D7149">
        <w:rPr>
          <w:rFonts w:ascii="Times New Roman" w:hAnsi="Times New Roman" w:cs="Times New Roman"/>
          <w:sz w:val="24"/>
          <w:szCs w:val="24"/>
        </w:rPr>
        <w:t xml:space="preserve">Jednocześnie, w stosunku banków działających w formie spółki akcyjnej, w przeciwieństwie do banków spółdzielczych, zastosowanie znajdzie </w:t>
      </w:r>
      <w:r w:rsidR="009F623A">
        <w:rPr>
          <w:rFonts w:ascii="Times New Roman" w:hAnsi="Times New Roman" w:cs="Times New Roman"/>
          <w:sz w:val="24"/>
          <w:szCs w:val="24"/>
        </w:rPr>
        <w:t>–</w:t>
      </w:r>
      <w:r w:rsidRPr="008D7149">
        <w:rPr>
          <w:rFonts w:ascii="Times New Roman" w:hAnsi="Times New Roman" w:cs="Times New Roman"/>
          <w:sz w:val="24"/>
          <w:szCs w:val="24"/>
        </w:rPr>
        <w:t xml:space="preserve"> zgodnie z projektowanym brzmieniem art. 130c ust. 5 ustawy </w:t>
      </w:r>
      <w:r w:rsidR="000F6E1A"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t>
      </w:r>
      <w:r w:rsidR="009F623A">
        <w:rPr>
          <w:rFonts w:ascii="Times New Roman" w:hAnsi="Times New Roman" w:cs="Times New Roman"/>
          <w:sz w:val="24"/>
          <w:szCs w:val="24"/>
        </w:rPr>
        <w:t>–</w:t>
      </w:r>
      <w:r w:rsidRPr="008D7149">
        <w:rPr>
          <w:rFonts w:ascii="Times New Roman" w:hAnsi="Times New Roman" w:cs="Times New Roman"/>
          <w:sz w:val="24"/>
          <w:szCs w:val="24"/>
        </w:rPr>
        <w:t xml:space="preserve"> jedynie część liter w ramach art. 113 ust. 7 rozporządzenia </w:t>
      </w:r>
      <w:r w:rsidR="000F6E1A" w:rsidRPr="008D7149">
        <w:rPr>
          <w:rFonts w:ascii="Times New Roman" w:hAnsi="Times New Roman" w:cs="Times New Roman"/>
          <w:sz w:val="24"/>
          <w:szCs w:val="24"/>
        </w:rPr>
        <w:t xml:space="preserve">(UE) </w:t>
      </w:r>
      <w:r w:rsidRPr="008D7149">
        <w:rPr>
          <w:rFonts w:ascii="Times New Roman" w:hAnsi="Times New Roman" w:cs="Times New Roman"/>
          <w:sz w:val="24"/>
          <w:szCs w:val="24"/>
        </w:rPr>
        <w:t>nr 575/2013. Będzie to miało daleko idące konsekwencje dla sposobu funkcjonowania systemu ochrony przewidzianego projektowaną ustawą. W szczególności projektowane przepisy przewidują, że w stosunku do regulacji systemu ochrony instytucjonalnej zawartej w ustawie o bankach spółdzielczych jednostka zarządzająca systemem ochrony będzie wyposażona w zdecydowanie mniejsze uprawnienia kontrolno-nadzorcze względem analogicznego mechanizmu w przypadku banków spółdzielczych i m.in. nie będzie:</w:t>
      </w:r>
    </w:p>
    <w:p w14:paraId="34031728" w14:textId="1C728BC8" w:rsidR="00A27238" w:rsidRPr="009F623A" w:rsidRDefault="00A27238" w:rsidP="0018298A">
      <w:pPr>
        <w:pStyle w:val="Akapitzlist"/>
        <w:widowControl w:val="0"/>
        <w:numPr>
          <w:ilvl w:val="0"/>
          <w:numId w:val="7"/>
        </w:numPr>
        <w:autoSpaceDE w:val="0"/>
        <w:autoSpaceDN w:val="0"/>
        <w:adjustRightInd w:val="0"/>
        <w:spacing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wykonywała w ramach systemu ochrony czynności kontroli wewnętrznej, o której mowa w art. 9c ust. 2 pkt 3 i art. 9d ust. 2 ustawy</w:t>
      </w:r>
      <w:r w:rsidR="000F6E1A" w:rsidRPr="008D7149">
        <w:rPr>
          <w:rFonts w:ascii="Times New Roman" w:hAnsi="Times New Roman" w:cs="Times New Roman"/>
          <w:sz w:val="24"/>
          <w:szCs w:val="24"/>
        </w:rPr>
        <w:t xml:space="preserve"> z dnia 29 sierpnia 1997 r.</w:t>
      </w:r>
      <w:r w:rsidRPr="008D7149">
        <w:rPr>
          <w:rFonts w:ascii="Times New Roman" w:hAnsi="Times New Roman" w:cs="Times New Roman"/>
          <w:sz w:val="24"/>
          <w:szCs w:val="24"/>
        </w:rPr>
        <w:t xml:space="preserve"> </w:t>
      </w:r>
      <w:r w:rsidR="009F623A">
        <w:rPr>
          <w:rFonts w:ascii="Times New Roman" w:hAnsi="Times New Roman" w:cs="Times New Roman"/>
          <w:sz w:val="24"/>
          <w:szCs w:val="24"/>
        </w:rPr>
        <w:t>–</w:t>
      </w:r>
      <w:r w:rsidRPr="008D7149">
        <w:rPr>
          <w:rFonts w:ascii="Times New Roman" w:hAnsi="Times New Roman" w:cs="Times New Roman"/>
          <w:sz w:val="24"/>
          <w:szCs w:val="24"/>
        </w:rPr>
        <w:t xml:space="preserve"> </w:t>
      </w:r>
      <w:r w:rsidRPr="009F623A">
        <w:rPr>
          <w:rFonts w:ascii="Times New Roman" w:hAnsi="Times New Roman" w:cs="Times New Roman"/>
          <w:sz w:val="24"/>
          <w:szCs w:val="24"/>
        </w:rPr>
        <w:t>Prawo bankowe;</w:t>
      </w:r>
    </w:p>
    <w:p w14:paraId="759C255B" w14:textId="1CB1340B" w:rsidR="00A27238" w:rsidRPr="008D7149" w:rsidRDefault="00A27238" w:rsidP="008D7149">
      <w:pPr>
        <w:pStyle w:val="Akapitzlist"/>
        <w:widowControl w:val="0"/>
        <w:numPr>
          <w:ilvl w:val="0"/>
          <w:numId w:val="7"/>
        </w:num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posiadała prawa wstępu na teren nieruchomości, obiektu, lokalu lub ich części, gdzie jest prowadzona działalność uczestnika systemu ochrony.</w:t>
      </w:r>
    </w:p>
    <w:p w14:paraId="20D7ABFD" w14:textId="309746B5"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przypadku systemu ochrony projektowanego dla banków komercyjnych informacje przekazane jednostce zarządzającej przez uczestników tego systemu będą miały co do zasady służyć wyłącznie zapewnieniu gotowości do udzielania pomocy lub wsparcia uczestnikom.</w:t>
      </w:r>
    </w:p>
    <w:p w14:paraId="0CEDBE6A" w14:textId="30300AFD"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konsekwencji powyższego uczestnicy systemu ochrony zachowają autonomię w zakresie zarządzania ryzykiem związanym z prowadzeniem działalności bankowej, a jednocześnie </w:t>
      </w:r>
      <w:r w:rsidRPr="008D7149">
        <w:rPr>
          <w:rFonts w:ascii="Times New Roman" w:hAnsi="Times New Roman" w:cs="Times New Roman"/>
          <w:sz w:val="24"/>
          <w:szCs w:val="24"/>
        </w:rPr>
        <w:lastRenderedPageBreak/>
        <w:t xml:space="preserve">uczestnictwo w przewidywanym dla banków komercyjnych, instytucjonalnym systemie ochrony, nie będzie wiązało się z przypisywaniem zerowej wagi ryzyka wzajemnym ekspozycjom uczestników systemu ochrony, co jest przewidziane dla banków działających w formie spółdzielni (art. 113 ust. 7 rozporządzenia </w:t>
      </w:r>
      <w:r w:rsidR="000F6E1A" w:rsidRPr="008D7149">
        <w:rPr>
          <w:rFonts w:ascii="Times New Roman" w:hAnsi="Times New Roman" w:cs="Times New Roman"/>
          <w:sz w:val="24"/>
          <w:szCs w:val="24"/>
        </w:rPr>
        <w:t xml:space="preserve">(UE) </w:t>
      </w:r>
      <w:r w:rsidRPr="008D7149">
        <w:rPr>
          <w:rFonts w:ascii="Times New Roman" w:hAnsi="Times New Roman" w:cs="Times New Roman"/>
          <w:sz w:val="24"/>
          <w:szCs w:val="24"/>
        </w:rPr>
        <w:t>nr 575/2013).</w:t>
      </w:r>
    </w:p>
    <w:p w14:paraId="17AEA727" w14:textId="7901C7A1"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w:t>
      </w:r>
      <w:r w:rsidRPr="008D7149">
        <w:rPr>
          <w:rFonts w:ascii="Times New Roman" w:hAnsi="Times New Roman" w:cs="Times New Roman"/>
          <w:b/>
          <w:sz w:val="24"/>
          <w:szCs w:val="24"/>
        </w:rPr>
        <w:t xml:space="preserve">art. 130d ustawy </w:t>
      </w:r>
      <w:r w:rsidR="00FE3F1E" w:rsidRPr="008D7149">
        <w:rPr>
          <w:rFonts w:ascii="Times New Roman" w:hAnsi="Times New Roman" w:cs="Times New Roman"/>
          <w:b/>
          <w:sz w:val="24"/>
          <w:szCs w:val="24"/>
        </w:rPr>
        <w:t xml:space="preserve">z dnia 29 sierpnia 1997 r. </w:t>
      </w:r>
      <w:r w:rsidRPr="008D7149">
        <w:rPr>
          <w:rFonts w:ascii="Times New Roman" w:hAnsi="Times New Roman" w:cs="Times New Roman"/>
          <w:b/>
          <w:sz w:val="24"/>
          <w:szCs w:val="24"/>
        </w:rPr>
        <w:t xml:space="preserve">– Prawo bankowe </w:t>
      </w:r>
      <w:r w:rsidRPr="008D7149">
        <w:rPr>
          <w:rFonts w:ascii="Times New Roman" w:hAnsi="Times New Roman" w:cs="Times New Roman"/>
          <w:sz w:val="24"/>
          <w:szCs w:val="24"/>
        </w:rPr>
        <w:t>(wzorowanym na art. 22c ustawy o bankach spółdzielczych) uregulowano formę dla wypowiedzenia umowy systemu ochrony (forma pisemną pod rygorem nieważności). Z uwagi na to, że system ochrony jest dobrowolną współpracą jego uczestników na podstawie zawartej między nimi umowy, każdy bank uczestniczący w tym systemie ma prawo w każdym momencie z niego wystąpić. Ustawodawca pozostawia tutaj swobodę stronom umowy co do szczegółowych warunków takiego wystąpienia, wskazując tylko termin i formę wypowiedzenia. Uregulowano zatem minimalny 24 miesięczny okres wypowiedzenia umowy systemu ochrony, który jest konieczny ze względu na mitygowanie negatywnego wpływu rezygnacji z uczestnictwa poszczególnych jego członków. Wymagana jest forma pisemna takiej rezygnacji pod rygorem nieważności. Takie samo podejście zostało przyjęte w ustawie o bankach spółdzielczych i się sprawdziło.</w:t>
      </w:r>
    </w:p>
    <w:p w14:paraId="224F30F4" w14:textId="5F87A749"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w:t>
      </w:r>
      <w:r w:rsidRPr="008D7149">
        <w:rPr>
          <w:rFonts w:ascii="Times New Roman" w:hAnsi="Times New Roman" w:cs="Times New Roman"/>
          <w:b/>
          <w:sz w:val="24"/>
          <w:szCs w:val="24"/>
        </w:rPr>
        <w:t>art. 130e</w:t>
      </w:r>
      <w:r w:rsidRPr="008D7149">
        <w:rPr>
          <w:rFonts w:ascii="Times New Roman" w:hAnsi="Times New Roman" w:cs="Times New Roman"/>
          <w:sz w:val="24"/>
          <w:szCs w:val="24"/>
        </w:rPr>
        <w:t xml:space="preserve"> ustawy </w:t>
      </w:r>
      <w:r w:rsidR="00FE3F1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wskazano, że podmiotem zarządzającym systemem ochrony jest jednostka zarządzającą, która jest tworzona w formie spółki akcyjnej przez uczestników systemu ochrony. Zaproponowane rozwiązanie stanowi dostosowanie rozwiązania z art. 22d ustawy o bankach spółdzielczych do potrzeb i sytuacji prawnej banków komercyjnych. Do jednostki zarządzającej w zakresie nieuregulowanym ustawą </w:t>
      </w:r>
      <w:r w:rsidR="00FE3F1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będą miały zastosowanie przepisy </w:t>
      </w:r>
      <w:r w:rsidR="00EA4B81">
        <w:rPr>
          <w:rFonts w:ascii="Times New Roman" w:hAnsi="Times New Roman" w:cs="Times New Roman"/>
          <w:sz w:val="24"/>
          <w:szCs w:val="24"/>
        </w:rPr>
        <w:t>K</w:t>
      </w:r>
      <w:r w:rsidRPr="008D7149">
        <w:rPr>
          <w:rFonts w:ascii="Times New Roman" w:hAnsi="Times New Roman" w:cs="Times New Roman"/>
          <w:sz w:val="24"/>
          <w:szCs w:val="24"/>
        </w:rPr>
        <w:t>odeksu spółek handlowych</w:t>
      </w:r>
      <w:r w:rsidR="00EA16BD">
        <w:rPr>
          <w:rFonts w:ascii="Times New Roman" w:hAnsi="Times New Roman" w:cs="Times New Roman"/>
          <w:sz w:val="24"/>
          <w:szCs w:val="24"/>
        </w:rPr>
        <w:t>,</w:t>
      </w:r>
      <w:r w:rsidR="009C36F0">
        <w:rPr>
          <w:rFonts w:ascii="Times New Roman" w:hAnsi="Times New Roman" w:cs="Times New Roman"/>
          <w:sz w:val="24"/>
          <w:szCs w:val="24"/>
        </w:rPr>
        <w:t xml:space="preserve"> zwanego </w:t>
      </w:r>
      <w:r w:rsidR="00EA16BD">
        <w:rPr>
          <w:rFonts w:ascii="Times New Roman" w:hAnsi="Times New Roman" w:cs="Times New Roman"/>
          <w:sz w:val="24"/>
          <w:szCs w:val="24"/>
        </w:rPr>
        <w:t xml:space="preserve">dalej </w:t>
      </w:r>
      <w:r w:rsidR="009C36F0">
        <w:rPr>
          <w:rFonts w:ascii="Times New Roman" w:hAnsi="Times New Roman" w:cs="Times New Roman"/>
          <w:sz w:val="24"/>
          <w:szCs w:val="24"/>
        </w:rPr>
        <w:t>„</w:t>
      </w:r>
      <w:proofErr w:type="spellStart"/>
      <w:r w:rsidR="00EA16BD">
        <w:rPr>
          <w:rFonts w:ascii="Times New Roman" w:hAnsi="Times New Roman" w:cs="Times New Roman"/>
          <w:sz w:val="24"/>
          <w:szCs w:val="24"/>
        </w:rPr>
        <w:t>k.s.h</w:t>
      </w:r>
      <w:proofErr w:type="spellEnd"/>
      <w:r w:rsidRPr="008D7149">
        <w:rPr>
          <w:rFonts w:ascii="Times New Roman" w:hAnsi="Times New Roman" w:cs="Times New Roman"/>
          <w:sz w:val="24"/>
          <w:szCs w:val="24"/>
        </w:rPr>
        <w:t>.</w:t>
      </w:r>
      <w:r w:rsidR="009C36F0">
        <w:rPr>
          <w:rFonts w:ascii="Times New Roman" w:hAnsi="Times New Roman" w:cs="Times New Roman"/>
          <w:sz w:val="24"/>
          <w:szCs w:val="24"/>
        </w:rPr>
        <w:t>”.</w:t>
      </w:r>
      <w:r w:rsidRPr="008D7149">
        <w:rPr>
          <w:rFonts w:ascii="Times New Roman" w:hAnsi="Times New Roman" w:cs="Times New Roman"/>
          <w:sz w:val="24"/>
          <w:szCs w:val="24"/>
        </w:rPr>
        <w:t xml:space="preserve"> W związku z zadaniami, które zostaną powierzone jednostce zarządzającej, taka forma prawna jest najbardziej właściwa (w przypadku banków spółdzielczych oprócz spółki akcyjnej jednostką zarządzającą systemem ochrony może być także spółdzielnia). W projektowanym ust. 3 nałożono na uczestników systemu ochrony obowiązek objęcia oraz posiadania </w:t>
      </w:r>
      <w:r w:rsidR="008C5E02" w:rsidRPr="008D7149">
        <w:rPr>
          <w:rFonts w:ascii="Times New Roman" w:hAnsi="Times New Roman" w:cs="Times New Roman"/>
          <w:sz w:val="24"/>
          <w:szCs w:val="24"/>
        </w:rPr>
        <w:t>w okresie</w:t>
      </w:r>
      <w:r w:rsidR="00DC1DE6">
        <w:rPr>
          <w:rFonts w:ascii="Times New Roman" w:hAnsi="Times New Roman" w:cs="Times New Roman"/>
          <w:sz w:val="24"/>
          <w:szCs w:val="24"/>
        </w:rPr>
        <w:t>,</w:t>
      </w:r>
      <w:r w:rsidR="008C5E02" w:rsidRPr="008D7149">
        <w:rPr>
          <w:rFonts w:ascii="Times New Roman" w:hAnsi="Times New Roman" w:cs="Times New Roman"/>
          <w:sz w:val="24"/>
          <w:szCs w:val="24"/>
        </w:rPr>
        <w:t xml:space="preserve"> kiedy dany uczestnik jest stroną umowy systemu ochrony</w:t>
      </w:r>
      <w:r w:rsidRPr="008D7149">
        <w:rPr>
          <w:rFonts w:ascii="Times New Roman" w:hAnsi="Times New Roman" w:cs="Times New Roman"/>
          <w:sz w:val="24"/>
          <w:szCs w:val="24"/>
        </w:rPr>
        <w:t>, co najmniej minimalnej liczby akcji jednostki zarządzającej, określonej w jej statucie i umowie systemu ochrony. Zgodnie z projektowanym ust. 4, akcjonariuszem jednostki zarządzającej może być tylko uczestnik systemu ochrony zarządzanego przez tę jednostkę. Wprowadzono również ograniczenie wykonywania prawa głosu na walnym zgromadzeniu przez akcjonariusza, w okresie wypowiedzenia przez niego umowy systemu ochrony.</w:t>
      </w:r>
    </w:p>
    <w:p w14:paraId="5315B371" w14:textId="674473C2"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Projektowany </w:t>
      </w:r>
      <w:r w:rsidRPr="008D7149">
        <w:rPr>
          <w:rFonts w:ascii="Times New Roman" w:hAnsi="Times New Roman" w:cs="Times New Roman"/>
          <w:b/>
          <w:sz w:val="24"/>
          <w:szCs w:val="24"/>
        </w:rPr>
        <w:t>art. 130f</w:t>
      </w:r>
      <w:r w:rsidRPr="008D7149">
        <w:rPr>
          <w:rFonts w:ascii="Times New Roman" w:hAnsi="Times New Roman" w:cs="Times New Roman"/>
          <w:sz w:val="24"/>
          <w:szCs w:val="24"/>
        </w:rPr>
        <w:t xml:space="preserve"> ustawy </w:t>
      </w:r>
      <w:r w:rsidR="003A2E24"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(analogicznie jak art. 22e ustawy o bankach spółdzielczych) ma na celu określenie organów systemu ochrony zarządzanego przez jednostkę zarządzającą. Zgodnie z projektowanym ust. 1 tymi organami będą: walne zgromadzenie akcjonariuszy jednostki zarządzającej, rada nadzorcza jednostki zarządzającej będąca organem nadzorującym system ochrony oraz zarząd tej jednostki będący organem zarządzającym systemem ochrony. Wskazane organy są standardowymi organami korporacyjnymi dla podmiotu w formie prawnej przewidzianej dla jednostki zarządzającej (spółki akcyjnej). W projektowanym ust. 2 zostało potwierdzone umiejscowione tych organów w strukturze systemu ochrony.</w:t>
      </w:r>
    </w:p>
    <w:p w14:paraId="0291D5BD" w14:textId="72298CCF"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Jednocześnie dopuszczono, aby umowa systemu ochrony przewidywała powołanie innych organów niż wskazane w projektowanym ust. 1. Umowa systemu ochrony ma określać zasady zapewnienia organom jednostki zarządzającej warunków wykonywania zadań związanych z funkcjonowaniem systemu ochrony, w szczególności w zakresie pomieszczeń, łącz telekomunikacyjnych i obsługi biurowej, oraz zasady pokrywania związanych z tym kosztów. Przewidziano możliwość, aby w umowie systemu ochrony zobowiązać jednego z uczestników systemu ochrony do zapewnienia organom jednostki zarządzającej, na zasadach określonych w tej umowie, warunk</w:t>
      </w:r>
      <w:r w:rsidR="00DC1DE6">
        <w:rPr>
          <w:rFonts w:ascii="Times New Roman" w:hAnsi="Times New Roman" w:cs="Times New Roman"/>
          <w:sz w:val="24"/>
          <w:szCs w:val="24"/>
        </w:rPr>
        <w:t>ów</w:t>
      </w:r>
      <w:r w:rsidRPr="008D7149">
        <w:rPr>
          <w:rFonts w:ascii="Times New Roman" w:hAnsi="Times New Roman" w:cs="Times New Roman"/>
          <w:sz w:val="24"/>
          <w:szCs w:val="24"/>
        </w:rPr>
        <w:t xml:space="preserve"> wykonywania zadań związanych z funkcjonowaniem systemu ochrony</w:t>
      </w:r>
      <w:r w:rsidR="00DC1DE6">
        <w:rPr>
          <w:rFonts w:ascii="Times New Roman" w:hAnsi="Times New Roman" w:cs="Times New Roman"/>
          <w:sz w:val="24"/>
          <w:szCs w:val="24"/>
        </w:rPr>
        <w:t>.</w:t>
      </w:r>
    </w:p>
    <w:p w14:paraId="2FC1656A" w14:textId="5D019B7B"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w:t>
      </w:r>
      <w:r w:rsidRPr="008D7149">
        <w:rPr>
          <w:rFonts w:ascii="Times New Roman" w:hAnsi="Times New Roman" w:cs="Times New Roman"/>
          <w:b/>
          <w:sz w:val="24"/>
          <w:szCs w:val="24"/>
        </w:rPr>
        <w:t>art. 130g</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 1</w:t>
      </w:r>
      <w:r w:rsidRPr="008D7149">
        <w:rPr>
          <w:rFonts w:ascii="Times New Roman" w:hAnsi="Times New Roman" w:cs="Times New Roman"/>
          <w:sz w:val="24"/>
          <w:szCs w:val="24"/>
        </w:rPr>
        <w:t xml:space="preserve"> ustawy </w:t>
      </w:r>
      <w:r w:rsidR="003A2E24"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wskazano organ właściwy do powołania członków rady nadzorczej jednostki zarządzającej, którym jest walne zgromadzenie akcjonariuszy jednostki zarządzającej tworzone przez uczestników systemu ochrony. Przepis jest wzorowany na art. 22f ustawy o bankach spółdzielczych. Zaproponowane rozwiązanie jest także uzasadnione systemowo, ponieważ co do zasady rada nadzorcza jest organem osoby prawnej, który jest wybierany przez walne zgromadzenie. Rada nadzorcza jednostki organizacyjnej, jako organ nadzorujący system ochrony, zawiadamia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o swoim składzie lub jego zmianie niezwłocznie po jego powołaniu albo zmianie jego składu.</w:t>
      </w:r>
    </w:p>
    <w:p w14:paraId="295C5E5D" w14:textId="59497BD2"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projektowanym ust. 3 (wzorowanym na art. 22f ust. 2a ustawy o bankach spółdzielczych) uregulowano wymagania, jakie powinny być spełnione przez członków zarządu jednostki zarządzającej. W sektorze spółdzielczym tak uregulowane wymagania wobec osób kierujących systemem ochrony sprawdziły się w praktyce, ponieważ oba funkcjonujące systemy ochrony w sektorze banków spółdzielczych są zarządzane w sposób profesjonalny i skuteczny.</w:t>
      </w:r>
    </w:p>
    <w:p w14:paraId="579CF1DF" w14:textId="5DC45BEB"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ust. 4 określono tryb i zasady powołania członków zarządu jednostki zarządzającej. Członkowie zarządu jednostki zarządzającej są powoływani przez radę </w:t>
      </w:r>
      <w:r w:rsidRPr="008D7149">
        <w:rPr>
          <w:rFonts w:ascii="Times New Roman" w:hAnsi="Times New Roman" w:cs="Times New Roman"/>
          <w:sz w:val="24"/>
          <w:szCs w:val="24"/>
        </w:rPr>
        <w:lastRenderedPageBreak/>
        <w:t xml:space="preserve">nadzorczą jednostki zarządzającej </w:t>
      </w:r>
      <w:r w:rsidR="00F97EB3" w:rsidRPr="008D7149">
        <w:rPr>
          <w:rFonts w:ascii="Times New Roman" w:hAnsi="Times New Roman" w:cs="Times New Roman"/>
          <w:sz w:val="24"/>
          <w:szCs w:val="24"/>
        </w:rPr>
        <w:t>albo zgromadzenie uczestników systemu ochrony stosownie do postanowień zawartej umowy systemu ochrony albo statutu jednostki zarządzającej. Powołanie członków zarządu jednostki zarządzającej wymaga zgody KNF</w:t>
      </w:r>
      <w:r w:rsidRPr="008D7149">
        <w:rPr>
          <w:rFonts w:ascii="Times New Roman" w:hAnsi="Times New Roman" w:cs="Times New Roman"/>
          <w:sz w:val="24"/>
          <w:szCs w:val="24"/>
        </w:rPr>
        <w:t xml:space="preserve">. Z wnioskiem do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o wyrażenie zgody występuje rada nadzorcza jednostki zarządzającej.</w:t>
      </w:r>
    </w:p>
    <w:p w14:paraId="3AF7DAEB" w14:textId="2CD7AD1B"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ust. 5 przyznano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możliwość delegacji przedstawiciela w celu obserwowania bez prawa głosu prac zgromadzenia uczestników systemu ochrony i rady nadzorczej jednostki zarządzającej, o ile te organy wyrażą na to zgodę. Wynika to z przeświadczenia, że niektóre decyzje podejmowane przez system ochrony mogą być ważne dla całego sektora finansowego, więc udział przedstawiciela organu nadzoru jest uzasadniony. Jednak z uwagi na niezależność systemu ochrony, przedstawiciel nadzoru nie będzie miał prawa głosu. Jednocześnie organy systemu ochrony mogą nie wyrazić zgody na jego uczestnictwo w posiedzeniu, np. gdy uznają, że będzie to w jakikolwiek sposób mogło wpływać na swobodę podejmowania decyzji przez organy system ochrony.</w:t>
      </w:r>
    </w:p>
    <w:p w14:paraId="51963A38" w14:textId="6AD04432"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projektowanym ust. 6 określono zakres kwestii dotyczących struktury korporacyjnej jednostki zarządzającej, który zostanie określony w umowie systemu ochrony. Podkreśla to swobodę i dobrowolność, jaką ustawodawca chce powierzyć bankom komercyjnym, które będą potencjalnie tworzyć ten system.</w:t>
      </w:r>
    </w:p>
    <w:p w14:paraId="0B444FD0" w14:textId="3F0BD39D"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projektowanym </w:t>
      </w:r>
      <w:r w:rsidRPr="008D7149">
        <w:rPr>
          <w:rFonts w:ascii="Times New Roman" w:hAnsi="Times New Roman" w:cs="Times New Roman"/>
          <w:b/>
          <w:sz w:val="24"/>
          <w:szCs w:val="24"/>
        </w:rPr>
        <w:t>art. 130h ust. 1</w:t>
      </w:r>
      <w:r w:rsidRPr="008D7149">
        <w:rPr>
          <w:rFonts w:ascii="Times New Roman" w:hAnsi="Times New Roman" w:cs="Times New Roman"/>
          <w:sz w:val="24"/>
          <w:szCs w:val="24"/>
        </w:rPr>
        <w:t xml:space="preserve"> ustawy </w:t>
      </w:r>
      <w:r w:rsidR="009C3F15"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przewiduje się obowiązek tworzenia funduszu pomocowego w jednostce zarządzającej systemem ochrony. Celem funduszu pomocowego będzie zapewnienie środków na finansowanie zadań systemu ochrony. Zadania te będą obejmować pomoc finansową dla uczestników systemu ochrony mając</w:t>
      </w:r>
      <w:r w:rsidR="00877982">
        <w:rPr>
          <w:rFonts w:ascii="Times New Roman" w:hAnsi="Times New Roman" w:cs="Times New Roman"/>
          <w:sz w:val="24"/>
          <w:szCs w:val="24"/>
        </w:rPr>
        <w:t>ą</w:t>
      </w:r>
      <w:r w:rsidRPr="008D7149">
        <w:rPr>
          <w:rFonts w:ascii="Times New Roman" w:hAnsi="Times New Roman" w:cs="Times New Roman"/>
          <w:sz w:val="24"/>
          <w:szCs w:val="24"/>
        </w:rPr>
        <w:t xml:space="preserve"> na celu poprawę ich wypłacalności i zapobieganie upadłości, a także wsparcie przymusowej restrukturyzacji prowadzonej przez BFG, wszczętej wobec</w:t>
      </w:r>
      <w:r w:rsidR="00F97EB3" w:rsidRPr="008D7149">
        <w:rPr>
          <w:rFonts w:ascii="Times New Roman" w:hAnsi="Times New Roman" w:cs="Times New Roman"/>
          <w:sz w:val="24"/>
          <w:szCs w:val="24"/>
        </w:rPr>
        <w:t xml:space="preserve"> banku będącego spółka akcyjną</w:t>
      </w:r>
      <w:r w:rsidR="00346B7A" w:rsidRPr="008D7149">
        <w:rPr>
          <w:rFonts w:ascii="Times New Roman" w:hAnsi="Times New Roman" w:cs="Times New Roman"/>
          <w:sz w:val="24"/>
          <w:szCs w:val="24"/>
        </w:rPr>
        <w:t>.</w:t>
      </w:r>
      <w:r w:rsidR="00F97EB3" w:rsidRPr="008D7149">
        <w:rPr>
          <w:rFonts w:ascii="Times New Roman" w:hAnsi="Times New Roman" w:cs="Times New Roman"/>
          <w:sz w:val="24"/>
          <w:szCs w:val="24"/>
        </w:rPr>
        <w:t xml:space="preserve"> </w:t>
      </w:r>
      <w:r w:rsidR="00346B7A" w:rsidRPr="008D7149">
        <w:rPr>
          <w:rFonts w:ascii="Times New Roman" w:hAnsi="Times New Roman" w:cs="Times New Roman"/>
          <w:sz w:val="24"/>
          <w:szCs w:val="24"/>
        </w:rPr>
        <w:t>W</w:t>
      </w:r>
      <w:r w:rsidR="00F97EB3" w:rsidRPr="008D7149">
        <w:rPr>
          <w:rFonts w:ascii="Times New Roman" w:hAnsi="Times New Roman" w:cs="Times New Roman"/>
          <w:sz w:val="24"/>
          <w:szCs w:val="24"/>
        </w:rPr>
        <w:t xml:space="preserve"> takiej sytuacji zastosowanie będzie miał art. 174 ust. 1 pkt 3, a wsparcie będzie skierowane do podmiotu przejmowanego</w:t>
      </w:r>
      <w:r w:rsidR="00346B7A" w:rsidRPr="008D7149">
        <w:rPr>
          <w:rFonts w:ascii="Times New Roman" w:hAnsi="Times New Roman" w:cs="Times New Roman"/>
          <w:sz w:val="24"/>
          <w:szCs w:val="24"/>
        </w:rPr>
        <w:t>,</w:t>
      </w:r>
      <w:r w:rsidR="00F97EB3" w:rsidRPr="008D7149">
        <w:rPr>
          <w:rFonts w:ascii="Times New Roman" w:hAnsi="Times New Roman" w:cs="Times New Roman"/>
          <w:sz w:val="24"/>
          <w:szCs w:val="24"/>
        </w:rPr>
        <w:t xml:space="preserve"> ułatwiając transakcje dla </w:t>
      </w:r>
      <w:r w:rsidRPr="008D7149">
        <w:rPr>
          <w:rFonts w:ascii="Times New Roman" w:hAnsi="Times New Roman" w:cs="Times New Roman"/>
          <w:sz w:val="24"/>
          <w:szCs w:val="24"/>
        </w:rPr>
        <w:t>podmiot</w:t>
      </w:r>
      <w:r w:rsidR="00F97EB3" w:rsidRPr="008D7149">
        <w:rPr>
          <w:rFonts w:ascii="Times New Roman" w:hAnsi="Times New Roman" w:cs="Times New Roman"/>
          <w:sz w:val="24"/>
          <w:szCs w:val="24"/>
        </w:rPr>
        <w:t>u</w:t>
      </w:r>
      <w:r w:rsidRPr="008D7149">
        <w:rPr>
          <w:rFonts w:ascii="Times New Roman" w:hAnsi="Times New Roman" w:cs="Times New Roman"/>
          <w:sz w:val="24"/>
          <w:szCs w:val="24"/>
        </w:rPr>
        <w:t xml:space="preserve"> przejmując</w:t>
      </w:r>
      <w:r w:rsidR="00F97EB3" w:rsidRPr="008D7149">
        <w:rPr>
          <w:rFonts w:ascii="Times New Roman" w:hAnsi="Times New Roman" w:cs="Times New Roman"/>
          <w:sz w:val="24"/>
          <w:szCs w:val="24"/>
        </w:rPr>
        <w:t>ego</w:t>
      </w:r>
      <w:r w:rsidRPr="008D7149">
        <w:rPr>
          <w:rFonts w:ascii="Times New Roman" w:hAnsi="Times New Roman" w:cs="Times New Roman"/>
          <w:sz w:val="24"/>
          <w:szCs w:val="24"/>
        </w:rPr>
        <w:t xml:space="preserve"> prawa udziałowe podmiotu w restrukturyzacji (zaadresowanie sytuacji, która już wystąpiła w sektorze banków spółdzielczych w przypadku przymusowej restrukturyzacji banku spółdzielczego w Przemkowie i partycypacji w transakcji systemu ochrony SGB). Ponadto system ochrony może wspierać przejęcie banku zgodnie z art. 146 ust. 1 ustawy </w:t>
      </w:r>
      <w:r w:rsidR="00346B7A"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jeżeli podmiotem przejm</w:t>
      </w:r>
      <w:r w:rsidR="00F97EB3" w:rsidRPr="008D7149">
        <w:rPr>
          <w:rFonts w:ascii="Times New Roman" w:hAnsi="Times New Roman" w:cs="Times New Roman"/>
          <w:sz w:val="24"/>
          <w:szCs w:val="24"/>
        </w:rPr>
        <w:t>owanym</w:t>
      </w:r>
      <w:r w:rsidRPr="008D7149">
        <w:rPr>
          <w:rFonts w:ascii="Times New Roman" w:hAnsi="Times New Roman" w:cs="Times New Roman"/>
          <w:sz w:val="24"/>
          <w:szCs w:val="24"/>
        </w:rPr>
        <w:t xml:space="preserve"> </w:t>
      </w:r>
      <w:r w:rsidR="00346B7A" w:rsidRPr="008D7149">
        <w:rPr>
          <w:rFonts w:ascii="Times New Roman" w:hAnsi="Times New Roman" w:cs="Times New Roman"/>
          <w:sz w:val="24"/>
          <w:szCs w:val="24"/>
        </w:rPr>
        <w:t xml:space="preserve">jest </w:t>
      </w:r>
      <w:r w:rsidR="00F97EB3" w:rsidRPr="008D7149">
        <w:rPr>
          <w:rFonts w:ascii="Times New Roman" w:hAnsi="Times New Roman" w:cs="Times New Roman"/>
          <w:sz w:val="24"/>
          <w:szCs w:val="24"/>
        </w:rPr>
        <w:t>bank w formie spółki akcyjnej, analogicznie względem możliwości wsparcia procesu przejęcia w przymusowej restrukturyzacji.</w:t>
      </w:r>
    </w:p>
    <w:p w14:paraId="56B68D64" w14:textId="04D2DF33"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Zgodnie z projektowanym art. 130h ust. 2 ustawy </w:t>
      </w:r>
      <w:r w:rsidR="009C3F15"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w:t>
      </w:r>
      <w:r w:rsidR="00ED458C">
        <w:rPr>
          <w:rFonts w:ascii="Times New Roman" w:hAnsi="Times New Roman" w:cs="Times New Roman"/>
          <w:sz w:val="24"/>
          <w:szCs w:val="24"/>
        </w:rPr>
        <w:t xml:space="preserve"> </w:t>
      </w:r>
      <w:r w:rsidRPr="008D7149">
        <w:rPr>
          <w:rFonts w:ascii="Times New Roman" w:hAnsi="Times New Roman" w:cs="Times New Roman"/>
          <w:sz w:val="24"/>
          <w:szCs w:val="24"/>
        </w:rPr>
        <w:t xml:space="preserve">fundusz pomocowy będzie tworzony z wpłat uczestników systemu ochrony lub z innych źródeł określonych w umowie systemu ochrony. Wysokość i zasady wnoszenia wpłat będzie określała umowa systemu ochrony z zastrzeżeniem przepisów określających minimalną wysokość wpłaty dla członków przystępujących do systemu ochrony. Ustawodawca uznał, że banki komercyjne uczestniczące w systemie ochrony powinny mieć pełną swobodę w kształtowaniu polityki kapitalizowania funduszu pomocowego, z uwagi na fakt, że najlepiej znają skalę potrzeb i potencjalnych problemów czy przyszłych potencjalnych czynników ryzyka w sektorze. Jednocześnie z uwagi na to, że </w:t>
      </w:r>
      <w:r w:rsidR="00ED458C" w:rsidRPr="008D7149">
        <w:rPr>
          <w:rFonts w:ascii="Times New Roman" w:hAnsi="Times New Roman" w:cs="Times New Roman"/>
          <w:sz w:val="24"/>
          <w:szCs w:val="24"/>
        </w:rPr>
        <w:t xml:space="preserve">jest </w:t>
      </w:r>
      <w:r w:rsidRPr="008D7149">
        <w:rPr>
          <w:rFonts w:ascii="Times New Roman" w:hAnsi="Times New Roman" w:cs="Times New Roman"/>
          <w:sz w:val="24"/>
          <w:szCs w:val="24"/>
        </w:rPr>
        <w:t>zasadnym wstępne zasilenie tego funduszu, aby zyskał operacyjną zdolność zbliżoną do funduszy utworzonych w systemach pomocy sektora spółdzielczego, które były dokapitalizowywane przez kilka lat, dodano zastrzeżenie wskazujące na konieczność wniesienia wstępnej wpłaty przy przystąpieniu do tego systemu.</w:t>
      </w:r>
    </w:p>
    <w:p w14:paraId="2766F382" w14:textId="7B1EE1CA" w:rsidR="00A27238" w:rsidRPr="008D7149" w:rsidRDefault="004627B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art. 130h ust. </w:t>
      </w:r>
      <w:r w:rsidR="00AB54BF" w:rsidRPr="008D7149">
        <w:rPr>
          <w:rFonts w:ascii="Times New Roman" w:hAnsi="Times New Roman" w:cs="Times New Roman"/>
          <w:sz w:val="24"/>
          <w:szCs w:val="24"/>
        </w:rPr>
        <w:t>3</w:t>
      </w:r>
      <w:r w:rsidR="00A27238" w:rsidRPr="008D7149">
        <w:rPr>
          <w:rFonts w:ascii="Times New Roman" w:hAnsi="Times New Roman" w:cs="Times New Roman"/>
          <w:b/>
          <w:sz w:val="24"/>
          <w:szCs w:val="24"/>
        </w:rPr>
        <w:t xml:space="preserve"> </w:t>
      </w:r>
      <w:r w:rsidR="00A27238" w:rsidRPr="008D7149">
        <w:rPr>
          <w:rFonts w:ascii="Times New Roman" w:hAnsi="Times New Roman" w:cs="Times New Roman"/>
          <w:sz w:val="24"/>
          <w:szCs w:val="24"/>
        </w:rPr>
        <w:t xml:space="preserve">ustawy </w:t>
      </w:r>
      <w:r w:rsidR="009C3F15" w:rsidRPr="008D7149">
        <w:rPr>
          <w:rFonts w:ascii="Times New Roman" w:hAnsi="Times New Roman" w:cs="Times New Roman"/>
          <w:sz w:val="24"/>
          <w:szCs w:val="24"/>
        </w:rPr>
        <w:t xml:space="preserve">z dnia 29 sierpnia 1997 r. </w:t>
      </w:r>
      <w:r w:rsidR="00A27238" w:rsidRPr="008D7149">
        <w:rPr>
          <w:rFonts w:ascii="Times New Roman" w:hAnsi="Times New Roman" w:cs="Times New Roman"/>
          <w:sz w:val="24"/>
          <w:szCs w:val="24"/>
        </w:rPr>
        <w:t>– Prawo bankowe</w:t>
      </w:r>
      <w:r w:rsidR="00A27238" w:rsidRPr="008D7149">
        <w:rPr>
          <w:rFonts w:ascii="Times New Roman" w:hAnsi="Times New Roman" w:cs="Times New Roman"/>
          <w:b/>
          <w:sz w:val="24"/>
          <w:szCs w:val="24"/>
        </w:rPr>
        <w:t xml:space="preserve"> </w:t>
      </w:r>
      <w:r w:rsidR="00A27238" w:rsidRPr="008D7149">
        <w:rPr>
          <w:rFonts w:ascii="Times New Roman" w:hAnsi="Times New Roman" w:cs="Times New Roman"/>
          <w:sz w:val="24"/>
          <w:szCs w:val="24"/>
        </w:rPr>
        <w:t>określa obowiązek wniesienia przez uczestnika systemu ochrony początkowej wpłaty na fundusz pomocowy, w wysokości co najmniej 0,3% kwoty środków gwarantowanych tego uczestnika, objętych obowiązkowym systemem gwarantowania depozytów. Wpłaty takie powinny być wniesione w terminie 30 dni od dnia przystąpienia do systemu ochrony. Przepis ten wynika z konieczności wyposażenia funduszu pomocowego w początkowy kapitał, który będzie umożliwiał mu operacyjną zdolność działania. System ochrony w sektorze banków komercyjnych tworzony jest znacząco później niż takie systemy powstały w sektorze spółdzielczym, natomiast będzie musiał być skuteczny w podobnym zakresie wobec tych samych czynników ryzyka. Ponadto z uwagi na większą autonomię banków komercyjnych, wynikającą m.in. z innych podstaw regulacyjnych dla funkcjonowania banków w formie spółek akcyjnych, a tym samym braku objęcia zakresem kompetencji systemu ochrony także kwestii w zakresie zarządzania ryzykiem związanym z prowadzeniem działalności bankowej, czy sposobu kapitalizowania opartego na składkac</w:t>
      </w:r>
      <w:r w:rsidR="00C86DC1" w:rsidRPr="008D7149">
        <w:rPr>
          <w:rFonts w:ascii="Times New Roman" w:hAnsi="Times New Roman" w:cs="Times New Roman"/>
          <w:sz w:val="24"/>
          <w:szCs w:val="24"/>
        </w:rPr>
        <w:t>h na fundusz gwarancyjny banków</w:t>
      </w:r>
      <w:r w:rsidR="00A27238" w:rsidRPr="008D7149">
        <w:rPr>
          <w:rFonts w:ascii="Times New Roman" w:hAnsi="Times New Roman" w:cs="Times New Roman"/>
          <w:sz w:val="24"/>
          <w:szCs w:val="24"/>
        </w:rPr>
        <w:t xml:space="preserve"> (w sektorze spółdzielczym wpłata dokonywana przez uczestnika systemu ochrony na fundusz pomocowy nie może być niższa niż wysokość obniżki składki, o której mowa w art. 286 ust. 1 ustawy o BFG, wynikająca z różnicy między składką wyliczoną dla banku będącego uczestnikiem systemu ochrony </w:t>
      </w:r>
      <w:r w:rsidR="00256466">
        <w:rPr>
          <w:rFonts w:ascii="Times New Roman" w:hAnsi="Times New Roman" w:cs="Times New Roman"/>
          <w:sz w:val="24"/>
          <w:szCs w:val="24"/>
        </w:rPr>
        <w:t>a</w:t>
      </w:r>
      <w:r w:rsidR="00A27238" w:rsidRPr="008D7149">
        <w:rPr>
          <w:rFonts w:ascii="Times New Roman" w:hAnsi="Times New Roman" w:cs="Times New Roman"/>
          <w:sz w:val="24"/>
          <w:szCs w:val="24"/>
        </w:rPr>
        <w:t xml:space="preserve"> oszacowaną wielkością składki, w przypadku gdy bank ten nie uczestniczyłby w systemie ochrony). Takie rozwiązanie w sektorze komercyjnym nie jest możliwe, ponieważ mechanizm obniżki skonstruowany jest w sposób, gdzie obniżka udzielona bankom spółdzielczym zostaje pokryta wpłatami banków komercyjnych, tym samym</w:t>
      </w:r>
      <w:r w:rsidR="0048688E">
        <w:rPr>
          <w:rFonts w:ascii="Times New Roman" w:hAnsi="Times New Roman" w:cs="Times New Roman"/>
          <w:sz w:val="24"/>
          <w:szCs w:val="24"/>
        </w:rPr>
        <w:t>,</w:t>
      </w:r>
      <w:r w:rsidR="00A27238" w:rsidRPr="008D7149">
        <w:rPr>
          <w:rFonts w:ascii="Times New Roman" w:hAnsi="Times New Roman" w:cs="Times New Roman"/>
          <w:sz w:val="24"/>
          <w:szCs w:val="24"/>
        </w:rPr>
        <w:t xml:space="preserve"> jeżeli </w:t>
      </w:r>
      <w:r w:rsidR="00A27238" w:rsidRPr="008D7149">
        <w:rPr>
          <w:rFonts w:ascii="Times New Roman" w:hAnsi="Times New Roman" w:cs="Times New Roman"/>
          <w:sz w:val="24"/>
          <w:szCs w:val="24"/>
        </w:rPr>
        <w:lastRenderedPageBreak/>
        <w:t>analogiczny przepis dotyczyłby banków komercyjnych, to całość składki musiałyby pokryć banki komercyjne niebędące uczestnikami systemu ochrony, a ciężar tych zobowiązań byłby zbyt wysoki. Zaproponowano zatem w całości prywatny sposób finansowania funduszu pomocowego, bez zachęt, jakie otrzymały banki spółdzielcze.</w:t>
      </w:r>
    </w:p>
    <w:p w14:paraId="06119590" w14:textId="0D53DF72" w:rsidR="004627BB" w:rsidRPr="008D7149" w:rsidRDefault="004627B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Ponadto p</w:t>
      </w:r>
      <w:r w:rsidR="00AB54BF" w:rsidRPr="008D7149">
        <w:rPr>
          <w:rFonts w:ascii="Times New Roman" w:hAnsi="Times New Roman" w:cs="Times New Roman"/>
          <w:sz w:val="24"/>
          <w:szCs w:val="24"/>
        </w:rPr>
        <w:t>rojektowany art. 130h ust.</w:t>
      </w:r>
      <w:r w:rsidRPr="008D7149">
        <w:rPr>
          <w:rFonts w:ascii="Times New Roman" w:hAnsi="Times New Roman" w:cs="Times New Roman"/>
          <w:sz w:val="24"/>
          <w:szCs w:val="24"/>
        </w:rPr>
        <w:t xml:space="preserve"> 4 ustawy </w:t>
      </w:r>
      <w:r w:rsidR="009C3F15"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określa zamknięty katalog instrumentów, w których jednostka zarządzająca systemem ochrony może lokować środki funduszu pomocowego. Katalog ten obejmuje lokaty bankowe zakładane wyłącznie w bankach, będących uczestnikami systemu ochrony, </w:t>
      </w:r>
      <w:r w:rsidR="001C6DBD" w:rsidRPr="008D7149">
        <w:rPr>
          <w:rFonts w:ascii="Times New Roman" w:hAnsi="Times New Roman" w:cs="Times New Roman"/>
          <w:sz w:val="24"/>
          <w:szCs w:val="24"/>
        </w:rPr>
        <w:t>skarbowe papiery wartościowe</w:t>
      </w:r>
      <w:r w:rsidRPr="008D7149">
        <w:rPr>
          <w:rFonts w:ascii="Times New Roman" w:hAnsi="Times New Roman" w:cs="Times New Roman"/>
          <w:sz w:val="24"/>
          <w:szCs w:val="24"/>
        </w:rPr>
        <w:t>, bony pieniężne Narodowego Banku Polskiego oraz obligacje emitowane przez BFG. Ograniczenie możliwości lokowania środków podyktowane jest pomocowym charakterem działalności systemu ochrony oraz koniecznością szybkiego dostępu do zgromadzonych środków przy jednoczesnym zapewnieniu im bezpie</w:t>
      </w:r>
      <w:r w:rsidR="00AB54BF" w:rsidRPr="008D7149">
        <w:rPr>
          <w:rFonts w:ascii="Times New Roman" w:hAnsi="Times New Roman" w:cs="Times New Roman"/>
          <w:sz w:val="24"/>
          <w:szCs w:val="24"/>
        </w:rPr>
        <w:t>czeństwa.</w:t>
      </w:r>
    </w:p>
    <w:p w14:paraId="3398793A" w14:textId="3C024FD1"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projektowanym art. 130h ust. 5 ustawy </w:t>
      </w:r>
      <w:r w:rsidR="009C3F15"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umowa systemu ochrony będzie określała szczegółowe zasady zarządzania funduszem pomocowym.</w:t>
      </w:r>
    </w:p>
    <w:p w14:paraId="7B6F65FB" w14:textId="21CF49A7"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Projektowany </w:t>
      </w:r>
      <w:r w:rsidRPr="008D7149">
        <w:rPr>
          <w:rFonts w:ascii="Times New Roman" w:eastAsia="Calibri" w:hAnsi="Times New Roman" w:cs="Times New Roman"/>
          <w:b/>
          <w:sz w:val="24"/>
          <w:szCs w:val="24"/>
        </w:rPr>
        <w:t>art. 130i</w:t>
      </w:r>
      <w:r w:rsidRPr="008D7149">
        <w:rPr>
          <w:rFonts w:ascii="Times New Roman" w:eastAsia="Calibri" w:hAnsi="Times New Roman" w:cs="Times New Roman"/>
          <w:sz w:val="24"/>
          <w:szCs w:val="24"/>
        </w:rPr>
        <w:t xml:space="preserve"> ustawy </w:t>
      </w:r>
      <w:r w:rsidR="009C3F15" w:rsidRPr="008D7149">
        <w:rPr>
          <w:rFonts w:ascii="Times New Roman" w:eastAsia="Calibri" w:hAnsi="Times New Roman" w:cs="Times New Roman"/>
          <w:sz w:val="24"/>
          <w:szCs w:val="24"/>
        </w:rPr>
        <w:t xml:space="preserve">z dnia 29 sierpnia 1997 r. </w:t>
      </w:r>
      <w:r w:rsidRPr="008D7149">
        <w:rPr>
          <w:rFonts w:ascii="Times New Roman" w:eastAsia="Calibri" w:hAnsi="Times New Roman" w:cs="Times New Roman"/>
          <w:sz w:val="24"/>
          <w:szCs w:val="24"/>
        </w:rPr>
        <w:t xml:space="preserve">– Prawo bankowe jest wzorowany na art. 22h ustawy o bankach spółdzielczych. Przepis ten przewiduje konieczność utworzenia w jednostce zarządzającej mechanizmów pomocy płynnościowej, pomocy służącej zapewnieniu wypłacalności, wsparcia przez system ochrony postępowań, o których mowa w projektowanym art. 130b ust. 2 ustawy </w:t>
      </w:r>
      <w:r w:rsidR="009C3F15" w:rsidRPr="008D7149">
        <w:rPr>
          <w:rFonts w:ascii="Times New Roman" w:eastAsia="Calibri" w:hAnsi="Times New Roman" w:cs="Times New Roman"/>
          <w:sz w:val="24"/>
          <w:szCs w:val="24"/>
        </w:rPr>
        <w:t xml:space="preserve">z dnia 29 sierpnia 1997 r. </w:t>
      </w:r>
      <w:r w:rsidRPr="008D7149">
        <w:rPr>
          <w:rFonts w:ascii="Times New Roman" w:eastAsia="Calibri" w:hAnsi="Times New Roman" w:cs="Times New Roman"/>
          <w:sz w:val="24"/>
          <w:szCs w:val="24"/>
        </w:rPr>
        <w:t xml:space="preserve">– Prawo bankowe. Zakres kwestii regulowanych tym przepisem odpowiada celom instytucjonalnego systemu ochrony oraz możliwościom wsparcia postępowań z projektowanego art. 130b ust. 2 ustawy </w:t>
      </w:r>
      <w:r w:rsidR="009C3F15" w:rsidRPr="008D7149">
        <w:rPr>
          <w:rFonts w:ascii="Times New Roman" w:eastAsia="Calibri" w:hAnsi="Times New Roman" w:cs="Times New Roman"/>
          <w:sz w:val="24"/>
          <w:szCs w:val="24"/>
        </w:rPr>
        <w:t xml:space="preserve">z dnia 29 sierpnia 1997 r. </w:t>
      </w:r>
      <w:r w:rsidRPr="008D7149">
        <w:rPr>
          <w:rFonts w:ascii="Times New Roman" w:eastAsia="Calibri" w:hAnsi="Times New Roman" w:cs="Times New Roman"/>
          <w:sz w:val="24"/>
          <w:szCs w:val="24"/>
        </w:rPr>
        <w:t>– Prawo bankowe.</w:t>
      </w:r>
    </w:p>
    <w:p w14:paraId="7BA84C0F" w14:textId="50FCC745"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Szczegółowe zasady tworzenia i zarządzania mechanizmami będą określone w sposób swobodny przez uczestników systemu ochrony w umowie systemu ochrony.</w:t>
      </w:r>
    </w:p>
    <w:p w14:paraId="027AE1A6" w14:textId="23DE73D1"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Projektowany </w:t>
      </w:r>
      <w:r w:rsidRPr="008D7149">
        <w:rPr>
          <w:rFonts w:ascii="Times New Roman" w:eastAsia="Calibri" w:hAnsi="Times New Roman" w:cs="Times New Roman"/>
          <w:b/>
          <w:sz w:val="24"/>
          <w:szCs w:val="24"/>
        </w:rPr>
        <w:t>art. 130j ust. 1</w:t>
      </w:r>
      <w:r w:rsidRPr="008D7149">
        <w:rPr>
          <w:rFonts w:ascii="Times New Roman" w:eastAsia="Calibri" w:hAnsi="Times New Roman" w:cs="Times New Roman"/>
          <w:sz w:val="24"/>
          <w:szCs w:val="24"/>
        </w:rPr>
        <w:t xml:space="preserve"> ustawy </w:t>
      </w:r>
      <w:r w:rsidR="009C3F15" w:rsidRPr="008D7149">
        <w:rPr>
          <w:rFonts w:ascii="Times New Roman" w:eastAsia="Calibri" w:hAnsi="Times New Roman" w:cs="Times New Roman"/>
          <w:sz w:val="24"/>
          <w:szCs w:val="24"/>
        </w:rPr>
        <w:t xml:space="preserve">z dnia 29 sierpnia 1997 r. </w:t>
      </w:r>
      <w:r w:rsidRPr="008D7149">
        <w:rPr>
          <w:rFonts w:ascii="Times New Roman" w:eastAsia="Calibri" w:hAnsi="Times New Roman" w:cs="Times New Roman"/>
          <w:sz w:val="24"/>
          <w:szCs w:val="24"/>
        </w:rPr>
        <w:t>– Prawo bankowe określa przesłanki udzielenia przez jednostkę zarządzającą wsparcia. Pomoc taka może być udzielona, gdy spełniony zostanie co najmniej jeden z warunków określonych w przepisie. Wsparcie może zostać udzielone, gdy będzie ono służyło zapobieganiu upadłości jednego z uczestników systemu, niekoniecznie uczestnika wnioskującego, lub gdy miałoby zostać udziel</w:t>
      </w:r>
      <w:r w:rsidR="0048688E">
        <w:rPr>
          <w:rFonts w:ascii="Times New Roman" w:eastAsia="Calibri" w:hAnsi="Times New Roman" w:cs="Times New Roman"/>
          <w:sz w:val="24"/>
          <w:szCs w:val="24"/>
        </w:rPr>
        <w:t>o</w:t>
      </w:r>
      <w:r w:rsidRPr="008D7149">
        <w:rPr>
          <w:rFonts w:ascii="Times New Roman" w:eastAsia="Calibri" w:hAnsi="Times New Roman" w:cs="Times New Roman"/>
          <w:sz w:val="24"/>
          <w:szCs w:val="24"/>
        </w:rPr>
        <w:t xml:space="preserve">ne dla wspierania przymusowej restrukturyzacji albo przejęcia, o którym mowa w art. 146b ust. 1 </w:t>
      </w:r>
      <w:r w:rsidRPr="008D7149">
        <w:rPr>
          <w:rFonts w:ascii="Times New Roman" w:eastAsia="Calibri" w:hAnsi="Times New Roman" w:cs="Times New Roman"/>
          <w:sz w:val="24"/>
          <w:szCs w:val="24"/>
        </w:rPr>
        <w:lastRenderedPageBreak/>
        <w:t xml:space="preserve">ustawy </w:t>
      </w:r>
      <w:r w:rsidR="005908DE" w:rsidRPr="008D7149">
        <w:rPr>
          <w:rFonts w:ascii="Times New Roman" w:eastAsia="Calibri" w:hAnsi="Times New Roman" w:cs="Times New Roman"/>
          <w:sz w:val="24"/>
          <w:szCs w:val="24"/>
        </w:rPr>
        <w:t xml:space="preserve">z dnia 29 sierpnia 1997 r. </w:t>
      </w:r>
      <w:r w:rsidRPr="008D7149">
        <w:rPr>
          <w:rFonts w:ascii="Times New Roman" w:eastAsia="Calibri" w:hAnsi="Times New Roman" w:cs="Times New Roman"/>
          <w:sz w:val="24"/>
          <w:szCs w:val="24"/>
        </w:rPr>
        <w:t>– Prawo bankowe, a także gdy takie wsparcie będzie służyć spełnieniu wymogów regulacyjnych uczestnika systemu ochrony.</w:t>
      </w:r>
    </w:p>
    <w:p w14:paraId="3F2F5D12" w14:textId="6AC8EA28"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Zgodnie z projektowanym art. 130j ust. 2 ustawy </w:t>
      </w:r>
      <w:r w:rsidR="005908DE" w:rsidRPr="008D7149">
        <w:rPr>
          <w:rFonts w:ascii="Times New Roman" w:eastAsia="Calibri" w:hAnsi="Times New Roman" w:cs="Times New Roman"/>
          <w:sz w:val="24"/>
          <w:szCs w:val="24"/>
        </w:rPr>
        <w:t xml:space="preserve">z dnia 29 sierpnia 1997 r. </w:t>
      </w:r>
      <w:r w:rsidRPr="008D7149">
        <w:rPr>
          <w:rFonts w:ascii="Times New Roman" w:eastAsia="Calibri" w:hAnsi="Times New Roman" w:cs="Times New Roman"/>
          <w:sz w:val="24"/>
          <w:szCs w:val="24"/>
        </w:rPr>
        <w:t>– Prawo bankowe</w:t>
      </w:r>
      <w:r w:rsidR="002A0CCC">
        <w:rPr>
          <w:rFonts w:ascii="Times New Roman" w:eastAsia="Calibri" w:hAnsi="Times New Roman" w:cs="Times New Roman"/>
          <w:sz w:val="24"/>
          <w:szCs w:val="24"/>
        </w:rPr>
        <w:t xml:space="preserve"> </w:t>
      </w:r>
      <w:r w:rsidRPr="008D7149">
        <w:rPr>
          <w:rFonts w:ascii="Times New Roman" w:eastAsia="Calibri" w:hAnsi="Times New Roman" w:cs="Times New Roman"/>
          <w:sz w:val="24"/>
          <w:szCs w:val="24"/>
        </w:rPr>
        <w:t xml:space="preserve">wsparcie </w:t>
      </w:r>
      <w:r w:rsidR="009E517B" w:rsidRPr="008D7149">
        <w:rPr>
          <w:rFonts w:ascii="Times New Roman" w:eastAsia="Calibri" w:hAnsi="Times New Roman" w:cs="Times New Roman"/>
          <w:sz w:val="24"/>
          <w:szCs w:val="24"/>
        </w:rPr>
        <w:t xml:space="preserve">może być </w:t>
      </w:r>
      <w:r w:rsidRPr="008D7149">
        <w:rPr>
          <w:rFonts w:ascii="Times New Roman" w:eastAsia="Calibri" w:hAnsi="Times New Roman" w:cs="Times New Roman"/>
          <w:sz w:val="24"/>
          <w:szCs w:val="24"/>
        </w:rPr>
        <w:t xml:space="preserve">udzielane przez system ochrony </w:t>
      </w:r>
      <w:r w:rsidR="009E517B" w:rsidRPr="008D7149">
        <w:rPr>
          <w:rFonts w:ascii="Times New Roman" w:eastAsia="Calibri" w:hAnsi="Times New Roman" w:cs="Times New Roman"/>
          <w:sz w:val="24"/>
          <w:szCs w:val="24"/>
        </w:rPr>
        <w:t>w związku z przejęciem, o którym mowa w art. 174 ust. 1 ustawy o BFG, lub przejęciem, o którym mowa w art. 146b ust. 1.</w:t>
      </w:r>
    </w:p>
    <w:p w14:paraId="0B0FD9C3" w14:textId="71085956" w:rsidR="008C5E02" w:rsidRPr="008D7149" w:rsidRDefault="008C5E02"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Projektowany art. 130j ust. 3 </w:t>
      </w:r>
      <w:r w:rsidR="005908DE" w:rsidRPr="008D7149">
        <w:rPr>
          <w:rFonts w:ascii="Times New Roman" w:eastAsia="Calibri" w:hAnsi="Times New Roman" w:cs="Times New Roman"/>
          <w:sz w:val="24"/>
          <w:szCs w:val="24"/>
        </w:rPr>
        <w:t xml:space="preserve">ustawy z dnia 29 sierpnia 1997 r. – Prawo bankowe </w:t>
      </w:r>
      <w:r w:rsidRPr="008D7149">
        <w:rPr>
          <w:rFonts w:ascii="Times New Roman" w:eastAsia="Calibri" w:hAnsi="Times New Roman" w:cs="Times New Roman"/>
          <w:sz w:val="24"/>
          <w:szCs w:val="24"/>
        </w:rPr>
        <w:t>doprecyzowuje moment, w którym składany jest wniosek do jednostki zarządzającej systemem ochrony</w:t>
      </w:r>
      <w:r w:rsidR="009E517B" w:rsidRPr="008D7149">
        <w:rPr>
          <w:rFonts w:ascii="Times New Roman" w:eastAsia="Calibri" w:hAnsi="Times New Roman" w:cs="Times New Roman"/>
          <w:sz w:val="24"/>
          <w:szCs w:val="24"/>
        </w:rPr>
        <w:t>. Wniosek ten jest składany</w:t>
      </w:r>
      <w:r w:rsidRPr="008D7149">
        <w:rPr>
          <w:rFonts w:ascii="Times New Roman" w:eastAsia="Calibri" w:hAnsi="Times New Roman" w:cs="Times New Roman"/>
          <w:sz w:val="24"/>
          <w:szCs w:val="24"/>
        </w:rPr>
        <w:t xml:space="preserve"> </w:t>
      </w:r>
      <w:r w:rsidR="009E517B" w:rsidRPr="008D7149">
        <w:rPr>
          <w:rFonts w:ascii="Times New Roman" w:eastAsia="Calibri" w:hAnsi="Times New Roman" w:cs="Times New Roman"/>
          <w:sz w:val="24"/>
          <w:szCs w:val="24"/>
        </w:rPr>
        <w:t>przed wszczęciem przymusowej restrukturyzacji przez podmiot zainteresowany przejęciem przedsiębiorstwa lub wybranych albo wszystkich praw majątkowych lub wybranych albo wszystkich zobowiązań lub praw udziałowych podmiotu, wobec którego może zostać wszczęta przymusowa restrukturyzacja. Powyższe w</w:t>
      </w:r>
      <w:r w:rsidR="00B216F5" w:rsidRPr="008D7149">
        <w:rPr>
          <w:rFonts w:ascii="Times New Roman" w:eastAsia="Calibri" w:hAnsi="Times New Roman" w:cs="Times New Roman"/>
          <w:sz w:val="24"/>
          <w:szCs w:val="24"/>
        </w:rPr>
        <w:t xml:space="preserve">ynika </w:t>
      </w:r>
      <w:r w:rsidR="009E517B" w:rsidRPr="008D7149">
        <w:rPr>
          <w:rFonts w:ascii="Times New Roman" w:eastAsia="Calibri" w:hAnsi="Times New Roman" w:cs="Times New Roman"/>
          <w:sz w:val="24"/>
          <w:szCs w:val="24"/>
        </w:rPr>
        <w:t xml:space="preserve">z </w:t>
      </w:r>
      <w:r w:rsidR="00B216F5" w:rsidRPr="008D7149">
        <w:rPr>
          <w:rFonts w:ascii="Times New Roman" w:eastAsia="Calibri" w:hAnsi="Times New Roman" w:cs="Times New Roman"/>
          <w:sz w:val="24"/>
          <w:szCs w:val="24"/>
        </w:rPr>
        <w:t xml:space="preserve">charakteru procesów przymusowej restrukturyzacji, gdzie </w:t>
      </w:r>
      <w:r w:rsidR="00A05B34" w:rsidRPr="008D7149">
        <w:rPr>
          <w:rFonts w:ascii="Times New Roman" w:eastAsia="Calibri" w:hAnsi="Times New Roman" w:cs="Times New Roman"/>
          <w:sz w:val="24"/>
          <w:szCs w:val="24"/>
        </w:rPr>
        <w:t xml:space="preserve">BFG </w:t>
      </w:r>
      <w:r w:rsidR="00B216F5" w:rsidRPr="008D7149">
        <w:rPr>
          <w:rFonts w:ascii="Times New Roman" w:eastAsia="Calibri" w:hAnsi="Times New Roman" w:cs="Times New Roman"/>
          <w:sz w:val="24"/>
          <w:szCs w:val="24"/>
        </w:rPr>
        <w:t xml:space="preserve">zanim wyda decyzję o wszczęciu przymusowej restrukturyzacji szuka na rynku potencjalnych podmiotów przejmujących (zawierając z nimi w trakcie rozmów umowy NDA), dopiero w sytuacji wyrażenia chęci przez potencjalny podmiot przejmujący i sparametryzowaniu całej transakcji, </w:t>
      </w:r>
      <w:r w:rsidR="00A05B34" w:rsidRPr="008D7149">
        <w:rPr>
          <w:rFonts w:ascii="Times New Roman" w:eastAsia="Calibri" w:hAnsi="Times New Roman" w:cs="Times New Roman"/>
          <w:sz w:val="24"/>
          <w:szCs w:val="24"/>
        </w:rPr>
        <w:t xml:space="preserve">BFG </w:t>
      </w:r>
      <w:r w:rsidR="00F639BC">
        <w:rPr>
          <w:rFonts w:ascii="Times New Roman" w:eastAsia="Calibri" w:hAnsi="Times New Roman" w:cs="Times New Roman"/>
          <w:sz w:val="24"/>
          <w:szCs w:val="24"/>
        </w:rPr>
        <w:t>wydaje decyzję o jej wszczęciu.</w:t>
      </w:r>
    </w:p>
    <w:p w14:paraId="17124520" w14:textId="23772B20" w:rsidR="00A27238" w:rsidRPr="008D7149" w:rsidRDefault="008C5E02"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Projektowany art. 130j ust. 4</w:t>
      </w:r>
      <w:r w:rsidR="00A27238" w:rsidRPr="008D7149">
        <w:rPr>
          <w:rFonts w:ascii="Times New Roman" w:eastAsia="Calibri" w:hAnsi="Times New Roman" w:cs="Times New Roman"/>
          <w:sz w:val="24"/>
          <w:szCs w:val="24"/>
        </w:rPr>
        <w:t xml:space="preserve"> ustawy </w:t>
      </w:r>
      <w:r w:rsidR="005908DE" w:rsidRPr="008D7149">
        <w:rPr>
          <w:rFonts w:ascii="Times New Roman" w:eastAsia="Calibri" w:hAnsi="Times New Roman" w:cs="Times New Roman"/>
          <w:sz w:val="24"/>
          <w:szCs w:val="24"/>
        </w:rPr>
        <w:t>z dnia 29 sierpnia 1997 r.</w:t>
      </w:r>
      <w:r w:rsidR="00A27238" w:rsidRPr="008D7149">
        <w:rPr>
          <w:rFonts w:ascii="Times New Roman" w:eastAsia="Calibri" w:hAnsi="Times New Roman" w:cs="Times New Roman"/>
          <w:sz w:val="24"/>
          <w:szCs w:val="24"/>
        </w:rPr>
        <w:t xml:space="preserve">– Prawo bankowe określa zasadę informowania o wyrażeniu zgody na udzielenie pomocy lub wsparcia przez jednostkę zarządzającą systemem ochrony: </w:t>
      </w:r>
      <w:r w:rsidR="00EB7072" w:rsidRPr="008D7149">
        <w:rPr>
          <w:rFonts w:ascii="Times New Roman" w:eastAsia="Calibri" w:hAnsi="Times New Roman" w:cs="Times New Roman"/>
          <w:sz w:val="24"/>
          <w:szCs w:val="24"/>
        </w:rPr>
        <w:t xml:space="preserve">podmiot </w:t>
      </w:r>
      <w:r w:rsidR="00A27238" w:rsidRPr="008D7149">
        <w:rPr>
          <w:rFonts w:ascii="Times New Roman" w:eastAsia="Calibri" w:hAnsi="Times New Roman" w:cs="Times New Roman"/>
          <w:sz w:val="24"/>
          <w:szCs w:val="24"/>
        </w:rPr>
        <w:t>wnioskując</w:t>
      </w:r>
      <w:r w:rsidR="00EB7072" w:rsidRPr="008D7149">
        <w:rPr>
          <w:rFonts w:ascii="Times New Roman" w:eastAsia="Calibri" w:hAnsi="Times New Roman" w:cs="Times New Roman"/>
          <w:sz w:val="24"/>
          <w:szCs w:val="24"/>
        </w:rPr>
        <w:t>y</w:t>
      </w:r>
      <w:r w:rsidR="00A27238" w:rsidRPr="008D7149">
        <w:rPr>
          <w:rFonts w:ascii="Times New Roman" w:eastAsia="Calibri" w:hAnsi="Times New Roman" w:cs="Times New Roman"/>
          <w:sz w:val="24"/>
          <w:szCs w:val="24"/>
        </w:rPr>
        <w:t xml:space="preserve"> o pomoc lub wsparcie, </w:t>
      </w:r>
      <w:r w:rsidR="00A05B34" w:rsidRPr="008D7149">
        <w:rPr>
          <w:rFonts w:ascii="Times New Roman" w:eastAsia="Calibri" w:hAnsi="Times New Roman" w:cs="Times New Roman"/>
          <w:sz w:val="24"/>
          <w:szCs w:val="24"/>
        </w:rPr>
        <w:t xml:space="preserve">BFG </w:t>
      </w:r>
      <w:r w:rsidR="00A27238" w:rsidRPr="008D7149">
        <w:rPr>
          <w:rFonts w:ascii="Times New Roman" w:eastAsia="Calibri" w:hAnsi="Times New Roman" w:cs="Times New Roman"/>
          <w:sz w:val="24"/>
          <w:szCs w:val="24"/>
        </w:rPr>
        <w:t xml:space="preserve">oraz </w:t>
      </w:r>
      <w:r w:rsidR="00E12859" w:rsidRPr="008D7149">
        <w:rPr>
          <w:rFonts w:ascii="Times New Roman" w:hAnsi="Times New Roman" w:cs="Times New Roman"/>
          <w:sz w:val="24"/>
          <w:szCs w:val="24"/>
        </w:rPr>
        <w:t>KNF</w:t>
      </w:r>
      <w:r w:rsidR="00A27238" w:rsidRPr="008D7149">
        <w:rPr>
          <w:rFonts w:ascii="Times New Roman" w:eastAsia="Calibri" w:hAnsi="Times New Roman" w:cs="Times New Roman"/>
          <w:sz w:val="24"/>
          <w:szCs w:val="24"/>
        </w:rPr>
        <w:t xml:space="preserve">. W przypadku odmowy udzielenia wsparcia przymusowej restrukturyzacji albo przejęcia określonego w art. 146b ust. 1 ustawy </w:t>
      </w:r>
      <w:r w:rsidR="005908DE" w:rsidRPr="008D7149">
        <w:rPr>
          <w:rFonts w:ascii="Times New Roman" w:eastAsia="Calibri" w:hAnsi="Times New Roman" w:cs="Times New Roman"/>
          <w:sz w:val="24"/>
          <w:szCs w:val="24"/>
        </w:rPr>
        <w:t xml:space="preserve">z dnia 29 sierpnia 1997 r. </w:t>
      </w:r>
      <w:r w:rsidR="00A27238" w:rsidRPr="008D7149">
        <w:rPr>
          <w:rFonts w:ascii="Times New Roman" w:eastAsia="Calibri" w:hAnsi="Times New Roman" w:cs="Times New Roman"/>
          <w:sz w:val="24"/>
          <w:szCs w:val="24"/>
        </w:rPr>
        <w:t xml:space="preserve">– Prawo bankowe (przypadki określone w projektowanym art. 130b ust. 2 tej ustawy), jednostka zarządzająca jest zobowiązana, zgodnie z projektowanym art. 130j ust. </w:t>
      </w:r>
      <w:r w:rsidR="00983B55" w:rsidRPr="008D7149">
        <w:rPr>
          <w:rFonts w:ascii="Times New Roman" w:eastAsia="Calibri" w:hAnsi="Times New Roman" w:cs="Times New Roman"/>
          <w:sz w:val="24"/>
          <w:szCs w:val="24"/>
        </w:rPr>
        <w:t>5</w:t>
      </w:r>
      <w:r w:rsidR="00A27238" w:rsidRPr="008D7149">
        <w:rPr>
          <w:rFonts w:ascii="Times New Roman" w:eastAsia="Calibri" w:hAnsi="Times New Roman" w:cs="Times New Roman"/>
          <w:b/>
          <w:sz w:val="24"/>
          <w:szCs w:val="24"/>
        </w:rPr>
        <w:t xml:space="preserve"> </w:t>
      </w:r>
      <w:r w:rsidR="00A27238" w:rsidRPr="008D7149">
        <w:rPr>
          <w:rFonts w:ascii="Times New Roman" w:eastAsia="Calibri" w:hAnsi="Times New Roman" w:cs="Times New Roman"/>
          <w:sz w:val="24"/>
          <w:szCs w:val="24"/>
        </w:rPr>
        <w:t xml:space="preserve">ustawy </w:t>
      </w:r>
      <w:r w:rsidR="005908DE" w:rsidRPr="008D7149">
        <w:rPr>
          <w:rFonts w:ascii="Times New Roman" w:eastAsia="Calibri" w:hAnsi="Times New Roman" w:cs="Times New Roman"/>
          <w:sz w:val="24"/>
          <w:szCs w:val="24"/>
        </w:rPr>
        <w:t xml:space="preserve">z dnia 29 sierpnia 1997 r. </w:t>
      </w:r>
      <w:r w:rsidR="00A27238" w:rsidRPr="008D7149">
        <w:rPr>
          <w:rFonts w:ascii="Times New Roman" w:eastAsia="Calibri" w:hAnsi="Times New Roman" w:cs="Times New Roman"/>
          <w:sz w:val="24"/>
          <w:szCs w:val="24"/>
        </w:rPr>
        <w:t>– Prawo bankowe</w:t>
      </w:r>
      <w:r w:rsidR="00891951">
        <w:rPr>
          <w:rFonts w:ascii="Times New Roman" w:eastAsia="Calibri" w:hAnsi="Times New Roman" w:cs="Times New Roman"/>
          <w:sz w:val="24"/>
          <w:szCs w:val="24"/>
        </w:rPr>
        <w:t>,</w:t>
      </w:r>
      <w:r w:rsidR="00A27238" w:rsidRPr="008D7149">
        <w:rPr>
          <w:rFonts w:ascii="Times New Roman" w:eastAsia="Calibri" w:hAnsi="Times New Roman" w:cs="Times New Roman"/>
          <w:sz w:val="24"/>
          <w:szCs w:val="24"/>
        </w:rPr>
        <w:t xml:space="preserve"> do przekazania uzasadnienia odmowy udzielenia wsparcia do </w:t>
      </w:r>
      <w:r w:rsidR="00EB7072" w:rsidRPr="008D7149">
        <w:rPr>
          <w:rFonts w:ascii="Times New Roman" w:eastAsia="Calibri" w:hAnsi="Times New Roman" w:cs="Times New Roman"/>
          <w:sz w:val="24"/>
          <w:szCs w:val="24"/>
        </w:rPr>
        <w:t xml:space="preserve">podmiotu </w:t>
      </w:r>
      <w:r w:rsidR="00A27238" w:rsidRPr="008D7149">
        <w:rPr>
          <w:rFonts w:ascii="Times New Roman" w:eastAsia="Calibri" w:hAnsi="Times New Roman" w:cs="Times New Roman"/>
          <w:sz w:val="24"/>
          <w:szCs w:val="24"/>
        </w:rPr>
        <w:t>wnioskujące</w:t>
      </w:r>
      <w:r w:rsidR="00BE1B04" w:rsidRPr="008D7149">
        <w:rPr>
          <w:rFonts w:ascii="Times New Roman" w:eastAsia="Calibri" w:hAnsi="Times New Roman" w:cs="Times New Roman"/>
          <w:sz w:val="24"/>
          <w:szCs w:val="24"/>
        </w:rPr>
        <w:t>go</w:t>
      </w:r>
      <w:r w:rsidR="00EB7072" w:rsidRPr="008D7149">
        <w:rPr>
          <w:rFonts w:ascii="Times New Roman" w:eastAsia="Calibri" w:hAnsi="Times New Roman" w:cs="Times New Roman"/>
          <w:sz w:val="24"/>
          <w:szCs w:val="24"/>
        </w:rPr>
        <w:t>,</w:t>
      </w:r>
      <w:r w:rsidR="00A27238" w:rsidRPr="008D7149">
        <w:rPr>
          <w:rFonts w:ascii="Times New Roman" w:eastAsia="Calibri" w:hAnsi="Times New Roman" w:cs="Times New Roman"/>
          <w:sz w:val="24"/>
          <w:szCs w:val="24"/>
        </w:rPr>
        <w:t xml:space="preserve"> </w:t>
      </w:r>
      <w:r w:rsidR="00A05B34" w:rsidRPr="008D7149">
        <w:rPr>
          <w:rFonts w:ascii="Times New Roman" w:eastAsia="Calibri" w:hAnsi="Times New Roman" w:cs="Times New Roman"/>
          <w:sz w:val="24"/>
          <w:szCs w:val="24"/>
        </w:rPr>
        <w:t>BFG</w:t>
      </w:r>
      <w:r w:rsidR="00A27238" w:rsidRPr="008D7149">
        <w:rPr>
          <w:rFonts w:ascii="Times New Roman" w:eastAsia="Calibri" w:hAnsi="Times New Roman" w:cs="Times New Roman"/>
          <w:sz w:val="24"/>
          <w:szCs w:val="24"/>
        </w:rPr>
        <w:t xml:space="preserve"> oraz </w:t>
      </w:r>
      <w:r w:rsidR="00E12859" w:rsidRPr="008D7149">
        <w:rPr>
          <w:rFonts w:ascii="Times New Roman" w:hAnsi="Times New Roman" w:cs="Times New Roman"/>
          <w:sz w:val="24"/>
          <w:szCs w:val="24"/>
        </w:rPr>
        <w:t>KNF</w:t>
      </w:r>
      <w:r w:rsidR="00A27238" w:rsidRPr="008D7149">
        <w:rPr>
          <w:rFonts w:ascii="Times New Roman" w:eastAsia="Calibri" w:hAnsi="Times New Roman" w:cs="Times New Roman"/>
          <w:sz w:val="24"/>
          <w:szCs w:val="24"/>
        </w:rPr>
        <w:t>. Umożliwia to wskazanym, zainteresowanym podmiotom uzyskanie wyjaśnień i informacji w tym zakresie.</w:t>
      </w:r>
    </w:p>
    <w:p w14:paraId="32F28EFA" w14:textId="2FF81DB6"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130k ust. 1</w:t>
      </w:r>
      <w:r w:rsidRPr="008D7149">
        <w:rPr>
          <w:rFonts w:ascii="Times New Roman" w:hAnsi="Times New Roman" w:cs="Times New Roman"/>
          <w:sz w:val="24"/>
          <w:szCs w:val="24"/>
        </w:rPr>
        <w:t xml:space="preserve">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wprowadza otwarty katalog zadań organu zarządzającego systemem ochrony. Do zadań organu zarządzającego będzie należało w szczególności: zarządzanie systemem ochrony, reprezentowanie systemu ochrony, zapewnienie zgodności działalności uczestników systemu ochrony z postanowieniami umowy systemu ochrony, podejmowanie działań koniecznych do zapewnienia bezpieczeństwa depozytów gromadzonych u uczestników systemu ochrony, podejmowanie działań koniecznych dla zapewnienia płynności i wypłacalności każdego </w:t>
      </w:r>
      <w:r w:rsidRPr="008D7149">
        <w:rPr>
          <w:rFonts w:ascii="Times New Roman" w:hAnsi="Times New Roman" w:cs="Times New Roman"/>
          <w:sz w:val="24"/>
          <w:szCs w:val="24"/>
        </w:rPr>
        <w:lastRenderedPageBreak/>
        <w:t xml:space="preserve">uczestnika systemu ochrony czy wspieranie udziału w procesach przymusowej restrukturyzacji i przejęć banków, o których mowa w art. 146b ust. 1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w:t>
      </w:r>
    </w:p>
    <w:p w14:paraId="1E63E90F" w14:textId="31E15C94"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t xml:space="preserve">Projektowany </w:t>
      </w:r>
      <w:r w:rsidR="00A32271" w:rsidRPr="008D7149">
        <w:rPr>
          <w:rFonts w:ascii="Times New Roman" w:hAnsi="Times New Roman" w:cs="Times New Roman"/>
          <w:b/>
          <w:sz w:val="24"/>
          <w:szCs w:val="24"/>
        </w:rPr>
        <w:t>art. 130k ust. 3</w:t>
      </w:r>
      <w:r w:rsidRPr="008D7149">
        <w:rPr>
          <w:rFonts w:ascii="Times New Roman" w:hAnsi="Times New Roman" w:cs="Times New Roman"/>
          <w:sz w:val="24"/>
          <w:szCs w:val="24"/>
        </w:rPr>
        <w:t xml:space="preserve">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wskazuje, że zasady dostępu uczestników systemu ochrony do informacji o ryzyku utraty przez uczestnika systemu ochrony płynności i wypłacalności określi umowa systemu ochrony. Taki przepis zapewni autonomię w kształtowaniu stosunków przez uczestników systemu ochrony.</w:t>
      </w:r>
    </w:p>
    <w:p w14:paraId="79F0AEED" w14:textId="37BFBA10"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t xml:space="preserve">Projektowany </w:t>
      </w:r>
      <w:r w:rsidR="00A32271" w:rsidRPr="008D7149">
        <w:rPr>
          <w:rFonts w:ascii="Times New Roman" w:hAnsi="Times New Roman" w:cs="Times New Roman"/>
          <w:b/>
          <w:sz w:val="24"/>
          <w:szCs w:val="24"/>
        </w:rPr>
        <w:t>art. 130k ust. 4-6</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nakłada na organ zarządzający systemu ochrony obowiązek sporządzania </w:t>
      </w:r>
      <w:r w:rsidR="00A32271" w:rsidRPr="008D7149">
        <w:rPr>
          <w:rFonts w:ascii="Times New Roman" w:hAnsi="Times New Roman" w:cs="Times New Roman"/>
          <w:sz w:val="24"/>
          <w:szCs w:val="24"/>
        </w:rPr>
        <w:t>informacji o systemie ochrony</w:t>
      </w:r>
      <w:r w:rsidRPr="008D7149">
        <w:rPr>
          <w:rFonts w:ascii="Times New Roman" w:hAnsi="Times New Roman" w:cs="Times New Roman"/>
          <w:sz w:val="24"/>
          <w:szCs w:val="24"/>
        </w:rPr>
        <w:t xml:space="preserve"> według stanu na koniec</w:t>
      </w:r>
      <w:r w:rsidR="00A32271" w:rsidRPr="008D7149">
        <w:rPr>
          <w:rFonts w:ascii="Times New Roman" w:hAnsi="Times New Roman" w:cs="Times New Roman"/>
          <w:sz w:val="24"/>
          <w:szCs w:val="24"/>
        </w:rPr>
        <w:t xml:space="preserve"> każdego roku obrotowego </w:t>
      </w:r>
      <w:r w:rsidRPr="008D7149">
        <w:rPr>
          <w:rFonts w:ascii="Times New Roman" w:hAnsi="Times New Roman" w:cs="Times New Roman"/>
          <w:sz w:val="24"/>
          <w:szCs w:val="24"/>
        </w:rPr>
        <w:t xml:space="preserve">oraz jej przekazywania do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i </w:t>
      </w:r>
      <w:r w:rsidR="00A05B34" w:rsidRPr="008D7149">
        <w:rPr>
          <w:rFonts w:ascii="Times New Roman" w:hAnsi="Times New Roman" w:cs="Times New Roman"/>
          <w:sz w:val="24"/>
          <w:szCs w:val="24"/>
        </w:rPr>
        <w:t>BFG</w:t>
      </w:r>
      <w:r w:rsidRPr="008D7149">
        <w:rPr>
          <w:rFonts w:ascii="Times New Roman" w:hAnsi="Times New Roman" w:cs="Times New Roman"/>
          <w:sz w:val="24"/>
          <w:szCs w:val="24"/>
        </w:rPr>
        <w:t xml:space="preserve">. Ze względu na ustawowe zadania </w:t>
      </w:r>
      <w:r w:rsidR="00A05B34" w:rsidRPr="008D7149">
        <w:rPr>
          <w:rFonts w:ascii="Times New Roman" w:hAnsi="Times New Roman" w:cs="Times New Roman"/>
          <w:sz w:val="24"/>
          <w:szCs w:val="24"/>
        </w:rPr>
        <w:t>BFG</w:t>
      </w:r>
      <w:r w:rsidRPr="008D7149">
        <w:rPr>
          <w:rFonts w:ascii="Times New Roman" w:hAnsi="Times New Roman" w:cs="Times New Roman"/>
          <w:sz w:val="24"/>
          <w:szCs w:val="24"/>
        </w:rPr>
        <w:t>, w szczególności</w:t>
      </w:r>
      <w:r w:rsidR="00CD7A32" w:rsidRPr="008D7149">
        <w:rPr>
          <w:rFonts w:ascii="Times New Roman" w:hAnsi="Times New Roman" w:cs="Times New Roman"/>
          <w:sz w:val="24"/>
          <w:szCs w:val="24"/>
        </w:rPr>
        <w:t xml:space="preserve"> </w:t>
      </w:r>
      <w:r w:rsidRPr="008D7149">
        <w:rPr>
          <w:rFonts w:ascii="Times New Roman" w:hAnsi="Times New Roman" w:cs="Times New Roman"/>
          <w:sz w:val="24"/>
          <w:szCs w:val="24"/>
        </w:rPr>
        <w:t>możliwość prowadzenia przymusowej restrukturyzacji</w:t>
      </w:r>
      <w:r w:rsidR="00320912">
        <w:rPr>
          <w:rFonts w:ascii="Times New Roman" w:hAnsi="Times New Roman" w:cs="Times New Roman"/>
          <w:sz w:val="24"/>
          <w:szCs w:val="24"/>
        </w:rPr>
        <w:t>,</w:t>
      </w:r>
      <w:r w:rsidRPr="008D7149">
        <w:rPr>
          <w:rFonts w:ascii="Times New Roman" w:hAnsi="Times New Roman" w:cs="Times New Roman"/>
          <w:sz w:val="24"/>
          <w:szCs w:val="24"/>
        </w:rPr>
        <w:t xml:space="preserve"> w sytuacji gdy wszczęto ją wobec uczestnika systemu ochrony lub gdy uczestnik systemu ochrony występuje jako podmiot przejmujący, o którym mowa w art. 174 ust. 1 ustawy o BFG, </w:t>
      </w:r>
      <w:r w:rsidR="00A05B34" w:rsidRPr="008D7149">
        <w:rPr>
          <w:rFonts w:ascii="Times New Roman" w:hAnsi="Times New Roman" w:cs="Times New Roman"/>
          <w:sz w:val="24"/>
          <w:szCs w:val="24"/>
        </w:rPr>
        <w:t xml:space="preserve">BFG </w:t>
      </w:r>
      <w:r w:rsidRPr="008D7149">
        <w:rPr>
          <w:rFonts w:ascii="Times New Roman" w:hAnsi="Times New Roman" w:cs="Times New Roman"/>
          <w:sz w:val="24"/>
          <w:szCs w:val="24"/>
        </w:rPr>
        <w:t xml:space="preserve">otrzymuje jedynie informacje o wysokości środków zgromadzonych w funduszu pomocowym i ich wykorzystaniu. Wskazać należy, że zakres informacji o systemie ochrony został ograniczony w stosunku do art. 113 ust. 7 lit. e rozporządzenia </w:t>
      </w:r>
      <w:r w:rsidR="005908DE" w:rsidRPr="008D7149">
        <w:rPr>
          <w:rFonts w:ascii="Times New Roman" w:hAnsi="Times New Roman" w:cs="Times New Roman"/>
          <w:sz w:val="24"/>
          <w:szCs w:val="24"/>
        </w:rPr>
        <w:t xml:space="preserve">(UE) </w:t>
      </w:r>
      <w:r w:rsidRPr="008D7149">
        <w:rPr>
          <w:rFonts w:ascii="Times New Roman" w:hAnsi="Times New Roman" w:cs="Times New Roman"/>
          <w:sz w:val="24"/>
          <w:szCs w:val="24"/>
        </w:rPr>
        <w:t>nr 575/2013.</w:t>
      </w:r>
    </w:p>
    <w:p w14:paraId="2173A912" w14:textId="5503F453" w:rsidR="00A27238" w:rsidRPr="008D7149" w:rsidRDefault="00A27238"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130k ust. 7</w:t>
      </w:r>
      <w:r w:rsidRPr="008D7149">
        <w:rPr>
          <w:rFonts w:ascii="Times New Roman" w:hAnsi="Times New Roman" w:cs="Times New Roman"/>
          <w:sz w:val="24"/>
          <w:szCs w:val="24"/>
        </w:rPr>
        <w:t xml:space="preserve">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dopuszcza możliwość wykorzystania</w:t>
      </w:r>
      <w:r w:rsidR="00CD7A32" w:rsidRPr="008D7149">
        <w:rPr>
          <w:rFonts w:ascii="Times New Roman" w:hAnsi="Times New Roman" w:cs="Times New Roman"/>
          <w:sz w:val="24"/>
          <w:szCs w:val="24"/>
        </w:rPr>
        <w:t xml:space="preserve"> </w:t>
      </w:r>
      <w:r w:rsidRPr="008D7149">
        <w:rPr>
          <w:rFonts w:ascii="Times New Roman" w:hAnsi="Times New Roman" w:cs="Times New Roman"/>
          <w:sz w:val="24"/>
          <w:szCs w:val="24"/>
        </w:rPr>
        <w:t>przez organ zarządzający systemem ochrony infrastruktury organizacyjnej i zasobów kadrowych uczestników systemu ochrony w zakresie swoich kompetencji. Takie uprawnienie daje możliwość zoptymalizowania kosztów działania organu zarządzającego systemem ochrony.</w:t>
      </w:r>
    </w:p>
    <w:p w14:paraId="6D29CB76" w14:textId="4ACAE681"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130k ust. 8-10</w:t>
      </w:r>
      <w:r w:rsidRPr="008D7149">
        <w:rPr>
          <w:rFonts w:ascii="Times New Roman" w:hAnsi="Times New Roman" w:cs="Times New Roman"/>
          <w:sz w:val="24"/>
          <w:szCs w:val="24"/>
        </w:rPr>
        <w:t xml:space="preserve">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umożliwia organowi zarządzającemu systemem ochrony weryfikację zasadności oraz możliwości wydatkowania środków zgromadzonych w funduszu pomocowym w celu ich przekazania na wsparcie uczestnika systemu ochrony. Na potrzeby tej weryfikacji przepis umożliwia organowi zarządzającemu systemem ochrony pozyskiwanie od uczestników systemu ochrony informacji niezbędnych do wykonywania powierzonych mu zadań, określonych w projektowanym art. 130k ust. 1 pkt 3 i 4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Dopuszczenie możliwości bezpośredniego zwrócenia się przez organ zarządzający systemem ochrony do </w:t>
      </w:r>
      <w:r w:rsidR="00A05B34" w:rsidRPr="008D7149">
        <w:rPr>
          <w:rFonts w:ascii="Times New Roman" w:hAnsi="Times New Roman" w:cs="Times New Roman"/>
          <w:sz w:val="24"/>
          <w:szCs w:val="24"/>
        </w:rPr>
        <w:t xml:space="preserve">BFG </w:t>
      </w:r>
      <w:r w:rsidRPr="008D7149">
        <w:rPr>
          <w:rFonts w:ascii="Times New Roman" w:hAnsi="Times New Roman" w:cs="Times New Roman"/>
          <w:sz w:val="24"/>
          <w:szCs w:val="24"/>
        </w:rPr>
        <w:t xml:space="preserve">lub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o określone informacje lub dane związane z działalnością banku, wobec którego planowane jest podjęcie działań, o których mowa w projektowanym art. 130b ust. 2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ma na celu </w:t>
      </w:r>
      <w:r w:rsidRPr="008D7149">
        <w:rPr>
          <w:rFonts w:ascii="Times New Roman" w:hAnsi="Times New Roman" w:cs="Times New Roman"/>
          <w:sz w:val="24"/>
          <w:szCs w:val="24"/>
        </w:rPr>
        <w:lastRenderedPageBreak/>
        <w:t xml:space="preserve">zredukowanie obciążeń uczestników systemu ochrony związanych z nałożeniem na nich dodatkowych wymogów informacyjnych, a ponadto wpisuje się w ideę współpracy systemu ochrony z uczestnikami sieci bezpieczeństwa finansowego na rzecz zapewnienia stabilności systemu finansowego przez realizację ustawowych kompetencji </w:t>
      </w:r>
      <w:r w:rsidR="00A05B34" w:rsidRPr="008D7149">
        <w:rPr>
          <w:rFonts w:ascii="Times New Roman" w:hAnsi="Times New Roman" w:cs="Times New Roman"/>
          <w:sz w:val="24"/>
          <w:szCs w:val="24"/>
        </w:rPr>
        <w:t xml:space="preserve">BFG </w:t>
      </w:r>
      <w:r w:rsidRPr="008D7149">
        <w:rPr>
          <w:rFonts w:ascii="Times New Roman" w:hAnsi="Times New Roman" w:cs="Times New Roman"/>
          <w:sz w:val="24"/>
          <w:szCs w:val="24"/>
        </w:rPr>
        <w:t xml:space="preserve">i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Wskazać należy, że w stosunku do ustawy o bankach spółdzielczych zakres uprawnień przysługujących organowi zarządzającemu systemem ochrony jest mniejszy, ponieważ funkcje tego systemu zostały znacząco ograniczone z uwagi na inny względem sektora banków spółdzielczych reżim regulacyjny</w:t>
      </w:r>
      <w:r w:rsidR="00A32271" w:rsidRPr="008D7149">
        <w:rPr>
          <w:rFonts w:ascii="Times New Roman" w:hAnsi="Times New Roman" w:cs="Times New Roman"/>
          <w:sz w:val="24"/>
          <w:szCs w:val="24"/>
        </w:rPr>
        <w:t>,</w:t>
      </w:r>
      <w:r w:rsidRPr="008D7149">
        <w:rPr>
          <w:rFonts w:ascii="Times New Roman" w:hAnsi="Times New Roman" w:cs="Times New Roman"/>
          <w:sz w:val="24"/>
          <w:szCs w:val="24"/>
        </w:rPr>
        <w:t xml:space="preserve"> w jakim funkcjonują banki komercyjne oraz </w:t>
      </w:r>
      <w:r w:rsidR="00F639BC">
        <w:rPr>
          <w:rFonts w:ascii="Times New Roman" w:hAnsi="Times New Roman" w:cs="Times New Roman"/>
          <w:sz w:val="24"/>
          <w:szCs w:val="24"/>
        </w:rPr>
        <w:t>większą skalę ich działalności.</w:t>
      </w:r>
    </w:p>
    <w:p w14:paraId="776F6959" w14:textId="67A6F70F"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130k ust. 11</w:t>
      </w:r>
      <w:r w:rsidRPr="008D7149">
        <w:rPr>
          <w:rFonts w:ascii="Times New Roman" w:hAnsi="Times New Roman" w:cs="Times New Roman"/>
          <w:sz w:val="24"/>
          <w:szCs w:val="24"/>
        </w:rPr>
        <w:t xml:space="preserve"> ustawy </w:t>
      </w:r>
      <w:r w:rsidR="005908DE"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określa zakres wykorzystania przez organy systemu ochrony informacji, o których mowa w projektowanym art. 130k ust. 8-10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w:t>
      </w:r>
    </w:p>
    <w:p w14:paraId="0829625D" w14:textId="64F9BAFA"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130k ust. 12</w:t>
      </w:r>
      <w:r w:rsidRPr="008D7149">
        <w:rPr>
          <w:rFonts w:ascii="Times New Roman" w:hAnsi="Times New Roman" w:cs="Times New Roman"/>
          <w:sz w:val="24"/>
          <w:szCs w:val="24"/>
        </w:rPr>
        <w:t xml:space="preserve">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zobowiązuje uczestników systemu ochrony, członków organów jednostki zarządzającej oraz osoby zatrudnione w tej jednostce oraz inne osoby, które zapoznały się z informacjami stanowiącymi tajemnice prawnie chronione, do zachowania ich w tajemnicy.</w:t>
      </w:r>
    </w:p>
    <w:p w14:paraId="36AF33F8" w14:textId="0C8B094A"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130l ust. 1</w:t>
      </w:r>
      <w:r w:rsidRPr="008D7149">
        <w:rPr>
          <w:rFonts w:ascii="Times New Roman" w:hAnsi="Times New Roman" w:cs="Times New Roman"/>
          <w:sz w:val="24"/>
          <w:szCs w:val="24"/>
        </w:rPr>
        <w:t xml:space="preserve">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poddaje funkcjonowanie systemu ochrony nadzorowi </w:t>
      </w:r>
      <w:r w:rsidR="00AA4A80" w:rsidRPr="008D7149">
        <w:rPr>
          <w:rFonts w:ascii="Times New Roman" w:hAnsi="Times New Roman" w:cs="Times New Roman"/>
          <w:sz w:val="24"/>
          <w:szCs w:val="24"/>
        </w:rPr>
        <w:t xml:space="preserve">bankowemu </w:t>
      </w:r>
      <w:r w:rsidRPr="008D7149">
        <w:rPr>
          <w:rFonts w:ascii="Times New Roman" w:hAnsi="Times New Roman" w:cs="Times New Roman"/>
          <w:sz w:val="24"/>
          <w:szCs w:val="24"/>
        </w:rPr>
        <w:t xml:space="preserve">sprawowanemu przez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Nadzór ten sprawowany jest na zasadach określonych zarówno w przepisach projektowanego rozdziału 10a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jak i zgodnie z przepisami ustawy o nadzorze nad rynkiem finansowym. Głównym celem nadzoru nad systemem ochrony jest zapewnienie weryfikacji zgodności działalności t</w:t>
      </w:r>
      <w:r w:rsidR="00F639BC">
        <w:rPr>
          <w:rFonts w:ascii="Times New Roman" w:hAnsi="Times New Roman" w:cs="Times New Roman"/>
          <w:sz w:val="24"/>
          <w:szCs w:val="24"/>
        </w:rPr>
        <w:t>ego sytemu z przepisami ustawy.</w:t>
      </w:r>
    </w:p>
    <w:p w14:paraId="7A69950B" w14:textId="73955C62"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130l ust. 2</w:t>
      </w:r>
      <w:r w:rsidRPr="008D7149">
        <w:rPr>
          <w:rFonts w:ascii="Times New Roman" w:hAnsi="Times New Roman" w:cs="Times New Roman"/>
          <w:sz w:val="24"/>
          <w:szCs w:val="24"/>
        </w:rPr>
        <w:t xml:space="preserve">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reguluje tryb wykonywania czynności kontrolnych przez pracowników Urzędu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Czynności te mogą być wykonywane po okazaniu przez tych pracowników legitymacji służbowej, a także doręczeniu upoważnienia wydanego przez </w:t>
      </w:r>
      <w:r w:rsidR="00E12859" w:rsidRPr="008D7149">
        <w:rPr>
          <w:rFonts w:ascii="Times New Roman" w:hAnsi="Times New Roman" w:cs="Times New Roman"/>
          <w:sz w:val="24"/>
          <w:szCs w:val="24"/>
        </w:rPr>
        <w:t>KNF</w:t>
      </w:r>
      <w:r w:rsidR="00F639BC">
        <w:rPr>
          <w:rFonts w:ascii="Times New Roman" w:hAnsi="Times New Roman" w:cs="Times New Roman"/>
          <w:sz w:val="24"/>
          <w:szCs w:val="24"/>
        </w:rPr>
        <w:t>.</w:t>
      </w:r>
    </w:p>
    <w:p w14:paraId="239E7786" w14:textId="5B86FA09" w:rsidR="008367A0"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projektowanym </w:t>
      </w:r>
      <w:r w:rsidRPr="008D7149">
        <w:rPr>
          <w:rFonts w:ascii="Times New Roman" w:hAnsi="Times New Roman" w:cs="Times New Roman"/>
          <w:b/>
          <w:sz w:val="24"/>
          <w:szCs w:val="24"/>
        </w:rPr>
        <w:t>art. 130l ust. 3</w:t>
      </w:r>
      <w:r w:rsidRPr="008D7149">
        <w:rPr>
          <w:rFonts w:ascii="Times New Roman" w:hAnsi="Times New Roman" w:cs="Times New Roman"/>
          <w:sz w:val="24"/>
          <w:szCs w:val="24"/>
        </w:rPr>
        <w:t xml:space="preserve">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w ramach sprawowanego nadzoru, może kierować do jednostki zarządzającej zaleceni</w:t>
      </w:r>
      <w:r w:rsidR="008367A0" w:rsidRPr="008D7149">
        <w:rPr>
          <w:rFonts w:ascii="Times New Roman" w:hAnsi="Times New Roman" w:cs="Times New Roman"/>
          <w:sz w:val="24"/>
          <w:szCs w:val="24"/>
        </w:rPr>
        <w:t>e podjęcia środków koniecznych do przywrócenia płynności płatniczej systemu ochrony</w:t>
      </w:r>
      <w:r w:rsidRPr="008D7149">
        <w:rPr>
          <w:rFonts w:ascii="Times New Roman" w:hAnsi="Times New Roman" w:cs="Times New Roman"/>
          <w:sz w:val="24"/>
          <w:szCs w:val="24"/>
        </w:rPr>
        <w:t xml:space="preserve">. </w:t>
      </w:r>
      <w:r w:rsidR="008367A0" w:rsidRPr="008D7149">
        <w:rPr>
          <w:rFonts w:ascii="Times New Roman" w:hAnsi="Times New Roman" w:cs="Times New Roman"/>
          <w:sz w:val="24"/>
          <w:szCs w:val="24"/>
        </w:rPr>
        <w:t>Ponadto KNF może przekazać jednostce zarządzającej opinię</w:t>
      </w:r>
      <w:r w:rsidR="00014F32" w:rsidRPr="008D7149">
        <w:rPr>
          <w:rFonts w:ascii="Times New Roman" w:hAnsi="Times New Roman" w:cs="Times New Roman"/>
          <w:sz w:val="24"/>
          <w:szCs w:val="24"/>
        </w:rPr>
        <w:t xml:space="preserve"> na temat </w:t>
      </w:r>
      <w:r w:rsidR="008367A0" w:rsidRPr="008D7149">
        <w:rPr>
          <w:rFonts w:ascii="Times New Roman" w:hAnsi="Times New Roman" w:cs="Times New Roman"/>
          <w:sz w:val="24"/>
          <w:szCs w:val="24"/>
        </w:rPr>
        <w:t>konieczności</w:t>
      </w:r>
      <w:r w:rsidRPr="008D7149">
        <w:rPr>
          <w:rFonts w:ascii="Times New Roman" w:hAnsi="Times New Roman" w:cs="Times New Roman"/>
          <w:sz w:val="24"/>
          <w:szCs w:val="24"/>
        </w:rPr>
        <w:t xml:space="preserve"> zwiększeni</w:t>
      </w:r>
      <w:r w:rsidR="00530D23" w:rsidRPr="008D7149">
        <w:rPr>
          <w:rFonts w:ascii="Times New Roman" w:hAnsi="Times New Roman" w:cs="Times New Roman"/>
          <w:sz w:val="24"/>
          <w:szCs w:val="24"/>
        </w:rPr>
        <w:t>a</w:t>
      </w:r>
      <w:r w:rsidRPr="008D7149">
        <w:rPr>
          <w:rFonts w:ascii="Times New Roman" w:hAnsi="Times New Roman" w:cs="Times New Roman"/>
          <w:sz w:val="24"/>
          <w:szCs w:val="24"/>
        </w:rPr>
        <w:t xml:space="preserve"> funduszu pomocowego funkcjonującego w ramach systemu ochrony.</w:t>
      </w:r>
      <w:r w:rsidR="00CD327A" w:rsidRPr="008D7149">
        <w:rPr>
          <w:rFonts w:ascii="Times New Roman" w:hAnsi="Times New Roman" w:cs="Times New Roman"/>
          <w:sz w:val="24"/>
          <w:szCs w:val="24"/>
        </w:rPr>
        <w:t xml:space="preserve"> </w:t>
      </w:r>
      <w:r w:rsidR="00BB61AA" w:rsidRPr="008D7149">
        <w:rPr>
          <w:rFonts w:ascii="Times New Roman" w:hAnsi="Times New Roman" w:cs="Times New Roman"/>
          <w:sz w:val="24"/>
          <w:szCs w:val="24"/>
        </w:rPr>
        <w:t>Przedmiotowa o</w:t>
      </w:r>
      <w:r w:rsidR="00CD327A" w:rsidRPr="008D7149">
        <w:rPr>
          <w:rFonts w:ascii="Times New Roman" w:hAnsi="Times New Roman" w:cs="Times New Roman"/>
          <w:sz w:val="24"/>
          <w:szCs w:val="24"/>
        </w:rPr>
        <w:t>pinia ma charakter niewiążący</w:t>
      </w:r>
      <w:r w:rsidR="00014F32" w:rsidRPr="008D7149">
        <w:rPr>
          <w:rFonts w:ascii="Times New Roman" w:hAnsi="Times New Roman" w:cs="Times New Roman"/>
          <w:sz w:val="24"/>
          <w:szCs w:val="24"/>
        </w:rPr>
        <w:t>,</w:t>
      </w:r>
      <w:r w:rsidR="008367A0" w:rsidRPr="008D7149">
        <w:rPr>
          <w:rFonts w:ascii="Times New Roman" w:hAnsi="Times New Roman" w:cs="Times New Roman"/>
          <w:sz w:val="24"/>
          <w:szCs w:val="24"/>
        </w:rPr>
        <w:t xml:space="preserve"> wynika</w:t>
      </w:r>
      <w:r w:rsidR="00CD327A" w:rsidRPr="008D7149">
        <w:rPr>
          <w:rFonts w:ascii="Times New Roman" w:hAnsi="Times New Roman" w:cs="Times New Roman"/>
          <w:sz w:val="24"/>
          <w:szCs w:val="24"/>
        </w:rPr>
        <w:t xml:space="preserve"> to</w:t>
      </w:r>
      <w:r w:rsidR="008367A0" w:rsidRPr="008D7149">
        <w:rPr>
          <w:rFonts w:ascii="Times New Roman" w:hAnsi="Times New Roman" w:cs="Times New Roman"/>
          <w:sz w:val="24"/>
          <w:szCs w:val="24"/>
        </w:rPr>
        <w:t xml:space="preserve"> z dobrowolnego </w:t>
      </w:r>
      <w:r w:rsidR="00CD327A" w:rsidRPr="008D7149">
        <w:rPr>
          <w:rFonts w:ascii="Times New Roman" w:hAnsi="Times New Roman" w:cs="Times New Roman"/>
          <w:sz w:val="24"/>
          <w:szCs w:val="24"/>
        </w:rPr>
        <w:t xml:space="preserve">charakteru uczestnictwa w systemie ochrony oraz pełnej autonomii tego systemu w zakresie gromadzenia </w:t>
      </w:r>
      <w:r w:rsidR="00CD327A" w:rsidRPr="008D7149">
        <w:rPr>
          <w:rFonts w:ascii="Times New Roman" w:hAnsi="Times New Roman" w:cs="Times New Roman"/>
          <w:sz w:val="24"/>
          <w:szCs w:val="24"/>
        </w:rPr>
        <w:lastRenderedPageBreak/>
        <w:t xml:space="preserve">i angażowania środków pieniężnych na realizację swoich celów, </w:t>
      </w:r>
      <w:r w:rsidR="00512671" w:rsidRPr="008D7149">
        <w:rPr>
          <w:rFonts w:ascii="Times New Roman" w:hAnsi="Times New Roman" w:cs="Times New Roman"/>
          <w:sz w:val="24"/>
          <w:szCs w:val="24"/>
        </w:rPr>
        <w:t>w tym</w:t>
      </w:r>
      <w:r w:rsidR="00CD327A" w:rsidRPr="008D7149">
        <w:rPr>
          <w:rFonts w:ascii="Times New Roman" w:hAnsi="Times New Roman" w:cs="Times New Roman"/>
          <w:sz w:val="24"/>
          <w:szCs w:val="24"/>
        </w:rPr>
        <w:t xml:space="preserve"> udzielania wsparcia. W efekcie KNF, obserwując wydarzenia na rynku finansowym</w:t>
      </w:r>
      <w:r w:rsidR="00512671" w:rsidRPr="008D7149">
        <w:rPr>
          <w:rFonts w:ascii="Times New Roman" w:hAnsi="Times New Roman" w:cs="Times New Roman"/>
          <w:sz w:val="24"/>
          <w:szCs w:val="24"/>
        </w:rPr>
        <w:t>,</w:t>
      </w:r>
      <w:r w:rsidR="00CD327A" w:rsidRPr="008D7149">
        <w:rPr>
          <w:rFonts w:ascii="Times New Roman" w:hAnsi="Times New Roman" w:cs="Times New Roman"/>
          <w:sz w:val="24"/>
          <w:szCs w:val="24"/>
        </w:rPr>
        <w:t xml:space="preserve"> otrzymuje uprawnienie do wyrażenia w formie opinii swojego stanowiska w przedmiocie konieczności zwiększenia zasobów funduszu pomocowego</w:t>
      </w:r>
      <w:r w:rsidR="00D05E10" w:rsidRPr="008D7149">
        <w:rPr>
          <w:rFonts w:ascii="Times New Roman" w:hAnsi="Times New Roman" w:cs="Times New Roman"/>
          <w:sz w:val="24"/>
          <w:szCs w:val="24"/>
        </w:rPr>
        <w:t>. Nie</w:t>
      </w:r>
      <w:r w:rsidR="00CD327A" w:rsidRPr="008D7149">
        <w:rPr>
          <w:rFonts w:ascii="Times New Roman" w:hAnsi="Times New Roman" w:cs="Times New Roman"/>
          <w:sz w:val="24"/>
          <w:szCs w:val="24"/>
        </w:rPr>
        <w:t xml:space="preserve"> jest jednak zasadnym, </w:t>
      </w:r>
      <w:r w:rsidR="000B79AD">
        <w:rPr>
          <w:rFonts w:ascii="Times New Roman" w:hAnsi="Times New Roman" w:cs="Times New Roman"/>
          <w:sz w:val="24"/>
          <w:szCs w:val="24"/>
        </w:rPr>
        <w:t>a</w:t>
      </w:r>
      <w:r w:rsidR="00CD327A" w:rsidRPr="008D7149">
        <w:rPr>
          <w:rFonts w:ascii="Times New Roman" w:hAnsi="Times New Roman" w:cs="Times New Roman"/>
          <w:sz w:val="24"/>
          <w:szCs w:val="24"/>
        </w:rPr>
        <w:t>by rzeczone stanowisko było wiążące dla autonomicznej i prywatnoprawnej struktury projektowanego systemu ochrony, który może wziąć przekazaną opinię pod uwagę i na zasadach określonych w umowie systemu ochrony</w:t>
      </w:r>
      <w:r w:rsidR="0088187A" w:rsidRPr="008D7149">
        <w:rPr>
          <w:rFonts w:ascii="Times New Roman" w:hAnsi="Times New Roman" w:cs="Times New Roman"/>
          <w:sz w:val="24"/>
          <w:szCs w:val="24"/>
        </w:rPr>
        <w:t xml:space="preserve"> (zgodnie z projektowanym art. 130h ust. 2 ustawy z dnia 29 sierpnia 1997 r. – Prawo bankowe),</w:t>
      </w:r>
      <w:r w:rsidR="00CD327A" w:rsidRPr="008D7149">
        <w:rPr>
          <w:rFonts w:ascii="Times New Roman" w:hAnsi="Times New Roman" w:cs="Times New Roman"/>
          <w:sz w:val="24"/>
          <w:szCs w:val="24"/>
        </w:rPr>
        <w:t xml:space="preserve"> dokapitalizować fundusz pomocowy, ale może także uznać, że </w:t>
      </w:r>
      <w:r w:rsidR="00512671" w:rsidRPr="008D7149">
        <w:rPr>
          <w:rFonts w:ascii="Times New Roman" w:hAnsi="Times New Roman" w:cs="Times New Roman"/>
          <w:sz w:val="24"/>
          <w:szCs w:val="24"/>
        </w:rPr>
        <w:t>nie jest to konieczne, bądź na dany moment niemożliwe np. z uwagi na sytuację</w:t>
      </w:r>
      <w:r w:rsidR="0088187A" w:rsidRPr="008D7149">
        <w:rPr>
          <w:rFonts w:ascii="Times New Roman" w:hAnsi="Times New Roman" w:cs="Times New Roman"/>
          <w:sz w:val="24"/>
          <w:szCs w:val="24"/>
        </w:rPr>
        <w:t xml:space="preserve"> i plany finansowe</w:t>
      </w:r>
      <w:r w:rsidR="00512671" w:rsidRPr="008D7149">
        <w:rPr>
          <w:rFonts w:ascii="Times New Roman" w:hAnsi="Times New Roman" w:cs="Times New Roman"/>
          <w:sz w:val="24"/>
          <w:szCs w:val="24"/>
        </w:rPr>
        <w:t xml:space="preserve"> uczestników systemu ochrony. Tym samym opinia KNF, w projektowanym przypadku nie implikuje żadnej powinności po stronie systemu ochrony, także w zakresie konieczności odniesienia się do niej. Podobnie jak uczestnictwo w systemie ochrony jest dobrowolne, tak samo kształtowanie polityki finansowej </w:t>
      </w:r>
      <w:r w:rsidR="008C548D" w:rsidRPr="008D7149">
        <w:rPr>
          <w:rFonts w:ascii="Times New Roman" w:hAnsi="Times New Roman" w:cs="Times New Roman"/>
          <w:sz w:val="24"/>
          <w:szCs w:val="24"/>
        </w:rPr>
        <w:t>tego systemu powinno takie być.</w:t>
      </w:r>
    </w:p>
    <w:p w14:paraId="58B7ECD7" w14:textId="643316B7"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130l ust. 4</w:t>
      </w:r>
      <w:r w:rsidRPr="008D7149">
        <w:rPr>
          <w:rFonts w:ascii="Times New Roman" w:hAnsi="Times New Roman" w:cs="Times New Roman"/>
          <w:sz w:val="24"/>
          <w:szCs w:val="24"/>
        </w:rPr>
        <w:t xml:space="preserve">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określa zamknięty katalog uprawnień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 xml:space="preserve">względem systemu ochrony oraz członków organu zarządzającego tego systemu, przysługujących w przypadku stwierdzenia, że organy systemu ochrony nie realizują zaleceń </w:t>
      </w:r>
      <w:r w:rsidR="00E12859" w:rsidRPr="008D7149">
        <w:rPr>
          <w:rFonts w:ascii="Times New Roman" w:hAnsi="Times New Roman" w:cs="Times New Roman"/>
          <w:sz w:val="24"/>
          <w:szCs w:val="24"/>
        </w:rPr>
        <w:t>KNF</w:t>
      </w:r>
      <w:r w:rsidRPr="008D7149">
        <w:rPr>
          <w:rFonts w:ascii="Times New Roman" w:hAnsi="Times New Roman" w:cs="Times New Roman"/>
          <w:sz w:val="24"/>
          <w:szCs w:val="24"/>
        </w:rPr>
        <w:t xml:space="preserve">, albo gdy ich działalność narusza przepisy prawa, umowę systemu ochrony lub statut lub stwarza zagrożenie dla interesów uczestników tego systemu. Uprawnienia te obejmują wystąpienie do właściwego organu z wnioskiem o odwołanie albo odwołanie przez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członków organu zarządzającego, zawieszenie tych członków w czynnościach do czasu podjęcia uchwały w przedmiocie wniosku o ich odwołanie, a także uchylenie decyzji o uznaniu systemu ochrony.</w:t>
      </w:r>
    </w:p>
    <w:p w14:paraId="2305D584" w14:textId="16FB5674"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projektowanym </w:t>
      </w:r>
      <w:r w:rsidRPr="008D7149">
        <w:rPr>
          <w:rFonts w:ascii="Times New Roman" w:hAnsi="Times New Roman" w:cs="Times New Roman"/>
          <w:b/>
          <w:sz w:val="24"/>
          <w:szCs w:val="24"/>
        </w:rPr>
        <w:t>art. 130l ust. 5</w:t>
      </w:r>
      <w:r w:rsidRPr="008D7149">
        <w:rPr>
          <w:rFonts w:ascii="Times New Roman" w:hAnsi="Times New Roman" w:cs="Times New Roman"/>
          <w:sz w:val="24"/>
          <w:szCs w:val="24"/>
        </w:rPr>
        <w:t xml:space="preserve">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przysługuje dodatkowo uprawnienie do zawieszenia w czynnościach członków organu zarządzającego systemu ochrony w przypadku przedstawienia takiej osobie zarzutów w postępowaniu karnym lub w postępowaniu w sprawie o przestępstwo skarbowe, a także gdy taki członek spowoduje znaczne straty majątkowe w systemie ochrony.</w:t>
      </w:r>
    </w:p>
    <w:p w14:paraId="31DCE186" w14:textId="633D0924" w:rsidR="00A27238" w:rsidRPr="008D7149" w:rsidRDefault="00A27238"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130l ust. 6</w:t>
      </w:r>
      <w:r w:rsidRPr="008D7149">
        <w:rPr>
          <w:rFonts w:ascii="Times New Roman" w:hAnsi="Times New Roman" w:cs="Times New Roman"/>
          <w:sz w:val="24"/>
          <w:szCs w:val="24"/>
        </w:rPr>
        <w:t xml:space="preserve"> ustawy </w:t>
      </w:r>
      <w:r w:rsidR="00DF41C8" w:rsidRPr="008D7149">
        <w:rPr>
          <w:rFonts w:ascii="Times New Roman" w:eastAsia="Calibri"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zobowiązuje </w:t>
      </w:r>
      <w:r w:rsidR="00E12859" w:rsidRPr="008D7149">
        <w:rPr>
          <w:rFonts w:ascii="Times New Roman" w:hAnsi="Times New Roman" w:cs="Times New Roman"/>
          <w:sz w:val="24"/>
          <w:szCs w:val="24"/>
        </w:rPr>
        <w:t xml:space="preserve">KNF </w:t>
      </w:r>
      <w:r w:rsidRPr="008D7149">
        <w:rPr>
          <w:rFonts w:ascii="Times New Roman" w:hAnsi="Times New Roman" w:cs="Times New Roman"/>
          <w:sz w:val="24"/>
          <w:szCs w:val="24"/>
        </w:rPr>
        <w:t>do odwołania członka organu zarządzającego systemu ochrony, gdy wystąpią przesłanki odmowy przez Komisję zgody na powołanie członka zarządu banku określone w art. 22b ust. 3 pkt 1</w:t>
      </w:r>
      <w:r w:rsidR="00962ADB">
        <w:rPr>
          <w:rFonts w:ascii="Times New Roman" w:hAnsi="Times New Roman" w:cs="Times New Roman"/>
          <w:sz w:val="24"/>
          <w:szCs w:val="24"/>
        </w:rPr>
        <w:t>–</w:t>
      </w:r>
      <w:r w:rsidRPr="008D7149">
        <w:rPr>
          <w:rFonts w:ascii="Times New Roman" w:hAnsi="Times New Roman" w:cs="Times New Roman"/>
          <w:sz w:val="24"/>
          <w:szCs w:val="24"/>
        </w:rPr>
        <w:t xml:space="preserve">3 ustawy </w:t>
      </w:r>
      <w:r w:rsidR="00DF41C8"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Prawo bankowe. Rozwiązanie takie zapewnia spełnienie, przez członków organu zarządzającego systemem, wymogów, co do zasady zgodnych z wymogami dla członków zarządu banku.</w:t>
      </w:r>
    </w:p>
    <w:p w14:paraId="01C4B0D8" w14:textId="07BEE85B" w:rsidR="00DE5AF2" w:rsidRPr="008D7149" w:rsidRDefault="00522B5E"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Jednocześnie </w:t>
      </w:r>
      <w:r w:rsidR="00147382" w:rsidRPr="008D7149">
        <w:rPr>
          <w:rFonts w:ascii="Times New Roman" w:hAnsi="Times New Roman" w:cs="Times New Roman"/>
          <w:sz w:val="24"/>
          <w:szCs w:val="24"/>
        </w:rPr>
        <w:t xml:space="preserve">po </w:t>
      </w:r>
      <w:r w:rsidRPr="008D7149">
        <w:rPr>
          <w:rFonts w:ascii="Times New Roman" w:hAnsi="Times New Roman" w:cs="Times New Roman"/>
          <w:sz w:val="24"/>
          <w:szCs w:val="24"/>
        </w:rPr>
        <w:t>art.</w:t>
      </w:r>
      <w:r w:rsidR="006338A7" w:rsidRPr="008D7149">
        <w:rPr>
          <w:rFonts w:ascii="Times New Roman" w:hAnsi="Times New Roman" w:cs="Times New Roman"/>
          <w:sz w:val="24"/>
          <w:szCs w:val="24"/>
        </w:rPr>
        <w:t xml:space="preserve"> 138 </w:t>
      </w:r>
      <w:r w:rsidR="009078EC" w:rsidRPr="008D7149">
        <w:rPr>
          <w:rFonts w:ascii="Times New Roman" w:hAnsi="Times New Roman" w:cs="Times New Roman"/>
          <w:sz w:val="24"/>
          <w:szCs w:val="24"/>
        </w:rPr>
        <w:t xml:space="preserve">ustawy z dnia 29 sierpnia 1997 r. – Prawo bankowe projektuje się dodanie </w:t>
      </w:r>
      <w:r w:rsidR="00147382" w:rsidRPr="008D7149">
        <w:rPr>
          <w:rFonts w:ascii="Times New Roman" w:hAnsi="Times New Roman" w:cs="Times New Roman"/>
          <w:b/>
          <w:sz w:val="24"/>
          <w:szCs w:val="24"/>
        </w:rPr>
        <w:t>art. 138aa</w:t>
      </w:r>
      <w:r w:rsidRPr="008D7149">
        <w:rPr>
          <w:rFonts w:ascii="Times New Roman" w:hAnsi="Times New Roman" w:cs="Times New Roman"/>
          <w:sz w:val="24"/>
          <w:szCs w:val="24"/>
        </w:rPr>
        <w:t xml:space="preserve">, w myśl którego </w:t>
      </w:r>
      <w:r w:rsidR="00562140" w:rsidRPr="008D7149">
        <w:rPr>
          <w:rFonts w:ascii="Times New Roman" w:hAnsi="Times New Roman" w:cs="Times New Roman"/>
          <w:sz w:val="24"/>
          <w:szCs w:val="24"/>
        </w:rPr>
        <w:t>niezależnie od sankcji przewidzianych na gruncie ustawy z dnia 29 sierpnia 1997 r. – Prawo bankowe</w:t>
      </w:r>
      <w:r w:rsidR="00754691" w:rsidRPr="008D7149">
        <w:rPr>
          <w:rFonts w:ascii="Times New Roman" w:hAnsi="Times New Roman" w:cs="Times New Roman"/>
          <w:sz w:val="24"/>
          <w:szCs w:val="24"/>
        </w:rPr>
        <w:t>,</w:t>
      </w:r>
      <w:r w:rsidR="00562140" w:rsidRPr="008D7149">
        <w:rPr>
          <w:rFonts w:ascii="Times New Roman" w:hAnsi="Times New Roman" w:cs="Times New Roman"/>
          <w:sz w:val="24"/>
          <w:szCs w:val="24"/>
        </w:rPr>
        <w:t xml:space="preserve"> </w:t>
      </w:r>
      <w:r w:rsidR="00E12859" w:rsidRPr="008D7149">
        <w:rPr>
          <w:rFonts w:ascii="Times New Roman" w:hAnsi="Times New Roman" w:cs="Times New Roman"/>
          <w:sz w:val="24"/>
          <w:szCs w:val="24"/>
        </w:rPr>
        <w:t xml:space="preserve">KNF </w:t>
      </w:r>
      <w:r w:rsidR="00BA7208" w:rsidRPr="008D7149">
        <w:rPr>
          <w:rFonts w:ascii="Times New Roman" w:hAnsi="Times New Roman" w:cs="Times New Roman"/>
          <w:sz w:val="24"/>
          <w:szCs w:val="24"/>
        </w:rPr>
        <w:t xml:space="preserve">stosuje sankcje administracyjne określone w </w:t>
      </w:r>
      <w:r w:rsidR="009078EC" w:rsidRPr="008D7149">
        <w:rPr>
          <w:rFonts w:ascii="Times New Roman" w:hAnsi="Times New Roman" w:cs="Times New Roman"/>
          <w:sz w:val="24"/>
          <w:szCs w:val="24"/>
        </w:rPr>
        <w:t xml:space="preserve">Ustawie </w:t>
      </w:r>
      <w:r w:rsidR="00BA7208" w:rsidRPr="008D7149">
        <w:rPr>
          <w:rFonts w:ascii="Times New Roman" w:hAnsi="Times New Roman" w:cs="Times New Roman"/>
          <w:sz w:val="24"/>
          <w:szCs w:val="24"/>
        </w:rPr>
        <w:t xml:space="preserve">w przypadku </w:t>
      </w:r>
      <w:r w:rsidR="009078EC" w:rsidRPr="008D7149">
        <w:rPr>
          <w:rFonts w:ascii="Times New Roman" w:hAnsi="Times New Roman" w:cs="Times New Roman"/>
          <w:sz w:val="24"/>
          <w:szCs w:val="24"/>
        </w:rPr>
        <w:t xml:space="preserve">stwierdzenia, że bank hipoteczny dokonuje naruszeń przepisów </w:t>
      </w:r>
      <w:r w:rsidR="003D7E0A" w:rsidRPr="008D7149">
        <w:rPr>
          <w:rFonts w:ascii="Times New Roman" w:hAnsi="Times New Roman" w:cs="Times New Roman"/>
          <w:sz w:val="24"/>
          <w:szCs w:val="24"/>
        </w:rPr>
        <w:t>ustawy z dnia 29 sierpnia 1997 r. o listach zastawnych i bankach hipotecznych</w:t>
      </w:r>
      <w:r w:rsidR="00BA7208" w:rsidRPr="008D7149">
        <w:rPr>
          <w:rFonts w:ascii="Times New Roman" w:hAnsi="Times New Roman" w:cs="Times New Roman"/>
          <w:sz w:val="24"/>
          <w:szCs w:val="24"/>
        </w:rPr>
        <w:t>.</w:t>
      </w:r>
    </w:p>
    <w:p w14:paraId="48D85D61" w14:textId="344BD4CC" w:rsidR="00002634" w:rsidRPr="008D7149" w:rsidRDefault="00605872" w:rsidP="00344D4C">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6</w:t>
      </w:r>
      <w:r w:rsidR="00477142">
        <w:rPr>
          <w:rFonts w:ascii="Times New Roman" w:hAnsi="Times New Roman" w:cs="Times New Roman"/>
          <w:sz w:val="24"/>
          <w:szCs w:val="24"/>
        </w:rPr>
        <w:t>)</w:t>
      </w:r>
      <w:r w:rsidR="00477142">
        <w:rPr>
          <w:rFonts w:ascii="Times New Roman" w:hAnsi="Times New Roman" w:cs="Times New Roman"/>
          <w:sz w:val="24"/>
          <w:szCs w:val="24"/>
        </w:rPr>
        <w:tab/>
      </w:r>
      <w:r w:rsidR="00EF441C" w:rsidRPr="008D7149">
        <w:rPr>
          <w:rFonts w:ascii="Times New Roman" w:eastAsia="Times New Roman" w:hAnsi="Times New Roman" w:cs="Times New Roman"/>
          <w:b/>
          <w:sz w:val="24"/>
          <w:szCs w:val="24"/>
        </w:rPr>
        <w:t xml:space="preserve">Art. </w:t>
      </w:r>
      <w:r w:rsidRPr="008D7149">
        <w:rPr>
          <w:rFonts w:ascii="Times New Roman" w:eastAsia="Times New Roman" w:hAnsi="Times New Roman" w:cs="Times New Roman"/>
          <w:b/>
          <w:sz w:val="24"/>
          <w:szCs w:val="24"/>
        </w:rPr>
        <w:t>6</w:t>
      </w:r>
      <w:r w:rsidR="00EF441C" w:rsidRPr="008D7149">
        <w:rPr>
          <w:rFonts w:ascii="Times New Roman" w:eastAsia="Times New Roman" w:hAnsi="Times New Roman" w:cs="Times New Roman"/>
          <w:b/>
          <w:sz w:val="24"/>
          <w:szCs w:val="24"/>
        </w:rPr>
        <w:t xml:space="preserve"> projektu </w:t>
      </w:r>
      <w:r w:rsidR="00EF441C" w:rsidRPr="008D7149">
        <w:rPr>
          <w:rFonts w:ascii="Times New Roman" w:eastAsia="Times New Roman" w:hAnsi="Times New Roman" w:cs="Times New Roman"/>
          <w:sz w:val="24"/>
          <w:szCs w:val="24"/>
        </w:rPr>
        <w:t>wprowadza zmiany do</w:t>
      </w:r>
      <w:r w:rsidR="00EF441C" w:rsidRPr="008D7149">
        <w:rPr>
          <w:rFonts w:ascii="Times New Roman" w:eastAsia="Times New Roman" w:hAnsi="Times New Roman" w:cs="Times New Roman"/>
          <w:b/>
          <w:sz w:val="24"/>
          <w:szCs w:val="24"/>
        </w:rPr>
        <w:t xml:space="preserve"> </w:t>
      </w:r>
      <w:r w:rsidR="00EF441C" w:rsidRPr="008D7149">
        <w:rPr>
          <w:rFonts w:ascii="Times New Roman" w:hAnsi="Times New Roman" w:cs="Times New Roman"/>
          <w:sz w:val="24"/>
          <w:szCs w:val="24"/>
        </w:rPr>
        <w:t>ustawy z dnia 28 lutego 2003 r. – Prawo upadłościowe</w:t>
      </w:r>
      <w:r w:rsidR="00002634" w:rsidRPr="008D7149">
        <w:rPr>
          <w:rFonts w:ascii="Times New Roman" w:hAnsi="Times New Roman" w:cs="Times New Roman"/>
          <w:sz w:val="24"/>
          <w:szCs w:val="24"/>
        </w:rPr>
        <w:t>.</w:t>
      </w:r>
    </w:p>
    <w:p w14:paraId="3817ECA6" w14:textId="5C2F7245" w:rsidR="00E6597F" w:rsidRPr="008D7149" w:rsidRDefault="00E6597F" w:rsidP="008D7149">
      <w:pPr>
        <w:spacing w:before="120" w:after="0" w:line="360" w:lineRule="auto"/>
        <w:jc w:val="both"/>
        <w:rPr>
          <w:rFonts w:ascii="Times New Roman" w:eastAsia="Calibri" w:hAnsi="Times New Roman" w:cs="Times New Roman"/>
          <w:sz w:val="24"/>
          <w:szCs w:val="24"/>
        </w:rPr>
      </w:pPr>
      <w:r w:rsidRPr="008D7149">
        <w:rPr>
          <w:rFonts w:ascii="Times New Roman" w:eastAsia="Times New Roman" w:hAnsi="Times New Roman" w:cs="Times New Roman"/>
          <w:b/>
          <w:sz w:val="24"/>
          <w:szCs w:val="24"/>
        </w:rPr>
        <w:t xml:space="preserve">Zmiany w art. 440 ust. 2 </w:t>
      </w:r>
      <w:r w:rsidRPr="008D7149">
        <w:rPr>
          <w:rFonts w:ascii="Times New Roman" w:hAnsi="Times New Roman" w:cs="Times New Roman"/>
          <w:sz w:val="24"/>
          <w:szCs w:val="24"/>
        </w:rPr>
        <w:t>mają na celu podział dotychczasowej kategorii trzeciej</w:t>
      </w:r>
      <w:r w:rsidR="00002634" w:rsidRPr="008D7149">
        <w:rPr>
          <w:rFonts w:ascii="Times New Roman" w:hAnsi="Times New Roman" w:cs="Times New Roman"/>
          <w:sz w:val="24"/>
          <w:szCs w:val="24"/>
        </w:rPr>
        <w:t>,</w:t>
      </w:r>
      <w:r w:rsidRPr="008D7149">
        <w:rPr>
          <w:rFonts w:ascii="Times New Roman" w:hAnsi="Times New Roman" w:cs="Times New Roman"/>
          <w:sz w:val="24"/>
          <w:szCs w:val="24"/>
        </w:rPr>
        <w:t xml:space="preserve"> w skład której wchodziły m.in. należności z tytułu umów rachunku bankow</w:t>
      </w:r>
      <w:r w:rsidR="00577C8A">
        <w:rPr>
          <w:rFonts w:ascii="Times New Roman" w:hAnsi="Times New Roman" w:cs="Times New Roman"/>
          <w:sz w:val="24"/>
          <w:szCs w:val="24"/>
        </w:rPr>
        <w:t>ego</w:t>
      </w:r>
      <w:r w:rsidRPr="008D7149">
        <w:rPr>
          <w:rFonts w:ascii="Times New Roman" w:hAnsi="Times New Roman" w:cs="Times New Roman"/>
          <w:sz w:val="24"/>
          <w:szCs w:val="24"/>
        </w:rPr>
        <w:t xml:space="preserve"> objętych ochroną gwarancyjną inne niż </w:t>
      </w:r>
      <w:r w:rsidRPr="008D7149">
        <w:rPr>
          <w:rFonts w:ascii="Times New Roman" w:eastAsia="Calibri" w:hAnsi="Times New Roman" w:cs="Times New Roman"/>
          <w:sz w:val="24"/>
          <w:szCs w:val="24"/>
        </w:rPr>
        <w:t>środki gwarantowane w rozumieniu art. 2 pkt 65 ustawy o BFG, należności z tytułu pozostałych umów rachunku bankowego należące do podmiotów wymienionych w art. 22 ust. 1 ustawy o BFG, a także pozostałe należności</w:t>
      </w:r>
      <w:r w:rsidR="00002634"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które nie podlegają zaspokojeniu w innych kategoriach. Takie rozwiązanie w sposób nieuprawniony pogarszało sytuację wierzycieli z tytułu umów rachunku bankowego, względem innych wierzycieli. W ocenie </w:t>
      </w:r>
      <w:r w:rsidR="00002634" w:rsidRPr="008D7149">
        <w:rPr>
          <w:rFonts w:ascii="Times New Roman" w:eastAsia="Calibri" w:hAnsi="Times New Roman" w:cs="Times New Roman"/>
          <w:sz w:val="24"/>
          <w:szCs w:val="24"/>
        </w:rPr>
        <w:t>projektodawcy</w:t>
      </w:r>
      <w:r w:rsidRPr="008D7149">
        <w:rPr>
          <w:rFonts w:ascii="Times New Roman" w:eastAsia="Calibri" w:hAnsi="Times New Roman" w:cs="Times New Roman"/>
          <w:sz w:val="24"/>
          <w:szCs w:val="24"/>
        </w:rPr>
        <w:t xml:space="preserve"> z uwagi na szczególną rolę umowy rachunku bankowego w obrocie gospodarczym, należności z tego tytułu powinny być uprzywilejowane względem innych należności. Umowa rachunku bankowego jest podstawową usługą oferowaną przez banki i jest oparta na zaufaniu deponenta do banku oraz systemu finansowego. Proponowana zmiana mająca na celu uprzywilejowanie należności z tytułu umowy rachunku bankowego zmniejsza ryzyko utraty środków przez podmioty powierzające swoje środki bankowi w przypadku jego upadłości i tym samym zmniejsza ryzyko utraty zaufania do systemu finansowego.</w:t>
      </w:r>
    </w:p>
    <w:p w14:paraId="08DE5FD2" w14:textId="3024CA83" w:rsidR="00E6597F" w:rsidRPr="008D7149" w:rsidRDefault="00E6597F"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W ramach </w:t>
      </w:r>
      <w:r w:rsidR="00002634" w:rsidRPr="008D7149">
        <w:rPr>
          <w:rFonts w:ascii="Times New Roman" w:eastAsia="Calibri" w:hAnsi="Times New Roman" w:cs="Times New Roman"/>
          <w:sz w:val="24"/>
          <w:szCs w:val="24"/>
        </w:rPr>
        <w:t xml:space="preserve">projektowanej </w:t>
      </w:r>
      <w:r w:rsidRPr="008D7149">
        <w:rPr>
          <w:rFonts w:ascii="Times New Roman" w:eastAsia="Calibri" w:hAnsi="Times New Roman" w:cs="Times New Roman"/>
          <w:sz w:val="24"/>
          <w:szCs w:val="24"/>
        </w:rPr>
        <w:t xml:space="preserve">zmiany wprowadza się podkategorię </w:t>
      </w:r>
      <w:r w:rsidR="00FA5055" w:rsidRPr="008D7149">
        <w:rPr>
          <w:rFonts w:ascii="Times New Roman" w:eastAsia="Calibri" w:hAnsi="Times New Roman" w:cs="Times New Roman"/>
          <w:sz w:val="24"/>
          <w:szCs w:val="24"/>
        </w:rPr>
        <w:t>pierwszą</w:t>
      </w:r>
      <w:r w:rsidR="00002634"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w której znajdą się pozostałe należności z tytułu środków objętych ochroną gwarancyjną innych niż środki gwarantowane w rozumieniu art. 2 pkt 65 ustawy </w:t>
      </w:r>
      <w:r w:rsidR="00002634" w:rsidRPr="008D7149">
        <w:rPr>
          <w:rFonts w:ascii="Times New Roman" w:eastAsia="Calibri" w:hAnsi="Times New Roman" w:cs="Times New Roman"/>
          <w:sz w:val="24"/>
          <w:szCs w:val="24"/>
        </w:rPr>
        <w:t>o BFG</w:t>
      </w:r>
      <w:r w:rsidRPr="008D7149">
        <w:rPr>
          <w:rFonts w:ascii="Times New Roman" w:eastAsia="Calibri" w:hAnsi="Times New Roman" w:cs="Times New Roman"/>
          <w:sz w:val="24"/>
          <w:szCs w:val="24"/>
        </w:rPr>
        <w:t xml:space="preserve"> – w skład tej podkategorii wejdą należności dużych przedsiębiorców ponad wysokość gwarantowanej kwoty. W podkategorii </w:t>
      </w:r>
      <w:r w:rsidR="00FA5055" w:rsidRPr="008D7149">
        <w:rPr>
          <w:rFonts w:ascii="Times New Roman" w:eastAsia="Calibri" w:hAnsi="Times New Roman" w:cs="Times New Roman"/>
          <w:sz w:val="24"/>
          <w:szCs w:val="24"/>
        </w:rPr>
        <w:t>drugiej</w:t>
      </w:r>
      <w:r w:rsidRPr="008D7149">
        <w:rPr>
          <w:rFonts w:ascii="Times New Roman" w:eastAsia="Calibri" w:hAnsi="Times New Roman" w:cs="Times New Roman"/>
          <w:sz w:val="24"/>
          <w:szCs w:val="24"/>
        </w:rPr>
        <w:t xml:space="preserve"> znajdą się pozostałe należności wynikające z umów rachunku bankowego</w:t>
      </w:r>
      <w:r w:rsidR="00002634"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tj. należności podmiotów wymienionych w art. 22 ust. 1 ustawy </w:t>
      </w:r>
      <w:r w:rsidR="00002634" w:rsidRPr="008D7149">
        <w:rPr>
          <w:rFonts w:ascii="Times New Roman" w:eastAsia="Calibri" w:hAnsi="Times New Roman" w:cs="Times New Roman"/>
          <w:sz w:val="24"/>
          <w:szCs w:val="24"/>
        </w:rPr>
        <w:t>o BFG</w:t>
      </w:r>
      <w:r w:rsidRPr="008D7149">
        <w:rPr>
          <w:rFonts w:ascii="Times New Roman" w:eastAsia="Calibri" w:hAnsi="Times New Roman" w:cs="Times New Roman"/>
          <w:sz w:val="24"/>
          <w:szCs w:val="24"/>
        </w:rPr>
        <w:t xml:space="preserve">. W podkategorii </w:t>
      </w:r>
      <w:r w:rsidR="00FA5055" w:rsidRPr="008D7149">
        <w:rPr>
          <w:rFonts w:ascii="Times New Roman" w:eastAsia="Calibri" w:hAnsi="Times New Roman" w:cs="Times New Roman"/>
          <w:sz w:val="24"/>
          <w:szCs w:val="24"/>
        </w:rPr>
        <w:t>trzeciej</w:t>
      </w:r>
      <w:r w:rsidRPr="008D7149">
        <w:rPr>
          <w:rFonts w:ascii="Times New Roman" w:eastAsia="Calibri" w:hAnsi="Times New Roman" w:cs="Times New Roman"/>
          <w:sz w:val="24"/>
          <w:szCs w:val="24"/>
        </w:rPr>
        <w:t xml:space="preserve"> znajdą się odsetki od należności ujętych w podkategorii </w:t>
      </w:r>
      <w:r w:rsidR="00FA5055" w:rsidRPr="008D7149">
        <w:rPr>
          <w:rFonts w:ascii="Times New Roman" w:eastAsia="Calibri" w:hAnsi="Times New Roman" w:cs="Times New Roman"/>
          <w:sz w:val="24"/>
          <w:szCs w:val="24"/>
        </w:rPr>
        <w:t>pierwszej</w:t>
      </w:r>
      <w:r w:rsidRPr="008D7149">
        <w:rPr>
          <w:rFonts w:ascii="Times New Roman" w:eastAsia="Calibri" w:hAnsi="Times New Roman" w:cs="Times New Roman"/>
          <w:sz w:val="24"/>
          <w:szCs w:val="24"/>
        </w:rPr>
        <w:t xml:space="preserve"> oraz </w:t>
      </w:r>
      <w:r w:rsidR="00FA5055" w:rsidRPr="008D7149">
        <w:rPr>
          <w:rFonts w:ascii="Times New Roman" w:eastAsia="Calibri" w:hAnsi="Times New Roman" w:cs="Times New Roman"/>
          <w:sz w:val="24"/>
          <w:szCs w:val="24"/>
        </w:rPr>
        <w:t>drugiej</w:t>
      </w:r>
      <w:r w:rsidRPr="008D7149">
        <w:rPr>
          <w:rFonts w:ascii="Times New Roman" w:eastAsia="Calibri" w:hAnsi="Times New Roman" w:cs="Times New Roman"/>
          <w:sz w:val="24"/>
          <w:szCs w:val="24"/>
        </w:rPr>
        <w:t xml:space="preserve">. W podkategorii </w:t>
      </w:r>
      <w:r w:rsidR="00FA5055" w:rsidRPr="008D7149">
        <w:rPr>
          <w:rFonts w:ascii="Times New Roman" w:eastAsia="Calibri" w:hAnsi="Times New Roman" w:cs="Times New Roman"/>
          <w:sz w:val="24"/>
          <w:szCs w:val="24"/>
        </w:rPr>
        <w:t>czwartej</w:t>
      </w:r>
      <w:r w:rsidRPr="008D7149">
        <w:rPr>
          <w:rFonts w:ascii="Times New Roman" w:eastAsia="Calibri" w:hAnsi="Times New Roman" w:cs="Times New Roman"/>
          <w:sz w:val="24"/>
          <w:szCs w:val="24"/>
        </w:rPr>
        <w:t xml:space="preserve"> znajdą się należności obecnie ujęte w kategorii </w:t>
      </w:r>
      <w:r w:rsidR="00FA5055" w:rsidRPr="008D7149">
        <w:rPr>
          <w:rFonts w:ascii="Times New Roman" w:eastAsia="Calibri" w:hAnsi="Times New Roman" w:cs="Times New Roman"/>
          <w:sz w:val="24"/>
          <w:szCs w:val="24"/>
        </w:rPr>
        <w:t>trzeciej</w:t>
      </w:r>
      <w:r w:rsidRPr="008D7149">
        <w:rPr>
          <w:rFonts w:ascii="Times New Roman" w:eastAsia="Calibri" w:hAnsi="Times New Roman" w:cs="Times New Roman"/>
          <w:sz w:val="24"/>
          <w:szCs w:val="24"/>
        </w:rPr>
        <w:t xml:space="preserve"> po wyłączeniu należności określonych w podkategorii </w:t>
      </w:r>
      <w:r w:rsidR="00FA5055" w:rsidRPr="008D7149">
        <w:rPr>
          <w:rFonts w:ascii="Times New Roman" w:eastAsia="Calibri" w:hAnsi="Times New Roman" w:cs="Times New Roman"/>
          <w:sz w:val="24"/>
          <w:szCs w:val="24"/>
        </w:rPr>
        <w:t>pierwszej</w:t>
      </w:r>
      <w:r w:rsidRPr="008D7149">
        <w:rPr>
          <w:rFonts w:ascii="Times New Roman" w:eastAsia="Calibri" w:hAnsi="Times New Roman" w:cs="Times New Roman"/>
          <w:sz w:val="24"/>
          <w:szCs w:val="24"/>
        </w:rPr>
        <w:t xml:space="preserve"> oraz </w:t>
      </w:r>
      <w:r w:rsidR="00FA5055" w:rsidRPr="008D7149">
        <w:rPr>
          <w:rFonts w:ascii="Times New Roman" w:eastAsia="Calibri" w:hAnsi="Times New Roman" w:cs="Times New Roman"/>
          <w:sz w:val="24"/>
          <w:szCs w:val="24"/>
        </w:rPr>
        <w:t>drugiej</w:t>
      </w:r>
      <w:r w:rsidRPr="008D7149">
        <w:rPr>
          <w:rFonts w:ascii="Times New Roman" w:eastAsia="Calibri" w:hAnsi="Times New Roman" w:cs="Times New Roman"/>
          <w:sz w:val="24"/>
          <w:szCs w:val="24"/>
        </w:rPr>
        <w:t>.</w:t>
      </w:r>
    </w:p>
    <w:p w14:paraId="560EA1A7" w14:textId="545221FC" w:rsidR="00E6597F" w:rsidRPr="008D7149" w:rsidRDefault="00E6597F" w:rsidP="008D7149">
      <w:pPr>
        <w:spacing w:before="120" w:after="0" w:line="360" w:lineRule="auto"/>
        <w:jc w:val="both"/>
        <w:rPr>
          <w:rFonts w:ascii="Times New Roman" w:eastAsia="Times New Roman" w:hAnsi="Times New Roman" w:cs="Times New Roman"/>
          <w:bCs/>
          <w:sz w:val="24"/>
          <w:szCs w:val="24"/>
        </w:rPr>
      </w:pPr>
      <w:r w:rsidRPr="004C6B10">
        <w:rPr>
          <w:rFonts w:ascii="Times New Roman" w:eastAsia="Calibri" w:hAnsi="Times New Roman" w:cs="Times New Roman"/>
          <w:sz w:val="24"/>
          <w:szCs w:val="24"/>
        </w:rPr>
        <w:t xml:space="preserve">Brzmienie modyfikowanego pkt 4 wynika z konieczności dostosowania go do zmienionego pkt </w:t>
      </w:r>
      <w:r w:rsidRPr="008D7149">
        <w:rPr>
          <w:rFonts w:ascii="Times New Roman" w:eastAsia="Calibri" w:hAnsi="Times New Roman" w:cs="Times New Roman"/>
          <w:sz w:val="24"/>
          <w:szCs w:val="24"/>
        </w:rPr>
        <w:t xml:space="preserve">3. </w:t>
      </w:r>
      <w:r w:rsidRPr="008D7149">
        <w:rPr>
          <w:rFonts w:ascii="Times New Roman" w:eastAsia="Times New Roman" w:hAnsi="Times New Roman" w:cs="Times New Roman"/>
          <w:bCs/>
          <w:sz w:val="24"/>
          <w:szCs w:val="24"/>
        </w:rPr>
        <w:t xml:space="preserve">Proponowana zmiana art. 440 ust. 2 pkt 4 </w:t>
      </w:r>
      <w:r w:rsidR="00002634" w:rsidRPr="008D7149">
        <w:rPr>
          <w:rFonts w:ascii="Times New Roman" w:eastAsia="Times New Roman" w:hAnsi="Times New Roman" w:cs="Times New Roman"/>
          <w:bCs/>
          <w:sz w:val="24"/>
          <w:szCs w:val="24"/>
        </w:rPr>
        <w:t xml:space="preserve">ustawy </w:t>
      </w:r>
      <w:r w:rsidR="00354FD2" w:rsidRPr="008D7149">
        <w:rPr>
          <w:rFonts w:ascii="Times New Roman" w:eastAsia="Times New Roman" w:hAnsi="Times New Roman" w:cs="Times New Roman"/>
          <w:bCs/>
          <w:sz w:val="24"/>
          <w:szCs w:val="24"/>
        </w:rPr>
        <w:t xml:space="preserve">z dnia 28 lutego 2003 r. </w:t>
      </w:r>
      <w:r w:rsidR="00344D4C">
        <w:rPr>
          <w:rFonts w:ascii="Times New Roman" w:eastAsia="Times New Roman" w:hAnsi="Times New Roman" w:cs="Times New Roman"/>
          <w:bCs/>
          <w:sz w:val="24"/>
          <w:szCs w:val="24"/>
        </w:rPr>
        <w:t>–</w:t>
      </w:r>
      <w:r w:rsidR="00002634" w:rsidRPr="008D7149">
        <w:rPr>
          <w:rFonts w:ascii="Times New Roman" w:eastAsia="Times New Roman" w:hAnsi="Times New Roman" w:cs="Times New Roman"/>
          <w:bCs/>
          <w:sz w:val="24"/>
          <w:szCs w:val="24"/>
        </w:rPr>
        <w:t xml:space="preserve"> Prawo </w:t>
      </w:r>
      <w:r w:rsidR="00002634" w:rsidRPr="008D7149">
        <w:rPr>
          <w:rFonts w:ascii="Times New Roman" w:eastAsia="Times New Roman" w:hAnsi="Times New Roman" w:cs="Times New Roman"/>
          <w:bCs/>
          <w:sz w:val="24"/>
          <w:szCs w:val="24"/>
        </w:rPr>
        <w:lastRenderedPageBreak/>
        <w:t>upadłościowe</w:t>
      </w:r>
      <w:r w:rsidRPr="008D7149">
        <w:rPr>
          <w:rFonts w:ascii="Times New Roman" w:eastAsia="Times New Roman" w:hAnsi="Times New Roman" w:cs="Times New Roman"/>
          <w:bCs/>
          <w:sz w:val="24"/>
          <w:szCs w:val="24"/>
        </w:rPr>
        <w:t xml:space="preserve"> uzupełnia zaproponowaną już wcześniej zmianę art. 440 ust. 2 pkt 3 (podział obecnej trzeciej kategorii na </w:t>
      </w:r>
      <w:r w:rsidR="00FA5055" w:rsidRPr="008D7149">
        <w:rPr>
          <w:rFonts w:ascii="Times New Roman" w:eastAsia="Times New Roman" w:hAnsi="Times New Roman" w:cs="Times New Roman"/>
          <w:bCs/>
          <w:sz w:val="24"/>
          <w:szCs w:val="24"/>
        </w:rPr>
        <w:t>cztery</w:t>
      </w:r>
      <w:r w:rsidRPr="008D7149">
        <w:rPr>
          <w:rFonts w:ascii="Times New Roman" w:eastAsia="Times New Roman" w:hAnsi="Times New Roman" w:cs="Times New Roman"/>
          <w:bCs/>
          <w:sz w:val="24"/>
          <w:szCs w:val="24"/>
        </w:rPr>
        <w:t xml:space="preserve"> podkategorie).</w:t>
      </w:r>
    </w:p>
    <w:p w14:paraId="147C15E7" w14:textId="233FAAF1" w:rsidR="003C674A" w:rsidRPr="00344D4C" w:rsidRDefault="00E6597F" w:rsidP="008D7149">
      <w:pPr>
        <w:pStyle w:val="Akapitzlist"/>
        <w:autoSpaceDE w:val="0"/>
        <w:autoSpaceDN w:val="0"/>
        <w:adjustRightInd w:val="0"/>
        <w:spacing w:before="120" w:after="0" w:line="360" w:lineRule="auto"/>
        <w:ind w:left="0"/>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Zgodnie z proponowaną zmianą art. 440 ust. 2 pkt 4 </w:t>
      </w:r>
      <w:r w:rsidR="00002634" w:rsidRPr="008D7149">
        <w:rPr>
          <w:rFonts w:ascii="Times New Roman" w:eastAsia="Times New Roman" w:hAnsi="Times New Roman" w:cs="Times New Roman"/>
          <w:bCs/>
          <w:sz w:val="24"/>
          <w:szCs w:val="24"/>
        </w:rPr>
        <w:t xml:space="preserve">ustawy </w:t>
      </w:r>
      <w:r w:rsidR="00354FD2" w:rsidRPr="008D7149">
        <w:rPr>
          <w:rFonts w:ascii="Times New Roman" w:eastAsia="Times New Roman" w:hAnsi="Times New Roman" w:cs="Times New Roman"/>
          <w:bCs/>
          <w:sz w:val="24"/>
          <w:szCs w:val="24"/>
        </w:rPr>
        <w:t xml:space="preserve">z dnia 28 lutego 2003 r. </w:t>
      </w:r>
      <w:r w:rsidR="00344D4C">
        <w:rPr>
          <w:rFonts w:ascii="Times New Roman" w:eastAsia="Times New Roman" w:hAnsi="Times New Roman" w:cs="Times New Roman"/>
          <w:bCs/>
          <w:sz w:val="24"/>
          <w:szCs w:val="24"/>
        </w:rPr>
        <w:t>–</w:t>
      </w:r>
      <w:r w:rsidR="00002634" w:rsidRPr="008D7149">
        <w:rPr>
          <w:rFonts w:ascii="Times New Roman" w:eastAsia="Times New Roman" w:hAnsi="Times New Roman" w:cs="Times New Roman"/>
          <w:bCs/>
          <w:sz w:val="24"/>
          <w:szCs w:val="24"/>
        </w:rPr>
        <w:t xml:space="preserve"> Prawo upadłościowe</w:t>
      </w:r>
      <w:r w:rsidRPr="008D7149">
        <w:rPr>
          <w:rFonts w:ascii="Times New Roman" w:eastAsia="Times New Roman" w:hAnsi="Times New Roman" w:cs="Times New Roman"/>
          <w:bCs/>
          <w:sz w:val="24"/>
          <w:szCs w:val="24"/>
        </w:rPr>
        <w:t xml:space="preserve"> dotychczasowa kategoria czwarta zostanie podzielona na dwie podkategorie. W skład podkategorii </w:t>
      </w:r>
      <w:r w:rsidR="005D50DC" w:rsidRPr="008D7149">
        <w:rPr>
          <w:rFonts w:ascii="Times New Roman" w:eastAsia="Times New Roman" w:hAnsi="Times New Roman" w:cs="Times New Roman"/>
          <w:bCs/>
          <w:sz w:val="24"/>
          <w:szCs w:val="24"/>
        </w:rPr>
        <w:t xml:space="preserve">pierwszej </w:t>
      </w:r>
      <w:r w:rsidRPr="008D7149">
        <w:rPr>
          <w:rFonts w:ascii="Times New Roman" w:eastAsia="Times New Roman" w:hAnsi="Times New Roman" w:cs="Times New Roman"/>
          <w:bCs/>
          <w:sz w:val="24"/>
          <w:szCs w:val="24"/>
        </w:rPr>
        <w:t xml:space="preserve">wejdą należności z tytułu odsetek od należności ujętych w </w:t>
      </w:r>
      <w:r w:rsidR="001010AB" w:rsidRPr="008D7149">
        <w:rPr>
          <w:rFonts w:ascii="Times New Roman" w:eastAsia="Times New Roman" w:hAnsi="Times New Roman" w:cs="Times New Roman"/>
          <w:bCs/>
          <w:sz w:val="24"/>
          <w:szCs w:val="24"/>
        </w:rPr>
        <w:t xml:space="preserve">projektowanym </w:t>
      </w:r>
      <w:r w:rsidRPr="008D7149">
        <w:rPr>
          <w:rFonts w:ascii="Times New Roman" w:eastAsia="Times New Roman" w:hAnsi="Times New Roman" w:cs="Times New Roman"/>
          <w:bCs/>
          <w:sz w:val="24"/>
          <w:szCs w:val="24"/>
        </w:rPr>
        <w:t>art. 440 ust. 2 pkt 3 lit. d, a także sądowe i administracyjne kary grzywny oraz należności z tytułu darowizn i zapisów. Wskazany w tym przepisie zakres należności został dostosowany do projektowanej zmiany art. 440 ust. 2 pkt 3</w:t>
      </w:r>
      <w:r w:rsidR="001010AB" w:rsidRPr="008D7149">
        <w:rPr>
          <w:rFonts w:ascii="Times New Roman" w:eastAsia="Times New Roman" w:hAnsi="Times New Roman" w:cs="Times New Roman"/>
          <w:bCs/>
          <w:sz w:val="24"/>
          <w:szCs w:val="24"/>
        </w:rPr>
        <w:t xml:space="preserve"> ustawy </w:t>
      </w:r>
      <w:r w:rsidR="005D50DC" w:rsidRPr="008D7149">
        <w:rPr>
          <w:rFonts w:ascii="Times New Roman" w:eastAsia="Times New Roman" w:hAnsi="Times New Roman" w:cs="Times New Roman"/>
          <w:bCs/>
          <w:sz w:val="24"/>
          <w:szCs w:val="24"/>
        </w:rPr>
        <w:t xml:space="preserve">z dnia 28 lutego 2003 r. </w:t>
      </w:r>
      <w:r w:rsidR="001010AB" w:rsidRPr="008D7149">
        <w:rPr>
          <w:rFonts w:ascii="Times New Roman" w:eastAsia="Times New Roman" w:hAnsi="Times New Roman" w:cs="Times New Roman"/>
          <w:bCs/>
          <w:sz w:val="24"/>
          <w:szCs w:val="24"/>
        </w:rPr>
        <w:t>– Prawo upadłościowe</w:t>
      </w:r>
      <w:r w:rsidRPr="008D7149">
        <w:rPr>
          <w:rFonts w:ascii="Times New Roman" w:eastAsia="Times New Roman" w:hAnsi="Times New Roman" w:cs="Times New Roman"/>
          <w:bCs/>
          <w:sz w:val="24"/>
          <w:szCs w:val="24"/>
        </w:rPr>
        <w:t xml:space="preserve">. Jednocześnie podkategorią </w:t>
      </w:r>
      <w:r w:rsidR="005D50DC" w:rsidRPr="008D7149">
        <w:rPr>
          <w:rFonts w:ascii="Times New Roman" w:eastAsia="Times New Roman" w:hAnsi="Times New Roman" w:cs="Times New Roman"/>
          <w:bCs/>
          <w:sz w:val="24"/>
          <w:szCs w:val="24"/>
        </w:rPr>
        <w:t xml:space="preserve">drugą </w:t>
      </w:r>
      <w:r w:rsidRPr="008D7149">
        <w:rPr>
          <w:rFonts w:ascii="Times New Roman" w:eastAsia="Times New Roman" w:hAnsi="Times New Roman" w:cs="Times New Roman"/>
          <w:bCs/>
          <w:sz w:val="24"/>
          <w:szCs w:val="24"/>
        </w:rPr>
        <w:t xml:space="preserve">w art. 440 ust. 2 pkt 4 </w:t>
      </w:r>
      <w:r w:rsidR="001010AB" w:rsidRPr="008D7149">
        <w:rPr>
          <w:rFonts w:ascii="Times New Roman" w:eastAsia="Times New Roman" w:hAnsi="Times New Roman" w:cs="Times New Roman"/>
          <w:bCs/>
          <w:sz w:val="24"/>
          <w:szCs w:val="24"/>
        </w:rPr>
        <w:t xml:space="preserve">ustawy </w:t>
      </w:r>
      <w:r w:rsidR="005D50DC" w:rsidRPr="008D7149">
        <w:rPr>
          <w:rFonts w:ascii="Times New Roman" w:eastAsia="Times New Roman" w:hAnsi="Times New Roman" w:cs="Times New Roman"/>
          <w:bCs/>
          <w:sz w:val="24"/>
          <w:szCs w:val="24"/>
        </w:rPr>
        <w:t xml:space="preserve">z dnia 28 lutego 2003 r. </w:t>
      </w:r>
      <w:r w:rsidR="001010AB" w:rsidRPr="008D7149">
        <w:rPr>
          <w:rFonts w:ascii="Times New Roman" w:eastAsia="Times New Roman" w:hAnsi="Times New Roman" w:cs="Times New Roman"/>
          <w:bCs/>
          <w:sz w:val="24"/>
          <w:szCs w:val="24"/>
        </w:rPr>
        <w:t xml:space="preserve">– Prawo upadłościowe </w:t>
      </w:r>
      <w:r w:rsidRPr="008D7149">
        <w:rPr>
          <w:rFonts w:ascii="Times New Roman" w:eastAsia="Times New Roman" w:hAnsi="Times New Roman" w:cs="Times New Roman"/>
          <w:bCs/>
          <w:sz w:val="24"/>
          <w:szCs w:val="24"/>
        </w:rPr>
        <w:t>objęte zostaną należności jednostki zarządzającej systemem ochrony (zarówno banków komercyjnych i spółdzielczych).</w:t>
      </w:r>
    </w:p>
    <w:p w14:paraId="7617AF16" w14:textId="0E991D7D" w:rsidR="00002634" w:rsidRPr="008D7149" w:rsidRDefault="00002634" w:rsidP="008D7149">
      <w:pPr>
        <w:pStyle w:val="Akapitzlist"/>
        <w:autoSpaceDE w:val="0"/>
        <w:autoSpaceDN w:val="0"/>
        <w:adjustRightInd w:val="0"/>
        <w:spacing w:before="120" w:after="0" w:line="360" w:lineRule="auto"/>
        <w:ind w:left="0"/>
        <w:jc w:val="both"/>
        <w:rPr>
          <w:rFonts w:ascii="Times New Roman" w:hAnsi="Times New Roman" w:cs="Times New Roman"/>
          <w:b/>
          <w:sz w:val="24"/>
          <w:szCs w:val="24"/>
        </w:rPr>
      </w:pPr>
      <w:r w:rsidRPr="008D7149">
        <w:rPr>
          <w:rFonts w:ascii="Times New Roman" w:hAnsi="Times New Roman" w:cs="Times New Roman"/>
          <w:sz w:val="24"/>
          <w:szCs w:val="24"/>
        </w:rPr>
        <w:t xml:space="preserve">Celem zmiany </w:t>
      </w:r>
      <w:r w:rsidRPr="008D7149">
        <w:rPr>
          <w:rFonts w:ascii="Times New Roman" w:hAnsi="Times New Roman" w:cs="Times New Roman"/>
          <w:b/>
          <w:sz w:val="24"/>
          <w:szCs w:val="24"/>
        </w:rPr>
        <w:t>art. 442</w:t>
      </w:r>
      <w:r w:rsidRPr="008D7149">
        <w:rPr>
          <w:rFonts w:ascii="Times New Roman" w:hAnsi="Times New Roman" w:cs="Times New Roman"/>
          <w:sz w:val="24"/>
          <w:szCs w:val="24"/>
        </w:rPr>
        <w:t xml:space="preserve"> ustawy </w:t>
      </w:r>
      <w:r w:rsidR="005D50DC" w:rsidRPr="008D7149">
        <w:rPr>
          <w:rFonts w:ascii="Times New Roman" w:hAnsi="Times New Roman" w:cs="Times New Roman"/>
          <w:sz w:val="24"/>
          <w:szCs w:val="24"/>
        </w:rPr>
        <w:t xml:space="preserve">z dnia 28 lutego 2003 r. </w:t>
      </w:r>
      <w:r w:rsidRPr="008D7149">
        <w:rPr>
          <w:rFonts w:ascii="Times New Roman" w:hAnsi="Times New Roman" w:cs="Times New Roman"/>
          <w:sz w:val="24"/>
          <w:szCs w:val="24"/>
        </w:rPr>
        <w:t xml:space="preserve">– Prawo upadłościowe jest implementacja art. 4 ust. 1 dyrektywy 2019/2162, określającego wymóg zrównania pozycji wierzycieli z tytułu listów zastawnych oraz wierzycieli z tytułu instrumentów pochodnych. Jednocześnie zmiana ta pociąga za sobą zmianę przepisu dotyczącego kolejności zaspokajania roszczeń z osobnej masy upadłości, w związku z czym zaproponowano nowe brzmienie </w:t>
      </w:r>
      <w:r w:rsidRPr="008D7149">
        <w:rPr>
          <w:rFonts w:ascii="Times New Roman" w:hAnsi="Times New Roman" w:cs="Times New Roman"/>
          <w:b/>
          <w:sz w:val="24"/>
          <w:szCs w:val="24"/>
        </w:rPr>
        <w:t>art. 448</w:t>
      </w:r>
      <w:r w:rsidRPr="008D7149">
        <w:rPr>
          <w:rFonts w:ascii="Times New Roman" w:hAnsi="Times New Roman" w:cs="Times New Roman"/>
          <w:sz w:val="24"/>
          <w:szCs w:val="24"/>
        </w:rPr>
        <w:t>.</w:t>
      </w:r>
      <w:r w:rsidRPr="008D7149">
        <w:rPr>
          <w:rFonts w:ascii="Times New Roman" w:hAnsi="Times New Roman" w:cs="Times New Roman"/>
          <w:b/>
          <w:sz w:val="24"/>
          <w:szCs w:val="24"/>
        </w:rPr>
        <w:t xml:space="preserve"> </w:t>
      </w:r>
    </w:p>
    <w:p w14:paraId="1F97DA37" w14:textId="77777777" w:rsidR="00E82C36" w:rsidRPr="008D7149" w:rsidRDefault="00E82C36"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442a</w:t>
      </w:r>
      <w:r w:rsidRPr="008D7149">
        <w:rPr>
          <w:rFonts w:ascii="Times New Roman" w:hAnsi="Times New Roman" w:cs="Times New Roman"/>
          <w:sz w:val="24"/>
          <w:szCs w:val="24"/>
        </w:rPr>
        <w:t xml:space="preserve"> w ust. 2 w zdaniu pierwszym oraz </w:t>
      </w:r>
      <w:r w:rsidRPr="008D7149">
        <w:rPr>
          <w:rFonts w:ascii="Times New Roman" w:hAnsi="Times New Roman" w:cs="Times New Roman"/>
          <w:b/>
          <w:sz w:val="24"/>
          <w:szCs w:val="24"/>
        </w:rPr>
        <w:t>w art. 446b w ust. 1 w pkt 2</w:t>
      </w:r>
      <w:r w:rsidRPr="008D7149">
        <w:rPr>
          <w:rFonts w:ascii="Times New Roman" w:hAnsi="Times New Roman" w:cs="Times New Roman"/>
          <w:sz w:val="24"/>
          <w:szCs w:val="24"/>
        </w:rPr>
        <w:t xml:space="preserve"> ma charakter dostosowujący do nowej terminologii odnoszącej się do instrumentu pochodnego na gruncie Ustawy. </w:t>
      </w:r>
    </w:p>
    <w:p w14:paraId="71367302" w14:textId="139089F9" w:rsidR="00FA5055" w:rsidRDefault="00FA5055"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458</w:t>
      </w:r>
      <w:r w:rsidRPr="008D7149">
        <w:rPr>
          <w:rFonts w:ascii="Times New Roman" w:hAnsi="Times New Roman" w:cs="Times New Roman"/>
          <w:sz w:val="24"/>
          <w:szCs w:val="24"/>
        </w:rPr>
        <w:t xml:space="preserve"> ust. 2 ma charakter wynikowy i jest konsekwencją wprowadzenia w kategorii trzeciej </w:t>
      </w:r>
      <w:proofErr w:type="spellStart"/>
      <w:r w:rsidRPr="008D7149">
        <w:rPr>
          <w:rFonts w:ascii="Times New Roman" w:hAnsi="Times New Roman" w:cs="Times New Roman"/>
          <w:sz w:val="24"/>
          <w:szCs w:val="24"/>
        </w:rPr>
        <w:t>doprecyzowań</w:t>
      </w:r>
      <w:proofErr w:type="spellEnd"/>
      <w:r w:rsidRPr="008D7149">
        <w:rPr>
          <w:rFonts w:ascii="Times New Roman" w:hAnsi="Times New Roman" w:cs="Times New Roman"/>
          <w:sz w:val="24"/>
          <w:szCs w:val="24"/>
        </w:rPr>
        <w:t xml:space="preserve"> w postaci podkategorii. </w:t>
      </w:r>
    </w:p>
    <w:p w14:paraId="2B09C650" w14:textId="77777777" w:rsidR="0018298A" w:rsidRPr="008D7149" w:rsidRDefault="0018298A"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p>
    <w:p w14:paraId="609BF3D4" w14:textId="20730353" w:rsidR="00C60115" w:rsidRDefault="00605872" w:rsidP="0018298A">
      <w:pPr>
        <w:pStyle w:val="Akapitzlist"/>
        <w:autoSpaceDE w:val="0"/>
        <w:autoSpaceDN w:val="0"/>
        <w:adjustRightInd w:val="0"/>
        <w:spacing w:before="12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7</w:t>
      </w:r>
      <w:r w:rsidR="00477142">
        <w:rPr>
          <w:rFonts w:ascii="Times New Roman" w:hAnsi="Times New Roman" w:cs="Times New Roman"/>
          <w:sz w:val="24"/>
          <w:szCs w:val="24"/>
        </w:rPr>
        <w:t>)</w:t>
      </w:r>
      <w:r w:rsidR="00477142">
        <w:rPr>
          <w:rFonts w:ascii="Times New Roman" w:hAnsi="Times New Roman" w:cs="Times New Roman"/>
          <w:sz w:val="24"/>
          <w:szCs w:val="24"/>
        </w:rPr>
        <w:tab/>
      </w:r>
      <w:r w:rsidR="00EF441C" w:rsidRPr="008D7149">
        <w:rPr>
          <w:rFonts w:ascii="Times New Roman" w:hAnsi="Times New Roman" w:cs="Times New Roman"/>
          <w:b/>
          <w:sz w:val="24"/>
          <w:szCs w:val="24"/>
        </w:rPr>
        <w:t xml:space="preserve">Art. </w:t>
      </w:r>
      <w:r w:rsidRPr="008D7149">
        <w:rPr>
          <w:rFonts w:ascii="Times New Roman" w:hAnsi="Times New Roman" w:cs="Times New Roman"/>
          <w:b/>
          <w:sz w:val="24"/>
          <w:szCs w:val="24"/>
        </w:rPr>
        <w:t>7</w:t>
      </w:r>
      <w:r w:rsidR="00EF441C" w:rsidRPr="008D7149">
        <w:rPr>
          <w:rFonts w:ascii="Times New Roman" w:hAnsi="Times New Roman" w:cs="Times New Roman"/>
          <w:b/>
          <w:sz w:val="24"/>
          <w:szCs w:val="24"/>
        </w:rPr>
        <w:t xml:space="preserve"> projektu</w:t>
      </w:r>
      <w:r w:rsidR="00EF441C" w:rsidRPr="008D7149">
        <w:rPr>
          <w:rFonts w:ascii="Times New Roman" w:hAnsi="Times New Roman" w:cs="Times New Roman"/>
          <w:sz w:val="24"/>
          <w:szCs w:val="24"/>
        </w:rPr>
        <w:t xml:space="preserve"> wprowadza zmianę do ustawy z </w:t>
      </w:r>
      <w:r w:rsidR="00EF441C" w:rsidRPr="008D7149">
        <w:rPr>
          <w:rFonts w:ascii="Times New Roman" w:eastAsia="Times New Roman" w:hAnsi="Times New Roman" w:cs="Times New Roman"/>
          <w:sz w:val="24"/>
          <w:szCs w:val="24"/>
        </w:rPr>
        <w:t>dnia</w:t>
      </w:r>
      <w:r w:rsidR="00EF441C" w:rsidRPr="008D7149">
        <w:rPr>
          <w:rFonts w:ascii="Times New Roman" w:hAnsi="Times New Roman" w:cs="Times New Roman"/>
          <w:sz w:val="24"/>
          <w:szCs w:val="24"/>
        </w:rPr>
        <w:t xml:space="preserve"> 14 marca 2003 r. o Banku Gospodarstwa Krajowego </w:t>
      </w:r>
      <w:r w:rsidR="005D50DC" w:rsidRPr="008D7149">
        <w:rPr>
          <w:rFonts w:ascii="Times New Roman" w:eastAsia="Times New Roman" w:hAnsi="Times New Roman" w:cs="Times New Roman"/>
          <w:sz w:val="24"/>
          <w:szCs w:val="24"/>
          <w:lang w:eastAsia="pl-PL"/>
        </w:rPr>
        <w:t xml:space="preserve">(Dz. U. z 2022 r. poz. 100) </w:t>
      </w:r>
      <w:r w:rsidR="00EF441C" w:rsidRPr="008D7149">
        <w:rPr>
          <w:rFonts w:ascii="Times New Roman" w:hAnsi="Times New Roman" w:cs="Times New Roman"/>
          <w:sz w:val="24"/>
          <w:szCs w:val="24"/>
        </w:rPr>
        <w:t>w zakresie korekty odesłań do nowego brzmienia Ustawy.</w:t>
      </w:r>
    </w:p>
    <w:p w14:paraId="7753505B" w14:textId="77777777" w:rsidR="0018298A" w:rsidRPr="008D7149" w:rsidRDefault="0018298A" w:rsidP="0018298A">
      <w:pPr>
        <w:pStyle w:val="Akapitzlist"/>
        <w:autoSpaceDE w:val="0"/>
        <w:autoSpaceDN w:val="0"/>
        <w:adjustRightInd w:val="0"/>
        <w:spacing w:before="120" w:line="360" w:lineRule="auto"/>
        <w:ind w:left="0"/>
        <w:jc w:val="both"/>
        <w:rPr>
          <w:rFonts w:ascii="Times New Roman" w:hAnsi="Times New Roman" w:cs="Times New Roman"/>
          <w:sz w:val="24"/>
          <w:szCs w:val="24"/>
        </w:rPr>
      </w:pPr>
    </w:p>
    <w:p w14:paraId="675BC9F0" w14:textId="22172094" w:rsidR="00C60115" w:rsidRPr="008D7149" w:rsidRDefault="00605872" w:rsidP="0018298A">
      <w:pPr>
        <w:pStyle w:val="Akapitzlist"/>
        <w:autoSpaceDE w:val="0"/>
        <w:autoSpaceDN w:val="0"/>
        <w:adjustRightInd w:val="0"/>
        <w:spacing w:before="12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8</w:t>
      </w:r>
      <w:r w:rsidR="00477142">
        <w:rPr>
          <w:rFonts w:ascii="Times New Roman" w:hAnsi="Times New Roman" w:cs="Times New Roman"/>
          <w:sz w:val="24"/>
          <w:szCs w:val="24"/>
        </w:rPr>
        <w:t>)</w:t>
      </w:r>
      <w:r w:rsidR="00477142">
        <w:rPr>
          <w:rFonts w:ascii="Times New Roman" w:hAnsi="Times New Roman" w:cs="Times New Roman"/>
          <w:sz w:val="24"/>
          <w:szCs w:val="24"/>
        </w:rPr>
        <w:tab/>
      </w:r>
      <w:r w:rsidR="00C36BE3" w:rsidRPr="008D7149">
        <w:rPr>
          <w:rFonts w:ascii="Times New Roman" w:hAnsi="Times New Roman" w:cs="Times New Roman"/>
          <w:b/>
          <w:sz w:val="24"/>
          <w:szCs w:val="24"/>
        </w:rPr>
        <w:t xml:space="preserve">Art. </w:t>
      </w:r>
      <w:r w:rsidRPr="008D7149">
        <w:rPr>
          <w:rFonts w:ascii="Times New Roman" w:hAnsi="Times New Roman" w:cs="Times New Roman"/>
          <w:b/>
          <w:sz w:val="24"/>
          <w:szCs w:val="24"/>
        </w:rPr>
        <w:t>8</w:t>
      </w:r>
      <w:r w:rsidR="001061A7" w:rsidRPr="008D7149">
        <w:rPr>
          <w:rFonts w:ascii="Times New Roman" w:hAnsi="Times New Roman" w:cs="Times New Roman"/>
          <w:b/>
          <w:sz w:val="24"/>
          <w:szCs w:val="24"/>
        </w:rPr>
        <w:t xml:space="preserve"> projektu</w:t>
      </w:r>
      <w:r w:rsidR="001061A7" w:rsidRPr="008D7149">
        <w:rPr>
          <w:rFonts w:ascii="Times New Roman" w:hAnsi="Times New Roman" w:cs="Times New Roman"/>
          <w:sz w:val="24"/>
          <w:szCs w:val="24"/>
        </w:rPr>
        <w:t xml:space="preserve"> wprowadza zmian</w:t>
      </w:r>
      <w:r w:rsidR="00593E53" w:rsidRPr="008D7149">
        <w:rPr>
          <w:rFonts w:ascii="Times New Roman" w:hAnsi="Times New Roman" w:cs="Times New Roman"/>
          <w:sz w:val="24"/>
          <w:szCs w:val="24"/>
        </w:rPr>
        <w:t xml:space="preserve">ę </w:t>
      </w:r>
      <w:r w:rsidR="00593E53" w:rsidRPr="008D7149">
        <w:rPr>
          <w:rFonts w:ascii="Times New Roman" w:hAnsi="Times New Roman" w:cs="Times New Roman"/>
          <w:b/>
          <w:sz w:val="24"/>
          <w:szCs w:val="24"/>
        </w:rPr>
        <w:t>art. 97 ust. 1 pkt 2</w:t>
      </w:r>
      <w:r w:rsidR="00503558" w:rsidRPr="008D7149">
        <w:rPr>
          <w:rFonts w:ascii="Times New Roman" w:hAnsi="Times New Roman" w:cs="Times New Roman"/>
          <w:sz w:val="24"/>
          <w:szCs w:val="24"/>
        </w:rPr>
        <w:t xml:space="preserve"> </w:t>
      </w:r>
      <w:r w:rsidR="001061A7" w:rsidRPr="008D7149">
        <w:rPr>
          <w:rFonts w:ascii="Times New Roman" w:hAnsi="Times New Roman" w:cs="Times New Roman"/>
          <w:sz w:val="24"/>
          <w:szCs w:val="24"/>
        </w:rPr>
        <w:t>ustawy z dnia 27 maja 2004 r. o funduszach inwestycyjnych i zarządzaniu alternatywnymi funduszami inwestycyjnymi</w:t>
      </w:r>
      <w:r w:rsidR="005D50DC" w:rsidRPr="008D7149">
        <w:rPr>
          <w:rFonts w:ascii="Times New Roman" w:hAnsi="Times New Roman" w:cs="Times New Roman"/>
          <w:sz w:val="24"/>
          <w:szCs w:val="24"/>
        </w:rPr>
        <w:t xml:space="preserve"> (Dz. U. z 2021 r. poz. 605, z późn. zm.)</w:t>
      </w:r>
      <w:r w:rsidR="001F0A32" w:rsidRPr="008D7149">
        <w:rPr>
          <w:rFonts w:ascii="Times New Roman" w:hAnsi="Times New Roman" w:cs="Times New Roman"/>
          <w:sz w:val="24"/>
          <w:szCs w:val="24"/>
        </w:rPr>
        <w:t xml:space="preserve">. Celem </w:t>
      </w:r>
      <w:r w:rsidR="009078EC" w:rsidRPr="008D7149">
        <w:rPr>
          <w:rFonts w:ascii="Times New Roman" w:hAnsi="Times New Roman" w:cs="Times New Roman"/>
          <w:sz w:val="24"/>
          <w:szCs w:val="24"/>
        </w:rPr>
        <w:t xml:space="preserve">ww. </w:t>
      </w:r>
      <w:r w:rsidR="001F0A32" w:rsidRPr="008D7149">
        <w:rPr>
          <w:rFonts w:ascii="Times New Roman" w:hAnsi="Times New Roman" w:cs="Times New Roman"/>
          <w:sz w:val="24"/>
          <w:szCs w:val="24"/>
        </w:rPr>
        <w:t xml:space="preserve">zmiany jest implementacja do krajowego porządku prawnego art. 28 dyrektywy 2019/2162. Przepis ten nowelizuje art. 52 ust. 4 dyrektywy Parlamentu Europejskiego i Rady 2009/65/WE z dnia 13 lipca 2009 r. w sprawie </w:t>
      </w:r>
      <w:r w:rsidR="001F0A32" w:rsidRPr="008D7149">
        <w:rPr>
          <w:rFonts w:ascii="Times New Roman" w:hAnsi="Times New Roman" w:cs="Times New Roman"/>
          <w:sz w:val="24"/>
          <w:szCs w:val="24"/>
        </w:rPr>
        <w:lastRenderedPageBreak/>
        <w:t>koordynacji przepisów ustawowych, wykonawczych i administracyjnych odnoszących się do przedsiębiorstw zbiorowego inwestowania w zbywalne papiery wartościowe (UCITS)</w:t>
      </w:r>
      <w:r w:rsidR="00C60115" w:rsidRPr="008D7149">
        <w:rPr>
          <w:rFonts w:ascii="Times New Roman" w:hAnsi="Times New Roman" w:cs="Times New Roman"/>
          <w:sz w:val="24"/>
          <w:szCs w:val="24"/>
        </w:rPr>
        <w:t>.</w:t>
      </w:r>
    </w:p>
    <w:p w14:paraId="475EF712" w14:textId="77777777" w:rsidR="003C674A" w:rsidRPr="008D7149" w:rsidRDefault="003C674A"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p>
    <w:p w14:paraId="2139432F" w14:textId="0E525280" w:rsidR="009078EC" w:rsidRPr="008D7149" w:rsidRDefault="001F0A32" w:rsidP="0018298A">
      <w:pPr>
        <w:pStyle w:val="Akapitzlist"/>
        <w:autoSpaceDE w:val="0"/>
        <w:autoSpaceDN w:val="0"/>
        <w:adjustRightInd w:val="0"/>
        <w:spacing w:before="12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 xml:space="preserve">Art. 52 ust. 4 dyrektywy 2009/65/WE umożliwia państwom członkowskim podwyższenie z 5% do 25% maksymalnego limitu inwestycyjnego funduszy inwestycyjnych typu UCITS (w prawodawstwie krajowym funduszom inwestycyjnym otwartym) w odniesieniu do obligacji wyemitowanych przez instytucję kredytową, która posiada statutową siedzibę w państwie członkowskim i podlega na mocy prawa szczególnemu nadzorowi publicznemu służącemu ochronie posiadaczy obligacji, w przypadku gdy kwoty pochodzące z emisji tych obligacji są inwestowane zgodnie z prawem w aktywa, które podczas całego okresu ważności obligacji są w stanie pokryć roszczenia związane z obligacjami oraz które w przypadku niewypłacalności emitenta zostałyby wykorzystane na zasadzie pierwszeństwa w celu zwrotu kapitału i płatności narosłych odsetek. </w:t>
      </w:r>
    </w:p>
    <w:p w14:paraId="2CD32D27" w14:textId="77777777" w:rsidR="003C674A" w:rsidRPr="008D7149" w:rsidRDefault="003C674A"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p>
    <w:p w14:paraId="3C780B28" w14:textId="5C8DAC47" w:rsidR="00C60115" w:rsidRPr="008D7149" w:rsidRDefault="001F0A32"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 xml:space="preserve">Art. 52 ust. 4 dyrektywy 2009/65/WE był jednym z pierwszych przepisów na poziomie prawa europejskiego, </w:t>
      </w:r>
      <w:r w:rsidR="009078EC" w:rsidRPr="008D7149">
        <w:rPr>
          <w:rFonts w:ascii="Times New Roman" w:hAnsi="Times New Roman" w:cs="Times New Roman"/>
          <w:sz w:val="24"/>
          <w:szCs w:val="24"/>
        </w:rPr>
        <w:t xml:space="preserve">w którym </w:t>
      </w:r>
      <w:r w:rsidRPr="008D7149">
        <w:rPr>
          <w:rFonts w:ascii="Times New Roman" w:hAnsi="Times New Roman" w:cs="Times New Roman"/>
          <w:sz w:val="24"/>
          <w:szCs w:val="24"/>
        </w:rPr>
        <w:t>przewidziano ogólne wymogi dotyczące struktury obligacji zabezpieczonych, co wynikało między innymi z braku harmonizacji wymogów dotyczących emisji obligacji zabezpieczonych. Mając na uwadze, że implementowana dyrektywa 2019/2162 ustanawia we wszystkich państwach członkowskich wspólne wymagania we wskazanym zakresie</w:t>
      </w:r>
      <w:r w:rsidR="00D93FBF" w:rsidRPr="008D7149">
        <w:rPr>
          <w:rFonts w:ascii="Times New Roman" w:hAnsi="Times New Roman" w:cs="Times New Roman"/>
          <w:sz w:val="24"/>
          <w:szCs w:val="24"/>
        </w:rPr>
        <w:t>,</w:t>
      </w:r>
      <w:r w:rsidRPr="008D7149">
        <w:rPr>
          <w:rFonts w:ascii="Times New Roman" w:hAnsi="Times New Roman" w:cs="Times New Roman"/>
          <w:sz w:val="24"/>
          <w:szCs w:val="24"/>
        </w:rPr>
        <w:t xml:space="preserve"> dokonuje ona również nowelizacji art. 52 ust. 4 dyrektywy 2009/65/WE w ten sposób, że od dnia 8 lipca 2022 r. do podwyższonego do 25% limitu inwestycyjnego będą mogły być zaliczane wyłącznie obligacje zabezpieczone spełniające warunki określone w implementowanej dyrektywie</w:t>
      </w:r>
      <w:r w:rsidR="00C60115" w:rsidRPr="008D7149">
        <w:rPr>
          <w:rFonts w:ascii="Times New Roman" w:hAnsi="Times New Roman" w:cs="Times New Roman"/>
          <w:sz w:val="24"/>
          <w:szCs w:val="24"/>
        </w:rPr>
        <w:t xml:space="preserve"> 2019/2162</w:t>
      </w:r>
      <w:r w:rsidRPr="008D7149">
        <w:rPr>
          <w:rFonts w:ascii="Times New Roman" w:hAnsi="Times New Roman" w:cs="Times New Roman"/>
          <w:sz w:val="24"/>
          <w:szCs w:val="24"/>
        </w:rPr>
        <w:t xml:space="preserve">. Jednocześnie dyrektywa </w:t>
      </w:r>
      <w:r w:rsidR="00C60115" w:rsidRPr="008D7149">
        <w:rPr>
          <w:rFonts w:ascii="Times New Roman" w:hAnsi="Times New Roman" w:cs="Times New Roman"/>
          <w:sz w:val="24"/>
          <w:szCs w:val="24"/>
        </w:rPr>
        <w:t xml:space="preserve">ta </w:t>
      </w:r>
      <w:r w:rsidRPr="008D7149">
        <w:rPr>
          <w:rFonts w:ascii="Times New Roman" w:hAnsi="Times New Roman" w:cs="Times New Roman"/>
          <w:sz w:val="24"/>
          <w:szCs w:val="24"/>
        </w:rPr>
        <w:t>zezwala na zaliczenie do tego podwyższonego limitu inwestycyjnego obligacji zabezpieczonych, które zostały wyemitowane przed dniem 8 lipca 2022 r.</w:t>
      </w:r>
      <w:r w:rsidR="004C6B10">
        <w:rPr>
          <w:rFonts w:ascii="Times New Roman" w:hAnsi="Times New Roman" w:cs="Times New Roman"/>
          <w:sz w:val="24"/>
          <w:szCs w:val="24"/>
        </w:rPr>
        <w:t>,</w:t>
      </w:r>
      <w:r w:rsidRPr="008D7149">
        <w:rPr>
          <w:rFonts w:ascii="Times New Roman" w:hAnsi="Times New Roman" w:cs="Times New Roman"/>
          <w:sz w:val="24"/>
          <w:szCs w:val="24"/>
        </w:rPr>
        <w:t xml:space="preserve"> pod warunkiem że spełniają one dotychczasowe warunki. </w:t>
      </w:r>
      <w:r w:rsidR="009078EC" w:rsidRPr="008D7149">
        <w:rPr>
          <w:rFonts w:ascii="Times New Roman" w:hAnsi="Times New Roman" w:cs="Times New Roman"/>
          <w:sz w:val="24"/>
          <w:szCs w:val="24"/>
        </w:rPr>
        <w:t>Tym samym</w:t>
      </w:r>
      <w:r w:rsidRPr="008D7149">
        <w:rPr>
          <w:rFonts w:ascii="Times New Roman" w:hAnsi="Times New Roman" w:cs="Times New Roman"/>
          <w:sz w:val="24"/>
          <w:szCs w:val="24"/>
        </w:rPr>
        <w:t xml:space="preserve">, zgodnie ze znowelizowanymi przepisami do podwyższonego limitu inwestycyjnego fundusze inwestycyjne otwarte po dniu 8 lipca 2022 r. nie będą mogły zaliczać </w:t>
      </w:r>
      <w:r w:rsidR="00D93FBF" w:rsidRPr="008D7149">
        <w:rPr>
          <w:rFonts w:ascii="Times New Roman" w:hAnsi="Times New Roman" w:cs="Times New Roman"/>
          <w:sz w:val="24"/>
          <w:szCs w:val="24"/>
        </w:rPr>
        <w:t xml:space="preserve">tych </w:t>
      </w:r>
      <w:r w:rsidRPr="008D7149">
        <w:rPr>
          <w:rFonts w:ascii="Times New Roman" w:hAnsi="Times New Roman" w:cs="Times New Roman"/>
          <w:sz w:val="24"/>
          <w:szCs w:val="24"/>
        </w:rPr>
        <w:t xml:space="preserve">obligacji zabezpieczonych wyemitowanych po tym dniu, które nie spełniają wymagań implementowanej dyrektywy 2019/2162. </w:t>
      </w:r>
    </w:p>
    <w:p w14:paraId="6450DD23" w14:textId="77777777" w:rsidR="00C60115" w:rsidRPr="008D7149" w:rsidRDefault="00C60115"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p>
    <w:p w14:paraId="0D407F3B" w14:textId="4216F9A2" w:rsidR="00C60115" w:rsidRPr="008D7149" w:rsidRDefault="001F0A32"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Implementacja art. 52 ust. 4 dyrektywy 2009/65/WE została dokonana w art. 97 ust. 1 ustawy z dnia 27 maja 2004 r. o funduszach inwestycyjnych i zarządzaniu alternatywnymi funduszami inwestycyjnymi. Zauważenia przy tym wymaga, że krajowy ustawodawca wskazał wprost, ż</w:t>
      </w:r>
      <w:r w:rsidR="00AD732D">
        <w:rPr>
          <w:rFonts w:ascii="Times New Roman" w:hAnsi="Times New Roman" w:cs="Times New Roman"/>
          <w:sz w:val="24"/>
          <w:szCs w:val="24"/>
        </w:rPr>
        <w:t>e</w:t>
      </w:r>
      <w:r w:rsidRPr="008D7149">
        <w:rPr>
          <w:rFonts w:ascii="Times New Roman" w:hAnsi="Times New Roman" w:cs="Times New Roman"/>
          <w:sz w:val="24"/>
          <w:szCs w:val="24"/>
        </w:rPr>
        <w:t xml:space="preserve"> wymogi określone w art. 52 ust. 4 dyrektywy 2009/65/WE spełniają listy zastawne </w:t>
      </w:r>
      <w:r w:rsidRPr="008D7149">
        <w:rPr>
          <w:rFonts w:ascii="Times New Roman" w:hAnsi="Times New Roman" w:cs="Times New Roman"/>
          <w:sz w:val="24"/>
          <w:szCs w:val="24"/>
        </w:rPr>
        <w:lastRenderedPageBreak/>
        <w:t>wyemitowane na podstawie nowelizowanej ustawy z dnia 29 sierpnia 1997 r. o listach zastawnych i bankach hipotecznych (art. 97 ust. 1 pkt 1</w:t>
      </w:r>
      <w:r w:rsidR="009078EC" w:rsidRPr="008D7149">
        <w:rPr>
          <w:rFonts w:ascii="Times New Roman" w:hAnsi="Times New Roman" w:cs="Times New Roman"/>
          <w:sz w:val="24"/>
          <w:szCs w:val="24"/>
        </w:rPr>
        <w:t xml:space="preserve"> ustawy z dnia 27 maja 2004 r. o funduszach inwestycyjnych i zarządzaniu alternatywnymi funduszami inwestycyjnymi</w:t>
      </w:r>
      <w:r w:rsidRPr="008D7149">
        <w:rPr>
          <w:rFonts w:ascii="Times New Roman" w:hAnsi="Times New Roman" w:cs="Times New Roman"/>
          <w:sz w:val="24"/>
          <w:szCs w:val="24"/>
        </w:rPr>
        <w:t>). Ponadto, mając na uwadze, że zasady emisji obligacji zabezpieczonych (listów zastawnych) na podstawie prawa polskiego regulują przepisy ustawy z dnia 29 sierpnia 1997 r. o listach zastawnych i bankach hipotecznych, podczas gdy art. 52 ust. 4 dyrektywy 2009/65/WE odnosi się również do obligacji zabezpieczonych emitowanych na podstawie prawa innych państw członkowskich, w art. 97 ust. 1 pkt 2 ustawy z dnia 27 maja 2004 r. o funduszach inwestycyjnych</w:t>
      </w:r>
      <w:r w:rsidR="00AD732D">
        <w:rPr>
          <w:rFonts w:ascii="Times New Roman" w:hAnsi="Times New Roman" w:cs="Times New Roman"/>
          <w:sz w:val="24"/>
          <w:szCs w:val="24"/>
        </w:rPr>
        <w:t xml:space="preserve"> i</w:t>
      </w:r>
      <w:r w:rsidRPr="008D7149">
        <w:rPr>
          <w:rFonts w:ascii="Times New Roman" w:hAnsi="Times New Roman" w:cs="Times New Roman"/>
          <w:sz w:val="24"/>
          <w:szCs w:val="24"/>
        </w:rPr>
        <w:t xml:space="preserve"> zarządzaniu alternatywnymi funduszami inwestycyjnymi określone zostały wymagania</w:t>
      </w:r>
      <w:r w:rsidR="00C83764" w:rsidRPr="008D7149">
        <w:rPr>
          <w:rFonts w:ascii="Times New Roman" w:hAnsi="Times New Roman" w:cs="Times New Roman"/>
          <w:sz w:val="24"/>
          <w:szCs w:val="24"/>
        </w:rPr>
        <w:t>,</w:t>
      </w:r>
      <w:r w:rsidRPr="008D7149">
        <w:rPr>
          <w:rFonts w:ascii="Times New Roman" w:hAnsi="Times New Roman" w:cs="Times New Roman"/>
          <w:sz w:val="24"/>
          <w:szCs w:val="24"/>
        </w:rPr>
        <w:t xml:space="preserve"> jakie muszą spełniać obligacje zabezpieczone (odpowiedniki polskich listów zastawnych) emitowane w innych państwach członkowskich. Proponuje się </w:t>
      </w:r>
      <w:r w:rsidR="00C60115" w:rsidRPr="008D7149">
        <w:rPr>
          <w:rFonts w:ascii="Times New Roman" w:hAnsi="Times New Roman" w:cs="Times New Roman"/>
          <w:sz w:val="24"/>
          <w:szCs w:val="24"/>
        </w:rPr>
        <w:t xml:space="preserve">zatem </w:t>
      </w:r>
      <w:r w:rsidRPr="008D7149">
        <w:rPr>
          <w:rFonts w:ascii="Times New Roman" w:hAnsi="Times New Roman" w:cs="Times New Roman"/>
          <w:sz w:val="24"/>
          <w:szCs w:val="24"/>
        </w:rPr>
        <w:t xml:space="preserve">zachowanie dotychczasowej zasady, zgodnie z którą za obligacje zabezpieczone, o których mowa w znowelizowanym art. 52 ust. 4 dyrektywy 2009/65/WE, uznaje się listy zastawne, przy czym w ich przypadku nie ma potrzeby określania przedziału czasowego emisji, gdyż listy zastawne wyemitowane zarówno przed </w:t>
      </w:r>
      <w:r w:rsidR="00AD732D">
        <w:rPr>
          <w:rFonts w:ascii="Times New Roman" w:hAnsi="Times New Roman" w:cs="Times New Roman"/>
          <w:sz w:val="24"/>
          <w:szCs w:val="24"/>
        </w:rPr>
        <w:t xml:space="preserve">dniem </w:t>
      </w:r>
      <w:r w:rsidRPr="008D7149">
        <w:rPr>
          <w:rFonts w:ascii="Times New Roman" w:hAnsi="Times New Roman" w:cs="Times New Roman"/>
          <w:sz w:val="24"/>
          <w:szCs w:val="24"/>
        </w:rPr>
        <w:t xml:space="preserve">8 lipca 2022 r., jak i po tej dacie, spełniają wymagania przewidziane implementowanym przepisem. W konsekwencji zmianie podlega wyłącznie pkt 2 omawianego przepisu, który odzwierciedla znowelizowany art. 52 ust. 4 dyrektywy 2009/65/WE. </w:t>
      </w:r>
    </w:p>
    <w:p w14:paraId="7E5DA30B" w14:textId="77777777" w:rsidR="00C60115" w:rsidRPr="008D7149" w:rsidRDefault="00C60115"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p>
    <w:p w14:paraId="6944C811" w14:textId="5FE9882C" w:rsidR="002349B3" w:rsidRPr="008D7149" w:rsidRDefault="001F0A32"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Uchylenie przepisu ust. 5 w art. 97 ustawy z dnia 24 maja 2004 r. o funduszach inwestycyjnych i zarządzaniu alternatywnymi funduszami inwestycyjnymi odzwierciedla zmienione brzmienie art. 52 ust. 4 dyrektywy 2009/65/WE, w którym uchyla się akapit trzeci dotyczący wymogów powiadamiania wskazanych organów.</w:t>
      </w:r>
    </w:p>
    <w:p w14:paraId="3545F114" w14:textId="42D362C7" w:rsidR="00EE67C0" w:rsidRPr="008D7149" w:rsidRDefault="00477142" w:rsidP="0013773E">
      <w:pPr>
        <w:shd w:val="clear" w:color="auto" w:fill="FFFFFF" w:themeFill="background1"/>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r>
      <w:r w:rsidR="00EE67C0" w:rsidRPr="008D7149">
        <w:rPr>
          <w:rFonts w:ascii="Times New Roman" w:hAnsi="Times New Roman" w:cs="Times New Roman"/>
          <w:b/>
          <w:bCs/>
          <w:sz w:val="24"/>
          <w:szCs w:val="24"/>
        </w:rPr>
        <w:t xml:space="preserve">Art. 9 </w:t>
      </w:r>
      <w:r w:rsidR="00EE67C0" w:rsidRPr="008D7149">
        <w:rPr>
          <w:rFonts w:ascii="Times New Roman" w:hAnsi="Times New Roman" w:cs="Times New Roman"/>
          <w:bCs/>
          <w:sz w:val="24"/>
          <w:szCs w:val="24"/>
        </w:rPr>
        <w:t>projektu</w:t>
      </w:r>
      <w:r w:rsidR="00EE67C0" w:rsidRPr="008D7149">
        <w:rPr>
          <w:rFonts w:ascii="Times New Roman" w:hAnsi="Times New Roman" w:cs="Times New Roman"/>
          <w:b/>
          <w:bCs/>
          <w:sz w:val="24"/>
          <w:szCs w:val="24"/>
        </w:rPr>
        <w:t xml:space="preserve"> </w:t>
      </w:r>
      <w:r w:rsidR="00EE67C0" w:rsidRPr="008D7149">
        <w:rPr>
          <w:rFonts w:ascii="Times New Roman" w:hAnsi="Times New Roman" w:cs="Times New Roman"/>
          <w:bCs/>
          <w:sz w:val="24"/>
          <w:szCs w:val="24"/>
        </w:rPr>
        <w:t xml:space="preserve">wprowadza zmiany do ustawy </w:t>
      </w:r>
      <w:r w:rsidR="007175FD" w:rsidRPr="008D7149">
        <w:rPr>
          <w:rFonts w:ascii="Times New Roman" w:hAnsi="Times New Roman" w:cs="Times New Roman"/>
          <w:bCs/>
          <w:sz w:val="24"/>
          <w:szCs w:val="24"/>
        </w:rPr>
        <w:t xml:space="preserve">z dnia 29 lipca 2005 r. </w:t>
      </w:r>
      <w:r w:rsidR="00EE67C0" w:rsidRPr="008D7149">
        <w:rPr>
          <w:rFonts w:ascii="Times New Roman" w:hAnsi="Times New Roman" w:cs="Times New Roman"/>
          <w:bCs/>
          <w:sz w:val="24"/>
          <w:szCs w:val="24"/>
        </w:rPr>
        <w:t>o obrocie instrumentami finansowymi</w:t>
      </w:r>
      <w:r w:rsidR="007175FD" w:rsidRPr="008D7149">
        <w:rPr>
          <w:rFonts w:ascii="Times New Roman" w:hAnsi="Times New Roman" w:cs="Times New Roman"/>
          <w:bCs/>
          <w:sz w:val="24"/>
          <w:szCs w:val="24"/>
        </w:rPr>
        <w:t xml:space="preserve"> (Dz. U. z 2021 r. poz. 328, z późn. zm.).</w:t>
      </w:r>
    </w:p>
    <w:p w14:paraId="573E52EC" w14:textId="444D8268" w:rsidR="00EE67C0" w:rsidRPr="008D7149" w:rsidRDefault="00EE67C0"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70 ust. 2 pkt 1</w:t>
      </w:r>
      <w:r w:rsidRPr="008D7149">
        <w:rPr>
          <w:rFonts w:ascii="Times New Roman" w:hAnsi="Times New Roman" w:cs="Times New Roman"/>
          <w:sz w:val="24"/>
          <w:szCs w:val="24"/>
        </w:rPr>
        <w:t xml:space="preserve"> ma na celu włączenie obligacji, które emitował będzie podmiot zarządzający aktywami, o którym mowa w art. 224 ust. 1 ustawy o BFG, lub </w:t>
      </w:r>
      <w:r w:rsidR="00A05B34" w:rsidRPr="008D7149">
        <w:rPr>
          <w:rFonts w:ascii="Times New Roman" w:hAnsi="Times New Roman" w:cs="Times New Roman"/>
          <w:sz w:val="24"/>
          <w:szCs w:val="24"/>
        </w:rPr>
        <w:t>BFG</w:t>
      </w:r>
      <w:r w:rsidRPr="008D7149">
        <w:rPr>
          <w:rFonts w:ascii="Times New Roman" w:hAnsi="Times New Roman" w:cs="Times New Roman"/>
          <w:sz w:val="24"/>
          <w:szCs w:val="24"/>
        </w:rPr>
        <w:t>, do katalogu instrumentów, wobec których bank z siedzibą na terytorium Rzeczypospolitej Polskiej może bez zezwolenia na prowadzenie działalności maklerskiej wykonywać czynności określone w art. 69 ust. 2 pkt 1</w:t>
      </w:r>
      <w:r w:rsidRPr="008D7149">
        <w:rPr>
          <w:rFonts w:ascii="Times New Roman" w:hAnsi="Times New Roman" w:cs="Times New Roman"/>
          <w:b/>
          <w:sz w:val="24"/>
          <w:szCs w:val="24"/>
        </w:rPr>
        <w:t>–</w:t>
      </w:r>
      <w:r w:rsidRPr="008D7149">
        <w:rPr>
          <w:rFonts w:ascii="Times New Roman" w:hAnsi="Times New Roman" w:cs="Times New Roman"/>
          <w:sz w:val="24"/>
          <w:szCs w:val="24"/>
        </w:rPr>
        <w:t xml:space="preserve">6 ustawy o obrocie instrumentami finansowymi. Zmiana jest uzasadniona koniecznością zwiększenia katalogu podmiotów, które mogą świadczyć usługi pośrednictwa w plasowaniu i obrocie wtórnym w zakresie tych obligacji, co umożliwi szybkie pozyskanie przez podmiot zarządzający aktywami środków w celu realizacji procesu przymusowej </w:t>
      </w:r>
      <w:r w:rsidRPr="008D7149">
        <w:rPr>
          <w:rFonts w:ascii="Times New Roman" w:hAnsi="Times New Roman" w:cs="Times New Roman"/>
          <w:sz w:val="24"/>
          <w:szCs w:val="24"/>
        </w:rPr>
        <w:lastRenderedPageBreak/>
        <w:t xml:space="preserve">restrukturyzacji. Zgodnie z art. 70 ust. 4 ustawy </w:t>
      </w:r>
      <w:r w:rsidR="007175FD" w:rsidRPr="008D7149">
        <w:rPr>
          <w:rFonts w:ascii="Times New Roman" w:hAnsi="Times New Roman" w:cs="Times New Roman"/>
          <w:sz w:val="24"/>
          <w:szCs w:val="24"/>
        </w:rPr>
        <w:t xml:space="preserve">z dnia 29 lipca 2005 r. </w:t>
      </w:r>
      <w:r w:rsidRPr="008D7149">
        <w:rPr>
          <w:rFonts w:ascii="Times New Roman" w:hAnsi="Times New Roman" w:cs="Times New Roman"/>
          <w:sz w:val="24"/>
          <w:szCs w:val="24"/>
        </w:rPr>
        <w:t>o obrocie instrumentami finansowymi będą odpowiednio stosowane w tym przypadku przepisy regulujące działalność maklerską, dzięki czemu zostanie zapewniona odpowiednia ochrona nabywców tych obligacji, bez jednoczesnej konieczności uzyskiwania przez bank zezwolenia na prowadzenie działalności maklerskiej.</w:t>
      </w:r>
    </w:p>
    <w:p w14:paraId="0EBC23BF" w14:textId="1E8D60E6" w:rsidR="005D1A26" w:rsidRPr="008D7149" w:rsidRDefault="00477142" w:rsidP="0013773E">
      <w:pPr>
        <w:shd w:val="clear" w:color="auto" w:fill="FFFFFF" w:themeFill="background1"/>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r>
      <w:r w:rsidR="005D1A26" w:rsidRPr="008D7149">
        <w:rPr>
          <w:rFonts w:ascii="Times New Roman" w:hAnsi="Times New Roman" w:cs="Times New Roman"/>
          <w:b/>
          <w:bCs/>
          <w:sz w:val="24"/>
          <w:szCs w:val="24"/>
        </w:rPr>
        <w:t xml:space="preserve">Art. </w:t>
      </w:r>
      <w:r w:rsidR="007D5D5B" w:rsidRPr="008D7149">
        <w:rPr>
          <w:rFonts w:ascii="Times New Roman" w:hAnsi="Times New Roman" w:cs="Times New Roman"/>
          <w:b/>
          <w:bCs/>
          <w:sz w:val="24"/>
          <w:szCs w:val="24"/>
        </w:rPr>
        <w:t>10</w:t>
      </w:r>
      <w:r w:rsidR="005D1A26" w:rsidRPr="008D7149">
        <w:rPr>
          <w:rFonts w:ascii="Times New Roman" w:hAnsi="Times New Roman" w:cs="Times New Roman"/>
          <w:bCs/>
          <w:sz w:val="24"/>
          <w:szCs w:val="24"/>
        </w:rPr>
        <w:t xml:space="preserve"> projektu wprowadza zmiany do ustawy o ofercie publicznej związane w głównej mierze z zasadami ogłaszania oraz przeprowadzania wezwań.</w:t>
      </w:r>
    </w:p>
    <w:p w14:paraId="62B41B9E"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Projektowane brzmienie </w:t>
      </w:r>
      <w:r w:rsidRPr="008D7149">
        <w:rPr>
          <w:rFonts w:ascii="Times New Roman" w:hAnsi="Times New Roman" w:cs="Times New Roman"/>
          <w:b/>
          <w:bCs/>
          <w:sz w:val="24"/>
          <w:szCs w:val="24"/>
        </w:rPr>
        <w:t>art. 4 pkt 33 i 34, art. 77a ust. 4–7, art. 79 ust. 5a, art. 79b, art. 79e i art. 79f</w:t>
      </w:r>
      <w:r w:rsidRPr="008D7149">
        <w:rPr>
          <w:rFonts w:ascii="Times New Roman" w:hAnsi="Times New Roman" w:cs="Times New Roman"/>
          <w:bCs/>
          <w:sz w:val="24"/>
          <w:szCs w:val="24"/>
        </w:rPr>
        <w:t xml:space="preserve"> ustawy o ofercie publicznej służą przeniesieniu do ustawy o ofercie publicznej niektórych kwestii uregulowanych dotychczas w rozporządzeniu Ministra Finansów, Funduszy i Polityki Regionalnej z dnia 26 listopada 2020 r. w sprawie wzorów wezwań do zapisywania się na sprzedaż lub zamianę akcji spółki publicznej, szczegółowego sposobu ich ogłaszania oraz warunków nabywania akcji w wezwaniach (Dz. U. poz. 2114). Rozwiązanie to jest uzasadnione zasadami poprawnej legislacji, zgodnie z którymi prawa i obowiązki uczestników rynku kapitałowego powinny być kształtowane przede wszystkim w drodze ustawy.</w:t>
      </w:r>
    </w:p>
    <w:p w14:paraId="3294764F" w14:textId="1A092712"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Zmiana w projektowanym brzmieniu</w:t>
      </w:r>
      <w:r w:rsidRPr="008D7149">
        <w:rPr>
          <w:rFonts w:ascii="Times New Roman" w:hAnsi="Times New Roman" w:cs="Times New Roman"/>
          <w:b/>
          <w:bCs/>
          <w:sz w:val="24"/>
          <w:szCs w:val="24"/>
        </w:rPr>
        <w:t xml:space="preserve"> art. 4 pkt 27 </w:t>
      </w:r>
      <w:r w:rsidRPr="008D7149">
        <w:rPr>
          <w:rFonts w:ascii="Times New Roman" w:hAnsi="Times New Roman" w:cs="Times New Roman"/>
          <w:bCs/>
          <w:sz w:val="24"/>
          <w:szCs w:val="24"/>
        </w:rPr>
        <w:t xml:space="preserve">ustawy o ofercie publicznej dotyczy definicji pośredniego nabycia akcji. Zmiana ta jest spowodowana potrzebą doprecyzowania regulacji odnoszących się do sytuacji, w której następuje faktyczne przejęcie kontroli nad spółką publiczną i ma na celu wzmocnienie ochrony akcjonariuszy mniejszościowych przez eliminację praktyk, które naruszają ich interes, ale są zgodne z literą prawa. Przykładem takich praktyk jest wnoszenie przez podmiot zamierzający zbyć znaczny pakiet akcji do utworzonej spółki celowej aportu w postaci akcji spółki publicznej (np. stanowiących 65,9% ogólnej liczby głosów), a następnie zbycie wszystkich udziałów w spółce celowej na rzecz podmiotu, który chce nabyć znaczny pakiet akcji spółki publicznej. W ten sposób dochodzi do pośredniego nabycia znacznego pakietu akcji, w wyniku którego powstanie obowiązek ogłoszenia wezwania następczego na akcje stanowiące zaledwie 0,1% ogólnej liczby głosów. Oznacza to, że zapisy złożone przez pozostałych akcjonariuszy w odpowiedzi na wezwanie, </w:t>
      </w:r>
      <w:r w:rsidR="00264DA0" w:rsidRPr="008D7149">
        <w:rPr>
          <w:rFonts w:ascii="Times New Roman" w:hAnsi="Times New Roman" w:cs="Times New Roman"/>
          <w:bCs/>
          <w:sz w:val="24"/>
          <w:szCs w:val="24"/>
        </w:rPr>
        <w:t xml:space="preserve">są </w:t>
      </w:r>
      <w:r w:rsidRPr="008D7149">
        <w:rPr>
          <w:rFonts w:ascii="Times New Roman" w:hAnsi="Times New Roman" w:cs="Times New Roman"/>
          <w:bCs/>
          <w:sz w:val="24"/>
          <w:szCs w:val="24"/>
        </w:rPr>
        <w:t xml:space="preserve">objęte znaczną redukcją. Tym samym prawo akcjonariuszy mniejszościowych do sprzedaży posiadanych akcji w praktyce jest znacznie ograniczane. </w:t>
      </w:r>
    </w:p>
    <w:p w14:paraId="048B7C7C" w14:textId="4146AE1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Przewidziana projektem zmiana w </w:t>
      </w:r>
      <w:r w:rsidRPr="008D7149">
        <w:rPr>
          <w:rFonts w:ascii="Times New Roman" w:hAnsi="Times New Roman" w:cs="Times New Roman"/>
          <w:b/>
          <w:bCs/>
          <w:sz w:val="24"/>
          <w:szCs w:val="24"/>
        </w:rPr>
        <w:t>art. 11a ust. 9</w:t>
      </w:r>
      <w:r w:rsidRPr="008D7149">
        <w:rPr>
          <w:rFonts w:ascii="Times New Roman" w:hAnsi="Times New Roman" w:cs="Times New Roman"/>
          <w:bCs/>
          <w:sz w:val="24"/>
          <w:szCs w:val="24"/>
        </w:rPr>
        <w:t xml:space="preserve"> ustawy o ofercie publicznej ma na celu zaktualizowanie zawartego w tym przepisie odesłania przez uwzględnienie tam, obok art. 77</w:t>
      </w:r>
      <w:r w:rsidR="00264DA0">
        <w:rPr>
          <w:rFonts w:ascii="Times New Roman" w:hAnsi="Times New Roman" w:cs="Times New Roman"/>
          <w:bCs/>
          <w:sz w:val="24"/>
          <w:szCs w:val="24"/>
        </w:rPr>
        <w:t>–</w:t>
      </w:r>
      <w:r w:rsidRPr="008D7149">
        <w:rPr>
          <w:rFonts w:ascii="Times New Roman" w:hAnsi="Times New Roman" w:cs="Times New Roman"/>
          <w:bCs/>
          <w:sz w:val="24"/>
          <w:szCs w:val="24"/>
        </w:rPr>
        <w:t>79 ustawy o ofercie publicznej, także dodawanych do tej ustawy art. 79a</w:t>
      </w:r>
      <w:r w:rsidR="00264DA0">
        <w:rPr>
          <w:rFonts w:ascii="Times New Roman" w:hAnsi="Times New Roman" w:cs="Times New Roman"/>
          <w:bCs/>
          <w:sz w:val="24"/>
          <w:szCs w:val="24"/>
        </w:rPr>
        <w:t>–</w:t>
      </w:r>
      <w:r w:rsidRPr="008D7149">
        <w:rPr>
          <w:rFonts w:ascii="Times New Roman" w:hAnsi="Times New Roman" w:cs="Times New Roman"/>
          <w:bCs/>
          <w:sz w:val="24"/>
          <w:szCs w:val="24"/>
        </w:rPr>
        <w:t>79f.</w:t>
      </w:r>
    </w:p>
    <w:p w14:paraId="763354F8" w14:textId="6C2CABC3"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lastRenderedPageBreak/>
        <w:t xml:space="preserve">Projektowany </w:t>
      </w:r>
      <w:r w:rsidRPr="008D7149">
        <w:rPr>
          <w:rFonts w:ascii="Times New Roman" w:hAnsi="Times New Roman" w:cs="Times New Roman"/>
          <w:b/>
          <w:bCs/>
          <w:sz w:val="24"/>
          <w:szCs w:val="24"/>
        </w:rPr>
        <w:t>art. 72a</w:t>
      </w:r>
      <w:r w:rsidRPr="008D7149">
        <w:rPr>
          <w:rFonts w:ascii="Times New Roman" w:hAnsi="Times New Roman" w:cs="Times New Roman"/>
          <w:bCs/>
          <w:sz w:val="24"/>
          <w:szCs w:val="24"/>
        </w:rPr>
        <w:t xml:space="preserve"> ustawy o ofercie publicznej ma na celu wprowadzenie mechanizmu wezwania dobrowolnego na wszystkie pozostałe akcje spółki publicznej. Art. 5 ust. 2 dyrektywy 2004/25/WE przewiduje, że jeśli kontrolę nad spółką uzyskano w wyniku dobrowolnej oferty (</w:t>
      </w:r>
      <w:proofErr w:type="spellStart"/>
      <w:r w:rsidRPr="008D7149">
        <w:rPr>
          <w:rFonts w:ascii="Times New Roman" w:hAnsi="Times New Roman" w:cs="Times New Roman"/>
          <w:bCs/>
          <w:i/>
          <w:sz w:val="24"/>
          <w:szCs w:val="24"/>
        </w:rPr>
        <w:t>voluntary</w:t>
      </w:r>
      <w:proofErr w:type="spellEnd"/>
      <w:r w:rsidRPr="008D7149">
        <w:rPr>
          <w:rFonts w:ascii="Times New Roman" w:hAnsi="Times New Roman" w:cs="Times New Roman"/>
          <w:bCs/>
          <w:i/>
          <w:sz w:val="24"/>
          <w:szCs w:val="24"/>
        </w:rPr>
        <w:t xml:space="preserve"> bid</w:t>
      </w:r>
      <w:r w:rsidRPr="008D7149">
        <w:rPr>
          <w:rFonts w:ascii="Times New Roman" w:hAnsi="Times New Roman" w:cs="Times New Roman"/>
          <w:bCs/>
          <w:sz w:val="24"/>
          <w:szCs w:val="24"/>
        </w:rPr>
        <w:t>), złożonej zgodnie z tą dyrektywą, adresowanej do wszystkich posiadaczy papierów wartościowych i na wszystkie posiadane przez nich papiery wartościowe, to obowiązek złożenia oferty, ustanowiony w ust. 1 tej dyrektywy, nie ma zastosowania. Dyrektywa 2004/25/WE przewiduje więc możliwość przeprowadzenia wezwania dobrowolnego, któr</w:t>
      </w:r>
      <w:r w:rsidR="00C53F82">
        <w:rPr>
          <w:rFonts w:ascii="Times New Roman" w:hAnsi="Times New Roman" w:cs="Times New Roman"/>
          <w:bCs/>
          <w:sz w:val="24"/>
          <w:szCs w:val="24"/>
        </w:rPr>
        <w:t>e</w:t>
      </w:r>
      <w:r w:rsidRPr="008D7149">
        <w:rPr>
          <w:rFonts w:ascii="Times New Roman" w:hAnsi="Times New Roman" w:cs="Times New Roman"/>
          <w:bCs/>
          <w:sz w:val="24"/>
          <w:szCs w:val="24"/>
        </w:rPr>
        <w:t xml:space="preserve"> zwalnia z wezwania następczego. Obecnie w polskim porządku prawnym nie istnieją regulacje dotyczące zasad przeprowadzania wezwań dobrowolnych, z wyjątkiem dobrowolnych ofert sprzedaży akcji, które nie podlegają przepisom o wezwaniach, chroniących akcjonariuszy mniejszościowych. W związku z powyższym, w projekcie ustawy proponuje się wprowadzenie możliwości ogłoszenia wezwania dobrowolnego na wszystkie pozostałe akcje, niezależnie od liczby akcji już posiadanych, a więc dotyczy to również podmiotów, które posiadają powyżej 50% ogólnej liczby głosów. Ogłoszenie takiego wezwania dobrowolnego zwalniałoby z ogłoszenia wezwania obowiązkowego następczego związanego z przekroczeniem progu 50% ogólnej liczby głosów. Regulacje dotyczące ustalenia ceny w wezwaniu, możliwości odstąpienia od ogłoszonego wezwania, obowiązku ustanowienia zabezpieczenia oraz sankcji związanych z naruszeniami tych przepisów będą analogiczne jak w przypadku wezwania obowiązkowego.</w:t>
      </w:r>
    </w:p>
    <w:p w14:paraId="2A4FA994" w14:textId="23A54026"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Zmieniany </w:t>
      </w:r>
      <w:r w:rsidRPr="008D7149">
        <w:rPr>
          <w:rFonts w:ascii="Times New Roman" w:hAnsi="Times New Roman" w:cs="Times New Roman"/>
          <w:b/>
          <w:bCs/>
          <w:sz w:val="24"/>
          <w:szCs w:val="24"/>
        </w:rPr>
        <w:t>art. 73</w:t>
      </w:r>
      <w:r w:rsidRPr="008D7149">
        <w:rPr>
          <w:rFonts w:ascii="Times New Roman" w:hAnsi="Times New Roman" w:cs="Times New Roman"/>
          <w:bCs/>
          <w:sz w:val="24"/>
          <w:szCs w:val="24"/>
        </w:rPr>
        <w:t xml:space="preserve"> ustawy o ofercie publicznej ustanawia próg 50% ogólnej liczby głosów na walnym zgromadzeniu jako próg przejęcia kontroli, skutkujący obowiązkiem ogłoszenia wezwania do zapisywania się na sprzedaż lub zamianę wszystkich pozostałych akcji („wezwanie obowiązkowe”). Zgodnie z art. 5 ust. 1 dyrektywy 2004/25/WE</w:t>
      </w:r>
      <w:r w:rsidR="00C53F82">
        <w:rPr>
          <w:rFonts w:ascii="Times New Roman" w:hAnsi="Times New Roman" w:cs="Times New Roman"/>
          <w:bCs/>
          <w:sz w:val="24"/>
          <w:szCs w:val="24"/>
        </w:rPr>
        <w:t>,</w:t>
      </w:r>
      <w:r w:rsidRPr="008D7149">
        <w:rPr>
          <w:rFonts w:ascii="Times New Roman" w:hAnsi="Times New Roman" w:cs="Times New Roman"/>
          <w:bCs/>
          <w:sz w:val="24"/>
          <w:szCs w:val="24"/>
        </w:rPr>
        <w:t xml:space="preserve"> w sytuacji gdy osoba fizyczna lub prawna, w wyniku nabycia przez nią lub przez osoby działające z nią w porozumieniu, posiada papiery wartościowe spółki, które dodane do posiadanych przez nią papierów wartościowych i do papierów wartościowych posiadanych przez osoby działające z nią w porozumieniu, dają jej bezpośrednio lub pośrednio określony udział w ogólnej liczbie głosów w tej spółce, dający jej kontrolę nad tą spółką, państwa członkowskie zapewniają, że od takiej osoby wymaga się złożenia oferty jako środka ochrony mniejszościowych akcjonariuszy tej spółki. Taka oferta jest kierowana w najwcześniejszym możliwym terminie oraz do wszystkich posiadaczy tych papierów wartościowych i obejmuje wszystkie posiadane przez nich papiery wartościowe po wartości godziwej. Zgodnie z art. 5 ust. 3 dyrektywy 2004/25/WE to państwo członkowskie decyduje o poziomie udziału w ogólnej liczbie głosów, </w:t>
      </w:r>
      <w:r w:rsidRPr="008D7149">
        <w:rPr>
          <w:rFonts w:ascii="Times New Roman" w:hAnsi="Times New Roman" w:cs="Times New Roman"/>
          <w:bCs/>
          <w:sz w:val="24"/>
          <w:szCs w:val="24"/>
        </w:rPr>
        <w:lastRenderedPageBreak/>
        <w:t xml:space="preserve">który daje kontrolę. Polski ustawodawca przyjął próg 66% ogółu głosów w spółce publicznej jako próg „kontrolny” zgodnie z tą dyrektywą. Uzasadnieniem dla przyjęcia takiego rozwiązania była specyfika polskiego rynku kapitałowego, na którym dominują małe spółki o skoncentrowanej strukturze właścicielskiej. Ustalenie progu 66% ogółu głosów miało na względzie dążenie do ochrony rozwijającego się rynku kapitałowego, utrzymanie płynności i zmniejszenie liczby emitentów znoszących dematerializację akcji. Analizując okres od wejścia w życie rozwiązania przyjętego w art. 73 ust. 1 i 74 ust. 1 ustawy o ofercie publicznej, można zauważyć brak możliwości wycofania się w pełni z inwestycji przez akcjonariuszy mniejszościowych w razie zmiany kontroli nad spółką publiczną. Należy zauważyć, że nabycie faktycznej kontroli nad spółką publiczną często następuje już w wyniku posiadania mniej niż 66% ogólnej liczby głosów. Jeżeli zatem podmiot posiadający pakiet kontrolny mniejszy niż 66% ogólnej liczby nie zdecyduje się na przekroczenie tego progu w wyniku wezwania uprzedniego, to akcjonariusze mniejszościowi nie mają możliwości wycofania się ze spółki. Analiza zaangażowania w spółki notowane na Giełdzie Papierów Wartościowych w Warszawie, zwanej dalej „GPW”, pokazuje, że próg 66% faktycznie został ustanowiony na zbyt wysokim poziomie i jest bardzo rzadko przekraczany. Według stanu na </w:t>
      </w:r>
      <w:r w:rsidR="00C53F82">
        <w:rPr>
          <w:rFonts w:ascii="Times New Roman" w:hAnsi="Times New Roman" w:cs="Times New Roman"/>
          <w:bCs/>
          <w:sz w:val="24"/>
          <w:szCs w:val="24"/>
        </w:rPr>
        <w:t xml:space="preserve">dzień </w:t>
      </w:r>
      <w:r w:rsidRPr="008D7149">
        <w:rPr>
          <w:rFonts w:ascii="Times New Roman" w:hAnsi="Times New Roman" w:cs="Times New Roman"/>
          <w:bCs/>
          <w:sz w:val="24"/>
          <w:szCs w:val="24"/>
        </w:rPr>
        <w:t>26 marca 2020 r. w przypadku 140 największych spółek notowanych na GPW (wchodzących w skład indeksów WIG20, mWIG40 oraz sWIG80) próg 66% udziału w ogóle głosów jest przekroczony jedynie w około 16% spółek co, jak się wydaje, wynika przede wszystkim z możliwości sprawowania faktycznej kontroli nad spółką, przy dysponowaniu mniejszą liczbą głosów. Dominujący akcjonariusze rzadko zatem dążą do przekroczenia poziomu 66% ogółu głosów w spółce, zadowalając się niższym poziomem, dającym im najczęściej faktyczną kontrolę nad spółką. W latach 2015</w:t>
      </w:r>
      <w:r w:rsidR="00C53F82">
        <w:rPr>
          <w:rFonts w:ascii="Times New Roman" w:hAnsi="Times New Roman" w:cs="Times New Roman"/>
          <w:bCs/>
          <w:sz w:val="24"/>
          <w:szCs w:val="24"/>
        </w:rPr>
        <w:t>–</w:t>
      </w:r>
      <w:r w:rsidRPr="008D7149">
        <w:rPr>
          <w:rFonts w:ascii="Times New Roman" w:hAnsi="Times New Roman" w:cs="Times New Roman"/>
          <w:bCs/>
          <w:sz w:val="24"/>
          <w:szCs w:val="24"/>
        </w:rPr>
        <w:t>2020 spośród 169 wszystkich wezwań ogłoszonych na wszystkie pozostałe akcje spółki publicznej tylko 54 wezwania związane były z obowiązkiem ogłoszenia wezwania następczego po przekroczeniu 66% ogólnej liczby głosów. Nie należy również pomijać wątpliwości zgłaszanych w doktrynie co do zgodności progu 66% z modelem przyjętym w dyrektywie 2004/25/WE. Kolejnym ważnym argumentem jest określenie progu kontroli w innych przepisach, w tym w przepisach dotyczących rynku kapitałowego. W oparciu o definicje podmiotu dominującego i kontroli, zawarte w regulacjach UE oraz krajowych przepisach, przyjmuje się, ż</w:t>
      </w:r>
      <w:r w:rsidR="00C53F82">
        <w:rPr>
          <w:rFonts w:ascii="Times New Roman" w:hAnsi="Times New Roman" w:cs="Times New Roman"/>
          <w:bCs/>
          <w:sz w:val="24"/>
          <w:szCs w:val="24"/>
        </w:rPr>
        <w:t>e</w:t>
      </w:r>
      <w:r w:rsidRPr="008D7149">
        <w:rPr>
          <w:rFonts w:ascii="Times New Roman" w:hAnsi="Times New Roman" w:cs="Times New Roman"/>
          <w:bCs/>
          <w:sz w:val="24"/>
          <w:szCs w:val="24"/>
        </w:rPr>
        <w:t xml:space="preserve"> przedsiębiorstwem kontrolowanym jest przedsiębiorstwo, w którym większość praw głosu należy do jednej osoby fizycznej albo prawnej, zgodnie z dyrektywą 2004/109/WE Parlamentu Europejskiego i Rady z dnia 15 grudnia 2004 r. w sprawie harmonizacji wymogów dotyczących przejrzystości informacji o emitentach, których papiery wartościowe dopuszczane są do obrotu na rynku regulowanym oraz zmieniającej dyrektywę </w:t>
      </w:r>
      <w:r w:rsidRPr="008D7149">
        <w:rPr>
          <w:rFonts w:ascii="Times New Roman" w:hAnsi="Times New Roman" w:cs="Times New Roman"/>
          <w:bCs/>
          <w:sz w:val="24"/>
          <w:szCs w:val="24"/>
        </w:rPr>
        <w:lastRenderedPageBreak/>
        <w:t>2001/34/WE (Dz. Urz. UE L 390 z 31.12.2004, z późn. zm.), zwaną dalej „dyrektywą 2004/109/WE”. Większość ta jest rozumiana jako poziom powyżej 50%, w tym 50% plus 1 głos. Podobnie zgodnie z art. 4 pkt 14 lit. a ustawy o ofercie publicznej, przez podmiot dominujący rozumie się podmiot</w:t>
      </w:r>
      <w:r w:rsidR="00C53F82">
        <w:rPr>
          <w:rFonts w:ascii="Times New Roman" w:hAnsi="Times New Roman" w:cs="Times New Roman"/>
          <w:bCs/>
          <w:sz w:val="24"/>
          <w:szCs w:val="24"/>
        </w:rPr>
        <w:t>,</w:t>
      </w:r>
      <w:r w:rsidRPr="008D7149">
        <w:rPr>
          <w:rFonts w:ascii="Times New Roman" w:hAnsi="Times New Roman" w:cs="Times New Roman"/>
          <w:bCs/>
          <w:sz w:val="24"/>
          <w:szCs w:val="24"/>
        </w:rPr>
        <w:t xml:space="preserve"> w sytuacji gdy posiada bezpośrednio lub pośrednio przez inne podmioty większość głosów w organach innego podmiotu, także na podstawie porozumień z innymi osobami. Analogiczne rozwiązania dotyczące definicji jednostki dominującej i spółki dominującej znajdują się w ustawie z dnia 29 września 1994 r. o rachunkowości (Dz. U. z 2021 r. poz. 217, z późn. zm.) oraz w </w:t>
      </w:r>
      <w:proofErr w:type="spellStart"/>
      <w:r w:rsidRPr="008D7149">
        <w:rPr>
          <w:rFonts w:ascii="Times New Roman" w:hAnsi="Times New Roman" w:cs="Times New Roman"/>
          <w:bCs/>
          <w:sz w:val="24"/>
          <w:szCs w:val="24"/>
        </w:rPr>
        <w:t>k.s.h</w:t>
      </w:r>
      <w:proofErr w:type="spellEnd"/>
      <w:r w:rsidRPr="008D7149">
        <w:rPr>
          <w:rFonts w:ascii="Times New Roman" w:hAnsi="Times New Roman" w:cs="Times New Roman"/>
          <w:bCs/>
          <w:sz w:val="24"/>
          <w:szCs w:val="24"/>
        </w:rPr>
        <w:t xml:space="preserve">. Wreszcie należy wziąć pod uwagę ostatnie zmiany wprowadzone do </w:t>
      </w:r>
      <w:proofErr w:type="spellStart"/>
      <w:r w:rsidRPr="008D7149">
        <w:rPr>
          <w:rFonts w:ascii="Times New Roman" w:hAnsi="Times New Roman" w:cs="Times New Roman"/>
          <w:bCs/>
          <w:sz w:val="24"/>
          <w:szCs w:val="24"/>
        </w:rPr>
        <w:t>k.s.h</w:t>
      </w:r>
      <w:proofErr w:type="spellEnd"/>
      <w:r w:rsidRPr="008D7149">
        <w:rPr>
          <w:rFonts w:ascii="Times New Roman" w:hAnsi="Times New Roman" w:cs="Times New Roman"/>
          <w:bCs/>
          <w:sz w:val="24"/>
          <w:szCs w:val="24"/>
        </w:rPr>
        <w:t xml:space="preserve">., które promują przeprowadzanie Walnego Zgromadzenia Akcjonariuszy, zwanego dalej „WZA”, w formie zdalnej, przy wykorzystaniu środków komunikacji elektronicznej. Zmiany te będą istotnie przyczyniać się do zmiany postrzegania uczestnictwa akcjonariatu rozproszonego w życiu spółki. Niejednokrotnie podnoszona bariera logistyczna związana z osobistym stawiennictwem na WZA zostanie przełamana, co powinno istotnie zwiększyć liczbę głosów reprezentowanych na WZA, a tym samym istotnie zwiększyć również liczbę głosów niezbędnych do przejęcia faktycznej kontroli nad spółką. Dotychczasowe, powszechnie stosowane w UE wartości 30–33% mogą w krótkim czasie stać się wysoce nieuzasadnione jako próg „kontroli”, o którym mowa w dyrektywie 2004/25/WE. Z tego względu proponuje się zmianę obowiązującego progu, po przekroczeniu którego materializowałby się obowiązek ogłoszenia wezwania do zapisywania się na sprzedaż lub zamianę wszystkich pozostałych akcji z poziomu 66% do poziomu 50% ogółu głosów w spółce. Proponowane zmiany prowadzą do ukształtowania jednolitego modelu wezwania obligatoryjnego jako wezwania następczego w miejsce obowiązującego zasadniczo modelu wezwań uprzednich. Jednocześnie, w ocenie projektodawcy, przyjęcie terminu trzech miesięcy od przekroczenia 50% ogólnej liczby głosów, do ogłoszenia wezwania do zapisywania się na sprzedaż lub zamianę wszystkich pozostałych akcji tej spółki, jest poprawnym rozwiązaniem w kontekście brzmienia art. 5 ust. 1 dyrektywy 2004/25/WE, zgodnie z którym oferta powinna zostać skierowana w najwcześniejszym możliwym terminie. Należy bowiem podkreślić, że przeprowadzenie wezwania wymaga podjęcia szeregu przygotowań obejmujących m.in. wybór podmiotu pośredniczącego, określenie ceny wezwania, sporządzenie jego treści oraz zabezpieczenie środków na odkup akcji. W związku z tym zaproponowany termin wydaje się być adekwatny. Ponadto w projektowanych ust. 2 i 3 w art. 73 ustawy o ofercie publicznej przewidziano w pewnym zakresie odstępstwa od obowiązku ogłoszenia wezwania obowiązkowego, czego możliwość jest przewidziana również w art. 4 ust. 5 dyrektywy 2004/25/WE. Wydaje się w szczególności, że dziedziczenie jako zdarzenie, co do zasady, </w:t>
      </w:r>
      <w:r w:rsidRPr="008D7149">
        <w:rPr>
          <w:rFonts w:ascii="Times New Roman" w:hAnsi="Times New Roman" w:cs="Times New Roman"/>
          <w:bCs/>
          <w:sz w:val="24"/>
          <w:szCs w:val="24"/>
        </w:rPr>
        <w:lastRenderedPageBreak/>
        <w:t xml:space="preserve">niezależne od spadkobiercy, jest sytuacją, w odniesieniu do której </w:t>
      </w:r>
      <w:r w:rsidR="009A1EF3" w:rsidRPr="008D7149">
        <w:rPr>
          <w:rFonts w:ascii="Times New Roman" w:hAnsi="Times New Roman" w:cs="Times New Roman"/>
          <w:bCs/>
          <w:sz w:val="24"/>
          <w:szCs w:val="24"/>
        </w:rPr>
        <w:t xml:space="preserve">jest </w:t>
      </w:r>
      <w:r w:rsidRPr="008D7149">
        <w:rPr>
          <w:rFonts w:ascii="Times New Roman" w:hAnsi="Times New Roman" w:cs="Times New Roman"/>
          <w:bCs/>
          <w:sz w:val="24"/>
          <w:szCs w:val="24"/>
        </w:rPr>
        <w:t>zasadne zastosowanie ww. odstępstwa.</w:t>
      </w:r>
    </w:p>
    <w:p w14:paraId="4D29536E"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Dodanie </w:t>
      </w:r>
      <w:r w:rsidRPr="008D7149">
        <w:rPr>
          <w:rFonts w:ascii="Times New Roman" w:hAnsi="Times New Roman" w:cs="Times New Roman"/>
          <w:b/>
          <w:bCs/>
          <w:sz w:val="24"/>
          <w:szCs w:val="24"/>
        </w:rPr>
        <w:t>art. 73a</w:t>
      </w:r>
      <w:r w:rsidRPr="008D7149">
        <w:rPr>
          <w:rFonts w:ascii="Times New Roman" w:hAnsi="Times New Roman" w:cs="Times New Roman"/>
          <w:bCs/>
          <w:sz w:val="24"/>
          <w:szCs w:val="24"/>
        </w:rPr>
        <w:t xml:space="preserve"> ustawy o ofercie publicznej jest związane ze zmianą art. 77 tej ustawy (uchylenie ust. 3).</w:t>
      </w:r>
    </w:p>
    <w:p w14:paraId="4572736F"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Uchylenie </w:t>
      </w:r>
      <w:r w:rsidRPr="008D7149">
        <w:rPr>
          <w:rFonts w:ascii="Times New Roman" w:hAnsi="Times New Roman" w:cs="Times New Roman"/>
          <w:b/>
          <w:bCs/>
          <w:sz w:val="24"/>
          <w:szCs w:val="24"/>
        </w:rPr>
        <w:t>art. 74</w:t>
      </w:r>
      <w:r w:rsidRPr="008D7149">
        <w:rPr>
          <w:rFonts w:ascii="Times New Roman" w:hAnsi="Times New Roman" w:cs="Times New Roman"/>
          <w:bCs/>
          <w:sz w:val="24"/>
          <w:szCs w:val="24"/>
        </w:rPr>
        <w:t xml:space="preserve"> ustawy o ofercie publicznej jest konsekwencją zaproponowanej w projektowanym art. 73 tej ustawy zmiany obowiązującego progu, po przekroczeniu którego zaistniałby obowiązek ogłoszenia wezwania do zapisywania się na sprzedaż lub zamianę wszystkich pozostałych akcji.</w:t>
      </w:r>
    </w:p>
    <w:p w14:paraId="52C3464F"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Zmiany w art. </w:t>
      </w:r>
      <w:r w:rsidRPr="008D7149">
        <w:rPr>
          <w:rFonts w:ascii="Times New Roman" w:hAnsi="Times New Roman" w:cs="Times New Roman"/>
          <w:b/>
          <w:bCs/>
          <w:sz w:val="24"/>
          <w:szCs w:val="24"/>
        </w:rPr>
        <w:t>75 ust. 3</w:t>
      </w:r>
      <w:r w:rsidRPr="008D7149">
        <w:rPr>
          <w:rFonts w:ascii="Times New Roman" w:hAnsi="Times New Roman" w:cs="Times New Roman"/>
          <w:bCs/>
          <w:sz w:val="24"/>
          <w:szCs w:val="24"/>
        </w:rPr>
        <w:t xml:space="preserve"> ustawy o ofercie publicznej wynikają z uchylenia art. 74 tej ustawy.</w:t>
      </w:r>
    </w:p>
    <w:p w14:paraId="286D2E80"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Zmiany </w:t>
      </w:r>
      <w:r w:rsidRPr="008D7149">
        <w:rPr>
          <w:rFonts w:ascii="Times New Roman" w:hAnsi="Times New Roman" w:cs="Times New Roman"/>
          <w:b/>
          <w:bCs/>
          <w:sz w:val="24"/>
          <w:szCs w:val="24"/>
        </w:rPr>
        <w:t>art. 76</w:t>
      </w:r>
      <w:r w:rsidRPr="008D7149">
        <w:rPr>
          <w:rFonts w:ascii="Times New Roman" w:hAnsi="Times New Roman" w:cs="Times New Roman"/>
          <w:bCs/>
          <w:sz w:val="24"/>
          <w:szCs w:val="24"/>
        </w:rPr>
        <w:t xml:space="preserve"> ustawy o ofercie publicznej wynikają ze zmiany konstrukcji wezwania obowiązkowego w projektowanym art. 73 oraz uchylenia art. 74 tej ustawy.</w:t>
      </w:r>
    </w:p>
    <w:p w14:paraId="7F9DAA41" w14:textId="748760DD"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Zmiany w </w:t>
      </w:r>
      <w:r w:rsidRPr="008D7149">
        <w:rPr>
          <w:rFonts w:ascii="Times New Roman" w:hAnsi="Times New Roman" w:cs="Times New Roman"/>
          <w:b/>
          <w:bCs/>
          <w:sz w:val="24"/>
          <w:szCs w:val="24"/>
        </w:rPr>
        <w:t>art. 77</w:t>
      </w:r>
      <w:r w:rsidRPr="008D7149">
        <w:rPr>
          <w:rFonts w:ascii="Times New Roman" w:hAnsi="Times New Roman" w:cs="Times New Roman"/>
          <w:bCs/>
          <w:sz w:val="24"/>
          <w:szCs w:val="24"/>
        </w:rPr>
        <w:t xml:space="preserve"> ustawy o ofercie publicznej mają na celu doprecyzowanie przepisów o zabezpieczeniu wezwań. Zabezpieczenie, ustanawiane w związku z wezwaniem, odgrywa istotną rolę, gdyż ma zapewnić, że inwestorzy składający zapis w odpowiedzi na wezwanie otrzymają należne im świadczenie. Ustawa o ofercie publicznej w dotychczasowym brzmieniu nie precyzuje, jakie warunki powinno spełniać zabezpieczenie, nie precyzuje również rodzaju zabezpieczenia. Może to prowadzić do sytuacji, w których, mimo ustanowienia zabezpieczenia w wymaganej wysokości, w momencie rozliczenia wezwania i przy braku środków podmiotu wzywającego w ilości wystarczającej do rozliczenia wezwania, skorzystanie z zabezpieczenia jest utrudnione i długotrwałe. Wówczas inwestorzy, którzy złożyli zapis w wezwaniu nie mogą otrzymać w terminie należnego im świadczenia. W celu podwyższenia poziomu ochrony akcjonariuszy mniejszościowych, wskazane jest doprecyzowanie, że zabezpieczenie musi zostać ustanowione w takiej formie, aby było możliwym zaspokojenie się z przedmiotu zabezpieczenia niezwłocznie po upływie terminu nabycia akcji objętych zapisami złożonymi w odpowiedzi na wezwanie. Propozycja ma na celu wyeliminowanie ryzyka stanowienia zabezpieczenia takiego jak weksel własny lub zabezpieczenie rzeczowe (np. hipoteka), które nie zapewniają zaspokojenia roszczeń niezwłocznie po zakończeniu wezwania. Naczelny Sąd Administracyjny w jednostkowym wyroku z 25.02.2014 r. (II GSK 1890/12) stwierdził, że zabezpieczenie „ma gwarantować rozliczenie transakcji, w prawem określonym terminie”, jednak </w:t>
      </w:r>
      <w:r w:rsidR="00CC20D7" w:rsidRPr="008D7149">
        <w:rPr>
          <w:rFonts w:ascii="Times New Roman" w:hAnsi="Times New Roman" w:cs="Times New Roman"/>
          <w:bCs/>
          <w:sz w:val="24"/>
          <w:szCs w:val="24"/>
        </w:rPr>
        <w:t xml:space="preserve">jest </w:t>
      </w:r>
      <w:r w:rsidRPr="008D7149">
        <w:rPr>
          <w:rFonts w:ascii="Times New Roman" w:hAnsi="Times New Roman" w:cs="Times New Roman"/>
          <w:bCs/>
          <w:sz w:val="24"/>
          <w:szCs w:val="24"/>
        </w:rPr>
        <w:t xml:space="preserve">zasadne wprowadzenie przepisu, który usuwałby wątpliwości interpretacyjne w tym zakresie. Wydanie papierów wartościowych i środków pieniężnych w zamian za akcje objęte zapisami w ramach wezwania oraz akcji nabywanych w wyniku wezwania (zakończenie </w:t>
      </w:r>
      <w:r w:rsidRPr="008D7149">
        <w:rPr>
          <w:rFonts w:ascii="Times New Roman" w:hAnsi="Times New Roman" w:cs="Times New Roman"/>
          <w:bCs/>
          <w:sz w:val="24"/>
          <w:szCs w:val="24"/>
        </w:rPr>
        <w:lastRenderedPageBreak/>
        <w:t xml:space="preserve">wezwania) powinno nastąpić w terminie 3 dni roboczych od dnia transakcji nabycia akcji objętych zapisami (projektowane brzmienie </w:t>
      </w:r>
      <w:r w:rsidR="004E4B67" w:rsidRPr="008D7149">
        <w:rPr>
          <w:rFonts w:ascii="Times New Roman" w:hAnsi="Times New Roman" w:cs="Times New Roman"/>
          <w:bCs/>
          <w:sz w:val="24"/>
          <w:szCs w:val="24"/>
        </w:rPr>
        <w:t>art. 77d ust. 3</w:t>
      </w:r>
      <w:r w:rsidRPr="008D7149">
        <w:rPr>
          <w:rFonts w:ascii="Times New Roman" w:hAnsi="Times New Roman" w:cs="Times New Roman"/>
          <w:bCs/>
          <w:sz w:val="24"/>
          <w:szCs w:val="24"/>
        </w:rPr>
        <w:t xml:space="preserve"> ustawy o ofercie publicznej). W związku z tym, że podmiot pośredniczący będzie odpowiadał za umożliwienie wydania akcji objętych zapisami w ramach wezwania, a także papierów wartościowych i środków pieniężnych, należnych podmiotowi, który odpowiedział na wezwanie, oraz za przeniesienie akcji nabywanych w wyniku wezwania na rzecz wzywającego, zabezpieczenie powinno być ustanowione na rzecz podmiotu pośredniczącego. Podmiot pośredniczący powinien zatem mieć możliwość realizacji tego zabezpieczenia na rzecz podmiotów, które złożyły zapis w odpowiedzi na wezwanie. Katalog dopuszczalnych form, w jakich zabezpieczenie może być ustanowione, zostanie określony w rozporządzeniu ministra właściwego d</w:t>
      </w:r>
      <w:r w:rsidR="00D60687" w:rsidRPr="008D7149">
        <w:rPr>
          <w:rFonts w:ascii="Times New Roman" w:hAnsi="Times New Roman" w:cs="Times New Roman"/>
          <w:bCs/>
          <w:sz w:val="24"/>
          <w:szCs w:val="24"/>
        </w:rPr>
        <w:t xml:space="preserve">o </w:t>
      </w:r>
      <w:r w:rsidRPr="008D7149">
        <w:rPr>
          <w:rFonts w:ascii="Times New Roman" w:hAnsi="Times New Roman" w:cs="Times New Roman"/>
          <w:bCs/>
          <w:sz w:val="24"/>
          <w:szCs w:val="24"/>
        </w:rPr>
        <w:t>s</w:t>
      </w:r>
      <w:r w:rsidR="00D60687" w:rsidRPr="008D7149">
        <w:rPr>
          <w:rFonts w:ascii="Times New Roman" w:hAnsi="Times New Roman" w:cs="Times New Roman"/>
          <w:bCs/>
          <w:sz w:val="24"/>
          <w:szCs w:val="24"/>
        </w:rPr>
        <w:t>praw</w:t>
      </w:r>
      <w:r w:rsidRPr="008D7149">
        <w:rPr>
          <w:rFonts w:ascii="Times New Roman" w:hAnsi="Times New Roman" w:cs="Times New Roman"/>
          <w:bCs/>
          <w:sz w:val="24"/>
          <w:szCs w:val="24"/>
        </w:rPr>
        <w:t xml:space="preserve"> instytucji finansowych, wydanym na podstawie art. 81 ustawy o ofercie publicznej.</w:t>
      </w:r>
    </w:p>
    <w:p w14:paraId="5E9983EF" w14:textId="434943AF"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Dodawane </w:t>
      </w:r>
      <w:r w:rsidRPr="008D7149">
        <w:rPr>
          <w:rFonts w:ascii="Times New Roman" w:hAnsi="Times New Roman" w:cs="Times New Roman"/>
          <w:b/>
          <w:bCs/>
          <w:sz w:val="24"/>
          <w:szCs w:val="24"/>
        </w:rPr>
        <w:t>art. 77a, art. 77c i art. 77d</w:t>
      </w:r>
      <w:r w:rsidRPr="008D7149">
        <w:rPr>
          <w:rFonts w:ascii="Times New Roman" w:hAnsi="Times New Roman" w:cs="Times New Roman"/>
          <w:bCs/>
          <w:sz w:val="24"/>
          <w:szCs w:val="24"/>
        </w:rPr>
        <w:t xml:space="preserve"> ustawy o ofercie publicznej mają na celu doprecyzowanie obowiązków podmiotu pośredniczącego i jego roli w wezwaniu. Dla prawidłowego przebiegu wezwania </w:t>
      </w:r>
      <w:r w:rsidR="00171899" w:rsidRPr="008D7149">
        <w:rPr>
          <w:rFonts w:ascii="Times New Roman" w:hAnsi="Times New Roman" w:cs="Times New Roman"/>
          <w:bCs/>
          <w:sz w:val="24"/>
          <w:szCs w:val="24"/>
        </w:rPr>
        <w:t xml:space="preserve">jest </w:t>
      </w:r>
      <w:r w:rsidRPr="008D7149">
        <w:rPr>
          <w:rFonts w:ascii="Times New Roman" w:hAnsi="Times New Roman" w:cs="Times New Roman"/>
          <w:bCs/>
          <w:sz w:val="24"/>
          <w:szCs w:val="24"/>
        </w:rPr>
        <w:t xml:space="preserve">konieczne prawidłowe wypełnianie obowiązków spoczywających na podmiocie pośredniczącym. Jego rola w trakcie wezwania jest istotna. To do tego podmiotu należy zawiadomienie KNF o zamiarze ogłoszenia wezwania, a także przekazanie treści tego wezwania. Należy przy tym wskazać na wprowadzenie nowego sposobu informowania KNF o wezwaniu (za pomocą systemu teleinformatycznego zanim wezwanie zostanie ogłoszone, a nie równocześnie z jego ogłoszeniem). Należy wskazać również, że to podmiot pośredniczący, w celu ogłoszenia wezwania, przekazuje jego treść agencji informacyjnej. Ponadto na podmiocie pośredniczącym powinien spoczywać obowiązek umożliwienia wydania akcji objętych zapisami w ramach wezwania, a także papierów wartościowych i środków pieniężnych, należnych podmiotowi, który odpowiedział na wezwanie oraz przeniesienie akcji nabywanych w wyniku wezwania na rzecz wzywającego. Wprowadzenie nowego sposobu informowania KNF o wezwaniu będzie dla inwestorów rozwiązaniem korzystniejszym od obecnie obowiązującego. Obecne rozwiązanie, w którym treść wezwania </w:t>
      </w:r>
      <w:r w:rsidR="00171899" w:rsidRPr="008D7149">
        <w:rPr>
          <w:rFonts w:ascii="Times New Roman" w:hAnsi="Times New Roman" w:cs="Times New Roman"/>
          <w:bCs/>
          <w:sz w:val="24"/>
          <w:szCs w:val="24"/>
        </w:rPr>
        <w:t xml:space="preserve">jest </w:t>
      </w:r>
      <w:r w:rsidRPr="008D7149">
        <w:rPr>
          <w:rFonts w:ascii="Times New Roman" w:hAnsi="Times New Roman" w:cs="Times New Roman"/>
          <w:bCs/>
          <w:sz w:val="24"/>
          <w:szCs w:val="24"/>
        </w:rPr>
        <w:t xml:space="preserve">przedkładana KNF i może zostać ogłoszona zanim zostanie zweryfikowana przez ten organ, nie jest rozwiązaniem korzystnym dla inwestorów, którzy mogą być zainteresowani odpowiedzią na takie wezwanie. Po otrzymaniu treści wezwania KNF jest uprawniona do zgłaszania żądań wyjaśnień i wprowadzenia zmian i uzupełnień w treści wezwania. Z kompetencji tych KNF może skorzystać najpóźniej na trzy dni robocze przed rozpoczęciem przyjmowania zapisów. Oznacza to, że treść wezwania, jaka została pierwotnie opublikowana, okazać może się treścią nieostateczną, która w trakcie wezwania będzie </w:t>
      </w:r>
      <w:r w:rsidRPr="008D7149">
        <w:rPr>
          <w:rFonts w:ascii="Times New Roman" w:hAnsi="Times New Roman" w:cs="Times New Roman"/>
          <w:bCs/>
          <w:sz w:val="24"/>
          <w:szCs w:val="24"/>
        </w:rPr>
        <w:lastRenderedPageBreak/>
        <w:t xml:space="preserve">modyfikowana lub uzupełniana. Wprowadzanie zmian w treści wezwania po jego opublikowaniu może utrudniać inwestorom podjęcie decyzji o zbyciu akcji w wezwaniu, a także wymaga od nich zachowania uwagi i śledzenia, czy w treści wezwania, z którą wcześniej zapoznali się, zaszły zmiany. Właściwym rozwiązaniem jest zatem nałożenie obowiązku przekazania KNF treści wezwania przed jego ogłoszeniem, tak aby publikowane wezwanie zawierało treść ostateczną i zweryfikowaną przez KNF. Przekazanie treści wezwania powinno nastąpić w terminie pozwalającym KNF na zweryfikowanie tej treści, a także na zażądanie wprowadzenia przez wzywającego niezbędnych zmian lub uzupełnień. W przypadku wezwania ogłoszonego bez uwzględnienia żądań KNF będzie ona uprawniona do nałożenia sankcji administracyjnej (projektowane brzmienie art. 97 ust. 1 pkt 7 ustawy o ofercie publicznej). Jednocześnie termin ten powinien być na tyle krótki, </w:t>
      </w:r>
      <w:r w:rsidR="003C71F4">
        <w:rPr>
          <w:rFonts w:ascii="Times New Roman" w:hAnsi="Times New Roman" w:cs="Times New Roman"/>
          <w:bCs/>
          <w:sz w:val="24"/>
          <w:szCs w:val="24"/>
        </w:rPr>
        <w:t>a</w:t>
      </w:r>
      <w:r w:rsidRPr="008D7149">
        <w:rPr>
          <w:rFonts w:ascii="Times New Roman" w:hAnsi="Times New Roman" w:cs="Times New Roman"/>
          <w:bCs/>
          <w:sz w:val="24"/>
          <w:szCs w:val="24"/>
        </w:rPr>
        <w:t xml:space="preserve">by zapewnić jak najszybsze poinformowanie uczestników rynku o treści oferty, tak </w:t>
      </w:r>
      <w:r w:rsidR="003C71F4">
        <w:rPr>
          <w:rFonts w:ascii="Times New Roman" w:hAnsi="Times New Roman" w:cs="Times New Roman"/>
          <w:bCs/>
          <w:sz w:val="24"/>
          <w:szCs w:val="24"/>
        </w:rPr>
        <w:t>a</w:t>
      </w:r>
      <w:r w:rsidRPr="008D7149">
        <w:rPr>
          <w:rFonts w:ascii="Times New Roman" w:hAnsi="Times New Roman" w:cs="Times New Roman"/>
          <w:bCs/>
          <w:sz w:val="24"/>
          <w:szCs w:val="24"/>
        </w:rPr>
        <w:t xml:space="preserve">by okres niepewności pozostał jak najkrótszy, w szczególności mając na względzie to, że KNF nie weryfikuje wycen, jakie </w:t>
      </w:r>
      <w:r w:rsidR="003C71F4" w:rsidRPr="008D7149">
        <w:rPr>
          <w:rFonts w:ascii="Times New Roman" w:hAnsi="Times New Roman" w:cs="Times New Roman"/>
          <w:bCs/>
          <w:sz w:val="24"/>
          <w:szCs w:val="24"/>
        </w:rPr>
        <w:t xml:space="preserve">są </w:t>
      </w:r>
      <w:r w:rsidRPr="008D7149">
        <w:rPr>
          <w:rFonts w:ascii="Times New Roman" w:hAnsi="Times New Roman" w:cs="Times New Roman"/>
          <w:bCs/>
          <w:sz w:val="24"/>
          <w:szCs w:val="24"/>
        </w:rPr>
        <w:t>dostarczane przez wzywającego. Równocześnie przewiduje się, że wraz z przekazaniem treści wezwania do KNF podmiot wzywający za pośrednictwem podmiotu pośredniczącego będzie miał obowiązek poinformowania rynku o zamiarze przeprowadzenia wezwania. Informacja ta powinna zawierać podstawowe dane na temat wzywającego, tj. liczbę akcji, którą posiada i jaką planuje nabyć w wezwaniu (projektowane brzmienie art. 77a ust. 4 ustawy o ofercie publicznej). Pozwoli to na wstępną ocenę wezwania przez inwestorów. Celem zapewnienia jak największej dostępności informacji o zamiarze przeprowadzenia wezwania w projektowanym brzmieniu art. 77a ust. 4 przewidziano również, że informacja ta będzie przekazywana do wszystkich agencji informacyjnych, które opublikują t</w:t>
      </w:r>
      <w:r w:rsidR="00633D28">
        <w:rPr>
          <w:rFonts w:ascii="Times New Roman" w:hAnsi="Times New Roman" w:cs="Times New Roman"/>
          <w:bCs/>
          <w:sz w:val="24"/>
          <w:szCs w:val="24"/>
        </w:rPr>
        <w:t>ę</w:t>
      </w:r>
      <w:r w:rsidRPr="008D7149">
        <w:rPr>
          <w:rFonts w:ascii="Times New Roman" w:hAnsi="Times New Roman" w:cs="Times New Roman"/>
          <w:bCs/>
          <w:sz w:val="24"/>
          <w:szCs w:val="24"/>
        </w:rPr>
        <w:t xml:space="preserve"> informację w prowadzonych przez nie serwisach zapewniających wszystkim inwestorom bezpłatny i niedyskryminujący dostęp. Jednocześnie mając na uwadze koszty związane z publikacją informacji za pośrednictwem agencji informacyjnej w projekcie przyjęto, że treść wezwania będzie podlegała ogłoszeniu za pośrednictwem co najmniej jednej agencji informacyjnej. Inwestorzy będą posiadali już szeroko dostępną wiedzę o zamiarze ogłoszenia wezwania i w przypadku zainteresowania odpowiedzą na to wezwanie będą mogli dotrzeć do treści wezwania, tym bardziej, że podmiot pośredniczący będzie również obowiązany do </w:t>
      </w:r>
      <w:r w:rsidR="004E32D5" w:rsidRPr="008D7149">
        <w:rPr>
          <w:rFonts w:ascii="Times New Roman" w:hAnsi="Times New Roman" w:cs="Times New Roman"/>
          <w:bCs/>
          <w:sz w:val="24"/>
          <w:szCs w:val="24"/>
        </w:rPr>
        <w:t xml:space="preserve">udostępnienia </w:t>
      </w:r>
      <w:r w:rsidRPr="008D7149">
        <w:rPr>
          <w:rFonts w:ascii="Times New Roman" w:hAnsi="Times New Roman" w:cs="Times New Roman"/>
          <w:bCs/>
          <w:sz w:val="24"/>
          <w:szCs w:val="24"/>
        </w:rPr>
        <w:t>treści wezwania na swojej stronie internetowej (projek</w:t>
      </w:r>
      <w:r w:rsidR="004E4B67" w:rsidRPr="008D7149">
        <w:rPr>
          <w:rFonts w:ascii="Times New Roman" w:hAnsi="Times New Roman" w:cs="Times New Roman"/>
          <w:bCs/>
          <w:sz w:val="24"/>
          <w:szCs w:val="24"/>
        </w:rPr>
        <w:t>towane brzmienie art. 77c ust. 3</w:t>
      </w:r>
      <w:r w:rsidRPr="008D7149">
        <w:rPr>
          <w:rFonts w:ascii="Times New Roman" w:hAnsi="Times New Roman" w:cs="Times New Roman"/>
          <w:bCs/>
          <w:sz w:val="24"/>
          <w:szCs w:val="24"/>
        </w:rPr>
        <w:t xml:space="preserve"> ustawy o ofercie publicznej).</w:t>
      </w:r>
    </w:p>
    <w:p w14:paraId="42675FA2" w14:textId="2CE0D8E6" w:rsidR="005D1A26" w:rsidRPr="008D7149" w:rsidRDefault="005D1A26" w:rsidP="008D7149">
      <w:pPr>
        <w:shd w:val="clear" w:color="auto" w:fill="FFFFFF" w:themeFill="background1"/>
        <w:spacing w:before="120" w:after="0" w:line="360" w:lineRule="auto"/>
        <w:jc w:val="both"/>
        <w:rPr>
          <w:rFonts w:ascii="Times New Roman" w:hAnsi="Times New Roman" w:cs="Times New Roman"/>
          <w:sz w:val="24"/>
          <w:szCs w:val="24"/>
        </w:rPr>
      </w:pPr>
      <w:r w:rsidRPr="008D7149">
        <w:rPr>
          <w:rFonts w:ascii="Times New Roman" w:hAnsi="Times New Roman" w:cs="Times New Roman"/>
          <w:bCs/>
          <w:sz w:val="24"/>
          <w:szCs w:val="24"/>
        </w:rPr>
        <w:t xml:space="preserve">Dodawany </w:t>
      </w:r>
      <w:r w:rsidRPr="008D7149">
        <w:rPr>
          <w:rFonts w:ascii="Times New Roman" w:hAnsi="Times New Roman" w:cs="Times New Roman"/>
          <w:b/>
          <w:bCs/>
          <w:sz w:val="24"/>
          <w:szCs w:val="24"/>
        </w:rPr>
        <w:t>art. 77b</w:t>
      </w:r>
      <w:r w:rsidRPr="008D7149">
        <w:rPr>
          <w:rFonts w:ascii="Times New Roman" w:hAnsi="Times New Roman" w:cs="Times New Roman"/>
          <w:bCs/>
          <w:sz w:val="24"/>
          <w:szCs w:val="24"/>
        </w:rPr>
        <w:t xml:space="preserve"> ustawy o ofercie publicznej zawiera częściowo regulacje zawarte obecnie w mającym zostać uchylonym art. 78 ustawy o ofercie publicznej. Niemniej zaproponowana regulacja ust. 1 zwiększa kompetencje KNF w odniesieniu do wezwań przez możliwość </w:t>
      </w:r>
      <w:r w:rsidRPr="008D7149">
        <w:rPr>
          <w:rFonts w:ascii="Times New Roman" w:hAnsi="Times New Roman" w:cs="Times New Roman"/>
          <w:bCs/>
          <w:sz w:val="24"/>
          <w:szCs w:val="24"/>
        </w:rPr>
        <w:lastRenderedPageBreak/>
        <w:t>zgłoszenia żądania dokonania zmiany rodzaju lub wysokości zabezpiecz</w:t>
      </w:r>
      <w:r w:rsidR="004E4B67" w:rsidRPr="008D7149">
        <w:rPr>
          <w:rFonts w:ascii="Times New Roman" w:hAnsi="Times New Roman" w:cs="Times New Roman"/>
          <w:bCs/>
          <w:sz w:val="24"/>
          <w:szCs w:val="24"/>
        </w:rPr>
        <w:t>enia wezwania. Ponadto w ust. 6</w:t>
      </w:r>
      <w:r w:rsidRPr="008D7149">
        <w:rPr>
          <w:rFonts w:ascii="Times New Roman" w:hAnsi="Times New Roman" w:cs="Times New Roman"/>
          <w:bCs/>
          <w:sz w:val="24"/>
          <w:szCs w:val="24"/>
        </w:rPr>
        <w:t xml:space="preserve"> w projektowanym art. 77b ustawy o ofercie publicznej zawarty został przepis dotyczący stosowania odpowiednio przepisów k.p.a. do postępowania administracyjnego w przedmiocie zgłoszenia wprowadzenia niezbędnych zmian lub uzupełnień w treści wezwania lub dokonania zmiany rodzaju lub wysokości zabezpieczenia. Rozwiązanie to jest wzorowane na obowiązującym art. 29 ust. 3 ustawy o ofercie publicznej. Ma ono zapewni</w:t>
      </w:r>
      <w:r w:rsidR="00A7195E">
        <w:rPr>
          <w:rFonts w:ascii="Times New Roman" w:hAnsi="Times New Roman" w:cs="Times New Roman"/>
          <w:bCs/>
          <w:sz w:val="24"/>
          <w:szCs w:val="24"/>
        </w:rPr>
        <w:t>ć</w:t>
      </w:r>
      <w:r w:rsidRPr="008D7149">
        <w:rPr>
          <w:rFonts w:ascii="Times New Roman" w:hAnsi="Times New Roman" w:cs="Times New Roman"/>
          <w:bCs/>
          <w:sz w:val="24"/>
          <w:szCs w:val="24"/>
        </w:rPr>
        <w:t xml:space="preserve"> szybkość postępowania w sprawie żądania zmiany lub uzupełnienia treści wezwania, lub dostosowania zabezpieczenia. Decyzja kończąca postępowanie w sprawach, o których mowa w art. 77b ust. 1 ustawy o ofercie publicznej, jest wydawana przede wszystkim w oparciu o treść wezwania, przekazane przez wzywającego wyjaśnienia, zatem są to dowody znane stronie. Art. 10 k.p.a. dopuszcza możliwość odstąpienia od zasady czynnego udziału strony w postępowaniu, jednak przesłanki do takiego odstąpienia nie są adekwatne do postępowania wszczętego na podstawie art. 77b ust. 1 ustawy o ofercie publicznej. Ochrona interesu akcjonariuszy, do których skierowane jest wezwanie, a także termin 3 miesięcy, w jakim wezwanie powinno zostać ogłoszone, wymagają maksymalnego skrócenia przebiegu postępowania. Te same powody przesądzają o konieczności rezygnacji z udziału w postępowaniu organizacji społecznych. Konsekwencją niestosowania art. 10 oraz 31 k.p.a. jest brak konieczności zawiadomienia strony o wszczęciu postępowania. Skoro strona nie bierze czynnego udziału w postępowaniu, nie mają zastosowania przepisy przyznające stronom uprawnienia w zakresie prowadzenia dowodów. Wyłączenie stosowania art. 79a k.p.a. jest neutralne dla strony, gdyż przepis ten dotyczy postępowań wnioskowych, a postępowanie w sprawach, o których mowa w art. 77a ust. 1 ustawy o ofercie publicznej, jest wszczynane z urzędu. Wyłączenie art. 81a k.p.a. ma charakter porządkowy. Cel postępowania w sprawach, o których mowa w art. 77a ust. 1 ustawy o ofercie publicznej, w każdym przypadku powoduje, że w takim postępowaniu zawsze spełniona będzie przesłanka wyłączająca stosowanie art. 81a k.p.a., o której mowa w art. 81a § 2 pkt 1 k.p.a. (wynik postępowania ma zawsze bezpośredni wpływ na interesy osób trzecich). W ocenie projektodawcy zaproponowana regulacja wskazująca zakres stosowania przepisów k.p.a. w postępowaniach administracyjnych w przedmiocie zgłoszenia wprowadzenia niezbędnych zmian lub uzupełnień w treści wezwania lub dokonania zmiany rodzaju lub wysokości zabezpieczenia, nie jest sprzeczna z przepisami dyrektywy 2004/25/WE, w szczególności z jej art. </w:t>
      </w:r>
      <w:r w:rsidRPr="008D7149">
        <w:rPr>
          <w:rFonts w:ascii="Times New Roman" w:hAnsi="Times New Roman" w:cs="Times New Roman"/>
          <w:sz w:val="24"/>
          <w:szCs w:val="24"/>
        </w:rPr>
        <w:t xml:space="preserve">4 ust. 6 w zw. z motywami 6 i 8. </w:t>
      </w:r>
    </w:p>
    <w:p w14:paraId="0D1A1B58" w14:textId="77777777" w:rsidR="00DF3B0C"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
          <w:bCs/>
          <w:sz w:val="24"/>
          <w:szCs w:val="24"/>
        </w:rPr>
        <w:t>Art. 77e i art. 77f</w:t>
      </w:r>
      <w:r w:rsidRPr="008D7149">
        <w:rPr>
          <w:rFonts w:ascii="Times New Roman" w:hAnsi="Times New Roman" w:cs="Times New Roman"/>
          <w:bCs/>
          <w:sz w:val="24"/>
          <w:szCs w:val="24"/>
        </w:rPr>
        <w:t xml:space="preserve"> ustawy o ofercie publicznej odnoszą się do zasad odpowiedzialności za zapłatę ceny oferowanej w wezwaniu</w:t>
      </w:r>
      <w:r w:rsidR="001E4631" w:rsidRPr="008D7149">
        <w:rPr>
          <w:rFonts w:ascii="Times New Roman" w:hAnsi="Times New Roman" w:cs="Times New Roman"/>
          <w:sz w:val="24"/>
          <w:szCs w:val="24"/>
        </w:rPr>
        <w:t xml:space="preserve"> </w:t>
      </w:r>
      <w:r w:rsidR="001E4631" w:rsidRPr="008D7149">
        <w:rPr>
          <w:rFonts w:ascii="Times New Roman" w:hAnsi="Times New Roman" w:cs="Times New Roman"/>
          <w:bCs/>
          <w:sz w:val="24"/>
          <w:szCs w:val="24"/>
        </w:rPr>
        <w:t xml:space="preserve">oraz za wydanie papierów wartościowych w zamian za </w:t>
      </w:r>
      <w:r w:rsidR="001E4631" w:rsidRPr="008D7149">
        <w:rPr>
          <w:rFonts w:ascii="Times New Roman" w:hAnsi="Times New Roman" w:cs="Times New Roman"/>
          <w:bCs/>
          <w:sz w:val="24"/>
          <w:szCs w:val="24"/>
        </w:rPr>
        <w:lastRenderedPageBreak/>
        <w:t>akcje objęte zapisami złożonymi w ramach wezwania</w:t>
      </w:r>
      <w:r w:rsidRPr="008D7149">
        <w:rPr>
          <w:rFonts w:ascii="Times New Roman" w:hAnsi="Times New Roman" w:cs="Times New Roman"/>
          <w:bCs/>
          <w:sz w:val="24"/>
          <w:szCs w:val="24"/>
        </w:rPr>
        <w:t xml:space="preserve">. W art. 77e ustawy o ofercie publicznej proponuje się wprowadzenie solidarnej odpowiedzialności wszystkich podmiotów zobowiązanych do ogłoszenia wezwania. Obowiązek ogłoszenia wezwania, który spoczywa na stronach porozumienia, o którym mowa w art. 87 ust. 1 pkt 5 ustawy o ofercie publicznej, może być wykonany przez jedną ze stron tego porozumienia (art. 87 ust. 3 tej ustawy). W obecnym stanie prawnym cywilnoprawne zobowiązanie do nabycia akcji objętych wezwaniem spoczywa wyłącznie na podmiocie, który to wezwanie ogłosił, mimo że administracyjny obowiązek ogłoszenia tego wezwania spoczywał na wszystkich stronach porozumienia. Oznacza to, że tylko do tego podmiotu mogą być kierowane roszczenia o wykonanie zobowiązań wynikających z ogłoszonego wezwania. Uzasadniona jest zatem zmiana tego stanu </w:t>
      </w:r>
      <w:r w:rsidRPr="008D7149">
        <w:rPr>
          <w:rFonts w:ascii="Times New Roman" w:hAnsi="Times New Roman" w:cs="Times New Roman"/>
          <w:bCs/>
          <w:sz w:val="24"/>
          <w:szCs w:val="24"/>
        </w:rPr>
        <w:br/>
        <w:t>i wprowadzenie solidarnej odpowiedzialności wszystkich podmiotów zobowiązanych do ogłoszenia wezwania za zapłatę proponowanej w wezwaniu ceny</w:t>
      </w:r>
      <w:r w:rsidR="001E4631" w:rsidRPr="008D7149">
        <w:rPr>
          <w:rFonts w:ascii="Times New Roman" w:hAnsi="Times New Roman" w:cs="Times New Roman"/>
          <w:sz w:val="24"/>
          <w:szCs w:val="24"/>
        </w:rPr>
        <w:t xml:space="preserve"> </w:t>
      </w:r>
      <w:r w:rsidR="001E4631" w:rsidRPr="008D7149">
        <w:rPr>
          <w:rFonts w:ascii="Times New Roman" w:hAnsi="Times New Roman" w:cs="Times New Roman"/>
          <w:bCs/>
          <w:sz w:val="24"/>
          <w:szCs w:val="24"/>
        </w:rPr>
        <w:t>oraz za wydanie papierów wartościowych w zamian za akcje objęte zapisami złożonymi w ramach wezwania</w:t>
      </w:r>
      <w:r w:rsidRPr="008D7149">
        <w:rPr>
          <w:rFonts w:ascii="Times New Roman" w:hAnsi="Times New Roman" w:cs="Times New Roman"/>
          <w:bCs/>
          <w:sz w:val="24"/>
          <w:szCs w:val="24"/>
        </w:rPr>
        <w:t xml:space="preserve">, także wówczas, gdy wezwanie ogłosił tylko jeden podmiot, będący stroną porozumienia. </w:t>
      </w:r>
    </w:p>
    <w:p w14:paraId="12CCB4B4" w14:textId="1B669462"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Jednocześnie projektowany art. 77f ustawy o ofercie publicznej ma na celu umożliwienie podmiotom należącym do tej samej grupy kapitałowej co wzywający kształtowania wzajemnych relacji w procesie nabywania akcji objętych wezwaniem w sposób, który pozwalałby im na sprawne przeprowadzenie tego wezwania. </w:t>
      </w:r>
    </w:p>
    <w:p w14:paraId="523D119D" w14:textId="34E7B333"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Proponowane brzmienie </w:t>
      </w:r>
      <w:r w:rsidRPr="008D7149">
        <w:rPr>
          <w:rFonts w:ascii="Times New Roman" w:hAnsi="Times New Roman" w:cs="Times New Roman"/>
          <w:b/>
          <w:bCs/>
          <w:sz w:val="24"/>
          <w:szCs w:val="24"/>
        </w:rPr>
        <w:t>art. 77g i</w:t>
      </w:r>
      <w:r w:rsidR="00A7195E">
        <w:rPr>
          <w:rFonts w:ascii="Times New Roman" w:hAnsi="Times New Roman" w:cs="Times New Roman"/>
          <w:b/>
          <w:bCs/>
          <w:sz w:val="24"/>
          <w:szCs w:val="24"/>
        </w:rPr>
        <w:t xml:space="preserve"> art.</w:t>
      </w:r>
      <w:r w:rsidRPr="008D7149">
        <w:rPr>
          <w:rFonts w:ascii="Times New Roman" w:hAnsi="Times New Roman" w:cs="Times New Roman"/>
          <w:b/>
          <w:bCs/>
          <w:sz w:val="24"/>
          <w:szCs w:val="24"/>
        </w:rPr>
        <w:t xml:space="preserve"> 77h</w:t>
      </w:r>
      <w:r w:rsidRPr="008D7149">
        <w:rPr>
          <w:rFonts w:ascii="Times New Roman" w:hAnsi="Times New Roman" w:cs="Times New Roman"/>
          <w:bCs/>
          <w:sz w:val="24"/>
          <w:szCs w:val="24"/>
        </w:rPr>
        <w:t xml:space="preserve"> ustawy o ofercie publicznej jest zasadniczo tożsame z obecnym brzmieniem ust. 4 w art. 77 tej ustawy.</w:t>
      </w:r>
    </w:p>
    <w:p w14:paraId="0BD9A508" w14:textId="454D1F9D"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Uchylenie </w:t>
      </w:r>
      <w:r w:rsidRPr="008D7149">
        <w:rPr>
          <w:rFonts w:ascii="Times New Roman" w:hAnsi="Times New Roman" w:cs="Times New Roman"/>
          <w:b/>
          <w:bCs/>
          <w:sz w:val="24"/>
          <w:szCs w:val="24"/>
        </w:rPr>
        <w:t>art. 78</w:t>
      </w:r>
      <w:r w:rsidRPr="008D7149">
        <w:rPr>
          <w:rFonts w:ascii="Times New Roman" w:hAnsi="Times New Roman" w:cs="Times New Roman"/>
          <w:bCs/>
          <w:sz w:val="24"/>
          <w:szCs w:val="24"/>
        </w:rPr>
        <w:t xml:space="preserve"> ustawy o ofercie publicznej jest konsekwencją zmian zaproponowanych w projektowanym art.</w:t>
      </w:r>
      <w:r w:rsidR="004E32D5" w:rsidRPr="008D7149">
        <w:rPr>
          <w:rFonts w:ascii="Times New Roman" w:hAnsi="Times New Roman" w:cs="Times New Roman"/>
          <w:bCs/>
          <w:sz w:val="24"/>
          <w:szCs w:val="24"/>
        </w:rPr>
        <w:t xml:space="preserve"> </w:t>
      </w:r>
      <w:r w:rsidRPr="008D7149">
        <w:rPr>
          <w:rFonts w:ascii="Times New Roman" w:hAnsi="Times New Roman" w:cs="Times New Roman"/>
          <w:bCs/>
          <w:sz w:val="24"/>
          <w:szCs w:val="24"/>
        </w:rPr>
        <w:t>77b tej ustawy.</w:t>
      </w:r>
    </w:p>
    <w:p w14:paraId="379CD416" w14:textId="31ABD380"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Proponowane brzmienie poszczególnych jednostek redakcyjnych </w:t>
      </w:r>
      <w:r w:rsidRPr="008D7149">
        <w:rPr>
          <w:rFonts w:ascii="Times New Roman" w:hAnsi="Times New Roman" w:cs="Times New Roman"/>
          <w:b/>
          <w:bCs/>
          <w:sz w:val="24"/>
          <w:szCs w:val="24"/>
        </w:rPr>
        <w:t>w art. 79 ust. 1, 2, 4, 4a, 4d i 4f</w:t>
      </w:r>
      <w:r w:rsidRPr="008D7149">
        <w:rPr>
          <w:rFonts w:ascii="Times New Roman" w:hAnsi="Times New Roman" w:cs="Times New Roman"/>
          <w:bCs/>
          <w:sz w:val="24"/>
          <w:szCs w:val="24"/>
        </w:rPr>
        <w:t xml:space="preserve"> ustawy o ofercie publicznej jest zasadniczo tożsame z obecnymi brzmieniami tych jednostek redakcyjnych. Projektowane zmiany mają na celu dostosowanie tych regulacji do zmiany zawartej w tej ustawie, dotyczącej przepisów, do których odsyłają przedmiotowe regulacje. Projektowane uchylenie w art. 79 </w:t>
      </w:r>
      <w:r w:rsidRPr="008D7149">
        <w:rPr>
          <w:rFonts w:ascii="Times New Roman" w:hAnsi="Times New Roman" w:cs="Times New Roman"/>
          <w:b/>
          <w:bCs/>
          <w:sz w:val="24"/>
          <w:szCs w:val="24"/>
        </w:rPr>
        <w:t>ust. 3</w:t>
      </w:r>
      <w:r w:rsidRPr="008D7149">
        <w:rPr>
          <w:rFonts w:ascii="Times New Roman" w:hAnsi="Times New Roman" w:cs="Times New Roman"/>
          <w:bCs/>
          <w:sz w:val="24"/>
          <w:szCs w:val="24"/>
        </w:rPr>
        <w:t xml:space="preserve"> jest związane z zaproponowaną zmianą pkt 1 lit. a w ust. 1 tego art. Dodawane </w:t>
      </w:r>
      <w:r w:rsidRPr="008D7149">
        <w:rPr>
          <w:rFonts w:ascii="Times New Roman" w:hAnsi="Times New Roman" w:cs="Times New Roman"/>
          <w:b/>
          <w:bCs/>
          <w:sz w:val="24"/>
          <w:szCs w:val="24"/>
        </w:rPr>
        <w:t>ust. 3a i 3b</w:t>
      </w:r>
      <w:r w:rsidRPr="008D7149">
        <w:rPr>
          <w:rFonts w:ascii="Times New Roman" w:hAnsi="Times New Roman" w:cs="Times New Roman"/>
          <w:bCs/>
          <w:sz w:val="24"/>
          <w:szCs w:val="24"/>
        </w:rPr>
        <w:t xml:space="preserve"> mają na celu wprowadzenie dodatkowej zasady, w myśl której, w przypadku gdy ceny giełdowe dla akcji spółki przejmowanej zostały ustalone na mniej niż określonej szczegółowo liczbie dni sesyjnych w okresie obliczeniowym</w:t>
      </w:r>
      <w:r w:rsidR="00FB3978">
        <w:rPr>
          <w:rFonts w:ascii="Times New Roman" w:hAnsi="Times New Roman" w:cs="Times New Roman"/>
          <w:bCs/>
          <w:sz w:val="24"/>
          <w:szCs w:val="24"/>
        </w:rPr>
        <w:t>,</w:t>
      </w:r>
      <w:r w:rsidRPr="008D7149">
        <w:rPr>
          <w:rFonts w:ascii="Times New Roman" w:hAnsi="Times New Roman" w:cs="Times New Roman"/>
          <w:bCs/>
          <w:sz w:val="24"/>
          <w:szCs w:val="24"/>
        </w:rPr>
        <w:t xml:space="preserve"> cena minimalna powinna odpowiadać wartości przedsiębiorstwa obliczonej na podstawie wyceny przejmowanej spółki sporządzonej przez firmę audytorską. Taką wycenę powinien sporządzić wzywający. Wprowadzane regulacje precyzyjnie określają warunki, jakie muszą zostać </w:t>
      </w:r>
      <w:r w:rsidRPr="008D7149">
        <w:rPr>
          <w:rFonts w:ascii="Times New Roman" w:hAnsi="Times New Roman" w:cs="Times New Roman"/>
          <w:bCs/>
          <w:sz w:val="24"/>
          <w:szCs w:val="24"/>
        </w:rPr>
        <w:lastRenderedPageBreak/>
        <w:t xml:space="preserve">spełnione, aby zastosować tę metodę. Wezwania mogą dotyczyć spółek, dla których z różnych względów obrót odbywa się sporadycznie. Nie musi to być sytuacja związana z ich złą kondycją, a raczej wynikająca ze stabilnego akcjonariatu, który nie jest zainteresowany przeprowadzeniem transakcji na akcjach, licząc na regularnie wypłacane dywidendy oraz rozwój organiczny spółki. Niezależnie od przyczyn, dla których notowania danego emitenta odbywają się nieregularnie, w przypadku przejmowania takiej spółki, a tym bardziej jej wycofywania z obrotu, akcjonariuszom mniejszościowym powinna zostać zaproponowana cena odpowiadająca rzeczywistej wartości ich inwestycji. Dla instrumentów, dla których w istotnej części sesji w ogóle nie ma obrotu, a jeżeli się pojawia, to przez wzgląd na niską płynności cena akcji jest podatna na bardzo duże wahania, nie powinno się stosować wyceny opartej o dotychczasowe rozwiązania bazujące na wolumenie i kursie giełdowym. Nie stanowi ona bowiem w tym przypadku obiektywnej metody na określenie ceny minimalnej. Stąd, dla zapewnienia akcjonariuszom obiektywnej ceny, proponuje się odejście od standardowych zasad wyliczania ceny minimalnej i odniesienie się do wyceny samej spółki przygotowanej przez profesjonalny podmiot, jakim jest niezależna firma audytorska. Zmiany </w:t>
      </w:r>
      <w:r w:rsidRPr="008D7149">
        <w:rPr>
          <w:rFonts w:ascii="Times New Roman" w:hAnsi="Times New Roman" w:cs="Times New Roman"/>
          <w:b/>
          <w:bCs/>
          <w:sz w:val="24"/>
          <w:szCs w:val="24"/>
        </w:rPr>
        <w:t xml:space="preserve">w ust. 5 i 6 </w:t>
      </w:r>
      <w:r w:rsidRPr="008D7149">
        <w:rPr>
          <w:rFonts w:ascii="Times New Roman" w:hAnsi="Times New Roman" w:cs="Times New Roman"/>
          <w:bCs/>
          <w:sz w:val="24"/>
          <w:szCs w:val="24"/>
        </w:rPr>
        <w:t xml:space="preserve">oraz dodanie </w:t>
      </w:r>
      <w:r w:rsidRPr="008D7149">
        <w:rPr>
          <w:rFonts w:ascii="Times New Roman" w:hAnsi="Times New Roman" w:cs="Times New Roman"/>
          <w:b/>
          <w:bCs/>
          <w:sz w:val="24"/>
          <w:szCs w:val="24"/>
        </w:rPr>
        <w:t>ust.</w:t>
      </w:r>
      <w:r w:rsidRPr="008D7149">
        <w:rPr>
          <w:rFonts w:ascii="Times New Roman" w:hAnsi="Times New Roman" w:cs="Times New Roman"/>
          <w:bCs/>
          <w:sz w:val="24"/>
          <w:szCs w:val="24"/>
        </w:rPr>
        <w:t xml:space="preserve"> </w:t>
      </w:r>
      <w:r w:rsidRPr="008D7149">
        <w:rPr>
          <w:rFonts w:ascii="Times New Roman" w:hAnsi="Times New Roman" w:cs="Times New Roman"/>
          <w:b/>
          <w:bCs/>
          <w:sz w:val="24"/>
          <w:szCs w:val="24"/>
        </w:rPr>
        <w:t>5a i 6a</w:t>
      </w:r>
      <w:r w:rsidRPr="008D7149">
        <w:rPr>
          <w:rFonts w:ascii="Times New Roman" w:hAnsi="Times New Roman" w:cs="Times New Roman"/>
          <w:bCs/>
          <w:sz w:val="24"/>
          <w:szCs w:val="24"/>
        </w:rPr>
        <w:t xml:space="preserve"> mają na celu dostosowanie obowiązujących przepisów do zmian w zakresie wezwań na zamianę akcji oraz uregulowanie w sposób kompleksowy zasad ustalania wartości akcji, których własność zostanie przeniesiona w zamian za akcje będące przedmiotem wezwania. Zmiana </w:t>
      </w:r>
      <w:r w:rsidRPr="008D7149">
        <w:rPr>
          <w:rFonts w:ascii="Times New Roman" w:hAnsi="Times New Roman" w:cs="Times New Roman"/>
          <w:b/>
          <w:bCs/>
          <w:sz w:val="24"/>
          <w:szCs w:val="24"/>
        </w:rPr>
        <w:t xml:space="preserve">w ust. </w:t>
      </w:r>
      <w:r w:rsidR="001E4631" w:rsidRPr="008D7149">
        <w:rPr>
          <w:rFonts w:ascii="Times New Roman" w:hAnsi="Times New Roman" w:cs="Times New Roman"/>
          <w:b/>
          <w:bCs/>
          <w:sz w:val="24"/>
          <w:szCs w:val="24"/>
        </w:rPr>
        <w:t xml:space="preserve">7 </w:t>
      </w:r>
      <w:r w:rsidR="001E4631" w:rsidRPr="008D7149">
        <w:rPr>
          <w:rFonts w:ascii="Times New Roman" w:hAnsi="Times New Roman" w:cs="Times New Roman"/>
          <w:bCs/>
          <w:sz w:val="24"/>
          <w:szCs w:val="24"/>
        </w:rPr>
        <w:t>wynika z uchylenia ust. 3 w art. 79</w:t>
      </w:r>
      <w:r w:rsidR="004E32D5" w:rsidRPr="008D7149">
        <w:rPr>
          <w:rFonts w:ascii="Times New Roman" w:hAnsi="Times New Roman" w:cs="Times New Roman"/>
          <w:bCs/>
          <w:sz w:val="24"/>
          <w:szCs w:val="24"/>
        </w:rPr>
        <w:t xml:space="preserve"> i konieczności dokonania korekt w zakresie odesłań</w:t>
      </w:r>
      <w:r w:rsidR="001E4631" w:rsidRPr="008D7149">
        <w:rPr>
          <w:rFonts w:ascii="Times New Roman" w:hAnsi="Times New Roman" w:cs="Times New Roman"/>
          <w:bCs/>
          <w:sz w:val="24"/>
          <w:szCs w:val="24"/>
        </w:rPr>
        <w:t>. Z kolei zmiana</w:t>
      </w:r>
      <w:r w:rsidR="001E4631" w:rsidRPr="008D7149">
        <w:rPr>
          <w:rFonts w:ascii="Times New Roman" w:hAnsi="Times New Roman" w:cs="Times New Roman"/>
          <w:b/>
          <w:bCs/>
          <w:sz w:val="24"/>
          <w:szCs w:val="24"/>
        </w:rPr>
        <w:t xml:space="preserve"> ust. </w:t>
      </w:r>
      <w:r w:rsidRPr="008D7149">
        <w:rPr>
          <w:rFonts w:ascii="Times New Roman" w:hAnsi="Times New Roman" w:cs="Times New Roman"/>
          <w:b/>
          <w:bCs/>
          <w:sz w:val="24"/>
          <w:szCs w:val="24"/>
        </w:rPr>
        <w:t>8</w:t>
      </w:r>
      <w:r w:rsidRPr="008D7149">
        <w:rPr>
          <w:rFonts w:ascii="Times New Roman" w:hAnsi="Times New Roman" w:cs="Times New Roman"/>
          <w:bCs/>
          <w:sz w:val="24"/>
          <w:szCs w:val="24"/>
        </w:rPr>
        <w:t xml:space="preserve"> jest zmianą dostosowującą do przewidzianej projektem nowelizacji art. 76 ust. 1 ustawy o ofercie publicznej.</w:t>
      </w:r>
    </w:p>
    <w:p w14:paraId="168121F7" w14:textId="13903C8A"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Dodawane </w:t>
      </w:r>
      <w:r w:rsidRPr="008D7149">
        <w:rPr>
          <w:rFonts w:ascii="Times New Roman" w:hAnsi="Times New Roman" w:cs="Times New Roman"/>
          <w:b/>
          <w:bCs/>
          <w:sz w:val="24"/>
          <w:szCs w:val="24"/>
        </w:rPr>
        <w:t>art. 79a–79d</w:t>
      </w:r>
      <w:r w:rsidRPr="008D7149">
        <w:rPr>
          <w:rFonts w:ascii="Times New Roman" w:hAnsi="Times New Roman" w:cs="Times New Roman"/>
          <w:bCs/>
          <w:sz w:val="24"/>
          <w:szCs w:val="24"/>
        </w:rPr>
        <w:t xml:space="preserve"> ustawy o ofercie publicznej odnoszą się w szczególności do kwestii obliczania ceny w wezwaniu, w przypadku pośredniego nabywania akcji spółek publicznych, zmiany ceny proponowanej w wezwaniu i zmiany stosunku zamiany oraz zmiany treści wezwania dobrowolnego przez wzywającego. Cena oferowana w wezwaniu ustalana jest m.in. w oparciu o cenę zapłaconą w okresie poprzedzającym wezwanie przez wzywającego, a także podmioty od niego zależne oraz podmiot dominujący. Częstym zjawiskiem jest to, że akcje spółki publicznej nabywane są przez te podmioty pośrednio. W obecnym stanie prawnym niejednokrotnie, w sytuacji gdy cena proponowana w wezwaniu była niższa od ceny, jaką wzywający i podmioty wobec niego dominujące oraz zależne zapłacili wcześniej, nabywając pośrednio akcje spółki objętej wezwaniem, jedyną drogą dla akcjonariuszy mniejszościowych było dochodzenie roszczeń na drodze sądowej. Jakkolwiek obowiązujące przepisy nie są precyzyjne i pozostawiają miejsce na odmienne interpretacje, to wyrok Sądu Najwyższego z </w:t>
      </w:r>
      <w:r w:rsidRPr="008D7149">
        <w:rPr>
          <w:rFonts w:ascii="Times New Roman" w:hAnsi="Times New Roman" w:cs="Times New Roman"/>
          <w:bCs/>
          <w:sz w:val="24"/>
          <w:szCs w:val="24"/>
        </w:rPr>
        <w:lastRenderedPageBreak/>
        <w:t xml:space="preserve">dnia 18 lipca 2019 r., (sygn. akt I CSK 587/17) jednoznacznie wskazał na obowiązek uwzględnienia przy ustalaniu ceny minimalnej w wezwaniu również ceny pośredniego nabycia akcji. Zgodnie z uzasadnieniem powyższego wyroku, cena ta powinna być ustalana przez podmiot zobowiązany do ogłoszenia wezwania na podstawie niezależnej wyceny, zleconej firmie audytorskiej, w której powinna zostać ustalona cena pośredniego nabycia w oparciu o wartość godziwą akcji. Wycena ta powinna być udostępniona do publicznej wiadomości przez wzywającego, wraz z treścią wezwania. Również analiza rozwiązania tej kwestii w państwach europejskich wskazuje, że w wielu z nich cena nabycia pośredniego jest uwzględniana przy ustalaniu ceny minimalnej w wezwaniu (Austria, Hiszpania, Irlandia, Słowenia, Włochy). Biorąc powyższe pod uwagę, proponuje się doprecyzowanie obowiązujących przepisów ustawy o ofercie publicznej przez wyraźne wskazanie, że cena w wezwaniu musi uwzględniać cenę pośredniego nabycia akcji spółki publicznej, co przyczyni się do zwiększenia pewności obrotu i ochrony interesów wszystkich akcjonariuszy. W celu zapewnienia rzetelnego ustalenia ceny pośredniego nabycia akcji spółki, a tym samym prawidłowej treści wezwania oraz lepszej ochrony akcjonariuszy mniejszościowych, proponuje się wprowadzenie obowiązku zlecenia wyceny niezależnej firmie audytorskiej, a zatem podmiotowi niezależnemu od emitenta oraz objętemu nadzorem Polskiej Agencji Nadzoru Audytowego. Emitent będzie zobowiązany do pokrycia kosztów tej wyceny. Jednocześnie, w przypadku gdy w ocenie akcjonariusza mniejszościowego cena ustalona na podstawie ceny pośredniego nabycia nie jest właściwa, akcjonariusz ten, tak jak dotychczas, będzie mógł dochodzić wyższej ceny, występując z pozwem przeciwko wzywającemu. Dla ułatwienia oceny zasadności takiego powództwa, wycena dokonana przez firmę audytorską będzie podlegała udostępnieniu wraz z treścią wezwania. Do treści wezwania powinno zostać dołączone oświadczenie wzywającego, czy przy ustalaniu ceny w wezwaniu została wzięta pod uwagę cena pośredniego nabycia. Ustawa powinna gwarantować otrzymanie od podmiotu, który był zobowiązany do ogłoszenia wezwania, różnicy między ceną otrzymaną w wyniku rozliczenia wezwania, a ceną, jaka została ustalona w prawomocnym wyroku sądu wszystkim akcjonariuszom, którzy odpowiedzieli na wezwanie (projektowany art. 79d ustawy o ofercie publicznej). Dlatego należy nałożyć na akcjonariusza, na którym spoczywał obowiązek ogłoszenia wezwania, obowiązek zapłaty różnicy ceny wszystkim osobom, które zbyły akcje w tym wezwaniu, a zatem także tym, które nie wytoczyły powództwa o zapłatę wyższej ceny, z wyłączeniem podmiotów, od których akcje zostały nabyte po cenie obniżonej w przypadku określonym w art. 79 ust. 4 ustawy o ofercie publicznej. Wykonanie tego obowiązku powinno nastąpić w terminie miesiąca od dnia, w którym wyrok stał się prawomocny. Należy założyć, że </w:t>
      </w:r>
      <w:r w:rsidRPr="008D7149">
        <w:rPr>
          <w:rFonts w:ascii="Times New Roman" w:hAnsi="Times New Roman" w:cs="Times New Roman"/>
          <w:bCs/>
          <w:sz w:val="24"/>
          <w:szCs w:val="24"/>
        </w:rPr>
        <w:lastRenderedPageBreak/>
        <w:t xml:space="preserve">uprawomocnienie się wyroku w sprawie może nastąpić w terminie znacznie dłuższym niż 6-miesięczny termin, o którym mowa w art. 74 ust. 3 ustawy o ofercie publicznej. Dlatego obowiązek wyrównania ceny pozostałym akcjonariuszom nie powinien być ograniczony terminem szczególnym, a roszczenie akcjonariusza powinno podlegać przedawnieniu na zasadach ogólnych. W celu zapewnienia prawidłowego wykonania tego obowiązku, inwestorzy, którzy nie wytoczyli powództwa przeciwko wzywającemu, powinni mieć dostęp do informacji o tym, że zapadł prawomocny wyrok, który może mieć wpływ na ich prawa, należy </w:t>
      </w:r>
      <w:r w:rsidR="00AC6B92">
        <w:rPr>
          <w:rFonts w:ascii="Times New Roman" w:hAnsi="Times New Roman" w:cs="Times New Roman"/>
          <w:bCs/>
          <w:sz w:val="24"/>
          <w:szCs w:val="24"/>
        </w:rPr>
        <w:t xml:space="preserve">więc </w:t>
      </w:r>
      <w:r w:rsidRPr="008D7149">
        <w:rPr>
          <w:rFonts w:ascii="Times New Roman" w:hAnsi="Times New Roman" w:cs="Times New Roman"/>
          <w:bCs/>
          <w:sz w:val="24"/>
          <w:szCs w:val="24"/>
        </w:rPr>
        <w:t xml:space="preserve">wprowadzić obowiązek jego doręczenia przez sąd do KNF. </w:t>
      </w:r>
    </w:p>
    <w:p w14:paraId="7300CFA1"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Dodawany </w:t>
      </w:r>
      <w:r w:rsidRPr="008D7149">
        <w:rPr>
          <w:rFonts w:ascii="Times New Roman" w:hAnsi="Times New Roman" w:cs="Times New Roman"/>
          <w:b/>
          <w:bCs/>
          <w:sz w:val="24"/>
          <w:szCs w:val="24"/>
        </w:rPr>
        <w:t xml:space="preserve">art. 79e </w:t>
      </w:r>
      <w:r w:rsidRPr="008D7149">
        <w:rPr>
          <w:rFonts w:ascii="Times New Roman" w:hAnsi="Times New Roman" w:cs="Times New Roman"/>
          <w:bCs/>
          <w:sz w:val="24"/>
          <w:szCs w:val="24"/>
        </w:rPr>
        <w:t xml:space="preserve">reguluje kwestie związane ze zmianą treści wezwania, w szczególności dopuszczalny zakres tych zmian oraz możliwy termin ich wprowadzenia, a także sposób ich ogłoszenia. Z kolei dodawany </w:t>
      </w:r>
      <w:r w:rsidRPr="008D7149">
        <w:rPr>
          <w:rFonts w:ascii="Times New Roman" w:hAnsi="Times New Roman" w:cs="Times New Roman"/>
          <w:b/>
          <w:bCs/>
          <w:sz w:val="24"/>
          <w:szCs w:val="24"/>
        </w:rPr>
        <w:t>art. 79f</w:t>
      </w:r>
      <w:r w:rsidRPr="008D7149">
        <w:rPr>
          <w:rFonts w:ascii="Times New Roman" w:hAnsi="Times New Roman" w:cs="Times New Roman"/>
          <w:bCs/>
          <w:sz w:val="24"/>
          <w:szCs w:val="24"/>
        </w:rPr>
        <w:t xml:space="preserve"> ustawy o ofercie publicznej odnosi się do terminu przyjmowania zapisów w wezwaniu. Wskazane zagadnienia uregulowane są w rozporządzeniu Ministra Finansów, Funduszy i Polityki Regionalnej z dnia 26 listopada 2020 r. w sprawie wzorów wezwań do zapisywania się na sprzedaż lub zamianę akcji spółki publicznej, szczegółowego sposobu ich ogłaszania oraz warunków nabywania akcji w wezwaniach, przy czym przepisy te uzupełniono o rozwiązania odnoszące się również do wezwań dobrowolnych, które aktualnie nie podlegają regulacjom nowelizowanej ustawy.</w:t>
      </w:r>
    </w:p>
    <w:p w14:paraId="012A3799" w14:textId="1F6F2C69"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Zmiana </w:t>
      </w:r>
      <w:r w:rsidRPr="008D7149">
        <w:rPr>
          <w:rFonts w:ascii="Times New Roman" w:hAnsi="Times New Roman" w:cs="Times New Roman"/>
          <w:b/>
          <w:bCs/>
          <w:sz w:val="24"/>
          <w:szCs w:val="24"/>
        </w:rPr>
        <w:t>ust. 1 i 2 w art. 80</w:t>
      </w:r>
      <w:r w:rsidRPr="008D7149">
        <w:rPr>
          <w:rFonts w:ascii="Times New Roman" w:hAnsi="Times New Roman" w:cs="Times New Roman"/>
          <w:bCs/>
          <w:sz w:val="24"/>
          <w:szCs w:val="24"/>
        </w:rPr>
        <w:t xml:space="preserve"> ustawy o ofercie publicznej ma charakter dostosowawczy do proponowanych zmian innych przepisów ustawy o ofercie publicznej (zmiana przepisów, do których odsyła przedmiotowa regulacja</w:t>
      </w:r>
      <w:r w:rsidR="00AC6B92">
        <w:rPr>
          <w:rFonts w:ascii="Times New Roman" w:hAnsi="Times New Roman" w:cs="Times New Roman"/>
          <w:bCs/>
          <w:sz w:val="24"/>
          <w:szCs w:val="24"/>
        </w:rPr>
        <w:t>,</w:t>
      </w:r>
      <w:r w:rsidRPr="008D7149">
        <w:rPr>
          <w:rFonts w:ascii="Times New Roman" w:hAnsi="Times New Roman" w:cs="Times New Roman"/>
          <w:bCs/>
          <w:sz w:val="24"/>
          <w:szCs w:val="24"/>
        </w:rPr>
        <w:t xml:space="preserve"> oraz dostosowanie nowelizowanego ust. 2 do wprowadzanej definicji wzywającego), w związku z czym proponowane brzmienie tych przepisów jest zasadniczo tożsame z ich obecnym brzmieniem. Niezależnie od tego w ust. 1 zaproponowano zmianę terminu</w:t>
      </w:r>
      <w:r w:rsidR="004A372B" w:rsidRPr="008D7149">
        <w:rPr>
          <w:rFonts w:ascii="Times New Roman" w:hAnsi="Times New Roman" w:cs="Times New Roman"/>
          <w:bCs/>
          <w:sz w:val="24"/>
          <w:szCs w:val="24"/>
        </w:rPr>
        <w:t>,</w:t>
      </w:r>
      <w:r w:rsidRPr="008D7149">
        <w:rPr>
          <w:rFonts w:ascii="Times New Roman" w:hAnsi="Times New Roman" w:cs="Times New Roman"/>
          <w:bCs/>
          <w:sz w:val="24"/>
          <w:szCs w:val="24"/>
        </w:rPr>
        <w:t xml:space="preserve"> w ciągu którego zarząd spółki publicznej, której akcje są przedmiotem wezwania do zapisywania się na sprzedaż lub zamianę wszystkich pozostałych akcji, jest obowiązany przekazać </w:t>
      </w:r>
      <w:r w:rsidR="00E12859" w:rsidRPr="008D7149">
        <w:rPr>
          <w:rFonts w:ascii="Times New Roman" w:hAnsi="Times New Roman" w:cs="Times New Roman"/>
          <w:sz w:val="24"/>
          <w:szCs w:val="24"/>
        </w:rPr>
        <w:t xml:space="preserve">KNF </w:t>
      </w:r>
      <w:r w:rsidRPr="008D7149">
        <w:rPr>
          <w:rFonts w:ascii="Times New Roman" w:hAnsi="Times New Roman" w:cs="Times New Roman"/>
          <w:bCs/>
          <w:sz w:val="24"/>
          <w:szCs w:val="24"/>
        </w:rPr>
        <w:t>oraz do publicznej wiadomości stanowisko dotyczące ogłoszonego wezwania wraz z podaniem podstaw tego stanowiska. Dotychczasowy termin co najmniej na 2 dni robocze przed dniem rozpoczęcia przyjmowania zapisów zastąpi termin 14 dni od dnia ogłoszenia wezwania. Pozwoli to na zwiększenie pewności wskazanego terminu przy zapewnieniu porównywalnego czasu na sporządzenie stanowiska.</w:t>
      </w:r>
    </w:p>
    <w:p w14:paraId="4BA38F78"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Zmiana brzmienia upoważnienia ustawowego zawartego w </w:t>
      </w:r>
      <w:r w:rsidRPr="008D7149">
        <w:rPr>
          <w:rFonts w:ascii="Times New Roman" w:hAnsi="Times New Roman" w:cs="Times New Roman"/>
          <w:b/>
          <w:bCs/>
          <w:sz w:val="24"/>
          <w:szCs w:val="24"/>
        </w:rPr>
        <w:t xml:space="preserve">art. 81 </w:t>
      </w:r>
      <w:r w:rsidRPr="008D7149">
        <w:rPr>
          <w:rFonts w:ascii="Times New Roman" w:hAnsi="Times New Roman" w:cs="Times New Roman"/>
          <w:bCs/>
          <w:sz w:val="24"/>
          <w:szCs w:val="24"/>
        </w:rPr>
        <w:t xml:space="preserve">ustawy o ofercie publicznej, poza zmianami o charakterze dostosowawczym do innych zmian zaproponowanych w tej ustawie (głównie przeniesienie części przepisów obowiązującego rozporządzenia do nowelizowanej ustawy), przewiduje rozszerzenie jego zakresu przedmiotowego przez </w:t>
      </w:r>
      <w:r w:rsidRPr="008D7149">
        <w:rPr>
          <w:rFonts w:ascii="Times New Roman" w:hAnsi="Times New Roman" w:cs="Times New Roman"/>
          <w:bCs/>
          <w:sz w:val="24"/>
          <w:szCs w:val="24"/>
        </w:rPr>
        <w:lastRenderedPageBreak/>
        <w:t>określenie wzoru wezwania, o którym mowa w art. 11a ust. 9 tej ustawy, oraz dopuszczalnych rodzajów zabezpieczenia wezwania. Jednocześnie odstąpiono od upoważnienia do określenia w rozporządzeniu warunków nabywania akcji w wezwaniach. W szczególności warunki, jakie mogą zostać zastrzeżone w wezwaniu, zostały określone wprost w ustawie, w projektowanym art. 72a. Mając na celu ochronę akcjonariuszy odpowiadających na wezwanie, wytyczne dotyczące treści rozporządzenia wskazują w szczególności na konieczność zapewnienia zaspokojenia się z przedmiotu zabezpieczenia niezwłocznie po zakończeniu wezwania.</w:t>
      </w:r>
    </w:p>
    <w:p w14:paraId="46EE7307" w14:textId="47C8EA1C" w:rsidR="00093DE6" w:rsidRPr="008D7149" w:rsidRDefault="00093DE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Ponadto z uwagi na przyjęt</w:t>
      </w:r>
      <w:r w:rsidR="00AC6B92">
        <w:rPr>
          <w:rFonts w:ascii="Times New Roman" w:hAnsi="Times New Roman" w:cs="Times New Roman"/>
          <w:bCs/>
          <w:sz w:val="24"/>
          <w:szCs w:val="24"/>
        </w:rPr>
        <w:t>ą</w:t>
      </w:r>
      <w:r w:rsidRPr="008D7149">
        <w:rPr>
          <w:rFonts w:ascii="Times New Roman" w:hAnsi="Times New Roman" w:cs="Times New Roman"/>
          <w:bCs/>
          <w:sz w:val="24"/>
          <w:szCs w:val="24"/>
        </w:rPr>
        <w:t xml:space="preserve"> w projektowanej ustawie formułę udostępniania informacji o wezwaniu przez podmiot pośredniczący przez </w:t>
      </w:r>
      <w:r w:rsidR="004A372B" w:rsidRPr="008D7149">
        <w:rPr>
          <w:rFonts w:ascii="Times New Roman" w:hAnsi="Times New Roman" w:cs="Times New Roman"/>
          <w:bCs/>
          <w:sz w:val="24"/>
          <w:szCs w:val="24"/>
        </w:rPr>
        <w:t>udostępnienie</w:t>
      </w:r>
      <w:r w:rsidRPr="008D7149">
        <w:rPr>
          <w:rFonts w:ascii="Times New Roman" w:hAnsi="Times New Roman" w:cs="Times New Roman"/>
          <w:bCs/>
          <w:sz w:val="24"/>
          <w:szCs w:val="24"/>
        </w:rPr>
        <w:t xml:space="preserve"> tych informacji również na stronie internetowej tego podmiotu, </w:t>
      </w:r>
      <w:r w:rsidR="004A372B" w:rsidRPr="008D7149">
        <w:rPr>
          <w:rFonts w:ascii="Times New Roman" w:hAnsi="Times New Roman" w:cs="Times New Roman"/>
          <w:bCs/>
          <w:sz w:val="24"/>
          <w:szCs w:val="24"/>
        </w:rPr>
        <w:t xml:space="preserve">w projektowanym upoważnieniu ustawowym </w:t>
      </w:r>
      <w:r w:rsidRPr="008D7149">
        <w:rPr>
          <w:rFonts w:ascii="Times New Roman" w:hAnsi="Times New Roman" w:cs="Times New Roman"/>
          <w:bCs/>
          <w:sz w:val="24"/>
          <w:szCs w:val="24"/>
        </w:rPr>
        <w:t xml:space="preserve">zrezygnowano z </w:t>
      </w:r>
      <w:r w:rsidR="004A372B" w:rsidRPr="008D7149">
        <w:rPr>
          <w:rFonts w:ascii="Times New Roman" w:hAnsi="Times New Roman" w:cs="Times New Roman"/>
          <w:bCs/>
          <w:sz w:val="24"/>
          <w:szCs w:val="24"/>
        </w:rPr>
        <w:t xml:space="preserve">przekazania do uregulowania </w:t>
      </w:r>
      <w:r w:rsidRPr="008D7149">
        <w:rPr>
          <w:rFonts w:ascii="Times New Roman" w:hAnsi="Times New Roman" w:cs="Times New Roman"/>
          <w:bCs/>
          <w:sz w:val="24"/>
          <w:szCs w:val="24"/>
        </w:rPr>
        <w:t>sposobu realizacji obowiązków informacyjnych przez podmioty pośredniczące. Rozwiązanie to wynika z upowszechnionego wyszukiwania przez inwestorów informacji za pośrednictwem Internetu.</w:t>
      </w:r>
    </w:p>
    <w:p w14:paraId="5CC3D2D9" w14:textId="3CE4D92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W </w:t>
      </w:r>
      <w:r w:rsidRPr="008D7149">
        <w:rPr>
          <w:rFonts w:ascii="Times New Roman" w:hAnsi="Times New Roman" w:cs="Times New Roman"/>
          <w:b/>
          <w:bCs/>
          <w:sz w:val="24"/>
          <w:szCs w:val="24"/>
        </w:rPr>
        <w:t>art. 82 ust. 2 oraz art. 83 ust. 4</w:t>
      </w:r>
      <w:r w:rsidRPr="008D7149">
        <w:rPr>
          <w:rFonts w:ascii="Times New Roman" w:hAnsi="Times New Roman" w:cs="Times New Roman"/>
          <w:bCs/>
          <w:sz w:val="24"/>
          <w:szCs w:val="24"/>
        </w:rPr>
        <w:t xml:space="preserve"> ustawy o ofercie publicznej zaproponowano doprecyzowanie zasad ustalania ceny minimalnej przymusowego wykupu i odkupu akcji spółek z alternatywnego sytemu obrotu przez przywrócenie kryterium najwyższej ceny zapłaconej w okresie 12 miesięcy i najwyższej wartości rzeczy lub praw wydanych w zamian za akcje w okresie 12 miesięcy przed ogłoszeniem wykupu lub odkupu. W wyniku ostatniej nowelizacji ustawy o ofercie publicznej zmianie uległy bowiem zasady ustalania ceny minimalnej przymusowego wykupu (art. 82 ust. 2 ustawy o ofercie publicznej) i odkupu (art. 83 ust. 4 ustawy o ofercie publicznej) akcji spółek, których akcje zostały wyłącznie do alternatywnego systemu obrotu. O ile zgodnie z intencją ustawodawcy doprecyzowano, że w przypadku akcji spółek z alternatywnego obrotu cena minimalna powinna być nie niższa niż średnia rynkowa z alternatywnego systemu obrotu z okresu 3 i 6 miesięcy, to przy dokonaniu zmiany redakcyjnej zostało pominięte, że cena przymusowego wykupu i odkupu akcji notowanych w alternatywnym systemie obrotu powinna być, jak ma to miejsce w przypadku spółek notowanych na rynku regulowanym, nie niższa niż najwyższa cena zapłacona w okresie 12 miesięcy przed ogłoszeniem wykupu lub odkupu oraz najwyższa wartość rzeczy lub praw wydanych w zamian za akcje w okresie 12 miesięcy przed ogłoszeniem wykupu lub odkupu. Zatem w obowiązującym stanie prawnym powstało nieuzasadnione zróżnicowanie zasad ustalania ceny przymusowego wykupu i odkupu w zależności od tego, czy akcje notowane są na rynku regulowanym lub alternatywnym systemie obrotu. W związku z tym proponuje się usunięcie tej luki prawnej przez umieszczenie odesłania do przepisu art. 79 ust. 2 ustawy o </w:t>
      </w:r>
      <w:r w:rsidRPr="008D7149">
        <w:rPr>
          <w:rFonts w:ascii="Times New Roman" w:hAnsi="Times New Roman" w:cs="Times New Roman"/>
          <w:bCs/>
          <w:sz w:val="24"/>
          <w:szCs w:val="24"/>
        </w:rPr>
        <w:lastRenderedPageBreak/>
        <w:t xml:space="preserve">ofercie publicznej, który przewiduje przedmiotowe kryterium. Ponadto zmiany przepisów dotyczących przymusowego wykupu oraz przymusowego odkupu polegają w szczególności na uzupełnieniu odpowiednio odesłań zawartych w art. 82 ust. 2 i art. 83 ust. 4 ustawy o ofercie publicznej o odesłanie do dodawanego art. 79a tej ustawy, przez co przy ustalaniu ceny przymusowego wykupu oraz przymusowego odkupu będzie brana pod uwagę cena pośredniego nabycia. </w:t>
      </w:r>
    </w:p>
    <w:p w14:paraId="5F7CB57B" w14:textId="326B8FED"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Dodanie w </w:t>
      </w:r>
      <w:r w:rsidRPr="008D7149">
        <w:rPr>
          <w:rFonts w:ascii="Times New Roman" w:hAnsi="Times New Roman" w:cs="Times New Roman"/>
          <w:b/>
          <w:bCs/>
          <w:sz w:val="24"/>
          <w:szCs w:val="24"/>
        </w:rPr>
        <w:t>art. 82 ust. 2a</w:t>
      </w:r>
      <w:r w:rsidRPr="008D7149">
        <w:rPr>
          <w:rFonts w:ascii="Times New Roman" w:hAnsi="Times New Roman" w:cs="Times New Roman"/>
          <w:bCs/>
          <w:sz w:val="24"/>
          <w:szCs w:val="24"/>
        </w:rPr>
        <w:t xml:space="preserve"> ustawy o ofercie publicznej zdania drugiego jest zmianą wynikową. W ust. 2 omawianej jednostki redakcyjnej zrezygnowano bowiem ze sformułowania „z zastrzeżeniem ust. 2a”, które jako pojęcie wieloznaczne mogło wprowadzać w błąd odbiorców nowelizowanych regulacji. Mając to na uwadze</w:t>
      </w:r>
      <w:r w:rsidR="00191174">
        <w:rPr>
          <w:rFonts w:ascii="Times New Roman" w:hAnsi="Times New Roman" w:cs="Times New Roman"/>
          <w:bCs/>
          <w:sz w:val="24"/>
          <w:szCs w:val="24"/>
        </w:rPr>
        <w:t>,</w:t>
      </w:r>
      <w:r w:rsidRPr="008D7149">
        <w:rPr>
          <w:rFonts w:ascii="Times New Roman" w:hAnsi="Times New Roman" w:cs="Times New Roman"/>
          <w:bCs/>
          <w:sz w:val="24"/>
          <w:szCs w:val="24"/>
        </w:rPr>
        <w:t xml:space="preserve"> nowelizowane przepisy powinny być, tak jak ma to miejsce obecnie, że jeśli przekroczenie lub osiągnięcie progu 95% nastąpiło w wyniku wezwania na wszystkie pozostałe akcje, wówczas jednym kryterium ceny minimalnej przymusowego wykupu jest cena zaoferowana w wezwaniu. Analogiczne uzasadnienie przyświeca z</w:t>
      </w:r>
      <w:r w:rsidR="004A372B" w:rsidRPr="008D7149">
        <w:rPr>
          <w:rFonts w:ascii="Times New Roman" w:hAnsi="Times New Roman" w:cs="Times New Roman"/>
          <w:bCs/>
          <w:sz w:val="24"/>
          <w:szCs w:val="24"/>
        </w:rPr>
        <w:t>m</w:t>
      </w:r>
      <w:r w:rsidRPr="008D7149">
        <w:rPr>
          <w:rFonts w:ascii="Times New Roman" w:hAnsi="Times New Roman" w:cs="Times New Roman"/>
          <w:bCs/>
          <w:sz w:val="24"/>
          <w:szCs w:val="24"/>
        </w:rPr>
        <w:t xml:space="preserve">ianie w </w:t>
      </w:r>
      <w:r w:rsidRPr="008D7149">
        <w:rPr>
          <w:rFonts w:ascii="Times New Roman" w:hAnsi="Times New Roman" w:cs="Times New Roman"/>
          <w:b/>
          <w:bCs/>
          <w:sz w:val="24"/>
          <w:szCs w:val="24"/>
        </w:rPr>
        <w:t>art. 83 ust. 5</w:t>
      </w:r>
      <w:r w:rsidRPr="008D7149">
        <w:rPr>
          <w:rFonts w:ascii="Times New Roman" w:hAnsi="Times New Roman" w:cs="Times New Roman"/>
          <w:bCs/>
          <w:sz w:val="24"/>
          <w:szCs w:val="24"/>
        </w:rPr>
        <w:t xml:space="preserve"> ustawy o ofercie publicznej, przy czym w tym przypadku przepis powinien w dalszym ciągu być rozumiany w ten sposób, że jeśli osiągnięcie/przekroczenie progu 95% głosów przez akcjonariusza większościowego nastąpiło w wyniku wezwania na wszystkie pozostałe akcje, to jedynym kryterium ceny minimalnej dla odkupu akcji jest cena zaoferowana w tym wezwaniu.</w:t>
      </w:r>
    </w:p>
    <w:p w14:paraId="4E4B2A0A"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W </w:t>
      </w:r>
      <w:r w:rsidRPr="008D7149">
        <w:rPr>
          <w:rFonts w:ascii="Times New Roman" w:hAnsi="Times New Roman" w:cs="Times New Roman"/>
          <w:b/>
          <w:bCs/>
          <w:sz w:val="24"/>
          <w:szCs w:val="24"/>
        </w:rPr>
        <w:t>art. 82 ust. 5</w:t>
      </w:r>
      <w:r w:rsidRPr="008D7149">
        <w:rPr>
          <w:rFonts w:ascii="Times New Roman" w:hAnsi="Times New Roman" w:cs="Times New Roman"/>
          <w:bCs/>
          <w:sz w:val="24"/>
          <w:szCs w:val="24"/>
        </w:rPr>
        <w:t xml:space="preserve"> ustawy o ofercie publicznej rozszerzono zakres podmiotowy tego przepisu przez odniesienie do podmiotu lub podmiotów organizujących alternatywny system obrotu.</w:t>
      </w:r>
    </w:p>
    <w:p w14:paraId="3498B33A" w14:textId="637D5103"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Zmiana </w:t>
      </w:r>
      <w:r w:rsidRPr="008D7149">
        <w:rPr>
          <w:rFonts w:ascii="Times New Roman" w:hAnsi="Times New Roman" w:cs="Times New Roman"/>
          <w:b/>
          <w:bCs/>
          <w:sz w:val="24"/>
          <w:szCs w:val="24"/>
        </w:rPr>
        <w:t>art. 83a ust. 4</w:t>
      </w:r>
      <w:r w:rsidRPr="008D7149">
        <w:rPr>
          <w:rFonts w:ascii="Times New Roman" w:hAnsi="Times New Roman" w:cs="Times New Roman"/>
          <w:bCs/>
          <w:sz w:val="24"/>
          <w:szCs w:val="24"/>
        </w:rPr>
        <w:t xml:space="preserve"> ustawy o ofercie publicznej jest zmianą dostosowawczą i wynika z projektowanego uchylenia w art. 79 ust. 3, do którego odsyła zmieniany przepis</w:t>
      </w:r>
      <w:r w:rsidR="00191174">
        <w:rPr>
          <w:rFonts w:ascii="Times New Roman" w:hAnsi="Times New Roman" w:cs="Times New Roman"/>
          <w:bCs/>
          <w:sz w:val="24"/>
          <w:szCs w:val="24"/>
        </w:rPr>
        <w:t>,</w:t>
      </w:r>
      <w:r w:rsidRPr="008D7149">
        <w:rPr>
          <w:rFonts w:ascii="Times New Roman" w:hAnsi="Times New Roman" w:cs="Times New Roman"/>
          <w:bCs/>
          <w:sz w:val="24"/>
          <w:szCs w:val="24"/>
        </w:rPr>
        <w:t xml:space="preserve"> oraz uzupełnienia tego odwołania o ust. 3a i 3b w art. 79, które w tym przypadku również powinny mieć zastosowanie.</w:t>
      </w:r>
    </w:p>
    <w:p w14:paraId="612079A2" w14:textId="5999B8BB"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Zmiana </w:t>
      </w:r>
      <w:r w:rsidRPr="008D7149">
        <w:rPr>
          <w:rFonts w:ascii="Times New Roman" w:hAnsi="Times New Roman" w:cs="Times New Roman"/>
          <w:b/>
          <w:bCs/>
          <w:sz w:val="24"/>
          <w:szCs w:val="24"/>
        </w:rPr>
        <w:t>art. 88a</w:t>
      </w:r>
      <w:r w:rsidRPr="008D7149">
        <w:rPr>
          <w:rFonts w:ascii="Times New Roman" w:hAnsi="Times New Roman" w:cs="Times New Roman"/>
          <w:bCs/>
          <w:sz w:val="24"/>
          <w:szCs w:val="24"/>
        </w:rPr>
        <w:t xml:space="preserve"> ustawy o ofercie publicznej, odnoszącego się do ograniczeń w zakresie nabywania akcji spółki publicznej przez podmiot obowiązany do ogłoszenia wezwania dotyczącego akcji tej spółki, ma na celu jego dostosowanie do zmian zawartych w tej ustawie dotyczących przepisów, do których odsyła przedmiotowa regulacja.</w:t>
      </w:r>
    </w:p>
    <w:p w14:paraId="35E71338" w14:textId="7950B333"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Zmiany </w:t>
      </w:r>
      <w:r w:rsidRPr="008D7149">
        <w:rPr>
          <w:rFonts w:ascii="Times New Roman" w:hAnsi="Times New Roman" w:cs="Times New Roman"/>
          <w:b/>
          <w:bCs/>
          <w:sz w:val="24"/>
          <w:szCs w:val="24"/>
        </w:rPr>
        <w:t>ust. 1 w art. 89</w:t>
      </w:r>
      <w:r w:rsidRPr="008D7149">
        <w:rPr>
          <w:rFonts w:ascii="Times New Roman" w:hAnsi="Times New Roman" w:cs="Times New Roman"/>
          <w:bCs/>
          <w:sz w:val="24"/>
          <w:szCs w:val="24"/>
        </w:rPr>
        <w:t xml:space="preserve"> ustawy o ofercie publicznej mają na celu dostosowanie do zmiany zawartej w tej ustawie dotyczącej przepisów, do których odsyła przedmiotowa regulacja, polegającej na zmianie konstrukcji wezwań, oznaczającej m.in. wprowadzenie tzw. wezwań następczych w miejsce tzw. wezwań uprzednich (projektowany art. 73 ust. 1). W efekcie </w:t>
      </w:r>
      <w:r w:rsidRPr="008D7149">
        <w:rPr>
          <w:rFonts w:ascii="Times New Roman" w:hAnsi="Times New Roman" w:cs="Times New Roman"/>
          <w:bCs/>
          <w:sz w:val="24"/>
          <w:szCs w:val="24"/>
        </w:rPr>
        <w:lastRenderedPageBreak/>
        <w:t xml:space="preserve">uchylone zostaną obowiązki określone w dotychczasowych art. 73 ust. 1 i art. 74 ust. 1 ustawy o ofercie publicznej, do których odsyła uchylany pkt 2 w ust. 1 w art. 89 (lit. a tiret pierwsze). Proponowana zmiana pkt 3 ma natomiast na celu uwzględnienie dodawanych art. 79a i art. 79b ustawy o ofercie publicznej, które określają dodatkowe (poza art. 79) zasady ustalania ceny proponowanej w wezwaniu (lit. a tiret drugie). </w:t>
      </w:r>
    </w:p>
    <w:p w14:paraId="7CD91D3D" w14:textId="77777777"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Zmiany w </w:t>
      </w:r>
      <w:r w:rsidRPr="008D7149">
        <w:rPr>
          <w:rFonts w:ascii="Times New Roman" w:hAnsi="Times New Roman" w:cs="Times New Roman"/>
          <w:b/>
          <w:bCs/>
          <w:sz w:val="24"/>
          <w:szCs w:val="24"/>
        </w:rPr>
        <w:t>ust. 2–2b w art. 89</w:t>
      </w:r>
      <w:r w:rsidRPr="008D7149">
        <w:rPr>
          <w:rFonts w:ascii="Times New Roman" w:hAnsi="Times New Roman" w:cs="Times New Roman"/>
          <w:bCs/>
          <w:sz w:val="24"/>
          <w:szCs w:val="24"/>
        </w:rPr>
        <w:t xml:space="preserve"> mają na celu dostosowanie do zmiany zawartej w tej ustawie dotyczącej przepisów, do których odsyła przedmiotowa regulacja (dotychczasowe art. 73 ust. 1, 2 lub 3, art. 74 ust. 1, 2 lub 5 oraz art. 77 ust. 4 pkt 1 lub 3).</w:t>
      </w:r>
    </w:p>
    <w:p w14:paraId="30439B75" w14:textId="2C5980DD"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Zmiana w </w:t>
      </w:r>
      <w:r w:rsidRPr="008D7149">
        <w:rPr>
          <w:rFonts w:ascii="Times New Roman" w:hAnsi="Times New Roman" w:cs="Times New Roman"/>
          <w:b/>
          <w:bCs/>
          <w:sz w:val="24"/>
          <w:szCs w:val="24"/>
        </w:rPr>
        <w:t>art. 90a ust. 1</w:t>
      </w:r>
      <w:r w:rsidRPr="008D7149">
        <w:rPr>
          <w:rFonts w:ascii="Times New Roman" w:hAnsi="Times New Roman" w:cs="Times New Roman"/>
          <w:bCs/>
          <w:sz w:val="24"/>
          <w:szCs w:val="24"/>
        </w:rPr>
        <w:t xml:space="preserve"> ustawy o ofercie publicznej polega na wyeliminowaniu </w:t>
      </w:r>
      <w:r w:rsidR="008A0285" w:rsidRPr="008D7149">
        <w:rPr>
          <w:rFonts w:ascii="Times New Roman" w:hAnsi="Times New Roman" w:cs="Times New Roman"/>
          <w:bCs/>
          <w:sz w:val="24"/>
          <w:szCs w:val="24"/>
        </w:rPr>
        <w:t xml:space="preserve">odesłania </w:t>
      </w:r>
      <w:r w:rsidRPr="008D7149">
        <w:rPr>
          <w:rFonts w:ascii="Times New Roman" w:hAnsi="Times New Roman" w:cs="Times New Roman"/>
          <w:bCs/>
          <w:sz w:val="24"/>
          <w:szCs w:val="24"/>
        </w:rPr>
        <w:t>do art. 74. Zmiana ta wynika z projektowanego uchylenia art. 74.</w:t>
      </w:r>
    </w:p>
    <w:p w14:paraId="2CAF995E" w14:textId="27F7A07E"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Zmiana brzmienia </w:t>
      </w:r>
      <w:r w:rsidRPr="008D7149">
        <w:rPr>
          <w:rFonts w:ascii="Times New Roman" w:hAnsi="Times New Roman" w:cs="Times New Roman"/>
          <w:b/>
          <w:bCs/>
          <w:sz w:val="24"/>
          <w:szCs w:val="24"/>
        </w:rPr>
        <w:t>w art. 91</w:t>
      </w:r>
      <w:r w:rsidRPr="008D7149">
        <w:rPr>
          <w:rFonts w:ascii="Times New Roman" w:hAnsi="Times New Roman" w:cs="Times New Roman"/>
          <w:bCs/>
          <w:sz w:val="24"/>
          <w:szCs w:val="24"/>
        </w:rPr>
        <w:t xml:space="preserve"> </w:t>
      </w:r>
      <w:r w:rsidRPr="008D7149">
        <w:rPr>
          <w:rFonts w:ascii="Times New Roman" w:hAnsi="Times New Roman" w:cs="Times New Roman"/>
          <w:b/>
          <w:bCs/>
          <w:sz w:val="24"/>
          <w:szCs w:val="24"/>
        </w:rPr>
        <w:t xml:space="preserve">ust. 5 </w:t>
      </w:r>
      <w:r w:rsidRPr="008D7149">
        <w:rPr>
          <w:rFonts w:ascii="Times New Roman" w:hAnsi="Times New Roman" w:cs="Times New Roman"/>
          <w:bCs/>
          <w:sz w:val="24"/>
          <w:szCs w:val="24"/>
        </w:rPr>
        <w:t xml:space="preserve">ustawy o ofercie publicznej ma na celu dostosowanie regulacji dotyczącej wezwania, które akcjonariusz lub akcjonariusze żądający umieszczenia w porządku obrad walnego zgromadzenia lub innego właściwego organu stanowiącego spółki sprawy podjęcia uchwały o zniesieniu dematerializacji akcji są obowiązani uprzednio ogłosić, do innych zmian zawartych w tej ustawie, polegających na dodaniu art. 79a–79f, które odnoszą się w szczególności do kwestii obliczania ceny w wezwaniu, w przypadku pośredniego nabywania akcji spółek publicznych, zmiany ceny proponowanej w wezwaniu i zmiany stosunku zamiany oraz zmiany treści wezwania dobrowolnego przez wzywającego. Z kolei zmiana </w:t>
      </w:r>
      <w:r w:rsidRPr="008D7149">
        <w:rPr>
          <w:rFonts w:ascii="Times New Roman" w:hAnsi="Times New Roman" w:cs="Times New Roman"/>
          <w:b/>
          <w:bCs/>
          <w:sz w:val="24"/>
          <w:szCs w:val="24"/>
        </w:rPr>
        <w:t>ust. 7 oraz dodanie ust. 7a</w:t>
      </w:r>
      <w:r w:rsidRPr="008D7149">
        <w:rPr>
          <w:rFonts w:ascii="Times New Roman" w:hAnsi="Times New Roman" w:cs="Times New Roman"/>
          <w:bCs/>
          <w:sz w:val="24"/>
          <w:szCs w:val="24"/>
        </w:rPr>
        <w:t xml:space="preserve"> w tej jednostce redakcyjnej ma na celu dalsze ujednolicenie zasad ustalania ceny w odniesieniu do spółek notowanych na rynku regulowanym i w alternatywnym systemie obrotu.</w:t>
      </w:r>
    </w:p>
    <w:p w14:paraId="679B7806" w14:textId="3B5945F8" w:rsidR="005D1A26" w:rsidRPr="008D7149" w:rsidRDefault="005D1A26" w:rsidP="008D7149">
      <w:pPr>
        <w:shd w:val="clear" w:color="auto" w:fill="FFFFFF" w:themeFill="background1"/>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 xml:space="preserve">Zmiany przewidziane w </w:t>
      </w:r>
      <w:r w:rsidRPr="008D7149">
        <w:rPr>
          <w:rFonts w:ascii="Times New Roman" w:hAnsi="Times New Roman" w:cs="Times New Roman"/>
          <w:b/>
          <w:bCs/>
          <w:sz w:val="24"/>
          <w:szCs w:val="24"/>
        </w:rPr>
        <w:t>art. 96 ust. 7 i 7a</w:t>
      </w:r>
      <w:r w:rsidRPr="008D7149">
        <w:rPr>
          <w:rFonts w:ascii="Times New Roman" w:hAnsi="Times New Roman" w:cs="Times New Roman"/>
          <w:bCs/>
          <w:sz w:val="24"/>
          <w:szCs w:val="24"/>
        </w:rPr>
        <w:t xml:space="preserve"> ustawy o ofercie publicznej mają na celu uniezależnienie możliwości nałożenia kary na osobę pełniącą funkcję członka zarządu lub rady nadzorczej spółki publicznej od wcześniejszego nałożenia kary na samą spółkę. Będzie to możliwe tylko w przypadku rażących naruszeń obowiązków, które ustawa o ofercie nakłada na spółkę publiczną. W tym celu w art. 96 ust. 7 ustawy o ofercie usunięte zostanie odesłanie do ust. 6a tego artykułu, co oznaczało będzie, że obecny art. 96 ust. 6a ustawy o ofercie, umożliwiający nałożenie kary na osobę pełniącą funkcję członka rady nadzorczej, będzie stosowany niezależnie od wydania wcześniejszej decyzji nakładającej karę pieniężną na spółkę. Dodany zostaje również nowy art. 96 ust. 7a ustawy o ofercie, który taką sam</w:t>
      </w:r>
      <w:r w:rsidR="00E90F46">
        <w:rPr>
          <w:rFonts w:ascii="Times New Roman" w:hAnsi="Times New Roman" w:cs="Times New Roman"/>
          <w:bCs/>
          <w:sz w:val="24"/>
          <w:szCs w:val="24"/>
        </w:rPr>
        <w:t>ą</w:t>
      </w:r>
      <w:r w:rsidRPr="008D7149">
        <w:rPr>
          <w:rFonts w:ascii="Times New Roman" w:hAnsi="Times New Roman" w:cs="Times New Roman"/>
          <w:bCs/>
          <w:sz w:val="24"/>
          <w:szCs w:val="24"/>
        </w:rPr>
        <w:t xml:space="preserve"> możliwość przewiduje w stosunku do osoby pełniącej funkcję członka zarządu. Należy także wyjaśnić, że nadal na podstawie obecnie obowiązujących przepisów ustawy o ofercie będzie możliwe nałożenie kary pieniężnej na osobę pełniącą funkcję członka zarządu uwarunkowane </w:t>
      </w:r>
      <w:r w:rsidRPr="008D7149">
        <w:rPr>
          <w:rFonts w:ascii="Times New Roman" w:hAnsi="Times New Roman" w:cs="Times New Roman"/>
          <w:bCs/>
          <w:sz w:val="24"/>
          <w:szCs w:val="24"/>
        </w:rPr>
        <w:lastRenderedPageBreak/>
        <w:t>wcześniejszą decyzją nakładającą karę na sam</w:t>
      </w:r>
      <w:r w:rsidR="00E90F46">
        <w:rPr>
          <w:rFonts w:ascii="Times New Roman" w:hAnsi="Times New Roman" w:cs="Times New Roman"/>
          <w:bCs/>
          <w:sz w:val="24"/>
          <w:szCs w:val="24"/>
        </w:rPr>
        <w:t>ą</w:t>
      </w:r>
      <w:r w:rsidRPr="008D7149">
        <w:rPr>
          <w:rFonts w:ascii="Times New Roman" w:hAnsi="Times New Roman" w:cs="Times New Roman"/>
          <w:bCs/>
          <w:sz w:val="24"/>
          <w:szCs w:val="24"/>
        </w:rPr>
        <w:t xml:space="preserve"> spółkę. W tym przypadku nie występuje przesłanka rażącego naruszenia obowiązków przewidzianych ustawą. Proponowana zmiana jest niezbędna do zapewnienia efektywnego stosowania przepisów sankcyjnych przewidzianych w ustawie o ofercie publicznej.</w:t>
      </w:r>
    </w:p>
    <w:p w14:paraId="244C3170" w14:textId="6ADE19BA" w:rsidR="004C0A3B" w:rsidRPr="008D7149" w:rsidRDefault="005D1A26" w:rsidP="008D7149">
      <w:pPr>
        <w:shd w:val="clear" w:color="auto" w:fill="FFFFFF" w:themeFill="background1"/>
        <w:spacing w:before="120" w:after="0" w:line="360" w:lineRule="auto"/>
        <w:jc w:val="both"/>
        <w:rPr>
          <w:rFonts w:ascii="Times New Roman" w:hAnsi="Times New Roman" w:cs="Times New Roman"/>
          <w:sz w:val="24"/>
          <w:szCs w:val="24"/>
        </w:rPr>
      </w:pPr>
      <w:r w:rsidRPr="008D7149">
        <w:rPr>
          <w:rFonts w:ascii="Times New Roman" w:hAnsi="Times New Roman" w:cs="Times New Roman"/>
          <w:bCs/>
          <w:sz w:val="24"/>
          <w:szCs w:val="24"/>
        </w:rPr>
        <w:t xml:space="preserve">Zmiany przepisów </w:t>
      </w:r>
      <w:r w:rsidRPr="008D7149">
        <w:rPr>
          <w:rFonts w:ascii="Times New Roman" w:hAnsi="Times New Roman" w:cs="Times New Roman"/>
          <w:b/>
          <w:bCs/>
          <w:sz w:val="24"/>
          <w:szCs w:val="24"/>
        </w:rPr>
        <w:t>art. 97</w:t>
      </w:r>
      <w:r w:rsidRPr="008D7149">
        <w:rPr>
          <w:rFonts w:ascii="Times New Roman" w:hAnsi="Times New Roman" w:cs="Times New Roman"/>
          <w:bCs/>
          <w:sz w:val="24"/>
          <w:szCs w:val="24"/>
        </w:rPr>
        <w:t xml:space="preserve"> ustawy o ofercie publicznej w zakresie sankcji administracyjnych mają m.in. na celu wprowadzenie odpowiedzialności za naruszenie obowiązków wynikających z zaproponowanych nowych regulacji, dotyczących przykładowo postępowania podmiotu pośredniczącego (art. 97 ust. 1 pkt 3a</w:t>
      </w:r>
      <w:r w:rsidR="00565FD4">
        <w:rPr>
          <w:rFonts w:ascii="Times New Roman" w:hAnsi="Times New Roman" w:cs="Times New Roman"/>
          <w:bCs/>
          <w:sz w:val="24"/>
          <w:szCs w:val="24"/>
        </w:rPr>
        <w:t>–</w:t>
      </w:r>
      <w:r w:rsidRPr="008D7149">
        <w:rPr>
          <w:rFonts w:ascii="Times New Roman" w:hAnsi="Times New Roman" w:cs="Times New Roman"/>
          <w:bCs/>
          <w:sz w:val="24"/>
          <w:szCs w:val="24"/>
        </w:rPr>
        <w:t xml:space="preserve">3c), ogłaszania wezwania (art. 97 ust. 1 pkt 5), zmian w treści wezwania (art. 97 ust. 1 pkt 7) czy też ceny proponowanej w wezwaniu (art. 97 ust. 1 pkt 9). Ponadto uchylono lub zmodyfikowano przepisy odsyłające do uchylonego art. 74 ustawy o ofercie publicznej. </w:t>
      </w:r>
    </w:p>
    <w:p w14:paraId="1A114977" w14:textId="658DDE38" w:rsidR="00C60115" w:rsidRPr="008D7149" w:rsidRDefault="004C0A3B" w:rsidP="001B59F7">
      <w:pPr>
        <w:pStyle w:val="Akapitzlist"/>
        <w:autoSpaceDE w:val="0"/>
        <w:autoSpaceDN w:val="0"/>
        <w:adjustRightInd w:val="0"/>
        <w:spacing w:before="120" w:after="0" w:line="360" w:lineRule="auto"/>
        <w:ind w:left="0"/>
        <w:jc w:val="both"/>
        <w:rPr>
          <w:rFonts w:ascii="Times New Roman" w:eastAsia="Times New Roman" w:hAnsi="Times New Roman" w:cs="Times New Roman"/>
          <w:sz w:val="24"/>
          <w:szCs w:val="24"/>
          <w:lang w:eastAsia="pl-PL"/>
        </w:rPr>
      </w:pPr>
      <w:r w:rsidRPr="008D7149">
        <w:rPr>
          <w:rFonts w:ascii="Times New Roman" w:hAnsi="Times New Roman" w:cs="Times New Roman"/>
          <w:sz w:val="24"/>
          <w:szCs w:val="24"/>
        </w:rPr>
        <w:t>1</w:t>
      </w:r>
      <w:r w:rsidR="007D5D5B" w:rsidRPr="008D7149">
        <w:rPr>
          <w:rFonts w:ascii="Times New Roman" w:hAnsi="Times New Roman" w:cs="Times New Roman"/>
          <w:sz w:val="24"/>
          <w:szCs w:val="24"/>
        </w:rPr>
        <w:t>1</w:t>
      </w:r>
      <w:r w:rsidR="00F639BC">
        <w:rPr>
          <w:rFonts w:ascii="Times New Roman" w:hAnsi="Times New Roman" w:cs="Times New Roman"/>
          <w:sz w:val="24"/>
          <w:szCs w:val="24"/>
        </w:rPr>
        <w:t>)</w:t>
      </w:r>
      <w:r w:rsidR="00F639BC">
        <w:rPr>
          <w:rFonts w:ascii="Times New Roman" w:hAnsi="Times New Roman" w:cs="Times New Roman"/>
          <w:sz w:val="24"/>
          <w:szCs w:val="24"/>
        </w:rPr>
        <w:tab/>
      </w:r>
      <w:r w:rsidR="00EF441C" w:rsidRPr="008D7149">
        <w:rPr>
          <w:rFonts w:ascii="Times New Roman" w:hAnsi="Times New Roman" w:cs="Times New Roman"/>
          <w:b/>
          <w:sz w:val="24"/>
          <w:szCs w:val="24"/>
        </w:rPr>
        <w:t xml:space="preserve">Art. </w:t>
      </w:r>
      <w:r w:rsidRPr="008D7149">
        <w:rPr>
          <w:rFonts w:ascii="Times New Roman" w:hAnsi="Times New Roman" w:cs="Times New Roman"/>
          <w:b/>
          <w:sz w:val="24"/>
          <w:szCs w:val="24"/>
        </w:rPr>
        <w:t>1</w:t>
      </w:r>
      <w:r w:rsidR="007D5D5B" w:rsidRPr="008D7149">
        <w:rPr>
          <w:rFonts w:ascii="Times New Roman" w:hAnsi="Times New Roman" w:cs="Times New Roman"/>
          <w:b/>
          <w:sz w:val="24"/>
          <w:szCs w:val="24"/>
        </w:rPr>
        <w:t>1</w:t>
      </w:r>
      <w:r w:rsidR="00CB4CE6" w:rsidRPr="008D7149">
        <w:rPr>
          <w:rFonts w:ascii="Times New Roman" w:hAnsi="Times New Roman" w:cs="Times New Roman"/>
          <w:b/>
          <w:sz w:val="24"/>
          <w:szCs w:val="24"/>
        </w:rPr>
        <w:t xml:space="preserve"> pkt 1</w:t>
      </w:r>
      <w:r w:rsidR="006A7BFD" w:rsidRPr="008D7149">
        <w:rPr>
          <w:rFonts w:ascii="Times New Roman" w:hAnsi="Times New Roman" w:cs="Times New Roman"/>
          <w:b/>
          <w:sz w:val="24"/>
          <w:szCs w:val="24"/>
        </w:rPr>
        <w:t xml:space="preserve"> </w:t>
      </w:r>
      <w:r w:rsidR="00EF441C" w:rsidRPr="00565FD4">
        <w:rPr>
          <w:rFonts w:ascii="Times New Roman" w:hAnsi="Times New Roman" w:cs="Times New Roman"/>
          <w:sz w:val="24"/>
          <w:szCs w:val="24"/>
        </w:rPr>
        <w:t>projektu</w:t>
      </w:r>
      <w:r w:rsidR="00EF441C" w:rsidRPr="008D7149">
        <w:rPr>
          <w:rFonts w:ascii="Times New Roman" w:hAnsi="Times New Roman" w:cs="Times New Roman"/>
          <w:sz w:val="24"/>
          <w:szCs w:val="24"/>
        </w:rPr>
        <w:t xml:space="preserve"> wprowadza </w:t>
      </w:r>
      <w:r w:rsidR="00C60115" w:rsidRPr="008D7149">
        <w:rPr>
          <w:rFonts w:ascii="Times New Roman" w:hAnsi="Times New Roman" w:cs="Times New Roman"/>
          <w:sz w:val="24"/>
          <w:szCs w:val="24"/>
        </w:rPr>
        <w:t xml:space="preserve">zmianę </w:t>
      </w:r>
      <w:r w:rsidR="00363C43" w:rsidRPr="008D7149">
        <w:rPr>
          <w:rFonts w:ascii="Times New Roman" w:hAnsi="Times New Roman" w:cs="Times New Roman"/>
          <w:sz w:val="24"/>
          <w:szCs w:val="24"/>
        </w:rPr>
        <w:t xml:space="preserve">dostosowującą w </w:t>
      </w:r>
      <w:r w:rsidR="00C60115" w:rsidRPr="008D7149">
        <w:rPr>
          <w:rFonts w:ascii="Times New Roman" w:hAnsi="Times New Roman" w:cs="Times New Roman"/>
          <w:b/>
          <w:sz w:val="24"/>
          <w:szCs w:val="24"/>
        </w:rPr>
        <w:t>art. 1 ust. 2 pkt 1</w:t>
      </w:r>
      <w:r w:rsidR="00C60115" w:rsidRPr="008D7149">
        <w:rPr>
          <w:rFonts w:ascii="Times New Roman" w:hAnsi="Times New Roman" w:cs="Times New Roman"/>
          <w:sz w:val="24"/>
          <w:szCs w:val="24"/>
        </w:rPr>
        <w:t xml:space="preserve"> </w:t>
      </w:r>
      <w:r w:rsidR="00EF441C" w:rsidRPr="008D7149">
        <w:rPr>
          <w:rFonts w:ascii="Times New Roman" w:hAnsi="Times New Roman" w:cs="Times New Roman"/>
          <w:sz w:val="24"/>
          <w:szCs w:val="24"/>
        </w:rPr>
        <w:t>ustawy</w:t>
      </w:r>
      <w:r w:rsidR="00EF441C" w:rsidRPr="008D7149">
        <w:rPr>
          <w:rFonts w:ascii="Times New Roman" w:eastAsia="Times New Roman" w:hAnsi="Times New Roman" w:cs="Times New Roman"/>
          <w:sz w:val="24"/>
          <w:szCs w:val="24"/>
          <w:lang w:eastAsia="pl-PL"/>
        </w:rPr>
        <w:t xml:space="preserve"> z dnia 21 lipca 2006 r. o nadzorze nad rynkiem finansowym</w:t>
      </w:r>
      <w:r w:rsidR="008A0285" w:rsidRPr="008D7149">
        <w:rPr>
          <w:rFonts w:ascii="Times New Roman" w:eastAsia="Times New Roman" w:hAnsi="Times New Roman" w:cs="Times New Roman"/>
          <w:sz w:val="24"/>
          <w:szCs w:val="24"/>
          <w:lang w:eastAsia="pl-PL"/>
        </w:rPr>
        <w:t xml:space="preserve"> (Dz. U. z 2020 r. poz. 2059, z późn. zm.)</w:t>
      </w:r>
      <w:r w:rsidR="00C60115" w:rsidRPr="008D7149">
        <w:rPr>
          <w:rFonts w:ascii="Times New Roman" w:eastAsia="Times New Roman" w:hAnsi="Times New Roman" w:cs="Times New Roman"/>
          <w:sz w:val="24"/>
          <w:szCs w:val="24"/>
          <w:lang w:eastAsia="pl-PL"/>
        </w:rPr>
        <w:t>, w wyniku której dodawane jest odwołanie do zmienianej Ustawy.</w:t>
      </w:r>
      <w:r w:rsidR="008168F8" w:rsidRPr="008D7149">
        <w:rPr>
          <w:rFonts w:ascii="Times New Roman" w:eastAsia="Times New Roman" w:hAnsi="Times New Roman" w:cs="Times New Roman"/>
          <w:sz w:val="24"/>
          <w:szCs w:val="24"/>
          <w:lang w:eastAsia="pl-PL"/>
        </w:rPr>
        <w:t xml:space="preserve"> </w:t>
      </w:r>
    </w:p>
    <w:p w14:paraId="243C216A" w14:textId="3C323A37" w:rsidR="008168F8" w:rsidRPr="008D7149" w:rsidRDefault="008168F8"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Dodatkowo</w:t>
      </w:r>
      <w:r w:rsidR="00CB4CE6" w:rsidRPr="008D7149">
        <w:rPr>
          <w:rFonts w:ascii="Times New Roman" w:eastAsia="Times New Roman" w:hAnsi="Times New Roman" w:cs="Times New Roman"/>
          <w:sz w:val="24"/>
          <w:szCs w:val="24"/>
          <w:lang w:eastAsia="pl-PL"/>
        </w:rPr>
        <w:t xml:space="preserve"> w </w:t>
      </w:r>
      <w:r w:rsidR="00CB4CE6" w:rsidRPr="008D7149">
        <w:rPr>
          <w:rFonts w:ascii="Times New Roman" w:eastAsia="Times New Roman" w:hAnsi="Times New Roman" w:cs="Times New Roman"/>
          <w:b/>
          <w:sz w:val="24"/>
          <w:szCs w:val="24"/>
          <w:lang w:eastAsia="pl-PL"/>
        </w:rPr>
        <w:t xml:space="preserve">art. </w:t>
      </w:r>
      <w:r w:rsidR="008F3802" w:rsidRPr="008D7149">
        <w:rPr>
          <w:rFonts w:ascii="Times New Roman" w:eastAsia="Times New Roman" w:hAnsi="Times New Roman" w:cs="Times New Roman"/>
          <w:b/>
          <w:sz w:val="24"/>
          <w:szCs w:val="24"/>
          <w:lang w:eastAsia="pl-PL"/>
        </w:rPr>
        <w:t>11</w:t>
      </w:r>
      <w:r w:rsidR="00CB4CE6" w:rsidRPr="008D7149">
        <w:rPr>
          <w:rFonts w:ascii="Times New Roman" w:eastAsia="Times New Roman" w:hAnsi="Times New Roman" w:cs="Times New Roman"/>
          <w:b/>
          <w:sz w:val="24"/>
          <w:szCs w:val="24"/>
          <w:lang w:eastAsia="pl-PL"/>
        </w:rPr>
        <w:t xml:space="preserve"> pkt 2 </w:t>
      </w:r>
      <w:r w:rsidR="00CB4CE6" w:rsidRPr="00565FD4">
        <w:rPr>
          <w:rFonts w:ascii="Times New Roman" w:eastAsia="Times New Roman" w:hAnsi="Times New Roman" w:cs="Times New Roman"/>
          <w:sz w:val="24"/>
          <w:szCs w:val="24"/>
          <w:lang w:eastAsia="pl-PL"/>
        </w:rPr>
        <w:t>projektu</w:t>
      </w:r>
      <w:r w:rsidRPr="008D7149">
        <w:rPr>
          <w:rFonts w:ascii="Times New Roman" w:eastAsia="Times New Roman" w:hAnsi="Times New Roman" w:cs="Times New Roman"/>
          <w:sz w:val="24"/>
          <w:szCs w:val="24"/>
          <w:lang w:eastAsia="pl-PL"/>
        </w:rPr>
        <w:t xml:space="preserve"> wprowadzona została zmiana w zakresie wymagań, jakie powinna spełniać osoba powoływana na stanowisko Przewodniczącego </w:t>
      </w:r>
      <w:r w:rsidR="00E12859" w:rsidRPr="008D7149">
        <w:rPr>
          <w:rFonts w:ascii="Times New Roman" w:hAnsi="Times New Roman" w:cs="Times New Roman"/>
          <w:sz w:val="24"/>
          <w:szCs w:val="24"/>
        </w:rPr>
        <w:t>KNF</w:t>
      </w:r>
      <w:r w:rsidRPr="008D7149">
        <w:rPr>
          <w:rFonts w:ascii="Times New Roman" w:eastAsia="Times New Roman" w:hAnsi="Times New Roman" w:cs="Times New Roman"/>
          <w:sz w:val="24"/>
          <w:szCs w:val="24"/>
          <w:lang w:eastAsia="pl-PL"/>
        </w:rPr>
        <w:t>, które dotyczą także Zastępców Przewodniczącego KNF, polega</w:t>
      </w:r>
      <w:r w:rsidR="00565FD4">
        <w:rPr>
          <w:rFonts w:ascii="Times New Roman" w:eastAsia="Times New Roman" w:hAnsi="Times New Roman" w:cs="Times New Roman"/>
          <w:sz w:val="24"/>
          <w:szCs w:val="24"/>
          <w:lang w:eastAsia="pl-PL"/>
        </w:rPr>
        <w:t>jąca</w:t>
      </w:r>
      <w:r w:rsidRPr="008D7149">
        <w:rPr>
          <w:rFonts w:ascii="Times New Roman" w:eastAsia="Times New Roman" w:hAnsi="Times New Roman" w:cs="Times New Roman"/>
          <w:sz w:val="24"/>
          <w:szCs w:val="24"/>
          <w:lang w:eastAsia="pl-PL"/>
        </w:rPr>
        <w:t xml:space="preserve"> na zrezygnowaniu z dookreślenia wymaganego wykształcenia wyższego jako prawniczego lub ekonomicznego, z jednoczesnym wprowadzeniem wymagania posiadania tytułu zawodowego magistra, magistra inżyniera lub </w:t>
      </w:r>
      <w:r w:rsidR="008A0285" w:rsidRPr="008D7149">
        <w:rPr>
          <w:rFonts w:ascii="Times New Roman" w:eastAsia="Times New Roman" w:hAnsi="Times New Roman" w:cs="Times New Roman"/>
          <w:sz w:val="24"/>
          <w:szCs w:val="24"/>
          <w:lang w:eastAsia="pl-PL"/>
        </w:rPr>
        <w:t xml:space="preserve">tytułu </w:t>
      </w:r>
      <w:r w:rsidRPr="008D7149">
        <w:rPr>
          <w:rFonts w:ascii="Times New Roman" w:eastAsia="Times New Roman" w:hAnsi="Times New Roman" w:cs="Times New Roman"/>
          <w:sz w:val="24"/>
          <w:szCs w:val="24"/>
          <w:lang w:eastAsia="pl-PL"/>
        </w:rPr>
        <w:t>równorzędnego. Zmiana ta znosi ograniczenie do dwóch wąsko określonych kierunków studiów wyższych (prawniczych lub ekonomicznych), a przy tym dookreśla wymóg posiadania tytułu zawodowego magistra, co eliminuje możliwość powołania na te stanowiska os</w:t>
      </w:r>
      <w:r w:rsidR="00565FD4">
        <w:rPr>
          <w:rFonts w:ascii="Times New Roman" w:eastAsia="Times New Roman" w:hAnsi="Times New Roman" w:cs="Times New Roman"/>
          <w:sz w:val="24"/>
          <w:szCs w:val="24"/>
          <w:lang w:eastAsia="pl-PL"/>
        </w:rPr>
        <w:t>ó</w:t>
      </w:r>
      <w:r w:rsidRPr="008D7149">
        <w:rPr>
          <w:rFonts w:ascii="Times New Roman" w:eastAsia="Times New Roman" w:hAnsi="Times New Roman" w:cs="Times New Roman"/>
          <w:sz w:val="24"/>
          <w:szCs w:val="24"/>
          <w:lang w:eastAsia="pl-PL"/>
        </w:rPr>
        <w:t>b legitymując</w:t>
      </w:r>
      <w:r w:rsidR="00565FD4">
        <w:rPr>
          <w:rFonts w:ascii="Times New Roman" w:eastAsia="Times New Roman" w:hAnsi="Times New Roman" w:cs="Times New Roman"/>
          <w:sz w:val="24"/>
          <w:szCs w:val="24"/>
          <w:lang w:eastAsia="pl-PL"/>
        </w:rPr>
        <w:t>ych</w:t>
      </w:r>
      <w:r w:rsidRPr="008D7149">
        <w:rPr>
          <w:rFonts w:ascii="Times New Roman" w:eastAsia="Times New Roman" w:hAnsi="Times New Roman" w:cs="Times New Roman"/>
          <w:sz w:val="24"/>
          <w:szCs w:val="24"/>
          <w:lang w:eastAsia="pl-PL"/>
        </w:rPr>
        <w:t xml:space="preserve"> się jedynie tytułem licencjata lub inżyniera.</w:t>
      </w:r>
    </w:p>
    <w:p w14:paraId="31DAA86A" w14:textId="4ADC69F9" w:rsidR="008168F8" w:rsidRPr="008D7149" w:rsidRDefault="008168F8"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Dotychczasowy wymóg ograniczający możliwość powołania na to stanowisko jedynie os</w:t>
      </w:r>
      <w:r w:rsidR="00565FD4">
        <w:rPr>
          <w:rFonts w:ascii="Times New Roman" w:eastAsia="Times New Roman" w:hAnsi="Times New Roman" w:cs="Times New Roman"/>
          <w:sz w:val="24"/>
          <w:szCs w:val="24"/>
          <w:lang w:eastAsia="pl-PL"/>
        </w:rPr>
        <w:t>o</w:t>
      </w:r>
      <w:r w:rsidRPr="008D7149">
        <w:rPr>
          <w:rFonts w:ascii="Times New Roman" w:eastAsia="Times New Roman" w:hAnsi="Times New Roman" w:cs="Times New Roman"/>
          <w:sz w:val="24"/>
          <w:szCs w:val="24"/>
          <w:lang w:eastAsia="pl-PL"/>
        </w:rPr>
        <w:t>b</w:t>
      </w:r>
      <w:r w:rsidR="00565FD4">
        <w:rPr>
          <w:rFonts w:ascii="Times New Roman" w:eastAsia="Times New Roman" w:hAnsi="Times New Roman" w:cs="Times New Roman"/>
          <w:sz w:val="24"/>
          <w:szCs w:val="24"/>
          <w:lang w:eastAsia="pl-PL"/>
        </w:rPr>
        <w:t>y</w:t>
      </w:r>
      <w:r w:rsidRPr="008D7149">
        <w:rPr>
          <w:rFonts w:ascii="Times New Roman" w:eastAsia="Times New Roman" w:hAnsi="Times New Roman" w:cs="Times New Roman"/>
          <w:sz w:val="24"/>
          <w:szCs w:val="24"/>
          <w:lang w:eastAsia="pl-PL"/>
        </w:rPr>
        <w:t xml:space="preserve"> posiadając</w:t>
      </w:r>
      <w:r w:rsidR="00565FD4">
        <w:rPr>
          <w:rFonts w:ascii="Times New Roman" w:eastAsia="Times New Roman" w:hAnsi="Times New Roman" w:cs="Times New Roman"/>
          <w:sz w:val="24"/>
          <w:szCs w:val="24"/>
          <w:lang w:eastAsia="pl-PL"/>
        </w:rPr>
        <w:t>ej</w:t>
      </w:r>
      <w:r w:rsidRPr="008D7149">
        <w:rPr>
          <w:rFonts w:ascii="Times New Roman" w:eastAsia="Times New Roman" w:hAnsi="Times New Roman" w:cs="Times New Roman"/>
          <w:sz w:val="24"/>
          <w:szCs w:val="24"/>
          <w:lang w:eastAsia="pl-PL"/>
        </w:rPr>
        <w:t xml:space="preserve"> wykształcenie wyższe prawnicze lub ekonomiczne eliminuje z kręgu potencjalnych kandydatów osoby posiadające wykształcenie w zakresie innych kierunków, które także mogą mieć kluczowe lub istotne znaczenie dla realizacji ustawowych zadań KNF. W szczególności absolwenci studiów inżynieryjno-technicznych lub z zakresu nauk ścisłych mogą w połączeniu z pozostałymi wymogami ustawowymi, w szczególności wiedzą i doświadczeniem, dawać rękojmię prawidłowego sprawowania funkcji Przewodniczącego KNF lub Zastępcy Przewodniczącego KNF. Problematyka szeregu zagadnień niezbędnych do prawidłowego nadzoru nad rynkiem finansowym, takich jak matematyka finansowa, w tym aktuarialna, czy kompetencje z zakresu nowych technologii, w tym związane z </w:t>
      </w:r>
      <w:proofErr w:type="spellStart"/>
      <w:r w:rsidRPr="008D7149">
        <w:rPr>
          <w:rFonts w:ascii="Times New Roman" w:eastAsia="Times New Roman" w:hAnsi="Times New Roman" w:cs="Times New Roman"/>
          <w:sz w:val="24"/>
          <w:szCs w:val="24"/>
          <w:lang w:eastAsia="pl-PL"/>
        </w:rPr>
        <w:lastRenderedPageBreak/>
        <w:t>cyberbezpieczeństwem</w:t>
      </w:r>
      <w:proofErr w:type="spellEnd"/>
      <w:r w:rsidRPr="008D7149">
        <w:rPr>
          <w:rFonts w:ascii="Times New Roman" w:eastAsia="Times New Roman" w:hAnsi="Times New Roman" w:cs="Times New Roman"/>
          <w:sz w:val="24"/>
          <w:szCs w:val="24"/>
          <w:lang w:eastAsia="pl-PL"/>
        </w:rPr>
        <w:t>, nie powinny być traktowane jako mniej istotne w zarządzaniu Urzędem KNF i sprawowaniu nadzoru. Rozwój rynku finansowego oraz związana z tym ewolucja zadań nadzoru powodują, że istotnie wzrasta waga zagadnień technologicznych lub informatycznych, a tradycyjnie postrzegane jako najbardziej pożądane profile wykształcenia (prawniczy lub ekonomiczny) powinny być uzupełniane o nowe, odpowiadające nowym obszarom nadzorczym. Ponadto na obecnym rynku pracy pracownicy nierzadko kilkukrotnie zmieniają podstawowy profil swojej działalności zawodowej i często profil formalny uzyskanego wiele lat temu wykształcenia (np. matematycznego lub fizycznego) nie oddaje całości posiadanych umiejętności, wiedzy i doświadczenia, zdobytych i potwierdzonych wieloletnią działalnością zawodową (np. w obszarze finansów). Mając na uwadze, że kierownictwo Urzędu KNF obejmuje, zgodnie z ustawą, Przewodniczącego KNF i trzech Zastępców KNF, zawężenie kompetencji wszystkich członków kierownictwa tylko do dwóch dyscyplin nie jest uzasadnione w warunkach, w których skuteczny nadzór wymaga łączenia szeregu różnych kompetencji i wymaga wiedzy pozwalającej na zarządzanie tymi obszarami.</w:t>
      </w:r>
    </w:p>
    <w:p w14:paraId="2C7BBA3C" w14:textId="04DA578B" w:rsidR="008168F8" w:rsidRPr="008D7149" w:rsidRDefault="00CB4CE6"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Zmiany p</w:t>
      </w:r>
      <w:r w:rsidR="008168F8" w:rsidRPr="008D7149">
        <w:rPr>
          <w:rFonts w:ascii="Times New Roman" w:eastAsia="Times New Roman" w:hAnsi="Times New Roman" w:cs="Times New Roman"/>
          <w:sz w:val="24"/>
          <w:szCs w:val="24"/>
          <w:lang w:eastAsia="pl-PL"/>
        </w:rPr>
        <w:t xml:space="preserve">roponowane w </w:t>
      </w:r>
      <w:r w:rsidRPr="008D7149">
        <w:rPr>
          <w:rFonts w:ascii="Times New Roman" w:eastAsia="Times New Roman" w:hAnsi="Times New Roman" w:cs="Times New Roman"/>
          <w:b/>
          <w:sz w:val="24"/>
          <w:szCs w:val="24"/>
          <w:lang w:eastAsia="pl-PL"/>
        </w:rPr>
        <w:t xml:space="preserve">art. </w:t>
      </w:r>
      <w:r w:rsidR="008F3802" w:rsidRPr="008D7149">
        <w:rPr>
          <w:rFonts w:ascii="Times New Roman" w:eastAsia="Times New Roman" w:hAnsi="Times New Roman" w:cs="Times New Roman"/>
          <w:b/>
          <w:sz w:val="24"/>
          <w:szCs w:val="24"/>
          <w:lang w:eastAsia="pl-PL"/>
        </w:rPr>
        <w:t>11</w:t>
      </w:r>
      <w:r w:rsidRPr="008D7149">
        <w:rPr>
          <w:rFonts w:ascii="Times New Roman" w:eastAsia="Times New Roman" w:hAnsi="Times New Roman" w:cs="Times New Roman"/>
          <w:b/>
          <w:sz w:val="24"/>
          <w:szCs w:val="24"/>
          <w:lang w:eastAsia="pl-PL"/>
        </w:rPr>
        <w:t xml:space="preserve"> </w:t>
      </w:r>
      <w:r w:rsidR="008168F8" w:rsidRPr="008D7149">
        <w:rPr>
          <w:rFonts w:ascii="Times New Roman" w:eastAsia="Times New Roman" w:hAnsi="Times New Roman" w:cs="Times New Roman"/>
          <w:b/>
          <w:sz w:val="24"/>
          <w:szCs w:val="24"/>
          <w:lang w:eastAsia="pl-PL"/>
        </w:rPr>
        <w:t xml:space="preserve">pkt </w:t>
      </w:r>
      <w:r w:rsidRPr="008D7149">
        <w:rPr>
          <w:rFonts w:ascii="Times New Roman" w:eastAsia="Times New Roman" w:hAnsi="Times New Roman" w:cs="Times New Roman"/>
          <w:b/>
          <w:sz w:val="24"/>
          <w:szCs w:val="24"/>
          <w:lang w:eastAsia="pl-PL"/>
        </w:rPr>
        <w:t xml:space="preserve">3 </w:t>
      </w:r>
      <w:r w:rsidRPr="00315BEB">
        <w:rPr>
          <w:rFonts w:ascii="Times New Roman" w:eastAsia="Times New Roman" w:hAnsi="Times New Roman" w:cs="Times New Roman"/>
          <w:sz w:val="24"/>
          <w:szCs w:val="24"/>
          <w:lang w:eastAsia="pl-PL"/>
        </w:rPr>
        <w:t>projektu</w:t>
      </w:r>
      <w:r w:rsidR="008168F8" w:rsidRPr="008D7149">
        <w:rPr>
          <w:rFonts w:ascii="Times New Roman" w:eastAsia="Times New Roman" w:hAnsi="Times New Roman" w:cs="Times New Roman"/>
          <w:sz w:val="24"/>
          <w:szCs w:val="24"/>
          <w:lang w:eastAsia="pl-PL"/>
        </w:rPr>
        <w:t xml:space="preserve"> mają na celu stworzenie normy prawnej ustanawiającej obowiązek wypłaty wynagrodzenia dla członków KNF, którzy dotychczas wykonywali swe obowiązki nieodpłatnie. Członkami KNF, zgodnie z ustawą z dnia 21 lipca 2006 r. o nadzorze nad rynkiem finansowym, są:</w:t>
      </w:r>
      <w:r w:rsidR="00CD7A32" w:rsidRPr="008D7149">
        <w:rPr>
          <w:rFonts w:ascii="Times New Roman" w:eastAsia="Times New Roman" w:hAnsi="Times New Roman" w:cs="Times New Roman"/>
          <w:sz w:val="24"/>
          <w:szCs w:val="24"/>
          <w:lang w:eastAsia="pl-PL"/>
        </w:rPr>
        <w:t xml:space="preserve"> </w:t>
      </w:r>
      <w:r w:rsidR="008168F8" w:rsidRPr="008D7149">
        <w:rPr>
          <w:rFonts w:ascii="Times New Roman" w:eastAsia="Times New Roman" w:hAnsi="Times New Roman" w:cs="Times New Roman"/>
          <w:sz w:val="24"/>
          <w:szCs w:val="24"/>
          <w:lang w:eastAsia="pl-PL"/>
        </w:rPr>
        <w:t xml:space="preserve">minister właściwy do spraw instytucji finansowych albo jego przedstawiciel, minister właściwy do spraw gospodarki albo jego przedstawiciel, minister właściwy do spraw zabezpieczenia społecznego albo jego przedstawiciel, Prezes Narodowego Banku Polskiego albo delegowany przez niego członek Zarządu Narodowego Banku Polskiego, przedstawiciel Prezydenta RP, przedstawiciel Prezesa Rady Ministrów, przedstawiciel </w:t>
      </w:r>
      <w:r w:rsidR="00A05B34" w:rsidRPr="008D7149">
        <w:rPr>
          <w:rFonts w:ascii="Times New Roman" w:eastAsia="Times New Roman" w:hAnsi="Times New Roman" w:cs="Times New Roman"/>
          <w:sz w:val="24"/>
          <w:szCs w:val="24"/>
          <w:lang w:eastAsia="pl-PL"/>
        </w:rPr>
        <w:t>BFG</w:t>
      </w:r>
      <w:r w:rsidR="008168F8" w:rsidRPr="008D7149">
        <w:rPr>
          <w:rFonts w:ascii="Times New Roman" w:eastAsia="Times New Roman" w:hAnsi="Times New Roman" w:cs="Times New Roman"/>
          <w:sz w:val="24"/>
          <w:szCs w:val="24"/>
          <w:lang w:eastAsia="pl-PL"/>
        </w:rPr>
        <w:t xml:space="preserve">, przedstawiciel Prezesa Urzędu Ochrony Konkurencji i Konsumentów oraz przedstawiciel ministra </w:t>
      </w:r>
      <w:r w:rsidR="00565FD4">
        <w:rPr>
          <w:rFonts w:ascii="Times New Roman" w:eastAsia="Times New Roman" w:hAnsi="Times New Roman" w:cs="Times New Roman"/>
          <w:sz w:val="24"/>
          <w:szCs w:val="24"/>
          <w:lang w:eastAsia="pl-PL"/>
        </w:rPr>
        <w:t>–</w:t>
      </w:r>
      <w:r w:rsidR="00565FD4" w:rsidRPr="008D7149">
        <w:rPr>
          <w:rFonts w:ascii="Times New Roman" w:eastAsia="Times New Roman" w:hAnsi="Times New Roman" w:cs="Times New Roman"/>
          <w:sz w:val="24"/>
          <w:szCs w:val="24"/>
          <w:lang w:eastAsia="pl-PL"/>
        </w:rPr>
        <w:t xml:space="preserve"> </w:t>
      </w:r>
      <w:r w:rsidR="008168F8" w:rsidRPr="008D7149">
        <w:rPr>
          <w:rFonts w:ascii="Times New Roman" w:eastAsia="Times New Roman" w:hAnsi="Times New Roman" w:cs="Times New Roman"/>
          <w:sz w:val="24"/>
          <w:szCs w:val="24"/>
          <w:lang w:eastAsia="pl-PL"/>
        </w:rPr>
        <w:t xml:space="preserve">członka Rady Ministrów właściwego do spraw koordynowania działalności służb specjalnych, a jeżeli nie został wyznaczony </w:t>
      </w:r>
      <w:r w:rsidR="00565FD4">
        <w:rPr>
          <w:rFonts w:ascii="Times New Roman" w:eastAsia="Times New Roman" w:hAnsi="Times New Roman" w:cs="Times New Roman"/>
          <w:sz w:val="24"/>
          <w:szCs w:val="24"/>
          <w:lang w:eastAsia="pl-PL"/>
        </w:rPr>
        <w:t>–</w:t>
      </w:r>
      <w:r w:rsidR="00565FD4" w:rsidRPr="008D7149">
        <w:rPr>
          <w:rFonts w:ascii="Times New Roman" w:eastAsia="Times New Roman" w:hAnsi="Times New Roman" w:cs="Times New Roman"/>
          <w:sz w:val="24"/>
          <w:szCs w:val="24"/>
          <w:lang w:eastAsia="pl-PL"/>
        </w:rPr>
        <w:t xml:space="preserve"> </w:t>
      </w:r>
      <w:r w:rsidR="008168F8" w:rsidRPr="008D7149">
        <w:rPr>
          <w:rFonts w:ascii="Times New Roman" w:eastAsia="Times New Roman" w:hAnsi="Times New Roman" w:cs="Times New Roman"/>
          <w:sz w:val="24"/>
          <w:szCs w:val="24"/>
          <w:lang w:eastAsia="pl-PL"/>
        </w:rPr>
        <w:t xml:space="preserve">przedstawiciel Prezesa Rady Ministrów. </w:t>
      </w:r>
    </w:p>
    <w:p w14:paraId="21A44D77" w14:textId="475D1A0E" w:rsidR="008168F8" w:rsidRPr="008D7149" w:rsidRDefault="008168F8"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Charakter pełnionej przez członków organu nadzoru funkcji oraz liczne obowiązki, które się z nią wiążą, uzasadniają konieczność wypłaty wymienionym osobom wynagrodzenia. Jego wysokość będzie doprecyzowana w rozporządzeniu Prezesa Rady Ministrów, jednakże zostaje ona ustawowo określona w wysokości </w:t>
      </w:r>
      <w:r w:rsidR="001E4631" w:rsidRPr="008D7149">
        <w:rPr>
          <w:rFonts w:ascii="Times New Roman" w:eastAsia="Times New Roman" w:hAnsi="Times New Roman" w:cs="Times New Roman"/>
          <w:sz w:val="24"/>
          <w:szCs w:val="24"/>
          <w:lang w:eastAsia="pl-PL"/>
        </w:rPr>
        <w:t xml:space="preserve">do </w:t>
      </w:r>
      <w:r w:rsidRPr="008D7149">
        <w:rPr>
          <w:rFonts w:ascii="Times New Roman" w:eastAsia="Times New Roman" w:hAnsi="Times New Roman" w:cs="Times New Roman"/>
          <w:sz w:val="24"/>
          <w:szCs w:val="24"/>
          <w:lang w:eastAsia="pl-PL"/>
        </w:rPr>
        <w:t xml:space="preserve">100% przeciętnego wynagrodzenia w gospodarce narodowej w poprzednim roku kalendarzowym, ogłaszanego przez Prezesa Głównego Urzędu Statystycznego na podstawie przepisów o emeryturach i rentach z Funduszu Ubezpieczeń </w:t>
      </w:r>
      <w:r w:rsidRPr="008D7149">
        <w:rPr>
          <w:rFonts w:ascii="Times New Roman" w:eastAsia="Times New Roman" w:hAnsi="Times New Roman" w:cs="Times New Roman"/>
          <w:sz w:val="24"/>
          <w:szCs w:val="24"/>
          <w:lang w:eastAsia="pl-PL"/>
        </w:rPr>
        <w:lastRenderedPageBreak/>
        <w:t xml:space="preserve">Społecznych. Wysokość wypłacanego wynagrodzenia </w:t>
      </w:r>
      <w:r w:rsidR="00565FD4">
        <w:rPr>
          <w:rFonts w:ascii="Times New Roman" w:eastAsia="Times New Roman" w:hAnsi="Times New Roman" w:cs="Times New Roman"/>
          <w:sz w:val="24"/>
          <w:szCs w:val="24"/>
          <w:lang w:eastAsia="pl-PL"/>
        </w:rPr>
        <w:t>o</w:t>
      </w:r>
      <w:r w:rsidRPr="008D7149">
        <w:rPr>
          <w:rFonts w:ascii="Times New Roman" w:eastAsia="Times New Roman" w:hAnsi="Times New Roman" w:cs="Times New Roman"/>
          <w:sz w:val="24"/>
          <w:szCs w:val="24"/>
          <w:lang w:eastAsia="pl-PL"/>
        </w:rPr>
        <w:t>bliczana będzie proporcjonalnie do udziału danego członka Komisji w posiedzeniach Komisji w danym miesiącu.</w:t>
      </w:r>
    </w:p>
    <w:p w14:paraId="373C9484" w14:textId="59BD6B84" w:rsidR="008168F8" w:rsidRPr="008D7149" w:rsidRDefault="008168F8"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Należy dodać, że wydatki stanowiące koszty działalności KNF jako państwowej osoby prawnej, w tym wynagrodzenia, są pokrywane z wpłat wnoszonych przez podmioty nadzorowane. W związku z tym wydatki organu nadzoru są neutralne dla budżetu państwa. </w:t>
      </w:r>
    </w:p>
    <w:p w14:paraId="2A1A4DF7" w14:textId="52D29E63" w:rsidR="008168F8" w:rsidRPr="008D7149" w:rsidRDefault="008168F8" w:rsidP="008D714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Do wynagrodzeń dla członków KNF nie będzie miał zastosowani</w:t>
      </w:r>
      <w:r w:rsidR="00565FD4">
        <w:rPr>
          <w:rFonts w:ascii="Times New Roman" w:eastAsia="Times New Roman" w:hAnsi="Times New Roman" w:cs="Times New Roman"/>
          <w:sz w:val="24"/>
          <w:szCs w:val="24"/>
          <w:lang w:eastAsia="pl-PL"/>
        </w:rPr>
        <w:t>a</w:t>
      </w:r>
      <w:r w:rsidRPr="008D7149">
        <w:rPr>
          <w:rFonts w:ascii="Times New Roman" w:eastAsia="Times New Roman" w:hAnsi="Times New Roman" w:cs="Times New Roman"/>
          <w:sz w:val="24"/>
          <w:szCs w:val="24"/>
          <w:lang w:eastAsia="pl-PL"/>
        </w:rPr>
        <w:t xml:space="preserve"> art. 4 ust. 2 ustawy z dnia 31 lipca 1981 r. o wynagrodzeniu osób zajmujących kierownicze stanowiska państwowe (Dz. U. z 2020 r. poz. 1637</w:t>
      </w:r>
      <w:r w:rsidR="00767961" w:rsidRPr="008D7149">
        <w:rPr>
          <w:rFonts w:ascii="Times New Roman" w:eastAsia="Times New Roman" w:hAnsi="Times New Roman" w:cs="Times New Roman"/>
          <w:sz w:val="24"/>
          <w:szCs w:val="24"/>
          <w:lang w:eastAsia="pl-PL"/>
        </w:rPr>
        <w:t>, z późn. zm.</w:t>
      </w:r>
      <w:r w:rsidRPr="008D7149">
        <w:rPr>
          <w:rFonts w:ascii="Times New Roman" w:eastAsia="Times New Roman" w:hAnsi="Times New Roman" w:cs="Times New Roman"/>
          <w:sz w:val="24"/>
          <w:szCs w:val="24"/>
          <w:lang w:eastAsia="pl-PL"/>
        </w:rPr>
        <w:t>).</w:t>
      </w:r>
    </w:p>
    <w:p w14:paraId="4E2DD78B" w14:textId="3C9880C7" w:rsidR="008168F8" w:rsidRPr="008D7149" w:rsidRDefault="008168F8" w:rsidP="008D7149">
      <w:pPr>
        <w:pStyle w:val="Akapitzlist"/>
        <w:autoSpaceDE w:val="0"/>
        <w:autoSpaceDN w:val="0"/>
        <w:adjustRightInd w:val="0"/>
        <w:spacing w:before="120" w:after="0" w:line="360" w:lineRule="auto"/>
        <w:ind w:left="0"/>
        <w:jc w:val="both"/>
        <w:rPr>
          <w:rFonts w:ascii="Times New Roman" w:eastAsia="Times New Roman" w:hAnsi="Times New Roman" w:cs="Times New Roman"/>
          <w:sz w:val="24"/>
          <w:szCs w:val="24"/>
          <w:lang w:eastAsia="pl-PL"/>
        </w:rPr>
      </w:pPr>
      <w:r w:rsidRPr="008D7149">
        <w:rPr>
          <w:rFonts w:ascii="Times New Roman" w:eastAsia="Times New Roman" w:hAnsi="Times New Roman" w:cs="Times New Roman"/>
          <w:sz w:val="24"/>
          <w:szCs w:val="24"/>
          <w:lang w:eastAsia="pl-PL"/>
        </w:rPr>
        <w:t xml:space="preserve">Zgodnie ze zmianą w pkt </w:t>
      </w:r>
      <w:r w:rsidR="00FB3A0A" w:rsidRPr="008D7149">
        <w:rPr>
          <w:rFonts w:ascii="Times New Roman" w:eastAsia="Times New Roman" w:hAnsi="Times New Roman" w:cs="Times New Roman"/>
          <w:sz w:val="24"/>
          <w:szCs w:val="24"/>
          <w:lang w:eastAsia="pl-PL"/>
        </w:rPr>
        <w:t>3</w:t>
      </w:r>
      <w:r w:rsidRPr="008D7149">
        <w:rPr>
          <w:rFonts w:ascii="Times New Roman" w:eastAsia="Times New Roman" w:hAnsi="Times New Roman" w:cs="Times New Roman"/>
          <w:sz w:val="24"/>
          <w:szCs w:val="24"/>
          <w:lang w:eastAsia="pl-PL"/>
        </w:rPr>
        <w:t xml:space="preserve"> w lit</w:t>
      </w:r>
      <w:r w:rsidR="00FB3A0A" w:rsidRPr="008D7149">
        <w:rPr>
          <w:rFonts w:ascii="Times New Roman" w:eastAsia="Times New Roman" w:hAnsi="Times New Roman" w:cs="Times New Roman"/>
          <w:sz w:val="24"/>
          <w:szCs w:val="24"/>
          <w:lang w:eastAsia="pl-PL"/>
        </w:rPr>
        <w:t>.</w:t>
      </w:r>
      <w:r w:rsidRPr="008D7149">
        <w:rPr>
          <w:rFonts w:ascii="Times New Roman" w:eastAsia="Times New Roman" w:hAnsi="Times New Roman" w:cs="Times New Roman"/>
          <w:sz w:val="24"/>
          <w:szCs w:val="24"/>
          <w:lang w:eastAsia="pl-PL"/>
        </w:rPr>
        <w:t xml:space="preserve"> c Prezes Rady Ministrów określi, w drodze rozporządzenia, sposób ustalania wysokości środków przeznaczonych na wynagrodzenia i nagrody dla Przewodniczącego </w:t>
      </w:r>
      <w:r w:rsidR="00E12859" w:rsidRPr="008D7149">
        <w:rPr>
          <w:rFonts w:ascii="Times New Roman" w:eastAsia="Times New Roman" w:hAnsi="Times New Roman" w:cs="Times New Roman"/>
          <w:sz w:val="24"/>
          <w:szCs w:val="24"/>
          <w:lang w:eastAsia="pl-PL"/>
        </w:rPr>
        <w:t xml:space="preserve">KNF </w:t>
      </w:r>
      <w:r w:rsidRPr="008D7149">
        <w:rPr>
          <w:rFonts w:ascii="Times New Roman" w:eastAsia="Times New Roman" w:hAnsi="Times New Roman" w:cs="Times New Roman"/>
          <w:sz w:val="24"/>
          <w:szCs w:val="24"/>
          <w:lang w:eastAsia="pl-PL"/>
        </w:rPr>
        <w:t xml:space="preserve">i jego Zastępców oraz ustalania wysokości tych wynagrodzeń i nagród, a także sposób ustalania wysokości środków przeznaczonych na wynagrodzenia dla członków </w:t>
      </w:r>
      <w:r w:rsidR="00E12859" w:rsidRPr="008D7149">
        <w:rPr>
          <w:rFonts w:ascii="Times New Roman" w:eastAsia="Times New Roman" w:hAnsi="Times New Roman" w:cs="Times New Roman"/>
          <w:sz w:val="24"/>
          <w:szCs w:val="24"/>
          <w:lang w:eastAsia="pl-PL"/>
        </w:rPr>
        <w:t>KNF</w:t>
      </w:r>
      <w:r w:rsidRPr="008D7149">
        <w:rPr>
          <w:rFonts w:ascii="Times New Roman" w:eastAsia="Times New Roman" w:hAnsi="Times New Roman" w:cs="Times New Roman"/>
          <w:sz w:val="24"/>
          <w:szCs w:val="24"/>
          <w:lang w:eastAsia="pl-PL"/>
        </w:rPr>
        <w:t xml:space="preserve">, o których mowa w art. 5 ust. 2 ustawy z dnia 21 lipca 2006 r. o nadzorze nad rynkiem finansowym, oraz ustalania wysokości tych wynagrodzeń, uwzględniając organizację Urzędu </w:t>
      </w:r>
      <w:r w:rsidR="00E12859" w:rsidRPr="008D7149">
        <w:rPr>
          <w:rFonts w:ascii="Times New Roman" w:eastAsia="Times New Roman" w:hAnsi="Times New Roman" w:cs="Times New Roman"/>
          <w:sz w:val="24"/>
          <w:szCs w:val="24"/>
          <w:lang w:eastAsia="pl-PL"/>
        </w:rPr>
        <w:t xml:space="preserve">KNF </w:t>
      </w:r>
      <w:r w:rsidRPr="008D7149">
        <w:rPr>
          <w:rFonts w:ascii="Times New Roman" w:eastAsia="Times New Roman" w:hAnsi="Times New Roman" w:cs="Times New Roman"/>
          <w:sz w:val="24"/>
          <w:szCs w:val="24"/>
          <w:lang w:eastAsia="pl-PL"/>
        </w:rPr>
        <w:t xml:space="preserve">i </w:t>
      </w:r>
      <w:r w:rsidR="00E12859" w:rsidRPr="008D7149">
        <w:rPr>
          <w:rFonts w:ascii="Times New Roman" w:eastAsia="Times New Roman" w:hAnsi="Times New Roman" w:cs="Times New Roman"/>
          <w:sz w:val="24"/>
          <w:szCs w:val="24"/>
          <w:lang w:eastAsia="pl-PL"/>
        </w:rPr>
        <w:t>KNF</w:t>
      </w:r>
      <w:r w:rsidRPr="008D7149">
        <w:rPr>
          <w:rFonts w:ascii="Times New Roman" w:eastAsia="Times New Roman" w:hAnsi="Times New Roman" w:cs="Times New Roman"/>
          <w:sz w:val="24"/>
          <w:szCs w:val="24"/>
          <w:lang w:eastAsia="pl-PL"/>
        </w:rPr>
        <w:t xml:space="preserve">, konieczność zapewnienia właściwej realizacji zadań Urzędu </w:t>
      </w:r>
      <w:r w:rsidR="00E12859" w:rsidRPr="008D7149">
        <w:rPr>
          <w:rFonts w:ascii="Times New Roman" w:eastAsia="Times New Roman" w:hAnsi="Times New Roman" w:cs="Times New Roman"/>
          <w:sz w:val="24"/>
          <w:szCs w:val="24"/>
          <w:lang w:eastAsia="pl-PL"/>
        </w:rPr>
        <w:t xml:space="preserve">KNF </w:t>
      </w:r>
      <w:r w:rsidRPr="008D7149">
        <w:rPr>
          <w:rFonts w:ascii="Times New Roman" w:eastAsia="Times New Roman" w:hAnsi="Times New Roman" w:cs="Times New Roman"/>
          <w:sz w:val="24"/>
          <w:szCs w:val="24"/>
          <w:lang w:eastAsia="pl-PL"/>
        </w:rPr>
        <w:t xml:space="preserve">i </w:t>
      </w:r>
      <w:r w:rsidR="00E12859" w:rsidRPr="008D7149">
        <w:rPr>
          <w:rFonts w:ascii="Times New Roman" w:eastAsia="Times New Roman" w:hAnsi="Times New Roman" w:cs="Times New Roman"/>
          <w:sz w:val="24"/>
          <w:szCs w:val="24"/>
          <w:lang w:eastAsia="pl-PL"/>
        </w:rPr>
        <w:t xml:space="preserve">KNF </w:t>
      </w:r>
      <w:r w:rsidRPr="008D7149">
        <w:rPr>
          <w:rFonts w:ascii="Times New Roman" w:eastAsia="Times New Roman" w:hAnsi="Times New Roman" w:cs="Times New Roman"/>
          <w:sz w:val="24"/>
          <w:szCs w:val="24"/>
          <w:lang w:eastAsia="pl-PL"/>
        </w:rPr>
        <w:t>w zakresie sprawowanego nadzoru oraz poziom płac w instytucjach nadzorowanych.</w:t>
      </w:r>
    </w:p>
    <w:p w14:paraId="65742452" w14:textId="3708FB0A" w:rsidR="006517F9" w:rsidRPr="008D7149" w:rsidRDefault="00477142" w:rsidP="001B59F7">
      <w:pPr>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12)</w:t>
      </w:r>
      <w:r>
        <w:rPr>
          <w:rFonts w:ascii="Times New Roman" w:eastAsia="Calibri" w:hAnsi="Times New Roman" w:cs="Times New Roman"/>
          <w:sz w:val="24"/>
          <w:szCs w:val="24"/>
        </w:rPr>
        <w:tab/>
      </w:r>
      <w:r w:rsidR="006517F9" w:rsidRPr="008D7149">
        <w:rPr>
          <w:rFonts w:ascii="Times New Roman" w:eastAsia="Calibri" w:hAnsi="Times New Roman" w:cs="Times New Roman"/>
          <w:b/>
          <w:sz w:val="24"/>
          <w:szCs w:val="24"/>
        </w:rPr>
        <w:t>a</w:t>
      </w:r>
      <w:r w:rsidR="00695EEB" w:rsidRPr="008D7149">
        <w:rPr>
          <w:rFonts w:ascii="Times New Roman" w:eastAsia="Calibri" w:hAnsi="Times New Roman" w:cs="Times New Roman"/>
          <w:b/>
          <w:sz w:val="24"/>
          <w:szCs w:val="24"/>
        </w:rPr>
        <w:t xml:space="preserve">rt. 12 </w:t>
      </w:r>
      <w:r w:rsidR="006517F9" w:rsidRPr="00315BEB">
        <w:rPr>
          <w:rFonts w:ascii="Times New Roman" w:eastAsia="Calibri" w:hAnsi="Times New Roman" w:cs="Times New Roman"/>
          <w:sz w:val="24"/>
          <w:szCs w:val="24"/>
        </w:rPr>
        <w:t>projektu</w:t>
      </w:r>
      <w:r w:rsidR="006517F9" w:rsidRPr="008D7149">
        <w:rPr>
          <w:rFonts w:ascii="Times New Roman" w:eastAsia="Calibri" w:hAnsi="Times New Roman" w:cs="Times New Roman"/>
          <w:b/>
          <w:sz w:val="24"/>
          <w:szCs w:val="24"/>
        </w:rPr>
        <w:t xml:space="preserve"> </w:t>
      </w:r>
      <w:r w:rsidR="006517F9" w:rsidRPr="008D7149">
        <w:rPr>
          <w:rFonts w:ascii="Times New Roman" w:eastAsia="Calibri" w:hAnsi="Times New Roman" w:cs="Times New Roman"/>
          <w:sz w:val="24"/>
          <w:szCs w:val="24"/>
        </w:rPr>
        <w:t xml:space="preserve">wprowadza zmiany w ustawie z dnia 7 września 2007 r. o funkcjonowaniu górnictwa węgla kamiennego (Dz. U. z 2019 r. poz. 1821, z późn. zm.). </w:t>
      </w:r>
    </w:p>
    <w:p w14:paraId="7529665F" w14:textId="1194E9BD" w:rsidR="00D476EC" w:rsidRPr="008D7149" w:rsidRDefault="00D476EC"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Projektowane zmiany przepisów ustawy z dnia 7 września 2007 r. o funkcjonowaniu górnictwa węgla kamiennego mają na celu doprecyzowanie zasad przekazywania wsparcia przedsiębiorstwom górniczym na zadania określone w ww. ustawie w roku 2022 r. i począwszy od roku 2023.</w:t>
      </w:r>
    </w:p>
    <w:p w14:paraId="50494C83" w14:textId="2E7A6627" w:rsidR="00D476EC" w:rsidRPr="008D7149" w:rsidRDefault="00D476EC"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I tak doprecyzowano, że w roku 2022 minister właściwy do spraw finansów publicznych może przekazać ministrowi właściwemu do spraw gospodarki złożami kopalin, na jego wniosek, skarbowe papiery wartościowe celem ich przekazania:</w:t>
      </w:r>
    </w:p>
    <w:p w14:paraId="27091D20" w14:textId="299B70D0" w:rsidR="00D476EC" w:rsidRPr="008D7149" w:rsidRDefault="00D476EC" w:rsidP="00D44AEC">
      <w:pPr>
        <w:pStyle w:val="Akapitzlist"/>
        <w:numPr>
          <w:ilvl w:val="0"/>
          <w:numId w:val="30"/>
        </w:numPr>
        <w:spacing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przedsiębiorstwu, o którym mowa w art. 8 ust. 1 ww. ustawy, na podwyższenie kapitału zakładowego tego przedsiębiorstwa, jeżeli jest to niezbędne do realizacji jego zadań określonych w tej ustawie, w ramach limitu określonego w art. 5 ust. 3 ustawy budżetowej na rok 2022 z dnia 17 grudnia 2021 r. (Dz. U. z 2022 r. poz. 270), oraz określono, że wartość nominalna nowo wyemitowanych skarbowych papierów wartościowych na ten cel nie może przekroczyć kwoty 800 000 tys. zł;</w:t>
      </w:r>
    </w:p>
    <w:p w14:paraId="23AF1ECE" w14:textId="34859FB0" w:rsidR="00D476EC" w:rsidRPr="008D7149" w:rsidRDefault="00D476EC" w:rsidP="008D7149">
      <w:pPr>
        <w:pStyle w:val="Akapitzlist"/>
        <w:numPr>
          <w:ilvl w:val="0"/>
          <w:numId w:val="30"/>
        </w:num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lastRenderedPageBreak/>
        <w:t>przedsiębiorstwu górniczemu objętemu systemem wsparcia na podwyższenie kapitału zakładowego tego przedsiębiorstwa w celu finansowania dopłat, w ramach limitu określonego w art. 5 ust. 3 ustawy budżetowej na rok 2022 z dnia 17 grudnia 2021 r., oraz określono, że wartość nominalna nowo wyemitowanych skarbowych papierów wartościowych na ten cel nie może przekroczyć kwoty 5 200 000 tys. zł.</w:t>
      </w:r>
    </w:p>
    <w:p w14:paraId="103D97EF" w14:textId="5841676D" w:rsidR="00D476EC" w:rsidRPr="008D7149" w:rsidRDefault="00D476EC"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Począwszy od roku 2023 proponuje się pozostanie przy ogólnie przyjętym trybie przekazywania skarbowych papierów wartościowych </w:t>
      </w:r>
      <w:r w:rsidR="006D5FF1">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minister właściwy do spraw finansów publicznych na wniosek ministra właściwego do spraw gospodarki złożami kopalin będzie mógł przekazać skarbowe papiery wartościowe spółkom.</w:t>
      </w:r>
    </w:p>
    <w:p w14:paraId="25FA7029" w14:textId="77777777" w:rsidR="00D476EC" w:rsidRPr="008D7149" w:rsidRDefault="00D476EC"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Wprowadzone w 2022 r. rozwiązanie (przekazywanie skarbowych papierów wartościowych Ministrowi Aktywów Państwowych) ograniczy do minimum czas oraz procedury potrzebne do uruchomienia i przekazania dopłat przedsiębiorstwom górniczym.</w:t>
      </w:r>
    </w:p>
    <w:p w14:paraId="071B4ABC" w14:textId="0FBD543F" w:rsidR="00D476EC" w:rsidRPr="008D7149" w:rsidRDefault="00D476EC"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Ponadto z uwagi na to, że Minister Aktywów Państwowych kieruje działem </w:t>
      </w:r>
      <w:r w:rsidR="006D5FF1">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gospodarka złożami kopalin i sprawuje nadzór właścicielski nad podmiotami będącymi beneficjentami wsparcia określonego w ww. ustawie</w:t>
      </w:r>
      <w:r w:rsidR="006D5FF1">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wprowadzono jednoznaczne postanowienia wskazujące, że minister właściwy do spraw gospodarki złożami kopalin jest właściwy w zakresie udzielonej pomocy publicznej, w tym do dochodzenia zwrotu kwoty stanowiącej równowartość udzielonej pomocy publicznej wraz z odsetkami w przypadku obowiązku zwrotu pomocy oraz jej egzekwowania. </w:t>
      </w:r>
    </w:p>
    <w:p w14:paraId="2E759400" w14:textId="280545F8" w:rsidR="006517F9" w:rsidRPr="008D7149" w:rsidRDefault="00D476EC"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Ze względu na zapewnienie ciągłości udzielania pomocy, która ma na celu również zachowanie płynności finansowej przedsiębiorstw górniczych, termin wejścia w życie projektowanych przepisów określono na dzień następujący po dniu ogłoszenia ustawy </w:t>
      </w:r>
      <w:r w:rsidR="005417FC" w:rsidRPr="008D7149">
        <w:rPr>
          <w:rFonts w:ascii="Times New Roman" w:eastAsia="Calibri" w:hAnsi="Times New Roman" w:cs="Times New Roman"/>
          <w:sz w:val="24"/>
          <w:szCs w:val="24"/>
        </w:rPr>
        <w:t>(art. 34 pkt 1 projektu).</w:t>
      </w:r>
    </w:p>
    <w:p w14:paraId="20467532" w14:textId="38918C7C" w:rsidR="00695EEB" w:rsidRPr="008D7149" w:rsidRDefault="006517F9" w:rsidP="001B59F7">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13)</w:t>
      </w:r>
      <w:r w:rsidR="00477142">
        <w:rPr>
          <w:rFonts w:ascii="Times New Roman" w:eastAsia="Calibri" w:hAnsi="Times New Roman" w:cs="Times New Roman"/>
          <w:b/>
          <w:sz w:val="24"/>
          <w:szCs w:val="24"/>
        </w:rPr>
        <w:tab/>
      </w:r>
      <w:r w:rsidRPr="008D7149">
        <w:rPr>
          <w:rFonts w:ascii="Times New Roman" w:eastAsia="Calibri" w:hAnsi="Times New Roman" w:cs="Times New Roman"/>
          <w:b/>
          <w:sz w:val="24"/>
          <w:szCs w:val="24"/>
        </w:rPr>
        <w:t xml:space="preserve">art. 13 </w:t>
      </w:r>
      <w:r w:rsidR="00695EEB" w:rsidRPr="00315BEB">
        <w:rPr>
          <w:rFonts w:ascii="Times New Roman" w:eastAsia="Calibri" w:hAnsi="Times New Roman" w:cs="Times New Roman"/>
          <w:sz w:val="24"/>
          <w:szCs w:val="24"/>
        </w:rPr>
        <w:t>projektu</w:t>
      </w:r>
      <w:r w:rsidR="00695EEB" w:rsidRPr="008D7149">
        <w:rPr>
          <w:rFonts w:ascii="Times New Roman" w:eastAsia="Calibri" w:hAnsi="Times New Roman" w:cs="Times New Roman"/>
          <w:sz w:val="24"/>
          <w:szCs w:val="24"/>
        </w:rPr>
        <w:t xml:space="preserve"> wprowadza zmiany w ustawie o obligacjach</w:t>
      </w:r>
      <w:r w:rsidR="00E12859" w:rsidRPr="008D7149">
        <w:rPr>
          <w:rFonts w:ascii="Times New Roman" w:eastAsia="Calibri" w:hAnsi="Times New Roman" w:cs="Times New Roman"/>
          <w:sz w:val="24"/>
          <w:szCs w:val="24"/>
        </w:rPr>
        <w:t xml:space="preserve"> (Dz. U. z 2020 r. poz. 1208, z późn. zm.)</w:t>
      </w:r>
      <w:r w:rsidR="00CE7700" w:rsidRPr="008D7149">
        <w:rPr>
          <w:rFonts w:ascii="Times New Roman" w:eastAsia="Calibri" w:hAnsi="Times New Roman" w:cs="Times New Roman"/>
          <w:sz w:val="24"/>
          <w:szCs w:val="24"/>
        </w:rPr>
        <w:t>, zwaną dalej „ustawą o obligacjach”.</w:t>
      </w:r>
    </w:p>
    <w:p w14:paraId="4A0AC333"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74 ust. 9</w:t>
      </w:r>
      <w:r w:rsidRPr="008D7149">
        <w:rPr>
          <w:rFonts w:ascii="Times New Roman" w:hAnsi="Times New Roman" w:cs="Times New Roman"/>
          <w:sz w:val="24"/>
          <w:szCs w:val="24"/>
        </w:rPr>
        <w:t xml:space="preserve"> wyłącza stosowanie ust. 2 tego artykułu. Ma to na celu zapewnienie spójności pomiędzy ustawą o obligacjach a ustawą o BFG oraz prawem unijnym. </w:t>
      </w:r>
    </w:p>
    <w:p w14:paraId="19EF52AC" w14:textId="310D704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art. 72b ust. 2 lit. l rozporządzenia </w:t>
      </w:r>
      <w:r w:rsidR="00CE7700" w:rsidRPr="008D7149">
        <w:rPr>
          <w:rFonts w:ascii="Times New Roman" w:hAnsi="Times New Roman" w:cs="Times New Roman"/>
          <w:sz w:val="24"/>
          <w:szCs w:val="24"/>
        </w:rPr>
        <w:t xml:space="preserve">(UE) </w:t>
      </w:r>
      <w:r w:rsidRPr="008D7149">
        <w:rPr>
          <w:rFonts w:ascii="Times New Roman" w:hAnsi="Times New Roman" w:cs="Times New Roman"/>
          <w:sz w:val="24"/>
          <w:szCs w:val="24"/>
        </w:rPr>
        <w:t xml:space="preserve">nr 575/2013 zobowiązania kwalifikują się jako instrumenty zobowiązań kwalifikowalnych, o ile (…) przepisy regulujące dane zobowiązania nie dają posiadaczowi prawa do przyspieszenia planowanej przyszłej płatności odsetek lub kwoty głównej w innych przypadkach niż niewypłacalność lub likwidacja danego podmiotu restrukturyzacji i uporządkowanej likwidacji. Rozwiązanie to nie zawęża zatem katalogu rodzajów instrumentów dłużnych, które mogą stanowić podstawę powstania </w:t>
      </w:r>
      <w:r w:rsidRPr="008D7149">
        <w:rPr>
          <w:rFonts w:ascii="Times New Roman" w:hAnsi="Times New Roman" w:cs="Times New Roman"/>
          <w:sz w:val="24"/>
          <w:szCs w:val="24"/>
        </w:rPr>
        <w:lastRenderedPageBreak/>
        <w:t>zobowiązania kwalifikowalnego – może to być zarówno dłużny papier wartościowy, w tym obligacja, oraz inny instrument wywołujący skutki prawne</w:t>
      </w:r>
      <w:r w:rsidR="006D5FF1">
        <w:rPr>
          <w:rFonts w:ascii="Times New Roman" w:hAnsi="Times New Roman" w:cs="Times New Roman"/>
          <w:sz w:val="24"/>
          <w:szCs w:val="24"/>
        </w:rPr>
        <w:t>,</w:t>
      </w:r>
      <w:r w:rsidRPr="008D7149">
        <w:rPr>
          <w:rFonts w:ascii="Times New Roman" w:hAnsi="Times New Roman" w:cs="Times New Roman"/>
          <w:sz w:val="24"/>
          <w:szCs w:val="24"/>
        </w:rPr>
        <w:t xml:space="preserve"> taki jak dłużn</w:t>
      </w:r>
      <w:r w:rsidR="006D5FF1">
        <w:rPr>
          <w:rFonts w:ascii="Times New Roman" w:hAnsi="Times New Roman" w:cs="Times New Roman"/>
          <w:sz w:val="24"/>
          <w:szCs w:val="24"/>
        </w:rPr>
        <w:t>y</w:t>
      </w:r>
      <w:r w:rsidRPr="008D7149">
        <w:rPr>
          <w:rFonts w:ascii="Times New Roman" w:hAnsi="Times New Roman" w:cs="Times New Roman"/>
          <w:sz w:val="24"/>
          <w:szCs w:val="24"/>
        </w:rPr>
        <w:t xml:space="preserve"> instrument finansow</w:t>
      </w:r>
      <w:r w:rsidR="006D5FF1">
        <w:rPr>
          <w:rFonts w:ascii="Times New Roman" w:hAnsi="Times New Roman" w:cs="Times New Roman"/>
          <w:sz w:val="24"/>
          <w:szCs w:val="24"/>
        </w:rPr>
        <w:t>y</w:t>
      </w:r>
      <w:r w:rsidRPr="008D7149">
        <w:rPr>
          <w:rFonts w:ascii="Times New Roman" w:hAnsi="Times New Roman" w:cs="Times New Roman"/>
          <w:sz w:val="24"/>
          <w:szCs w:val="24"/>
        </w:rPr>
        <w:t xml:space="preserve"> (np. pożyczka). </w:t>
      </w:r>
    </w:p>
    <w:p w14:paraId="0D434D7B" w14:textId="4191332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Art. 74 ust. 2 </w:t>
      </w:r>
      <w:r w:rsidR="00CE7700" w:rsidRPr="008D7149">
        <w:rPr>
          <w:rFonts w:ascii="Times New Roman" w:hAnsi="Times New Roman" w:cs="Times New Roman"/>
          <w:sz w:val="24"/>
          <w:szCs w:val="24"/>
        </w:rPr>
        <w:t xml:space="preserve">ustawy o obligacjach </w:t>
      </w:r>
      <w:r w:rsidRPr="008D7149">
        <w:rPr>
          <w:rFonts w:ascii="Times New Roman" w:hAnsi="Times New Roman" w:cs="Times New Roman"/>
          <w:sz w:val="24"/>
          <w:szCs w:val="24"/>
        </w:rPr>
        <w:t>stanowi, że jeżeli emitent jest w zwłoce z wykonaniem w terminie, w całości lub części, zobowiązań wynikających z obligacji, obligacje podlegają, na żądanie obligatariusza, natychmiastowemu wykupowi w części, w jakiej przewidują świadczenie pieniężne; obligatariusz może żądać wykupu obligacji również w przypadku niezawinionego przez emitenta opóźnienia nie krótszego niż 3 dni, chyba że warunki emisji wskażą krótszy okres.</w:t>
      </w:r>
    </w:p>
    <w:p w14:paraId="6A00159D" w14:textId="0566C8CE"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związku z tym należy ocenić, że zobowiązania wynikające z obligacji nie spełniają warunku określonego w ww. art. 72b ust. 2 lit. l rozporządzenia </w:t>
      </w:r>
      <w:r w:rsidR="00CE7700" w:rsidRPr="008D7149">
        <w:rPr>
          <w:rFonts w:ascii="Times New Roman" w:hAnsi="Times New Roman" w:cs="Times New Roman"/>
          <w:sz w:val="24"/>
          <w:szCs w:val="24"/>
        </w:rPr>
        <w:t xml:space="preserve">(UE) </w:t>
      </w:r>
      <w:r w:rsidRPr="008D7149">
        <w:rPr>
          <w:rFonts w:ascii="Times New Roman" w:hAnsi="Times New Roman" w:cs="Times New Roman"/>
          <w:sz w:val="24"/>
          <w:szCs w:val="24"/>
        </w:rPr>
        <w:t>nr 575/2013, a tym samym nie mogą zostać zaliczone do zobowiązań kwalifikowalnych. Ogranicza to katalog rodzajów instrumentów dłużnych, z jakich mogą wynikać zobowiązania kwalifikowalne, przez wyłączenie z niego obligacji w rozumieniu ustawy o obligacjach. W szczególności powoduje to ograniczenie możliwości pozyskania zobowiązań kwalifikowalnych w formie innej niż fundusze własne w przypadku małych i średnich podmiotów, w tym banków spółdzielczych, których możliwości plasowania emisji na rynkach zagranicznych są ograniczone, w związku z czym w praktyce emitują wyłącznie papiery wartościowe kierowane do podmiotów krajowych.</w:t>
      </w:r>
    </w:p>
    <w:p w14:paraId="204A0F24" w14:textId="139E2F4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Wyłączenie stosowania art. 74 ust. 2 </w:t>
      </w:r>
      <w:r w:rsidR="00CE7700" w:rsidRPr="008D7149">
        <w:rPr>
          <w:rFonts w:ascii="Times New Roman" w:eastAsia="Calibri" w:hAnsi="Times New Roman" w:cs="Times New Roman"/>
          <w:sz w:val="24"/>
          <w:szCs w:val="24"/>
        </w:rPr>
        <w:t>ustawy o obligacjach</w:t>
      </w:r>
      <w:r w:rsidR="00CE7700"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zapobiegnie niepożądanemu skróceniu okresu, w jakim – zgodnie z art. 72c ust. 1 rozporządzenia </w:t>
      </w:r>
      <w:r w:rsidR="00CE7700" w:rsidRPr="008D7149">
        <w:rPr>
          <w:rFonts w:ascii="Times New Roman" w:hAnsi="Times New Roman" w:cs="Times New Roman"/>
          <w:sz w:val="24"/>
          <w:szCs w:val="24"/>
        </w:rPr>
        <w:t xml:space="preserve">(UE) </w:t>
      </w:r>
      <w:r w:rsidRPr="008D7149">
        <w:rPr>
          <w:rFonts w:ascii="Times New Roman" w:hAnsi="Times New Roman" w:cs="Times New Roman"/>
          <w:sz w:val="24"/>
          <w:szCs w:val="24"/>
        </w:rPr>
        <w:t xml:space="preserve">575/2013 – zobowiązanie mogłoby zostać zaliczone jako zobowiązanie kwalifikowalne (tj. zobowiązania, które w pełni kwalifikują się jako pozycje zobowiązań kwalifikowalnych muszą co do zasady cechować się rezydualnym terminem zapadalności wynoszącym co najmniej rok), a także zapewni spójność z reżimem wydawania zezwoleń na obniżenie instrumentów zobowiązań kwalifikowalnych, zgodnie z art. 78a rozporządzenia </w:t>
      </w:r>
      <w:r w:rsidR="00CE7700" w:rsidRPr="008D7149">
        <w:rPr>
          <w:rFonts w:ascii="Times New Roman" w:hAnsi="Times New Roman" w:cs="Times New Roman"/>
          <w:sz w:val="24"/>
          <w:szCs w:val="24"/>
        </w:rPr>
        <w:t xml:space="preserve">(UE) </w:t>
      </w:r>
      <w:r w:rsidRPr="008D7149">
        <w:rPr>
          <w:rFonts w:ascii="Times New Roman" w:hAnsi="Times New Roman" w:cs="Times New Roman"/>
          <w:sz w:val="24"/>
          <w:szCs w:val="24"/>
        </w:rPr>
        <w:t>nr 575/2013 (tj. uprawnienie organu przymusowej restrukturyzacji do wydania zezwolenia na wezwanie do sprzedaży, wykupu, spłaty lub odkupu przez danego emitenta instrumentów zobowiązań kwalifikowalnych – gdy zostały spełnione warunki dla udzielenia takiego zezwolenia. Reżim ma na celu zapewnienie by dany emitent w wystarczającym stopniu zabezpieczał swoją działalność i wykazywał oczekiwaną przez organ przymusowej restrukturyzacji zdolność do pokrycia straty, dlatego w sytuacji obniżenia instrumentów zobowiązań kwalifikowalnych w jego bilansie wymagana jest zgoda tego organu).</w:t>
      </w:r>
    </w:p>
    <w:p w14:paraId="54338928" w14:textId="44ECF903"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hAnsi="Times New Roman" w:cs="Times New Roman"/>
          <w:sz w:val="24"/>
          <w:szCs w:val="24"/>
        </w:rPr>
        <w:lastRenderedPageBreak/>
        <w:t xml:space="preserve">Dodawany </w:t>
      </w:r>
      <w:r w:rsidRPr="008D7149">
        <w:rPr>
          <w:rFonts w:ascii="Times New Roman" w:hAnsi="Times New Roman" w:cs="Times New Roman"/>
          <w:b/>
          <w:sz w:val="24"/>
          <w:szCs w:val="24"/>
        </w:rPr>
        <w:t xml:space="preserve">art. 75 ust. 6 </w:t>
      </w:r>
      <w:r w:rsidR="00CE7700" w:rsidRPr="008D7149">
        <w:rPr>
          <w:rFonts w:ascii="Times New Roman" w:eastAsia="Calibri" w:hAnsi="Times New Roman" w:cs="Times New Roman"/>
          <w:sz w:val="24"/>
          <w:szCs w:val="24"/>
        </w:rPr>
        <w:t xml:space="preserve">ustawy o obligacjach </w:t>
      </w:r>
      <w:r w:rsidRPr="008D7149">
        <w:rPr>
          <w:rFonts w:ascii="Times New Roman" w:eastAsia="Calibri" w:hAnsi="Times New Roman" w:cs="Times New Roman"/>
          <w:sz w:val="24"/>
          <w:szCs w:val="24"/>
        </w:rPr>
        <w:t>wyłącza stosowanie ust. 1 pkt 2 tego artykułu. W</w:t>
      </w:r>
      <w:r w:rsidRPr="008D7149">
        <w:rPr>
          <w:rFonts w:ascii="Times New Roman" w:hAnsi="Times New Roman" w:cs="Times New Roman"/>
          <w:sz w:val="24"/>
          <w:szCs w:val="24"/>
        </w:rPr>
        <w:t>ynika to z analogicznych przesłanek jak w przypadku art. 74 ust. 9</w:t>
      </w:r>
      <w:r w:rsidR="00CE7700" w:rsidRPr="008D7149">
        <w:rPr>
          <w:rFonts w:ascii="Times New Roman" w:eastAsia="Calibri" w:hAnsi="Times New Roman" w:cs="Times New Roman"/>
          <w:sz w:val="24"/>
          <w:szCs w:val="24"/>
        </w:rPr>
        <w:t xml:space="preserve"> ustawy o obligacjach</w:t>
      </w:r>
      <w:r w:rsidRPr="008D7149">
        <w:rPr>
          <w:rFonts w:ascii="Times New Roman" w:hAnsi="Times New Roman" w:cs="Times New Roman"/>
          <w:sz w:val="24"/>
          <w:szCs w:val="24"/>
        </w:rPr>
        <w:t>, z uwagi na a</w:t>
      </w:r>
      <w:r w:rsidRPr="008D7149">
        <w:rPr>
          <w:rFonts w:ascii="Times New Roman" w:eastAsia="Calibri" w:hAnsi="Times New Roman" w:cs="Times New Roman"/>
          <w:sz w:val="24"/>
          <w:szCs w:val="24"/>
        </w:rPr>
        <w:t>rt. 75 ust. 1 pkt 2</w:t>
      </w:r>
      <w:r w:rsidR="00CE7700" w:rsidRPr="008D7149">
        <w:rPr>
          <w:rFonts w:ascii="Times New Roman" w:eastAsia="Calibri" w:hAnsi="Times New Roman" w:cs="Times New Roman"/>
          <w:sz w:val="24"/>
          <w:szCs w:val="24"/>
        </w:rPr>
        <w:t xml:space="preserve"> ustawy o obligacjach</w:t>
      </w:r>
      <w:r w:rsidRPr="008D7149">
        <w:rPr>
          <w:rFonts w:ascii="Times New Roman" w:eastAsia="Calibri" w:hAnsi="Times New Roman" w:cs="Times New Roman"/>
          <w:sz w:val="24"/>
          <w:szCs w:val="24"/>
        </w:rPr>
        <w:t xml:space="preserve">, który przewiduje, że obligacje wieczyste stają się wymagalne w przypadku zwłoki emitenta w wypłacie wynikających z obligacji świadczeń pieniężnych przysługujących obligatariuszom. </w:t>
      </w:r>
    </w:p>
    <w:p w14:paraId="58219C65" w14:textId="13D4EC98"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Projektowane przepisy (art. 74 ust. 9 lit. b i art. 75 ust. 6 lit. b ustawy o obligacjach) wyłączają stosowanie odpowiednio art. 74 ust. 2 i art. 75 ust. 1 pkt 2 ustawy o BFG w odniesieniu do wynikających z obligacji zobowiązań, które po objęciu i opłaceniu przez obligatariusza spełnią kryteria kwalifikowalności, na cały okres do terminu zapadalności, a nie jedynie na czas faktycznego zaliczenia zobowiązania na potrzeby wymogu MREL</w:t>
      </w:r>
      <w:r w:rsidR="006F4459" w:rsidRPr="008D7149">
        <w:rPr>
          <w:rFonts w:ascii="Times New Roman" w:eastAsia="Calibri" w:hAnsi="Times New Roman" w:cs="Times New Roman"/>
          <w:sz w:val="24"/>
          <w:szCs w:val="24"/>
        </w:rPr>
        <w:t>,</w:t>
      </w:r>
      <w:r w:rsidR="006F4459" w:rsidRPr="008D7149">
        <w:rPr>
          <w:rFonts w:ascii="Times New Roman" w:hAnsi="Times New Roman" w:cs="Times New Roman"/>
          <w:sz w:val="24"/>
          <w:szCs w:val="24"/>
        </w:rPr>
        <w:t xml:space="preserve"> </w:t>
      </w:r>
      <w:r w:rsidR="006F4459" w:rsidRPr="008D7149">
        <w:rPr>
          <w:rFonts w:ascii="Times New Roman" w:eastAsia="Calibri" w:hAnsi="Times New Roman" w:cs="Times New Roman"/>
          <w:sz w:val="24"/>
          <w:szCs w:val="24"/>
        </w:rPr>
        <w:t xml:space="preserve">tj. minimalnego wymogu w zakresie funduszy własnych i zobowiązań kwalifikowalnych (ang. minimum </w:t>
      </w:r>
      <w:proofErr w:type="spellStart"/>
      <w:r w:rsidR="006F4459" w:rsidRPr="008D7149">
        <w:rPr>
          <w:rFonts w:ascii="Times New Roman" w:eastAsia="Calibri" w:hAnsi="Times New Roman" w:cs="Times New Roman"/>
          <w:sz w:val="24"/>
          <w:szCs w:val="24"/>
        </w:rPr>
        <w:t>requirement</w:t>
      </w:r>
      <w:proofErr w:type="spellEnd"/>
      <w:r w:rsidR="006F4459" w:rsidRPr="008D7149">
        <w:rPr>
          <w:rFonts w:ascii="Times New Roman" w:eastAsia="Calibri" w:hAnsi="Times New Roman" w:cs="Times New Roman"/>
          <w:sz w:val="24"/>
          <w:szCs w:val="24"/>
        </w:rPr>
        <w:t xml:space="preserve"> for </w:t>
      </w:r>
      <w:proofErr w:type="spellStart"/>
      <w:r w:rsidR="006F4459" w:rsidRPr="008D7149">
        <w:rPr>
          <w:rFonts w:ascii="Times New Roman" w:eastAsia="Calibri" w:hAnsi="Times New Roman" w:cs="Times New Roman"/>
          <w:sz w:val="24"/>
          <w:szCs w:val="24"/>
        </w:rPr>
        <w:t>own</w:t>
      </w:r>
      <w:proofErr w:type="spellEnd"/>
      <w:r w:rsidR="006F4459" w:rsidRPr="008D7149">
        <w:rPr>
          <w:rFonts w:ascii="Times New Roman" w:eastAsia="Calibri" w:hAnsi="Times New Roman" w:cs="Times New Roman"/>
          <w:sz w:val="24"/>
          <w:szCs w:val="24"/>
        </w:rPr>
        <w:t xml:space="preserve"> </w:t>
      </w:r>
      <w:proofErr w:type="spellStart"/>
      <w:r w:rsidR="006F4459" w:rsidRPr="008D7149">
        <w:rPr>
          <w:rFonts w:ascii="Times New Roman" w:eastAsia="Calibri" w:hAnsi="Times New Roman" w:cs="Times New Roman"/>
          <w:sz w:val="24"/>
          <w:szCs w:val="24"/>
        </w:rPr>
        <w:t>funds</w:t>
      </w:r>
      <w:proofErr w:type="spellEnd"/>
      <w:r w:rsidR="006F4459" w:rsidRPr="008D7149">
        <w:rPr>
          <w:rFonts w:ascii="Times New Roman" w:eastAsia="Calibri" w:hAnsi="Times New Roman" w:cs="Times New Roman"/>
          <w:sz w:val="24"/>
          <w:szCs w:val="24"/>
        </w:rPr>
        <w:t xml:space="preserve"> and </w:t>
      </w:r>
      <w:proofErr w:type="spellStart"/>
      <w:r w:rsidR="006F4459" w:rsidRPr="008D7149">
        <w:rPr>
          <w:rFonts w:ascii="Times New Roman" w:eastAsia="Calibri" w:hAnsi="Times New Roman" w:cs="Times New Roman"/>
          <w:sz w:val="24"/>
          <w:szCs w:val="24"/>
        </w:rPr>
        <w:t>eligible</w:t>
      </w:r>
      <w:proofErr w:type="spellEnd"/>
      <w:r w:rsidR="006F4459" w:rsidRPr="008D7149">
        <w:rPr>
          <w:rFonts w:ascii="Times New Roman" w:eastAsia="Calibri" w:hAnsi="Times New Roman" w:cs="Times New Roman"/>
          <w:sz w:val="24"/>
          <w:szCs w:val="24"/>
        </w:rPr>
        <w:t xml:space="preserve"> </w:t>
      </w:r>
      <w:proofErr w:type="spellStart"/>
      <w:r w:rsidR="006F4459" w:rsidRPr="008D7149">
        <w:rPr>
          <w:rFonts w:ascii="Times New Roman" w:eastAsia="Calibri" w:hAnsi="Times New Roman" w:cs="Times New Roman"/>
          <w:sz w:val="24"/>
          <w:szCs w:val="24"/>
        </w:rPr>
        <w:t>liabilities</w:t>
      </w:r>
      <w:proofErr w:type="spellEnd"/>
      <w:r w:rsidR="006F4459" w:rsidRPr="008D7149">
        <w:rPr>
          <w:rFonts w:ascii="Times New Roman" w:eastAsia="Calibri" w:hAnsi="Times New Roman" w:cs="Times New Roman"/>
          <w:sz w:val="24"/>
          <w:szCs w:val="24"/>
        </w:rPr>
        <w:t xml:space="preserve">, MREL). </w:t>
      </w:r>
      <w:r w:rsidRPr="008D7149">
        <w:rPr>
          <w:rFonts w:ascii="Times New Roman" w:eastAsia="Calibri" w:hAnsi="Times New Roman" w:cs="Times New Roman"/>
          <w:sz w:val="24"/>
          <w:szCs w:val="24"/>
        </w:rPr>
        <w:t xml:space="preserve">Przyjęcie odmiennego rozwiązania skutkowałoby niepożądanym skróceniem okresu, w jakim – w myśl art. 72c ust. 1 znowelizowanego rozporządzenia </w:t>
      </w:r>
      <w:r w:rsidR="00CE7700" w:rsidRPr="008D7149">
        <w:rPr>
          <w:rFonts w:ascii="Times New Roman" w:eastAsia="Calibri" w:hAnsi="Times New Roman" w:cs="Times New Roman"/>
          <w:sz w:val="24"/>
          <w:szCs w:val="24"/>
        </w:rPr>
        <w:t xml:space="preserve">(UE) </w:t>
      </w:r>
      <w:r w:rsidRPr="008D7149">
        <w:rPr>
          <w:rFonts w:ascii="Times New Roman" w:eastAsia="Calibri" w:hAnsi="Times New Roman" w:cs="Times New Roman"/>
          <w:sz w:val="24"/>
          <w:szCs w:val="24"/>
        </w:rPr>
        <w:t xml:space="preserve">575/2013 – zobowiązanie mogłoby zostać zaliczone na potrzeby przedmiotowego wymogu w związku z art. 72c ust. 4 tego rozporządzenia. Dodatkowo przyjęte podejście jako jedyne pozwala na zachowanie spójności z reżimem wydawania zezwoleń na obniżenie instrumentów zobowiązań kwalifikowalnych określonym w art. 78a znowelizowanego rozporządzenia </w:t>
      </w:r>
      <w:r w:rsidR="00CE7700" w:rsidRPr="008D7149">
        <w:rPr>
          <w:rFonts w:ascii="Times New Roman" w:eastAsia="Calibri" w:hAnsi="Times New Roman" w:cs="Times New Roman"/>
          <w:sz w:val="24"/>
          <w:szCs w:val="24"/>
        </w:rPr>
        <w:t xml:space="preserve">(UE) </w:t>
      </w:r>
      <w:r w:rsidRPr="008D7149">
        <w:rPr>
          <w:rFonts w:ascii="Times New Roman" w:eastAsia="Calibri" w:hAnsi="Times New Roman" w:cs="Times New Roman"/>
          <w:sz w:val="24"/>
          <w:szCs w:val="24"/>
        </w:rPr>
        <w:t>nr 575/2013.</w:t>
      </w:r>
    </w:p>
    <w:p w14:paraId="1C79B8DE" w14:textId="00D9530B" w:rsidR="00695EEB" w:rsidRPr="008D7149" w:rsidRDefault="005417FC" w:rsidP="001B59F7">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14</w:t>
      </w:r>
      <w:r w:rsidR="00477142">
        <w:rPr>
          <w:rFonts w:ascii="Times New Roman" w:hAnsi="Times New Roman" w:cs="Times New Roman"/>
          <w:sz w:val="24"/>
          <w:szCs w:val="24"/>
        </w:rPr>
        <w:t>)</w:t>
      </w:r>
      <w:r w:rsidR="00477142">
        <w:rPr>
          <w:rFonts w:ascii="Times New Roman" w:hAnsi="Times New Roman" w:cs="Times New Roman"/>
          <w:sz w:val="24"/>
          <w:szCs w:val="24"/>
        </w:rPr>
        <w:tab/>
      </w:r>
      <w:r w:rsidR="00695EEB" w:rsidRPr="008D7149">
        <w:rPr>
          <w:rFonts w:ascii="Times New Roman" w:hAnsi="Times New Roman" w:cs="Times New Roman"/>
          <w:b/>
          <w:sz w:val="24"/>
          <w:szCs w:val="24"/>
        </w:rPr>
        <w:t>Art. 1</w:t>
      </w:r>
      <w:r w:rsidRPr="008D7149">
        <w:rPr>
          <w:rFonts w:ascii="Times New Roman" w:hAnsi="Times New Roman" w:cs="Times New Roman"/>
          <w:b/>
          <w:sz w:val="24"/>
          <w:szCs w:val="24"/>
        </w:rPr>
        <w:t>4</w:t>
      </w:r>
      <w:r w:rsidR="00695EEB" w:rsidRPr="008D7149">
        <w:rPr>
          <w:rFonts w:ascii="Times New Roman" w:hAnsi="Times New Roman" w:cs="Times New Roman"/>
          <w:b/>
          <w:sz w:val="24"/>
          <w:szCs w:val="24"/>
        </w:rPr>
        <w:t xml:space="preserve"> </w:t>
      </w:r>
      <w:r w:rsidR="00695EEB" w:rsidRPr="00315BEB">
        <w:rPr>
          <w:rFonts w:ascii="Times New Roman" w:hAnsi="Times New Roman" w:cs="Times New Roman"/>
          <w:sz w:val="24"/>
          <w:szCs w:val="24"/>
        </w:rPr>
        <w:t>projektu</w:t>
      </w:r>
      <w:r w:rsidR="00695EEB" w:rsidRPr="008D7149">
        <w:rPr>
          <w:rFonts w:ascii="Times New Roman" w:hAnsi="Times New Roman" w:cs="Times New Roman"/>
          <w:sz w:val="24"/>
          <w:szCs w:val="24"/>
        </w:rPr>
        <w:t xml:space="preserve"> wprowadza zmiany w ustawie </w:t>
      </w:r>
      <w:r w:rsidR="00CE7700" w:rsidRPr="008D7149">
        <w:rPr>
          <w:rFonts w:ascii="Times New Roman" w:hAnsi="Times New Roman" w:cs="Times New Roman"/>
          <w:sz w:val="24"/>
          <w:szCs w:val="24"/>
        </w:rPr>
        <w:t xml:space="preserve">z dnia 15 stycznia 2016 r. </w:t>
      </w:r>
      <w:r w:rsidR="00695EEB" w:rsidRPr="008D7149">
        <w:rPr>
          <w:rFonts w:ascii="Times New Roman" w:hAnsi="Times New Roman" w:cs="Times New Roman"/>
          <w:sz w:val="24"/>
          <w:szCs w:val="24"/>
        </w:rPr>
        <w:t>o podatku od niektórych instytucji finansowych</w:t>
      </w:r>
      <w:r w:rsidR="00CE7700" w:rsidRPr="008D7149">
        <w:rPr>
          <w:rFonts w:ascii="Times New Roman" w:hAnsi="Times New Roman" w:cs="Times New Roman"/>
          <w:sz w:val="24"/>
          <w:szCs w:val="24"/>
        </w:rPr>
        <w:t xml:space="preserve"> (Dz. U. z 2019 r. poz. 1836).</w:t>
      </w:r>
    </w:p>
    <w:p w14:paraId="04B5DEE4" w14:textId="20D9A056"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color w:val="000000"/>
          <w:sz w:val="24"/>
          <w:szCs w:val="24"/>
        </w:rPr>
        <w:t>Zgodnie z art. 270 ust. 1 pkt 8 ustawy</w:t>
      </w:r>
      <w:hyperlink r:id="rId12" w:tooltip="Ustawa z dnia 10 czerwca 2016 o Bankowym Funduszu Gwarancyjnym, systemie gwarantowania depozytów oraz przymusowej restrukturyzacji (tekst jednolity z 16.04.2020)" w:history="1">
        <w:r w:rsidRPr="008D7149">
          <w:rPr>
            <w:rFonts w:ascii="Times New Roman" w:hAnsi="Times New Roman" w:cs="Times New Roman"/>
            <w:color w:val="000000"/>
            <w:sz w:val="24"/>
            <w:szCs w:val="24"/>
          </w:rPr>
          <w:t xml:space="preserve"> o BFG, jednym ze </w:t>
        </w:r>
      </w:hyperlink>
      <w:r w:rsidRPr="008D7149">
        <w:rPr>
          <w:rFonts w:ascii="Times New Roman" w:hAnsi="Times New Roman" w:cs="Times New Roman"/>
          <w:color w:val="000000"/>
          <w:sz w:val="24"/>
          <w:szCs w:val="24"/>
        </w:rPr>
        <w:t xml:space="preserve">źródeł finansowania </w:t>
      </w:r>
      <w:r w:rsidR="00A05B34" w:rsidRPr="008D7149">
        <w:rPr>
          <w:rFonts w:ascii="Times New Roman" w:hAnsi="Times New Roman" w:cs="Times New Roman"/>
          <w:color w:val="000000"/>
          <w:sz w:val="24"/>
          <w:szCs w:val="24"/>
        </w:rPr>
        <w:t xml:space="preserve">BFG </w:t>
      </w:r>
      <w:r w:rsidRPr="008D7149">
        <w:rPr>
          <w:rFonts w:ascii="Times New Roman" w:hAnsi="Times New Roman" w:cs="Times New Roman"/>
          <w:color w:val="000000"/>
          <w:sz w:val="24"/>
          <w:szCs w:val="24"/>
        </w:rPr>
        <w:t xml:space="preserve">są środki pozyskane z tytułu zaciągniętych pożyczek, kredytów i emisji obligacji. W związku z powyższym, proponowana zmiana polegająca na dodaniu w ustawie </w:t>
      </w:r>
      <w:r w:rsidR="00E30736" w:rsidRPr="008D7149">
        <w:rPr>
          <w:rFonts w:ascii="Times New Roman" w:hAnsi="Times New Roman" w:cs="Times New Roman"/>
          <w:color w:val="000000"/>
          <w:sz w:val="24"/>
          <w:szCs w:val="24"/>
        </w:rPr>
        <w:t xml:space="preserve">z dnia 15 stycznia 2016 r. </w:t>
      </w:r>
      <w:r w:rsidRPr="008D7149">
        <w:rPr>
          <w:rFonts w:ascii="Times New Roman" w:hAnsi="Times New Roman" w:cs="Times New Roman"/>
          <w:color w:val="000000"/>
          <w:sz w:val="24"/>
          <w:szCs w:val="24"/>
        </w:rPr>
        <w:t xml:space="preserve">o podatku od niektórych instytucji finansowych w </w:t>
      </w:r>
      <w:r w:rsidRPr="008D7149">
        <w:rPr>
          <w:rFonts w:ascii="Times New Roman" w:hAnsi="Times New Roman" w:cs="Times New Roman"/>
          <w:b/>
          <w:color w:val="000000"/>
          <w:sz w:val="24"/>
          <w:szCs w:val="24"/>
        </w:rPr>
        <w:t>art. 5 ust. 11</w:t>
      </w:r>
      <w:r w:rsidRPr="008D7149">
        <w:rPr>
          <w:rFonts w:ascii="Times New Roman" w:hAnsi="Times New Roman" w:cs="Times New Roman"/>
          <w:color w:val="000000"/>
          <w:sz w:val="24"/>
          <w:szCs w:val="24"/>
        </w:rPr>
        <w:t>, ma na celu wprowadzenie zachęt dla podmiotów z sektora finansowego do finansowania działań BFG w ramach jego ustawowych uprawnień, w szczególności w ramach procesów przymusowej restrukturyzacji.</w:t>
      </w:r>
    </w:p>
    <w:p w14:paraId="503473D2" w14:textId="47FFD048" w:rsidR="00695EEB" w:rsidRPr="008D7149" w:rsidRDefault="00695EEB"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color w:val="000000"/>
          <w:sz w:val="24"/>
          <w:szCs w:val="24"/>
        </w:rPr>
        <w:t xml:space="preserve">Celem prowadzonych przez BFG działań w ramach przymusowej restrukturyzacji jest zapobieżenie upadłości banków, kas lub firm inwestycyjnych, wobec których BFG zidentyfikował przesłankę działania w interesie publicznym. Działania są podejmowane w interesie publicznym, jeżeli są konieczne dla zapewnienia realizacji co najmniej jednego z celów przymusowej restrukturyzacji określonych w art. 66 ustawy o BFG, a osiągnięcie tych celów w takim samym stopniu nie jest możliwe w ramach sprawowanego nadzoru lub postępowania upadłościowego. Jednym z celów, o których mowa w art. 66 ustawy o BFG, jest </w:t>
      </w:r>
      <w:r w:rsidRPr="008D7149">
        <w:rPr>
          <w:rFonts w:ascii="Times New Roman" w:hAnsi="Times New Roman" w:cs="Times New Roman"/>
          <w:color w:val="000000"/>
          <w:sz w:val="24"/>
          <w:szCs w:val="24"/>
        </w:rPr>
        <w:lastRenderedPageBreak/>
        <w:t xml:space="preserve">utrzymanie stabilności finansowej, w szczególności przez ochronę zaufania do sektora finansowego i zapewnienie dyscypliny rynkowej. </w:t>
      </w:r>
    </w:p>
    <w:p w14:paraId="074C1277" w14:textId="1635D7E1" w:rsidR="00695EEB" w:rsidRPr="008D7149" w:rsidRDefault="00695EEB"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color w:val="000000"/>
          <w:sz w:val="24"/>
          <w:szCs w:val="24"/>
        </w:rPr>
        <w:t>Skuteczne przeprowadzenie przymusowej restrukturyzacji wymaga niekiedy zastosowania instrumentu przymusowej restrukturyzacji w postaci wydzielenia praw majątkowych, o którym mowa w art. 110 ust. 1 pkt 4 ustawy o BFG. W celu zarządzania wydzielonymi prawami majątkowymi i zobowiązaniami z jednego albo kilku podmiotów w restrukturyzacji lub instytucji pomostowej, a w szczególności w celu ich zbycia</w:t>
      </w:r>
      <w:r w:rsidR="006D5FF1">
        <w:rPr>
          <w:rFonts w:ascii="Times New Roman" w:hAnsi="Times New Roman" w:cs="Times New Roman"/>
          <w:color w:val="000000"/>
          <w:sz w:val="24"/>
          <w:szCs w:val="24"/>
        </w:rPr>
        <w:t>,</w:t>
      </w:r>
      <w:r w:rsidRPr="008D7149">
        <w:rPr>
          <w:rFonts w:ascii="Times New Roman" w:hAnsi="Times New Roman" w:cs="Times New Roman"/>
          <w:color w:val="000000"/>
          <w:sz w:val="24"/>
          <w:szCs w:val="24"/>
        </w:rPr>
        <w:t xml:space="preserve"> tworzony jest podmiot zarządzający aktywami (art. 224 ust. 2 ustawy o BFG). Zgodnie z art. 42 ust. 6 BRRD, stosując instrument wydzielenia praw majątkowych/aktywów, organ ds. przymusowej restrukturyzacji określa należność, za jaką aktywa i zobowiązania są przenoszone do podmiotu zarządzającego aktywami, zgodnie z zasadami ustanowionymi w art. 36 BRRD i zgodnie z unijnymi ramami pomocy państwa. W celu pozyskania środków na zapłatę należności przez podmiot zarządzający aktywami w odniesieniu do aktywów lub zobowiązań nabytych bezpośrednio od instytucji objętej przymusową restrukturyzacją możliwe jest wyemitowanie obligacji przez podmiot zarządzający aktywami (art. 42 ust. 7 BRRD). Brak możliwości utworzenia podmiotu zarządzającego aktywami w niektórych przypadkach mogłoby wykluczyć przeprowadzenie przymusowej restrukturyzacji.</w:t>
      </w:r>
    </w:p>
    <w:p w14:paraId="0C6D042C" w14:textId="6B9860DA" w:rsidR="00695EEB" w:rsidRPr="008D7149" w:rsidRDefault="00695EEB"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color w:val="000000"/>
          <w:sz w:val="24"/>
          <w:szCs w:val="24"/>
        </w:rPr>
        <w:t>W sytuacji braku możliwości przeprowadzenia przymusowej restrukturyzacji alternatywą dla banku lub spółdzielczej kasy oszczędnościowo-kredytowej zagrożonych upadłością pozostaje ich likwidacja w ramach postępowania upadłościowego oraz wypłata środków gwarantowanych. W przypadku banków lub spółdzielczych kas oszczędnościowo-kredytowych o dużej wysokości zobowiązań z tytułu depozytów gwarantowanych może okazać się, że środki zgromadzone na funduszach gwarancyjnych banków lub kas okażą się niewystarczające i konieczne będzie zebranie składek nadzwyczajnych z sektora bankowego lub sektora spółdzielczych kas oszczędnościowo-kredytowych (art. 291</w:t>
      </w:r>
      <w:r w:rsidR="006D5FF1">
        <w:rPr>
          <w:rFonts w:ascii="Times New Roman" w:hAnsi="Times New Roman" w:cs="Times New Roman"/>
          <w:color w:val="000000"/>
          <w:sz w:val="24"/>
          <w:szCs w:val="24"/>
        </w:rPr>
        <w:t>–</w:t>
      </w:r>
      <w:r w:rsidRPr="008D7149">
        <w:rPr>
          <w:rFonts w:ascii="Times New Roman" w:hAnsi="Times New Roman" w:cs="Times New Roman"/>
          <w:color w:val="000000"/>
          <w:sz w:val="24"/>
          <w:szCs w:val="24"/>
        </w:rPr>
        <w:t>292 ustawy o BFG). Z punktu widzenia wpływów do budżetu państwa taka sytuacja jest niekorzystna. Pobór składek nadzwyczajnych powoduje zmniejszanie się zysków sektora finansowego</w:t>
      </w:r>
      <w:r w:rsidR="006D5FF1">
        <w:rPr>
          <w:rFonts w:ascii="Times New Roman" w:hAnsi="Times New Roman" w:cs="Times New Roman"/>
          <w:color w:val="000000"/>
          <w:sz w:val="24"/>
          <w:szCs w:val="24"/>
        </w:rPr>
        <w:t>,</w:t>
      </w:r>
      <w:r w:rsidRPr="008D7149">
        <w:rPr>
          <w:rFonts w:ascii="Times New Roman" w:hAnsi="Times New Roman" w:cs="Times New Roman"/>
          <w:color w:val="000000"/>
          <w:sz w:val="24"/>
          <w:szCs w:val="24"/>
        </w:rPr>
        <w:t xml:space="preserve"> co pośrednio przekłada się na niższe wpływy od banków lub spółdzielczych kas oszczędnościowo-kredytowych z tytułu podatku dochodowego od osób prawnych (CIT). Wskazana sytuacja ma szczególnie istotne znaczenie w kontekście banków komercyjnych, które są jednymi z największych płatników CIT. </w:t>
      </w:r>
    </w:p>
    <w:p w14:paraId="4D45D484" w14:textId="38CE8BE1" w:rsidR="00695EEB" w:rsidRPr="008D7149" w:rsidRDefault="00695EEB"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color w:val="000000"/>
          <w:sz w:val="24"/>
          <w:szCs w:val="24"/>
        </w:rPr>
        <w:t xml:space="preserve">Należy zauważyć, że składka na BFG jest jedną z głównych składowych obciążeń banków, obok podatku CIT oraz podatku </w:t>
      </w:r>
      <w:r w:rsidRPr="008D7149">
        <w:rPr>
          <w:rFonts w:ascii="Times New Roman" w:hAnsi="Times New Roman" w:cs="Times New Roman"/>
          <w:sz w:val="24"/>
          <w:szCs w:val="24"/>
        </w:rPr>
        <w:t xml:space="preserve">od niektórych instytucji finansowych </w:t>
      </w:r>
      <w:r w:rsidRPr="008D7149">
        <w:rPr>
          <w:rFonts w:ascii="Times New Roman" w:hAnsi="Times New Roman" w:cs="Times New Roman"/>
          <w:color w:val="000000"/>
          <w:sz w:val="24"/>
          <w:szCs w:val="24"/>
        </w:rPr>
        <w:t xml:space="preserve">(tzw. podatku </w:t>
      </w:r>
      <w:r w:rsidRPr="008D7149">
        <w:rPr>
          <w:rFonts w:ascii="Times New Roman" w:hAnsi="Times New Roman" w:cs="Times New Roman"/>
          <w:color w:val="000000"/>
          <w:sz w:val="24"/>
          <w:szCs w:val="24"/>
        </w:rPr>
        <w:lastRenderedPageBreak/>
        <w:t xml:space="preserve">bankowego). Możliwość emisji obligacji przez BFG zwiększy elastyczność w zakresie kształtowania wielkości obowiązkowej składki, przez co w sytuacji pogorszonej koniunktury będzie można ją zredukować (tak jak ma to miejsce w 2021 r.), co poprawi sytuację podmiotów w sektorze, a że zredukowane środki zostaną zrekompensowane emisją obligacji – nie będzie miało to istotnego wpływu na ryzyko systemowe. Dodatkowo, potencjalne zmniejszenie składki </w:t>
      </w:r>
      <w:r w:rsidR="00E30736" w:rsidRPr="008D7149">
        <w:rPr>
          <w:rFonts w:ascii="Times New Roman" w:hAnsi="Times New Roman" w:cs="Times New Roman"/>
          <w:color w:val="000000"/>
          <w:sz w:val="24"/>
          <w:szCs w:val="24"/>
        </w:rPr>
        <w:t xml:space="preserve">na </w:t>
      </w:r>
      <w:r w:rsidRPr="008D7149">
        <w:rPr>
          <w:rFonts w:ascii="Times New Roman" w:hAnsi="Times New Roman" w:cs="Times New Roman"/>
          <w:color w:val="000000"/>
          <w:sz w:val="24"/>
          <w:szCs w:val="24"/>
        </w:rPr>
        <w:t>BFG oraz zyski odsetkowe z tytułu wykupionych przez banki obligacji mogą wpłynąć na poprawę wyników banków, co przełoży się na wyższe wpływy z podatku CIT, a to z kolei wpłynie korzystnie na budżet państwa.</w:t>
      </w:r>
    </w:p>
    <w:p w14:paraId="0AF69F34" w14:textId="0005B01A" w:rsidR="00695EEB" w:rsidRPr="008D7149" w:rsidRDefault="00695EEB"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color w:val="000000"/>
          <w:sz w:val="24"/>
          <w:szCs w:val="24"/>
        </w:rPr>
        <w:t xml:space="preserve">Ponadto proponowana zmiana ma na celu zwiększenie zaangażowania sektora finansowego w proces przymusowej restrukturyzacji m.in. przez nabywanie przez banki krajowe, oddziały banków zagranicznych, oddziały instytucji kredytowych, spółdzielcze kasy </w:t>
      </w:r>
      <w:r w:rsidRPr="008D7149">
        <w:rPr>
          <w:rFonts w:ascii="Times New Roman" w:hAnsi="Times New Roman" w:cs="Times New Roman"/>
          <w:color w:val="000000"/>
          <w:sz w:val="24"/>
          <w:szCs w:val="24"/>
        </w:rPr>
        <w:br/>
        <w:t>oszczędnościowo-kredytowe, krajowe zakłady ubezpieczeń, krajowe zakłady reasekuracji, oddziały zagranicznych zakładów ubezpieczeń i zagranicznych zakładów reasekuracji czy główne oddziały zagranicznych zakładów ubezpieczeń i zagranicznych oddziałów reasekuracji obligacji wyemitowanych przez BFG lub podmiot zarządzający aktywami. W przypadku nabywania powyższych obligacji należy wskazać, że podaż takich papierów dłużnych będzie miała</w:t>
      </w:r>
      <w:r w:rsidR="003C25ED">
        <w:rPr>
          <w:rFonts w:ascii="Times New Roman" w:hAnsi="Times New Roman" w:cs="Times New Roman"/>
          <w:color w:val="000000"/>
          <w:sz w:val="24"/>
          <w:szCs w:val="24"/>
        </w:rPr>
        <w:t xml:space="preserve">, </w:t>
      </w:r>
      <w:r w:rsidRPr="008D7149">
        <w:rPr>
          <w:rFonts w:ascii="Times New Roman" w:hAnsi="Times New Roman" w:cs="Times New Roman"/>
          <w:color w:val="000000"/>
          <w:sz w:val="24"/>
          <w:szCs w:val="24"/>
        </w:rPr>
        <w:t>co do zasady</w:t>
      </w:r>
      <w:r w:rsidR="003C25ED">
        <w:rPr>
          <w:rFonts w:ascii="Times New Roman" w:hAnsi="Times New Roman" w:cs="Times New Roman"/>
          <w:color w:val="000000"/>
          <w:sz w:val="24"/>
          <w:szCs w:val="24"/>
        </w:rPr>
        <w:t>,</w:t>
      </w:r>
      <w:r w:rsidRPr="008D7149">
        <w:rPr>
          <w:rFonts w:ascii="Times New Roman" w:hAnsi="Times New Roman" w:cs="Times New Roman"/>
          <w:color w:val="000000"/>
          <w:sz w:val="24"/>
          <w:szCs w:val="24"/>
        </w:rPr>
        <w:t xml:space="preserve"> charakter wyjątkowy i będzie uzależniona wyłącznie od prowadzenia przez BFG działań, w szczególności w ramach przymusowej restrukturyzacji. W konsekwencji możliwość obniżenia podstawy opodatkowania o aktywa w postaci emitowanych przez BFG lub podmiot zarządzający aktywami obligacji czy też udzielonych tym podmiotom kredytów lub pożyczek nie będzie mogła być podstawą do budowania przez banki i inne podmioty wskazane w wyłączeniu strategii biznesowej nakierowanej na zmniejszanie obciążeń fiskalnych.</w:t>
      </w:r>
    </w:p>
    <w:p w14:paraId="324639CD" w14:textId="78659CE5" w:rsidR="00695EEB" w:rsidRPr="008D7149" w:rsidRDefault="00695EEB" w:rsidP="008D7149">
      <w:pPr>
        <w:spacing w:before="120" w:after="0" w:line="360" w:lineRule="auto"/>
        <w:jc w:val="both"/>
        <w:rPr>
          <w:rFonts w:ascii="Times New Roman" w:hAnsi="Times New Roman" w:cs="Times New Roman"/>
          <w:color w:val="000000"/>
          <w:sz w:val="24"/>
          <w:szCs w:val="24"/>
        </w:rPr>
      </w:pPr>
      <w:r w:rsidRPr="008D7149">
        <w:rPr>
          <w:rFonts w:ascii="Times New Roman" w:hAnsi="Times New Roman" w:cs="Times New Roman"/>
          <w:color w:val="000000"/>
          <w:sz w:val="24"/>
          <w:szCs w:val="24"/>
        </w:rPr>
        <w:t>Celem proponowanej regulacji jest przede wszystkim stworzenie BFG możliwości wykorzystania wszystkich instrumentów związanych z ustawowymi zadaniami, w szczególności instrumentów przymusowej restrukturyzacji, w taki sposób, aby możliwe było utrzymanie stabilności na rynku finansowym. Utrudnienia w postaci braku możliwości uzyskania szybkiego finansowania zewnętrznego dla podmiotu zarządzającego aktywami mogą przełożyć się na brak możliwości zastosowania instrumentu przymusowej restrukturyzacji w postaci wydzielenia aktywów, a co za tym idzie</w:t>
      </w:r>
      <w:r w:rsidR="003C25ED">
        <w:rPr>
          <w:rFonts w:ascii="Times New Roman" w:hAnsi="Times New Roman" w:cs="Times New Roman"/>
          <w:color w:val="000000"/>
          <w:sz w:val="24"/>
          <w:szCs w:val="24"/>
        </w:rPr>
        <w:t xml:space="preserve"> –</w:t>
      </w:r>
      <w:r w:rsidRPr="008D7149">
        <w:rPr>
          <w:rFonts w:ascii="Times New Roman" w:hAnsi="Times New Roman" w:cs="Times New Roman"/>
          <w:color w:val="000000"/>
          <w:sz w:val="24"/>
          <w:szCs w:val="24"/>
        </w:rPr>
        <w:t xml:space="preserve"> na niepowodzenie całego procesu przymusowej restrukturyzacji. </w:t>
      </w:r>
    </w:p>
    <w:p w14:paraId="4B2431E2" w14:textId="657F44D2" w:rsidR="00695EEB" w:rsidRPr="008D7149" w:rsidRDefault="00695EEB" w:rsidP="001B59F7">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1</w:t>
      </w:r>
      <w:r w:rsidR="005417FC" w:rsidRPr="008D7149">
        <w:rPr>
          <w:rFonts w:ascii="Times New Roman" w:eastAsia="Calibri" w:hAnsi="Times New Roman" w:cs="Times New Roman"/>
          <w:sz w:val="24"/>
          <w:szCs w:val="24"/>
        </w:rPr>
        <w:t>5</w:t>
      </w:r>
      <w:r w:rsidR="00F639BC">
        <w:rPr>
          <w:rFonts w:ascii="Times New Roman" w:eastAsia="Calibri" w:hAnsi="Times New Roman" w:cs="Times New Roman"/>
          <w:sz w:val="24"/>
          <w:szCs w:val="24"/>
        </w:rPr>
        <w:t>)</w:t>
      </w:r>
      <w:r w:rsidR="00F639BC">
        <w:rPr>
          <w:rFonts w:ascii="Times New Roman" w:eastAsia="Calibri" w:hAnsi="Times New Roman" w:cs="Times New Roman"/>
          <w:sz w:val="24"/>
          <w:szCs w:val="24"/>
        </w:rPr>
        <w:tab/>
      </w:r>
      <w:r w:rsidRPr="008D7149">
        <w:rPr>
          <w:rFonts w:ascii="Times New Roman" w:eastAsia="Calibri" w:hAnsi="Times New Roman" w:cs="Times New Roman"/>
          <w:b/>
          <w:sz w:val="24"/>
          <w:szCs w:val="24"/>
        </w:rPr>
        <w:t>Art. 1</w:t>
      </w:r>
      <w:r w:rsidR="005417FC" w:rsidRPr="008D7149">
        <w:rPr>
          <w:rFonts w:ascii="Times New Roman" w:eastAsia="Calibri" w:hAnsi="Times New Roman" w:cs="Times New Roman"/>
          <w:b/>
          <w:sz w:val="24"/>
          <w:szCs w:val="24"/>
        </w:rPr>
        <w:t>5</w:t>
      </w:r>
      <w:r w:rsidRPr="00315BEB">
        <w:rPr>
          <w:rFonts w:ascii="Times New Roman" w:eastAsia="Calibri" w:hAnsi="Times New Roman" w:cs="Times New Roman"/>
          <w:sz w:val="24"/>
          <w:szCs w:val="24"/>
        </w:rPr>
        <w:t xml:space="preserve"> projektu</w:t>
      </w:r>
      <w:r w:rsidRPr="008D7149">
        <w:rPr>
          <w:rFonts w:ascii="Times New Roman" w:eastAsia="Calibri" w:hAnsi="Times New Roman" w:cs="Times New Roman"/>
          <w:sz w:val="24"/>
          <w:szCs w:val="24"/>
        </w:rPr>
        <w:t xml:space="preserve"> wprowadza zmiany w ustawie o BFG, które dotyczą m.in. określenia struktury bilansu instytucji kredytowej w taki sposób, aby umożliwiała ona wsparcie procesu </w:t>
      </w:r>
      <w:r w:rsidRPr="008D7149">
        <w:rPr>
          <w:rFonts w:ascii="Times New Roman" w:eastAsia="Calibri" w:hAnsi="Times New Roman" w:cs="Times New Roman"/>
          <w:sz w:val="24"/>
          <w:szCs w:val="24"/>
        </w:rPr>
        <w:lastRenderedPageBreak/>
        <w:t xml:space="preserve">przymusowej restrukturyzacji ze środków systemu gwarantowania depozytów (z funduszu gwarancyjnego banków lub z funduszu gwarancyjnego kas). Celem projektowanych rozwiązań jest zwiększenie efektywności przede wszystkim instrumentu przejęcia przedsiębiorstwa. </w:t>
      </w:r>
    </w:p>
    <w:p w14:paraId="469A7EB9" w14:textId="1AF4E61F"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Obecne unormowania w tym zakresie znacząco utrudniają taką możliwość. Aktualnie bowiem udzielenie wsparcia ze środków systemu gwarantowania depozytów przy przejęciu przedsiębiorstwa jest możliwe wyłącznie wtedy, gdy instytucja kredytowa posiada określoną strukturę bilansu (aktywów i pasywów). Wsparcie może zostać udzielone wyłącznie w takim przypadku, gdy wartość przejmowanych pasywów – ograniczonych wyłącznie do depozytów gwarantowanych – przekracza wartość przejmowanych praw majątkowych. Ponadto w projekcie zawarto także kilka korekt redakcyjnych związanych z procesem legislacyjnym dotyczącym projektu ustawy z dnia 8 lipca 2021 r. o zmianie ustawy o Bankowym Funduszu Gwarancyjnym, systemie gwarantowania depozytów oraz przymusowej restrukturyzacji oraz niektórych innych ustaw</w:t>
      </w:r>
      <w:r w:rsidR="00A05B34"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w:t>
      </w:r>
      <w:r w:rsidR="00A05B34" w:rsidRPr="008D7149">
        <w:rPr>
          <w:rFonts w:ascii="Times New Roman" w:eastAsia="Calibri" w:hAnsi="Times New Roman" w:cs="Times New Roman"/>
          <w:sz w:val="24"/>
          <w:szCs w:val="24"/>
        </w:rPr>
        <w:t xml:space="preserve">zwanej dalej „nowelizacją ustawy o BFG”, </w:t>
      </w:r>
      <w:r w:rsidRPr="008D7149">
        <w:rPr>
          <w:rFonts w:ascii="Times New Roman" w:eastAsia="Calibri" w:hAnsi="Times New Roman" w:cs="Times New Roman"/>
          <w:sz w:val="24"/>
          <w:szCs w:val="24"/>
        </w:rPr>
        <w:t>implementującym przepisy dyrektywy BRRD2</w:t>
      </w:r>
      <w:r w:rsidRPr="008D7149">
        <w:rPr>
          <w:rStyle w:val="Odwoanieprzypisudolnego"/>
          <w:rFonts w:ascii="Times New Roman" w:eastAsia="Calibri" w:hAnsi="Times New Roman" w:cs="Times New Roman"/>
          <w:sz w:val="24"/>
          <w:szCs w:val="24"/>
        </w:rPr>
        <w:footnoteReference w:id="5"/>
      </w:r>
      <w:r w:rsidRPr="008D7149">
        <w:rPr>
          <w:rFonts w:ascii="Times New Roman" w:eastAsia="Calibri" w:hAnsi="Times New Roman" w:cs="Times New Roman"/>
          <w:sz w:val="24"/>
          <w:szCs w:val="24"/>
        </w:rPr>
        <w:t>, a także zmiany w przedmiocie usprawnień operacyjnych instrumentu przymusowej restrukturyzacji w postaci wydzielenia praw majątkowych oraz powiązane z nimi zmiany dot. emisji obligacji przez podmiot zarządzający aktywami, który zgodnie z ustawą o BFG jest nabywcą tych wydzielonych praw majątkowych. Zmiany w tej ustawie obejmują również swoim zakresem zmiany dostosowawcze wynikające z przewidzianej projektem zmiany ustawy o ofercie publicznej.</w:t>
      </w:r>
    </w:p>
    <w:p w14:paraId="7D47862B"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Dodanie w </w:t>
      </w:r>
      <w:r w:rsidRPr="008D7149">
        <w:rPr>
          <w:rFonts w:ascii="Times New Roman" w:eastAsia="Calibri" w:hAnsi="Times New Roman" w:cs="Times New Roman"/>
          <w:b/>
          <w:sz w:val="24"/>
          <w:szCs w:val="24"/>
        </w:rPr>
        <w:t>art. 2 pkt 71a</w:t>
      </w:r>
      <w:r w:rsidRPr="008D7149">
        <w:rPr>
          <w:rFonts w:ascii="Times New Roman" w:eastAsia="Calibri" w:hAnsi="Times New Roman" w:cs="Times New Roman"/>
          <w:sz w:val="24"/>
          <w:szCs w:val="24"/>
        </w:rPr>
        <w:t xml:space="preserve"> wynika z konieczności prawidłowej implementacji definicji „umów finansowych” (art. 2 pkt 100 BRRD), które dotychczas w zawężający sposób zostały zdefiniowane w art. 144b ust. 1 ustawy o BFG implementującym art. 71a BRRD.</w:t>
      </w:r>
    </w:p>
    <w:p w14:paraId="3BF31B7A"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Dodawany w </w:t>
      </w:r>
      <w:r w:rsidRPr="008D7149">
        <w:rPr>
          <w:rFonts w:ascii="Times New Roman" w:hAnsi="Times New Roman" w:cs="Times New Roman"/>
          <w:b/>
          <w:sz w:val="24"/>
          <w:szCs w:val="24"/>
        </w:rPr>
        <w:t>art. 8 ust. 1 pkt 8a</w:t>
      </w:r>
      <w:r w:rsidRPr="008D7149">
        <w:rPr>
          <w:rFonts w:ascii="Times New Roman" w:hAnsi="Times New Roman" w:cs="Times New Roman"/>
          <w:sz w:val="24"/>
          <w:szCs w:val="24"/>
        </w:rPr>
        <w:t xml:space="preserve"> dodaje Radzie BFG kompetencje przewidziane w art. 287 ust. 2 ustawy o BFG.</w:t>
      </w:r>
    </w:p>
    <w:p w14:paraId="7871FAE6" w14:textId="77777777" w:rsidR="00695EEB" w:rsidRPr="008D7149" w:rsidRDefault="00695EEB" w:rsidP="008D7149">
      <w:pPr>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Dodawany w </w:t>
      </w:r>
      <w:r w:rsidRPr="008D7149">
        <w:rPr>
          <w:rFonts w:ascii="Times New Roman" w:eastAsia="Times New Roman" w:hAnsi="Times New Roman" w:cs="Times New Roman"/>
          <w:b/>
          <w:bCs/>
          <w:sz w:val="24"/>
          <w:szCs w:val="24"/>
        </w:rPr>
        <w:t>art. 8 ust. 1a</w:t>
      </w:r>
      <w:r w:rsidRPr="008D7149">
        <w:rPr>
          <w:rFonts w:ascii="Times New Roman" w:eastAsia="Times New Roman" w:hAnsi="Times New Roman" w:cs="Times New Roman"/>
          <w:bCs/>
          <w:sz w:val="24"/>
          <w:szCs w:val="24"/>
        </w:rPr>
        <w:t xml:space="preserve"> przewiduje przyjęcie przez Radę BFG na wniosek Zarządu BFG zasad obniżania docelowego poziomu środków, o czym jest mowa w art. 8 ust. 1 pkt 8a ustawy o BFG. W celu zapewnienia powszechnego dostępu do ww. zasad będą one zamieszczane na stronie internetowej BFG.</w:t>
      </w:r>
    </w:p>
    <w:p w14:paraId="47B332C1" w14:textId="5F655C17" w:rsidR="00695EEB" w:rsidRPr="008D7149" w:rsidRDefault="00695EEB" w:rsidP="008D7149">
      <w:pPr>
        <w:spacing w:before="120" w:after="0" w:line="360" w:lineRule="auto"/>
        <w:jc w:val="both"/>
        <w:rPr>
          <w:rFonts w:ascii="Times New Roman" w:hAnsi="Times New Roman" w:cs="Times New Roman"/>
          <w:b/>
          <w:sz w:val="24"/>
          <w:szCs w:val="24"/>
        </w:rPr>
      </w:pPr>
      <w:r w:rsidRPr="008D7149">
        <w:rPr>
          <w:rFonts w:ascii="Times New Roman" w:hAnsi="Times New Roman" w:cs="Times New Roman"/>
          <w:sz w:val="24"/>
          <w:szCs w:val="24"/>
        </w:rPr>
        <w:lastRenderedPageBreak/>
        <w:t>Dodanie w</w:t>
      </w:r>
      <w:r w:rsidRPr="008D7149">
        <w:rPr>
          <w:rFonts w:ascii="Times New Roman" w:hAnsi="Times New Roman" w:cs="Times New Roman"/>
          <w:b/>
          <w:sz w:val="24"/>
          <w:szCs w:val="24"/>
        </w:rPr>
        <w:t xml:space="preserve"> art. 11 ust. 4 pkt 20a </w:t>
      </w:r>
      <w:r w:rsidRPr="008D7149">
        <w:rPr>
          <w:rFonts w:ascii="Times New Roman" w:hAnsi="Times New Roman" w:cs="Times New Roman"/>
          <w:sz w:val="24"/>
          <w:szCs w:val="24"/>
        </w:rPr>
        <w:t>ma na celu</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rozszerzenie katalogu decyzji BFG podejmowanych w formie uchwały Zarządu BFG o uwzględnienie decyzji w sprawie zwrotnego przeniesienia wybranych praw majątkowych lub wybranych zobowiązań, które zostały wcześniej przeniesione do podmiotu zarządzającego aktywami. Zmiana jest konieczna</w:t>
      </w:r>
      <w:r w:rsidR="007E6ED3" w:rsidRPr="008D7149">
        <w:rPr>
          <w:rFonts w:ascii="Times New Roman" w:hAnsi="Times New Roman" w:cs="Times New Roman"/>
          <w:sz w:val="24"/>
          <w:szCs w:val="24"/>
        </w:rPr>
        <w:t>,</w:t>
      </w:r>
      <w:r w:rsidRPr="008D7149">
        <w:rPr>
          <w:rFonts w:ascii="Times New Roman" w:hAnsi="Times New Roman" w:cs="Times New Roman"/>
          <w:sz w:val="24"/>
          <w:szCs w:val="24"/>
        </w:rPr>
        <w:t xml:space="preserve"> ponieważ zwrotne przeniesienie praw majątkowych lub zobowiązań z podmiotu zarządzającego aktywami nie mieści się w kategoriach z art. 11 ust. 4.</w:t>
      </w:r>
    </w:p>
    <w:p w14:paraId="40AEF0DA" w14:textId="05016482"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 </w:t>
      </w:r>
      <w:r w:rsidRPr="008D7149">
        <w:rPr>
          <w:rFonts w:ascii="Times New Roman" w:eastAsia="Calibri" w:hAnsi="Times New Roman" w:cs="Times New Roman"/>
          <w:b/>
          <w:sz w:val="24"/>
          <w:szCs w:val="24"/>
        </w:rPr>
        <w:t>art. 67 w ust. 1 w pkt 1</w:t>
      </w:r>
      <w:r w:rsidRPr="008D7149">
        <w:rPr>
          <w:rFonts w:ascii="Times New Roman" w:eastAsia="Calibri" w:hAnsi="Times New Roman" w:cs="Times New Roman"/>
          <w:sz w:val="24"/>
          <w:szCs w:val="24"/>
        </w:rPr>
        <w:t xml:space="preserve"> ma charakter wyłącznie językowy, ponieważ w następstwie nowelizacji ustawy o BFG wymóg MREL zmienił nazwę na „</w:t>
      </w:r>
      <w:r w:rsidRPr="008D7149">
        <w:rPr>
          <w:rFonts w:ascii="Times New Roman" w:eastAsia="Calibri" w:hAnsi="Times New Roman" w:cs="Times New Roman"/>
          <w:i/>
          <w:sz w:val="24"/>
          <w:szCs w:val="24"/>
        </w:rPr>
        <w:t>minimalny poziom funduszy własnych i zobowiązań kwalifikowalnych”</w:t>
      </w:r>
      <w:r w:rsidRPr="008D7149">
        <w:rPr>
          <w:rFonts w:ascii="Times New Roman" w:eastAsia="Calibri" w:hAnsi="Times New Roman" w:cs="Times New Roman"/>
          <w:sz w:val="24"/>
          <w:szCs w:val="24"/>
        </w:rPr>
        <w:t xml:space="preserve"> względem wcześniejszej nomenklatury (przed nowelizacją ustawy o BFG „</w:t>
      </w:r>
      <w:r w:rsidRPr="008D7149">
        <w:rPr>
          <w:rFonts w:ascii="Times New Roman" w:eastAsia="Calibri" w:hAnsi="Times New Roman" w:cs="Times New Roman"/>
          <w:i/>
          <w:sz w:val="24"/>
          <w:szCs w:val="24"/>
        </w:rPr>
        <w:t>minimalny poziom funduszy własnych i zobowiązań podlegających umorzeniu lub konwersji”</w:t>
      </w:r>
      <w:r w:rsidRPr="008D7149">
        <w:rPr>
          <w:rFonts w:ascii="Times New Roman" w:eastAsia="Calibri" w:hAnsi="Times New Roman" w:cs="Times New Roman"/>
          <w:sz w:val="24"/>
          <w:szCs w:val="24"/>
        </w:rPr>
        <w:t>). Tym samym niniejsza zmiana ma na celu korektę niespójności językowej</w:t>
      </w:r>
      <w:r w:rsidR="003C25ED">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tj. nadanie właściwej nazwy określanemu przez BFG wymogowi.</w:t>
      </w:r>
    </w:p>
    <w:p w14:paraId="125AB3C3" w14:textId="754178F5"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 </w:t>
      </w:r>
      <w:r w:rsidRPr="008D7149">
        <w:rPr>
          <w:rFonts w:ascii="Times New Roman" w:eastAsia="Calibri" w:hAnsi="Times New Roman" w:cs="Times New Roman"/>
          <w:b/>
          <w:sz w:val="24"/>
          <w:szCs w:val="24"/>
        </w:rPr>
        <w:t xml:space="preserve">art. 70 ust. 2a </w:t>
      </w:r>
      <w:r w:rsidRPr="008D7149">
        <w:rPr>
          <w:rFonts w:ascii="Times New Roman" w:eastAsia="Calibri" w:hAnsi="Times New Roman" w:cs="Times New Roman"/>
          <w:sz w:val="24"/>
          <w:szCs w:val="24"/>
        </w:rPr>
        <w:t>ma na celu korektę nieprawidłowego odwołania, tj. obecnie obowiązujący art. 70 ust. 2a ustawy o BFG nie uwzględnia w sposób bezsprzeczny warunku z art. 70 ust. 2 pkt 2, jak również okoliczności z art. 70 ust. 2 pkt 1. Tym samym przepis w obecnym brzmieniu może wprowadzać wątpliwości, czy poprawnie realizuje dyspozycję art. 59 ust. 1a i 3 BRRD2, w myśl których warunki i okoliczności, w ramach których organ przymusowej restrukturyzacji dokonuje umorzenia lub konwersji są wspólne dla umorzenia lub konwersji instrumentów kapitałowych (dla przypadku określonego w art. 70 ust. 2 ustawy o BFG) oraz zobowiązań kwalifikowalnych (zgodnie z art. 70 ust. 2a ustawy o BFG).</w:t>
      </w:r>
      <w:r w:rsidR="007E6ED3" w:rsidRPr="008D7149">
        <w:rPr>
          <w:rFonts w:ascii="Times New Roman" w:eastAsia="Calibri" w:hAnsi="Times New Roman" w:cs="Times New Roman"/>
          <w:sz w:val="24"/>
          <w:szCs w:val="24"/>
        </w:rPr>
        <w:t xml:space="preserve"> Ponadto w wyniku zmiany w art. 70 ust. 2a uzupełniono ust. 3 i 4 tego artykułu o odwołania do odpowiednio ust. 2a pkt 2 i ust. 2a pkt 3.</w:t>
      </w:r>
    </w:p>
    <w:p w14:paraId="3CAF0E24" w14:textId="1D154F38"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Zmiany w </w:t>
      </w:r>
      <w:r w:rsidRPr="008D7149">
        <w:rPr>
          <w:rFonts w:ascii="Times New Roman" w:eastAsia="Calibri" w:hAnsi="Times New Roman" w:cs="Times New Roman"/>
          <w:b/>
          <w:sz w:val="24"/>
          <w:szCs w:val="24"/>
        </w:rPr>
        <w:t xml:space="preserve">art. 70a </w:t>
      </w:r>
      <w:r w:rsidRPr="008D7149">
        <w:rPr>
          <w:rFonts w:ascii="Times New Roman" w:eastAsia="Calibri" w:hAnsi="Times New Roman" w:cs="Times New Roman"/>
          <w:sz w:val="24"/>
          <w:szCs w:val="24"/>
        </w:rPr>
        <w:t>mają charakter wyłącznie językowy. Decyzja w przedmiocie umorzenia lub konwersji instrumentów kapitałowych lub zobowiązań kwalifikowalnych zawiera „</w:t>
      </w:r>
      <w:r w:rsidRPr="008D7149">
        <w:rPr>
          <w:rFonts w:ascii="Times New Roman" w:eastAsia="Calibri" w:hAnsi="Times New Roman" w:cs="Times New Roman"/>
          <w:i/>
          <w:sz w:val="24"/>
          <w:szCs w:val="24"/>
        </w:rPr>
        <w:t>sposób pozwalający</w:t>
      </w:r>
      <w:r w:rsidRPr="008D7149">
        <w:rPr>
          <w:rFonts w:ascii="Times New Roman" w:eastAsia="Calibri" w:hAnsi="Times New Roman" w:cs="Times New Roman"/>
          <w:sz w:val="24"/>
          <w:szCs w:val="24"/>
        </w:rPr>
        <w:t>” na identyfikację instrumentów kapitałowych lub zobowiązań kwalifikowalnych, podczas gdy powinna zawierać „</w:t>
      </w:r>
      <w:r w:rsidRPr="008D7149">
        <w:rPr>
          <w:rFonts w:ascii="Times New Roman" w:eastAsia="Calibri" w:hAnsi="Times New Roman" w:cs="Times New Roman"/>
          <w:i/>
          <w:sz w:val="24"/>
          <w:szCs w:val="24"/>
        </w:rPr>
        <w:t>wskazanie takiego sposobu</w:t>
      </w:r>
      <w:r w:rsidRPr="008D7149">
        <w:rPr>
          <w:rFonts w:ascii="Times New Roman" w:eastAsia="Calibri" w:hAnsi="Times New Roman" w:cs="Times New Roman"/>
          <w:sz w:val="24"/>
          <w:szCs w:val="24"/>
        </w:rPr>
        <w:t xml:space="preserve">”. Zmianie ulega także zaimek. </w:t>
      </w:r>
    </w:p>
    <w:p w14:paraId="22BE4DCD" w14:textId="4BDD3D52"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t>
      </w:r>
      <w:r w:rsidRPr="00B862CC">
        <w:rPr>
          <w:rFonts w:ascii="Times New Roman" w:eastAsia="Calibri" w:hAnsi="Times New Roman" w:cs="Times New Roman"/>
          <w:sz w:val="24"/>
          <w:szCs w:val="24"/>
        </w:rPr>
        <w:t>w</w:t>
      </w:r>
      <w:r w:rsidRPr="008D7149">
        <w:rPr>
          <w:rFonts w:ascii="Times New Roman" w:eastAsia="Calibri" w:hAnsi="Times New Roman" w:cs="Times New Roman"/>
          <w:b/>
          <w:sz w:val="24"/>
          <w:szCs w:val="24"/>
        </w:rPr>
        <w:t xml:space="preserve"> art. 92 ust. 9</w:t>
      </w:r>
      <w:r w:rsidRPr="008D7149">
        <w:rPr>
          <w:rFonts w:ascii="Times New Roman" w:eastAsia="Calibri" w:hAnsi="Times New Roman" w:cs="Times New Roman"/>
          <w:sz w:val="24"/>
          <w:szCs w:val="24"/>
        </w:rPr>
        <w:t xml:space="preserve"> ustawy o BFG ma charakter </w:t>
      </w:r>
      <w:proofErr w:type="spellStart"/>
      <w:r w:rsidRPr="008D7149">
        <w:rPr>
          <w:rFonts w:ascii="Times New Roman" w:eastAsia="Calibri" w:hAnsi="Times New Roman" w:cs="Times New Roman"/>
          <w:sz w:val="24"/>
          <w:szCs w:val="24"/>
        </w:rPr>
        <w:t>uspójniający</w:t>
      </w:r>
      <w:proofErr w:type="spellEnd"/>
      <w:r w:rsidRPr="008D7149">
        <w:rPr>
          <w:rFonts w:ascii="Times New Roman" w:eastAsia="Calibri" w:hAnsi="Times New Roman" w:cs="Times New Roman"/>
          <w:sz w:val="24"/>
          <w:szCs w:val="24"/>
        </w:rPr>
        <w:t>, mianowicie w art. 92 ust. 8 jest mowa o „okolicznościach wskazanych w ust. 3 i 3a”</w:t>
      </w:r>
      <w:r w:rsidR="007E6ED3"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natomiast w ust. 9 tego przepisu o „okolicznościach określonych w ust. 3”. Odesłania w obydwu tych przepisach powinny być tożsame, co zapewnia zaproponowana korekta.</w:t>
      </w:r>
    </w:p>
    <w:p w14:paraId="282A6CC6" w14:textId="162475F4"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lastRenderedPageBreak/>
        <w:t xml:space="preserve">Zmiany </w:t>
      </w:r>
      <w:r w:rsidRPr="004E204C">
        <w:rPr>
          <w:rFonts w:ascii="Times New Roman" w:eastAsia="Calibri" w:hAnsi="Times New Roman" w:cs="Times New Roman"/>
          <w:sz w:val="24"/>
          <w:szCs w:val="24"/>
        </w:rPr>
        <w:t>w</w:t>
      </w:r>
      <w:r w:rsidRPr="008D7149">
        <w:rPr>
          <w:rFonts w:ascii="Times New Roman" w:eastAsia="Calibri" w:hAnsi="Times New Roman" w:cs="Times New Roman"/>
          <w:b/>
          <w:sz w:val="24"/>
          <w:szCs w:val="24"/>
        </w:rPr>
        <w:t xml:space="preserve"> art. 101</w:t>
      </w:r>
      <w:r w:rsidRPr="008D7149">
        <w:rPr>
          <w:rFonts w:ascii="Times New Roman" w:eastAsia="Calibri" w:hAnsi="Times New Roman" w:cs="Times New Roman"/>
          <w:sz w:val="24"/>
          <w:szCs w:val="24"/>
        </w:rPr>
        <w:t xml:space="preserve"> mają na celu </w:t>
      </w:r>
      <w:proofErr w:type="spellStart"/>
      <w:r w:rsidRPr="008D7149">
        <w:rPr>
          <w:rFonts w:ascii="Times New Roman" w:eastAsia="Calibri" w:hAnsi="Times New Roman" w:cs="Times New Roman"/>
          <w:sz w:val="24"/>
          <w:szCs w:val="24"/>
        </w:rPr>
        <w:t>uspójnienie</w:t>
      </w:r>
      <w:proofErr w:type="spellEnd"/>
      <w:r w:rsidRPr="008D7149">
        <w:rPr>
          <w:rFonts w:ascii="Times New Roman" w:eastAsia="Calibri" w:hAnsi="Times New Roman" w:cs="Times New Roman"/>
          <w:sz w:val="24"/>
          <w:szCs w:val="24"/>
        </w:rPr>
        <w:t xml:space="preserve"> stosowanych w ustawie o BFG pojęć, eliminując tym samym ewentualne wątpliwości interpretacyjne, które mogłyby wystąpić przy obecnym brzmieniu.</w:t>
      </w:r>
    </w:p>
    <w:p w14:paraId="7E9BB913" w14:textId="0FCDBDA0" w:rsidR="00695EEB" w:rsidRPr="008D7149" w:rsidRDefault="00695EEB" w:rsidP="008D7149">
      <w:pPr>
        <w:pStyle w:val="Akapitzlist"/>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112 ust. 1 pkt 3</w:t>
      </w:r>
      <w:r w:rsidRPr="008D7149">
        <w:rPr>
          <w:rFonts w:ascii="Times New Roman" w:hAnsi="Times New Roman" w:cs="Times New Roman"/>
          <w:sz w:val="24"/>
          <w:szCs w:val="24"/>
        </w:rPr>
        <w:t xml:space="preserve"> ma na celu rozszerzenie zakresu gwarancji udzielanej osobom trzecim przez BFG ze środków funduszy przymusowej restrukturyzacji. Dotychczasowe przepisy ograniczały zakres takiej gwarancji do gwarancji spłaty kredytu lub pożyczki udzielanej, gdy taki kredyt lub pożyczka były udzielane podmiotowi w restrukturyzacji, jego podmiotom zależnym, instytucji pomostowej, podmiotowi zarządzającemu aktywami lub podmiotowi przejmującemu. Projektowane przepisy dodają możliwość udzielenia przez BFG osobom trzecim gwarancji spłaty zobowiązań podmiotu zarządzającego aktywami, gdy zobowiązania takie wynikają z obligacji wyemitowanych przez ten podmiot. Gwarancja taka byłaby ograniczona do zobowiązań powstałych z tytułu obligacji nabytych jedynie w obrocie pierwotnym w rozumieniu art. 3 pkt 3 ustawy o ofercie publicznej. Zmiana w znaczącym stopniu zwiększy operacyjność instrumentu przymusowej restrukturyzacji w postaci podmiotu zarządzającego aktywami z uwagi na rozszerzenie możliwości pozyskania przez ten podmiot finansowania. </w:t>
      </w:r>
    </w:p>
    <w:p w14:paraId="3718033E" w14:textId="3CCC1A5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Zmiany w </w:t>
      </w:r>
      <w:r w:rsidRPr="008D7149">
        <w:rPr>
          <w:rFonts w:ascii="Times New Roman" w:hAnsi="Times New Roman" w:cs="Times New Roman"/>
          <w:b/>
          <w:sz w:val="24"/>
          <w:szCs w:val="24"/>
        </w:rPr>
        <w:t>art. 112 ust. 3</w:t>
      </w:r>
      <w:r w:rsidRPr="008D7149">
        <w:rPr>
          <w:rFonts w:ascii="Times New Roman" w:hAnsi="Times New Roman" w:cs="Times New Roman"/>
          <w:sz w:val="24"/>
          <w:szCs w:val="24"/>
        </w:rPr>
        <w:t xml:space="preserve"> rozszerzają możliwość udzielenia wsparcia ze środków przymusowej restrukturyzacji w celu przeniesienia aktywów lub zobowiązań na podmiot zarządzający aktywami o gwarancję całkowitego lub częściowego pokrycia strat wynikających z ryzyka związanego z aktywami lub zobowiązaniami (tzw. gwarancja pokrycia strat). Ponadto gwarancją objęte będą straty wynikające z </w:t>
      </w:r>
      <w:proofErr w:type="spellStart"/>
      <w:r w:rsidRPr="008D7149">
        <w:rPr>
          <w:rFonts w:ascii="Times New Roman" w:hAnsi="Times New Roman" w:cs="Times New Roman"/>
          <w:sz w:val="24"/>
          <w:szCs w:val="24"/>
        </w:rPr>
        <w:t>ryzyk</w:t>
      </w:r>
      <w:proofErr w:type="spellEnd"/>
      <w:r w:rsidRPr="008D7149">
        <w:rPr>
          <w:rFonts w:ascii="Times New Roman" w:hAnsi="Times New Roman" w:cs="Times New Roman"/>
          <w:sz w:val="24"/>
          <w:szCs w:val="24"/>
        </w:rPr>
        <w:t xml:space="preserve"> dotyczących aktywów lub zobowiązań nie tylko, jak dotychczas, podmiotu w restrukturyzacji, ale również jego podmiotów zależnych, instytucji pomostowej lub podmiotu zarządzającego aktywami. Konieczność rozszerzenia katalogu tych </w:t>
      </w:r>
      <w:r w:rsidR="007E6ED3" w:rsidRPr="008D7149">
        <w:rPr>
          <w:rFonts w:ascii="Times New Roman" w:hAnsi="Times New Roman" w:cs="Times New Roman"/>
          <w:sz w:val="24"/>
          <w:szCs w:val="24"/>
        </w:rPr>
        <w:t xml:space="preserve">podmiotów </w:t>
      </w:r>
      <w:r w:rsidRPr="008D7149">
        <w:rPr>
          <w:rFonts w:ascii="Times New Roman" w:hAnsi="Times New Roman" w:cs="Times New Roman"/>
          <w:sz w:val="24"/>
          <w:szCs w:val="24"/>
        </w:rPr>
        <w:t xml:space="preserve">związana jest z możliwością przekazania do innego podmiotu również aktywów lub zobowiązań podmiotów zależnych od podmiotu w restrukturyzacji, instytucji pomostowej lub podmiotu zarządzającego aktywami. </w:t>
      </w:r>
    </w:p>
    <w:p w14:paraId="2F412662" w14:textId="0B4A8F14"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 </w:t>
      </w:r>
      <w:r w:rsidRPr="008D7149">
        <w:rPr>
          <w:rFonts w:ascii="Times New Roman" w:eastAsia="Calibri" w:hAnsi="Times New Roman" w:cs="Times New Roman"/>
          <w:b/>
          <w:sz w:val="24"/>
          <w:szCs w:val="24"/>
        </w:rPr>
        <w:t xml:space="preserve">art. 112 ust. 3 pkt 2 </w:t>
      </w:r>
      <w:r w:rsidRPr="008D7149">
        <w:rPr>
          <w:rFonts w:ascii="Times New Roman" w:eastAsia="Calibri" w:hAnsi="Times New Roman" w:cs="Times New Roman"/>
          <w:sz w:val="24"/>
          <w:szCs w:val="24"/>
        </w:rPr>
        <w:t>ustawy o BFG</w:t>
      </w:r>
      <w:r w:rsidRPr="008D7149">
        <w:rPr>
          <w:rFonts w:ascii="Times New Roman" w:eastAsia="Calibri" w:hAnsi="Times New Roman" w:cs="Times New Roman"/>
          <w:b/>
          <w:sz w:val="24"/>
          <w:szCs w:val="24"/>
        </w:rPr>
        <w:t xml:space="preserve"> </w:t>
      </w:r>
      <w:r w:rsidRPr="008D7149">
        <w:rPr>
          <w:rFonts w:ascii="Times New Roman" w:eastAsia="Calibri" w:hAnsi="Times New Roman" w:cs="Times New Roman"/>
          <w:sz w:val="24"/>
          <w:szCs w:val="24"/>
        </w:rPr>
        <w:t xml:space="preserve">ma charakter wynikowy i jest związana z koniecznością uzupełnienia odesłań zawartych w tym przepisie do nowego brzmienia art. 188 ustawy o BFG (przekazania środków do instytucji pomostowej w sytuacji jej partycypacji w przymusowej restrukturyzacji, tj. przeniesienia do instytucji pomostowej zobowiązań, praw majątkowych lub przedsiębiorstwa podmiotu w restrukturyzacji). Zmiana konstrukcji art. 188 ustawy o BFG wynika natomiast z konieczności zapewnienia jego zgodności z nowym brzmieniem art. 179 ustawy o BFG, który dotyczy analogicznej sytuacji, tylko w momencie, </w:t>
      </w:r>
      <w:r w:rsidRPr="008D7149">
        <w:rPr>
          <w:rFonts w:ascii="Times New Roman" w:eastAsia="Calibri" w:hAnsi="Times New Roman" w:cs="Times New Roman"/>
          <w:sz w:val="24"/>
          <w:szCs w:val="24"/>
        </w:rPr>
        <w:lastRenderedPageBreak/>
        <w:t>gdy podmiotem partycypującym nie jest instytucja pomostowa</w:t>
      </w:r>
      <w:r w:rsidR="00DC53EF" w:rsidRPr="008D7149">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tylko podmiot przejmujący w rozumieniu ustawy o BFG. W efekcie odesłanie zawarte w art. 112 ust. 3 pkt 2 ustawy o BFG powinno obejmować swoim zakresem nie tylko art. 188 ust. 5, ale też ust. 5a tego artykułu ustawy o BFG. </w:t>
      </w:r>
    </w:p>
    <w:p w14:paraId="40F57108" w14:textId="3D8D2D4A" w:rsidR="00E95F66" w:rsidRPr="008D7149" w:rsidRDefault="00E95F66"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Zmiany w </w:t>
      </w:r>
      <w:r w:rsidRPr="008D7149">
        <w:rPr>
          <w:rFonts w:ascii="Times New Roman" w:eastAsia="Calibri" w:hAnsi="Times New Roman" w:cs="Times New Roman"/>
          <w:b/>
          <w:sz w:val="24"/>
          <w:szCs w:val="24"/>
        </w:rPr>
        <w:t xml:space="preserve">art. 112 ust. 8 i 9 </w:t>
      </w:r>
      <w:r w:rsidRPr="008D7149">
        <w:rPr>
          <w:rFonts w:ascii="Times New Roman" w:eastAsia="Calibri" w:hAnsi="Times New Roman" w:cs="Times New Roman"/>
          <w:sz w:val="24"/>
          <w:szCs w:val="24"/>
        </w:rPr>
        <w:t xml:space="preserve">są konsekwencją zmiany wprowadzonej w art. 112 ust. 1 pkt 3 </w:t>
      </w:r>
      <w:r w:rsidR="00872933" w:rsidRPr="008D7149">
        <w:rPr>
          <w:rFonts w:ascii="Times New Roman" w:eastAsia="Calibri" w:hAnsi="Times New Roman" w:cs="Times New Roman"/>
          <w:sz w:val="24"/>
          <w:szCs w:val="24"/>
        </w:rPr>
        <w:t>ustawy o BFG,</w:t>
      </w:r>
      <w:r w:rsidR="00872933" w:rsidRPr="008D7149">
        <w:rPr>
          <w:rFonts w:ascii="Times New Roman" w:eastAsia="Calibri" w:hAnsi="Times New Roman" w:cs="Times New Roman"/>
          <w:b/>
          <w:sz w:val="24"/>
          <w:szCs w:val="24"/>
        </w:rPr>
        <w:t xml:space="preserve"> </w:t>
      </w:r>
      <w:r w:rsidRPr="008D7149">
        <w:rPr>
          <w:rFonts w:ascii="Times New Roman" w:hAnsi="Times New Roman" w:cs="Times New Roman"/>
          <w:sz w:val="24"/>
          <w:szCs w:val="24"/>
        </w:rPr>
        <w:t>w wyniku której BFG może udzielić osobom trzecim gwarancji spłaty zobowiązań z tytułu obligacji wyemitowanych przez podmiot zarządzający aktywami i nabytych przez te osoby trzecie. W efekcie tej zmiany należało także dostosować</w:t>
      </w:r>
      <w:r w:rsidR="00495980" w:rsidRPr="008D7149">
        <w:rPr>
          <w:rFonts w:ascii="Times New Roman" w:hAnsi="Times New Roman" w:cs="Times New Roman"/>
          <w:sz w:val="24"/>
          <w:szCs w:val="24"/>
        </w:rPr>
        <w:t xml:space="preserve"> przepisy w</w:t>
      </w:r>
      <w:r w:rsidRPr="008D7149">
        <w:rPr>
          <w:rFonts w:ascii="Times New Roman" w:hAnsi="Times New Roman" w:cs="Times New Roman"/>
          <w:sz w:val="24"/>
          <w:szCs w:val="24"/>
        </w:rPr>
        <w:t xml:space="preserve"> ust. 8 i 9</w:t>
      </w:r>
      <w:r w:rsidR="00872933" w:rsidRPr="008D7149">
        <w:rPr>
          <w:rFonts w:ascii="Times New Roman" w:hAnsi="Times New Roman" w:cs="Times New Roman"/>
          <w:sz w:val="24"/>
          <w:szCs w:val="24"/>
        </w:rPr>
        <w:t xml:space="preserve"> ww. artykułu ustawy o BFG </w:t>
      </w:r>
      <w:r w:rsidRPr="008D7149">
        <w:rPr>
          <w:rFonts w:ascii="Times New Roman" w:hAnsi="Times New Roman" w:cs="Times New Roman"/>
          <w:sz w:val="24"/>
          <w:szCs w:val="24"/>
        </w:rPr>
        <w:t>przez wskazanie, że przedmiotem gwarancji</w:t>
      </w:r>
      <w:r w:rsidR="00495980" w:rsidRPr="008D7149">
        <w:rPr>
          <w:rFonts w:ascii="Times New Roman" w:hAnsi="Times New Roman" w:cs="Times New Roman"/>
          <w:sz w:val="24"/>
          <w:szCs w:val="24"/>
        </w:rPr>
        <w:t>, a co za tym idzie czynności podejmowanych przez BFG z tytułu udzielenia tej gwarancji</w:t>
      </w:r>
      <w:r w:rsidR="00872933" w:rsidRPr="008D7149">
        <w:rPr>
          <w:rFonts w:ascii="Times New Roman" w:hAnsi="Times New Roman" w:cs="Times New Roman"/>
          <w:sz w:val="24"/>
          <w:szCs w:val="24"/>
        </w:rPr>
        <w:t>,</w:t>
      </w:r>
      <w:r w:rsidRPr="008D7149">
        <w:rPr>
          <w:rFonts w:ascii="Times New Roman" w:hAnsi="Times New Roman" w:cs="Times New Roman"/>
          <w:sz w:val="24"/>
          <w:szCs w:val="24"/>
        </w:rPr>
        <w:t xml:space="preserve"> jest także emisja obligacji przez podmiot zarządzający aktywami. </w:t>
      </w:r>
    </w:p>
    <w:p w14:paraId="716A54AA" w14:textId="0186552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Zmiany w </w:t>
      </w:r>
      <w:r w:rsidRPr="008D7149">
        <w:rPr>
          <w:rFonts w:ascii="Times New Roman" w:hAnsi="Times New Roman" w:cs="Times New Roman"/>
          <w:b/>
          <w:sz w:val="24"/>
          <w:szCs w:val="24"/>
        </w:rPr>
        <w:t>art. 113</w:t>
      </w:r>
      <w:r w:rsidRPr="008D7149">
        <w:rPr>
          <w:rFonts w:ascii="Times New Roman" w:hAnsi="Times New Roman" w:cs="Times New Roman"/>
          <w:sz w:val="24"/>
          <w:szCs w:val="24"/>
        </w:rPr>
        <w:t xml:space="preserve"> mają służyć efektywnemu wykorzystaniu kompetencji posiadanych już przez BFG </w:t>
      </w:r>
      <w:r w:rsidR="004E204C">
        <w:rPr>
          <w:rFonts w:ascii="Times New Roman" w:hAnsi="Times New Roman" w:cs="Times New Roman"/>
          <w:sz w:val="24"/>
          <w:szCs w:val="24"/>
        </w:rPr>
        <w:t xml:space="preserve">na </w:t>
      </w:r>
      <w:r w:rsidRPr="008D7149">
        <w:rPr>
          <w:rFonts w:ascii="Times New Roman" w:hAnsi="Times New Roman" w:cs="Times New Roman"/>
          <w:sz w:val="24"/>
          <w:szCs w:val="24"/>
        </w:rPr>
        <w:t xml:space="preserve">mocy art. 113 ust. 1 pkt 1 ustawy o BFG, zgodnie z którymi z chwilą wszczęcia przymusowej restrukturyzacji na BFG przechodzi prawo podejmowania uchwał i decyzji w sprawach zastrzeżonych w ustawie i statucie albo umowie spółki do właściwości organów podmiotu w restrukturyzacji. W szczególności wskazać należy, że czynności podejmowane w ramach procesu przymusowej restrukturyzacji, w sytuacji zagrożenia banku upadłością, muszą charakteryzować się dużą efektywnością czasową, tj. pozwalać na kształtowanie sytuacji prawnej podmiotu poddawanego przymusowej restrukturyzacji w horyzoncie czasowym pojedynczych dni czy też nawet godzin, co wynika z </w:t>
      </w:r>
      <w:proofErr w:type="spellStart"/>
      <w:r w:rsidRPr="008D7149">
        <w:rPr>
          <w:rFonts w:ascii="Times New Roman" w:hAnsi="Times New Roman" w:cs="Times New Roman"/>
          <w:sz w:val="24"/>
          <w:szCs w:val="24"/>
        </w:rPr>
        <w:t>ryzyk</w:t>
      </w:r>
      <w:proofErr w:type="spellEnd"/>
      <w:r w:rsidRPr="008D7149">
        <w:rPr>
          <w:rFonts w:ascii="Times New Roman" w:hAnsi="Times New Roman" w:cs="Times New Roman"/>
          <w:sz w:val="24"/>
          <w:szCs w:val="24"/>
        </w:rPr>
        <w:t>, które materializują się w momencie wszczęcia przymusowej restrukturyzacji</w:t>
      </w:r>
      <w:r w:rsidR="004E204C">
        <w:rPr>
          <w:rFonts w:ascii="Times New Roman" w:hAnsi="Times New Roman" w:cs="Times New Roman"/>
          <w:sz w:val="24"/>
          <w:szCs w:val="24"/>
        </w:rPr>
        <w:t>,</w:t>
      </w:r>
      <w:r w:rsidRPr="008D7149">
        <w:rPr>
          <w:rFonts w:ascii="Times New Roman" w:hAnsi="Times New Roman" w:cs="Times New Roman"/>
          <w:sz w:val="24"/>
          <w:szCs w:val="24"/>
        </w:rPr>
        <w:t xml:space="preserve"> m.in. ryzyka płynności. Art. 113 ustawy o BFG w obecnym brzmieniu w sposób nie w pełni adekwatny kształtuje uprawnienia BFG w stosunku do podmiotu poddawanego przymusowej restrukturyzacji w szczególności w kontekście instrumentu przejęcia przedsiębiorstwa w wariancie przejęcia praw udziałowych (art. 174 ust. 1 pkt 3 ustawy o BFG). Wskazać należy, że w takim przypadku podmiot poddawany przymusowej restrukturyzacji zachowuje osobowość prawną i po upływie tzw. </w:t>
      </w:r>
      <w:r w:rsidRPr="008D7149">
        <w:rPr>
          <w:rFonts w:ascii="Times New Roman" w:hAnsi="Times New Roman" w:cs="Times New Roman"/>
          <w:i/>
          <w:sz w:val="24"/>
          <w:szCs w:val="24"/>
        </w:rPr>
        <w:t>weekendu resolution</w:t>
      </w:r>
      <w:r w:rsidRPr="008D7149">
        <w:rPr>
          <w:rFonts w:ascii="Times New Roman" w:hAnsi="Times New Roman" w:cs="Times New Roman"/>
          <w:sz w:val="24"/>
          <w:szCs w:val="24"/>
        </w:rPr>
        <w:t xml:space="preserve"> powinien być zdolny do dalszego prowadzenie działalności operacyjnej. W tym celu niezbędne jest, aby BFG w sposób jednoznaczny został wyposażony w uprawnienie do powołania, przed przeniesieniem na podmiot przejmujący praw udziałow</w:t>
      </w:r>
      <w:r w:rsidR="00495980" w:rsidRPr="008D7149">
        <w:rPr>
          <w:rFonts w:ascii="Times New Roman" w:hAnsi="Times New Roman" w:cs="Times New Roman"/>
          <w:sz w:val="24"/>
          <w:szCs w:val="24"/>
        </w:rPr>
        <w:t>ych</w:t>
      </w:r>
      <w:r w:rsidRPr="008D7149">
        <w:rPr>
          <w:rFonts w:ascii="Times New Roman" w:hAnsi="Times New Roman" w:cs="Times New Roman"/>
          <w:sz w:val="24"/>
          <w:szCs w:val="24"/>
        </w:rPr>
        <w:t xml:space="preserve"> banku poddawanego przymusowej restrukturyzacji, nowego zarządu i rady nadzorczej tego przenoszonego banku, oraz uprawnienia do wprowadzenia niezbędnych zmian w statucie banku. W celu zapewnienia stabilności dalszego działania takiego banku niezbędne jest, aby uchwały Zarządu BFG podejmowane w tych sprawach były skuteczne od moment </w:t>
      </w:r>
      <w:r w:rsidRPr="008D7149">
        <w:rPr>
          <w:rFonts w:ascii="Times New Roman" w:hAnsi="Times New Roman" w:cs="Times New Roman"/>
          <w:sz w:val="24"/>
          <w:szCs w:val="24"/>
        </w:rPr>
        <w:lastRenderedPageBreak/>
        <w:t>zamieszczenia informacji o nich na stronach internetowych BFG i banku poddawanego przymusowej restrukturyzacji, ponieważ jak było zaznaczone na wstępie – w momencie wszczęcia przymusowej restrukturyzacji wszystkie zaplanowane przez organ przymusowej restrukturyzacji czynności odbywają się zgodnie z godzinowym harmonogramem, tak aby ustabilizować bank poddany przymusowej restrukturyzacji i utrzymać jego funkcję krytyczne, a co za tym idzie</w:t>
      </w:r>
      <w:r w:rsidR="004E204C">
        <w:rPr>
          <w:rFonts w:ascii="Times New Roman" w:hAnsi="Times New Roman" w:cs="Times New Roman"/>
          <w:sz w:val="24"/>
          <w:szCs w:val="24"/>
        </w:rPr>
        <w:t xml:space="preserve"> –</w:t>
      </w:r>
      <w:r w:rsidRPr="008D7149">
        <w:rPr>
          <w:rFonts w:ascii="Times New Roman" w:hAnsi="Times New Roman" w:cs="Times New Roman"/>
          <w:sz w:val="24"/>
          <w:szCs w:val="24"/>
        </w:rPr>
        <w:t xml:space="preserve"> umożliwić wznowienie działalności operacyjnej po </w:t>
      </w:r>
      <w:r w:rsidRPr="008D7149">
        <w:rPr>
          <w:rFonts w:ascii="Times New Roman" w:hAnsi="Times New Roman" w:cs="Times New Roman"/>
          <w:i/>
          <w:sz w:val="24"/>
          <w:szCs w:val="24"/>
        </w:rPr>
        <w:t>weekendzie resolution</w:t>
      </w:r>
      <w:r w:rsidRPr="008D7149">
        <w:rPr>
          <w:rFonts w:ascii="Times New Roman" w:hAnsi="Times New Roman" w:cs="Times New Roman"/>
          <w:sz w:val="24"/>
          <w:szCs w:val="24"/>
        </w:rPr>
        <w:t xml:space="preserve">. Jednocześnie wskazać należy, że projektowana zmiana w art. 113 ustawy o BFG przewiduje rozwiązanie rady nadzorczej funkcjonującej w banku w momencie wszczęcia przymusowej restrukturyzacji w przypadku wszczęcia przymusowej restrukturyzacji przy zastosowaniu instrumentu przejęcia przedsiębiorstwa w wariancie przejęcia praw udziałowych (art. 174 ust. 1 pkt 3 ustawy o BFG). Rozwiązanie to jest niezbędne w celu zapewnienia możliwości powołania nowej rady nadzorczej. </w:t>
      </w:r>
    </w:p>
    <w:p w14:paraId="173F0083" w14:textId="197E3F6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Ponadto celem przepisu art. 113 ust. 1 pkt 1 jest podejmowanie przez BFG w ramach swoich kompetencji uchwał oraz decyzji (rozumianych nie jako decyzja administracyjna, a jako rozstrzygnięcie korporacyjno</w:t>
      </w:r>
      <w:r w:rsidR="00F86078">
        <w:rPr>
          <w:rFonts w:ascii="Times New Roman" w:hAnsi="Times New Roman" w:cs="Times New Roman"/>
          <w:sz w:val="24"/>
          <w:szCs w:val="24"/>
        </w:rPr>
        <w:t>-</w:t>
      </w:r>
      <w:r w:rsidRPr="008D7149">
        <w:rPr>
          <w:rFonts w:ascii="Times New Roman" w:hAnsi="Times New Roman" w:cs="Times New Roman"/>
          <w:sz w:val="24"/>
          <w:szCs w:val="24"/>
        </w:rPr>
        <w:t xml:space="preserve">biznesowe) zastrzeżonych w ustawie i statucie lub umowie spółki do właściwości organów podmiotów w restrukturyzacji. Zgodnie z uzasadnieniem do </w:t>
      </w:r>
      <w:r w:rsidR="0044433B" w:rsidRPr="008D7149">
        <w:rPr>
          <w:rFonts w:ascii="Times New Roman" w:hAnsi="Times New Roman" w:cs="Times New Roman"/>
          <w:sz w:val="24"/>
          <w:szCs w:val="24"/>
        </w:rPr>
        <w:t>nowelizacji ustawy o BFG</w:t>
      </w:r>
      <w:r w:rsidRPr="008D7149">
        <w:rPr>
          <w:rFonts w:ascii="Times New Roman" w:hAnsi="Times New Roman" w:cs="Times New Roman"/>
          <w:sz w:val="24"/>
          <w:szCs w:val="24"/>
        </w:rPr>
        <w:t xml:space="preserve"> „Zmiana art. 113 ust. 1 ma na celu zapewnienie, że BFG może wykonywać uprawnienia organów (podejmowanie uchwał oraz decyzji), jeżeli nie został powołany zarzą</w:t>
      </w:r>
      <w:r w:rsidR="00F935DF">
        <w:rPr>
          <w:rFonts w:ascii="Times New Roman" w:hAnsi="Times New Roman" w:cs="Times New Roman"/>
          <w:sz w:val="24"/>
          <w:szCs w:val="24"/>
        </w:rPr>
        <w:t>d podmiotu w restrukturyzacji.”</w:t>
      </w:r>
    </w:p>
    <w:p w14:paraId="670353B7" w14:textId="762D55D9"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Kwestie uregulowane w art. 113 ust. 1 pkt 1 </w:t>
      </w:r>
      <w:r w:rsidR="0044433B"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oraz proponowane w art. 113 ust. 1f i 1g </w:t>
      </w:r>
      <w:r w:rsidR="0044433B"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należą do wewnątrzkorporacyjnych regulacji podmiotów poza procesem przymusowej restrukturyzacji: uprawnienia do powołania członka zarządu, członka rady nadzorczej oraz zmiany statutu przysługują właściwemu organowi spółki (radzie nadzorczej, WZA). Zatem skoro na BFG przechodzą uprawnienia wszystkich organów spółki, to uprawnienia w tym trybie również winny być dokonywane w ramach uchwał zarządu BFG bez reżimu trybu administracyjnego. Również sama specyfika procesu przymusowej restrukturyzacji – konieczność szybkiego modyfikowania podmiotu w restrukturyzacji (termin pojedynczego dnia, a nawet kilkunastu godzin) wymaga możliwości podejmowania uchwał w formie korporacyjnej, nie zaś w formie decyzji administracyjnej.</w:t>
      </w:r>
    </w:p>
    <w:p w14:paraId="05AF812E" w14:textId="6336489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121 pkt 1 lit. a</w:t>
      </w:r>
      <w:r w:rsidRPr="008D7149">
        <w:rPr>
          <w:rFonts w:ascii="Times New Roman" w:hAnsi="Times New Roman" w:cs="Times New Roman"/>
          <w:sz w:val="24"/>
          <w:szCs w:val="24"/>
        </w:rPr>
        <w:t xml:space="preserve"> </w:t>
      </w:r>
      <w:r w:rsidR="0044433B"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polega na zmianie zakresu </w:t>
      </w:r>
      <w:proofErr w:type="spellStart"/>
      <w:r w:rsidRPr="008D7149">
        <w:rPr>
          <w:rFonts w:ascii="Times New Roman" w:hAnsi="Times New Roman" w:cs="Times New Roman"/>
          <w:sz w:val="24"/>
          <w:szCs w:val="24"/>
        </w:rPr>
        <w:t>wyłączeń</w:t>
      </w:r>
      <w:proofErr w:type="spellEnd"/>
      <w:r w:rsidRPr="008D7149">
        <w:rPr>
          <w:rFonts w:ascii="Times New Roman" w:hAnsi="Times New Roman" w:cs="Times New Roman"/>
          <w:sz w:val="24"/>
          <w:szCs w:val="24"/>
        </w:rPr>
        <w:t xml:space="preserve"> dotyczących stosowania </w:t>
      </w:r>
      <w:proofErr w:type="spellStart"/>
      <w:r w:rsidRPr="008D7149">
        <w:rPr>
          <w:rFonts w:ascii="Times New Roman" w:hAnsi="Times New Roman" w:cs="Times New Roman"/>
          <w:sz w:val="24"/>
          <w:szCs w:val="24"/>
        </w:rPr>
        <w:t>k.s.h</w:t>
      </w:r>
      <w:proofErr w:type="spellEnd"/>
      <w:r w:rsidRPr="008D7149">
        <w:rPr>
          <w:rFonts w:ascii="Times New Roman" w:hAnsi="Times New Roman" w:cs="Times New Roman"/>
          <w:sz w:val="24"/>
          <w:szCs w:val="24"/>
        </w:rPr>
        <w:t>., z uwagi na wprowadzany art. 113 ust. 1f</w:t>
      </w:r>
      <w:r w:rsidR="0044433B"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xml:space="preserve">. Mianowicie, art. 113 ust. 1f </w:t>
      </w:r>
      <w:r w:rsidR="0044433B"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umożliwia BFG dokonanie zmian w umowie lub w statucie spółki podmiotu w restrukturyzacji bez konieczności podjęcia uprzedniej uchwały wspólników lub </w:t>
      </w:r>
      <w:r w:rsidRPr="008D7149">
        <w:rPr>
          <w:rFonts w:ascii="Times New Roman" w:hAnsi="Times New Roman" w:cs="Times New Roman"/>
          <w:sz w:val="24"/>
          <w:szCs w:val="24"/>
        </w:rPr>
        <w:lastRenderedPageBreak/>
        <w:t xml:space="preserve">uchwały walnego zgromadzenia i uzyskania wpisu do rejestru przedsiębiorców. Dodanie nowych wyłączeń dotyczy art. 255 § 1 oraz art. 430 § 1 </w:t>
      </w:r>
      <w:proofErr w:type="spellStart"/>
      <w:r w:rsidRPr="008D7149">
        <w:rPr>
          <w:rFonts w:ascii="Times New Roman" w:hAnsi="Times New Roman" w:cs="Times New Roman"/>
          <w:sz w:val="24"/>
          <w:szCs w:val="24"/>
        </w:rPr>
        <w:t>k.s.h</w:t>
      </w:r>
      <w:proofErr w:type="spellEnd"/>
      <w:r w:rsidRPr="008D7149">
        <w:rPr>
          <w:rFonts w:ascii="Times New Roman" w:hAnsi="Times New Roman" w:cs="Times New Roman"/>
          <w:sz w:val="24"/>
          <w:szCs w:val="24"/>
        </w:rPr>
        <w:t>., które uzależniają obecnie skuteczność dokonania przez BFG zmian w umowie lub statucie spółki podmiotu w restrukturyzacji od uprzedniego podjęcia</w:t>
      </w:r>
      <w:r w:rsidR="00BF5272" w:rsidRPr="008D7149">
        <w:rPr>
          <w:rFonts w:ascii="Times New Roman" w:hAnsi="Times New Roman" w:cs="Times New Roman"/>
          <w:sz w:val="24"/>
          <w:szCs w:val="24"/>
        </w:rPr>
        <w:t xml:space="preserve"> </w:t>
      </w:r>
      <w:r w:rsidRPr="008D7149">
        <w:rPr>
          <w:rFonts w:ascii="Times New Roman" w:hAnsi="Times New Roman" w:cs="Times New Roman"/>
          <w:sz w:val="24"/>
          <w:szCs w:val="24"/>
        </w:rPr>
        <w:t>uchwały wspólników bądź walnego zgromadzenia oraz ich wpisu do rejestru przedsiębiorców. Wprowadzenie art. 113 ust. 1f</w:t>
      </w:r>
      <w:r w:rsidR="0044433B"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xml:space="preserve"> powoduje, że uchwały Zarządu B</w:t>
      </w:r>
      <w:r w:rsidR="00F935DF">
        <w:rPr>
          <w:rFonts w:ascii="Times New Roman" w:hAnsi="Times New Roman" w:cs="Times New Roman"/>
          <w:sz w:val="24"/>
          <w:szCs w:val="24"/>
        </w:rPr>
        <w:t xml:space="preserve">FG w przedmiocie zmian w umowie </w:t>
      </w:r>
      <w:r w:rsidRPr="008D7149">
        <w:rPr>
          <w:rFonts w:ascii="Times New Roman" w:hAnsi="Times New Roman" w:cs="Times New Roman"/>
          <w:sz w:val="24"/>
          <w:szCs w:val="24"/>
        </w:rPr>
        <w:t xml:space="preserve">lub statucie spółki podmiotu w restrukturyzacji są skuteczne już od momentu ich </w:t>
      </w:r>
      <w:r w:rsidR="0044433B" w:rsidRPr="008D7149">
        <w:rPr>
          <w:rFonts w:ascii="Times New Roman" w:hAnsi="Times New Roman" w:cs="Times New Roman"/>
          <w:sz w:val="24"/>
          <w:szCs w:val="24"/>
        </w:rPr>
        <w:t xml:space="preserve">zamieszczenia </w:t>
      </w:r>
      <w:r w:rsidRPr="008D7149">
        <w:rPr>
          <w:rFonts w:ascii="Times New Roman" w:hAnsi="Times New Roman" w:cs="Times New Roman"/>
          <w:sz w:val="24"/>
          <w:szCs w:val="24"/>
        </w:rPr>
        <w:t xml:space="preserve">przez BFG i podmiot w restrukturyzacji na swoich stronach internetowych, niezależnie od uzyskania stosownych wpisów w rejestrze przedsiębiorców. Mając na uwadze zapewnienie spójności art. 113 ust. 1f z przepisami </w:t>
      </w:r>
      <w:proofErr w:type="spellStart"/>
      <w:r w:rsidRPr="008D7149">
        <w:rPr>
          <w:rFonts w:ascii="Times New Roman" w:hAnsi="Times New Roman" w:cs="Times New Roman"/>
          <w:sz w:val="24"/>
          <w:szCs w:val="24"/>
        </w:rPr>
        <w:t>k.s.h</w:t>
      </w:r>
      <w:proofErr w:type="spellEnd"/>
      <w:r w:rsidRPr="008D7149">
        <w:rPr>
          <w:rFonts w:ascii="Times New Roman" w:hAnsi="Times New Roman" w:cs="Times New Roman"/>
          <w:sz w:val="24"/>
          <w:szCs w:val="24"/>
        </w:rPr>
        <w:t>.</w:t>
      </w:r>
      <w:r w:rsidR="0065023D">
        <w:rPr>
          <w:rFonts w:ascii="Times New Roman" w:hAnsi="Times New Roman" w:cs="Times New Roman"/>
          <w:sz w:val="24"/>
          <w:szCs w:val="24"/>
        </w:rPr>
        <w:t>,</w:t>
      </w:r>
      <w:r w:rsidRPr="008D7149">
        <w:rPr>
          <w:rFonts w:ascii="Times New Roman" w:hAnsi="Times New Roman" w:cs="Times New Roman"/>
          <w:sz w:val="24"/>
          <w:szCs w:val="24"/>
        </w:rPr>
        <w:t xml:space="preserve"> należy więc wyłączyć stosowanie art. 255 § 1 oraz art. 430 § 1 </w:t>
      </w:r>
      <w:proofErr w:type="spellStart"/>
      <w:r w:rsidRPr="008D7149">
        <w:rPr>
          <w:rFonts w:ascii="Times New Roman" w:hAnsi="Times New Roman" w:cs="Times New Roman"/>
          <w:sz w:val="24"/>
          <w:szCs w:val="24"/>
        </w:rPr>
        <w:t>k.s.h</w:t>
      </w:r>
      <w:proofErr w:type="spellEnd"/>
      <w:r w:rsidRPr="008D7149">
        <w:rPr>
          <w:rFonts w:ascii="Times New Roman" w:hAnsi="Times New Roman" w:cs="Times New Roman"/>
          <w:sz w:val="24"/>
          <w:szCs w:val="24"/>
        </w:rPr>
        <w:t>.</w:t>
      </w:r>
    </w:p>
    <w:p w14:paraId="38FB7231" w14:textId="12DAB920"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t>
      </w:r>
      <w:r w:rsidRPr="008D7149">
        <w:rPr>
          <w:rFonts w:ascii="Times New Roman" w:hAnsi="Times New Roman" w:cs="Times New Roman"/>
          <w:b/>
          <w:sz w:val="24"/>
          <w:szCs w:val="24"/>
        </w:rPr>
        <w:t>art. 121 pkt 2</w:t>
      </w:r>
      <w:r w:rsidRPr="008D7149">
        <w:rPr>
          <w:rFonts w:ascii="Times New Roman" w:hAnsi="Times New Roman" w:cs="Times New Roman"/>
          <w:sz w:val="24"/>
          <w:szCs w:val="24"/>
        </w:rPr>
        <w:t xml:space="preserve"> polega na zmianie zakresu wyłączeń dotyczących stosowania ustawy </w:t>
      </w:r>
      <w:r w:rsidR="0044433B"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Prawo bankowe, z uwagi na konieczność zapewnienia skutecznego i szybkiego stosowania instrumentów przymusowej restrukturyzacji. Art. 34 ust. 2 ustawy </w:t>
      </w:r>
      <w:r w:rsidR="0044433B" w:rsidRPr="008D7149">
        <w:rPr>
          <w:rFonts w:ascii="Times New Roman" w:hAnsi="Times New Roman" w:cs="Times New Roman"/>
          <w:sz w:val="24"/>
          <w:szCs w:val="24"/>
        </w:rPr>
        <w:t xml:space="preserve">z dnia 29 sierpnia 1997 r. </w:t>
      </w:r>
      <w:r w:rsidR="00F935DF">
        <w:rPr>
          <w:rFonts w:ascii="Times New Roman" w:hAnsi="Times New Roman" w:cs="Times New Roman"/>
          <w:sz w:val="24"/>
          <w:szCs w:val="24"/>
        </w:rPr>
        <w:t>–</w:t>
      </w:r>
      <w:r w:rsidRPr="008D7149">
        <w:rPr>
          <w:rFonts w:ascii="Times New Roman" w:hAnsi="Times New Roman" w:cs="Times New Roman"/>
          <w:sz w:val="24"/>
          <w:szCs w:val="24"/>
        </w:rPr>
        <w:t xml:space="preserve"> Prawo bankowe stanowi, że zmiana statutu banku wymaga zezwolenia KNF. Zmiana statutu banku działającego zarówno w formie spółki akcyjnej</w:t>
      </w:r>
      <w:r w:rsidR="0044433B" w:rsidRPr="008D7149">
        <w:rPr>
          <w:rFonts w:ascii="Times New Roman" w:hAnsi="Times New Roman" w:cs="Times New Roman"/>
          <w:sz w:val="24"/>
          <w:szCs w:val="24"/>
        </w:rPr>
        <w:t>,</w:t>
      </w:r>
      <w:r w:rsidRPr="008D7149">
        <w:rPr>
          <w:rFonts w:ascii="Times New Roman" w:hAnsi="Times New Roman" w:cs="Times New Roman"/>
          <w:sz w:val="24"/>
          <w:szCs w:val="24"/>
        </w:rPr>
        <w:t xml:space="preserve"> jak i spółdzielni dla swej ważności wymaga wpisu w rejestrze przedsiębiorców. W konsekwencji dokonanie wpisu musi być poprzedzone uzyskaniem przez bank stosownego zezwolenia KNF, co w znacznym stopniu opóźnia rejestracje zmian statutu. Z perspektywy organu ds. przymusowej restrukturyzacji skuteczne zastosowanie instrumentów przymusowej restrukturyzacji, w szczególności instrumentu przejęcia przedsiębiorstwa, wymagać może konieczności dokonania szybkich zmian w statucie banku</w:t>
      </w:r>
      <w:r w:rsidR="0044433B" w:rsidRPr="008D7149">
        <w:rPr>
          <w:rFonts w:ascii="Times New Roman" w:hAnsi="Times New Roman" w:cs="Times New Roman"/>
          <w:sz w:val="24"/>
          <w:szCs w:val="24"/>
        </w:rPr>
        <w:t>,</w:t>
      </w:r>
      <w:r w:rsidRPr="008D7149">
        <w:rPr>
          <w:rFonts w:ascii="Times New Roman" w:hAnsi="Times New Roman" w:cs="Times New Roman"/>
          <w:sz w:val="24"/>
          <w:szCs w:val="24"/>
        </w:rPr>
        <w:t xml:space="preserve"> np. ze względu na strukturę transakcji uzgodnioną z podmiotem przejmującym. Mając na uwadze powyższe ograniczenia wynikające m.in. z art. 34 ust. 2 ustawy </w:t>
      </w:r>
      <w:r w:rsidR="0044433B" w:rsidRPr="008D7149">
        <w:rPr>
          <w:rFonts w:ascii="Times New Roman" w:hAnsi="Times New Roman" w:cs="Times New Roman"/>
          <w:sz w:val="24"/>
          <w:szCs w:val="24"/>
        </w:rPr>
        <w:t xml:space="preserve">z dnia 29 sierpnia 1997 r. </w:t>
      </w:r>
      <w:r w:rsidR="0065023D">
        <w:rPr>
          <w:rFonts w:ascii="Times New Roman" w:hAnsi="Times New Roman" w:cs="Times New Roman"/>
          <w:sz w:val="24"/>
          <w:szCs w:val="24"/>
        </w:rPr>
        <w:t>–</w:t>
      </w:r>
      <w:r w:rsidRPr="008D7149">
        <w:rPr>
          <w:rFonts w:ascii="Times New Roman" w:hAnsi="Times New Roman" w:cs="Times New Roman"/>
          <w:sz w:val="24"/>
          <w:szCs w:val="24"/>
        </w:rPr>
        <w:t xml:space="preserve"> Prawo bankowe, w nowelizacji przepisów ustawy o BFG znalazł się przepis art. 113 ust. 1f </w:t>
      </w:r>
      <w:r w:rsidR="0044433B"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umożliwiający BFG dokonanie skutecznych zmian w statucie podmiotu w restrukturyzacji bez uzyskania uprzedniego wpisu w rejestrze przedsiębiorców. W konsekwencji, mając na uwadze zapewnienie możliwości szybkiego i skutecznego stosowania instrumentów przymusowej restrukturyzacji</w:t>
      </w:r>
      <w:r w:rsidR="0065023D">
        <w:rPr>
          <w:rFonts w:ascii="Times New Roman" w:hAnsi="Times New Roman" w:cs="Times New Roman"/>
          <w:sz w:val="24"/>
          <w:szCs w:val="24"/>
        </w:rPr>
        <w:t>,</w:t>
      </w:r>
      <w:r w:rsidRPr="008D7149">
        <w:rPr>
          <w:rFonts w:ascii="Times New Roman" w:hAnsi="Times New Roman" w:cs="Times New Roman"/>
          <w:sz w:val="24"/>
          <w:szCs w:val="24"/>
        </w:rPr>
        <w:t xml:space="preserve"> należy również wyłączyć wymóg uzyskiwania przez podmiot w restrukturyzacji uprzedniego zezwolenia KNF w przypadku dokonywania zmian w statucie. Zgodnie z motywem 84 BRRD organy ds. restrukturyzacji i uporządkowanej likwidacji powinny posiadać wszystkie niezbędne uprawnienia, które mogą być wykonywane przy stosowaniu instrumentów restrukturyzacji i uporządkowanej likwidacji. Takim uprawnieniem </w:t>
      </w:r>
      <w:r w:rsidRPr="008D7149">
        <w:rPr>
          <w:rFonts w:ascii="Times New Roman" w:hAnsi="Times New Roman" w:cs="Times New Roman"/>
          <w:sz w:val="24"/>
          <w:szCs w:val="24"/>
        </w:rPr>
        <w:lastRenderedPageBreak/>
        <w:t xml:space="preserve">jest niewątpliwie odejście od wymogu uzyskania zezwolenia KNF oraz konstytutywnego wpisu w rejestrze przedsiębiorców w przypadku dokonywania zmian w statucie banku. Mając na uwadze zapewnienie spójności art. 113 ust. 1f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z przepisami prawa bankowego</w:t>
      </w:r>
      <w:r w:rsidR="00E97E4D">
        <w:rPr>
          <w:rFonts w:ascii="Times New Roman" w:hAnsi="Times New Roman" w:cs="Times New Roman"/>
          <w:sz w:val="24"/>
          <w:szCs w:val="24"/>
        </w:rPr>
        <w:t>,</w:t>
      </w:r>
      <w:r w:rsidRPr="008D7149">
        <w:rPr>
          <w:rFonts w:ascii="Times New Roman" w:hAnsi="Times New Roman" w:cs="Times New Roman"/>
          <w:sz w:val="24"/>
          <w:szCs w:val="24"/>
        </w:rPr>
        <w:t xml:space="preserve"> należy więc wyłączyć stosowanie art. 34 ust. 2 ustawy </w:t>
      </w:r>
      <w:r w:rsidR="004155FD" w:rsidRPr="008D7149">
        <w:rPr>
          <w:rFonts w:ascii="Times New Roman" w:hAnsi="Times New Roman" w:cs="Times New Roman"/>
          <w:sz w:val="24"/>
          <w:szCs w:val="24"/>
        </w:rPr>
        <w:t xml:space="preserve">z dnia 29 sierpnia 1997 r. </w:t>
      </w:r>
      <w:r w:rsidRPr="008D7149">
        <w:rPr>
          <w:rFonts w:ascii="Times New Roman" w:hAnsi="Times New Roman" w:cs="Times New Roman"/>
          <w:sz w:val="24"/>
          <w:szCs w:val="24"/>
        </w:rPr>
        <w:t xml:space="preserve">– </w:t>
      </w:r>
      <w:r w:rsidR="004155FD" w:rsidRPr="008D7149">
        <w:rPr>
          <w:rFonts w:ascii="Times New Roman" w:hAnsi="Times New Roman" w:cs="Times New Roman"/>
          <w:sz w:val="24"/>
          <w:szCs w:val="24"/>
        </w:rPr>
        <w:t>P</w:t>
      </w:r>
      <w:r w:rsidRPr="008D7149">
        <w:rPr>
          <w:rFonts w:ascii="Times New Roman" w:hAnsi="Times New Roman" w:cs="Times New Roman"/>
          <w:sz w:val="24"/>
          <w:szCs w:val="24"/>
        </w:rPr>
        <w:t>rawo bankowe.</w:t>
      </w:r>
    </w:p>
    <w:p w14:paraId="21588949" w14:textId="101EE140"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t>
      </w:r>
      <w:r w:rsidRPr="008D7149">
        <w:rPr>
          <w:rFonts w:ascii="Times New Roman" w:eastAsia="Calibri" w:hAnsi="Times New Roman" w:cs="Times New Roman"/>
          <w:b/>
          <w:sz w:val="24"/>
          <w:szCs w:val="24"/>
        </w:rPr>
        <w:t>w art. 131 w ust. 1b</w:t>
      </w:r>
      <w:r w:rsidRPr="008D7149">
        <w:rPr>
          <w:rFonts w:ascii="Times New Roman" w:eastAsia="Calibri" w:hAnsi="Times New Roman" w:cs="Times New Roman"/>
          <w:sz w:val="24"/>
          <w:szCs w:val="24"/>
        </w:rPr>
        <w:t xml:space="preserve"> ma charakter językowy, usuwa fragment, który może wprowadzać w błąd. Jednocześnie funkcjonalna definicja właściwego organu przymusowej restrukturyzacji państw trzecich znajdująca się w art. 2 pkt 86 ustawy o BFG</w:t>
      </w:r>
      <w:r w:rsidR="00E97E4D">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tj. „wykonujący zadania z zakresu przymusowej restrukturyzacji”, sprawia, że to dookreślenie (usuwany fragment) nie jest konieczne.</w:t>
      </w:r>
    </w:p>
    <w:p w14:paraId="5C9773EF" w14:textId="092C13B9"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 </w:t>
      </w:r>
      <w:r w:rsidRPr="008D7149">
        <w:rPr>
          <w:rFonts w:ascii="Times New Roman" w:eastAsia="Calibri" w:hAnsi="Times New Roman" w:cs="Times New Roman"/>
          <w:b/>
          <w:sz w:val="24"/>
          <w:szCs w:val="24"/>
        </w:rPr>
        <w:t xml:space="preserve">art. 133 </w:t>
      </w:r>
      <w:r w:rsidRPr="008D7149">
        <w:rPr>
          <w:rFonts w:ascii="Times New Roman" w:eastAsia="Calibri" w:hAnsi="Times New Roman" w:cs="Times New Roman"/>
          <w:sz w:val="24"/>
          <w:szCs w:val="24"/>
        </w:rPr>
        <w:t>ustawy o BFG</w:t>
      </w:r>
      <w:r w:rsidRPr="008D7149">
        <w:rPr>
          <w:rFonts w:ascii="Times New Roman" w:eastAsia="Calibri" w:hAnsi="Times New Roman" w:cs="Times New Roman"/>
          <w:b/>
          <w:sz w:val="24"/>
          <w:szCs w:val="24"/>
        </w:rPr>
        <w:t xml:space="preserve"> </w:t>
      </w:r>
      <w:r w:rsidRPr="008D7149">
        <w:rPr>
          <w:rFonts w:ascii="Times New Roman" w:eastAsia="Calibri" w:hAnsi="Times New Roman" w:cs="Times New Roman"/>
          <w:sz w:val="24"/>
          <w:szCs w:val="24"/>
        </w:rPr>
        <w:t>ma charakter wynikowy i jest związana z koniecznością uzupełnienia odesłań zawartych w tym przepisie do nowego brzmienia art. 272 ustawy o BFG, w któr</w:t>
      </w:r>
      <w:r w:rsidR="00F935DF">
        <w:rPr>
          <w:rFonts w:ascii="Times New Roman" w:eastAsia="Calibri" w:hAnsi="Times New Roman" w:cs="Times New Roman"/>
          <w:sz w:val="24"/>
          <w:szCs w:val="24"/>
        </w:rPr>
        <w:t>ym uchylone zostaną ust. 4 i 5.</w:t>
      </w:r>
    </w:p>
    <w:p w14:paraId="39477D6D" w14:textId="72F67E7E"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 przepisu </w:t>
      </w:r>
      <w:r w:rsidRPr="008D7149">
        <w:rPr>
          <w:rFonts w:ascii="Times New Roman" w:hAnsi="Times New Roman" w:cs="Times New Roman"/>
          <w:b/>
          <w:sz w:val="24"/>
          <w:szCs w:val="24"/>
        </w:rPr>
        <w:t>art. 138 ust. 7 pkt 2</w:t>
      </w:r>
      <w:r w:rsidRPr="008D7149">
        <w:rPr>
          <w:rFonts w:ascii="Times New Roman" w:hAnsi="Times New Roman" w:cs="Times New Roman"/>
          <w:sz w:val="24"/>
          <w:szCs w:val="24"/>
        </w:rPr>
        <w:t xml:space="preserve"> ustawy o BFG proponuje się usunięcie </w:t>
      </w:r>
      <w:r w:rsidR="004155FD" w:rsidRPr="008D7149">
        <w:rPr>
          <w:rFonts w:ascii="Times New Roman" w:hAnsi="Times New Roman" w:cs="Times New Roman"/>
          <w:sz w:val="24"/>
          <w:szCs w:val="24"/>
        </w:rPr>
        <w:t xml:space="preserve">wyrazów </w:t>
      </w:r>
      <w:r w:rsidRPr="008D7149">
        <w:rPr>
          <w:rFonts w:ascii="Times New Roman" w:hAnsi="Times New Roman" w:cs="Times New Roman"/>
          <w:sz w:val="24"/>
          <w:szCs w:val="24"/>
        </w:rPr>
        <w:t xml:space="preserve">„rachunek wyników”. Wskazać należy, że art. 36 ust. 6 BRRD, którego implementację stanowi art. 138 ust. 7 ustawy o BFG, nie przewiduje, aby oszacowanie miało zawierać rachunek wyników. </w:t>
      </w:r>
    </w:p>
    <w:p w14:paraId="06A3A421" w14:textId="1B53BBD3"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144b</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 1, 2 i 6</w:t>
      </w:r>
      <w:r w:rsidRPr="008D7149">
        <w:rPr>
          <w:rFonts w:ascii="Times New Roman" w:hAnsi="Times New Roman" w:cs="Times New Roman"/>
          <w:sz w:val="24"/>
          <w:szCs w:val="24"/>
        </w:rPr>
        <w:t xml:space="preserve"> ma na celu dokonanie korekty implementacji art. 71a BRRD (wprowadzony przez dyrektywę BRR2). W obecnym brzmieniu art. 144b odsyła do art. 102 ust. 1 pkt 3 ustawy o BFG, zamiast do art. 144a ustawy o BFG (który stanowi implementację art. 33a BRRD). Zgodnie z art. 71a dyrektywy BRR2 „</w:t>
      </w:r>
      <w:r w:rsidRPr="008D7149">
        <w:rPr>
          <w:rFonts w:ascii="Times New Roman" w:hAnsi="Times New Roman" w:cs="Times New Roman"/>
          <w:i/>
          <w:sz w:val="24"/>
          <w:szCs w:val="24"/>
        </w:rPr>
        <w:t>Państwa członkowskie zobowiązują instytucje i podmioty, o których mowa w art. 1 ust. 1 lit. b), c) i d), do włączenia do wszelkich umów finansowych, które zawierają, a które są regulowane przepisami prawa państwa trzeciego postanowień, zgodnie z którymi strony uznają, że organ ds. restrukturyzacji i uporządkowanej likwidacji może zastosować wobec tej umowy uprawnienia do zawieszenia lub ograniczenia praw i zobowiązań na mocy art. 33a, 69, 70 i 71 oraz uznają, że są związane wymogami określonymi w art. 68</w:t>
      </w:r>
      <w:r w:rsidRPr="008D7149">
        <w:rPr>
          <w:rFonts w:ascii="Times New Roman" w:hAnsi="Times New Roman" w:cs="Times New Roman"/>
          <w:sz w:val="24"/>
          <w:szCs w:val="24"/>
        </w:rPr>
        <w:t xml:space="preserve">.”. </w:t>
      </w:r>
      <w:r w:rsidR="00F936AC">
        <w:rPr>
          <w:rFonts w:ascii="Times New Roman" w:hAnsi="Times New Roman" w:cs="Times New Roman"/>
          <w:sz w:val="24"/>
          <w:szCs w:val="24"/>
        </w:rPr>
        <w:t>A</w:t>
      </w:r>
      <w:r w:rsidR="004155FD" w:rsidRPr="008D7149">
        <w:rPr>
          <w:rFonts w:ascii="Times New Roman" w:hAnsi="Times New Roman" w:cs="Times New Roman"/>
          <w:sz w:val="24"/>
          <w:szCs w:val="24"/>
        </w:rPr>
        <w:t>rt.</w:t>
      </w:r>
      <w:r w:rsidRPr="008D7149">
        <w:rPr>
          <w:rFonts w:ascii="Times New Roman" w:hAnsi="Times New Roman" w:cs="Times New Roman"/>
          <w:sz w:val="24"/>
          <w:szCs w:val="24"/>
        </w:rPr>
        <w:t xml:space="preserve"> 33a dyrektywy BRRD zasadniczo implementowany jest w art. 144a ust. 1 ustawy o BFG. Dlatego przepis implementujący art. 71a ust. 1 dyrektywy BRRD (czyli art. 144b ust. 1) powinien w pierwszej kolejności odsyłać do tego przepisu, nie natomiast do art. 102 ust. 1 pkt 3 ustawy o BFG. Zasadne jest również rozszerzenie </w:t>
      </w:r>
      <w:r w:rsidR="004155FD" w:rsidRPr="008D7149">
        <w:rPr>
          <w:rFonts w:ascii="Times New Roman" w:hAnsi="Times New Roman" w:cs="Times New Roman"/>
          <w:sz w:val="24"/>
          <w:szCs w:val="24"/>
        </w:rPr>
        <w:t xml:space="preserve">odesłań </w:t>
      </w:r>
      <w:r w:rsidRPr="008D7149">
        <w:rPr>
          <w:rFonts w:ascii="Times New Roman" w:hAnsi="Times New Roman" w:cs="Times New Roman"/>
          <w:sz w:val="24"/>
          <w:szCs w:val="24"/>
        </w:rPr>
        <w:t xml:space="preserve">w art. 144b ust. 1, 2 i 6 ustawy o BFG, również o odpowiednie </w:t>
      </w:r>
      <w:r w:rsidR="004155FD" w:rsidRPr="008D7149">
        <w:rPr>
          <w:rFonts w:ascii="Times New Roman" w:hAnsi="Times New Roman" w:cs="Times New Roman"/>
          <w:sz w:val="24"/>
          <w:szCs w:val="24"/>
        </w:rPr>
        <w:t xml:space="preserve">odesłanie </w:t>
      </w:r>
      <w:r w:rsidRPr="008D7149">
        <w:rPr>
          <w:rFonts w:ascii="Times New Roman" w:hAnsi="Times New Roman" w:cs="Times New Roman"/>
          <w:sz w:val="24"/>
          <w:szCs w:val="24"/>
        </w:rPr>
        <w:t>do art. 156, aby zaadresować fragment art. 71a ust. 1 BRRD (in fine): „</w:t>
      </w:r>
      <w:r w:rsidRPr="008D7149">
        <w:rPr>
          <w:rFonts w:ascii="Times New Roman" w:hAnsi="Times New Roman" w:cs="Times New Roman"/>
          <w:i/>
          <w:sz w:val="24"/>
          <w:szCs w:val="24"/>
        </w:rPr>
        <w:t>oraz uznają, że są związane wymogami określonymi w art. 68</w:t>
      </w:r>
      <w:r w:rsidRPr="008D7149">
        <w:rPr>
          <w:rFonts w:ascii="Times New Roman" w:hAnsi="Times New Roman" w:cs="Times New Roman"/>
          <w:sz w:val="24"/>
          <w:szCs w:val="24"/>
        </w:rPr>
        <w:t xml:space="preserve">”. Przepis art. 68 BRRD został zaimplementowany w art. 156 ustawy o BFG. W związku z powyższym, zgodnie z normą przepisu art. 144b in fine ustawy o BFG, w </w:t>
      </w:r>
      <w:r w:rsidRPr="008D7149">
        <w:rPr>
          <w:rFonts w:ascii="Times New Roman" w:hAnsi="Times New Roman" w:cs="Times New Roman"/>
          <w:sz w:val="24"/>
          <w:szCs w:val="24"/>
        </w:rPr>
        <w:lastRenderedPageBreak/>
        <w:t>umowach finansowych określonych w tym przepisie zawiera się zastrzeżenie, zgodnie z którym strony tej umowy są związane wymogami okreś</w:t>
      </w:r>
      <w:r w:rsidR="00F935DF">
        <w:rPr>
          <w:rFonts w:ascii="Times New Roman" w:hAnsi="Times New Roman" w:cs="Times New Roman"/>
          <w:sz w:val="24"/>
          <w:szCs w:val="24"/>
        </w:rPr>
        <w:t>lonymi w art. 156 ustawy o BFG.</w:t>
      </w:r>
    </w:p>
    <w:p w14:paraId="4EDC3E2F" w14:textId="7659455C"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Ponadto nowelizacja art. 144b ust. 1 ustawy o BFG obejmuje zastąpienie występującej w tym przepisie definicji odesłaniem do pojęcia „umów finansowych”, które są zdefiniowane </w:t>
      </w:r>
      <w:r w:rsidR="004155FD" w:rsidRPr="008D7149">
        <w:rPr>
          <w:rFonts w:ascii="Times New Roman" w:hAnsi="Times New Roman" w:cs="Times New Roman"/>
          <w:sz w:val="24"/>
          <w:szCs w:val="24"/>
        </w:rPr>
        <w:t xml:space="preserve">w </w:t>
      </w:r>
      <w:r w:rsidRPr="008D7149">
        <w:rPr>
          <w:rFonts w:ascii="Times New Roman" w:hAnsi="Times New Roman" w:cs="Times New Roman"/>
          <w:sz w:val="24"/>
          <w:szCs w:val="24"/>
        </w:rPr>
        <w:t>nowododawanym pkt 71a w art. 2 ustawy o BFG</w:t>
      </w:r>
      <w:r w:rsidR="00F936AC">
        <w:rPr>
          <w:rFonts w:ascii="Times New Roman" w:hAnsi="Times New Roman" w:cs="Times New Roman"/>
          <w:sz w:val="24"/>
          <w:szCs w:val="24"/>
        </w:rPr>
        <w:t>.</w:t>
      </w:r>
    </w:p>
    <w:p w14:paraId="724A73C1" w14:textId="4D067C1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Przepis art. 144b ust. 6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w obecnym brzmieniu odnosi się jedynie do niewykonania obowiązku, o którym mowa w art. 144b ust. 3. Mając na uwadze brzmienie art. 71a ust. 1 BRRD: „</w:t>
      </w:r>
      <w:r w:rsidRPr="008D7149">
        <w:rPr>
          <w:rFonts w:ascii="Times New Roman" w:hAnsi="Times New Roman" w:cs="Times New Roman"/>
          <w:i/>
          <w:sz w:val="24"/>
          <w:szCs w:val="24"/>
        </w:rPr>
        <w:t>1. Państwa członkowskie zobowiązują instytucje i podmioty, o których mowa w art. 1 ust. 1 lit. b), c) i d), do włączenia do wszelkich umów finansowych, które zawierają, a które są regulowane przepisami prawa państwa trzeciego postanowień (…)</w:t>
      </w:r>
      <w:r w:rsidRPr="008D7149">
        <w:rPr>
          <w:rFonts w:ascii="Times New Roman" w:hAnsi="Times New Roman" w:cs="Times New Roman"/>
          <w:sz w:val="24"/>
          <w:szCs w:val="24"/>
        </w:rPr>
        <w:t>”, dopuszczalny jest scenariusz, gdy podmiot zawiera z kontrahentem z tego samego państwa członkowskiego lub innego państwa członkowskiego umowę regulowaną przepisami państwa trzeciego. W szczególności umowy finansowe w postaci umów ramowych i wykonawczych zawierane w oparciu o standardy ISDA oraz GMRA są regulowane zasadniczo przepisami właściwymi dla stanu Nowy Jork albo dla Wielkiej Brytanii. Są to powszechnie przyjmowane (również w UE) standardy dla umów dotyczących instrumentów pochodnych oraz</w:t>
      </w:r>
      <w:r w:rsidR="00495980" w:rsidRPr="008D7149">
        <w:rPr>
          <w:rFonts w:ascii="Times New Roman" w:hAnsi="Times New Roman" w:cs="Times New Roman"/>
          <w:sz w:val="24"/>
          <w:szCs w:val="24"/>
        </w:rPr>
        <w:t xml:space="preserve"> transakcji finansowych, należących do grupy dostrajających operacji wolnego rynku np. sprzedaży papieru wartościowego z równoczesnym zobowiązaniem się do jego odkupienia w ustalonej dacie w przyszłości (tzw.</w:t>
      </w:r>
      <w:r w:rsidRPr="008D7149">
        <w:rPr>
          <w:rFonts w:ascii="Times New Roman" w:hAnsi="Times New Roman" w:cs="Times New Roman"/>
          <w:sz w:val="24"/>
          <w:szCs w:val="24"/>
        </w:rPr>
        <w:t xml:space="preserve"> </w:t>
      </w:r>
      <w:proofErr w:type="spellStart"/>
      <w:r w:rsidRPr="008D7149">
        <w:rPr>
          <w:rFonts w:ascii="Times New Roman" w:hAnsi="Times New Roman" w:cs="Times New Roman"/>
          <w:sz w:val="24"/>
          <w:szCs w:val="24"/>
        </w:rPr>
        <w:t>repo</w:t>
      </w:r>
      <w:proofErr w:type="spellEnd"/>
      <w:r w:rsidR="00495980" w:rsidRPr="008D7149">
        <w:rPr>
          <w:rFonts w:ascii="Times New Roman" w:hAnsi="Times New Roman" w:cs="Times New Roman"/>
          <w:sz w:val="24"/>
          <w:szCs w:val="24"/>
        </w:rPr>
        <w:t>)</w:t>
      </w:r>
      <w:r w:rsidR="00F935DF">
        <w:rPr>
          <w:rFonts w:ascii="Times New Roman" w:hAnsi="Times New Roman" w:cs="Times New Roman"/>
          <w:sz w:val="24"/>
          <w:szCs w:val="24"/>
        </w:rPr>
        <w:t>.</w:t>
      </w:r>
    </w:p>
    <w:p w14:paraId="2E3C0FB3" w14:textId="59C6C95A"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tytułu </w:t>
      </w:r>
      <w:r w:rsidRPr="008D7149">
        <w:rPr>
          <w:rFonts w:ascii="Times New Roman" w:hAnsi="Times New Roman" w:cs="Times New Roman"/>
          <w:b/>
          <w:sz w:val="24"/>
          <w:szCs w:val="24"/>
        </w:rPr>
        <w:t>rozdziału 11</w:t>
      </w:r>
      <w:r w:rsidRPr="008D7149">
        <w:rPr>
          <w:rFonts w:ascii="Times New Roman" w:hAnsi="Times New Roman" w:cs="Times New Roman"/>
          <w:sz w:val="24"/>
          <w:szCs w:val="24"/>
        </w:rPr>
        <w:t xml:space="preserve"> w dziale III wynika z zakresu przedmiotowego przepisów, które się w nim znajdują</w:t>
      </w:r>
      <w:r w:rsidR="004155FD" w:rsidRPr="008D7149">
        <w:rPr>
          <w:rFonts w:ascii="Times New Roman" w:hAnsi="Times New Roman" w:cs="Times New Roman"/>
          <w:sz w:val="24"/>
          <w:szCs w:val="24"/>
        </w:rPr>
        <w:t>,</w:t>
      </w:r>
      <w:r w:rsidRPr="008D7149">
        <w:rPr>
          <w:rFonts w:ascii="Times New Roman" w:hAnsi="Times New Roman" w:cs="Times New Roman"/>
          <w:sz w:val="24"/>
          <w:szCs w:val="24"/>
        </w:rPr>
        <w:t xml:space="preserve"> tj. przepis art. 156 ustawy o BFG znajduje się w rozdziale „11. Skutki przymusowej restrukturyzacji dla zobowiązań podmiotu w restrukturyzacji”, tymczasem zawieszenie z art. 144a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dotyczy podmiotu, co do którego nie została jeszcze wszczę</w:t>
      </w:r>
      <w:r w:rsidR="00F935DF">
        <w:rPr>
          <w:rFonts w:ascii="Times New Roman" w:hAnsi="Times New Roman" w:cs="Times New Roman"/>
          <w:sz w:val="24"/>
          <w:szCs w:val="24"/>
        </w:rPr>
        <w:t>ta przymusowa restrukturyzacj</w:t>
      </w:r>
      <w:r w:rsidR="00F936AC">
        <w:rPr>
          <w:rFonts w:ascii="Times New Roman" w:hAnsi="Times New Roman" w:cs="Times New Roman"/>
          <w:sz w:val="24"/>
          <w:szCs w:val="24"/>
        </w:rPr>
        <w:t>a</w:t>
      </w:r>
      <w:r w:rsidR="00F935DF">
        <w:rPr>
          <w:rFonts w:ascii="Times New Roman" w:hAnsi="Times New Roman" w:cs="Times New Roman"/>
          <w:sz w:val="24"/>
          <w:szCs w:val="24"/>
        </w:rPr>
        <w:t>.</w:t>
      </w:r>
    </w:p>
    <w:p w14:paraId="51331A19" w14:textId="646BF345"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art. 156</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 1</w:t>
      </w:r>
      <w:r w:rsidR="00FA5055" w:rsidRPr="008D7149">
        <w:rPr>
          <w:rFonts w:ascii="Times New Roman" w:hAnsi="Times New Roman" w:cs="Times New Roman"/>
          <w:b/>
          <w:sz w:val="24"/>
          <w:szCs w:val="24"/>
        </w:rPr>
        <w:t>,</w:t>
      </w:r>
      <w:r w:rsidRPr="008D7149">
        <w:rPr>
          <w:rFonts w:ascii="Times New Roman" w:hAnsi="Times New Roman" w:cs="Times New Roman"/>
          <w:b/>
          <w:sz w:val="24"/>
          <w:szCs w:val="24"/>
        </w:rPr>
        <w:t xml:space="preserve"> 2</w:t>
      </w:r>
      <w:r w:rsidR="00FA5055" w:rsidRPr="008D7149">
        <w:rPr>
          <w:rFonts w:ascii="Times New Roman" w:hAnsi="Times New Roman" w:cs="Times New Roman"/>
          <w:b/>
          <w:sz w:val="24"/>
          <w:szCs w:val="24"/>
        </w:rPr>
        <w:t xml:space="preserve"> i 4</w:t>
      </w:r>
      <w:r w:rsidRPr="008D7149">
        <w:rPr>
          <w:rFonts w:ascii="Times New Roman" w:hAnsi="Times New Roman" w:cs="Times New Roman"/>
          <w:sz w:val="24"/>
          <w:szCs w:val="24"/>
        </w:rPr>
        <w:t xml:space="preserve">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jest powiązana ze zmianą w art. 144b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i ma na celu dokonanie korekty implementacji art. 68 BRRD w art. 156 ustawy o BFG o </w:t>
      </w:r>
      <w:r w:rsidR="004155FD" w:rsidRPr="008D7149">
        <w:rPr>
          <w:rFonts w:ascii="Times New Roman" w:hAnsi="Times New Roman" w:cs="Times New Roman"/>
          <w:sz w:val="24"/>
          <w:szCs w:val="24"/>
        </w:rPr>
        <w:t xml:space="preserve">odesłanie </w:t>
      </w:r>
      <w:r w:rsidRPr="008D7149">
        <w:rPr>
          <w:rFonts w:ascii="Times New Roman" w:hAnsi="Times New Roman" w:cs="Times New Roman"/>
          <w:sz w:val="24"/>
          <w:szCs w:val="24"/>
        </w:rPr>
        <w:t xml:space="preserve">do art. 144a ustawy o BFG. </w:t>
      </w:r>
    </w:p>
    <w:p w14:paraId="307D0348" w14:textId="5CA788A9" w:rsidR="00695EEB" w:rsidRPr="008D7149" w:rsidRDefault="00695EEB" w:rsidP="008D7149">
      <w:pPr>
        <w:spacing w:before="120" w:after="0" w:line="360" w:lineRule="auto"/>
        <w:jc w:val="both"/>
        <w:rPr>
          <w:rFonts w:ascii="Times New Roman" w:hAnsi="Times New Roman" w:cs="Times New Roman"/>
          <w:b/>
          <w:sz w:val="24"/>
          <w:szCs w:val="24"/>
        </w:rPr>
      </w:pPr>
      <w:r w:rsidRPr="008D7149">
        <w:rPr>
          <w:rFonts w:ascii="Times New Roman" w:hAnsi="Times New Roman" w:cs="Times New Roman"/>
          <w:sz w:val="24"/>
          <w:szCs w:val="24"/>
        </w:rPr>
        <w:t xml:space="preserve">Zmiana w </w:t>
      </w:r>
      <w:r w:rsidRPr="008D7149">
        <w:rPr>
          <w:rFonts w:ascii="Times New Roman" w:hAnsi="Times New Roman" w:cs="Times New Roman"/>
          <w:b/>
          <w:sz w:val="24"/>
          <w:szCs w:val="24"/>
        </w:rPr>
        <w:t xml:space="preserve">art. 175 ust. 8 </w:t>
      </w:r>
      <w:r w:rsidR="004155FD" w:rsidRPr="00315BEB">
        <w:rPr>
          <w:rFonts w:ascii="Times New Roman" w:hAnsi="Times New Roman" w:cs="Times New Roman"/>
          <w:sz w:val="24"/>
          <w:szCs w:val="24"/>
        </w:rPr>
        <w:t>ustawy o BFG</w:t>
      </w:r>
      <w:r w:rsidR="004155FD" w:rsidRPr="008D7149">
        <w:rPr>
          <w:rFonts w:ascii="Times New Roman" w:hAnsi="Times New Roman" w:cs="Times New Roman"/>
          <w:b/>
          <w:sz w:val="24"/>
          <w:szCs w:val="24"/>
        </w:rPr>
        <w:t xml:space="preserve"> </w:t>
      </w:r>
      <w:r w:rsidRPr="008D7149">
        <w:rPr>
          <w:rFonts w:ascii="Times New Roman" w:hAnsi="Times New Roman" w:cs="Times New Roman"/>
          <w:sz w:val="24"/>
          <w:szCs w:val="24"/>
        </w:rPr>
        <w:t>dotyczy</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kwestii przekazania pracownikom informacji, o której mowa w art. 23</w:t>
      </w:r>
      <w:r w:rsidRPr="008D7149">
        <w:rPr>
          <w:rFonts w:ascii="Times New Roman" w:hAnsi="Times New Roman" w:cs="Times New Roman"/>
          <w:sz w:val="24"/>
          <w:szCs w:val="24"/>
          <w:vertAlign w:val="superscript"/>
        </w:rPr>
        <w:t>1</w:t>
      </w:r>
      <w:r w:rsidRPr="008D7149">
        <w:rPr>
          <w:rFonts w:ascii="Times New Roman" w:hAnsi="Times New Roman" w:cs="Times New Roman"/>
          <w:sz w:val="24"/>
          <w:szCs w:val="24"/>
        </w:rPr>
        <w:t xml:space="preserve"> § 3 Kodeksu pracy</w:t>
      </w:r>
      <w:r w:rsidR="004155FD" w:rsidRPr="008D7149">
        <w:rPr>
          <w:rFonts w:ascii="Times New Roman" w:hAnsi="Times New Roman" w:cs="Times New Roman"/>
          <w:sz w:val="24"/>
          <w:szCs w:val="24"/>
        </w:rPr>
        <w:t>. Zagadnienie to</w:t>
      </w:r>
      <w:r w:rsidRPr="008D7149">
        <w:rPr>
          <w:rFonts w:ascii="Times New Roman" w:hAnsi="Times New Roman" w:cs="Times New Roman"/>
          <w:sz w:val="24"/>
          <w:szCs w:val="24"/>
        </w:rPr>
        <w:t xml:space="preserve"> </w:t>
      </w:r>
      <w:r w:rsidR="004155FD" w:rsidRPr="008D7149">
        <w:rPr>
          <w:rFonts w:ascii="Times New Roman" w:hAnsi="Times New Roman" w:cs="Times New Roman"/>
          <w:sz w:val="24"/>
          <w:szCs w:val="24"/>
        </w:rPr>
        <w:t xml:space="preserve">zostało </w:t>
      </w:r>
      <w:r w:rsidRPr="008D7149">
        <w:rPr>
          <w:rFonts w:ascii="Times New Roman" w:hAnsi="Times New Roman" w:cs="Times New Roman"/>
          <w:sz w:val="24"/>
          <w:szCs w:val="24"/>
        </w:rPr>
        <w:t xml:space="preserve">w </w:t>
      </w:r>
      <w:r w:rsidR="004155FD" w:rsidRPr="008D7149">
        <w:rPr>
          <w:rFonts w:ascii="Times New Roman" w:hAnsi="Times New Roman" w:cs="Times New Roman"/>
          <w:sz w:val="24"/>
          <w:szCs w:val="24"/>
        </w:rPr>
        <w:t xml:space="preserve">sposób </w:t>
      </w:r>
      <w:r w:rsidRPr="008D7149">
        <w:rPr>
          <w:rFonts w:ascii="Times New Roman" w:hAnsi="Times New Roman" w:cs="Times New Roman"/>
          <w:sz w:val="24"/>
          <w:szCs w:val="24"/>
        </w:rPr>
        <w:t>kompleksowy uregulowan</w:t>
      </w:r>
      <w:r w:rsidR="004155FD" w:rsidRPr="008D7149">
        <w:rPr>
          <w:rFonts w:ascii="Times New Roman" w:hAnsi="Times New Roman" w:cs="Times New Roman"/>
          <w:sz w:val="24"/>
          <w:szCs w:val="24"/>
        </w:rPr>
        <w:t>e</w:t>
      </w:r>
      <w:r w:rsidRPr="008D7149">
        <w:rPr>
          <w:rFonts w:ascii="Times New Roman" w:hAnsi="Times New Roman" w:cs="Times New Roman"/>
          <w:sz w:val="24"/>
          <w:szCs w:val="24"/>
        </w:rPr>
        <w:t xml:space="preserve"> w art. 124 ust. 1 ustawy o BFG, w związku z czym zasadne jest uchylenie ust. 8 w art. 175 ustawy o BFG jako odnoszącego się do tej samej kwestii.</w:t>
      </w:r>
    </w:p>
    <w:p w14:paraId="46F39E99" w14:textId="1356E7F6"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Zmiana w</w:t>
      </w:r>
      <w:r w:rsidRPr="008D7149">
        <w:rPr>
          <w:rFonts w:ascii="Times New Roman" w:hAnsi="Times New Roman" w:cs="Times New Roman"/>
          <w:b/>
          <w:sz w:val="24"/>
          <w:szCs w:val="24"/>
        </w:rPr>
        <w:t xml:space="preserve"> art. 175a </w:t>
      </w:r>
      <w:r w:rsidR="004155FD" w:rsidRPr="00FB52C2">
        <w:rPr>
          <w:rFonts w:ascii="Times New Roman" w:hAnsi="Times New Roman" w:cs="Times New Roman"/>
          <w:sz w:val="24"/>
          <w:szCs w:val="24"/>
        </w:rPr>
        <w:t>ustawy o BFG</w:t>
      </w:r>
      <w:r w:rsidR="004155FD" w:rsidRPr="008D7149">
        <w:rPr>
          <w:rFonts w:ascii="Times New Roman" w:hAnsi="Times New Roman" w:cs="Times New Roman"/>
          <w:b/>
          <w:sz w:val="24"/>
          <w:szCs w:val="24"/>
        </w:rPr>
        <w:t xml:space="preserve"> </w:t>
      </w:r>
      <w:r w:rsidRPr="008D7149">
        <w:rPr>
          <w:rFonts w:ascii="Times New Roman" w:hAnsi="Times New Roman" w:cs="Times New Roman"/>
          <w:sz w:val="24"/>
          <w:szCs w:val="24"/>
        </w:rPr>
        <w:t>jest konsekwencją</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proponowanych zmian w art. 113</w:t>
      </w:r>
      <w:r w:rsidR="004155FD"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xml:space="preserve">, gdzie przewiduje się dodanie art. 175a w ustawie o BFG, który określa moment wygaśnięcia uprawnień BFG związanych ze stosowaniem instrumentu przejęcia przedsiębiorstwa w wariancie przejęcia praw udziałowych (art. 174 ust. 1 pkt 3 ustawy o BFG). Dodawany art. 175a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określa moment wygaśnięcia uprawnień BFG związanych ze stosowaniem instrumentu przejęcia przedsiębiorstwa w wariancie przejęcia praw udziałowych (art. 174 ust. 1 pkt 3 ustawy o BFG) określonych w art. 113 ust. 1 pkt 1 oraz ust. le </w:t>
      </w:r>
      <w:r w:rsidR="004155F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z dniem określonym w decyzji, o której mowa art. 174 ust. 1 pkt 3 ustawy o BFG. Po zastosowaniu przez BFG instrumentu przejęcia przedsiębiorstwa w wariancie przejęcia praw udziałowych podmiot przejmujący staje się właścicielem przejmowanego podmiotu w restrukturyzacji i od dnia przejęcia przysługują mu wszelkie uprawnienia związane z przejętymi prawami udziałowymi. Jednocześnie jest możliwa sytuacja, w której przymusowa restrukturyzacja nie zostanie zakończona do dnia przejęcia z uwagi np. na skorzystanie z instrumentu wydzielenia aktywów (art. 122 ust. 2 pkt 3 ustawy o BFG). Wobec powyższego w projektowanym przepisie kwestia wygaszenia uprawnień </w:t>
      </w:r>
      <w:r w:rsidR="004155FD" w:rsidRPr="008D7149">
        <w:rPr>
          <w:rFonts w:ascii="Times New Roman" w:hAnsi="Times New Roman" w:cs="Times New Roman"/>
          <w:sz w:val="24"/>
          <w:szCs w:val="24"/>
        </w:rPr>
        <w:t xml:space="preserve">BFG </w:t>
      </w:r>
      <w:r w:rsidRPr="008D7149">
        <w:rPr>
          <w:rFonts w:ascii="Times New Roman" w:hAnsi="Times New Roman" w:cs="Times New Roman"/>
          <w:sz w:val="24"/>
          <w:szCs w:val="24"/>
        </w:rPr>
        <w:t>o charakterze korporacyjnym (art. 113 ust. 1 pkt 1</w:t>
      </w:r>
      <w:r w:rsidR="004155FD" w:rsidRPr="008D7149">
        <w:rPr>
          <w:rFonts w:ascii="Times New Roman" w:hAnsi="Times New Roman" w:cs="Times New Roman"/>
          <w:sz w:val="24"/>
          <w:szCs w:val="24"/>
        </w:rPr>
        <w:t xml:space="preserve"> oraz ust.</w:t>
      </w:r>
      <w:r w:rsidRPr="008D7149">
        <w:rPr>
          <w:rFonts w:ascii="Times New Roman" w:hAnsi="Times New Roman" w:cs="Times New Roman"/>
          <w:sz w:val="24"/>
          <w:szCs w:val="24"/>
        </w:rPr>
        <w:t xml:space="preserve"> 1e ustawy o BFG) będzie określana przez BFG w decyzji o wszczęciu przymusowej restrukturyzacji.</w:t>
      </w:r>
    </w:p>
    <w:p w14:paraId="0B182B54"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Istota zmian ustawy o BFG jest zawarta w projektowanym brzmieniu </w:t>
      </w:r>
      <w:r w:rsidRPr="008D7149">
        <w:rPr>
          <w:rFonts w:ascii="Times New Roman" w:eastAsia="Calibri" w:hAnsi="Times New Roman" w:cs="Times New Roman"/>
          <w:b/>
          <w:sz w:val="24"/>
          <w:szCs w:val="24"/>
        </w:rPr>
        <w:t>art. 179 i art. 272</w:t>
      </w:r>
      <w:r w:rsidRPr="008D7149">
        <w:rPr>
          <w:rFonts w:ascii="Times New Roman" w:eastAsia="Calibri" w:hAnsi="Times New Roman" w:cs="Times New Roman"/>
          <w:sz w:val="24"/>
          <w:szCs w:val="24"/>
        </w:rPr>
        <w:t xml:space="preserve"> ustawy o BFG. Zmiany te wynikają z przeglądu implementacji art. 109 dyrektywy BRRD i doprecyzowują przepisy wdrażające ten artykuł, jak również służą rozszerzeniu możliwości zaangażowania środków z funduszu gwarancyjnego banków lub z funduszu gwarancyjnego kas dla udzielania wsparcia podmiotom przejmującym prawa i zobowiązania banków lub kas poddawanych przymusowej restrukturyzacji. </w:t>
      </w:r>
    </w:p>
    <w:p w14:paraId="3942DD87" w14:textId="77F48A08"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Proponowane zmiany pozwolą w szczególności na udzielanie wsparcia z funduszu gwarancyjnego banków lub z funduszu gwarancyjnego kas przy przymusowej restrukturyzacji banków spółdzielczych oraz kas, a więc podmiotów</w:t>
      </w:r>
      <w:r w:rsidR="00F936AC">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w przypadku których taki rodzaj wsparcia może być – ze względu na charakter prowadzonej przez te instytucje działalności – jedynym możliwym wsparciem. Aktualnie udzielenie takiego wsparcia jest w znacznym stopniu utrudnione. Powyższe związane jest z określonymi w art. 179 ustawy o BFG warunkami udzielania takiego wsparcia, w szczególności z wymogiem, aby wartość przejmowanych zobowiązań z tytułu środków gwarantowanych przekraczała wartość przejmowanych praw majątkowych. Zawężenie pasywów (w tym przypadku depozytów) przy wyliczaniu możliwości udzielenia wsparcia wyłącznie do kategorii depozytów gwarantowanych jest nadmiarowe i w </w:t>
      </w:r>
      <w:r w:rsidRPr="008D7149">
        <w:rPr>
          <w:rFonts w:ascii="Times New Roman" w:eastAsia="Calibri" w:hAnsi="Times New Roman" w:cs="Times New Roman"/>
          <w:sz w:val="24"/>
          <w:szCs w:val="24"/>
        </w:rPr>
        <w:lastRenderedPageBreak/>
        <w:t xml:space="preserve">większości przypadków uniemożliwi wykorzystanie wsparcia z funduszy gwarancyjnych, ponieważ poza depozytami gwarantowanymi po stronie zobowiązań znajduje się wiele innych pozycji. </w:t>
      </w:r>
    </w:p>
    <w:p w14:paraId="55395DBB" w14:textId="5C14785B"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Proponowane zmiany, aktualizujące sposób wyliczenia części pasywnej przy ocenie możliwości udzielenia wsparcia, który będzie odnosił się do sumy zobowiązań, nie zaś wyłącznie zobowiązań z tytułu środków gwarantowanych, są zgodne z odpowiednimi przepisami unijnymi (m.in. art. 109 dyrektywy BRRD). Zmiany te wpłyną także na zwiększenie poziomu stabilności systemu finansowego. Jednocześnie zmiany te nie będą skutkowały większym zaangażowaniem środków z funduszu gwarancyjnego banków lub z funduszu gwarancyjnego kas ponad poziom zaangażowania netto, jaki miałby miejsce w przypadku upadłości banku lub kasy – w stosunku do których nie zostałaby wszczęta przymusowa restrukturyzacja. Tym samym ostateczny koszt dla systemu gwarantowania depozytów (koszt dla funduszu gwarancyjnego banków lub koszt dla funduszu gwarancyjnego kas), w przypadku wsparcia procesu przejęcia</w:t>
      </w:r>
      <w:r w:rsidR="003D234A">
        <w:rPr>
          <w:rFonts w:ascii="Times New Roman" w:eastAsia="Calibri" w:hAnsi="Times New Roman" w:cs="Times New Roman"/>
          <w:sz w:val="24"/>
          <w:szCs w:val="24"/>
        </w:rPr>
        <w:t>,</w:t>
      </w:r>
      <w:r w:rsidRPr="008D7149">
        <w:rPr>
          <w:rFonts w:ascii="Times New Roman" w:eastAsia="Calibri" w:hAnsi="Times New Roman" w:cs="Times New Roman"/>
          <w:sz w:val="24"/>
          <w:szCs w:val="24"/>
        </w:rPr>
        <w:t xml:space="preserve"> nie może być wyższy niż ostateczny koszt, jaki poniósłby ten system w sytuacji, gdyby zamiast wsparcia procesu przejęcia, należałoby wypłacić wartość depozytów objętych gwarancją w ujęciu netto, czyli po odliczeniu od łącznego kosztu wypłaty również odzyskanych środków, tj. przewidywanych przychodów ze zbycia w postępowaniu upadłościowym aktywów banku lub kasy.</w:t>
      </w:r>
    </w:p>
    <w:p w14:paraId="14CDB909"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W obecnym stanie prawnym kwestia wykorzystania środków z funduszu gwarancyjnego banków lub z funduszu gwarancyjnego kas w przypadku przejęcia przedsiębiorstwa w ramach przymusowej restrukturyzacji została uregulowana w art. 179 ustawy o BFG. Przepis ten stanowi zawężającą implementację przepisu art. 109 ust. 1 dyrektywy BRRD, bowiem ogranicza możliwość udzielenia wsparcia z systemu gwarantowania depozytów wyłącznie do sytuacji, gdy w danym podmiocie objętym przymusową restrukturyzacją wystąpi mniejsza wartość aktywów niż wartość zobowiązań, zawężona wyłącznie do zobowiązań z tytułu środków gwarantowanych, co jest sytuacją rzadką – mało prawdopodobną na rynku finansowym. Wobec tego w większości stanów faktycznych nie będzie można udzielić takiego wsparcia, ponieważ wartość zobowiązań przy tego typu zawężeniu nie będzie zwykle wyższa niż wartość wszystkich aktywów.</w:t>
      </w:r>
    </w:p>
    <w:p w14:paraId="3340498A"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W art. 109 dyrektywy BRRD brak jest takiego zawężającego warunku. Zgodnie z przepisami zawartymi w art. 109 ust. 1 oraz w art. 109 ust. 5 akapit 3 dyrektywy BRRD w ramach procesu przymusowej restrukturyzacji warunkiem udzielania wsparcia z systemów gwarantowania depozytów (w przypadku Polski jest to fundusz gwarancyjny banków lub fundusz gwarancyjny </w:t>
      </w:r>
      <w:r w:rsidRPr="008D7149">
        <w:rPr>
          <w:rFonts w:ascii="Times New Roman" w:eastAsia="Calibri" w:hAnsi="Times New Roman" w:cs="Times New Roman"/>
          <w:sz w:val="24"/>
          <w:szCs w:val="24"/>
        </w:rPr>
        <w:lastRenderedPageBreak/>
        <w:t>kas) jest to, aby wparcie udzielane z systemów gwarantowania depozytów nie było wyższe niż niższa z wartości:</w:t>
      </w:r>
    </w:p>
    <w:p w14:paraId="4452009C" w14:textId="77777777" w:rsidR="00695EEB" w:rsidRPr="008D7149" w:rsidRDefault="00695EEB" w:rsidP="00315BEB">
      <w:pPr>
        <w:numPr>
          <w:ilvl w:val="1"/>
          <w:numId w:val="5"/>
        </w:numPr>
        <w:spacing w:after="0" w:line="360" w:lineRule="auto"/>
        <w:ind w:left="567" w:hanging="567"/>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wysokość kosztów systemu gwarantowania depozytów w przypadku ogłoszenia upadłości banku;</w:t>
      </w:r>
    </w:p>
    <w:p w14:paraId="18EE3378" w14:textId="77777777" w:rsidR="00695EEB" w:rsidRPr="008D7149" w:rsidRDefault="00695EEB" w:rsidP="00315BEB">
      <w:pPr>
        <w:numPr>
          <w:ilvl w:val="1"/>
          <w:numId w:val="5"/>
        </w:numPr>
        <w:spacing w:after="0" w:line="360" w:lineRule="auto"/>
        <w:ind w:left="567" w:hanging="567"/>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wysokość różnicy między wartością zobowiązań i aktywów przenoszonych na podmiot przejmujący w ramach instrumentu przymusowej restrukturyzacji w postaci przejęcia przedsiębiorstwa.</w:t>
      </w:r>
    </w:p>
    <w:p w14:paraId="0539516C"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Jednocześnie w celu oszacowania wysokości kosztów, jakie poniósłby system gwarantowania depozytów w przypadku hipotetycznej upadłości banku lub kasy, uwzględnia się przewidywaną tzw. likwidacyjną wartość aktywów banku lub kasy, a zatem wartość w przypadku, gdyby została stwierdzona ich upadłość. Likwidacyjna wartość aktywów, z uwagi na nadzwyczajną sytuację podmiotu w upadłości, będzie wartością niższą niż tzw. wartość zbycia, odnosząca się do wartości aktywów banku niezagrożonego upadłością. Przy określaniu wysokości wsparcia, jakie może zostać udzielone z systemów gwarantowania depozytów w przypadku przymusowej restrukturyzacji banku lub kasy w pełni uzasadnione jest uwzględnianie wartości likwidacyjnej aktywów, gdyż punktem odniesienia dla ustalania wysokości takiego wsparcia jest, zgodnie z art. 109 ust. 1 dyrektywy BRRD, przypadek upadłości banku lub kasy.</w:t>
      </w:r>
    </w:p>
    <w:p w14:paraId="02F55303" w14:textId="3A276BB8"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Zawarte w projektowanym brzmieniu </w:t>
      </w:r>
      <w:r w:rsidRPr="008D7149">
        <w:rPr>
          <w:rFonts w:ascii="Times New Roman" w:eastAsia="Calibri" w:hAnsi="Times New Roman" w:cs="Times New Roman"/>
          <w:b/>
          <w:sz w:val="24"/>
          <w:szCs w:val="24"/>
        </w:rPr>
        <w:t>art. 179</w:t>
      </w:r>
      <w:r w:rsidRPr="008D7149">
        <w:rPr>
          <w:rFonts w:ascii="Times New Roman" w:eastAsia="Calibri" w:hAnsi="Times New Roman" w:cs="Times New Roman"/>
          <w:sz w:val="24"/>
          <w:szCs w:val="24"/>
        </w:rPr>
        <w:t xml:space="preserve"> ustawy o BFG zasady udzielania podmiotowi przejmującemu, zgodnie z art. 174 ustawy o BFG, przedsiębiorstwo lub prawa i zobowiązania albo prawa udziałowe podmiotu w restrukturyzacji są zgodne z zasadami wskazanymi w art. 109 ust. 1 dyrektywy BRRD. Zmiany te służą z jednej strony zapewnieniu deponentom ciągłego dostępu do depozytów dzięki poddaniu banku lub kasy przymusowej restrukturyzacji zamiast upadłości, a jednocześnie zapewniają, że koszty ponoszone przez fundusz gwarancyjny banków lub fundusz gwarancyjny kas nie będą wyższe niż koszty, jakie fundusze te poniosłyby w przypadku upadłości banku lub kasy i konieczności wypłaty środków gwarantowanych. Dodatkowo z projektowanego przepisu wynika, że wysokość przedmiotowego wsparcia udzielanego podmiotowi przejmującemu będzie ustalana z uwzględnieniem wartości likwidacyjnej aktywów banku lub kasy ustalanej w drodze oszacowania sporządzanego przez podmiot niezależny od organów publicznych, </w:t>
      </w:r>
      <w:r w:rsidR="001D5ADE" w:rsidRPr="008D7149">
        <w:rPr>
          <w:rFonts w:ascii="Times New Roman" w:eastAsia="Calibri" w:hAnsi="Times New Roman" w:cs="Times New Roman"/>
          <w:sz w:val="24"/>
          <w:szCs w:val="24"/>
        </w:rPr>
        <w:t>BFG</w:t>
      </w:r>
      <w:r w:rsidRPr="008D7149">
        <w:rPr>
          <w:rFonts w:ascii="Times New Roman" w:eastAsia="Calibri" w:hAnsi="Times New Roman" w:cs="Times New Roman"/>
          <w:sz w:val="24"/>
          <w:szCs w:val="24"/>
        </w:rPr>
        <w:t xml:space="preserve">, a także podmiotu, którego aktywa i pasywa podlegają oszacowaniu. </w:t>
      </w:r>
    </w:p>
    <w:p w14:paraId="187E451A"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Jednocześnie z ww. względów i na tych samych zasadach dokonano zmian w projektowanym </w:t>
      </w:r>
      <w:r w:rsidRPr="008D7149">
        <w:rPr>
          <w:rFonts w:ascii="Times New Roman" w:eastAsia="Calibri" w:hAnsi="Times New Roman" w:cs="Times New Roman"/>
          <w:b/>
          <w:sz w:val="24"/>
          <w:szCs w:val="24"/>
        </w:rPr>
        <w:t xml:space="preserve">art. 188 ust. 5 ustawy o BFG oraz w projektowanym art. 188 ust. 5a ustawy o BFG </w:t>
      </w:r>
      <w:r w:rsidRPr="008D7149">
        <w:rPr>
          <w:rFonts w:ascii="Times New Roman" w:eastAsia="Calibri" w:hAnsi="Times New Roman" w:cs="Times New Roman"/>
          <w:sz w:val="24"/>
          <w:szCs w:val="24"/>
        </w:rPr>
        <w:t xml:space="preserve">z </w:t>
      </w:r>
      <w:r w:rsidRPr="008D7149">
        <w:rPr>
          <w:rFonts w:ascii="Times New Roman" w:eastAsia="Calibri" w:hAnsi="Times New Roman" w:cs="Times New Roman"/>
          <w:sz w:val="24"/>
          <w:szCs w:val="24"/>
        </w:rPr>
        <w:lastRenderedPageBreak/>
        <w:t>uwzględnieniem niezbędnych różnic między instrumentem przejęcia przedsiębiorstwa a instrumentem instytucji pomostowej.</w:t>
      </w:r>
    </w:p>
    <w:p w14:paraId="3F2DB3F7" w14:textId="30F4AE1F"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Zmiany w </w:t>
      </w:r>
      <w:r w:rsidRPr="008D7149">
        <w:rPr>
          <w:rFonts w:ascii="Times New Roman" w:hAnsi="Times New Roman" w:cs="Times New Roman"/>
          <w:b/>
          <w:sz w:val="24"/>
          <w:szCs w:val="24"/>
        </w:rPr>
        <w:t>art. 181 ust. 2, art. 188 ust. 6, art. 220 oraz art. 228 ust. 2</w:t>
      </w:r>
      <w:r w:rsidRPr="008D7149">
        <w:rPr>
          <w:rFonts w:ascii="Times New Roman" w:hAnsi="Times New Roman" w:cs="Times New Roman"/>
          <w:sz w:val="24"/>
          <w:szCs w:val="24"/>
        </w:rPr>
        <w:t xml:space="preserve"> ustawy o </w:t>
      </w:r>
      <w:r w:rsidR="001D5ADE" w:rsidRPr="008D7149">
        <w:rPr>
          <w:rFonts w:ascii="Times New Roman" w:hAnsi="Times New Roman" w:cs="Times New Roman"/>
          <w:sz w:val="24"/>
          <w:szCs w:val="24"/>
        </w:rPr>
        <w:t>BFG</w:t>
      </w:r>
      <w:r w:rsidRPr="008D7149">
        <w:rPr>
          <w:rFonts w:ascii="Times New Roman" w:hAnsi="Times New Roman" w:cs="Times New Roman"/>
          <w:sz w:val="24"/>
          <w:szCs w:val="24"/>
        </w:rPr>
        <w:t xml:space="preserve"> mają na celu dostosowanie do zaproponowanych zmian ustawy o ofercie publicznej, w szczególności uwzględniają proponowane uchylenie art. 74 tej ustawy oraz uwzględniają nowy próg wezwania zobowiązujący do ogłoszenia wezwania do zapisywania się na sprzedaż lub zamianę wszystkich pozostałych akcji (zmiana art. 220 ustawy o </w:t>
      </w:r>
      <w:r w:rsidR="001D5ADE" w:rsidRPr="008D7149">
        <w:rPr>
          <w:rFonts w:ascii="Times New Roman" w:hAnsi="Times New Roman" w:cs="Times New Roman"/>
          <w:sz w:val="24"/>
          <w:szCs w:val="24"/>
        </w:rPr>
        <w:t>BFG</w:t>
      </w:r>
      <w:r w:rsidRPr="008D7149">
        <w:rPr>
          <w:rFonts w:ascii="Times New Roman" w:hAnsi="Times New Roman" w:cs="Times New Roman"/>
          <w:sz w:val="24"/>
          <w:szCs w:val="24"/>
        </w:rPr>
        <w:t>).</w:t>
      </w:r>
    </w:p>
    <w:p w14:paraId="575DDA14" w14:textId="10EFE8D4" w:rsidR="00695EEB" w:rsidRPr="008D7149" w:rsidRDefault="00695EEB" w:rsidP="008D7149">
      <w:pPr>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t xml:space="preserve">Nowelizacja </w:t>
      </w:r>
      <w:r w:rsidRPr="008D7149">
        <w:rPr>
          <w:rFonts w:ascii="Times New Roman" w:eastAsia="Times New Roman" w:hAnsi="Times New Roman" w:cs="Times New Roman"/>
          <w:b/>
          <w:sz w:val="24"/>
          <w:szCs w:val="24"/>
        </w:rPr>
        <w:t>art. 188 ust. 4</w:t>
      </w:r>
      <w:r w:rsidRPr="008D7149">
        <w:rPr>
          <w:rFonts w:ascii="Times New Roman" w:eastAsia="Times New Roman" w:hAnsi="Times New Roman" w:cs="Times New Roman"/>
          <w:sz w:val="24"/>
          <w:szCs w:val="24"/>
        </w:rPr>
        <w:t xml:space="preserve"> ustawy o BFG ma na celu dostosowanie tego przepisu do implementowanego art. 40 ust. 3 </w:t>
      </w:r>
      <w:r w:rsidR="001D5ADE" w:rsidRPr="008D7149">
        <w:rPr>
          <w:rFonts w:ascii="Times New Roman" w:eastAsia="Times New Roman" w:hAnsi="Times New Roman" w:cs="Times New Roman"/>
          <w:sz w:val="24"/>
          <w:szCs w:val="24"/>
        </w:rPr>
        <w:t>d</w:t>
      </w:r>
      <w:r w:rsidRPr="008D7149">
        <w:rPr>
          <w:rFonts w:ascii="Times New Roman" w:eastAsia="Times New Roman" w:hAnsi="Times New Roman" w:cs="Times New Roman"/>
          <w:sz w:val="24"/>
          <w:szCs w:val="24"/>
        </w:rPr>
        <w:t>yrektywy BRR</w:t>
      </w:r>
      <w:r w:rsidR="001D5ADE" w:rsidRPr="008D7149">
        <w:rPr>
          <w:rFonts w:ascii="Times New Roman" w:eastAsia="Times New Roman" w:hAnsi="Times New Roman" w:cs="Times New Roman"/>
          <w:sz w:val="24"/>
          <w:szCs w:val="24"/>
        </w:rPr>
        <w:t>D</w:t>
      </w:r>
      <w:r w:rsidRPr="008D7149">
        <w:rPr>
          <w:rFonts w:ascii="Times New Roman" w:eastAsia="Times New Roman" w:hAnsi="Times New Roman" w:cs="Times New Roman"/>
          <w:sz w:val="24"/>
          <w:szCs w:val="24"/>
        </w:rPr>
        <w:t xml:space="preserve">. Zgodnie z art. 40 ust. 3 </w:t>
      </w:r>
      <w:r w:rsidR="001D5ADE" w:rsidRPr="008D7149">
        <w:rPr>
          <w:rFonts w:ascii="Times New Roman" w:eastAsia="Times New Roman" w:hAnsi="Times New Roman" w:cs="Times New Roman"/>
          <w:sz w:val="24"/>
          <w:szCs w:val="24"/>
        </w:rPr>
        <w:t xml:space="preserve">dyrektywy </w:t>
      </w:r>
      <w:r w:rsidRPr="008D7149">
        <w:rPr>
          <w:rFonts w:ascii="Times New Roman" w:eastAsia="Times New Roman" w:hAnsi="Times New Roman" w:cs="Times New Roman"/>
          <w:sz w:val="24"/>
          <w:szCs w:val="24"/>
        </w:rPr>
        <w:t xml:space="preserve">BRRD łączna wartość zobowiązań przeniesionych do instytucji pomostowej nie przekracza łącznej wartości praw i aktywów przeniesionych z instytucji objętej restrukturyzacją i uporządkowaną likwidacją lub pochodzących z innych źródeł. Dotychczasowe brzmienie art. 188 ust. 4 </w:t>
      </w:r>
      <w:r w:rsidR="001D5ADE" w:rsidRPr="008D7149">
        <w:rPr>
          <w:rFonts w:ascii="Times New Roman" w:eastAsia="Times New Roman" w:hAnsi="Times New Roman" w:cs="Times New Roman"/>
          <w:sz w:val="24"/>
          <w:szCs w:val="24"/>
        </w:rPr>
        <w:t xml:space="preserve">ustawy o BFG </w:t>
      </w:r>
      <w:r w:rsidRPr="008D7149">
        <w:rPr>
          <w:rFonts w:ascii="Times New Roman" w:eastAsia="Times New Roman" w:hAnsi="Times New Roman" w:cs="Times New Roman"/>
          <w:sz w:val="24"/>
          <w:szCs w:val="24"/>
        </w:rPr>
        <w:t xml:space="preserve">nie uwzględnia pojęcia „dodatkowych źródeł” wskazanych w ww. przepisie dyrektywy. Takimi dodatkowymi źródłami mogą być zarówno środki przekazane instytucji pomostowej przez </w:t>
      </w:r>
      <w:r w:rsidR="001D5ADE" w:rsidRPr="008D7149">
        <w:rPr>
          <w:rFonts w:ascii="Times New Roman" w:eastAsia="Times New Roman" w:hAnsi="Times New Roman" w:cs="Times New Roman"/>
          <w:sz w:val="24"/>
          <w:szCs w:val="24"/>
        </w:rPr>
        <w:t xml:space="preserve">BFG </w:t>
      </w:r>
      <w:r w:rsidRPr="008D7149">
        <w:rPr>
          <w:rFonts w:ascii="Times New Roman" w:eastAsia="Times New Roman" w:hAnsi="Times New Roman" w:cs="Times New Roman"/>
          <w:sz w:val="24"/>
          <w:szCs w:val="24"/>
        </w:rPr>
        <w:t xml:space="preserve">ze środków funduszu gwarancyjnego banków lub funduszu gwarancyjnego kas (zgodnie z art. 188 ust. 5 ustawy o BFG) czy ze środków funduszy przymusowej restrukturyzacji (na podstawie art. 112 ust. 3 pkt 2 ustawy o BFG), jak też inne prawa majątkowe i środki przekazane instytucji pomostowej. </w:t>
      </w:r>
    </w:p>
    <w:p w14:paraId="468418D1" w14:textId="2FE6A5E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przepis </w:t>
      </w:r>
      <w:r w:rsidRPr="008D7149">
        <w:rPr>
          <w:rFonts w:ascii="Times New Roman" w:hAnsi="Times New Roman" w:cs="Times New Roman"/>
          <w:b/>
          <w:sz w:val="24"/>
          <w:szCs w:val="24"/>
        </w:rPr>
        <w:t xml:space="preserve">art. 193 </w:t>
      </w:r>
      <w:r w:rsidR="001D5ADE" w:rsidRPr="00A4286E">
        <w:rPr>
          <w:rFonts w:ascii="Times New Roman" w:hAnsi="Times New Roman" w:cs="Times New Roman"/>
          <w:sz w:val="24"/>
          <w:szCs w:val="24"/>
        </w:rPr>
        <w:t>ustawy o BFG</w:t>
      </w:r>
      <w:r w:rsidR="001D5ADE"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ma na celu umożliwienie zbycia instytucji pomostowej w sposób analogiczny jak to zostało przewidziane w art. 174 ust. 1 </w:t>
      </w:r>
      <w:r w:rsidR="001D5ADE"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przy zastosowaniu instrumentu przejęcia. Wobec powyższego w ust. 2 rozszerzono odpowiednio katalog możliwych form zbycia instytucji pomostowej o „wybrane albo wszystkie prawa majątkowe lub wybrane lub wszystkie swoje zobowiązania”. Proponowana zmiana zapewni większą elastyczność w procesie sprzedaży instytucji pomostowej, ponieważ pozwoli na zbywanie instytucji pomostowej części jej przedsiębiorstwa wraz z częścią zobowiązań obejmujących m.in. zobowiązania z tytułu przejętych umów rachunku bankowego. Zmiana dopuści tym samym możliwość zbycia oddziału instytucji pomostowej, co rozszerzy katalog podmiotów potencjalnie zainteresowanych taką transakcją, jej konkurencyjność i umożliwi uzyskanie wyższej ceny sprzedaży instytucji pomostowej.</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Projektowany </w:t>
      </w:r>
      <w:r w:rsidR="001D5ADE" w:rsidRPr="008D7149">
        <w:rPr>
          <w:rFonts w:ascii="Times New Roman" w:hAnsi="Times New Roman" w:cs="Times New Roman"/>
          <w:sz w:val="24"/>
          <w:szCs w:val="24"/>
        </w:rPr>
        <w:t xml:space="preserve">ust. </w:t>
      </w:r>
      <w:r w:rsidRPr="008D7149">
        <w:rPr>
          <w:rFonts w:ascii="Times New Roman" w:hAnsi="Times New Roman" w:cs="Times New Roman"/>
          <w:sz w:val="24"/>
          <w:szCs w:val="24"/>
        </w:rPr>
        <w:t xml:space="preserve">3 pozwala na zbycie całości lub części przedsiębiorstwa oraz całości lub części zobowiązań instytucji pomostowej bez uzyskania zgody jej wierzycieli oraz dłużników. Brak wyłączenia zgody wierzycieli oraz dłużników instytucji pomostowej uniemożliwia skuteczne zbycia części aktywów instytucji pomostowej wraz z częścią zbywanych umów rachunku bankowego, z </w:t>
      </w:r>
      <w:r w:rsidRPr="008D7149">
        <w:rPr>
          <w:rFonts w:ascii="Times New Roman" w:hAnsi="Times New Roman" w:cs="Times New Roman"/>
          <w:sz w:val="24"/>
          <w:szCs w:val="24"/>
        </w:rPr>
        <w:lastRenderedPageBreak/>
        <w:t>uwagi na konieczność uzyskania zgody każdego wierzyciela z tytułu umowy rachunku bankowego.</w:t>
      </w:r>
    </w:p>
    <w:p w14:paraId="54B8E4D0" w14:textId="77777777" w:rsidR="00695EEB" w:rsidRPr="008D7149" w:rsidRDefault="00695EEB" w:rsidP="008D7149">
      <w:pPr>
        <w:spacing w:before="120" w:after="0" w:line="360" w:lineRule="auto"/>
        <w:jc w:val="both"/>
        <w:rPr>
          <w:rFonts w:ascii="Times New Roman" w:eastAsia="Calibri" w:hAnsi="Times New Roman" w:cs="Times New Roman"/>
          <w:i/>
          <w:sz w:val="24"/>
          <w:szCs w:val="24"/>
        </w:rPr>
      </w:pPr>
      <w:r w:rsidRPr="008D7149">
        <w:rPr>
          <w:rFonts w:ascii="Times New Roman" w:eastAsia="Calibri" w:hAnsi="Times New Roman" w:cs="Times New Roman"/>
          <w:sz w:val="24"/>
          <w:szCs w:val="24"/>
        </w:rPr>
        <w:t xml:space="preserve">Ponadto do </w:t>
      </w:r>
      <w:r w:rsidRPr="008D7149">
        <w:rPr>
          <w:rFonts w:ascii="Times New Roman" w:eastAsia="Calibri" w:hAnsi="Times New Roman" w:cs="Times New Roman"/>
          <w:b/>
          <w:sz w:val="24"/>
          <w:szCs w:val="24"/>
        </w:rPr>
        <w:t>art. 202 ustawy o BFG przewiduje się dodanie ust. 4</w:t>
      </w:r>
      <w:r w:rsidRPr="008D7149">
        <w:rPr>
          <w:rFonts w:ascii="Times New Roman" w:eastAsia="Calibri" w:hAnsi="Times New Roman" w:cs="Times New Roman"/>
          <w:sz w:val="24"/>
          <w:szCs w:val="24"/>
        </w:rPr>
        <w:t xml:space="preserve"> </w:t>
      </w:r>
      <w:r w:rsidRPr="008D7149">
        <w:rPr>
          <w:rFonts w:ascii="Times New Roman" w:eastAsia="Calibri" w:hAnsi="Times New Roman" w:cs="Times New Roman"/>
          <w:b/>
          <w:sz w:val="24"/>
          <w:szCs w:val="24"/>
        </w:rPr>
        <w:t>i 5</w:t>
      </w:r>
      <w:r w:rsidRPr="008D7149">
        <w:rPr>
          <w:rFonts w:ascii="Times New Roman" w:eastAsia="Calibri" w:hAnsi="Times New Roman" w:cs="Times New Roman"/>
          <w:sz w:val="24"/>
          <w:szCs w:val="24"/>
        </w:rPr>
        <w:t>, które stanowią implementację</w:t>
      </w:r>
      <w:r w:rsidRPr="008D7149">
        <w:rPr>
          <w:rFonts w:ascii="Times New Roman" w:eastAsia="Calibri" w:hAnsi="Times New Roman" w:cs="Times New Roman"/>
          <w:i/>
          <w:sz w:val="24"/>
          <w:szCs w:val="24"/>
        </w:rPr>
        <w:t xml:space="preserve"> </w:t>
      </w:r>
      <w:r w:rsidRPr="008D7149">
        <w:rPr>
          <w:rFonts w:ascii="Times New Roman" w:eastAsia="Calibri" w:hAnsi="Times New Roman" w:cs="Times New Roman"/>
          <w:sz w:val="24"/>
          <w:szCs w:val="24"/>
        </w:rPr>
        <w:t>109 ust. 1 akapit 1 lit. a dyrektywy BRRD. Zmiana ta umożliwi udzielenie wsparcia z funduszu gwarancyjnego banków lub z funduszu gwarancyjnego kas w sytuacji zastosowania instrumentu przymusowej restrukturyzacji w postaci umorzenia lub konwersji zobowiązań podmiotu w restrukturyzacji. Proponowany przepis, w ślad za art. 109 ust. 1 dyrektywy BRRD, posługuje się konstrukcją zakładającą hipotetyczną możliwość umorzenia zobowiązań z tytułu środków gwarantowanych na pokrycie straty podmiotu w restrukturyzacji, w celu określenia kwoty wsparcia możliwej do udzielenia podmiotowi w restrukturyzacji, wobec którego zastosowano instrument przymusowej restrukturyzacji w postaci umorzenia lub konwersji zobowiązań</w:t>
      </w:r>
      <w:r w:rsidRPr="008D7149">
        <w:rPr>
          <w:rFonts w:ascii="Times New Roman" w:eastAsia="Calibri" w:hAnsi="Times New Roman" w:cs="Times New Roman"/>
          <w:i/>
          <w:sz w:val="24"/>
          <w:szCs w:val="24"/>
        </w:rPr>
        <w:t>.</w:t>
      </w:r>
    </w:p>
    <w:p w14:paraId="542EE610" w14:textId="159FE040"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t>
      </w:r>
      <w:r w:rsidRPr="008D7149">
        <w:rPr>
          <w:rFonts w:ascii="Times New Roman" w:eastAsia="Calibri" w:hAnsi="Times New Roman" w:cs="Times New Roman"/>
          <w:b/>
          <w:sz w:val="24"/>
          <w:szCs w:val="24"/>
        </w:rPr>
        <w:t>w art. 206 ust. 1 pkt 6</w:t>
      </w:r>
      <w:r w:rsidRPr="008D7149">
        <w:rPr>
          <w:rFonts w:ascii="Times New Roman" w:eastAsia="Calibri" w:hAnsi="Times New Roman" w:cs="Times New Roman"/>
          <w:sz w:val="24"/>
          <w:szCs w:val="24"/>
        </w:rPr>
        <w:t xml:space="preserve"> </w:t>
      </w:r>
      <w:r w:rsidR="001D5ADE" w:rsidRPr="008D7149">
        <w:rPr>
          <w:rFonts w:ascii="Times New Roman" w:eastAsia="Calibri" w:hAnsi="Times New Roman" w:cs="Times New Roman"/>
          <w:sz w:val="24"/>
          <w:szCs w:val="24"/>
        </w:rPr>
        <w:t xml:space="preserve">ustawy o BFG </w:t>
      </w:r>
      <w:r w:rsidRPr="008D7149">
        <w:rPr>
          <w:rFonts w:ascii="Times New Roman" w:eastAsia="Calibri" w:hAnsi="Times New Roman" w:cs="Times New Roman"/>
          <w:sz w:val="24"/>
          <w:szCs w:val="24"/>
        </w:rPr>
        <w:t xml:space="preserve">ma charakter językowy – </w:t>
      </w:r>
      <w:proofErr w:type="spellStart"/>
      <w:r w:rsidRPr="008D7149">
        <w:rPr>
          <w:rFonts w:ascii="Times New Roman" w:eastAsia="Calibri" w:hAnsi="Times New Roman" w:cs="Times New Roman"/>
          <w:sz w:val="24"/>
          <w:szCs w:val="24"/>
        </w:rPr>
        <w:t>uspójnia</w:t>
      </w:r>
      <w:proofErr w:type="spellEnd"/>
      <w:r w:rsidRPr="008D7149">
        <w:rPr>
          <w:rFonts w:ascii="Times New Roman" w:eastAsia="Calibri" w:hAnsi="Times New Roman" w:cs="Times New Roman"/>
          <w:sz w:val="24"/>
          <w:szCs w:val="24"/>
        </w:rPr>
        <w:t xml:space="preserve"> stosowaną w ustawie o BFG siatkę pojęć, tj. zarówno ustawa o BFG, jak również inne akty prawne posługują się pojęciem CCP, </w:t>
      </w:r>
      <w:r w:rsidR="001D5ADE" w:rsidRPr="008D7149">
        <w:rPr>
          <w:rFonts w:ascii="Times New Roman" w:eastAsia="Calibri" w:hAnsi="Times New Roman" w:cs="Times New Roman"/>
          <w:sz w:val="24"/>
          <w:szCs w:val="24"/>
        </w:rPr>
        <w:t>zamiast pojęcia</w:t>
      </w:r>
      <w:r w:rsidRPr="008D7149">
        <w:rPr>
          <w:rFonts w:ascii="Times New Roman" w:eastAsia="Calibri" w:hAnsi="Times New Roman" w:cs="Times New Roman"/>
          <w:sz w:val="24"/>
          <w:szCs w:val="24"/>
        </w:rPr>
        <w:t xml:space="preserve"> „kontrahent centralny”. </w:t>
      </w:r>
    </w:p>
    <w:p w14:paraId="263CE03C" w14:textId="67B969FC"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t>
      </w:r>
      <w:r w:rsidRPr="008D7149">
        <w:rPr>
          <w:rFonts w:ascii="Times New Roman" w:eastAsia="Calibri" w:hAnsi="Times New Roman" w:cs="Times New Roman"/>
          <w:b/>
          <w:sz w:val="24"/>
          <w:szCs w:val="24"/>
        </w:rPr>
        <w:t>w art. 212a ust. 1 pkt 9</w:t>
      </w:r>
      <w:r w:rsidRPr="008D7149">
        <w:rPr>
          <w:rFonts w:ascii="Times New Roman" w:eastAsia="Calibri" w:hAnsi="Times New Roman" w:cs="Times New Roman"/>
          <w:sz w:val="24"/>
          <w:szCs w:val="24"/>
        </w:rPr>
        <w:t xml:space="preserve"> </w:t>
      </w:r>
      <w:r w:rsidR="001D5ADE" w:rsidRPr="008D7149">
        <w:rPr>
          <w:rFonts w:ascii="Times New Roman" w:eastAsia="Calibri" w:hAnsi="Times New Roman" w:cs="Times New Roman"/>
          <w:sz w:val="24"/>
          <w:szCs w:val="24"/>
        </w:rPr>
        <w:t xml:space="preserve">ustawy o BFG </w:t>
      </w:r>
      <w:r w:rsidRPr="008D7149">
        <w:rPr>
          <w:rFonts w:ascii="Times New Roman" w:eastAsia="Calibri" w:hAnsi="Times New Roman" w:cs="Times New Roman"/>
          <w:sz w:val="24"/>
          <w:szCs w:val="24"/>
        </w:rPr>
        <w:t xml:space="preserve">ma charakter językowy. Decyzja w przedmiocie umorzenia lub konwersji instrumentów kapitałowych lub zobowiązań kwalifikowalnych </w:t>
      </w:r>
      <w:r w:rsidR="001D5ADE" w:rsidRPr="008D7149">
        <w:rPr>
          <w:rFonts w:ascii="Times New Roman" w:eastAsia="Calibri" w:hAnsi="Times New Roman" w:cs="Times New Roman"/>
          <w:sz w:val="24"/>
          <w:szCs w:val="24"/>
        </w:rPr>
        <w:t xml:space="preserve">nie powinna </w:t>
      </w:r>
      <w:r w:rsidRPr="008D7149">
        <w:rPr>
          <w:rFonts w:ascii="Times New Roman" w:eastAsia="Calibri" w:hAnsi="Times New Roman" w:cs="Times New Roman"/>
          <w:sz w:val="24"/>
          <w:szCs w:val="24"/>
        </w:rPr>
        <w:t>zawiera</w:t>
      </w:r>
      <w:r w:rsidR="001D5ADE" w:rsidRPr="008D7149">
        <w:rPr>
          <w:rFonts w:ascii="Times New Roman" w:eastAsia="Calibri" w:hAnsi="Times New Roman" w:cs="Times New Roman"/>
          <w:sz w:val="24"/>
          <w:szCs w:val="24"/>
        </w:rPr>
        <w:t>ć</w:t>
      </w:r>
      <w:r w:rsidRPr="008D7149">
        <w:rPr>
          <w:rFonts w:ascii="Times New Roman" w:eastAsia="Calibri" w:hAnsi="Times New Roman" w:cs="Times New Roman"/>
          <w:sz w:val="24"/>
          <w:szCs w:val="24"/>
        </w:rPr>
        <w:t xml:space="preserve"> „</w:t>
      </w:r>
      <w:r w:rsidRPr="008D7149">
        <w:rPr>
          <w:rFonts w:ascii="Times New Roman" w:eastAsia="Calibri" w:hAnsi="Times New Roman" w:cs="Times New Roman"/>
          <w:i/>
          <w:sz w:val="24"/>
          <w:szCs w:val="24"/>
        </w:rPr>
        <w:t>spos</w:t>
      </w:r>
      <w:r w:rsidR="001D5ADE" w:rsidRPr="008D7149">
        <w:rPr>
          <w:rFonts w:ascii="Times New Roman" w:eastAsia="Calibri" w:hAnsi="Times New Roman" w:cs="Times New Roman"/>
          <w:i/>
          <w:sz w:val="24"/>
          <w:szCs w:val="24"/>
        </w:rPr>
        <w:t>obu</w:t>
      </w:r>
      <w:r w:rsidRPr="008D7149">
        <w:rPr>
          <w:rFonts w:ascii="Times New Roman" w:eastAsia="Calibri" w:hAnsi="Times New Roman" w:cs="Times New Roman"/>
          <w:i/>
          <w:sz w:val="24"/>
          <w:szCs w:val="24"/>
        </w:rPr>
        <w:t xml:space="preserve"> pozwalając</w:t>
      </w:r>
      <w:r w:rsidR="001D5ADE" w:rsidRPr="008D7149">
        <w:rPr>
          <w:rFonts w:ascii="Times New Roman" w:eastAsia="Calibri" w:hAnsi="Times New Roman" w:cs="Times New Roman"/>
          <w:i/>
          <w:sz w:val="24"/>
          <w:szCs w:val="24"/>
        </w:rPr>
        <w:t>ego</w:t>
      </w:r>
      <w:r w:rsidRPr="008D7149">
        <w:rPr>
          <w:rFonts w:ascii="Times New Roman" w:eastAsia="Calibri" w:hAnsi="Times New Roman" w:cs="Times New Roman"/>
          <w:sz w:val="24"/>
          <w:szCs w:val="24"/>
        </w:rPr>
        <w:t xml:space="preserve">” na identyfikację instrumentów kapitałowych lub zobowiązań kwalifikowalnych, </w:t>
      </w:r>
      <w:r w:rsidR="001D5ADE" w:rsidRPr="008D7149">
        <w:rPr>
          <w:rFonts w:ascii="Times New Roman" w:eastAsia="Calibri" w:hAnsi="Times New Roman" w:cs="Times New Roman"/>
          <w:sz w:val="24"/>
          <w:szCs w:val="24"/>
        </w:rPr>
        <w:t xml:space="preserve">zaś </w:t>
      </w:r>
      <w:r w:rsidRPr="008D7149">
        <w:rPr>
          <w:rFonts w:ascii="Times New Roman" w:eastAsia="Calibri" w:hAnsi="Times New Roman" w:cs="Times New Roman"/>
          <w:sz w:val="24"/>
          <w:szCs w:val="24"/>
        </w:rPr>
        <w:t>powinna zawierać „</w:t>
      </w:r>
      <w:r w:rsidRPr="008D7149">
        <w:rPr>
          <w:rFonts w:ascii="Times New Roman" w:eastAsia="Calibri" w:hAnsi="Times New Roman" w:cs="Times New Roman"/>
          <w:i/>
          <w:sz w:val="24"/>
          <w:szCs w:val="24"/>
        </w:rPr>
        <w:t>wskazanie takiego sposobu</w:t>
      </w:r>
      <w:r w:rsidRPr="008D7149">
        <w:rPr>
          <w:rFonts w:ascii="Times New Roman" w:eastAsia="Calibri" w:hAnsi="Times New Roman" w:cs="Times New Roman"/>
          <w:sz w:val="24"/>
          <w:szCs w:val="24"/>
        </w:rPr>
        <w:t>”. Analogiczna zmiana została wprowadzona w art. 70a ust. 1 pkt 9</w:t>
      </w:r>
      <w:r w:rsidR="001D5ADE" w:rsidRPr="008D7149">
        <w:rPr>
          <w:rFonts w:ascii="Times New Roman" w:eastAsia="Calibri" w:hAnsi="Times New Roman" w:cs="Times New Roman"/>
          <w:sz w:val="24"/>
          <w:szCs w:val="24"/>
        </w:rPr>
        <w:t xml:space="preserve"> ustawy o BFG</w:t>
      </w:r>
      <w:r w:rsidRPr="008D7149">
        <w:rPr>
          <w:rFonts w:ascii="Times New Roman" w:eastAsia="Calibri" w:hAnsi="Times New Roman" w:cs="Times New Roman"/>
          <w:sz w:val="24"/>
          <w:szCs w:val="24"/>
        </w:rPr>
        <w:t>.</w:t>
      </w:r>
    </w:p>
    <w:p w14:paraId="08733145" w14:textId="45208A8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t>
      </w:r>
      <w:r w:rsidRPr="008D7149">
        <w:rPr>
          <w:rFonts w:ascii="Times New Roman" w:eastAsia="Calibri" w:hAnsi="Times New Roman" w:cs="Times New Roman"/>
          <w:b/>
          <w:sz w:val="24"/>
          <w:szCs w:val="24"/>
        </w:rPr>
        <w:t>w art. 212a w ust. 7</w:t>
      </w:r>
      <w:r w:rsidRPr="008D7149">
        <w:rPr>
          <w:rFonts w:ascii="Times New Roman" w:eastAsia="Calibri" w:hAnsi="Times New Roman" w:cs="Times New Roman"/>
          <w:sz w:val="24"/>
          <w:szCs w:val="24"/>
        </w:rPr>
        <w:t xml:space="preserve"> </w:t>
      </w:r>
      <w:r w:rsidR="001D5ADE" w:rsidRPr="008D7149">
        <w:rPr>
          <w:rFonts w:ascii="Times New Roman" w:eastAsia="Calibri" w:hAnsi="Times New Roman" w:cs="Times New Roman"/>
          <w:sz w:val="24"/>
          <w:szCs w:val="24"/>
        </w:rPr>
        <w:t xml:space="preserve">ustawy o BFG </w:t>
      </w:r>
      <w:r w:rsidRPr="008D7149">
        <w:rPr>
          <w:rFonts w:ascii="Times New Roman" w:eastAsia="Calibri" w:hAnsi="Times New Roman" w:cs="Times New Roman"/>
          <w:sz w:val="24"/>
          <w:szCs w:val="24"/>
        </w:rPr>
        <w:t xml:space="preserve">ma charakter językowy. Odpis decyzji ma być przekazywany także </w:t>
      </w:r>
      <w:r w:rsidR="009F6FBD" w:rsidRPr="008D7149">
        <w:rPr>
          <w:rFonts w:ascii="Times New Roman" w:eastAsia="Calibri" w:hAnsi="Times New Roman" w:cs="Times New Roman"/>
          <w:sz w:val="24"/>
          <w:szCs w:val="24"/>
        </w:rPr>
        <w:t>s</w:t>
      </w:r>
      <w:r w:rsidRPr="008D7149">
        <w:rPr>
          <w:rFonts w:ascii="Times New Roman" w:eastAsia="Calibri" w:hAnsi="Times New Roman" w:cs="Times New Roman"/>
          <w:sz w:val="24"/>
          <w:szCs w:val="24"/>
        </w:rPr>
        <w:t>półce, w celu usunięcia potencjalnych wątpliwości interpretacyjnych zmieniony powinien zostać użyty w przepisie zaimek.</w:t>
      </w:r>
    </w:p>
    <w:p w14:paraId="4635E4E1" w14:textId="77777777" w:rsidR="00695EEB" w:rsidRPr="008D7149" w:rsidRDefault="00695EEB" w:rsidP="008D7149">
      <w:pPr>
        <w:pStyle w:val="Akapitzlist"/>
        <w:autoSpaceDE w:val="0"/>
        <w:autoSpaceDN w:val="0"/>
        <w:adjustRightInd w:val="0"/>
        <w:spacing w:before="120" w:after="0" w:line="360" w:lineRule="auto"/>
        <w:ind w:left="0"/>
        <w:jc w:val="both"/>
        <w:rPr>
          <w:rFonts w:ascii="Times New Roman" w:hAnsi="Times New Roman" w:cs="Times New Roman"/>
          <w:sz w:val="24"/>
          <w:szCs w:val="24"/>
        </w:rPr>
      </w:pPr>
      <w:r w:rsidRPr="008D7149">
        <w:rPr>
          <w:rFonts w:ascii="Times New Roman" w:hAnsi="Times New Roman" w:cs="Times New Roman"/>
          <w:sz w:val="24"/>
          <w:szCs w:val="24"/>
        </w:rPr>
        <w:t xml:space="preserve">W </w:t>
      </w:r>
      <w:r w:rsidRPr="008D7149">
        <w:rPr>
          <w:rFonts w:ascii="Times New Roman" w:hAnsi="Times New Roman" w:cs="Times New Roman"/>
          <w:b/>
          <w:sz w:val="24"/>
          <w:szCs w:val="24"/>
        </w:rPr>
        <w:t>art. 222</w:t>
      </w:r>
      <w:r w:rsidRPr="008D7149">
        <w:rPr>
          <w:rFonts w:ascii="Times New Roman" w:hAnsi="Times New Roman" w:cs="Times New Roman"/>
          <w:sz w:val="24"/>
          <w:szCs w:val="24"/>
        </w:rPr>
        <w:t xml:space="preserve"> ustawy o BFG projekt zakłada uchylenie pkt 5 w ust. 4. Zmiana ta ma charakter wynikowy i jest związana z tym, że we wskazanym przepisie jest odesłanie do art. 272 ust. 4 ustawy o BFG, który – zgodnie z projektowanymi zmianami w niniejszej ustawie – zostanie uchylony.</w:t>
      </w:r>
    </w:p>
    <w:p w14:paraId="1C9A6A27" w14:textId="2E09D1EB" w:rsidR="00695EEB" w:rsidRPr="008D7149" w:rsidRDefault="00695EEB" w:rsidP="008D7149">
      <w:pPr>
        <w:spacing w:before="120" w:after="0" w:line="360" w:lineRule="auto"/>
        <w:jc w:val="both"/>
        <w:rPr>
          <w:rFonts w:ascii="Times New Roman" w:hAnsi="Times New Roman" w:cs="Times New Roman"/>
          <w:b/>
          <w:sz w:val="24"/>
          <w:szCs w:val="24"/>
        </w:rPr>
      </w:pPr>
      <w:r w:rsidRPr="008D7149">
        <w:rPr>
          <w:rFonts w:ascii="Times New Roman" w:hAnsi="Times New Roman" w:cs="Times New Roman"/>
          <w:sz w:val="24"/>
          <w:szCs w:val="24"/>
        </w:rPr>
        <w:t xml:space="preserve">Dodawany </w:t>
      </w:r>
      <w:r w:rsidRPr="008D7149">
        <w:rPr>
          <w:rFonts w:ascii="Times New Roman" w:hAnsi="Times New Roman" w:cs="Times New Roman"/>
          <w:b/>
          <w:sz w:val="24"/>
          <w:szCs w:val="24"/>
        </w:rPr>
        <w:t>art. 225a</w:t>
      </w:r>
      <w:r w:rsidRPr="008D7149">
        <w:rPr>
          <w:rFonts w:ascii="Times New Roman" w:hAnsi="Times New Roman" w:cs="Times New Roman"/>
          <w:sz w:val="24"/>
          <w:szCs w:val="24"/>
        </w:rPr>
        <w:t xml:space="preserve"> </w:t>
      </w:r>
      <w:r w:rsidR="009F6FBD"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wynika z charakteru procesu przymusowej restrukturyzacji oraz wydzielenia praw majątkowych jako instrumentu przymusowej restrukturyzacji. W szczególności wskazać należy, że czynności podejmowane w ramach procesu przymusowej restrukturyzacji, w sytuacji zagrożenia banku upadłością, muszą charakteryzować się dużą efektywnością czasową. Wskazać należy, że instrument wydzielenia praw majątkowych to </w:t>
      </w:r>
      <w:r w:rsidRPr="008D7149">
        <w:rPr>
          <w:rFonts w:ascii="Times New Roman" w:hAnsi="Times New Roman" w:cs="Times New Roman"/>
          <w:sz w:val="24"/>
          <w:szCs w:val="24"/>
        </w:rPr>
        <w:lastRenderedPageBreak/>
        <w:t>instrument, który</w:t>
      </w:r>
      <w:r w:rsidR="00A4286E">
        <w:rPr>
          <w:rFonts w:ascii="Times New Roman" w:hAnsi="Times New Roman" w:cs="Times New Roman"/>
          <w:sz w:val="24"/>
          <w:szCs w:val="24"/>
        </w:rPr>
        <w:t>,</w:t>
      </w:r>
      <w:r w:rsidRPr="008D7149">
        <w:rPr>
          <w:rFonts w:ascii="Times New Roman" w:hAnsi="Times New Roman" w:cs="Times New Roman"/>
          <w:sz w:val="24"/>
          <w:szCs w:val="24"/>
        </w:rPr>
        <w:t xml:space="preserve"> co do zasady</w:t>
      </w:r>
      <w:r w:rsidR="00A4286E">
        <w:rPr>
          <w:rFonts w:ascii="Times New Roman" w:hAnsi="Times New Roman" w:cs="Times New Roman"/>
          <w:sz w:val="24"/>
          <w:szCs w:val="24"/>
        </w:rPr>
        <w:t>,</w:t>
      </w:r>
      <w:r w:rsidRPr="008D7149">
        <w:rPr>
          <w:rFonts w:ascii="Times New Roman" w:hAnsi="Times New Roman" w:cs="Times New Roman"/>
          <w:sz w:val="24"/>
          <w:szCs w:val="24"/>
        </w:rPr>
        <w:t xml:space="preserve"> nie funkcjonuje samodzielnie i stosowany jest wespół z innymi instrumentami przymusowej restrukturyzacji (art. 110 ust. 2 ustawy o BFG). Wydzielenie praw majątkowych polega na dokonaniu transferu określonych aktywów podmiotu w restrukturyzacji do odrębnej spółki zarządzającej aktywami (ang. </w:t>
      </w:r>
      <w:proofErr w:type="spellStart"/>
      <w:r w:rsidRPr="008D7149">
        <w:rPr>
          <w:rFonts w:ascii="Times New Roman" w:hAnsi="Times New Roman" w:cs="Times New Roman"/>
          <w:i/>
          <w:sz w:val="24"/>
          <w:szCs w:val="24"/>
        </w:rPr>
        <w:t>asset</w:t>
      </w:r>
      <w:proofErr w:type="spellEnd"/>
      <w:r w:rsidRPr="008D7149">
        <w:rPr>
          <w:rFonts w:ascii="Times New Roman" w:hAnsi="Times New Roman" w:cs="Times New Roman"/>
          <w:i/>
          <w:sz w:val="24"/>
          <w:szCs w:val="24"/>
        </w:rPr>
        <w:t xml:space="preserve"> management </w:t>
      </w:r>
      <w:proofErr w:type="spellStart"/>
      <w:r w:rsidRPr="008D7149">
        <w:rPr>
          <w:rFonts w:ascii="Times New Roman" w:hAnsi="Times New Roman" w:cs="Times New Roman"/>
          <w:i/>
          <w:sz w:val="24"/>
          <w:szCs w:val="24"/>
        </w:rPr>
        <w:t>vehicle</w:t>
      </w:r>
      <w:proofErr w:type="spellEnd"/>
      <w:r w:rsidRPr="008D7149">
        <w:rPr>
          <w:rFonts w:ascii="Times New Roman" w:hAnsi="Times New Roman" w:cs="Times New Roman"/>
          <w:sz w:val="24"/>
          <w:szCs w:val="24"/>
        </w:rPr>
        <w:t>) w celu umożliwienia zastosowania bądź zwiększenia skuteczności innego narzędzia przymusowej restrukturyzacji, np. zbycia przedsiębiorstwa czy utworzenia instytucji pomostowej. Spółka zarządzająca aktywami jest odrębną osobą prawną, do której transferowane są wybrane prawa majątkowe, w przypadku gdy zgodnie z art. 223 ustawy o BFG:</w:t>
      </w:r>
    </w:p>
    <w:p w14:paraId="6AE7088C" w14:textId="77777777" w:rsidR="00695EEB" w:rsidRPr="008D7149" w:rsidRDefault="00695EEB" w:rsidP="00FB52C2">
      <w:pPr>
        <w:pStyle w:val="Akapitzlist"/>
        <w:widowControl w:val="0"/>
        <w:numPr>
          <w:ilvl w:val="0"/>
          <w:numId w:val="8"/>
        </w:numPr>
        <w:autoSpaceDE w:val="0"/>
        <w:autoSpaceDN w:val="0"/>
        <w:adjustRightInd w:val="0"/>
        <w:spacing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likwidacja praw majątkowych mogłaby mieć istotny niekorzystny wpływ na sytuację na rynku, w szczególności na ceny takich praw majątkowych;</w:t>
      </w:r>
    </w:p>
    <w:p w14:paraId="3C3FCD68" w14:textId="77777777" w:rsidR="00695EEB" w:rsidRPr="008D7149" w:rsidRDefault="00695EEB" w:rsidP="008D7149">
      <w:pPr>
        <w:pStyle w:val="Akapitzlist"/>
        <w:widowControl w:val="0"/>
        <w:numPr>
          <w:ilvl w:val="0"/>
          <w:numId w:val="8"/>
        </w:num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przeniesienie praw majątkowych do podmiotu zarządzającego aktywami jest konieczne dla kontynuowania działalności podmiotu w restrukturyzacji lub instytucji pomostowej lub</w:t>
      </w:r>
    </w:p>
    <w:p w14:paraId="76B7F402" w14:textId="77777777" w:rsidR="00695EEB" w:rsidRPr="008D7149" w:rsidRDefault="00695EEB" w:rsidP="008D7149">
      <w:pPr>
        <w:pStyle w:val="Akapitzlist"/>
        <w:widowControl w:val="0"/>
        <w:numPr>
          <w:ilvl w:val="0"/>
          <w:numId w:val="8"/>
        </w:num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przeniesienie praw majątkowych do podmiotu zarządzającego aktywami zwiększy przychody z tych praw.</w:t>
      </w:r>
    </w:p>
    <w:p w14:paraId="0A18D9C8" w14:textId="68B97F65"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Mając na uwadze powyższe</w:t>
      </w:r>
      <w:r w:rsidR="00442271">
        <w:rPr>
          <w:rFonts w:ascii="Times New Roman" w:hAnsi="Times New Roman" w:cs="Times New Roman"/>
          <w:sz w:val="24"/>
          <w:szCs w:val="24"/>
        </w:rPr>
        <w:t>,</w:t>
      </w:r>
      <w:r w:rsidRPr="008D7149">
        <w:rPr>
          <w:rFonts w:ascii="Times New Roman" w:hAnsi="Times New Roman" w:cs="Times New Roman"/>
          <w:sz w:val="24"/>
          <w:szCs w:val="24"/>
        </w:rPr>
        <w:t xml:space="preserve"> wskazać należy, że wierzytelności z tytułu udzielonych kredytów są jedną z podstawowych kategorii aktywów bankowych, które mogą być przenoszone do podmiotu zarządzającego aktywami. Jednym z podstawowych sposobów zabezpieczenia spłaty kredytu są zaś zabezpieczenia rzeczowe, w tym hipoteka i zastaw rejestrowy. </w:t>
      </w:r>
    </w:p>
    <w:p w14:paraId="7667743E" w14:textId="0C6F2B6C"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przypadku zastosowania instrumentu przymusowej restrukturyzacji w postaci wydzielenia praw majątkowych w odniesieniu do wierzytelności kredytowych banku poddawanego przymusowej restrukturyzacji, do podmiotu zarządzającego aktywami na podstawie decyzji BFG mogą zostać przeniesione wierzytelności nawet z tysięcy umów kredytowych zabezpieczanych przez odpowiednią </w:t>
      </w:r>
      <w:r w:rsidR="009F6FBD" w:rsidRPr="008D7149">
        <w:rPr>
          <w:rFonts w:ascii="Times New Roman" w:hAnsi="Times New Roman" w:cs="Times New Roman"/>
          <w:sz w:val="24"/>
          <w:szCs w:val="24"/>
        </w:rPr>
        <w:t xml:space="preserve">liczbę </w:t>
      </w:r>
      <w:r w:rsidRPr="008D7149">
        <w:rPr>
          <w:rFonts w:ascii="Times New Roman" w:hAnsi="Times New Roman" w:cs="Times New Roman"/>
          <w:sz w:val="24"/>
          <w:szCs w:val="24"/>
        </w:rPr>
        <w:t xml:space="preserve">hipotek lub zastawów rejestrowych. </w:t>
      </w:r>
    </w:p>
    <w:p w14:paraId="79E35D44" w14:textId="1FE18190"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Ze względu na dużą liczbę wierzytelności mogącą być przedmiotem zastosowania instrumentu przeniesienia praw majątkowych oraz z uwagi na czas trwania postępowania wieczystoksięgowego i wpisu do rejestru zastawów, czas na ujawnienie w odpowiednich rejestrach wierzytelności rzeczowych podmiotu zarządzającego aktywami może być nieakceptowanie długi i zagrozić uzyskaniu finansowania przez podmiot zarządzający aktywami w przypadku, gdy podmiot ten miałby pozyskać finansowanie na zasadach rynkowych. </w:t>
      </w:r>
    </w:p>
    <w:p w14:paraId="227DE587" w14:textId="2934350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praktyce oznacza to, że wskazane przyczyny formalnoprawne mogą utrudniać lub uniemożliwiać zastosowanie instrumentu wydzielenia praw majątkowych, a tym samym w </w:t>
      </w:r>
      <w:r w:rsidRPr="008D7149">
        <w:rPr>
          <w:rFonts w:ascii="Times New Roman" w:hAnsi="Times New Roman" w:cs="Times New Roman"/>
          <w:sz w:val="24"/>
          <w:szCs w:val="24"/>
        </w:rPr>
        <w:lastRenderedPageBreak/>
        <w:t>konsekwencji w niektórych przypadkach niemożliwym byłoby przeprowadzenie przymusowej restrukturyzacji w sytuacji zagrożenia upadłością banku, co do którego byłby wypełnione ustawowe przesłanki przymusowej restrukturyzacji, a jedynym rozwiązaniem zapewniającym skuteczność działań restrukturyzacyjnych</w:t>
      </w:r>
      <w:r w:rsidR="009F6FBD" w:rsidRPr="008D7149">
        <w:rPr>
          <w:rFonts w:ascii="Times New Roman" w:hAnsi="Times New Roman" w:cs="Times New Roman"/>
          <w:sz w:val="24"/>
          <w:szCs w:val="24"/>
        </w:rPr>
        <w:t>,</w:t>
      </w:r>
      <w:r w:rsidRPr="008D7149">
        <w:rPr>
          <w:rFonts w:ascii="Times New Roman" w:hAnsi="Times New Roman" w:cs="Times New Roman"/>
          <w:sz w:val="24"/>
          <w:szCs w:val="24"/>
        </w:rPr>
        <w:t xml:space="preserve"> np. z uwagi na strukturę aktywów i pasywów tej instytucji</w:t>
      </w:r>
      <w:r w:rsidR="009F6FBD" w:rsidRPr="008D7149">
        <w:rPr>
          <w:rFonts w:ascii="Times New Roman" w:hAnsi="Times New Roman" w:cs="Times New Roman"/>
          <w:sz w:val="24"/>
          <w:szCs w:val="24"/>
        </w:rPr>
        <w:t>,</w:t>
      </w:r>
      <w:r w:rsidRPr="008D7149">
        <w:rPr>
          <w:rFonts w:ascii="Times New Roman" w:hAnsi="Times New Roman" w:cs="Times New Roman"/>
          <w:sz w:val="24"/>
          <w:szCs w:val="24"/>
        </w:rPr>
        <w:t xml:space="preserve"> byłoby właśnie zastosowanie instrumentu wydzielenia praw majątkowych.</w:t>
      </w:r>
    </w:p>
    <w:p w14:paraId="52DB2E34" w14:textId="0D5453C1"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Wyłączenie zastosowania art. 79 ust. 1 zdanie drugie ustawy o księgach wieczystych i hipotece, który przewiduje konstytutywny charakter wpisu do księgi wieczystej, nie naruszy zasady pewności obrotu cywilnoprawnego wierzytelnościami z uwagi na wyjątkowy charakter proponowanego rozwiązania (wyłącznie sytuacja ekstraordynaryjna – wszczęcie przymusowej restrukturyzacji przez podmiot publiczny</w:t>
      </w:r>
      <w:r w:rsidR="009F6FBD" w:rsidRPr="008D7149">
        <w:rPr>
          <w:rFonts w:ascii="Times New Roman" w:hAnsi="Times New Roman" w:cs="Times New Roman"/>
          <w:sz w:val="24"/>
          <w:szCs w:val="24"/>
        </w:rPr>
        <w:t>,</w:t>
      </w:r>
      <w:r w:rsidRPr="008D7149">
        <w:rPr>
          <w:rFonts w:ascii="Times New Roman" w:hAnsi="Times New Roman" w:cs="Times New Roman"/>
          <w:sz w:val="24"/>
          <w:szCs w:val="24"/>
        </w:rPr>
        <w:t xml:space="preserve"> tj. </w:t>
      </w:r>
      <w:r w:rsidR="009F6FBD" w:rsidRPr="008D7149">
        <w:rPr>
          <w:rFonts w:ascii="Times New Roman" w:hAnsi="Times New Roman" w:cs="Times New Roman"/>
          <w:sz w:val="24"/>
          <w:szCs w:val="24"/>
        </w:rPr>
        <w:t>BFG</w:t>
      </w:r>
      <w:r w:rsidRPr="008D7149">
        <w:rPr>
          <w:rFonts w:ascii="Times New Roman" w:hAnsi="Times New Roman" w:cs="Times New Roman"/>
          <w:sz w:val="24"/>
          <w:szCs w:val="24"/>
        </w:rPr>
        <w:t xml:space="preserve"> w sytuacji zagrożenia niekontrolowaną upadłością danej instytucji) oraz szczególny status podmiotu zarządzającego aktywami będącego podmiotem nadzorowanym przez BFG. Podobnie należy odnieść się do wyłączenia art. 17 ust. 1 zdanie drugie ustawy o zastawie rejestrowym i rejestrze zastawów.</w:t>
      </w:r>
    </w:p>
    <w:p w14:paraId="3D8869A4" w14:textId="49C6E54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Ponadto ochronę interesów dłużnika rzeczowego zapewnia</w:t>
      </w:r>
      <w:r w:rsidR="009F6FBD" w:rsidRPr="008D7149">
        <w:rPr>
          <w:rFonts w:ascii="Times New Roman" w:hAnsi="Times New Roman" w:cs="Times New Roman"/>
          <w:sz w:val="24"/>
          <w:szCs w:val="24"/>
        </w:rPr>
        <w:t>ją projektowane</w:t>
      </w:r>
      <w:r w:rsidRPr="008D7149">
        <w:rPr>
          <w:rFonts w:ascii="Times New Roman" w:hAnsi="Times New Roman" w:cs="Times New Roman"/>
          <w:sz w:val="24"/>
          <w:szCs w:val="24"/>
        </w:rPr>
        <w:t xml:space="preserve"> art. 225a ust. </w:t>
      </w:r>
      <w:r w:rsidR="00C836B7" w:rsidRPr="008D7149">
        <w:rPr>
          <w:rFonts w:ascii="Times New Roman" w:hAnsi="Times New Roman" w:cs="Times New Roman"/>
          <w:sz w:val="24"/>
          <w:szCs w:val="24"/>
        </w:rPr>
        <w:t>2 i 3</w:t>
      </w:r>
      <w:r w:rsidR="009F6FBD"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Mianowicie sytuacja prawna dłużnika rzeczowego na skutek ww. przelewu wierzytelności nie ulegnie zmianie do chwili ujawnienia cesjonariusza w odpowiednim rejestrze</w:t>
      </w:r>
      <w:r w:rsidR="00950DF4" w:rsidRPr="008D7149">
        <w:rPr>
          <w:rFonts w:ascii="Times New Roman" w:hAnsi="Times New Roman" w:cs="Times New Roman"/>
          <w:sz w:val="24"/>
          <w:szCs w:val="24"/>
        </w:rPr>
        <w:t>,</w:t>
      </w:r>
      <w:r w:rsidR="00C836B7" w:rsidRPr="008D7149">
        <w:rPr>
          <w:rFonts w:ascii="Times New Roman" w:hAnsi="Times New Roman" w:cs="Times New Roman"/>
          <w:sz w:val="24"/>
          <w:szCs w:val="24"/>
        </w:rPr>
        <w:t xml:space="preserve"> tj. spełnienie świadczenia do rąk wierzyciela ujawnionego w rejestrach będzie mieć skutek względem podmiotu zarządzającego aktywami. Ponadto wierzyciel ujawniony w rejestrze będzie zobowiązany dokonać niezwłocznie rozliczenia z podmiotem zarządzającym aktywami</w:t>
      </w:r>
      <w:r w:rsidRPr="008D7149">
        <w:rPr>
          <w:rFonts w:ascii="Times New Roman" w:hAnsi="Times New Roman" w:cs="Times New Roman"/>
          <w:sz w:val="24"/>
          <w:szCs w:val="24"/>
        </w:rPr>
        <w:t xml:space="preserve">. W razie wygaśnięcia hipoteki albo zastawu rejestrowego przed ujawnieniem cesjonariusza w odpowiednim rejestrze, podmiot zarządzający aktywami obowiązany będzie dokonać wszelkich czynności umożliwiających wykreślenie hipoteki z księgi wieczystej albo zastawu rejestrowego z rejestrów zastawów. Oznacza to, że cesjonariusz musi wydać dokument mogący stanowić podstawę wykreślenia hipoteki albo zastawu rejestrowego. Jednocześnie wskazać należy, że analogiczne rozwiązanie zostało przewidziane w art. 43a ustawy o Narodowym Banku Polskim. </w:t>
      </w:r>
    </w:p>
    <w:p w14:paraId="35498FDF" w14:textId="6E55FA5A"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W efekcie powyższego art. 225a </w:t>
      </w:r>
      <w:r w:rsidR="00950DF4"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w swoim zakresie, podobnie jak przy przejęciu przedsiębiorstwa lub przy utworzeniu instytucji pomostowej, opisuje szczegóły procesu, jakim jest wydzielenie praw majątkowych (w tym ujęciu hipoteki i zastawy rejestrowe), które wiąże się z wstąpieniem przez podmiot zarządzający aktywami w prawa i obowiązki podmiotu w restrukturyzacji w zakresie nabytych praw majątkowych i związanych z nimi zobowiązań, włączając wstąpienie w postępowania sądowe oraz administracyjne.</w:t>
      </w:r>
    </w:p>
    <w:p w14:paraId="622128F0" w14:textId="72F5E1E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 xml:space="preserve">Celem tworzenia tych przepisów było zachowanie analogii do obowiązującego przepisu art. 43a ustawy o Narodowym Banku Polskim, jak również art. 70a ustawy o BFG </w:t>
      </w:r>
      <w:r w:rsidR="00255348">
        <w:rPr>
          <w:rFonts w:ascii="Times New Roman" w:hAnsi="Times New Roman" w:cs="Times New Roman"/>
          <w:sz w:val="24"/>
          <w:szCs w:val="24"/>
        </w:rPr>
        <w:t>–</w:t>
      </w:r>
      <w:r w:rsidR="00255348" w:rsidRPr="008D7149">
        <w:rPr>
          <w:rFonts w:ascii="Times New Roman" w:hAnsi="Times New Roman" w:cs="Times New Roman"/>
          <w:sz w:val="24"/>
          <w:szCs w:val="24"/>
        </w:rPr>
        <w:t xml:space="preserve"> </w:t>
      </w:r>
      <w:r w:rsidRPr="008D7149">
        <w:rPr>
          <w:rFonts w:ascii="Times New Roman" w:hAnsi="Times New Roman" w:cs="Times New Roman"/>
          <w:sz w:val="24"/>
          <w:szCs w:val="24"/>
        </w:rPr>
        <w:t>ze względu na charakter postępowania, jakim jest przymusowa restrukturyzacja, w tym imperatyw szybkości postępowania i przepisy ustawy o BFG (za dyrektywą BRRD), decyzja o zastosowaniu określonych instrumentów przymusowej restrukturyzacji stanowiąca serię zoperacjonalizowanych działań jest skuteczna tylko przy uzasadnionym wyłamaniu się powszechnie panujących zasad działania.</w:t>
      </w:r>
    </w:p>
    <w:p w14:paraId="2D2C719B" w14:textId="78B7D1A6"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Zastosowany w przypadku projektowanych przepisów art. 225a </w:t>
      </w:r>
      <w:r w:rsidR="00950DF4"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mechanizm sukcesji niezbędny jest dla zapewnienia kontynuacji działalności prowadzonej przy wykorzystaniu wydzielonych praw majątkowych.</w:t>
      </w:r>
    </w:p>
    <w:p w14:paraId="1D0F08CC" w14:textId="3EF2B5F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Zmiany wprowadzane </w:t>
      </w:r>
      <w:r w:rsidRPr="008D7149">
        <w:rPr>
          <w:rFonts w:ascii="Times New Roman" w:hAnsi="Times New Roman" w:cs="Times New Roman"/>
          <w:b/>
          <w:sz w:val="24"/>
          <w:szCs w:val="24"/>
        </w:rPr>
        <w:t>w art. 226 ust. 3</w:t>
      </w:r>
      <w:r w:rsidRPr="008D7149">
        <w:rPr>
          <w:rFonts w:ascii="Times New Roman" w:hAnsi="Times New Roman" w:cs="Times New Roman"/>
          <w:sz w:val="24"/>
          <w:szCs w:val="24"/>
        </w:rPr>
        <w:t xml:space="preserve"> </w:t>
      </w:r>
      <w:r w:rsidR="00950DF4"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mają na celu rozszerzenie katalogu podmiotów, na rzecz których podmiot zarządzający aktywami zobowiązany jest zapłacić wynagrodzenie za przekazywane aktywa. Poza podmiotem w restrukturyzacji oraz instytucją pomostową wynagrodzenie takie w wyniku nowelizacji będzie można przekazać również podmiotowi przejmującemu lub podmiotowi, którego udziały zostały przejęte w ramach procesu przymusowej restrukturyzacji. Rozszerzenie katalogu podmiotów zwiększy skuteczność działań przymusowej restrukturyzacji.</w:t>
      </w:r>
    </w:p>
    <w:p w14:paraId="64D14A81" w14:textId="771DBF8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Dodawany </w:t>
      </w:r>
      <w:r w:rsidRPr="008D7149">
        <w:rPr>
          <w:rFonts w:ascii="Times New Roman" w:hAnsi="Times New Roman" w:cs="Times New Roman"/>
          <w:b/>
          <w:sz w:val="24"/>
          <w:szCs w:val="24"/>
        </w:rPr>
        <w:t>ust. 3a w art. 226</w:t>
      </w:r>
      <w:r w:rsidRPr="008D7149">
        <w:rPr>
          <w:rFonts w:ascii="Times New Roman" w:hAnsi="Times New Roman" w:cs="Times New Roman"/>
          <w:sz w:val="24"/>
          <w:szCs w:val="24"/>
        </w:rPr>
        <w:t xml:space="preserve"> </w:t>
      </w:r>
      <w:r w:rsidR="00950DF4"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dostosowuje przepisy ustawy do dyrektywy BRRD przez zapewnienie pełnej implementacji art. 42 ust. 7 zdanie drugie BRRD, zgodnie z którym należność zapłacona przez podmiot zarządzający aktywami w odniesieniu do aktywów, praw lub zobowiązań nabytych bezpośrednio od instytucji objętej restrukturyzacją i uporządkowaną likwidacją może być wypłacona w formie długu wyemitowanego przez podmiot zarządzający aktywami. </w:t>
      </w:r>
    </w:p>
    <w:p w14:paraId="4C24333E" w14:textId="0843D3E5" w:rsidR="00695EEB" w:rsidRPr="008D7149" w:rsidRDefault="00950DF4" w:rsidP="008D7149">
      <w:pPr>
        <w:spacing w:before="120" w:after="0" w:line="360" w:lineRule="auto"/>
        <w:jc w:val="both"/>
        <w:rPr>
          <w:rFonts w:ascii="Times New Roman" w:hAnsi="Times New Roman" w:cs="Times New Roman"/>
          <w:b/>
          <w:sz w:val="24"/>
          <w:szCs w:val="24"/>
        </w:rPr>
      </w:pPr>
      <w:r w:rsidRPr="008D7149">
        <w:rPr>
          <w:rFonts w:ascii="Times New Roman" w:hAnsi="Times New Roman" w:cs="Times New Roman"/>
          <w:sz w:val="24"/>
          <w:szCs w:val="24"/>
        </w:rPr>
        <w:t>Dodanie</w:t>
      </w:r>
      <w:r w:rsidR="00695EEB" w:rsidRPr="008D7149">
        <w:rPr>
          <w:rFonts w:ascii="Times New Roman" w:hAnsi="Times New Roman" w:cs="Times New Roman"/>
          <w:sz w:val="24"/>
          <w:szCs w:val="24"/>
        </w:rPr>
        <w:t xml:space="preserve"> </w:t>
      </w:r>
      <w:r w:rsidR="00695EEB" w:rsidRPr="008D7149">
        <w:rPr>
          <w:rFonts w:ascii="Times New Roman" w:hAnsi="Times New Roman" w:cs="Times New Roman"/>
          <w:b/>
          <w:sz w:val="24"/>
          <w:szCs w:val="24"/>
        </w:rPr>
        <w:t>art. 229a</w:t>
      </w:r>
      <w:r w:rsidR="007321DE">
        <w:rPr>
          <w:rFonts w:ascii="Times New Roman" w:hAnsi="Times New Roman" w:cs="Times New Roman"/>
          <w:b/>
          <w:sz w:val="24"/>
          <w:szCs w:val="24"/>
        </w:rPr>
        <w:t>–</w:t>
      </w:r>
      <w:r w:rsidR="00695EEB" w:rsidRPr="008D7149">
        <w:rPr>
          <w:rFonts w:ascii="Times New Roman" w:hAnsi="Times New Roman" w:cs="Times New Roman"/>
          <w:b/>
          <w:sz w:val="24"/>
          <w:szCs w:val="24"/>
        </w:rPr>
        <w:t xml:space="preserve">229g </w:t>
      </w:r>
      <w:r w:rsidR="00695EEB" w:rsidRPr="008D7149">
        <w:rPr>
          <w:rFonts w:ascii="Times New Roman" w:hAnsi="Times New Roman" w:cs="Times New Roman"/>
          <w:sz w:val="24"/>
          <w:szCs w:val="24"/>
        </w:rPr>
        <w:t xml:space="preserve">i analogiczne </w:t>
      </w:r>
      <w:r w:rsidR="00695EEB" w:rsidRPr="008D7149">
        <w:rPr>
          <w:rFonts w:ascii="Times New Roman" w:hAnsi="Times New Roman" w:cs="Times New Roman"/>
          <w:b/>
          <w:sz w:val="24"/>
          <w:szCs w:val="24"/>
        </w:rPr>
        <w:t>art. 316a</w:t>
      </w:r>
      <w:r w:rsidR="007321DE">
        <w:rPr>
          <w:rFonts w:ascii="Times New Roman" w:hAnsi="Times New Roman" w:cs="Times New Roman"/>
          <w:b/>
          <w:sz w:val="24"/>
          <w:szCs w:val="24"/>
        </w:rPr>
        <w:t>–</w:t>
      </w:r>
      <w:r w:rsidR="00695EEB" w:rsidRPr="008D7149">
        <w:rPr>
          <w:rFonts w:ascii="Times New Roman" w:hAnsi="Times New Roman" w:cs="Times New Roman"/>
          <w:b/>
          <w:sz w:val="24"/>
          <w:szCs w:val="24"/>
        </w:rPr>
        <w:t>316c</w:t>
      </w:r>
      <w:r w:rsidR="00695EEB"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do ustawy o BFG zmierzają do </w:t>
      </w:r>
      <w:r w:rsidR="00695EEB" w:rsidRPr="008D7149">
        <w:rPr>
          <w:rFonts w:ascii="Times New Roman" w:hAnsi="Times New Roman" w:cs="Times New Roman"/>
          <w:sz w:val="24"/>
          <w:szCs w:val="24"/>
        </w:rPr>
        <w:t>dodani</w:t>
      </w:r>
      <w:r w:rsidRPr="008D7149">
        <w:rPr>
          <w:rFonts w:ascii="Times New Roman" w:hAnsi="Times New Roman" w:cs="Times New Roman"/>
          <w:sz w:val="24"/>
          <w:szCs w:val="24"/>
        </w:rPr>
        <w:t>a</w:t>
      </w:r>
      <w:r w:rsidR="00695EEB" w:rsidRPr="008D7149">
        <w:rPr>
          <w:rFonts w:ascii="Times New Roman" w:hAnsi="Times New Roman" w:cs="Times New Roman"/>
          <w:sz w:val="24"/>
          <w:szCs w:val="24"/>
        </w:rPr>
        <w:t xml:space="preserve"> dwóch nowych rozdziałów precyzujących:</w:t>
      </w:r>
    </w:p>
    <w:p w14:paraId="23CEBF72" w14:textId="2F479C52" w:rsidR="00695EEB" w:rsidRPr="008D7149" w:rsidRDefault="00950DF4" w:rsidP="0056106A">
      <w:pPr>
        <w:pStyle w:val="Akapitzlist"/>
        <w:widowControl w:val="0"/>
        <w:numPr>
          <w:ilvl w:val="0"/>
          <w:numId w:val="13"/>
        </w:numPr>
        <w:autoSpaceDE w:val="0"/>
        <w:autoSpaceDN w:val="0"/>
        <w:adjustRightInd w:val="0"/>
        <w:spacing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w:t>
      </w:r>
      <w:r w:rsidR="00695EEB" w:rsidRPr="008D7149">
        <w:rPr>
          <w:rFonts w:ascii="Times New Roman" w:hAnsi="Times New Roman" w:cs="Times New Roman"/>
          <w:sz w:val="24"/>
          <w:szCs w:val="24"/>
        </w:rPr>
        <w:t>asady i tryb emisji obligacji przez podmiot zarządzający aktywami na potrzeby przeprowadzenia skutecznej przymusowej restrukturyzacji</w:t>
      </w:r>
      <w:r w:rsidRPr="008D7149">
        <w:rPr>
          <w:rFonts w:ascii="Times New Roman" w:hAnsi="Times New Roman" w:cs="Times New Roman"/>
          <w:sz w:val="24"/>
          <w:szCs w:val="24"/>
        </w:rPr>
        <w:t>;</w:t>
      </w:r>
    </w:p>
    <w:p w14:paraId="4D933DCC" w14:textId="0B073CE7" w:rsidR="00695EEB" w:rsidRPr="008D7149" w:rsidRDefault="00950DF4" w:rsidP="008D7149">
      <w:pPr>
        <w:pStyle w:val="Akapitzlist"/>
        <w:widowControl w:val="0"/>
        <w:numPr>
          <w:ilvl w:val="0"/>
          <w:numId w:val="13"/>
        </w:num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w:t>
      </w:r>
      <w:r w:rsidR="00695EEB" w:rsidRPr="008D7149">
        <w:rPr>
          <w:rFonts w:ascii="Times New Roman" w:hAnsi="Times New Roman" w:cs="Times New Roman"/>
          <w:sz w:val="24"/>
          <w:szCs w:val="24"/>
        </w:rPr>
        <w:t xml:space="preserve">asady i tryb emisji obligacji przez </w:t>
      </w:r>
      <w:r w:rsidRPr="008D7149">
        <w:rPr>
          <w:rFonts w:ascii="Times New Roman" w:hAnsi="Times New Roman" w:cs="Times New Roman"/>
          <w:sz w:val="24"/>
          <w:szCs w:val="24"/>
        </w:rPr>
        <w:t>BFG</w:t>
      </w:r>
      <w:r w:rsidR="00695EEB" w:rsidRPr="008D7149">
        <w:rPr>
          <w:rFonts w:ascii="Times New Roman" w:hAnsi="Times New Roman" w:cs="Times New Roman"/>
          <w:sz w:val="24"/>
          <w:szCs w:val="24"/>
        </w:rPr>
        <w:t xml:space="preserve"> (z gwarancją Skarbu Państwa).</w:t>
      </w:r>
    </w:p>
    <w:p w14:paraId="24B69C98" w14:textId="2FB82869"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Możliwe źródła finansowania </w:t>
      </w:r>
      <w:r w:rsidR="00950DF4" w:rsidRPr="008D7149">
        <w:rPr>
          <w:rFonts w:ascii="Times New Roman" w:hAnsi="Times New Roman" w:cs="Times New Roman"/>
          <w:sz w:val="24"/>
          <w:szCs w:val="24"/>
        </w:rPr>
        <w:t>BFG</w:t>
      </w:r>
      <w:r w:rsidRPr="008D7149">
        <w:rPr>
          <w:rFonts w:ascii="Times New Roman" w:hAnsi="Times New Roman" w:cs="Times New Roman"/>
          <w:sz w:val="24"/>
          <w:szCs w:val="24"/>
        </w:rPr>
        <w:t xml:space="preserve"> oraz podmiotu zarządzającego aktywami są regulowane w sposób szczegółowy przez system prawa krajowego i prawa Unii Europejskiej. Jak wskazuje art. 270 ust. 1 pkt 8 ustawy o BFG źródłami finansowania BFG są w szczególności środki pozyskane z tytułu zaciągniętych pożyczek, kredytów i z tytułu emisji obligacji.</w:t>
      </w:r>
    </w:p>
    <w:p w14:paraId="0CA232C3" w14:textId="737245AE"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lastRenderedPageBreak/>
        <w:t>Mając na uwadze przewidziane w art. 5 ustawy o BFG zadania BFG związane z zapewnieniem stabilności krajowego systemu finansowego przez gwarantowanie depozytów oraz prowadzenie działań w zakresie przymusowej restrukturyzacji, istotne jest ustanowienie, w ramach zakreślonych przez przepisy prawa polskiego i unijnego, możliwości finansowania zadań BFG również przez ww. środki. W szczególności efektywn</w:t>
      </w:r>
      <w:r w:rsidR="00950DF4" w:rsidRPr="008D7149">
        <w:rPr>
          <w:rFonts w:ascii="Times New Roman" w:hAnsi="Times New Roman" w:cs="Times New Roman"/>
          <w:sz w:val="24"/>
          <w:szCs w:val="24"/>
        </w:rPr>
        <w:t>a</w:t>
      </w:r>
      <w:r w:rsidRPr="008D7149">
        <w:rPr>
          <w:rFonts w:ascii="Times New Roman" w:hAnsi="Times New Roman" w:cs="Times New Roman"/>
          <w:sz w:val="24"/>
          <w:szCs w:val="24"/>
        </w:rPr>
        <w:t xml:space="preserve"> możliwość emisji obligacji przez BFG zapewni finansowani</w:t>
      </w:r>
      <w:r w:rsidR="00950DF4" w:rsidRPr="008D7149">
        <w:rPr>
          <w:rFonts w:ascii="Times New Roman" w:hAnsi="Times New Roman" w:cs="Times New Roman"/>
          <w:sz w:val="24"/>
          <w:szCs w:val="24"/>
        </w:rPr>
        <w:t>e</w:t>
      </w:r>
      <w:r w:rsidRPr="008D7149">
        <w:rPr>
          <w:rFonts w:ascii="Times New Roman" w:hAnsi="Times New Roman" w:cs="Times New Roman"/>
          <w:sz w:val="24"/>
          <w:szCs w:val="24"/>
        </w:rPr>
        <w:t xml:space="preserve"> awaryjne na wypadek wyczerpania środków na właściwych funduszach BFG lub braku możliwości pozyskania środków z innych źródeł wskazanych w art. 270 ust. 1 </w:t>
      </w:r>
      <w:r w:rsidR="00950DF4"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(niedostępność czy nieopłacalność). </w:t>
      </w:r>
    </w:p>
    <w:p w14:paraId="45821784" w14:textId="5B59FEEF"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Celem obniżenia kosztów przeprowadzenia emisji obligacji i zapewnienia jej sprawnej realizacji, konieczne jest więc wprowadzenie, w szczególności do ustawy o BFG, przepisów regulujących zasady i tryb emisji: obligacji własnych BFG w oparciu o szczególny tryb oraz zasady emisji w stosunku do trybu określonego w ustawie </w:t>
      </w:r>
      <w:r w:rsidR="008E5127"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o obligacjach, uwzględniający możliwość objęcia tych papierów gwarancjami Skarbu Państwa, a także emisji obligacji emitowanych przez podmiot zarządzający aktywami w oparciu o szczególny tryb oraz zasady w stosunku do trybu określonego w ww. ustawie.</w:t>
      </w:r>
    </w:p>
    <w:p w14:paraId="2ACCF108" w14:textId="26960605" w:rsidR="00695EEB" w:rsidRPr="008D7149" w:rsidRDefault="00695EEB" w:rsidP="008D7149">
      <w:pPr>
        <w:spacing w:before="120" w:after="0" w:line="360" w:lineRule="auto"/>
        <w:ind w:left="708"/>
        <w:jc w:val="both"/>
        <w:rPr>
          <w:rFonts w:ascii="Times New Roman" w:hAnsi="Times New Roman" w:cs="Times New Roman"/>
          <w:sz w:val="24"/>
          <w:szCs w:val="24"/>
          <w:u w:val="single"/>
        </w:rPr>
      </w:pPr>
      <w:r w:rsidRPr="008D7149">
        <w:rPr>
          <w:rFonts w:ascii="Times New Roman" w:hAnsi="Times New Roman" w:cs="Times New Roman"/>
          <w:sz w:val="24"/>
          <w:szCs w:val="24"/>
          <w:u w:val="single"/>
        </w:rPr>
        <w:t>Emisja obligacji przez podmiot zarządzający aktywami na potrzeby przeprowadzenia skutecznej przymusowej restrukturyzacji</w:t>
      </w:r>
    </w:p>
    <w:p w14:paraId="13477DBA"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Zapewnienie skutecznego przeprowadzenia przymusowej restrukturyzacji może wymagać zastosowania instrumentu przymusowej restrukturyzacji w postaci wydzielenia praw majątkowych, o którym mowa w art. 110 ust. 1 pkt 4 ustawy o BFG, co będzie skutkować koniecznością pozyskania finansowania przez utworzony przez BFG podmiot zarządzający wydzielonymi aktywami (w niektórych stanach faktycznych finansowanie przez BFG z funduszu przymusowej restrukturyzacji banków może okazać się niewystarczające lub niedostępne), w tym celu emisja obligacji przez ten podmiot staje się najbardziej optymalnym sposobem pozyskania środków do zapłaty wynagrodzenia za przejmowane przez ten podmiot prawa majątkowe.</w:t>
      </w:r>
    </w:p>
    <w:p w14:paraId="38AEF66D" w14:textId="73E19734"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Podmiot zarządzający aktywami jest tworzony w celu zarządzania wydzielonymi prawami majątkowymi i zobowiązaniami z jednego albo kilku podmiotów w restrukturyzacji lub instytucji pomostowej, a w szczególności w celu ich zbycia (art. 224 ust. 2 ustawy o BFG). Organ do spraw przymusowej restrukturyzacji (BFG), stosując instrument wydzielenia praw majątkowych/ aktywów, określa należność, za jaką aktywa i zobowiązania są przenoszone z podmiotu w restrukturyzacji (objętego postępowaniem określonym w ustawie o BFG) do podmiotu zarządzającego aktywami, zgodnie z zasadami ustanowionymi w art. 36 BRRD i </w:t>
      </w:r>
      <w:r w:rsidRPr="008D7149">
        <w:rPr>
          <w:rFonts w:ascii="Times New Roman" w:hAnsi="Times New Roman" w:cs="Times New Roman"/>
          <w:sz w:val="24"/>
          <w:szCs w:val="24"/>
        </w:rPr>
        <w:lastRenderedPageBreak/>
        <w:t>zgodnie z unijnymi ramami pomocy państwa. W celu pozyskania środków na zapłatę należności przez podmiot zarządzający aktywami w odniesieniu do aktywów lub zobowiązań nabytych bezpośrednio od instytucji objętej przymusową restrukturyzacją (podmiotu w restrukturyzacji), możliwe jest wyemitowanie obligacji przez podmiot zarządzający aktywami (art. 42 ust. 7 BRRD). Brak możliwości zastosowania instrumentu w formie podmiotu zarządzającego aktywami</w:t>
      </w:r>
      <w:r w:rsidR="008E5127" w:rsidRPr="008D7149">
        <w:rPr>
          <w:rFonts w:ascii="Times New Roman" w:hAnsi="Times New Roman" w:cs="Times New Roman"/>
          <w:sz w:val="24"/>
          <w:szCs w:val="24"/>
        </w:rPr>
        <w:t>,</w:t>
      </w:r>
      <w:r w:rsidRPr="008D7149">
        <w:rPr>
          <w:rFonts w:ascii="Times New Roman" w:hAnsi="Times New Roman" w:cs="Times New Roman"/>
          <w:sz w:val="24"/>
          <w:szCs w:val="24"/>
        </w:rPr>
        <w:t xml:space="preserve"> np. z uwagi na brak możliwości pozyskania przez ten podmiot finansowania, mógłby wykluczyć przeprowadzenie przymusowej restrukturyzacji.</w:t>
      </w:r>
    </w:p>
    <w:p w14:paraId="2B3093BB" w14:textId="4F96531E"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Celem proponowanej regulacji jest więc przede wszystkim stworzenie BFG możliwości wykorzystania wszystkich instrumentów związanych z ustawowymi zadaniami, w szczególności instrumentów przymusowej restrukturyzacji, w taki sposób, aby możliwe było utrzymanie stabilności na rynku finansowym. Utrudnienia w postaci braku możliwości uzyskania szybkiego finansowania zewnętrznego dla podmiotu zarządzającego aktywami mogą przełożyć się na brak możliwości zastosowania instrumentu przymusowej restrukturyzacji w postaci wydzielenia aktywów, a co za tym idzie</w:t>
      </w:r>
      <w:r w:rsidR="00255348">
        <w:rPr>
          <w:rFonts w:ascii="Times New Roman" w:hAnsi="Times New Roman" w:cs="Times New Roman"/>
          <w:sz w:val="24"/>
          <w:szCs w:val="24"/>
        </w:rPr>
        <w:t xml:space="preserve"> –</w:t>
      </w:r>
      <w:r w:rsidRPr="008D7149">
        <w:rPr>
          <w:rFonts w:ascii="Times New Roman" w:hAnsi="Times New Roman" w:cs="Times New Roman"/>
          <w:sz w:val="24"/>
          <w:szCs w:val="24"/>
        </w:rPr>
        <w:t xml:space="preserve"> na niepowodzenie całego procesu przymusowej restrukturyzacji i znaczące konsekwencje dla całego rynku finansowego i jego stabilności.</w:t>
      </w:r>
    </w:p>
    <w:p w14:paraId="01A04880" w14:textId="01E80F23"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Proponuje się więc, analogicznie jak w przypadku obligacji emitowanych przez BFG (proponowane przepisy art. 316a i nast. ustawy o BFG), wprowadzić możliwość emisji obligacji podmiotu zarządzającego aktywami na dwa sposoby:</w:t>
      </w:r>
    </w:p>
    <w:p w14:paraId="7D0A08A0" w14:textId="1B163A4E" w:rsidR="00695EEB" w:rsidRPr="008D7149" w:rsidRDefault="00695EEB" w:rsidP="0056106A">
      <w:pPr>
        <w:pStyle w:val="Akapitzlist"/>
        <w:numPr>
          <w:ilvl w:val="0"/>
          <w:numId w:val="9"/>
        </w:numPr>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 xml:space="preserve">na podstawie odrębnych ustaw (w szczególności ustawy </w:t>
      </w:r>
      <w:r w:rsidR="008E5127"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o obligacjach) albo</w:t>
      </w:r>
    </w:p>
    <w:p w14:paraId="04F9CFD3" w14:textId="77777777" w:rsidR="00695EEB" w:rsidRPr="008D7149" w:rsidRDefault="00695EEB" w:rsidP="0056106A">
      <w:pPr>
        <w:pStyle w:val="Akapitzlist"/>
        <w:numPr>
          <w:ilvl w:val="0"/>
          <w:numId w:val="9"/>
        </w:numPr>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na zasadach określonych w nowym rozdziale 18a w dziale III ustawy o BFG, jednak wyłącznie w przypadku skierowania takiej emisji do klientów profesjonalnych.</w:t>
      </w:r>
    </w:p>
    <w:p w14:paraId="7EA68DAB" w14:textId="0815FAAC"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Zasady zaproponowane w nowym rozdziale 18a </w:t>
      </w:r>
      <w:r w:rsidR="008E5127"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wynikają z:</w:t>
      </w:r>
    </w:p>
    <w:p w14:paraId="5695C5EA" w14:textId="6471B692" w:rsidR="00695EEB" w:rsidRPr="008D7149" w:rsidRDefault="00695EEB" w:rsidP="0056106A">
      <w:pPr>
        <w:pStyle w:val="Akapitzlist"/>
        <w:numPr>
          <w:ilvl w:val="0"/>
          <w:numId w:val="10"/>
        </w:numPr>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propozycji, aby emisja taka skierowana była wyłącznie do podmiotów profesjonalnych, które posiadają doświadczenie, wiedzę i fachowość umożliwiające podejmowanie niezależnych decyzji inwestycyjnych i właściwą ocenę ryzyka, z którym się one wiążą</w:t>
      </w:r>
      <w:r w:rsidR="008E5127" w:rsidRPr="008D7149">
        <w:rPr>
          <w:rFonts w:ascii="Times New Roman" w:hAnsi="Times New Roman" w:cs="Times New Roman"/>
          <w:sz w:val="24"/>
          <w:szCs w:val="24"/>
        </w:rPr>
        <w:t>;</w:t>
      </w:r>
    </w:p>
    <w:p w14:paraId="4AD69852" w14:textId="4F9BEA1F" w:rsidR="00695EEB" w:rsidRPr="008D7149" w:rsidRDefault="00695EEB" w:rsidP="0056106A">
      <w:pPr>
        <w:pStyle w:val="Akapitzlist"/>
        <w:numPr>
          <w:ilvl w:val="0"/>
          <w:numId w:val="10"/>
        </w:numPr>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 xml:space="preserve">charakteru i zadań podmiotu zarządzającego aktywami, który powoływany jest w szczególności w celu przejmowania aktywów od podmiotu w restrukturyzacji albo od instytucji pomostowej za wynagrodzeniem i zarządzania tymi aktywami. Istotne jest przy tym, że jest to spółka kapitałowa powoływana przez BFG, który posiada w niej udziały lub akcje. Również w sytuacji, gdy BFG nie jest jedynym akcjonariuszem lub udziałowcem tego podmiotu, BFG przysługują uprawnienia uregulowane w art. 224 ust. </w:t>
      </w:r>
      <w:r w:rsidRPr="008D7149">
        <w:rPr>
          <w:rFonts w:ascii="Times New Roman" w:hAnsi="Times New Roman" w:cs="Times New Roman"/>
          <w:sz w:val="24"/>
          <w:szCs w:val="24"/>
        </w:rPr>
        <w:lastRenderedPageBreak/>
        <w:t>6 ustawy o BFG</w:t>
      </w:r>
      <w:r w:rsidR="00442271">
        <w:rPr>
          <w:rFonts w:ascii="Times New Roman" w:hAnsi="Times New Roman" w:cs="Times New Roman"/>
          <w:sz w:val="24"/>
          <w:szCs w:val="24"/>
        </w:rPr>
        <w:t>,</w:t>
      </w:r>
      <w:r w:rsidRPr="008D7149">
        <w:rPr>
          <w:rFonts w:ascii="Times New Roman" w:hAnsi="Times New Roman" w:cs="Times New Roman"/>
          <w:sz w:val="24"/>
          <w:szCs w:val="24"/>
        </w:rPr>
        <w:t xml:space="preserve"> tj.: zatwierdzania statutu albo umowy spółki</w:t>
      </w:r>
      <w:r w:rsidR="008E5127" w:rsidRPr="008D7149">
        <w:rPr>
          <w:rFonts w:ascii="Times New Roman" w:hAnsi="Times New Roman" w:cs="Times New Roman"/>
          <w:sz w:val="24"/>
          <w:szCs w:val="24"/>
        </w:rPr>
        <w:t>,</w:t>
      </w:r>
      <w:r w:rsidRPr="008D7149">
        <w:rPr>
          <w:rFonts w:ascii="Times New Roman" w:hAnsi="Times New Roman" w:cs="Times New Roman"/>
          <w:sz w:val="24"/>
          <w:szCs w:val="24"/>
        </w:rPr>
        <w:t xml:space="preserve"> wyboru albo zatwierdzenia powołania członków organów podmiotu zarządzającego aktywami</w:t>
      </w:r>
      <w:r w:rsidR="008E5127" w:rsidRPr="008D7149">
        <w:rPr>
          <w:rFonts w:ascii="Times New Roman" w:hAnsi="Times New Roman" w:cs="Times New Roman"/>
          <w:sz w:val="24"/>
          <w:szCs w:val="24"/>
        </w:rPr>
        <w:t>,</w:t>
      </w:r>
      <w:r w:rsidRPr="008D7149">
        <w:rPr>
          <w:rFonts w:ascii="Times New Roman" w:hAnsi="Times New Roman" w:cs="Times New Roman"/>
          <w:sz w:val="24"/>
          <w:szCs w:val="24"/>
        </w:rPr>
        <w:t xml:space="preserve"> określania zasad wynagradzania członków organów podmiotu zarządzającego aktywami oraz zakresu ich obowiązków</w:t>
      </w:r>
      <w:r w:rsidR="008E5127" w:rsidRPr="008D7149">
        <w:rPr>
          <w:rFonts w:ascii="Times New Roman" w:hAnsi="Times New Roman" w:cs="Times New Roman"/>
          <w:sz w:val="24"/>
          <w:szCs w:val="24"/>
        </w:rPr>
        <w:t>,</w:t>
      </w:r>
      <w:r w:rsidRPr="008D7149">
        <w:rPr>
          <w:rFonts w:ascii="Times New Roman" w:hAnsi="Times New Roman" w:cs="Times New Roman"/>
          <w:sz w:val="24"/>
          <w:szCs w:val="24"/>
        </w:rPr>
        <w:t xml:space="preserve"> zatwierdzania strategii i profilu ryzyka podmiotu zarządzającego aktywami</w:t>
      </w:r>
      <w:r w:rsidR="008E5127" w:rsidRPr="008D7149">
        <w:rPr>
          <w:rFonts w:ascii="Times New Roman" w:hAnsi="Times New Roman" w:cs="Times New Roman"/>
          <w:sz w:val="24"/>
          <w:szCs w:val="24"/>
        </w:rPr>
        <w:t>;</w:t>
      </w:r>
    </w:p>
    <w:p w14:paraId="259E545D" w14:textId="77777777" w:rsidR="00695EEB" w:rsidRPr="008D7149" w:rsidRDefault="00695EEB" w:rsidP="0056106A">
      <w:pPr>
        <w:pStyle w:val="Akapitzlist"/>
        <w:numPr>
          <w:ilvl w:val="0"/>
          <w:numId w:val="10"/>
        </w:numPr>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możliwości pokrywania przez BFG z funduszy przymusowej restrukturyzacji, w niezbędnym zakresie, kosztów działalności podmiotu zarządzającego aktywami, jeżeli nie osiąga on wystarczających przychodów z zarządzania lub nie zarządza przeniesionymi prawami majątkowymi. Zabezpiecza to środki niezbędne do prowadzenia i kontunuowania działalności przez podmiot zarządzający aktywami, niezależnie od osiąganych przychodów.</w:t>
      </w:r>
    </w:p>
    <w:p w14:paraId="46172DB4" w14:textId="3E996CFC"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Dodatkowo należy podkreślić, że efektywne przeprowadzenie procesu przymusowej restrukturyzacji z wykorzystaniem instrumentu w postaci podmiotu zarządzającego aktywami wymaga szybkiego pozyskania środków przez ten podmiot, w szczególności w formie przeprowadzenia emisji obligacji. Wynika to z przepisów art. 226 ust. 3 ustawy o BFG, zgodnie z którym wynagrodzenie za przejmowane przez podmiot zarządzający aktywa powinien on zapłacić na rzecz podmiotu w restrukturyzacji lub instytucji pomostowej nie później niż w terminie 3 miesięcy od dnia przeniesienia aktywów.</w:t>
      </w:r>
    </w:p>
    <w:p w14:paraId="02413BE5" w14:textId="6C4134A3"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Zaproponowany w rozdziale 18a ustawy o BFG tryb i warunki przeprowadzenia emisji obligacji umożliwiają szybkie pozyskanie środków przez podmiot zarządzający aktywami, z zachowaniem ochrony praw obligatariuszy (w szczególności na gruncie przepisów ustawy o obrocie instrumentami finansowymi regulujących rejestrowanie obligacji oraz powstawanie i przenoszenie praw z tych instrumentów), co z kolei zapewni skuteczne przeprowadzenie procesu przymusowej restrukturyzacji. Zatem zasadne jest wyłączenie przepisów ustawy </w:t>
      </w:r>
      <w:r w:rsidR="008E5127"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o obligacjach, w szczególności regulujących uprawnienia obligatariuszy (</w:t>
      </w:r>
      <w:r w:rsidR="008E5127" w:rsidRPr="008D7149">
        <w:rPr>
          <w:rFonts w:ascii="Times New Roman" w:hAnsi="Times New Roman" w:cs="Times New Roman"/>
          <w:sz w:val="24"/>
          <w:szCs w:val="24"/>
        </w:rPr>
        <w:t>r</w:t>
      </w:r>
      <w:r w:rsidRPr="008D7149">
        <w:rPr>
          <w:rFonts w:ascii="Times New Roman" w:hAnsi="Times New Roman" w:cs="Times New Roman"/>
          <w:sz w:val="24"/>
          <w:szCs w:val="24"/>
        </w:rPr>
        <w:t xml:space="preserve">ozdział V – </w:t>
      </w:r>
      <w:r w:rsidR="008E5127" w:rsidRPr="008D7149">
        <w:rPr>
          <w:rFonts w:ascii="Times New Roman" w:hAnsi="Times New Roman" w:cs="Times New Roman"/>
          <w:sz w:val="24"/>
          <w:szCs w:val="24"/>
        </w:rPr>
        <w:t>z</w:t>
      </w:r>
      <w:r w:rsidRPr="008D7149">
        <w:rPr>
          <w:rFonts w:ascii="Times New Roman" w:hAnsi="Times New Roman" w:cs="Times New Roman"/>
          <w:sz w:val="24"/>
          <w:szCs w:val="24"/>
        </w:rPr>
        <w:t>gromadzenie obligatariuszy).</w:t>
      </w:r>
    </w:p>
    <w:p w14:paraId="1BA36A14" w14:textId="1EF6CD0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Przedstawione wyżej zmiany w zakresie zasad i trybu emisji obligacji przez BFG oraz dodatkowo przez podmiot zarządzający aktywami </w:t>
      </w:r>
      <w:r w:rsidR="008E5127" w:rsidRPr="008D7149">
        <w:rPr>
          <w:rFonts w:ascii="Times New Roman" w:hAnsi="Times New Roman" w:cs="Times New Roman"/>
          <w:sz w:val="24"/>
          <w:szCs w:val="24"/>
        </w:rPr>
        <w:t xml:space="preserve">są </w:t>
      </w:r>
      <w:r w:rsidRPr="008D7149">
        <w:rPr>
          <w:rFonts w:ascii="Times New Roman" w:hAnsi="Times New Roman" w:cs="Times New Roman"/>
          <w:sz w:val="24"/>
          <w:szCs w:val="24"/>
        </w:rPr>
        <w:t>ukierunkowane na kompleksową rozbudowę istniejącego katalogu regulacji w tym zakresie, z uwzględnieniem optymalizacji warunków emisji obligacji emitowanych w związku z prowadzeniem działań w zakresie przymusowej restrukturyzacji. Mogą one w znaczący sposób przyczynić się do rozszerzenia możliwości prawidłowego wykonywania przez BFG kompetencji ustawowych.</w:t>
      </w:r>
    </w:p>
    <w:p w14:paraId="67294959" w14:textId="032D7829" w:rsidR="00695EEB" w:rsidRPr="008D7149" w:rsidRDefault="00695EEB" w:rsidP="008D7149">
      <w:pPr>
        <w:spacing w:before="120" w:after="0" w:line="360" w:lineRule="auto"/>
        <w:ind w:left="708"/>
        <w:jc w:val="both"/>
        <w:rPr>
          <w:rFonts w:ascii="Times New Roman" w:hAnsi="Times New Roman" w:cs="Times New Roman"/>
          <w:sz w:val="24"/>
          <w:szCs w:val="24"/>
        </w:rPr>
      </w:pPr>
      <w:r w:rsidRPr="008D7149">
        <w:rPr>
          <w:rFonts w:ascii="Times New Roman" w:hAnsi="Times New Roman" w:cs="Times New Roman"/>
          <w:sz w:val="24"/>
          <w:szCs w:val="24"/>
          <w:u w:val="single"/>
        </w:rPr>
        <w:lastRenderedPageBreak/>
        <w:t>Emisja obligacji przez podmiot zarządzający aktywami na potrzeby przeprowadzenia skutecznej przymusowej restrukturyzacji</w:t>
      </w:r>
    </w:p>
    <w:p w14:paraId="35EFC222" w14:textId="0267704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Dodanie </w:t>
      </w:r>
      <w:r w:rsidRPr="008D7149">
        <w:rPr>
          <w:rFonts w:ascii="Times New Roman" w:hAnsi="Times New Roman" w:cs="Times New Roman"/>
          <w:b/>
          <w:sz w:val="24"/>
          <w:szCs w:val="24"/>
        </w:rPr>
        <w:t xml:space="preserve">art. 229a </w:t>
      </w:r>
      <w:r w:rsidR="00C35BA0" w:rsidRPr="0056106A">
        <w:rPr>
          <w:rFonts w:ascii="Times New Roman" w:hAnsi="Times New Roman" w:cs="Times New Roman"/>
          <w:sz w:val="24"/>
          <w:szCs w:val="24"/>
        </w:rPr>
        <w:t>ustawy o BFG</w:t>
      </w:r>
      <w:r w:rsidR="00C35BA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potwierdza, że podmiot zarządzający aktywami będzie mógł dokonać emisji obligacji w trybie i na zasadach określonych w dodawanym rozdziale 18a w dziale III ustawy o BFG albo na podstawie odrębnych ustaw. Rozwiązanie jest zgodne z prawem Unii Europejskiej, w szczególności z dyrektywą BRRD</w:t>
      </w:r>
      <w:r w:rsidR="00C35BA0" w:rsidRPr="008D7149">
        <w:rPr>
          <w:rFonts w:ascii="Times New Roman" w:hAnsi="Times New Roman" w:cs="Times New Roman"/>
          <w:sz w:val="24"/>
          <w:szCs w:val="24"/>
        </w:rPr>
        <w:t>,</w:t>
      </w:r>
      <w:r w:rsidRPr="008D7149">
        <w:rPr>
          <w:rFonts w:ascii="Times New Roman" w:hAnsi="Times New Roman" w:cs="Times New Roman"/>
          <w:sz w:val="24"/>
          <w:szCs w:val="24"/>
        </w:rPr>
        <w:t xml:space="preserve"> na podstawie której do polskiego porządku prawnego został w 2016 </w:t>
      </w:r>
      <w:r w:rsidR="00C35BA0" w:rsidRPr="008D7149">
        <w:rPr>
          <w:rFonts w:ascii="Times New Roman" w:hAnsi="Times New Roman" w:cs="Times New Roman"/>
          <w:sz w:val="24"/>
          <w:szCs w:val="24"/>
        </w:rPr>
        <w:t xml:space="preserve">r. </w:t>
      </w:r>
      <w:r w:rsidRPr="008D7149">
        <w:rPr>
          <w:rFonts w:ascii="Times New Roman" w:hAnsi="Times New Roman" w:cs="Times New Roman"/>
          <w:sz w:val="24"/>
          <w:szCs w:val="24"/>
        </w:rPr>
        <w:t>wprowadzony instrument przymusowej restrukturyzacji w postaci wydzielenia praw majątkowych, o którym mowa w art. 110 ust. 1 pkt 4 ustawy o BFG</w:t>
      </w:r>
      <w:r w:rsidR="00C35BA0" w:rsidRPr="008D7149">
        <w:rPr>
          <w:rFonts w:ascii="Times New Roman" w:hAnsi="Times New Roman" w:cs="Times New Roman"/>
          <w:sz w:val="24"/>
          <w:szCs w:val="24"/>
        </w:rPr>
        <w:t>,</w:t>
      </w:r>
      <w:r w:rsidRPr="008D7149">
        <w:rPr>
          <w:rFonts w:ascii="Times New Roman" w:hAnsi="Times New Roman" w:cs="Times New Roman"/>
          <w:sz w:val="24"/>
          <w:szCs w:val="24"/>
        </w:rPr>
        <w:t xml:space="preserve"> oraz możliwość utworzenia przez organ przymusowej restrukturyzacji (BFG) podmiotu zarządzającego aktywami, gdzie te prawa mogą zostać przeniesione. Do zastosowania instrumentu wydzielenia praw majątkowych konieczne jest pozyskanie finansowania przez podmiot zarządzający wydzielonymi aktywami, w tym celu emisja obligacji przez ten podmiot staje się najbardziej optymalnym sposobem pozyskania środków do zapłaty wynagrodzenia za przejmowane przez ten podmiot prawa majątkowe.</w:t>
      </w:r>
    </w:p>
    <w:p w14:paraId="49F77448" w14:textId="4BAD4A5D" w:rsidR="00695EEB" w:rsidRPr="008D7149" w:rsidRDefault="00695EEB" w:rsidP="008D7149">
      <w:pPr>
        <w:spacing w:before="120" w:after="0" w:line="360" w:lineRule="auto"/>
        <w:jc w:val="both"/>
        <w:rPr>
          <w:rFonts w:ascii="Times New Roman" w:hAnsi="Times New Roman" w:cs="Times New Roman"/>
          <w:b/>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229b ust. 1 </w:t>
      </w:r>
      <w:r w:rsidR="00C35BA0" w:rsidRPr="0056106A">
        <w:rPr>
          <w:rFonts w:ascii="Times New Roman" w:hAnsi="Times New Roman" w:cs="Times New Roman"/>
          <w:sz w:val="24"/>
          <w:szCs w:val="24"/>
        </w:rPr>
        <w:t>ustawy o BFG</w:t>
      </w:r>
      <w:r w:rsidR="00C35BA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wprowadza zasadę, że emisja obligacji przez podmiot zarządzający aktywami może być skierowana wyłącznie do podmiotów profesjonalnych w rozumieniu art. 3 pkt 39b lit. a</w:t>
      </w:r>
      <w:r w:rsidR="00EB2F0A">
        <w:rPr>
          <w:rFonts w:ascii="Times New Roman" w:hAnsi="Times New Roman" w:cs="Times New Roman"/>
          <w:sz w:val="24"/>
          <w:szCs w:val="24"/>
        </w:rPr>
        <w:t>–</w:t>
      </w:r>
      <w:r w:rsidRPr="008D7149">
        <w:rPr>
          <w:rFonts w:ascii="Times New Roman" w:hAnsi="Times New Roman" w:cs="Times New Roman"/>
          <w:sz w:val="24"/>
          <w:szCs w:val="24"/>
        </w:rPr>
        <w:t>m ustawy z dnia 29 lipca 2005 r. o obrocie instrumentami finansowymi, które posiadają doświadczenie, wiedzę i fachowość umożliwiające podejmowanie niezależnych decyzji inwestycyjnych i właściwą ocenę ryzyka, z którym się one wiążą. Regulacja ma więc za zadanie chronić inwestorów detalicznych przed inwestowaniem w papiery wartościowe obarczone ryzykiem oraz emitowane w specyficznej sytuacji</w:t>
      </w:r>
      <w:r w:rsidR="00C35BA0" w:rsidRPr="008D7149">
        <w:rPr>
          <w:rFonts w:ascii="Times New Roman" w:hAnsi="Times New Roman" w:cs="Times New Roman"/>
          <w:sz w:val="24"/>
          <w:szCs w:val="24"/>
        </w:rPr>
        <w:t>,</w:t>
      </w:r>
      <w:r w:rsidRPr="008D7149">
        <w:rPr>
          <w:rFonts w:ascii="Times New Roman" w:hAnsi="Times New Roman" w:cs="Times New Roman"/>
          <w:sz w:val="24"/>
          <w:szCs w:val="24"/>
        </w:rPr>
        <w:t xml:space="preserve"> tj. w ramach przymusowej restrukturyzacji przez podmiot celowy utworzony na określony czas, wyłącznie na okoliczność zarządzania prawami majątkowymi podmiotu w restrukturyzacji, które będą nabywane m.in. za środki uzyskane z tej emisji.</w:t>
      </w:r>
    </w:p>
    <w:p w14:paraId="3534D782" w14:textId="0D6EE79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229b ust. 2 </w:t>
      </w:r>
      <w:r w:rsidR="00C35BA0" w:rsidRPr="0056106A">
        <w:rPr>
          <w:rFonts w:ascii="Times New Roman" w:hAnsi="Times New Roman" w:cs="Times New Roman"/>
          <w:sz w:val="24"/>
          <w:szCs w:val="24"/>
        </w:rPr>
        <w:t>ustawy o BFG</w:t>
      </w:r>
      <w:r w:rsidR="00C35BA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ma na celu wprowadzenie wyłączeń w zakresie stosowania ustawy z dnia 15 stycznia 2015 r. o obligacjach do obligacji emitowanych na zasadach określonych w proponowanym rozdziale 18a w dziale III ustawy o BFG. Podobny zabieg legislacyjny został zastosowany w art. 39</w:t>
      </w:r>
      <w:r w:rsidR="00E77D44">
        <w:rPr>
          <w:rFonts w:ascii="Times New Roman" w:hAnsi="Times New Roman" w:cs="Times New Roman"/>
          <w:sz w:val="24"/>
          <w:szCs w:val="24"/>
        </w:rPr>
        <w:t xml:space="preserve"> </w:t>
      </w:r>
      <w:r w:rsidRPr="008D7149">
        <w:rPr>
          <w:rFonts w:ascii="Times New Roman" w:hAnsi="Times New Roman" w:cs="Times New Roman"/>
          <w:sz w:val="24"/>
          <w:szCs w:val="24"/>
        </w:rPr>
        <w:t>w pkt 3 ustawy z dnia 27 października 1994 r. o autostradach płatnych oraz o Krajowym Funduszu Drogowym. Zgodnie z przepisami tej ustawy Bank Gospodarstwa Krajowego</w:t>
      </w:r>
      <w:r w:rsidR="00C35BA0" w:rsidRPr="008D7149">
        <w:rPr>
          <w:rFonts w:ascii="Times New Roman" w:hAnsi="Times New Roman" w:cs="Times New Roman"/>
          <w:sz w:val="24"/>
          <w:szCs w:val="24"/>
        </w:rPr>
        <w:t xml:space="preserve">, zwany </w:t>
      </w:r>
      <w:r w:rsidRPr="008D7149">
        <w:rPr>
          <w:rFonts w:ascii="Times New Roman" w:hAnsi="Times New Roman" w:cs="Times New Roman"/>
          <w:sz w:val="24"/>
          <w:szCs w:val="24"/>
        </w:rPr>
        <w:t>dalej „BGK”</w:t>
      </w:r>
      <w:r w:rsidR="00C35BA0" w:rsidRPr="008D7149">
        <w:rPr>
          <w:rFonts w:ascii="Times New Roman" w:hAnsi="Times New Roman" w:cs="Times New Roman"/>
          <w:sz w:val="24"/>
          <w:szCs w:val="24"/>
        </w:rPr>
        <w:t>,</w:t>
      </w:r>
      <w:r w:rsidRPr="008D7149">
        <w:rPr>
          <w:rFonts w:ascii="Times New Roman" w:hAnsi="Times New Roman" w:cs="Times New Roman"/>
          <w:sz w:val="24"/>
          <w:szCs w:val="24"/>
        </w:rPr>
        <w:t xml:space="preserve"> może emitować obligacje w imieniu i na rzecz Krajowego Funduszu Drogowego. Obligacje te mogą być gwarantowane lub poręczane przez Skarb Państwa. Zasadność wyłączenia ustawy </w:t>
      </w:r>
      <w:r w:rsidR="00C35BA0"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 xml:space="preserve">o obligacjach do obligacji emitowanych przez BGK na rzecz tego funduszu wynika z charakteru </w:t>
      </w:r>
      <w:r w:rsidRPr="008D7149">
        <w:rPr>
          <w:rFonts w:ascii="Times New Roman" w:hAnsi="Times New Roman" w:cs="Times New Roman"/>
          <w:sz w:val="24"/>
          <w:szCs w:val="24"/>
        </w:rPr>
        <w:lastRenderedPageBreak/>
        <w:t>i zadań BGK oraz zmniejszenia ryzyka tych instrumentów finansowych w przypadku objęcia ich gwarancją/poręczeniem Skarbu Państwa.</w:t>
      </w:r>
    </w:p>
    <w:p w14:paraId="473C588A" w14:textId="7D2448FA"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Natomiast w przypadku obligacji emitowanych przez podmiot zarządzający aktywami należy zauważyć, że podmiot ten jest tworzony przez BFG w celu zarządzania wydzielonymi prawami majątkowymi i zobowiązaniami. BFG jest natomiast podmiotem zaufania publicznego</w:t>
      </w:r>
      <w:r w:rsidR="00C35BA0" w:rsidRPr="008D7149">
        <w:rPr>
          <w:rFonts w:ascii="Times New Roman" w:hAnsi="Times New Roman" w:cs="Times New Roman"/>
          <w:sz w:val="24"/>
          <w:szCs w:val="24"/>
        </w:rPr>
        <w:t>,</w:t>
      </w:r>
      <w:r w:rsidRPr="008D7149">
        <w:rPr>
          <w:rFonts w:ascii="Times New Roman" w:hAnsi="Times New Roman" w:cs="Times New Roman"/>
          <w:sz w:val="24"/>
          <w:szCs w:val="24"/>
        </w:rPr>
        <w:t xml:space="preserve"> tj. osobą prawną utworzoną na podstawie ustawy w celu wykonywania zadań publicznych. BFG, wypełniając zadania ustawowe określone w art. 5 ustawy o BFG, działa ponadto w sferze prawa publicznego. Tym samym transparentność i wiarygodność BFG jako instytucji właścicielskiej względem podmiotu zarządzającego aktywami jest wystarczająca, aby uzasadnić niniejsze wyłączenie i wprowadzić uproszczony tryb emisji, właściwy względem zadań i wymagań</w:t>
      </w:r>
      <w:r w:rsidR="00C35BA0" w:rsidRPr="008D7149">
        <w:rPr>
          <w:rFonts w:ascii="Times New Roman" w:hAnsi="Times New Roman" w:cs="Times New Roman"/>
          <w:sz w:val="24"/>
          <w:szCs w:val="24"/>
        </w:rPr>
        <w:t>,</w:t>
      </w:r>
      <w:r w:rsidRPr="008D7149">
        <w:rPr>
          <w:rFonts w:ascii="Times New Roman" w:hAnsi="Times New Roman" w:cs="Times New Roman"/>
          <w:sz w:val="24"/>
          <w:szCs w:val="24"/>
        </w:rPr>
        <w:t xml:space="preserve"> jakie będą postawione przed podmiotem zarządzającym aktywami. Celem emisji jest</w:t>
      </w:r>
      <w:r w:rsidR="00C35BA0" w:rsidRPr="008D7149">
        <w:rPr>
          <w:rFonts w:ascii="Times New Roman" w:hAnsi="Times New Roman" w:cs="Times New Roman"/>
          <w:sz w:val="24"/>
          <w:szCs w:val="24"/>
        </w:rPr>
        <w:t xml:space="preserve"> to</w:t>
      </w:r>
      <w:r w:rsidRPr="008D7149">
        <w:rPr>
          <w:rFonts w:ascii="Times New Roman" w:hAnsi="Times New Roman" w:cs="Times New Roman"/>
          <w:sz w:val="24"/>
          <w:szCs w:val="24"/>
        </w:rPr>
        <w:t xml:space="preserve">, </w:t>
      </w:r>
      <w:r w:rsidR="003C53B9">
        <w:rPr>
          <w:rFonts w:ascii="Times New Roman" w:hAnsi="Times New Roman" w:cs="Times New Roman"/>
          <w:sz w:val="24"/>
          <w:szCs w:val="24"/>
        </w:rPr>
        <w:t>a</w:t>
      </w:r>
      <w:r w:rsidRPr="008D7149">
        <w:rPr>
          <w:rFonts w:ascii="Times New Roman" w:hAnsi="Times New Roman" w:cs="Times New Roman"/>
          <w:sz w:val="24"/>
          <w:szCs w:val="24"/>
        </w:rPr>
        <w:t>by obligatariusz udzieli</w:t>
      </w:r>
      <w:r w:rsidR="00C35BA0" w:rsidRPr="008D7149">
        <w:rPr>
          <w:rFonts w:ascii="Times New Roman" w:hAnsi="Times New Roman" w:cs="Times New Roman"/>
          <w:sz w:val="24"/>
          <w:szCs w:val="24"/>
        </w:rPr>
        <w:t>ł</w:t>
      </w:r>
      <w:r w:rsidRPr="008D7149">
        <w:rPr>
          <w:rFonts w:ascii="Times New Roman" w:hAnsi="Times New Roman" w:cs="Times New Roman"/>
          <w:sz w:val="24"/>
          <w:szCs w:val="24"/>
        </w:rPr>
        <w:t xml:space="preserve"> pożyczki podmiotowi zarządzającemu aktywami na realizację zadań z zakresu przymusowej restrukturyzacji. </w:t>
      </w:r>
    </w:p>
    <w:p w14:paraId="711D7674" w14:textId="74108AF0"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229c ust. 1</w:t>
      </w:r>
      <w:r w:rsidR="003C53B9">
        <w:rPr>
          <w:rFonts w:ascii="Times New Roman" w:hAnsi="Times New Roman" w:cs="Times New Roman"/>
          <w:b/>
          <w:sz w:val="24"/>
          <w:szCs w:val="24"/>
        </w:rPr>
        <w:t>–</w:t>
      </w:r>
      <w:r w:rsidRPr="008D7149">
        <w:rPr>
          <w:rFonts w:ascii="Times New Roman" w:hAnsi="Times New Roman" w:cs="Times New Roman"/>
          <w:b/>
          <w:sz w:val="24"/>
          <w:szCs w:val="24"/>
        </w:rPr>
        <w:t xml:space="preserve">5 </w:t>
      </w:r>
      <w:r w:rsidR="00C35BA0" w:rsidRPr="0056106A">
        <w:rPr>
          <w:rFonts w:ascii="Times New Roman" w:hAnsi="Times New Roman" w:cs="Times New Roman"/>
          <w:sz w:val="24"/>
          <w:szCs w:val="24"/>
        </w:rPr>
        <w:t>ustawy o BFG</w:t>
      </w:r>
      <w:r w:rsidR="00C35BA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ma za zadanie określić podstawowe warunki odnoszące się do wyemitowanych przez podmiot zarządzający aktywami obligacji</w:t>
      </w:r>
      <w:r w:rsidR="0030671A" w:rsidRPr="008D7149">
        <w:rPr>
          <w:rFonts w:ascii="Times New Roman" w:hAnsi="Times New Roman" w:cs="Times New Roman"/>
          <w:sz w:val="24"/>
          <w:szCs w:val="24"/>
        </w:rPr>
        <w:t>,</w:t>
      </w:r>
      <w:r w:rsidRPr="008D7149">
        <w:rPr>
          <w:rFonts w:ascii="Times New Roman" w:hAnsi="Times New Roman" w:cs="Times New Roman"/>
          <w:sz w:val="24"/>
          <w:szCs w:val="24"/>
        </w:rPr>
        <w:t xml:space="preserve"> tj. wskazanie w ust. 1, że emitentem tych obligacji jest podmiot zarządzający aktywami, który staje się dłużnikiem obligatariusza (podmiotu profesjonalnego, który nabył obligację), tym samym powstaje stosunek zobowiązaniowy, w którym podmiot zarządzający aktywami jako dłużnik jest zobowiązany świadczyć na rzecz obligatariusza z tytułu nabytej obligacji określone świadczenia pieniężne</w:t>
      </w:r>
      <w:r w:rsidR="0030671A" w:rsidRPr="008D7149">
        <w:rPr>
          <w:rFonts w:ascii="Times New Roman" w:hAnsi="Times New Roman" w:cs="Times New Roman"/>
          <w:sz w:val="24"/>
          <w:szCs w:val="24"/>
        </w:rPr>
        <w:t>,</w:t>
      </w:r>
      <w:r w:rsidRPr="008D7149">
        <w:rPr>
          <w:rFonts w:ascii="Times New Roman" w:hAnsi="Times New Roman" w:cs="Times New Roman"/>
          <w:sz w:val="24"/>
          <w:szCs w:val="24"/>
        </w:rPr>
        <w:t xml:space="preserve"> tj. odsetki w ustalonej kwocie (gdy takie odsetki zostały przewidziane)</w:t>
      </w:r>
      <w:r w:rsidR="0030671A" w:rsidRPr="008D7149">
        <w:rPr>
          <w:rFonts w:ascii="Times New Roman" w:hAnsi="Times New Roman" w:cs="Times New Roman"/>
          <w:sz w:val="24"/>
          <w:szCs w:val="24"/>
        </w:rPr>
        <w:t>,</w:t>
      </w:r>
      <w:r w:rsidRPr="008D7149">
        <w:rPr>
          <w:rFonts w:ascii="Times New Roman" w:hAnsi="Times New Roman" w:cs="Times New Roman"/>
          <w:sz w:val="24"/>
          <w:szCs w:val="24"/>
        </w:rPr>
        <w:t xml:space="preserve"> oraz spełni</w:t>
      </w:r>
      <w:r w:rsidR="00C3517A" w:rsidRPr="008D7149">
        <w:rPr>
          <w:rFonts w:ascii="Times New Roman" w:hAnsi="Times New Roman" w:cs="Times New Roman"/>
          <w:sz w:val="24"/>
          <w:szCs w:val="24"/>
        </w:rPr>
        <w:t xml:space="preserve">ć </w:t>
      </w:r>
      <w:r w:rsidRPr="008D7149">
        <w:rPr>
          <w:rFonts w:ascii="Times New Roman" w:hAnsi="Times New Roman" w:cs="Times New Roman"/>
          <w:sz w:val="24"/>
          <w:szCs w:val="24"/>
        </w:rPr>
        <w:t>obowiąz</w:t>
      </w:r>
      <w:r w:rsidR="00C3517A" w:rsidRPr="008D7149">
        <w:rPr>
          <w:rFonts w:ascii="Times New Roman" w:hAnsi="Times New Roman" w:cs="Times New Roman"/>
          <w:sz w:val="24"/>
          <w:szCs w:val="24"/>
        </w:rPr>
        <w:t>e</w:t>
      </w:r>
      <w:r w:rsidRPr="008D7149">
        <w:rPr>
          <w:rFonts w:ascii="Times New Roman" w:hAnsi="Times New Roman" w:cs="Times New Roman"/>
          <w:sz w:val="24"/>
          <w:szCs w:val="24"/>
        </w:rPr>
        <w:t xml:space="preserve">k wykupu takiej obligacji w określonym terminie. Oznacza to, że utworzony przez BFG podmiot zarządzający aktywami zaciąga dług u obligatariusza i zobowiązuje się spłacić ten dług (wraz z odsetkami, o ile takie odsetki zostały wskazane w warunkach emisji) w określonym terminie. Zakłada się możliwość emisji przez podmiot zarządzający aktywami obligacji nieoprocentowanych albo oprocentowanych. Dlatego także art. 229d ust. 3 pkt 7 oraz 10 </w:t>
      </w:r>
      <w:r w:rsidR="00827C55"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wskazuje, że obligacje mogą nie być oprocentowane, a przepis ten odnosi się tylko do sytuacji</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gdy takie oprocentowanie istnieje.</w:t>
      </w:r>
    </w:p>
    <w:p w14:paraId="1256358E" w14:textId="0E0EDBD6"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229c ust. 2 pkt 1</w:t>
      </w:r>
      <w:r w:rsidR="00900BBF">
        <w:rPr>
          <w:rFonts w:ascii="Times New Roman" w:hAnsi="Times New Roman" w:cs="Times New Roman"/>
          <w:b/>
          <w:sz w:val="24"/>
          <w:szCs w:val="24"/>
        </w:rPr>
        <w:t>–</w:t>
      </w:r>
      <w:r w:rsidRPr="008D7149">
        <w:rPr>
          <w:rFonts w:ascii="Times New Roman" w:hAnsi="Times New Roman" w:cs="Times New Roman"/>
          <w:b/>
          <w:sz w:val="24"/>
          <w:szCs w:val="24"/>
        </w:rPr>
        <w:t xml:space="preserve">5 </w:t>
      </w:r>
      <w:r w:rsidR="00827C55" w:rsidRPr="0056106A">
        <w:rPr>
          <w:rFonts w:ascii="Times New Roman" w:hAnsi="Times New Roman" w:cs="Times New Roman"/>
          <w:sz w:val="24"/>
          <w:szCs w:val="24"/>
        </w:rPr>
        <w:t>ustaw</w:t>
      </w:r>
      <w:r w:rsidR="00B43D25">
        <w:rPr>
          <w:rFonts w:ascii="Times New Roman" w:hAnsi="Times New Roman" w:cs="Times New Roman"/>
          <w:sz w:val="24"/>
          <w:szCs w:val="24"/>
        </w:rPr>
        <w:t>y</w:t>
      </w:r>
      <w:r w:rsidR="00827C55" w:rsidRPr="0056106A">
        <w:rPr>
          <w:rFonts w:ascii="Times New Roman" w:hAnsi="Times New Roman" w:cs="Times New Roman"/>
          <w:sz w:val="24"/>
          <w:szCs w:val="24"/>
        </w:rPr>
        <w:t xml:space="preserve">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wskazuje, że obligacje wyemitowane przez podmiot zarządzający aktywami mogą być oprocentowane, a takie oprocentowanie określa się w postaci dyskonta lub odsetek</w:t>
      </w:r>
      <w:r w:rsidR="00C3517A"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(inaczej </w:t>
      </w:r>
      <w:r w:rsidR="00C3517A" w:rsidRPr="008D7149">
        <w:rPr>
          <w:rFonts w:ascii="Times New Roman" w:hAnsi="Times New Roman" w:cs="Times New Roman"/>
          <w:sz w:val="24"/>
          <w:szCs w:val="24"/>
        </w:rPr>
        <w:t>„</w:t>
      </w:r>
      <w:r w:rsidRPr="008D7149">
        <w:rPr>
          <w:rFonts w:ascii="Times New Roman" w:hAnsi="Times New Roman" w:cs="Times New Roman"/>
          <w:sz w:val="24"/>
          <w:szCs w:val="24"/>
        </w:rPr>
        <w:t>kupon</w:t>
      </w:r>
      <w:r w:rsidR="00C3517A" w:rsidRPr="008D7149">
        <w:rPr>
          <w:rFonts w:ascii="Times New Roman" w:hAnsi="Times New Roman" w:cs="Times New Roman"/>
          <w:sz w:val="24"/>
          <w:szCs w:val="24"/>
        </w:rPr>
        <w:t xml:space="preserve">”, czyli </w:t>
      </w:r>
      <w:r w:rsidRPr="008D7149">
        <w:rPr>
          <w:rFonts w:ascii="Times New Roman" w:hAnsi="Times New Roman" w:cs="Times New Roman"/>
          <w:sz w:val="24"/>
          <w:szCs w:val="24"/>
        </w:rPr>
        <w:t>stopa procentowa wskazująca, ile odsetek jest wypłac</w:t>
      </w:r>
      <w:r w:rsidR="00C3517A" w:rsidRPr="008D7149">
        <w:rPr>
          <w:rFonts w:ascii="Times New Roman" w:hAnsi="Times New Roman" w:cs="Times New Roman"/>
          <w:sz w:val="24"/>
          <w:szCs w:val="24"/>
        </w:rPr>
        <w:t>anych</w:t>
      </w:r>
      <w:r w:rsidRPr="008D7149">
        <w:rPr>
          <w:rFonts w:ascii="Times New Roman" w:hAnsi="Times New Roman" w:cs="Times New Roman"/>
          <w:sz w:val="24"/>
          <w:szCs w:val="24"/>
        </w:rPr>
        <w:t xml:space="preserve"> obligatariuszowi</w:t>
      </w:r>
      <w:r w:rsidR="00C3517A" w:rsidRPr="008D7149">
        <w:rPr>
          <w:rFonts w:ascii="Times New Roman" w:hAnsi="Times New Roman" w:cs="Times New Roman"/>
          <w:sz w:val="24"/>
          <w:szCs w:val="24"/>
        </w:rPr>
        <w:t>)</w:t>
      </w:r>
      <w:r w:rsidRPr="008D7149">
        <w:rPr>
          <w:rFonts w:ascii="Times New Roman" w:hAnsi="Times New Roman" w:cs="Times New Roman"/>
          <w:sz w:val="24"/>
          <w:szCs w:val="24"/>
        </w:rPr>
        <w:t xml:space="preserve">. Dyskonto natomiast odnosi się </w:t>
      </w:r>
      <w:r w:rsidR="00E452E1">
        <w:rPr>
          <w:rFonts w:ascii="Times New Roman" w:hAnsi="Times New Roman" w:cs="Times New Roman"/>
          <w:sz w:val="24"/>
          <w:szCs w:val="24"/>
        </w:rPr>
        <w:t>d</w:t>
      </w:r>
      <w:r w:rsidRPr="008D7149">
        <w:rPr>
          <w:rFonts w:ascii="Times New Roman" w:hAnsi="Times New Roman" w:cs="Times New Roman"/>
          <w:sz w:val="24"/>
          <w:szCs w:val="24"/>
        </w:rPr>
        <w:t>o tzw. obligacji zerokuponowych</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tj. obligacji, w których nie przewiduje się odsetek. Obligatariusz w terminie wykupu otrzymuje sumę równą wartości nominalnej. Taka obligacja sprzedawana jest poniżej </w:t>
      </w:r>
      <w:r w:rsidRPr="008D7149">
        <w:rPr>
          <w:rFonts w:ascii="Times New Roman" w:hAnsi="Times New Roman" w:cs="Times New Roman"/>
          <w:sz w:val="24"/>
          <w:szCs w:val="24"/>
        </w:rPr>
        <w:lastRenderedPageBreak/>
        <w:t xml:space="preserve">wartości nominalnej. W takiej sytuacji stosowany jest termin: „sprzedaż z dyskontem”. Ponadto podmiot zarządzający aktywami będzie mógł emitować zarówno obligacje imienne </w:t>
      </w:r>
      <w:r w:rsidR="00563413">
        <w:rPr>
          <w:rFonts w:ascii="Times New Roman" w:hAnsi="Times New Roman" w:cs="Times New Roman"/>
          <w:sz w:val="24"/>
          <w:szCs w:val="24"/>
        </w:rPr>
        <w:t>–</w:t>
      </w:r>
      <w:r w:rsidRPr="008D7149">
        <w:rPr>
          <w:rFonts w:ascii="Times New Roman" w:hAnsi="Times New Roman" w:cs="Times New Roman"/>
          <w:sz w:val="24"/>
          <w:szCs w:val="24"/>
        </w:rPr>
        <w:t xml:space="preserve"> mniej uniwersalne, które trafiają do konkretnego inwestora (na obligacji widnieją jego dane personalne), jak i obligacje na okaziciela </w:t>
      </w:r>
      <w:r w:rsidR="00563413">
        <w:rPr>
          <w:rFonts w:ascii="Times New Roman" w:hAnsi="Times New Roman" w:cs="Times New Roman"/>
          <w:sz w:val="24"/>
          <w:szCs w:val="24"/>
        </w:rPr>
        <w:t>–</w:t>
      </w:r>
      <w:r w:rsidRPr="008D7149">
        <w:rPr>
          <w:rFonts w:ascii="Times New Roman" w:hAnsi="Times New Roman" w:cs="Times New Roman"/>
          <w:sz w:val="24"/>
          <w:szCs w:val="24"/>
        </w:rPr>
        <w:t xml:space="preserve"> najmniej sformalizowany rodzaj papierów wartościowych. Obligacje będą mogły być emitowane zarówno na rynku krajowym, jak i rynku zagranicznym, w walucie polskiej lub w walutach innych krajów należących do Organizacji Współpracy Gospodarczej i Rozwoju, </w:t>
      </w:r>
      <w:r w:rsidR="00827C55" w:rsidRPr="008D7149">
        <w:rPr>
          <w:rFonts w:ascii="Times New Roman" w:hAnsi="Times New Roman" w:cs="Times New Roman"/>
          <w:sz w:val="24"/>
          <w:szCs w:val="24"/>
        </w:rPr>
        <w:t xml:space="preserve">co </w:t>
      </w:r>
      <w:r w:rsidRPr="008D7149">
        <w:rPr>
          <w:rFonts w:ascii="Times New Roman" w:hAnsi="Times New Roman" w:cs="Times New Roman"/>
          <w:sz w:val="24"/>
          <w:szCs w:val="24"/>
        </w:rPr>
        <w:t>pozwoli nie zawężać liczby potencjalnych inwest</w:t>
      </w:r>
      <w:r w:rsidR="00563413">
        <w:rPr>
          <w:rFonts w:ascii="Times New Roman" w:hAnsi="Times New Roman" w:cs="Times New Roman"/>
          <w:sz w:val="24"/>
          <w:szCs w:val="24"/>
        </w:rPr>
        <w:t>orów (nabywców tych obligacji).</w:t>
      </w:r>
    </w:p>
    <w:p w14:paraId="10515457" w14:textId="7285530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Dodanie </w:t>
      </w:r>
      <w:r w:rsidRPr="008D7149">
        <w:rPr>
          <w:rFonts w:ascii="Times New Roman" w:hAnsi="Times New Roman" w:cs="Times New Roman"/>
          <w:b/>
          <w:sz w:val="24"/>
          <w:szCs w:val="24"/>
        </w:rPr>
        <w:t xml:space="preserve">art. 229c ust. 3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potwierdza, że obligacje emitowane przez podmiot zarządzający aktywami są</w:t>
      </w:r>
      <w:r w:rsidR="00E452E1">
        <w:rPr>
          <w:rFonts w:ascii="Times New Roman" w:hAnsi="Times New Roman" w:cs="Times New Roman"/>
          <w:sz w:val="24"/>
          <w:szCs w:val="24"/>
        </w:rPr>
        <w:t>,</w:t>
      </w:r>
      <w:r w:rsidRPr="008D7149">
        <w:rPr>
          <w:rFonts w:ascii="Times New Roman" w:hAnsi="Times New Roman" w:cs="Times New Roman"/>
          <w:sz w:val="24"/>
          <w:szCs w:val="24"/>
        </w:rPr>
        <w:t xml:space="preserve"> co do zasady</w:t>
      </w:r>
      <w:r w:rsidR="00E452E1">
        <w:rPr>
          <w:rFonts w:ascii="Times New Roman" w:hAnsi="Times New Roman" w:cs="Times New Roman"/>
          <w:sz w:val="24"/>
          <w:szCs w:val="24"/>
        </w:rPr>
        <w:t>,</w:t>
      </w:r>
      <w:r w:rsidRPr="008D7149">
        <w:rPr>
          <w:rFonts w:ascii="Times New Roman" w:hAnsi="Times New Roman" w:cs="Times New Roman"/>
          <w:sz w:val="24"/>
          <w:szCs w:val="24"/>
        </w:rPr>
        <w:t xml:space="preserve"> emitowane w formie zdematerializowanej na zasadach określonych w ust. 2 pkt 3</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tj. w depozycie papierów wartościowych</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lub rejestrowane przez zagraniczne podmioty prowadzące system rejestracji papierów wartościowych, w szczególności centralne depozyty papierów wartościowych, jednak w przypadku obligacji imiennych – mogą być emitowane również w formie dokumentu, jeżeli jest to dopuszczalne na danym rynku.</w:t>
      </w:r>
    </w:p>
    <w:p w14:paraId="1B1D5996" w14:textId="6DB93A2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229c ust. 4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ma na celu uregulowanie kwestii dot</w:t>
      </w:r>
      <w:r w:rsidR="00827C55" w:rsidRPr="008D7149">
        <w:rPr>
          <w:rFonts w:ascii="Times New Roman" w:hAnsi="Times New Roman" w:cs="Times New Roman"/>
          <w:sz w:val="24"/>
          <w:szCs w:val="24"/>
        </w:rPr>
        <w:t>yczących</w:t>
      </w:r>
      <w:r w:rsidRPr="008D7149">
        <w:rPr>
          <w:rFonts w:ascii="Times New Roman" w:hAnsi="Times New Roman" w:cs="Times New Roman"/>
          <w:sz w:val="24"/>
          <w:szCs w:val="24"/>
        </w:rPr>
        <w:t xml:space="preserve"> obrotu obligacjami, które zostaną wyemitowane przez podmiot zarządzający aktywami. Wskazuje się, że</w:t>
      </w:r>
      <w:r w:rsidR="00E452E1">
        <w:rPr>
          <w:rFonts w:ascii="Times New Roman" w:hAnsi="Times New Roman" w:cs="Times New Roman"/>
          <w:sz w:val="24"/>
          <w:szCs w:val="24"/>
        </w:rPr>
        <w:t>,</w:t>
      </w:r>
      <w:r w:rsidRPr="008D7149">
        <w:rPr>
          <w:rFonts w:ascii="Times New Roman" w:hAnsi="Times New Roman" w:cs="Times New Roman"/>
          <w:sz w:val="24"/>
          <w:szCs w:val="24"/>
        </w:rPr>
        <w:t xml:space="preserve"> co do zasady</w:t>
      </w:r>
      <w:r w:rsidR="00E452E1">
        <w:rPr>
          <w:rFonts w:ascii="Times New Roman" w:hAnsi="Times New Roman" w:cs="Times New Roman"/>
          <w:sz w:val="24"/>
          <w:szCs w:val="24"/>
        </w:rPr>
        <w:t>,</w:t>
      </w:r>
      <w:r w:rsidRPr="008D7149">
        <w:rPr>
          <w:rFonts w:ascii="Times New Roman" w:hAnsi="Times New Roman" w:cs="Times New Roman"/>
          <w:sz w:val="24"/>
          <w:szCs w:val="24"/>
        </w:rPr>
        <w:t xml:space="preserve"> obligacje emitowane na rynku krajowym są dopuszczone do obrotu na rynku regulowanym, jednak w tym przypadku istnieje ograniczenie wskazujące, że podmiot zarządzający aktywami może w warunkach emisji z uwagi na np. identyfikację pewnych </w:t>
      </w:r>
      <w:proofErr w:type="spellStart"/>
      <w:r w:rsidRPr="008D7149">
        <w:rPr>
          <w:rFonts w:ascii="Times New Roman" w:hAnsi="Times New Roman" w:cs="Times New Roman"/>
          <w:sz w:val="24"/>
          <w:szCs w:val="24"/>
        </w:rPr>
        <w:t>ryzyk</w:t>
      </w:r>
      <w:proofErr w:type="spellEnd"/>
      <w:r w:rsidRPr="008D7149">
        <w:rPr>
          <w:rFonts w:ascii="Times New Roman" w:hAnsi="Times New Roman" w:cs="Times New Roman"/>
          <w:sz w:val="24"/>
          <w:szCs w:val="24"/>
        </w:rPr>
        <w:t>, charakter, czy cel danej emisji postanowić, że te obligacje nie będą dopuszczone do obrotu.</w:t>
      </w:r>
    </w:p>
    <w:p w14:paraId="50028A03" w14:textId="6B145A23"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229c ust. 5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potwierdza, że do powstawania oraz przenoszenia praw z obligacji emitowanych w formie zdematerializowanej przez podmiot zarządzający aktywami stosuje się przepisy ustawy o obrocie instrumentami finansowymi. Wyjątkiem są tutaj obligacje emitowan</w:t>
      </w:r>
      <w:r w:rsidR="00E452E1">
        <w:rPr>
          <w:rFonts w:ascii="Times New Roman" w:hAnsi="Times New Roman" w:cs="Times New Roman"/>
          <w:sz w:val="24"/>
          <w:szCs w:val="24"/>
        </w:rPr>
        <w:t>e</w:t>
      </w:r>
      <w:r w:rsidRPr="008D7149">
        <w:rPr>
          <w:rFonts w:ascii="Times New Roman" w:hAnsi="Times New Roman" w:cs="Times New Roman"/>
          <w:sz w:val="24"/>
          <w:szCs w:val="24"/>
        </w:rPr>
        <w:t xml:space="preserve"> na rynkach zagranicznych, do których stosuje się prawo właściwe dla emisji tych obligacji. </w:t>
      </w:r>
    </w:p>
    <w:p w14:paraId="0C75699D" w14:textId="50D82861"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229d</w:t>
      </w:r>
      <w:r w:rsidRPr="008D7149">
        <w:rPr>
          <w:rFonts w:ascii="Times New Roman" w:hAnsi="Times New Roman" w:cs="Times New Roman"/>
          <w:sz w:val="24"/>
          <w:szCs w:val="24"/>
        </w:rPr>
        <w:t xml:space="preserve">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ma na celu uregulowanie warunków emisji obligacji przez podmiot zarządzający aktywami. Warunki emisji</w:t>
      </w:r>
      <w:r w:rsidR="00EC454E">
        <w:rPr>
          <w:rFonts w:ascii="Times New Roman" w:hAnsi="Times New Roman" w:cs="Times New Roman"/>
          <w:sz w:val="24"/>
          <w:szCs w:val="24"/>
        </w:rPr>
        <w:t>,</w:t>
      </w:r>
      <w:r w:rsidRPr="008D7149">
        <w:rPr>
          <w:rFonts w:ascii="Times New Roman" w:hAnsi="Times New Roman" w:cs="Times New Roman"/>
          <w:sz w:val="24"/>
          <w:szCs w:val="24"/>
        </w:rPr>
        <w:t xml:space="preserve"> co do zasady</w:t>
      </w:r>
      <w:r w:rsidR="00EC454E">
        <w:rPr>
          <w:rFonts w:ascii="Times New Roman" w:hAnsi="Times New Roman" w:cs="Times New Roman"/>
          <w:sz w:val="24"/>
          <w:szCs w:val="24"/>
        </w:rPr>
        <w:t>,</w:t>
      </w:r>
      <w:r w:rsidRPr="008D7149">
        <w:rPr>
          <w:rFonts w:ascii="Times New Roman" w:hAnsi="Times New Roman" w:cs="Times New Roman"/>
          <w:sz w:val="24"/>
          <w:szCs w:val="24"/>
        </w:rPr>
        <w:t xml:space="preserve"> określają świadczenia wynikające z obligacji, sposób ich realizacji oraz związane z nimi prawa i obowiązki emitenta oraz obligatariuszy. Tym samym określone w art. 229d ust. 2 </w:t>
      </w:r>
      <w:r w:rsidR="00827C55"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 xml:space="preserve">warunki emisji będą bezpośrednio wpływać na treść umownego stosunku prawnego wynikającego z umowy emisyjnej, z której wynika zobowiązanie emitenta (podmiotu zarządzającego aktywami) do wydania obligacji na rzecz inwestora (obligatariusza) oraz zobowiązanie inwestora do zapłaty </w:t>
      </w:r>
      <w:r w:rsidRPr="008D7149">
        <w:rPr>
          <w:rFonts w:ascii="Times New Roman" w:hAnsi="Times New Roman" w:cs="Times New Roman"/>
          <w:sz w:val="24"/>
          <w:szCs w:val="24"/>
        </w:rPr>
        <w:lastRenderedPageBreak/>
        <w:t>ceny emisyjnej, a także na treść samego wystawianego dokumentu obligacji</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tj. m.in. waluty, w której następuje emisja obligacji</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wysokości oprocentowania lub sposobu jego obliczania, w przypadku gdy przewidywane jest oprocentowanie obligacji</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określenia sposobu i terminów wypłaty należności głównej oraz należności ubocznych</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terminu i warunków wykupu oraz zastrzeżenia w przedmiocie możliwości wcześniejszego wykupu</w:t>
      </w:r>
      <w:r w:rsidR="00827C55" w:rsidRPr="008D7149">
        <w:rPr>
          <w:rFonts w:ascii="Times New Roman" w:hAnsi="Times New Roman" w:cs="Times New Roman"/>
          <w:sz w:val="24"/>
          <w:szCs w:val="24"/>
        </w:rPr>
        <w:t>,</w:t>
      </w:r>
      <w:r w:rsidRPr="008D7149">
        <w:rPr>
          <w:rFonts w:ascii="Times New Roman" w:hAnsi="Times New Roman" w:cs="Times New Roman"/>
          <w:sz w:val="24"/>
          <w:szCs w:val="24"/>
        </w:rPr>
        <w:t xml:space="preserve"> czy informacji o zabezpieczeniu obligacji lub braku takiego zabezpieczenia. Zaprezentowany katalog ma charakter otwarty i określa wyłącznie niezbędne informacje i postanowienia, które powinny się znaleźć w warunkach emisji. W pozostałym i szczegółowym zakresie inne postanowienia będą wynikać już z danego stanu faktycznego związanego z emisją oraz postanowień między stronami na zasadzie swobody kontraktu.</w:t>
      </w:r>
    </w:p>
    <w:p w14:paraId="0F615B51" w14:textId="06D2CFC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229e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określa podstawowy model sprzedaży obligacji przez podmiot zarządzający aktywami, który będzie opierać się na ofercie publicznej, o której mowa w art. 2 lit. d rozporządzenia Parlamentu Europejskiego i Rady (UE) 2017/1129 z dnia 14 czerwca 2017 r. w sprawie prospektu, który ma być publikowany w związku z ofertą publiczną papierów wartościowych lub dopuszczeniem ich do obrotu na rynku regulowanym oraz uchylenia dyrektywy 2003/71/WE (Dz. Urz. UE L 168 z 30.06.2017, str. 1). Zgodnie z ww</w:t>
      </w:r>
      <w:r w:rsidR="00AA5380">
        <w:rPr>
          <w:rFonts w:ascii="Times New Roman" w:hAnsi="Times New Roman" w:cs="Times New Roman"/>
          <w:sz w:val="24"/>
          <w:szCs w:val="24"/>
        </w:rPr>
        <w:t>.</w:t>
      </w:r>
      <w:r w:rsidRPr="008D7149">
        <w:rPr>
          <w:rFonts w:ascii="Times New Roman" w:hAnsi="Times New Roman" w:cs="Times New Roman"/>
          <w:sz w:val="24"/>
          <w:szCs w:val="24"/>
        </w:rPr>
        <w:t xml:space="preserve"> przepisem rozporządzenia ofertą publiczną jest </w:t>
      </w:r>
      <w:r w:rsidRPr="008D7149">
        <w:rPr>
          <w:rFonts w:ascii="Times New Roman" w:hAnsi="Times New Roman" w:cs="Times New Roman"/>
          <w:color w:val="000000"/>
          <w:sz w:val="24"/>
          <w:szCs w:val="24"/>
        </w:rPr>
        <w:t xml:space="preserve">komunikat skierowany do odbiorców w dowolnej formie i za pomocą dowolnych środków, przedstawiający wystarczające informacje na temat warunków oferty i oferowanych papierów wartościowych, w celu umożliwienia inwestorowi podjęcia decyzji o nabyciu lub subskrypcji tych papierów wartościowych. </w:t>
      </w:r>
      <w:r w:rsidRPr="008D7149">
        <w:rPr>
          <w:rFonts w:ascii="Times New Roman" w:hAnsi="Times New Roman" w:cs="Times New Roman"/>
          <w:sz w:val="24"/>
          <w:szCs w:val="24"/>
        </w:rPr>
        <w:t>W jej realizacji mają zastosowanie przepisy o ofercie publicznej i warunkach wprowadzania instrumentów finansowych do zorganizowanego systemu obrotu oraz o spółkach publicznych, jednakże ze względu na skierowanie emisji wyłącznie do klienta profesjonalnego, nie będą miały zastosowania przepisy o konieczności publikacji prospektu zgodnie z art. 1 ust. 5 w/w rozporządzenia i związane z tym rozporządzeniem przepisy ustawy o ofercie publicznej.</w:t>
      </w:r>
    </w:p>
    <w:p w14:paraId="24F8FD82" w14:textId="6D0B695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 uwagi na efektywność, ograniczenia czasowe i wagę działań związanych z przymusową restrukturyzacją, podmiot zarządzający aktywami będzie miał także możliwość proponowania nabycia obligacji w inny sposób niż </w:t>
      </w:r>
      <w:r w:rsidR="00827C55" w:rsidRPr="008D7149">
        <w:rPr>
          <w:rFonts w:ascii="Times New Roman" w:hAnsi="Times New Roman" w:cs="Times New Roman"/>
          <w:sz w:val="24"/>
          <w:szCs w:val="24"/>
        </w:rPr>
        <w:t xml:space="preserve">w trybie </w:t>
      </w:r>
      <w:r w:rsidRPr="008D7149">
        <w:rPr>
          <w:rFonts w:ascii="Times New Roman" w:hAnsi="Times New Roman" w:cs="Times New Roman"/>
          <w:sz w:val="24"/>
          <w:szCs w:val="24"/>
        </w:rPr>
        <w:t>oferty publicznej.</w:t>
      </w:r>
    </w:p>
    <w:p w14:paraId="7F2217D9" w14:textId="15961951"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229f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ma na celu uregulowanie zagadnień związanych z wykupem obligacji. Wskazuje się, że z chwilą wykupu obligacje podlegają umorzeniu, co jest zgodne z założeniem dot</w:t>
      </w:r>
      <w:r w:rsidR="00827C55" w:rsidRPr="008D7149">
        <w:rPr>
          <w:rFonts w:ascii="Times New Roman" w:hAnsi="Times New Roman" w:cs="Times New Roman"/>
          <w:sz w:val="24"/>
          <w:szCs w:val="24"/>
        </w:rPr>
        <w:t>yczącym</w:t>
      </w:r>
      <w:r w:rsidRPr="008D7149">
        <w:rPr>
          <w:rFonts w:ascii="Times New Roman" w:hAnsi="Times New Roman" w:cs="Times New Roman"/>
          <w:sz w:val="24"/>
          <w:szCs w:val="24"/>
        </w:rPr>
        <w:t xml:space="preserve"> celu ich emisji, mianowicie związanej z przeprowadzeniem procesu przymusowej restrukturyzacji i pozyskaniem krótkookresowego finansowania przez podmiot zarządzający aktywami </w:t>
      </w:r>
      <w:r w:rsidR="00827C55" w:rsidRPr="008D7149">
        <w:rPr>
          <w:rFonts w:ascii="Times New Roman" w:hAnsi="Times New Roman" w:cs="Times New Roman"/>
          <w:sz w:val="24"/>
          <w:szCs w:val="24"/>
        </w:rPr>
        <w:t xml:space="preserve">w celu </w:t>
      </w:r>
      <w:r w:rsidRPr="008D7149">
        <w:rPr>
          <w:rFonts w:ascii="Times New Roman" w:hAnsi="Times New Roman" w:cs="Times New Roman"/>
          <w:sz w:val="24"/>
          <w:szCs w:val="24"/>
        </w:rPr>
        <w:t xml:space="preserve">nabycia wydzielonych przez BFG praw majątkowych. Tożsame </w:t>
      </w:r>
      <w:r w:rsidRPr="008D7149">
        <w:rPr>
          <w:rFonts w:ascii="Times New Roman" w:hAnsi="Times New Roman" w:cs="Times New Roman"/>
          <w:i/>
          <w:sz w:val="24"/>
          <w:szCs w:val="24"/>
        </w:rPr>
        <w:lastRenderedPageBreak/>
        <w:t>ratio legis</w:t>
      </w:r>
      <w:r w:rsidRPr="008D7149">
        <w:rPr>
          <w:rFonts w:ascii="Times New Roman" w:hAnsi="Times New Roman" w:cs="Times New Roman"/>
          <w:sz w:val="24"/>
          <w:szCs w:val="24"/>
        </w:rPr>
        <w:t xml:space="preserve"> stoi za art. 229f ust. 2</w:t>
      </w:r>
      <w:r w:rsidR="00827C55"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tj. podkreślenie, że podmiot zarządzający aktywami może nabywać własne obligacje jedynie w celu ich umorzenia.</w:t>
      </w:r>
    </w:p>
    <w:p w14:paraId="59F9E5CD" w14:textId="3A55F545"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229g </w:t>
      </w:r>
      <w:r w:rsidR="00827C55" w:rsidRPr="001A685B">
        <w:rPr>
          <w:rFonts w:ascii="Times New Roman" w:hAnsi="Times New Roman" w:cs="Times New Roman"/>
          <w:sz w:val="24"/>
          <w:szCs w:val="24"/>
        </w:rPr>
        <w:t>ustawy o BFG</w:t>
      </w:r>
      <w:r w:rsidR="00827C5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ma charakter techniczny i odnosi się do kwestii właściwego liczenia terminów </w:t>
      </w:r>
      <w:r w:rsidR="00827C55" w:rsidRPr="008D7149">
        <w:rPr>
          <w:rFonts w:ascii="Times New Roman" w:hAnsi="Times New Roman" w:cs="Times New Roman"/>
          <w:sz w:val="24"/>
          <w:szCs w:val="24"/>
        </w:rPr>
        <w:t xml:space="preserve">w celu </w:t>
      </w:r>
      <w:r w:rsidRPr="008D7149">
        <w:rPr>
          <w:rFonts w:ascii="Times New Roman" w:hAnsi="Times New Roman" w:cs="Times New Roman"/>
          <w:sz w:val="24"/>
          <w:szCs w:val="24"/>
        </w:rPr>
        <w:t xml:space="preserve">uniknięcia wątpliwości interpretacyjnych na etapie stosowania przepisów. </w:t>
      </w:r>
    </w:p>
    <w:p w14:paraId="62F1E0FB" w14:textId="58A631C6"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Proponowana zmiana </w:t>
      </w:r>
      <w:r w:rsidRPr="008D7149">
        <w:rPr>
          <w:rFonts w:ascii="Times New Roman" w:hAnsi="Times New Roman" w:cs="Times New Roman"/>
          <w:b/>
          <w:sz w:val="24"/>
          <w:szCs w:val="24"/>
        </w:rPr>
        <w:t>art. 234 ust. 1</w:t>
      </w:r>
      <w:r w:rsidRPr="008D7149">
        <w:rPr>
          <w:rFonts w:ascii="Times New Roman" w:hAnsi="Times New Roman" w:cs="Times New Roman"/>
          <w:sz w:val="24"/>
          <w:szCs w:val="24"/>
        </w:rPr>
        <w:t xml:space="preserve"> ustawy </w:t>
      </w:r>
      <w:r w:rsidR="00827C55" w:rsidRPr="008D7149">
        <w:rPr>
          <w:rFonts w:ascii="Times New Roman" w:hAnsi="Times New Roman" w:cs="Times New Roman"/>
          <w:sz w:val="24"/>
          <w:szCs w:val="24"/>
        </w:rPr>
        <w:t xml:space="preserve">o BFG </w:t>
      </w:r>
      <w:r w:rsidRPr="008D7149">
        <w:rPr>
          <w:rFonts w:ascii="Times New Roman" w:hAnsi="Times New Roman" w:cs="Times New Roman"/>
          <w:sz w:val="24"/>
          <w:szCs w:val="24"/>
        </w:rPr>
        <w:t>ma na celu wyłączenie z zakresu tej regulacji wynagrodzenia przekazywanego przez podmiot zarządzający aktywami w związku z przeniesieniem praw majątkowych lub zobowiązań do tego podmiotu i związan</w:t>
      </w:r>
      <w:r w:rsidR="0058008E">
        <w:rPr>
          <w:rFonts w:ascii="Times New Roman" w:hAnsi="Times New Roman" w:cs="Times New Roman"/>
          <w:sz w:val="24"/>
          <w:szCs w:val="24"/>
        </w:rPr>
        <w:t>a</w:t>
      </w:r>
      <w:r w:rsidRPr="008D7149">
        <w:rPr>
          <w:rFonts w:ascii="Times New Roman" w:hAnsi="Times New Roman" w:cs="Times New Roman"/>
          <w:sz w:val="24"/>
          <w:szCs w:val="24"/>
        </w:rPr>
        <w:t xml:space="preserve"> jest z odrębnym uregulowaniem zasad przekazywania tych środków nowym ust. 1a w tym artykule. </w:t>
      </w:r>
    </w:p>
    <w:p w14:paraId="7450F285" w14:textId="0EAF1E6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Dodawany </w:t>
      </w:r>
      <w:r w:rsidRPr="008D7149">
        <w:rPr>
          <w:rFonts w:ascii="Times New Roman" w:hAnsi="Times New Roman" w:cs="Times New Roman"/>
          <w:b/>
          <w:sz w:val="24"/>
          <w:szCs w:val="24"/>
        </w:rPr>
        <w:t>art. 234a</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ust. 1</w:t>
      </w:r>
      <w:r w:rsidRPr="008D7149">
        <w:rPr>
          <w:rFonts w:ascii="Times New Roman" w:hAnsi="Times New Roman" w:cs="Times New Roman"/>
          <w:sz w:val="24"/>
          <w:szCs w:val="24"/>
        </w:rPr>
        <w:t xml:space="preserve"> </w:t>
      </w:r>
      <w:r w:rsidR="00827C55"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wprowadza zasadę przekazywania przez podmiot zarządzający aktywami środków z tytułu wynagrodzenia do podmiotów wskazanych w art. 226 ust. 1</w:t>
      </w:r>
      <w:r w:rsidR="00827C55"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za pośrednictwem BFG, pod warunkiem, że taki sposób zapłaty wynagrodzenia zostanie wskazany w decyzji BFG o zastosowaniu instrumentu przeniesienia praw majątkowych lub zobowiązań do podmiotu zarządzającego aktywami.</w:t>
      </w:r>
    </w:p>
    <w:p w14:paraId="6074C363" w14:textId="6F2F0493"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 </w:t>
      </w:r>
      <w:r w:rsidRPr="008D7149">
        <w:rPr>
          <w:rFonts w:ascii="Times New Roman" w:hAnsi="Times New Roman" w:cs="Times New Roman"/>
          <w:b/>
          <w:sz w:val="24"/>
          <w:szCs w:val="24"/>
        </w:rPr>
        <w:t>art. 234a</w:t>
      </w:r>
      <w:r w:rsidRPr="008D7149">
        <w:rPr>
          <w:rFonts w:ascii="Times New Roman" w:hAnsi="Times New Roman" w:cs="Times New Roman"/>
          <w:sz w:val="24"/>
          <w:szCs w:val="24"/>
        </w:rPr>
        <w:t xml:space="preserve"> </w:t>
      </w:r>
      <w:r w:rsidRPr="008D7149">
        <w:rPr>
          <w:rFonts w:ascii="Times New Roman" w:hAnsi="Times New Roman" w:cs="Times New Roman"/>
          <w:b/>
          <w:sz w:val="24"/>
          <w:szCs w:val="24"/>
        </w:rPr>
        <w:t xml:space="preserve">ust. 2 </w:t>
      </w:r>
      <w:r w:rsidR="00BF5272" w:rsidRPr="001A685B">
        <w:rPr>
          <w:rFonts w:ascii="Times New Roman" w:hAnsi="Times New Roman" w:cs="Times New Roman"/>
          <w:sz w:val="24"/>
          <w:szCs w:val="24"/>
        </w:rPr>
        <w:t>ustawy o BFG</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umożliwia BFG potrącenie kosztów przymusowej restrukturyzacji z wynagrodzenia, które podmiot zarządzający aktywami przekazuje, za pośrednictwem BFG, do podmiotów wskazanych w art. 226 ust. 3</w:t>
      </w:r>
      <w:r w:rsidR="00827C55" w:rsidRPr="008D7149">
        <w:rPr>
          <w:rFonts w:ascii="Times New Roman" w:hAnsi="Times New Roman" w:cs="Times New Roman"/>
          <w:sz w:val="24"/>
          <w:szCs w:val="24"/>
        </w:rPr>
        <w:t xml:space="preserve"> tej ustawy</w:t>
      </w:r>
      <w:r w:rsidRPr="008D7149">
        <w:rPr>
          <w:rFonts w:ascii="Times New Roman" w:hAnsi="Times New Roman" w:cs="Times New Roman"/>
          <w:sz w:val="24"/>
          <w:szCs w:val="24"/>
        </w:rPr>
        <w:t xml:space="preserve">. </w:t>
      </w:r>
    </w:p>
    <w:p w14:paraId="7A789C88" w14:textId="7512159F" w:rsidR="00695EEB" w:rsidRPr="008D7149" w:rsidRDefault="00695EEB" w:rsidP="008D7149">
      <w:pPr>
        <w:pStyle w:val="Akapitzlist"/>
        <w:autoSpaceDE w:val="0"/>
        <w:autoSpaceDN w:val="0"/>
        <w:adjustRightInd w:val="0"/>
        <w:spacing w:before="120" w:after="0" w:line="360" w:lineRule="auto"/>
        <w:ind w:left="0"/>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Zmiana w </w:t>
      </w:r>
      <w:r w:rsidRPr="008D7149">
        <w:rPr>
          <w:rFonts w:ascii="Times New Roman" w:eastAsia="Calibri" w:hAnsi="Times New Roman" w:cs="Times New Roman"/>
          <w:b/>
          <w:sz w:val="24"/>
          <w:szCs w:val="24"/>
        </w:rPr>
        <w:t xml:space="preserve">art. 235 </w:t>
      </w:r>
      <w:r w:rsidRPr="008D7149">
        <w:rPr>
          <w:rFonts w:ascii="Times New Roman" w:eastAsia="Calibri" w:hAnsi="Times New Roman" w:cs="Times New Roman"/>
          <w:sz w:val="24"/>
          <w:szCs w:val="24"/>
        </w:rPr>
        <w:t>ustawy o BFG</w:t>
      </w:r>
      <w:r w:rsidRPr="008D7149">
        <w:rPr>
          <w:rFonts w:ascii="Times New Roman" w:eastAsia="Calibri" w:hAnsi="Times New Roman" w:cs="Times New Roman"/>
          <w:b/>
          <w:sz w:val="24"/>
          <w:szCs w:val="24"/>
        </w:rPr>
        <w:t xml:space="preserve"> </w:t>
      </w:r>
      <w:r w:rsidRPr="008D7149">
        <w:rPr>
          <w:rFonts w:ascii="Times New Roman" w:eastAsia="Calibri" w:hAnsi="Times New Roman" w:cs="Times New Roman"/>
          <w:sz w:val="24"/>
          <w:szCs w:val="24"/>
        </w:rPr>
        <w:t xml:space="preserve">ma charakter wynikowy i wynika z konieczności dostosowania przepisu określającego kategorie kwalifikowane jako koszt przymusowej restrukturyzacji do nowego brzmienia przepisów – głównie art. 188 i </w:t>
      </w:r>
      <w:r w:rsidR="0058008E">
        <w:rPr>
          <w:rFonts w:ascii="Times New Roman" w:eastAsia="Calibri" w:hAnsi="Times New Roman" w:cs="Times New Roman"/>
          <w:sz w:val="24"/>
          <w:szCs w:val="24"/>
        </w:rPr>
        <w:t xml:space="preserve">art. </w:t>
      </w:r>
      <w:r w:rsidRPr="008D7149">
        <w:rPr>
          <w:rFonts w:ascii="Times New Roman" w:eastAsia="Calibri" w:hAnsi="Times New Roman" w:cs="Times New Roman"/>
          <w:sz w:val="24"/>
          <w:szCs w:val="24"/>
        </w:rPr>
        <w:t xml:space="preserve">202 ustawy o BFG. </w:t>
      </w:r>
    </w:p>
    <w:p w14:paraId="7F726EE8" w14:textId="5D26474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Nowelizacja </w:t>
      </w:r>
      <w:r w:rsidRPr="008D7149">
        <w:rPr>
          <w:rFonts w:ascii="Times New Roman" w:hAnsi="Times New Roman" w:cs="Times New Roman"/>
          <w:b/>
          <w:sz w:val="24"/>
          <w:szCs w:val="24"/>
        </w:rPr>
        <w:t>art. 237</w:t>
      </w:r>
      <w:r w:rsidRPr="008D7149">
        <w:rPr>
          <w:rFonts w:ascii="Times New Roman" w:hAnsi="Times New Roman" w:cs="Times New Roman"/>
          <w:sz w:val="24"/>
          <w:szCs w:val="24"/>
        </w:rPr>
        <w:t xml:space="preserve"> </w:t>
      </w:r>
      <w:r w:rsidR="00827C55"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rozszerza zakres kosztów przymusowej restrukturyzacji o koszty związane z utworzeniem podmiotu zarządzającego aktywami, wydatki na objęcie praw udziałowych tego podmiotu a także koszty jego działalności, które nie mogą być pokryte z jego przychodów. Takie rozwiązanie umożliwi z kolei pokrycie tych kosztów w ramach procesu przymusowej restrukturyzacji z wynagrodzenia za przekazywane aktywa lub ze środków funduszu przymusowej restrukturyzacji albo w ramach postępowania upadłościowego z masy upadłości.</w:t>
      </w:r>
    </w:p>
    <w:p w14:paraId="7C4CACE0" w14:textId="77777777" w:rsidR="00F22DF0"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Zmiana</w:t>
      </w:r>
      <w:r w:rsidRPr="008D7149">
        <w:rPr>
          <w:rFonts w:ascii="Times New Roman" w:hAnsi="Times New Roman" w:cs="Times New Roman"/>
          <w:b/>
          <w:sz w:val="24"/>
          <w:szCs w:val="24"/>
        </w:rPr>
        <w:t xml:space="preserve"> art. 270 ust. 2 </w:t>
      </w:r>
      <w:r w:rsidRPr="008D7149">
        <w:rPr>
          <w:rFonts w:ascii="Times New Roman" w:hAnsi="Times New Roman" w:cs="Times New Roman"/>
          <w:sz w:val="24"/>
          <w:szCs w:val="24"/>
        </w:rPr>
        <w:t xml:space="preserve">jednoznacznie potwierdza, że BFG ma uprawnienie do emitowania obligacji, których emisja odbywa się w trybie i na zasadach określonych w dodawanym rozdziale 7 w dziale V ustawy o BFG albo na podstawie odrębnych ustaw, w tym przypadku ustawy </w:t>
      </w:r>
      <w:r w:rsidR="00F22DF0"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 xml:space="preserve">obligacjach – emisja standardowa. </w:t>
      </w:r>
    </w:p>
    <w:p w14:paraId="0B2566AD" w14:textId="77777777" w:rsidR="00F22DF0" w:rsidRPr="008D7149" w:rsidRDefault="00F22DF0" w:rsidP="008D7149">
      <w:pPr>
        <w:pStyle w:val="LITlitera"/>
        <w:spacing w:before="120"/>
        <w:ind w:left="0" w:firstLine="0"/>
        <w:rPr>
          <w:rFonts w:ascii="Times New Roman" w:hAnsi="Times New Roman" w:cs="Times New Roman"/>
          <w:szCs w:val="24"/>
        </w:rPr>
      </w:pPr>
      <w:r w:rsidRPr="008D7149">
        <w:rPr>
          <w:rFonts w:ascii="Times New Roman" w:hAnsi="Times New Roman" w:cs="Times New Roman"/>
          <w:szCs w:val="24"/>
        </w:rPr>
        <w:lastRenderedPageBreak/>
        <w:t xml:space="preserve">Zgodnie z projektowanym </w:t>
      </w:r>
      <w:r w:rsidRPr="008D7149">
        <w:rPr>
          <w:rFonts w:ascii="Times New Roman" w:hAnsi="Times New Roman" w:cs="Times New Roman"/>
          <w:b/>
          <w:szCs w:val="24"/>
        </w:rPr>
        <w:t>art. 272 ust. 3</w:t>
      </w:r>
      <w:r w:rsidRPr="008D7149">
        <w:rPr>
          <w:rFonts w:ascii="Times New Roman" w:hAnsi="Times New Roman" w:cs="Times New Roman"/>
          <w:szCs w:val="24"/>
        </w:rPr>
        <w:t xml:space="preserve"> ustawy o BFG, środki funduszu gwarancyjnego banków i funduszu gwarancyjnego kas przeznacza się na finansowanie przymusowej restrukturyzacji w zakresie, w jakim służą one zapewnieniu dostępu deponentów do środków gwarantowanych w przymusowej restrukturyzacji, w szczególności w przypadkach, o których mowa w art. 179, art. 188 ust. 5 i 5a oraz art. 202 ust. 4 i 5 ustawy o BFG.</w:t>
      </w:r>
    </w:p>
    <w:p w14:paraId="6415A86D" w14:textId="2491196B"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Przewiduje się jednocześnie </w:t>
      </w:r>
      <w:r w:rsidRPr="008D7149">
        <w:rPr>
          <w:rFonts w:ascii="Times New Roman" w:eastAsia="Calibri" w:hAnsi="Times New Roman" w:cs="Times New Roman"/>
          <w:b/>
          <w:sz w:val="24"/>
          <w:szCs w:val="24"/>
        </w:rPr>
        <w:t>uchylenie ust. 4 i 5 w art. 272</w:t>
      </w:r>
      <w:r w:rsidRPr="008D7149">
        <w:rPr>
          <w:rFonts w:ascii="Times New Roman" w:eastAsia="Calibri" w:hAnsi="Times New Roman" w:cs="Times New Roman"/>
          <w:sz w:val="24"/>
          <w:szCs w:val="24"/>
        </w:rPr>
        <w:t xml:space="preserve"> </w:t>
      </w:r>
      <w:r w:rsidRPr="001A685B">
        <w:rPr>
          <w:rFonts w:ascii="Times New Roman" w:eastAsia="Calibri" w:hAnsi="Times New Roman" w:cs="Times New Roman"/>
          <w:sz w:val="24"/>
          <w:szCs w:val="24"/>
        </w:rPr>
        <w:t>ustawy o BFG</w:t>
      </w:r>
      <w:r w:rsidRPr="008D7149">
        <w:rPr>
          <w:rFonts w:ascii="Times New Roman" w:eastAsia="Calibri" w:hAnsi="Times New Roman" w:cs="Times New Roman"/>
          <w:sz w:val="24"/>
          <w:szCs w:val="24"/>
        </w:rPr>
        <w:t xml:space="preserve"> odnoszących się również do kwestii wsparcia z funduszu gwarancyjnego banków lub funduszu gwarancyjnego kas udzielnego w ramach przymusowej restrukturyzacji. Z jednej strony przepisy te stawały się wtórne wobec projektowanego brzmienia art. 179, art. 188 ust. 5 i 5a oraz art. 202 ust. 4 ustawy o BFG, a tym samym ich pozostawienie mogłoby budzić wątpliwości interpretacyjne. Jednocześnie uchylenie tych przepisów nie będzie stwarzało ryzyka błędnej lub niepełnej implementacji dyrektywy BRRD.</w:t>
      </w:r>
    </w:p>
    <w:p w14:paraId="2DEB45AD" w14:textId="77777777" w:rsidR="00695EEB" w:rsidRPr="008D7149" w:rsidRDefault="00695EEB" w:rsidP="008D7149">
      <w:pPr>
        <w:spacing w:before="120" w:after="0" w:line="360" w:lineRule="auto"/>
        <w:jc w:val="both"/>
        <w:rPr>
          <w:rFonts w:ascii="Times New Roman" w:eastAsia="Calibri" w:hAnsi="Times New Roman" w:cs="Times New Roman"/>
          <w:sz w:val="24"/>
          <w:szCs w:val="24"/>
        </w:rPr>
      </w:pPr>
      <w:r w:rsidRPr="008D7149">
        <w:rPr>
          <w:rFonts w:ascii="Times New Roman" w:eastAsia="Calibri" w:hAnsi="Times New Roman" w:cs="Times New Roman"/>
          <w:sz w:val="24"/>
          <w:szCs w:val="24"/>
        </w:rPr>
        <w:t xml:space="preserve">W sposób analogiczny do brzmienia art. 109 ust. 1 akapit 4 BRRD, zmieniono brzmienie </w:t>
      </w:r>
      <w:r w:rsidRPr="008D7149">
        <w:rPr>
          <w:rFonts w:ascii="Times New Roman" w:eastAsia="Calibri" w:hAnsi="Times New Roman" w:cs="Times New Roman"/>
          <w:b/>
          <w:sz w:val="24"/>
          <w:szCs w:val="24"/>
        </w:rPr>
        <w:t xml:space="preserve">ust. 7 w art. 272 </w:t>
      </w:r>
      <w:r w:rsidRPr="001A685B">
        <w:rPr>
          <w:rFonts w:ascii="Times New Roman" w:eastAsia="Calibri" w:hAnsi="Times New Roman" w:cs="Times New Roman"/>
          <w:sz w:val="24"/>
          <w:szCs w:val="24"/>
        </w:rPr>
        <w:t>ustawy o BFG</w:t>
      </w:r>
      <w:r w:rsidRPr="008D7149">
        <w:rPr>
          <w:rFonts w:ascii="Times New Roman" w:eastAsia="Calibri" w:hAnsi="Times New Roman" w:cs="Times New Roman"/>
          <w:sz w:val="24"/>
          <w:szCs w:val="24"/>
        </w:rPr>
        <w:t>. Zmiana polega na jednoznacznym wskazaniu, że w przypadku gdy oszacowanie, o którym mowa w art. 241 ust. 1 ustawy o BFG (a więc sporządzane już po wszczęciu przymusowej restrukturyzacji), wykaże, że środki funduszu gwarancyjnego banków i funduszu gwarancyjnego kas przeznaczone na finansowanie przymusowej restrukturyzacji byłyby wyższe niż kwota wydatków na finansowanie wypłaty środków gwarantowanych w postępowaniu upadłościowym, to taka nadwyżka zostanie przekazana z funduszu przymusowej restrukturyzacji na fundusz gwarancyjny banków albo fundusz gwarancyjny kas. Obecnie przepis art. 272 ust. 7 ustawy o BFG nie wskazuje jednoznacznie źródła pochodzenia środków przekazywanych funduszowi gwarancyjnemu banków albo funduszowi gwarancyjnemu kas w przypadku opisanym w przedmiotowym przepisie. Proponowana zmiana art. 272 ust. 7 ustawy o BFG ma zapewnić zgodność tego przepisu z art. 109 ust. 1 akapit 4 dyrektywy BRRD.</w:t>
      </w:r>
    </w:p>
    <w:p w14:paraId="35DCBCCA" w14:textId="770F2875"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bCs/>
          <w:sz w:val="24"/>
          <w:szCs w:val="24"/>
        </w:rPr>
        <w:t xml:space="preserve">Propozycja zmiany </w:t>
      </w:r>
      <w:r w:rsidRPr="008D7149">
        <w:rPr>
          <w:rFonts w:ascii="Times New Roman" w:eastAsia="Times New Roman" w:hAnsi="Times New Roman" w:cs="Times New Roman"/>
          <w:b/>
          <w:bCs/>
          <w:sz w:val="24"/>
          <w:szCs w:val="24"/>
        </w:rPr>
        <w:t>art. 274 pkt 1</w:t>
      </w:r>
      <w:r w:rsidRPr="008D7149">
        <w:rPr>
          <w:rFonts w:ascii="Times New Roman" w:eastAsia="Times New Roman" w:hAnsi="Times New Roman" w:cs="Times New Roman"/>
          <w:bCs/>
          <w:sz w:val="24"/>
          <w:szCs w:val="24"/>
        </w:rPr>
        <w:t xml:space="preserve"> jest związana z możliwością powstania systemu ochrony instytucjonalnej, którego celem funkcjonowania, zgodnie z projektowanym art. 130b ust. 2 lit. a ustawy </w:t>
      </w:r>
      <w:r w:rsidR="00F22DF0" w:rsidRPr="008D7149">
        <w:rPr>
          <w:rFonts w:ascii="Times New Roman" w:eastAsia="Times New Roman" w:hAnsi="Times New Roman" w:cs="Times New Roman"/>
          <w:bCs/>
          <w:sz w:val="24"/>
          <w:szCs w:val="24"/>
        </w:rPr>
        <w:t xml:space="preserve">z dnia 29 sierpnia 1997 r. </w:t>
      </w:r>
      <w:r w:rsidRPr="008D7149">
        <w:rPr>
          <w:rFonts w:ascii="Times New Roman" w:eastAsia="Times New Roman" w:hAnsi="Times New Roman" w:cs="Times New Roman"/>
          <w:bCs/>
          <w:sz w:val="24"/>
          <w:szCs w:val="24"/>
        </w:rPr>
        <w:t xml:space="preserve">– Prawo bankowe, ma być </w:t>
      </w:r>
      <w:r w:rsidR="00306329" w:rsidRPr="008D7149">
        <w:rPr>
          <w:rFonts w:ascii="Times New Roman" w:eastAsia="Times New Roman" w:hAnsi="Times New Roman" w:cs="Times New Roman"/>
          <w:bCs/>
          <w:sz w:val="24"/>
          <w:szCs w:val="24"/>
        </w:rPr>
        <w:t xml:space="preserve">pomoc w utrzymaniu płynności i wypłacalności jego uczestników, ale także </w:t>
      </w:r>
      <w:r w:rsidRPr="008D7149">
        <w:rPr>
          <w:rFonts w:ascii="Times New Roman" w:eastAsia="Times New Roman" w:hAnsi="Times New Roman" w:cs="Times New Roman"/>
          <w:bCs/>
          <w:sz w:val="24"/>
          <w:szCs w:val="24"/>
        </w:rPr>
        <w:t xml:space="preserve">wspieranie prowadzonej przez </w:t>
      </w:r>
      <w:r w:rsidR="00F22DF0" w:rsidRPr="008D7149">
        <w:rPr>
          <w:rFonts w:ascii="Times New Roman" w:eastAsia="Times New Roman" w:hAnsi="Times New Roman" w:cs="Times New Roman"/>
          <w:bCs/>
          <w:sz w:val="24"/>
          <w:szCs w:val="24"/>
        </w:rPr>
        <w:t>BFG</w:t>
      </w:r>
      <w:r w:rsidRPr="008D7149">
        <w:rPr>
          <w:rFonts w:ascii="Times New Roman" w:eastAsia="Times New Roman" w:hAnsi="Times New Roman" w:cs="Times New Roman"/>
          <w:bCs/>
          <w:sz w:val="24"/>
          <w:szCs w:val="24"/>
        </w:rPr>
        <w:t xml:space="preserve"> przymusowej restrukturyzacji, jeżeli zostałaby ona wszczęta wobec</w:t>
      </w:r>
      <w:r w:rsidR="00306329" w:rsidRPr="008D7149">
        <w:rPr>
          <w:rFonts w:ascii="Times New Roman" w:eastAsia="Times New Roman" w:hAnsi="Times New Roman" w:cs="Times New Roman"/>
          <w:bCs/>
          <w:sz w:val="24"/>
          <w:szCs w:val="24"/>
        </w:rPr>
        <w:t xml:space="preserve"> banku będącego spółką akcyjną. Wsparcie byłoby skierowane do podmiotu przejmowanego, co ułatwiałoby podmiotowi przejmującemu dokonanie przejęcia w sytuacji</w:t>
      </w:r>
      <w:r w:rsidRPr="008D7149">
        <w:rPr>
          <w:rFonts w:ascii="Times New Roman" w:eastAsia="Times New Roman" w:hAnsi="Times New Roman" w:cs="Times New Roman"/>
          <w:bCs/>
          <w:sz w:val="24"/>
          <w:szCs w:val="24"/>
        </w:rPr>
        <w:t>, o któ</w:t>
      </w:r>
      <w:r w:rsidR="00306329" w:rsidRPr="008D7149">
        <w:rPr>
          <w:rFonts w:ascii="Times New Roman" w:eastAsia="Times New Roman" w:hAnsi="Times New Roman" w:cs="Times New Roman"/>
          <w:bCs/>
          <w:sz w:val="24"/>
          <w:szCs w:val="24"/>
        </w:rPr>
        <w:t>rej</w:t>
      </w:r>
      <w:r w:rsidRPr="008D7149">
        <w:rPr>
          <w:rFonts w:ascii="Times New Roman" w:eastAsia="Times New Roman" w:hAnsi="Times New Roman" w:cs="Times New Roman"/>
          <w:bCs/>
          <w:sz w:val="24"/>
          <w:szCs w:val="24"/>
        </w:rPr>
        <w:t xml:space="preserve"> mowa w art. 174 ust. 1</w:t>
      </w:r>
      <w:r w:rsidR="00306329" w:rsidRPr="008D7149">
        <w:rPr>
          <w:rFonts w:ascii="Times New Roman" w:eastAsia="Times New Roman" w:hAnsi="Times New Roman" w:cs="Times New Roman"/>
          <w:bCs/>
          <w:sz w:val="24"/>
          <w:szCs w:val="24"/>
        </w:rPr>
        <w:t xml:space="preserve"> pkt 3</w:t>
      </w:r>
      <w:r w:rsidRPr="008D7149">
        <w:rPr>
          <w:rFonts w:ascii="Times New Roman" w:eastAsia="Times New Roman" w:hAnsi="Times New Roman" w:cs="Times New Roman"/>
          <w:bCs/>
          <w:sz w:val="24"/>
          <w:szCs w:val="24"/>
        </w:rPr>
        <w:t xml:space="preserve"> ustawy</w:t>
      </w:r>
      <w:r w:rsidR="00306329" w:rsidRPr="008D7149">
        <w:rPr>
          <w:rFonts w:ascii="Times New Roman" w:eastAsia="Times New Roman" w:hAnsi="Times New Roman" w:cs="Times New Roman"/>
          <w:bCs/>
          <w:sz w:val="24"/>
          <w:szCs w:val="24"/>
        </w:rPr>
        <w:t xml:space="preserve"> o BFG, tj. przejęcia portfelowego</w:t>
      </w:r>
      <w:r w:rsidR="0064154E">
        <w:rPr>
          <w:rFonts w:ascii="Times New Roman" w:eastAsia="Times New Roman" w:hAnsi="Times New Roman" w:cs="Times New Roman"/>
          <w:bCs/>
          <w:sz w:val="24"/>
          <w:szCs w:val="24"/>
        </w:rPr>
        <w:t xml:space="preserve"> banku będącego spółka akcyjną.</w:t>
      </w:r>
    </w:p>
    <w:p w14:paraId="70435B09" w14:textId="20365863"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bCs/>
          <w:sz w:val="24"/>
          <w:szCs w:val="24"/>
        </w:rPr>
        <w:lastRenderedPageBreak/>
        <w:t>Zgodnie z obecnym brzmieniem przepisu art. 274 ustawy o BFG, warunkiem udzielenia wsparcia przez BFG z funduszu przymusowej restrukturyzacji dla uczestników procesu przymusowej restrukturyzacji jest uprzednie dokonanie przez BFG umorzenia lub konwersji praw udziałowych lub zobowiązań lub zapewnianie podjęcia innych działań, które będą skutkować poniesieniem strat przez właścicieli lub wierzycieli podmiotu w restrukturyzacji lub jego dokapitalizowaniem w wysokości co najmniej 8% zobowiązań ogółem podmiotu w restrukturyzacji, powiększonych o fundusze własne podmiotu w restrukturyzacji.</w:t>
      </w:r>
    </w:p>
    <w:p w14:paraId="63085750"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bCs/>
          <w:sz w:val="24"/>
          <w:szCs w:val="24"/>
        </w:rPr>
        <w:t>Zmiana umożliwi sfinansowania procesu przymusowej restrukturyzacji, w tym w zakresie osiągnięcia wymogu 8%, w sytuacji w której inne ustawowo przewidziane mechanizmy są niedostępne lub niewykonalne.</w:t>
      </w:r>
    </w:p>
    <w:p w14:paraId="520A7965" w14:textId="20895B71" w:rsidR="00695EEB" w:rsidRPr="008D7149" w:rsidRDefault="00695EEB" w:rsidP="008D7149">
      <w:pPr>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Przedmiotowa zmiana w art. 274 ustawy o BFG ma na celu rozszerzenie ww. katalogu zdarzeń warunkujących możliwość udzielenia wsparcia z funduszu przymusowej restrukturyzacji, m.in. o podjęte przez system ochrony</w:t>
      </w:r>
      <w:r w:rsidR="00ED60FB" w:rsidRPr="008D7149">
        <w:rPr>
          <w:rFonts w:ascii="Times New Roman" w:eastAsia="Times New Roman" w:hAnsi="Times New Roman" w:cs="Times New Roman"/>
          <w:bCs/>
          <w:sz w:val="24"/>
          <w:szCs w:val="24"/>
        </w:rPr>
        <w:t xml:space="preserve"> (zarówno spółdzielczy</w:t>
      </w:r>
      <w:r w:rsidR="00F22DF0" w:rsidRPr="008D7149">
        <w:rPr>
          <w:rFonts w:ascii="Times New Roman" w:eastAsia="Times New Roman" w:hAnsi="Times New Roman" w:cs="Times New Roman"/>
          <w:bCs/>
          <w:sz w:val="24"/>
          <w:szCs w:val="24"/>
        </w:rPr>
        <w:t xml:space="preserve">, jak i </w:t>
      </w:r>
      <w:r w:rsidR="00ED60FB" w:rsidRPr="008D7149">
        <w:rPr>
          <w:rFonts w:ascii="Times New Roman" w:eastAsia="Times New Roman" w:hAnsi="Times New Roman" w:cs="Times New Roman"/>
          <w:bCs/>
          <w:sz w:val="24"/>
          <w:szCs w:val="24"/>
        </w:rPr>
        <w:t>komercyjny)</w:t>
      </w:r>
      <w:r w:rsidRPr="008D7149">
        <w:rPr>
          <w:rFonts w:ascii="Times New Roman" w:eastAsia="Times New Roman" w:hAnsi="Times New Roman" w:cs="Times New Roman"/>
          <w:bCs/>
          <w:sz w:val="24"/>
          <w:szCs w:val="24"/>
        </w:rPr>
        <w:t xml:space="preserve"> działania skutkujące dokapitalizowaniem podmiotu w restrukturyzacji lub pokryciem strat podmiotu w restrukturyzacji. Proponowane rozwiązanie zwiększy możliwości </w:t>
      </w:r>
      <w:r w:rsidR="00F22DF0" w:rsidRPr="008D7149">
        <w:rPr>
          <w:rFonts w:ascii="Times New Roman" w:eastAsia="Times New Roman" w:hAnsi="Times New Roman" w:cs="Times New Roman"/>
          <w:bCs/>
          <w:sz w:val="24"/>
          <w:szCs w:val="24"/>
        </w:rPr>
        <w:t xml:space="preserve">BFG </w:t>
      </w:r>
      <w:r w:rsidRPr="008D7149">
        <w:rPr>
          <w:rFonts w:ascii="Times New Roman" w:eastAsia="Times New Roman" w:hAnsi="Times New Roman" w:cs="Times New Roman"/>
          <w:bCs/>
          <w:sz w:val="24"/>
          <w:szCs w:val="24"/>
        </w:rPr>
        <w:t>do wykorzystania w ramach przymusowej restrukturyzacji środków funduszy przymusowej restrukturyzacji banków lub kas. Po wszczęciu przymusowej restrukturyzacji system ochrony mógłby bowiem udzielić wsparcia podmiotowi przejmującemu, co z jednej strony zmniejszyłoby dysproporcję pomiędzy wartością przejmowanych praw majątkowych i zobowiązań podmiotu w restrukturyzacji, a jednocześnie umożliwiłoby BFG udzielenie wsparcia procesu przymusowej restrukturyzacji w wysokości 5% sumy zobowiązań ogółem podmiotu w restrukturyzacji, powiększonych o fundusze własne podmiotu w restrukturyzacji.</w:t>
      </w:r>
    </w:p>
    <w:p w14:paraId="76DFEFA7" w14:textId="30E8C314" w:rsidR="00695EEB" w:rsidRPr="008D7149" w:rsidRDefault="00695EEB" w:rsidP="008D7149">
      <w:pPr>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Projektowany przepis </w:t>
      </w:r>
      <w:r w:rsidRPr="008D7149">
        <w:rPr>
          <w:rFonts w:ascii="Times New Roman" w:eastAsia="Times New Roman" w:hAnsi="Times New Roman" w:cs="Times New Roman"/>
          <w:b/>
          <w:bCs/>
          <w:sz w:val="24"/>
          <w:szCs w:val="24"/>
        </w:rPr>
        <w:t xml:space="preserve">art. 287 ust. 2 </w:t>
      </w:r>
      <w:r w:rsidR="00F22DF0" w:rsidRPr="001A685B">
        <w:rPr>
          <w:rFonts w:ascii="Times New Roman" w:eastAsia="Times New Roman" w:hAnsi="Times New Roman" w:cs="Times New Roman"/>
          <w:bCs/>
          <w:sz w:val="24"/>
          <w:szCs w:val="24"/>
        </w:rPr>
        <w:t>ustawy o BFG</w:t>
      </w:r>
      <w:r w:rsidR="00F22DF0" w:rsidRPr="008D7149">
        <w:rPr>
          <w:rFonts w:ascii="Times New Roman" w:eastAsia="Times New Roman" w:hAnsi="Times New Roman" w:cs="Times New Roman"/>
          <w:b/>
          <w:bCs/>
          <w:sz w:val="24"/>
          <w:szCs w:val="24"/>
        </w:rPr>
        <w:t xml:space="preserve"> </w:t>
      </w:r>
      <w:r w:rsidRPr="008D7149">
        <w:rPr>
          <w:rFonts w:ascii="Times New Roman" w:eastAsia="Times New Roman" w:hAnsi="Times New Roman" w:cs="Times New Roman"/>
          <w:bCs/>
          <w:sz w:val="24"/>
          <w:szCs w:val="24"/>
        </w:rPr>
        <w:t xml:space="preserve">wprowadza możliwość obniżenia poziomu środków systemu gwarantowania depozytów w bankach do poziomu nie niższego niż 1,6% kwoty środków gwarantowanych w bankach i oddziałach banków zagranicznych, objętych obowiązkowym systemem gwarantowania depozytów, z zastrzeżeniem warunków wskazanych w ust. 2a i 2b. Rada BFG zyska tym samym uprawnienie do obniżenia poziomu środków systemu gwarantowania depozytów w bankach. Z uwagi na kształt przedmiotowego uprawnienia polegającego na obniżaniu ww. poziomu środków, który został określony ustawą na poziomie 2,6% kwoty środków gwarantowanych w bankach i oddziałach banków zagranicznych objętych obowiązkowym systemem gwarantowania depozytów, działania Rady BFG będą mogły jedynie prowadzić do zmniejszania określonego ustawowo obciążenia sektora finansowego z tytułu składek na system gwarantowania depozytów w bankach i oddziałach </w:t>
      </w:r>
      <w:r w:rsidRPr="008D7149">
        <w:rPr>
          <w:rFonts w:ascii="Times New Roman" w:eastAsia="Times New Roman" w:hAnsi="Times New Roman" w:cs="Times New Roman"/>
          <w:bCs/>
          <w:sz w:val="24"/>
          <w:szCs w:val="24"/>
        </w:rPr>
        <w:lastRenderedPageBreak/>
        <w:t>banków zagranicznych, objętych obowiązkowym systemem gwarantowania depozytów. Jednocześnie przedmiotowa zmiana wprowadza mechanizm uelastycznia poziomu kwoty systemu gwarantowania depozytów, umożliwiając obniżenie tego poziomu w określonych granicach, w sytuacji zmiany kondycji sektora bankowego.</w:t>
      </w:r>
      <w:r w:rsidR="00306329" w:rsidRPr="008D7149">
        <w:rPr>
          <w:rFonts w:ascii="Times New Roman" w:eastAsia="Times New Roman" w:hAnsi="Times New Roman" w:cs="Times New Roman"/>
          <w:bCs/>
          <w:sz w:val="24"/>
          <w:szCs w:val="24"/>
        </w:rPr>
        <w:t xml:space="preserve"> Rada BFG</w:t>
      </w:r>
      <w:r w:rsidRPr="008D7149">
        <w:rPr>
          <w:rFonts w:ascii="Times New Roman" w:eastAsia="Times New Roman" w:hAnsi="Times New Roman" w:cs="Times New Roman"/>
          <w:bCs/>
          <w:sz w:val="24"/>
          <w:szCs w:val="24"/>
        </w:rPr>
        <w:t xml:space="preserve"> </w:t>
      </w:r>
      <w:r w:rsidR="00306329" w:rsidRPr="008D7149">
        <w:rPr>
          <w:rFonts w:ascii="Times New Roman" w:eastAsia="Times New Roman" w:hAnsi="Times New Roman" w:cs="Times New Roman"/>
          <w:bCs/>
          <w:sz w:val="24"/>
          <w:szCs w:val="24"/>
        </w:rPr>
        <w:t>m</w:t>
      </w:r>
      <w:r w:rsidRPr="008D7149">
        <w:rPr>
          <w:rFonts w:ascii="Times New Roman" w:eastAsia="Times New Roman" w:hAnsi="Times New Roman" w:cs="Times New Roman"/>
          <w:bCs/>
          <w:sz w:val="24"/>
          <w:szCs w:val="24"/>
        </w:rPr>
        <w:t>oże tym samym dostosować obciążenie banków do poziomu identyfikowanego ryzyka w systemie bankowym.</w:t>
      </w:r>
    </w:p>
    <w:p w14:paraId="07F9E351" w14:textId="352A6F81" w:rsidR="00695EEB" w:rsidRPr="008D7149" w:rsidRDefault="00695EEB" w:rsidP="008D7149">
      <w:pPr>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Projektowany art. 287 ust. 2a </w:t>
      </w:r>
      <w:r w:rsidR="00F22DF0" w:rsidRPr="008D7149">
        <w:rPr>
          <w:rFonts w:ascii="Times New Roman" w:eastAsia="Times New Roman" w:hAnsi="Times New Roman" w:cs="Times New Roman"/>
          <w:bCs/>
          <w:sz w:val="24"/>
          <w:szCs w:val="24"/>
        </w:rPr>
        <w:t xml:space="preserve">ustawy o BFG </w:t>
      </w:r>
      <w:r w:rsidRPr="008D7149">
        <w:rPr>
          <w:rFonts w:ascii="Times New Roman" w:eastAsia="Times New Roman" w:hAnsi="Times New Roman" w:cs="Times New Roman"/>
          <w:bCs/>
          <w:sz w:val="24"/>
          <w:szCs w:val="24"/>
        </w:rPr>
        <w:t>wskazuje na okoliczności, które Rada BFG bierze pod uwagę, dokonując obniżenia poziomu docelowego środków systemu gwarantowania depozytów w bankach</w:t>
      </w:r>
      <w:r w:rsidR="00F0089C">
        <w:rPr>
          <w:rFonts w:ascii="Times New Roman" w:eastAsia="Times New Roman" w:hAnsi="Times New Roman" w:cs="Times New Roman"/>
          <w:bCs/>
          <w:sz w:val="24"/>
          <w:szCs w:val="24"/>
        </w:rPr>
        <w:t>,</w:t>
      </w:r>
      <w:r w:rsidRPr="008D7149">
        <w:rPr>
          <w:rFonts w:ascii="Times New Roman" w:eastAsia="Times New Roman" w:hAnsi="Times New Roman" w:cs="Times New Roman"/>
          <w:bCs/>
          <w:sz w:val="24"/>
          <w:szCs w:val="24"/>
        </w:rPr>
        <w:t xml:space="preserve"> i jest to w szczególności:</w:t>
      </w:r>
    </w:p>
    <w:p w14:paraId="18924177" w14:textId="77777777" w:rsidR="00695EEB" w:rsidRPr="008D7149" w:rsidRDefault="00695EEB" w:rsidP="001A685B">
      <w:pPr>
        <w:pStyle w:val="Akapitzlist"/>
        <w:widowControl w:val="0"/>
        <w:numPr>
          <w:ilvl w:val="0"/>
          <w:numId w:val="14"/>
        </w:numPr>
        <w:suppressAutoHyphens/>
        <w:autoSpaceDE w:val="0"/>
        <w:autoSpaceDN w:val="0"/>
        <w:adjustRightInd w:val="0"/>
        <w:spacing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bieżący poziom środków systemu gwarantowania depozytów w bankach;</w:t>
      </w:r>
    </w:p>
    <w:p w14:paraId="3DE63E0F" w14:textId="11006840" w:rsidR="00695EEB" w:rsidRPr="008D7149" w:rsidRDefault="00695EEB" w:rsidP="008D7149">
      <w:pPr>
        <w:pStyle w:val="Akapitzlist"/>
        <w:widowControl w:val="0"/>
        <w:numPr>
          <w:ilvl w:val="0"/>
          <w:numId w:val="14"/>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wysokość środków zgromadzonych przez systemy ochrony instytucjonalnej utworzone zgodnie z art. 130c ust. 1 ustawy </w:t>
      </w:r>
      <w:r w:rsidR="00F22DF0" w:rsidRPr="008D7149">
        <w:rPr>
          <w:rFonts w:ascii="Times New Roman" w:eastAsia="Times New Roman" w:hAnsi="Times New Roman" w:cs="Times New Roman"/>
          <w:bCs/>
          <w:sz w:val="24"/>
          <w:szCs w:val="24"/>
        </w:rPr>
        <w:t xml:space="preserve">z dnia 29 sierpnia 1997 r. </w:t>
      </w:r>
      <w:r w:rsidRPr="008D7149">
        <w:rPr>
          <w:rFonts w:ascii="Times New Roman" w:eastAsia="Times New Roman" w:hAnsi="Times New Roman" w:cs="Times New Roman"/>
          <w:bCs/>
          <w:sz w:val="24"/>
          <w:szCs w:val="24"/>
        </w:rPr>
        <w:t>– Prawo bankowe;</w:t>
      </w:r>
    </w:p>
    <w:p w14:paraId="44E79865" w14:textId="77777777" w:rsidR="00695EEB" w:rsidRPr="008D7149" w:rsidRDefault="00695EEB" w:rsidP="008D7149">
      <w:pPr>
        <w:pStyle w:val="Akapitzlist"/>
        <w:widowControl w:val="0"/>
        <w:numPr>
          <w:ilvl w:val="0"/>
          <w:numId w:val="14"/>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aktualna sytuacja w sektorze bankowym;</w:t>
      </w:r>
    </w:p>
    <w:p w14:paraId="03CE3775" w14:textId="017F226A" w:rsidR="00695EEB" w:rsidRPr="008D7149" w:rsidRDefault="00695EEB" w:rsidP="008D7149">
      <w:pPr>
        <w:pStyle w:val="Akapitzlist"/>
        <w:widowControl w:val="0"/>
        <w:numPr>
          <w:ilvl w:val="0"/>
          <w:numId w:val="14"/>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stanowisko jednostki zarządzającej systemem ochrony, o której mowa w art. 130e ust. 1 ustawy </w:t>
      </w:r>
      <w:r w:rsidR="00F22DF0" w:rsidRPr="008D7149">
        <w:rPr>
          <w:rFonts w:ascii="Times New Roman" w:eastAsia="Times New Roman" w:hAnsi="Times New Roman" w:cs="Times New Roman"/>
          <w:bCs/>
          <w:sz w:val="24"/>
          <w:szCs w:val="24"/>
        </w:rPr>
        <w:t xml:space="preserve">z dnia 29 sierpnia 1997 r. </w:t>
      </w:r>
      <w:r w:rsidRPr="008D7149">
        <w:rPr>
          <w:rFonts w:ascii="Times New Roman" w:eastAsia="Times New Roman" w:hAnsi="Times New Roman" w:cs="Times New Roman"/>
          <w:bCs/>
          <w:sz w:val="24"/>
          <w:szCs w:val="24"/>
        </w:rPr>
        <w:t>– Prawo bankowe.</w:t>
      </w:r>
    </w:p>
    <w:p w14:paraId="19323209" w14:textId="5085C010" w:rsidR="00695EEB" w:rsidRPr="008D7149" w:rsidRDefault="00695EEB" w:rsidP="008D7149">
      <w:pPr>
        <w:suppressAutoHyphens/>
        <w:spacing w:before="120" w:after="0" w:line="360" w:lineRule="auto"/>
        <w:jc w:val="both"/>
        <w:rPr>
          <w:rFonts w:ascii="Times New Roman" w:eastAsia="Times New Roman" w:hAnsi="Times New Roman" w:cs="Times New Roman"/>
          <w:b/>
          <w:bCs/>
          <w:sz w:val="24"/>
          <w:szCs w:val="24"/>
        </w:rPr>
      </w:pPr>
      <w:r w:rsidRPr="008D7149">
        <w:rPr>
          <w:rFonts w:ascii="Times New Roman" w:eastAsia="Times New Roman" w:hAnsi="Times New Roman" w:cs="Times New Roman"/>
          <w:bCs/>
          <w:sz w:val="24"/>
          <w:szCs w:val="24"/>
        </w:rPr>
        <w:t>W ramach projektowanego przepisu uprawnienie Rady BFG do obniżenia poziomu docelowego środków systemu gwarantowania depozytów w bankach będzie uwzględniało szereg okoliczności wskazanych w przepisie, które zapewniają, aby ewentualne obniżenie poziomu docelowego uwzględniało elementy bezpieczeństwa środków gwarantowanych w bankach, a także aktualną sytuację w sektorze bankowym</w:t>
      </w:r>
      <w:r w:rsidRPr="008D7149">
        <w:rPr>
          <w:rFonts w:ascii="Times New Roman" w:eastAsia="Times New Roman" w:hAnsi="Times New Roman" w:cs="Times New Roman"/>
          <w:b/>
          <w:bCs/>
          <w:sz w:val="24"/>
          <w:szCs w:val="24"/>
        </w:rPr>
        <w:t>.</w:t>
      </w:r>
    </w:p>
    <w:p w14:paraId="35B65564" w14:textId="05847033" w:rsidR="00695EEB" w:rsidRPr="008D7149" w:rsidRDefault="00695EEB" w:rsidP="008D7149">
      <w:pPr>
        <w:suppressAutoHyphens/>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Dodawany </w:t>
      </w:r>
      <w:r w:rsidRPr="008D7149">
        <w:rPr>
          <w:rFonts w:ascii="Times New Roman" w:eastAsia="Times New Roman" w:hAnsi="Times New Roman" w:cs="Times New Roman"/>
          <w:b/>
          <w:bCs/>
          <w:sz w:val="24"/>
          <w:szCs w:val="24"/>
        </w:rPr>
        <w:t>art. 287 ust. 2b</w:t>
      </w:r>
      <w:r w:rsidRPr="008D7149">
        <w:rPr>
          <w:rFonts w:ascii="Times New Roman" w:eastAsia="Times New Roman" w:hAnsi="Times New Roman" w:cs="Times New Roman"/>
          <w:bCs/>
          <w:sz w:val="24"/>
          <w:szCs w:val="24"/>
        </w:rPr>
        <w:t xml:space="preserve"> </w:t>
      </w:r>
      <w:r w:rsidR="00F22DF0" w:rsidRPr="008D7149">
        <w:rPr>
          <w:rFonts w:ascii="Times New Roman" w:eastAsia="Times New Roman" w:hAnsi="Times New Roman" w:cs="Times New Roman"/>
          <w:bCs/>
          <w:sz w:val="24"/>
          <w:szCs w:val="24"/>
        </w:rPr>
        <w:t xml:space="preserve">ustawy o BFG </w:t>
      </w:r>
      <w:r w:rsidRPr="008D7149">
        <w:rPr>
          <w:rFonts w:ascii="Times New Roman" w:eastAsia="Times New Roman" w:hAnsi="Times New Roman" w:cs="Times New Roman"/>
          <w:bCs/>
          <w:sz w:val="24"/>
          <w:szCs w:val="24"/>
        </w:rPr>
        <w:t xml:space="preserve">nakłada na Radę BFG obowiązek zasięgnięcia opinii Komitetu Stabilności Finansowej, o którym mowa w art. 1 ust 2 ustawy z dnia 5 sierpnia 2015 r. o nadzorze makroostrożnościowym nad systemem finansowym i zarządzaniu kryzysowym w systemie finansowym (Dz. U. z 2021 r. poz. 140, z późn. zm.). Proponowany przepis gwarantuje zmniejszenie uznaniowości skorzystania przez Radę BFG z uprawniania, o którym mowa w art. 8 ust 1a. </w:t>
      </w:r>
    </w:p>
    <w:p w14:paraId="2EF6BA2A" w14:textId="77777777" w:rsidR="00695EEB" w:rsidRPr="008D7149" w:rsidRDefault="00695EEB" w:rsidP="008D7149">
      <w:pPr>
        <w:spacing w:before="120" w:after="0" w:line="360" w:lineRule="auto"/>
        <w:ind w:left="708"/>
        <w:jc w:val="both"/>
        <w:rPr>
          <w:rFonts w:ascii="Times New Roman" w:hAnsi="Times New Roman" w:cs="Times New Roman"/>
          <w:sz w:val="24"/>
          <w:szCs w:val="24"/>
          <w:u w:val="single"/>
        </w:rPr>
      </w:pPr>
      <w:r w:rsidRPr="008D7149">
        <w:rPr>
          <w:rFonts w:ascii="Times New Roman" w:hAnsi="Times New Roman" w:cs="Times New Roman"/>
          <w:sz w:val="24"/>
          <w:szCs w:val="24"/>
          <w:u w:val="single"/>
        </w:rPr>
        <w:t>Emisja obligacji przez BFG (z możliwością objęcia ich gwarancją Skarbu Państwa)</w:t>
      </w:r>
    </w:p>
    <w:p w14:paraId="4A50B91F" w14:textId="2A47EF5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BFG</w:t>
      </w:r>
      <w:r w:rsidR="00F22DF0" w:rsidRPr="008D7149">
        <w:rPr>
          <w:rFonts w:ascii="Times New Roman" w:hAnsi="Times New Roman" w:cs="Times New Roman"/>
          <w:sz w:val="24"/>
          <w:szCs w:val="24"/>
        </w:rPr>
        <w:t>,</w:t>
      </w:r>
      <w:r w:rsidRPr="008D7149">
        <w:rPr>
          <w:rFonts w:ascii="Times New Roman" w:hAnsi="Times New Roman" w:cs="Times New Roman"/>
          <w:sz w:val="24"/>
          <w:szCs w:val="24"/>
        </w:rPr>
        <w:t xml:space="preserve"> wypełniając zadania ustawowe określone w art. 5 ustawy o BFG</w:t>
      </w:r>
      <w:r w:rsidR="00F22DF0" w:rsidRPr="008D7149">
        <w:rPr>
          <w:rFonts w:ascii="Times New Roman" w:hAnsi="Times New Roman" w:cs="Times New Roman"/>
          <w:sz w:val="24"/>
          <w:szCs w:val="24"/>
        </w:rPr>
        <w:t>,</w:t>
      </w:r>
      <w:r w:rsidRPr="008D7149">
        <w:rPr>
          <w:rFonts w:ascii="Times New Roman" w:hAnsi="Times New Roman" w:cs="Times New Roman"/>
          <w:sz w:val="24"/>
          <w:szCs w:val="24"/>
        </w:rPr>
        <w:t xml:space="preserve"> działa w sferze prawa publicznego. Jest osobą prawną utworzoną na podstawie ustawy w celu wykonywania zadań publicznych. Biorąc pod uwagę powyższe, jest podmiotem w stosunku do którego nie można ogłosić upadłości, o której mowa art. 6 pkt 4 ustawy z dnia 28 lutego 2003 r. </w:t>
      </w:r>
      <w:r w:rsidR="001A1E76">
        <w:rPr>
          <w:rFonts w:ascii="Times New Roman" w:hAnsi="Times New Roman" w:cs="Times New Roman"/>
          <w:sz w:val="24"/>
          <w:szCs w:val="24"/>
        </w:rPr>
        <w:t>–</w:t>
      </w:r>
      <w:r w:rsidR="00F22DF0"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Prawo upadłościowe. Ponadto BFG od 2014 r. został uznany przez Komisję Europejską (Eurostat) za </w:t>
      </w:r>
      <w:r w:rsidRPr="008D7149">
        <w:rPr>
          <w:rFonts w:ascii="Times New Roman" w:hAnsi="Times New Roman" w:cs="Times New Roman"/>
          <w:sz w:val="24"/>
          <w:szCs w:val="24"/>
        </w:rPr>
        <w:lastRenderedPageBreak/>
        <w:t xml:space="preserve">jednostkę sektora </w:t>
      </w:r>
      <w:proofErr w:type="spellStart"/>
      <w:r w:rsidRPr="008D7149">
        <w:rPr>
          <w:rFonts w:ascii="Times New Roman" w:hAnsi="Times New Roman" w:cs="Times New Roman"/>
          <w:i/>
          <w:iCs/>
          <w:sz w:val="24"/>
          <w:szCs w:val="24"/>
        </w:rPr>
        <w:t>general</w:t>
      </w:r>
      <w:proofErr w:type="spellEnd"/>
      <w:r w:rsidRPr="008D7149">
        <w:rPr>
          <w:rFonts w:ascii="Times New Roman" w:hAnsi="Times New Roman" w:cs="Times New Roman"/>
          <w:sz w:val="24"/>
          <w:szCs w:val="24"/>
        </w:rPr>
        <w:t xml:space="preserve"> </w:t>
      </w:r>
      <w:proofErr w:type="spellStart"/>
      <w:r w:rsidRPr="008D7149">
        <w:rPr>
          <w:rFonts w:ascii="Times New Roman" w:hAnsi="Times New Roman" w:cs="Times New Roman"/>
          <w:i/>
          <w:iCs/>
          <w:sz w:val="24"/>
          <w:szCs w:val="24"/>
        </w:rPr>
        <w:t>government</w:t>
      </w:r>
      <w:proofErr w:type="spellEnd"/>
      <w:r w:rsidRPr="008D7149">
        <w:rPr>
          <w:rFonts w:ascii="Times New Roman" w:hAnsi="Times New Roman" w:cs="Times New Roman"/>
          <w:sz w:val="24"/>
          <w:szCs w:val="24"/>
        </w:rPr>
        <w:t>, czyli odpowiednik krajowego sektora finansów publicznych, a od 1 stycznia 2022 r. staje się jednostką sektora finansów publicznych. Zatem w przypadku braku środków na finansowanie zadań określonych w ustawie o BFG prawdopodobnie to Skarb Państwa musiałby udzielić wsparcia BFG. W związku z powyższym, słusznym rozwiązaniem jest wprowadzenie alternatywnego sposobu pozyskania przez BFG awaryjnego finansowania</w:t>
      </w:r>
      <w:r w:rsidR="00F0089C">
        <w:rPr>
          <w:rFonts w:ascii="Times New Roman" w:hAnsi="Times New Roman" w:cs="Times New Roman"/>
          <w:sz w:val="24"/>
          <w:szCs w:val="24"/>
        </w:rPr>
        <w:t>,</w:t>
      </w:r>
      <w:r w:rsidRPr="008D7149">
        <w:rPr>
          <w:rFonts w:ascii="Times New Roman" w:hAnsi="Times New Roman" w:cs="Times New Roman"/>
          <w:sz w:val="24"/>
          <w:szCs w:val="24"/>
        </w:rPr>
        <w:t xml:space="preserve"> np. szybkiego i prostego sposobu emisji obligacji, który pozwoli na skuteczne przeprowadzenie emisji. Ponadto</w:t>
      </w:r>
      <w:r w:rsidR="00F22DF0" w:rsidRPr="008D7149">
        <w:rPr>
          <w:rFonts w:ascii="Times New Roman" w:hAnsi="Times New Roman" w:cs="Times New Roman"/>
          <w:sz w:val="24"/>
          <w:szCs w:val="24"/>
        </w:rPr>
        <w:t>,</w:t>
      </w:r>
      <w:r w:rsidRPr="008D7149">
        <w:rPr>
          <w:rFonts w:ascii="Times New Roman" w:hAnsi="Times New Roman" w:cs="Times New Roman"/>
          <w:sz w:val="24"/>
          <w:szCs w:val="24"/>
        </w:rPr>
        <w:t xml:space="preserve"> biorąc pod uwagę zasady i tryb emisji papierów wartościowych oraz możliwość sprzedaży emisji przy niskich kosztach jej obsługi, w zasadzie jest to możliwe jedynie przy udziale gwarancji Skarbu Państwa (gwarancja Skarbu Państwa dla emisji obligacji przez BFG nie zostanie uznana za pomoc przyznawaną przez państwo członkowskie UE lub przy użyciu zasobów państwowych, która naruszałaby zasady konkurencji określone w art. 107 ust. 1 Traktatu o funkcjonowaniu Unii Europejskiej, gdyż BFG nie jest przedsiębiorcą, a podmiotem prawa publicznego realizującego zdania nałożone ustawą).</w:t>
      </w:r>
    </w:p>
    <w:p w14:paraId="15DAA844" w14:textId="362600A0"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 tych też powodów proponuje się wprowadzenie dodatkowych – obok dalej dostępnej emisji na podstawie ustawy </w:t>
      </w:r>
      <w:r w:rsidR="002B33F7"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o obligacjach – regulacji w zakresie emisji obligacji, które mogłyby być, po spełnieniu pewnych warunków, gwarantowane przez Skarb Państwa. Należy mieć na uwadze, że gwarancja Skarbu Państwa istotnie zwiększa atrakcyjność rynkową emitowanych papierów dla potencjalnych nabywców, umożliwia szybkie przeprowadzenie emisji obligacji w momencie wyczerpania możliwości pozyskania środków na finansowanie określonych ustawowo działań BFG z innych źródeł (wskazanych w art. 270 ust. 1 ustawy o BFG), przy znacznie niższych kosztach związanych z organizacją takiej emisji czy niższym oprocentowaniu takiej emisji i relatywnie krótkim czasie organizacji emisji. Emisja obligacji objętych gwarancją Skarbu Państwa możliwa byłaby, o ile minister właściwy d</w:t>
      </w:r>
      <w:r w:rsidR="002B33F7" w:rsidRPr="008D7149">
        <w:rPr>
          <w:rFonts w:ascii="Times New Roman" w:hAnsi="Times New Roman" w:cs="Times New Roman"/>
          <w:sz w:val="24"/>
          <w:szCs w:val="24"/>
        </w:rPr>
        <w:t xml:space="preserve">o </w:t>
      </w:r>
      <w:r w:rsidRPr="008D7149">
        <w:rPr>
          <w:rFonts w:ascii="Times New Roman" w:hAnsi="Times New Roman" w:cs="Times New Roman"/>
          <w:sz w:val="24"/>
          <w:szCs w:val="24"/>
        </w:rPr>
        <w:t>s</w:t>
      </w:r>
      <w:r w:rsidR="002B33F7" w:rsidRPr="008D7149">
        <w:rPr>
          <w:rFonts w:ascii="Times New Roman" w:hAnsi="Times New Roman" w:cs="Times New Roman"/>
          <w:sz w:val="24"/>
          <w:szCs w:val="24"/>
        </w:rPr>
        <w:t>praw</w:t>
      </w:r>
      <w:r w:rsidRPr="008D7149">
        <w:rPr>
          <w:rFonts w:ascii="Times New Roman" w:hAnsi="Times New Roman" w:cs="Times New Roman"/>
          <w:sz w:val="24"/>
          <w:szCs w:val="24"/>
        </w:rPr>
        <w:t xml:space="preserve"> budżetu zaakceptowałby warunki takiej emisji. Spełnienie warunku gwarancji miałoby natomiast miejsce wyłącznie w momencie braku możliwości spłaty zobowiązań przez BFG z tytułu zapadających obligacji. </w:t>
      </w:r>
    </w:p>
    <w:p w14:paraId="0075EF8E" w14:textId="2C348803" w:rsidR="00695EEB" w:rsidRPr="008D7149" w:rsidRDefault="00695EEB" w:rsidP="008D7149">
      <w:pPr>
        <w:spacing w:before="120" w:after="0" w:line="360" w:lineRule="auto"/>
        <w:jc w:val="both"/>
        <w:rPr>
          <w:rFonts w:ascii="Times New Roman" w:eastAsia="Times New Roman" w:hAnsi="Times New Roman" w:cs="Times New Roman"/>
          <w:sz w:val="24"/>
          <w:szCs w:val="24"/>
        </w:rPr>
      </w:pPr>
      <w:r w:rsidRPr="008D7149">
        <w:rPr>
          <w:rFonts w:ascii="Times New Roman" w:hAnsi="Times New Roman" w:cs="Times New Roman"/>
          <w:sz w:val="24"/>
          <w:szCs w:val="24"/>
        </w:rPr>
        <w:t xml:space="preserve">Przez </w:t>
      </w:r>
      <w:r w:rsidRPr="008D7149">
        <w:rPr>
          <w:rFonts w:ascii="Times New Roman" w:eastAsia="Times New Roman" w:hAnsi="Times New Roman" w:cs="Times New Roman"/>
          <w:sz w:val="24"/>
          <w:szCs w:val="24"/>
        </w:rPr>
        <w:t xml:space="preserve">wyjątkowy charakter takiej emisji rozumie się, że środki z emisji pozyskiwane byłyby </w:t>
      </w:r>
      <w:r w:rsidRPr="008D7149">
        <w:rPr>
          <w:rFonts w:ascii="Times New Roman" w:eastAsia="Times New Roman" w:hAnsi="Times New Roman" w:cs="Times New Roman"/>
          <w:bCs/>
          <w:sz w:val="24"/>
          <w:szCs w:val="24"/>
        </w:rPr>
        <w:t>wyłącznie</w:t>
      </w:r>
      <w:r w:rsidRPr="008D7149">
        <w:rPr>
          <w:rFonts w:ascii="Times New Roman" w:eastAsia="Times New Roman" w:hAnsi="Times New Roman" w:cs="Times New Roman"/>
          <w:sz w:val="24"/>
          <w:szCs w:val="24"/>
        </w:rPr>
        <w:t xml:space="preserve"> na realizację zadań określonych w art. 5 ust. 1 pkt 1, 3, 4 i 7 ustawy o BFG</w:t>
      </w:r>
      <w:r w:rsidR="002B33F7"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tj. </w:t>
      </w:r>
    </w:p>
    <w:p w14:paraId="4773CC90" w14:textId="77777777" w:rsidR="00695EEB" w:rsidRPr="008D7149" w:rsidRDefault="00695EEB" w:rsidP="001A685B">
      <w:pPr>
        <w:pStyle w:val="Akapitzlist"/>
        <w:numPr>
          <w:ilvl w:val="0"/>
          <w:numId w:val="27"/>
        </w:numPr>
        <w:spacing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t xml:space="preserve">wykonywanie przez BFG obowiązków wynikających z gwarantowania depozytów, w szczególności dokonywanie wypłaty środków gwarantowanych deponentom w momencie spełnienia warunku gwarancji; </w:t>
      </w:r>
    </w:p>
    <w:p w14:paraId="407B9013" w14:textId="77777777" w:rsidR="00695EEB" w:rsidRPr="008D7149" w:rsidRDefault="00695EEB" w:rsidP="008D7149">
      <w:pPr>
        <w:pStyle w:val="Akapitzlist"/>
        <w:numPr>
          <w:ilvl w:val="0"/>
          <w:numId w:val="27"/>
        </w:numPr>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t>prowadzenie przymusowej restrukturyzacji;</w:t>
      </w:r>
    </w:p>
    <w:p w14:paraId="5F52ED16" w14:textId="77777777" w:rsidR="00695EEB" w:rsidRPr="008D7149" w:rsidRDefault="00695EEB" w:rsidP="008D7149">
      <w:pPr>
        <w:pStyle w:val="Akapitzlist"/>
        <w:numPr>
          <w:ilvl w:val="0"/>
          <w:numId w:val="27"/>
        </w:numPr>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lastRenderedPageBreak/>
        <w:t>prowadzenie innych działań na rzecz stabilności krajowego systemu finansowego.</w:t>
      </w:r>
    </w:p>
    <w:p w14:paraId="0B5E4A13" w14:textId="6AF2D9A8" w:rsidR="00695EEB" w:rsidRPr="008D7149" w:rsidRDefault="00695EEB" w:rsidP="008D7149">
      <w:pPr>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bCs/>
          <w:sz w:val="24"/>
          <w:szCs w:val="24"/>
        </w:rPr>
        <w:t>Ponadto kolejnym warunkiem koniecznym do skorzystania z takiego źródła finansowania będzie utrudniona możliwość, bądź brak celowości – niewydajność,</w:t>
      </w:r>
      <w:r w:rsidRPr="008D7149">
        <w:rPr>
          <w:rFonts w:ascii="Times New Roman" w:eastAsia="Times New Roman" w:hAnsi="Times New Roman" w:cs="Times New Roman"/>
          <w:sz w:val="24"/>
          <w:szCs w:val="24"/>
        </w:rPr>
        <w:t xml:space="preserve"> </w:t>
      </w:r>
      <w:r w:rsidRPr="008D7149">
        <w:rPr>
          <w:rFonts w:ascii="Times New Roman" w:eastAsia="Times New Roman" w:hAnsi="Times New Roman" w:cs="Times New Roman"/>
          <w:bCs/>
          <w:sz w:val="24"/>
          <w:szCs w:val="24"/>
        </w:rPr>
        <w:t>zwiększenia zasobów BFG z przeznaczeniem na interwencje z innych źródeł</w:t>
      </w:r>
      <w:r w:rsidRPr="008D7149">
        <w:rPr>
          <w:rFonts w:ascii="Times New Roman" w:eastAsia="Times New Roman" w:hAnsi="Times New Roman" w:cs="Times New Roman"/>
          <w:sz w:val="24"/>
          <w:szCs w:val="24"/>
        </w:rPr>
        <w:t xml:space="preserve">, tzn.: </w:t>
      </w:r>
      <w:r w:rsidRPr="008D7149">
        <w:rPr>
          <w:rFonts w:ascii="Times New Roman" w:hAnsi="Times New Roman" w:cs="Times New Roman"/>
          <w:sz w:val="24"/>
          <w:szCs w:val="24"/>
        </w:rPr>
        <w:t xml:space="preserve">w postaci krótkoterminowego kredytu z Narodowego Banku Polskiego (art. 270 ust. 1 pkt 6 ustawy o BFG) w przypadku </w:t>
      </w:r>
      <w:r w:rsidRPr="008D7149">
        <w:rPr>
          <w:rFonts w:ascii="Times New Roman" w:hAnsi="Times New Roman" w:cs="Times New Roman"/>
          <w:bCs/>
          <w:sz w:val="24"/>
          <w:szCs w:val="24"/>
        </w:rPr>
        <w:t>wypłaty środków gwarantowanych</w:t>
      </w:r>
      <w:r w:rsidRPr="008D7149">
        <w:rPr>
          <w:rFonts w:ascii="Times New Roman" w:hAnsi="Times New Roman" w:cs="Times New Roman"/>
          <w:sz w:val="24"/>
          <w:szCs w:val="24"/>
        </w:rPr>
        <w:t xml:space="preserve"> lub w formie pożyczki z budżetu państwa w przypadku realizacji przymusowej restrukturyzacji lub </w:t>
      </w:r>
      <w:r w:rsidRPr="008D7149">
        <w:rPr>
          <w:rFonts w:ascii="Times New Roman" w:hAnsi="Times New Roman" w:cs="Times New Roman"/>
          <w:bCs/>
          <w:sz w:val="24"/>
          <w:szCs w:val="24"/>
        </w:rPr>
        <w:t>wypłaty środków gwarantowanych</w:t>
      </w:r>
      <w:r w:rsidRPr="008D7149">
        <w:rPr>
          <w:rFonts w:ascii="Times New Roman" w:hAnsi="Times New Roman" w:cs="Times New Roman"/>
          <w:sz w:val="24"/>
          <w:szCs w:val="24"/>
        </w:rPr>
        <w:t xml:space="preserve"> (zgodnie z art. 270 ust. 1 pkt 7 ustawy o BFG) oraz składek nadzwyczajnych w ograniczonej ustawowo kwocie dla obu ww. form interwencji. </w:t>
      </w:r>
      <w:r w:rsidRPr="008D7149">
        <w:rPr>
          <w:rFonts w:ascii="Times New Roman" w:eastAsia="Times New Roman" w:hAnsi="Times New Roman" w:cs="Times New Roman"/>
          <w:sz w:val="24"/>
          <w:szCs w:val="24"/>
        </w:rPr>
        <w:t>Wymienione powyżej źródła środków finansowych na interwencje cechują ograniczenia o charakterze kwotowym (12,0 mld zł dla pożyczki z budżetu państwa – zapisane w budżecie na rok 2021) lub czasowym (maksymalnie 1 rok dla kredytu udzielonego przez N</w:t>
      </w:r>
      <w:r w:rsidR="002B33F7" w:rsidRPr="008D7149">
        <w:rPr>
          <w:rFonts w:ascii="Times New Roman" w:eastAsia="Times New Roman" w:hAnsi="Times New Roman" w:cs="Times New Roman"/>
          <w:sz w:val="24"/>
          <w:szCs w:val="24"/>
        </w:rPr>
        <w:t xml:space="preserve">arodowy </w:t>
      </w:r>
      <w:r w:rsidRPr="008D7149">
        <w:rPr>
          <w:rFonts w:ascii="Times New Roman" w:eastAsia="Times New Roman" w:hAnsi="Times New Roman" w:cs="Times New Roman"/>
          <w:sz w:val="24"/>
          <w:szCs w:val="24"/>
        </w:rPr>
        <w:t>B</w:t>
      </w:r>
      <w:r w:rsidR="002B33F7" w:rsidRPr="008D7149">
        <w:rPr>
          <w:rFonts w:ascii="Times New Roman" w:eastAsia="Times New Roman" w:hAnsi="Times New Roman" w:cs="Times New Roman"/>
          <w:sz w:val="24"/>
          <w:szCs w:val="24"/>
        </w:rPr>
        <w:t xml:space="preserve">ank </w:t>
      </w:r>
      <w:r w:rsidRPr="008D7149">
        <w:rPr>
          <w:rFonts w:ascii="Times New Roman" w:eastAsia="Times New Roman" w:hAnsi="Times New Roman" w:cs="Times New Roman"/>
          <w:sz w:val="24"/>
          <w:szCs w:val="24"/>
        </w:rPr>
        <w:t>P</w:t>
      </w:r>
      <w:r w:rsidR="002B33F7" w:rsidRPr="008D7149">
        <w:rPr>
          <w:rFonts w:ascii="Times New Roman" w:eastAsia="Times New Roman" w:hAnsi="Times New Roman" w:cs="Times New Roman"/>
          <w:sz w:val="24"/>
          <w:szCs w:val="24"/>
        </w:rPr>
        <w:t>olski</w:t>
      </w:r>
      <w:r w:rsidRPr="008D7149">
        <w:rPr>
          <w:rFonts w:ascii="Times New Roman" w:eastAsia="Times New Roman" w:hAnsi="Times New Roman" w:cs="Times New Roman"/>
          <w:sz w:val="24"/>
          <w:szCs w:val="24"/>
        </w:rPr>
        <w:t>), zaś przewidywana w ustawie o BFG możliwość poboru składki nadzwyczajnej w krótkim okresie może stanowić istotne obciążenie dla podmiotów z sektora bankowego, zagrażając ich stabilności finansowej – utrata rentowności, czy w efekcie niespełnienie wymogów adekwatności kapitałowej, co sprawia, że z punktu widzenia działań stabilizacyjnych podejmowanych przez BFG ta forma może nie być wydajna, a nawet stać w sprzeczności z celami przymusowej restrukturyzacji określonymi w art. 66 ustawy o BFG, czy zadaniami BFG wskazanymi w art. 4 ustawy o BFG (celem działalności BFG jest podejmowanie działań na rzecz stabilności krajowego systemu finansowego, w szczególności przez zapewnienie funkcjonowania obowiązkowego systemu gwarantowania depozytów oraz prowadzenie przymusowej restrukturyzacji). Tym samym BFG będzie musiał każdorazowo ocenić i uzasadnić</w:t>
      </w:r>
      <w:r w:rsidR="002B33F7"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dlaczego w danym s</w:t>
      </w:r>
      <w:r w:rsidR="00014901">
        <w:rPr>
          <w:rFonts w:ascii="Times New Roman" w:eastAsia="Times New Roman" w:hAnsi="Times New Roman" w:cs="Times New Roman"/>
          <w:sz w:val="24"/>
          <w:szCs w:val="24"/>
        </w:rPr>
        <w:t>t</w:t>
      </w:r>
      <w:r w:rsidRPr="008D7149">
        <w:rPr>
          <w:rFonts w:ascii="Times New Roman" w:eastAsia="Times New Roman" w:hAnsi="Times New Roman" w:cs="Times New Roman"/>
          <w:sz w:val="24"/>
          <w:szCs w:val="24"/>
        </w:rPr>
        <w:t xml:space="preserve">anie faktycznym to właśnie emisja obligacji w projektowanym trybie jest bardziej optymalnym rozwiązaniem niż inne źródła wskazane w art. 270 ust. 1 ustawy o BFG. </w:t>
      </w:r>
    </w:p>
    <w:p w14:paraId="3B4C6FA7" w14:textId="0F88F25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Polsce emisja dotyczyłaby głównie sytuacji konieczności wypłaty depozytów 1</w:t>
      </w:r>
      <w:r w:rsidR="00F46913">
        <w:rPr>
          <w:rFonts w:ascii="Times New Roman" w:hAnsi="Times New Roman" w:cs="Times New Roman"/>
          <w:sz w:val="24"/>
          <w:szCs w:val="24"/>
        </w:rPr>
        <w:t>–</w:t>
      </w:r>
      <w:r w:rsidRPr="008D7149">
        <w:rPr>
          <w:rFonts w:ascii="Times New Roman" w:hAnsi="Times New Roman" w:cs="Times New Roman"/>
          <w:sz w:val="24"/>
          <w:szCs w:val="24"/>
        </w:rPr>
        <w:t>2 banków jednocześnie lub upadłości średniego lub dużego banku komercyjnego, gdy łączna suma depozytów objętych systemem gwarantowania depozytów w sposób istotny będzie przewyższać środki zgromadzone przez system na ten cel. Warto także zwrócić uwagę na podobne rozwiązania instytucjonalne w państwach UE (np. w Szwecji), zgodnie z którymi podmiotem odpowiedzialnym za gwarantowanie depozytów oraz przeprowadzanie procesu przymusowej restrukturyzacji jest podmiot ściśle powiązany z ministerstwem finansów. W konsekwencji emitowane przez te instytucje obligacje są traktowane jako emisje własne Skarbu Państwa.</w:t>
      </w:r>
    </w:p>
    <w:p w14:paraId="7E642EB5" w14:textId="40E5A52B"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Zabezpieczeniem emisji obligacji przez BFG byłyby dochody BFG z tytułu pobieranych składek w kwotach określonych w tzw. ścieżce dojścia, prezentowanej w dokumentach akceptowanych przez Radę BFG i regularnie przekazywanych do Ministerstwa Finansów. W perspektywie inwestycyjnej (5, 10 lub 15 lat) kształtować się one będą w przedziale ok. 2 300,0 – 5 250,0 mln zł w skali roku, w pełni umożliwiając pokrycie kosztów emisji obligacji własnych, zarówno w zakresie spłaty bieżących odsetek, jak i spłaty kapitału (w momencie zapadalności obligacji – w formie skumulowanej lub przez systematyczny wykup części obligacji na podstawie zawartego w liście emisyjnym prawa do corocznego wcześniejszego wykupu).</w:t>
      </w:r>
    </w:p>
    <w:p w14:paraId="6460DC2C"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 uwagi na powyższe, gwarancja Skarbu Państwa obsługi obligacji BFG jest analogiczna do innych gwarancji Skarbu Państwa funkcjonujących w naszym systemie prawnym, a mianowicie:</w:t>
      </w:r>
    </w:p>
    <w:p w14:paraId="72EB7F17" w14:textId="77777777" w:rsidR="00695EEB" w:rsidRPr="008D7149" w:rsidRDefault="00695EEB" w:rsidP="001A685B">
      <w:pPr>
        <w:pStyle w:val="Akapitzlist"/>
        <w:numPr>
          <w:ilvl w:val="0"/>
          <w:numId w:val="11"/>
        </w:numPr>
        <w:autoSpaceDE w:val="0"/>
        <w:autoSpaceDN w:val="0"/>
        <w:adjustRightInd w:val="0"/>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 xml:space="preserve">gwarancji wypłaty zobowiązań z obligacji emitowanych przez BGK na zasilenie Krajowego Funduszu Drogowego, przewidzianej w ustawie z dnia 27 października 1994 r. </w:t>
      </w:r>
      <w:r w:rsidRPr="008D7149">
        <w:rPr>
          <w:rFonts w:ascii="Times New Roman" w:hAnsi="Times New Roman" w:cs="Times New Roman"/>
          <w:iCs/>
          <w:sz w:val="24"/>
          <w:szCs w:val="24"/>
        </w:rPr>
        <w:t>o autostradach płatnych oraz o Krajowym Funduszu Drogowym</w:t>
      </w:r>
      <w:r w:rsidRPr="008D7149">
        <w:rPr>
          <w:rFonts w:ascii="Times New Roman" w:hAnsi="Times New Roman" w:cs="Times New Roman"/>
          <w:i/>
          <w:iCs/>
          <w:sz w:val="24"/>
          <w:szCs w:val="24"/>
        </w:rPr>
        <w:t xml:space="preserve"> </w:t>
      </w:r>
      <w:r w:rsidRPr="008D7149">
        <w:rPr>
          <w:rFonts w:ascii="Times New Roman" w:hAnsi="Times New Roman" w:cs="Times New Roman"/>
          <w:sz w:val="24"/>
          <w:szCs w:val="24"/>
        </w:rPr>
        <w:t>(Dz. U. z 2020 r. poz. 2268, z późn. zm.),</w:t>
      </w:r>
    </w:p>
    <w:p w14:paraId="4F777FE7" w14:textId="20060797" w:rsidR="00695EEB" w:rsidRPr="008D7149" w:rsidRDefault="00695EEB" w:rsidP="001A685B">
      <w:pPr>
        <w:pStyle w:val="Akapitzlist"/>
        <w:numPr>
          <w:ilvl w:val="0"/>
          <w:numId w:val="11"/>
        </w:numPr>
        <w:autoSpaceDE w:val="0"/>
        <w:autoSpaceDN w:val="0"/>
        <w:adjustRightInd w:val="0"/>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 xml:space="preserve">gwarancji wypłaty zobowiązań z obligacji emitowanych przez </w:t>
      </w:r>
      <w:r w:rsidR="00BB2AD5" w:rsidRPr="008D7149">
        <w:rPr>
          <w:rFonts w:ascii="Times New Roman" w:hAnsi="Times New Roman" w:cs="Times New Roman"/>
          <w:sz w:val="24"/>
          <w:szCs w:val="24"/>
        </w:rPr>
        <w:t>BGK</w:t>
      </w:r>
      <w:r w:rsidRPr="008D7149">
        <w:rPr>
          <w:rFonts w:ascii="Times New Roman" w:hAnsi="Times New Roman" w:cs="Times New Roman"/>
          <w:sz w:val="24"/>
          <w:szCs w:val="24"/>
        </w:rPr>
        <w:t xml:space="preserve"> na zasilenie Funduszu Kolejowego, przewidzianej w ustawie z dnia 16 grudnia 2005 r. </w:t>
      </w:r>
      <w:r w:rsidRPr="008D7149">
        <w:rPr>
          <w:rFonts w:ascii="Times New Roman" w:hAnsi="Times New Roman" w:cs="Times New Roman"/>
          <w:iCs/>
          <w:sz w:val="24"/>
          <w:szCs w:val="24"/>
        </w:rPr>
        <w:t>o Funduszu Kolejowym</w:t>
      </w:r>
      <w:r w:rsidRPr="008D7149">
        <w:rPr>
          <w:rFonts w:ascii="Times New Roman" w:hAnsi="Times New Roman" w:cs="Times New Roman"/>
          <w:i/>
          <w:iCs/>
          <w:sz w:val="24"/>
          <w:szCs w:val="24"/>
        </w:rPr>
        <w:t xml:space="preserve"> </w:t>
      </w:r>
      <w:r w:rsidRPr="008D7149">
        <w:rPr>
          <w:rFonts w:ascii="Times New Roman" w:hAnsi="Times New Roman" w:cs="Times New Roman"/>
          <w:iCs/>
          <w:sz w:val="24"/>
          <w:szCs w:val="24"/>
        </w:rPr>
        <w:t xml:space="preserve">(Dz. U. z </w:t>
      </w:r>
      <w:r w:rsidR="00BB2AD5" w:rsidRPr="008D7149">
        <w:rPr>
          <w:rFonts w:ascii="Times New Roman" w:hAnsi="Times New Roman" w:cs="Times New Roman"/>
          <w:iCs/>
          <w:sz w:val="24"/>
          <w:szCs w:val="24"/>
        </w:rPr>
        <w:t xml:space="preserve">2022 </w:t>
      </w:r>
      <w:r w:rsidRPr="008D7149">
        <w:rPr>
          <w:rFonts w:ascii="Times New Roman" w:hAnsi="Times New Roman" w:cs="Times New Roman"/>
          <w:iCs/>
          <w:sz w:val="24"/>
          <w:szCs w:val="24"/>
        </w:rPr>
        <w:t xml:space="preserve">r. poz. </w:t>
      </w:r>
      <w:r w:rsidR="00BB2AD5" w:rsidRPr="008D7149">
        <w:rPr>
          <w:rFonts w:ascii="Times New Roman" w:hAnsi="Times New Roman" w:cs="Times New Roman"/>
          <w:iCs/>
          <w:sz w:val="24"/>
          <w:szCs w:val="24"/>
        </w:rPr>
        <w:t>146</w:t>
      </w:r>
      <w:r w:rsidRPr="008D7149">
        <w:rPr>
          <w:rFonts w:ascii="Times New Roman" w:hAnsi="Times New Roman" w:cs="Times New Roman"/>
          <w:iCs/>
          <w:sz w:val="24"/>
          <w:szCs w:val="24"/>
        </w:rPr>
        <w:t>)</w:t>
      </w:r>
      <w:r w:rsidRPr="008D7149">
        <w:rPr>
          <w:rFonts w:ascii="Times New Roman" w:hAnsi="Times New Roman" w:cs="Times New Roman"/>
          <w:sz w:val="24"/>
          <w:szCs w:val="24"/>
        </w:rPr>
        <w:t>, czy</w:t>
      </w:r>
    </w:p>
    <w:p w14:paraId="3672A626" w14:textId="37922B33" w:rsidR="00695EEB" w:rsidRPr="008D7149" w:rsidRDefault="00695EEB" w:rsidP="001A685B">
      <w:pPr>
        <w:pStyle w:val="Akapitzlist"/>
        <w:numPr>
          <w:ilvl w:val="0"/>
          <w:numId w:val="11"/>
        </w:numPr>
        <w:autoSpaceDE w:val="0"/>
        <w:autoSpaceDN w:val="0"/>
        <w:adjustRightInd w:val="0"/>
        <w:spacing w:after="0" w:line="360" w:lineRule="auto"/>
        <w:contextualSpacing w:val="0"/>
        <w:jc w:val="both"/>
        <w:rPr>
          <w:rFonts w:ascii="Times New Roman" w:hAnsi="Times New Roman" w:cs="Times New Roman"/>
          <w:sz w:val="24"/>
          <w:szCs w:val="24"/>
        </w:rPr>
      </w:pPr>
      <w:r w:rsidRPr="008D7149">
        <w:rPr>
          <w:rFonts w:ascii="Times New Roman" w:hAnsi="Times New Roman" w:cs="Times New Roman"/>
          <w:sz w:val="24"/>
          <w:szCs w:val="24"/>
        </w:rPr>
        <w:t xml:space="preserve">gwarancji udzielanych za zobowiązania Polskich Linii Kolejowych S.A. zgodnie z przepisami ustawy z dnia 8 maja 1997 r. </w:t>
      </w:r>
      <w:r w:rsidRPr="008D7149">
        <w:rPr>
          <w:rFonts w:ascii="Times New Roman" w:hAnsi="Times New Roman" w:cs="Times New Roman"/>
          <w:iCs/>
          <w:sz w:val="24"/>
          <w:szCs w:val="24"/>
        </w:rPr>
        <w:t>o poręczeniach i gwarancjach udzielanych przez Skarb Państwa oraz niektóre osoby prawne</w:t>
      </w:r>
      <w:r w:rsidRPr="008D7149">
        <w:rPr>
          <w:rFonts w:ascii="Times New Roman" w:hAnsi="Times New Roman" w:cs="Times New Roman"/>
          <w:sz w:val="24"/>
          <w:szCs w:val="24"/>
        </w:rPr>
        <w:t xml:space="preserve"> (Dz. U. z 2021 r. poz.</w:t>
      </w:r>
      <w:r w:rsidR="00BB2AD5" w:rsidRPr="008D7149">
        <w:rPr>
          <w:rFonts w:ascii="Times New Roman" w:hAnsi="Times New Roman" w:cs="Times New Roman"/>
          <w:sz w:val="24"/>
          <w:szCs w:val="24"/>
        </w:rPr>
        <w:t xml:space="preserve"> </w:t>
      </w:r>
      <w:r w:rsidRPr="008D7149">
        <w:rPr>
          <w:rFonts w:ascii="Times New Roman" w:hAnsi="Times New Roman" w:cs="Times New Roman"/>
          <w:sz w:val="24"/>
          <w:szCs w:val="24"/>
        </w:rPr>
        <w:t>442, z późn. zm.).</w:t>
      </w:r>
    </w:p>
    <w:p w14:paraId="675CC27D" w14:textId="0194F294"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We wszystkich powyższych przypadkach środki pozyskane z zagwarantowanych obligacji czy kredytów służą finansowaniu zadań publicznych (budowa dróg, autostrad i linii kolejowych), ale źródłem spłaty zaciąganych zobowiązań są środki własne ww. Funduszy lub PLK S.A.</w:t>
      </w:r>
      <w:r w:rsidR="00BB2AD5" w:rsidRPr="008D7149">
        <w:rPr>
          <w:rFonts w:ascii="Times New Roman" w:hAnsi="Times New Roman" w:cs="Times New Roman"/>
          <w:sz w:val="24"/>
          <w:szCs w:val="24"/>
        </w:rPr>
        <w:t>,</w:t>
      </w:r>
      <w:r w:rsidRPr="008D7149">
        <w:rPr>
          <w:rFonts w:ascii="Times New Roman" w:hAnsi="Times New Roman" w:cs="Times New Roman"/>
          <w:sz w:val="24"/>
          <w:szCs w:val="24"/>
        </w:rPr>
        <w:t xml:space="preserve"> nie zaś środki przekazywane bezpośrednio przez budżet państwa w wysokości gwarantującej całkowitą ich spłatę. Dlatego też w powyższych przypadkach dokonywana jest analiza ryzyka wypłat przez Skarb Państwa z tytułu udzielanych gwarancji, biorąca pod uwagę przede wszystkim możliwość samodzielnej spłaty zobowiązań przez podmiot je zaciągający w oparciu o dokumenty dostarczone wraz z wnioskiem o udzielenie gwarancji.</w:t>
      </w:r>
    </w:p>
    <w:p w14:paraId="6C9E2893" w14:textId="1A888BA4"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316a ust. 1</w:t>
      </w:r>
      <w:r w:rsidR="001A685B">
        <w:rPr>
          <w:rFonts w:ascii="Times New Roman" w:hAnsi="Times New Roman" w:cs="Times New Roman"/>
          <w:b/>
          <w:sz w:val="24"/>
          <w:szCs w:val="24"/>
        </w:rPr>
        <w:t>–</w:t>
      </w:r>
      <w:r w:rsidRPr="008D7149">
        <w:rPr>
          <w:rFonts w:ascii="Times New Roman" w:hAnsi="Times New Roman" w:cs="Times New Roman"/>
          <w:b/>
          <w:sz w:val="24"/>
          <w:szCs w:val="24"/>
        </w:rPr>
        <w:t xml:space="preserve">4 </w:t>
      </w:r>
      <w:r w:rsidR="00BB2AD5" w:rsidRPr="001A685B">
        <w:rPr>
          <w:rFonts w:ascii="Times New Roman" w:hAnsi="Times New Roman" w:cs="Times New Roman"/>
          <w:sz w:val="24"/>
          <w:szCs w:val="24"/>
        </w:rPr>
        <w:t>ustawy o BFG</w:t>
      </w:r>
      <w:r w:rsidR="00BB2AD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ma na celu uregulowanie w zakresie specjalnego – uproszczonego względem ustawy </w:t>
      </w:r>
      <w:r w:rsidR="00BB2AD5"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o obligacjach – trybu emisji obligacji przez BFG, który będzie ograniczony wyłącznie do realizacji zadań określonych w art. 5 ust. 1 pkt 1, 4 i 7</w:t>
      </w:r>
      <w:r w:rsidR="00BB2AD5"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w tym refinansowania zobowi</w:t>
      </w:r>
      <w:r w:rsidR="00CF2839">
        <w:rPr>
          <w:rFonts w:ascii="Times New Roman" w:hAnsi="Times New Roman" w:cs="Times New Roman"/>
          <w:sz w:val="24"/>
          <w:szCs w:val="24"/>
        </w:rPr>
        <w:t>ą</w:t>
      </w:r>
      <w:r w:rsidRPr="008D7149">
        <w:rPr>
          <w:rFonts w:ascii="Times New Roman" w:hAnsi="Times New Roman" w:cs="Times New Roman"/>
          <w:sz w:val="24"/>
          <w:szCs w:val="24"/>
        </w:rPr>
        <w:t>zań pozyskanych na realizacje tych zadań oraz ekstraordynaryjnego stanu faktycznego</w:t>
      </w:r>
      <w:r w:rsidR="001A1E76">
        <w:rPr>
          <w:rFonts w:ascii="Times New Roman" w:hAnsi="Times New Roman" w:cs="Times New Roman"/>
          <w:sz w:val="24"/>
          <w:szCs w:val="24"/>
        </w:rPr>
        <w:t>,</w:t>
      </w:r>
      <w:r w:rsidRPr="008D7149">
        <w:rPr>
          <w:rFonts w:ascii="Times New Roman" w:hAnsi="Times New Roman" w:cs="Times New Roman"/>
          <w:sz w:val="24"/>
          <w:szCs w:val="24"/>
        </w:rPr>
        <w:t xml:space="preserve"> tj. obarczonego koniecznością spełnienia warunków określonych w art. 316c</w:t>
      </w:r>
      <w:r w:rsidR="00BB2AD5"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xml:space="preserve">. W ust. 3 wskazuje się, że zobowiązania BFG z tytułu wyemitowanych obligacji w tym trybie będą objęte gwarancją Skarbu Państwa. W tym kontekście należy zauważyć, że BFG jest uznawany przez Eurostat od 2014 r. za jednostkę sektora instytucji rządowych i samorządowych – </w:t>
      </w:r>
      <w:proofErr w:type="spellStart"/>
      <w:r w:rsidRPr="008D7149">
        <w:rPr>
          <w:rFonts w:ascii="Times New Roman" w:hAnsi="Times New Roman" w:cs="Times New Roman"/>
          <w:i/>
          <w:sz w:val="24"/>
          <w:szCs w:val="24"/>
        </w:rPr>
        <w:t>general</w:t>
      </w:r>
      <w:proofErr w:type="spellEnd"/>
      <w:r w:rsidRPr="008D7149">
        <w:rPr>
          <w:rFonts w:ascii="Times New Roman" w:hAnsi="Times New Roman" w:cs="Times New Roman"/>
          <w:i/>
          <w:sz w:val="24"/>
          <w:szCs w:val="24"/>
        </w:rPr>
        <w:t xml:space="preserve"> </w:t>
      </w:r>
      <w:proofErr w:type="spellStart"/>
      <w:r w:rsidRPr="008D7149">
        <w:rPr>
          <w:rFonts w:ascii="Times New Roman" w:hAnsi="Times New Roman" w:cs="Times New Roman"/>
          <w:i/>
          <w:sz w:val="24"/>
          <w:szCs w:val="24"/>
        </w:rPr>
        <w:t>government</w:t>
      </w:r>
      <w:proofErr w:type="spellEnd"/>
      <w:r w:rsidRPr="008D7149">
        <w:rPr>
          <w:rFonts w:ascii="Times New Roman" w:hAnsi="Times New Roman" w:cs="Times New Roman"/>
          <w:sz w:val="24"/>
          <w:szCs w:val="24"/>
        </w:rPr>
        <w:t xml:space="preserve">, a od 1 stycznia 2022 r. BFG stanie się jednostką sektora finansów publicznych. Tym samym środki BFG są traktowane w świetle prawa polskiego i prawa Unii Europejskiej jako środki publiczne. Zatem w przypadku braku środków na finansowanie zadań określonych w ustawie o BFG prawdopodobnie to Skarb Państwa musiałby zapewnić wsparcie. W związku z powyższym, słusznym rozwiązaniem – także dla finansów publicznych – jest wprowadzenie alternatywnego sposobu pozyskania przez BFG awaryjnego finansowania np. szybkiego i prostego sposobu emisji obligacji, który pozwoli na skuteczne przeprowadzenie emisji, </w:t>
      </w:r>
      <w:r w:rsidR="00BB2AD5" w:rsidRPr="008D7149">
        <w:rPr>
          <w:rFonts w:ascii="Times New Roman" w:hAnsi="Times New Roman" w:cs="Times New Roman"/>
          <w:sz w:val="24"/>
          <w:szCs w:val="24"/>
        </w:rPr>
        <w:t xml:space="preserve">a </w:t>
      </w:r>
      <w:r w:rsidRPr="008D7149">
        <w:rPr>
          <w:rFonts w:ascii="Times New Roman" w:hAnsi="Times New Roman" w:cs="Times New Roman"/>
          <w:sz w:val="24"/>
          <w:szCs w:val="24"/>
        </w:rPr>
        <w:t>gwarancja Skarbu Państwa znacząco zwiększy atrakcyjność takich obligacji. Emisja obligacji przez BFG umożliwi więc szybkie pozyskanie środków na finansowanie określonych ustawowo działań BFG</w:t>
      </w:r>
      <w:r w:rsidR="00BB2AD5" w:rsidRPr="008D7149">
        <w:rPr>
          <w:rFonts w:ascii="Times New Roman" w:hAnsi="Times New Roman" w:cs="Times New Roman"/>
          <w:sz w:val="24"/>
          <w:szCs w:val="24"/>
        </w:rPr>
        <w:t>,</w:t>
      </w:r>
      <w:r w:rsidRPr="008D7149">
        <w:rPr>
          <w:rFonts w:ascii="Times New Roman" w:hAnsi="Times New Roman" w:cs="Times New Roman"/>
          <w:sz w:val="24"/>
          <w:szCs w:val="24"/>
        </w:rPr>
        <w:t xml:space="preserve"> stanowiąc alternatywę dla źródeł finansowania określonych w art. 270 ust. 1 ustawy o BFG w przypadku ich niedostępności czy braku wydajności z punkt</w:t>
      </w:r>
      <w:r w:rsidR="00BB2AD5" w:rsidRPr="008D7149">
        <w:rPr>
          <w:rFonts w:ascii="Times New Roman" w:hAnsi="Times New Roman" w:cs="Times New Roman"/>
          <w:sz w:val="24"/>
          <w:szCs w:val="24"/>
        </w:rPr>
        <w:t>u</w:t>
      </w:r>
      <w:r w:rsidRPr="008D7149">
        <w:rPr>
          <w:rFonts w:ascii="Times New Roman" w:hAnsi="Times New Roman" w:cs="Times New Roman"/>
          <w:sz w:val="24"/>
          <w:szCs w:val="24"/>
        </w:rPr>
        <w:t xml:space="preserve"> widzenia celów i zadań BFG. </w:t>
      </w:r>
    </w:p>
    <w:p w14:paraId="0A877037" w14:textId="39FFD555"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316a ust. 2 </w:t>
      </w:r>
      <w:r w:rsidR="00BB2AD5" w:rsidRPr="001A685B">
        <w:rPr>
          <w:rFonts w:ascii="Times New Roman" w:hAnsi="Times New Roman" w:cs="Times New Roman"/>
          <w:sz w:val="24"/>
          <w:szCs w:val="24"/>
        </w:rPr>
        <w:t>ustawy o BFG</w:t>
      </w:r>
      <w:r w:rsidR="00BB2AD5" w:rsidRPr="008D7149">
        <w:rPr>
          <w:rFonts w:ascii="Times New Roman" w:hAnsi="Times New Roman" w:cs="Times New Roman"/>
          <w:b/>
          <w:sz w:val="24"/>
          <w:szCs w:val="24"/>
        </w:rPr>
        <w:t xml:space="preserve"> </w:t>
      </w:r>
      <w:r w:rsidRPr="008D7149">
        <w:rPr>
          <w:rFonts w:ascii="Times New Roman" w:hAnsi="Times New Roman" w:cs="Times New Roman"/>
          <w:sz w:val="24"/>
          <w:szCs w:val="24"/>
        </w:rPr>
        <w:t>ma na celu umożliwić przeznaczenie środków z emisji obligacji także na refinansowanie zobowiązań finansowych BFG. Taka ewentualność mogłaby dotyczyć: pożyczki krótkoterminowej z NBP, pożyczki z budżetu państwa, pożyczki od innych systemów gwarantowania depozytów</w:t>
      </w:r>
      <w:r w:rsidR="00BB2AD5" w:rsidRPr="008D7149">
        <w:rPr>
          <w:rFonts w:ascii="Times New Roman" w:hAnsi="Times New Roman" w:cs="Times New Roman"/>
          <w:sz w:val="24"/>
          <w:szCs w:val="24"/>
        </w:rPr>
        <w:t>,</w:t>
      </w:r>
      <w:r w:rsidRPr="008D7149">
        <w:rPr>
          <w:rFonts w:ascii="Times New Roman" w:hAnsi="Times New Roman" w:cs="Times New Roman"/>
          <w:sz w:val="24"/>
          <w:szCs w:val="24"/>
        </w:rPr>
        <w:t xml:space="preserve"> a także wcześniej wyemitowanych obligacji BFG. Aktualnie proponowane przepisy dotyczące przeznaczenia emisji obligacji BFG przewidują możliwość przeznaczenia pozyskanych środków z obligacji wyłącznie na realizację zadań określonych w art. 5 ust. 1 pkt 1, 3, 4 i 7 ustawy o BFG</w:t>
      </w:r>
      <w:r w:rsidR="00BB2AD5" w:rsidRPr="008D7149">
        <w:rPr>
          <w:rFonts w:ascii="Times New Roman" w:hAnsi="Times New Roman" w:cs="Times New Roman"/>
          <w:sz w:val="24"/>
          <w:szCs w:val="24"/>
        </w:rPr>
        <w:t>,</w:t>
      </w:r>
      <w:r w:rsidRPr="008D7149">
        <w:rPr>
          <w:rFonts w:ascii="Times New Roman" w:hAnsi="Times New Roman" w:cs="Times New Roman"/>
          <w:sz w:val="24"/>
          <w:szCs w:val="24"/>
        </w:rPr>
        <w:t xml:space="preserve"> tj. wykonywanie przez BFG obowiązków wynikających z gwarantowania depozytów (…), prowadzenie przymusowej restrukturyzacji, prowadzenie innych działań na rzecz stabilności krajowego systemu finansowego.</w:t>
      </w:r>
    </w:p>
    <w:p w14:paraId="08E8952C" w14:textId="0361DE2F"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Powyższe rozwiązanie umożliwiłoby elastyczne działanie BFG w przypadku realizacji różnych, niekorzystnych scenariuszy makroekonomicznych. W przypadku pożyczki z N</w:t>
      </w:r>
      <w:r w:rsidR="00BB2AD5" w:rsidRPr="008D7149">
        <w:rPr>
          <w:rFonts w:ascii="Times New Roman" w:hAnsi="Times New Roman" w:cs="Times New Roman"/>
          <w:sz w:val="24"/>
          <w:szCs w:val="24"/>
        </w:rPr>
        <w:t xml:space="preserve">arodowego </w:t>
      </w:r>
      <w:r w:rsidRPr="008D7149">
        <w:rPr>
          <w:rFonts w:ascii="Times New Roman" w:hAnsi="Times New Roman" w:cs="Times New Roman"/>
          <w:sz w:val="24"/>
          <w:szCs w:val="24"/>
        </w:rPr>
        <w:t>B</w:t>
      </w:r>
      <w:r w:rsidR="00BB2AD5" w:rsidRPr="008D7149">
        <w:rPr>
          <w:rFonts w:ascii="Times New Roman" w:hAnsi="Times New Roman" w:cs="Times New Roman"/>
          <w:sz w:val="24"/>
          <w:szCs w:val="24"/>
        </w:rPr>
        <w:t xml:space="preserve">anku </w:t>
      </w:r>
      <w:r w:rsidRPr="008D7149">
        <w:rPr>
          <w:rFonts w:ascii="Times New Roman" w:hAnsi="Times New Roman" w:cs="Times New Roman"/>
          <w:sz w:val="24"/>
          <w:szCs w:val="24"/>
        </w:rPr>
        <w:t>P</w:t>
      </w:r>
      <w:r w:rsidR="00BB2AD5" w:rsidRPr="008D7149">
        <w:rPr>
          <w:rFonts w:ascii="Times New Roman" w:hAnsi="Times New Roman" w:cs="Times New Roman"/>
          <w:sz w:val="24"/>
          <w:szCs w:val="24"/>
        </w:rPr>
        <w:t>olskiego</w:t>
      </w:r>
      <w:r w:rsidRPr="008D7149">
        <w:rPr>
          <w:rFonts w:ascii="Times New Roman" w:hAnsi="Times New Roman" w:cs="Times New Roman"/>
          <w:sz w:val="24"/>
          <w:szCs w:val="24"/>
        </w:rPr>
        <w:t xml:space="preserve"> takie finansowanie mogłoby mieć charakter pomostowy w stosunku do docelowej emisji obligacji BFG. W przypadku pilnej potrzeby pozyskania finansowania przez BFG, z równoczesnym wymogiem wydłużonego okresu spłaty pozyskanego finansowania, rozwiązaniem byłoby właśnie umożliwienie pokrycia obligacjami dotychczasowych zobowiązań </w:t>
      </w:r>
      <w:r w:rsidR="00BB2AD5" w:rsidRPr="008D7149">
        <w:rPr>
          <w:rFonts w:ascii="Times New Roman" w:hAnsi="Times New Roman" w:cs="Times New Roman"/>
          <w:sz w:val="24"/>
          <w:szCs w:val="24"/>
        </w:rPr>
        <w:t xml:space="preserve">BFG </w:t>
      </w:r>
      <w:r w:rsidRPr="008D7149">
        <w:rPr>
          <w:rFonts w:ascii="Times New Roman" w:hAnsi="Times New Roman" w:cs="Times New Roman"/>
          <w:sz w:val="24"/>
          <w:szCs w:val="24"/>
        </w:rPr>
        <w:t xml:space="preserve">(np. z pożyczki z budżetu państwa), zapewniając stabilne działanie BFG i nie przenosząc w sposób natychmiastowy kosztów na sektor finansowy, co mogłoby negatywnie wpłynąć na jego stabilność. Projektowane rozwiązanie rozkłada w czasie konieczność pokrycia tych zobowiązań przez sektor, nie powodując skokowego zwiększenia składek na BFG. </w:t>
      </w:r>
    </w:p>
    <w:p w14:paraId="5DAF6C62" w14:textId="6B197939" w:rsidR="00695EEB" w:rsidRPr="008D7149" w:rsidRDefault="00695EEB" w:rsidP="008D7149">
      <w:pPr>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t xml:space="preserve">Dodanie </w:t>
      </w:r>
      <w:r w:rsidRPr="008D7149">
        <w:rPr>
          <w:rFonts w:ascii="Times New Roman" w:eastAsia="Times New Roman" w:hAnsi="Times New Roman" w:cs="Times New Roman"/>
          <w:b/>
          <w:sz w:val="24"/>
          <w:szCs w:val="24"/>
        </w:rPr>
        <w:t xml:space="preserve">art. 316a ust. 4 </w:t>
      </w:r>
      <w:r w:rsidR="00BB2AD5" w:rsidRPr="001A685B">
        <w:rPr>
          <w:rFonts w:ascii="Times New Roman" w:eastAsia="Times New Roman" w:hAnsi="Times New Roman" w:cs="Times New Roman"/>
          <w:sz w:val="24"/>
          <w:szCs w:val="24"/>
        </w:rPr>
        <w:t>ustawy o BFG</w:t>
      </w:r>
      <w:r w:rsidR="00BB2AD5" w:rsidRPr="008D7149">
        <w:rPr>
          <w:rFonts w:ascii="Times New Roman" w:eastAsia="Times New Roman" w:hAnsi="Times New Roman" w:cs="Times New Roman"/>
          <w:b/>
          <w:sz w:val="24"/>
          <w:szCs w:val="24"/>
        </w:rPr>
        <w:t xml:space="preserve"> </w:t>
      </w:r>
      <w:r w:rsidRPr="008D7149">
        <w:rPr>
          <w:rFonts w:ascii="Times New Roman" w:eastAsia="Times New Roman" w:hAnsi="Times New Roman" w:cs="Times New Roman"/>
          <w:sz w:val="24"/>
          <w:szCs w:val="24"/>
        </w:rPr>
        <w:t>wprowadza wymóg, że do udzielanej gwarancji nie stosuje się przepisów ustawy z dnia 8 maja 1997 r. o poręczeniach i gwarancjach udzielanych przez Skarb Państwa oraz niektóre osoby prawne, z wyjątkiem stosowanych odpowiednio art. 43b, art. 44, art. 45 i art. 46 tej ustawy. Wyłączenie jest tożsame względem zastosowanego w art. 21aa ustawy</w:t>
      </w:r>
      <w:r w:rsidR="00270629">
        <w:rPr>
          <w:rFonts w:ascii="Times New Roman" w:eastAsia="Times New Roman" w:hAnsi="Times New Roman" w:cs="Times New Roman"/>
          <w:sz w:val="24"/>
          <w:szCs w:val="24"/>
        </w:rPr>
        <w:t xml:space="preserve"> z</w:t>
      </w:r>
      <w:r w:rsidRPr="008D7149">
        <w:rPr>
          <w:rFonts w:ascii="Times New Roman" w:eastAsia="Times New Roman" w:hAnsi="Times New Roman" w:cs="Times New Roman"/>
          <w:sz w:val="24"/>
          <w:szCs w:val="24"/>
        </w:rPr>
        <w:t xml:space="preserve"> dnia 4 lipca 2019 r. o systemie instytucji rozwoju (Dz. U. z 2021 r. poz. 1010, z późn. zm.). Wynika to z charakteru takiej emisji, która będzie miała</w:t>
      </w:r>
      <w:r w:rsidR="004166A7">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co do zasady</w:t>
      </w:r>
      <w:r w:rsidR="004166A7">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następować wyłącznie w sytuacji kryzysowej, gdy skala wydarzeń na rynku finansowym skutkująca koniecznością interwencji ze strony BFG będzie w rozmiarach przewyższających wysokość środków znajdujących się na właściwych funduszach BFG, natomiast możliwości pozyskania alternatywnego finansowania przez BFG będą utrudnione lub ekonomicznie nieopłacalne. Specyfika sytuacji kryzysowych na rynku finansowym wymaga co do zasady szybkiego i efektywnego działania, ponieważ wyłącznie natychmiastowa interwencja może zapobiec efektowi zarażenia, tym samym ekspansji kryzysu także na inne, wcześniej stabilne podmioty. Zastosowanie przepisów ww. ustawy do gwarancji udzielanej BFG wydłużyłoby czas emisji do potencjalnie kilku miesięcy, co czyniłoby już taką emisje bezprzedmiotową. </w:t>
      </w:r>
    </w:p>
    <w:p w14:paraId="2DDDDCAB" w14:textId="454BF59F" w:rsidR="00695EEB" w:rsidRPr="008D7149" w:rsidRDefault="00695EEB" w:rsidP="008D7149">
      <w:pPr>
        <w:spacing w:before="120" w:after="0" w:line="360" w:lineRule="auto"/>
        <w:jc w:val="both"/>
        <w:rPr>
          <w:rFonts w:ascii="Times New Roman" w:eastAsia="Times New Roman" w:hAnsi="Times New Roman" w:cs="Times New Roman"/>
          <w:sz w:val="24"/>
          <w:szCs w:val="24"/>
        </w:rPr>
      </w:pPr>
      <w:r w:rsidRPr="008D7149">
        <w:rPr>
          <w:rFonts w:ascii="Times New Roman" w:eastAsia="Times New Roman" w:hAnsi="Times New Roman" w:cs="Times New Roman"/>
          <w:sz w:val="24"/>
          <w:szCs w:val="24"/>
        </w:rPr>
        <w:t>Dodanie</w:t>
      </w:r>
      <w:r w:rsidRPr="008D7149">
        <w:rPr>
          <w:rFonts w:ascii="Times New Roman" w:eastAsia="Times New Roman" w:hAnsi="Times New Roman" w:cs="Times New Roman"/>
          <w:b/>
          <w:sz w:val="24"/>
          <w:szCs w:val="24"/>
        </w:rPr>
        <w:t xml:space="preserve"> art. 316a ust. 5 </w:t>
      </w:r>
      <w:r w:rsidR="006064D0" w:rsidRPr="001A685B">
        <w:rPr>
          <w:rFonts w:ascii="Times New Roman" w:eastAsia="Times New Roman" w:hAnsi="Times New Roman" w:cs="Times New Roman"/>
          <w:sz w:val="24"/>
          <w:szCs w:val="24"/>
        </w:rPr>
        <w:t>ustawy o BFG</w:t>
      </w:r>
      <w:r w:rsidR="006064D0" w:rsidRPr="008D7149">
        <w:rPr>
          <w:rFonts w:ascii="Times New Roman" w:eastAsia="Times New Roman" w:hAnsi="Times New Roman" w:cs="Times New Roman"/>
          <w:b/>
          <w:sz w:val="24"/>
          <w:szCs w:val="24"/>
        </w:rPr>
        <w:t xml:space="preserve"> </w:t>
      </w:r>
      <w:r w:rsidRPr="008D7149">
        <w:rPr>
          <w:rFonts w:ascii="Times New Roman" w:eastAsia="Times New Roman" w:hAnsi="Times New Roman" w:cs="Times New Roman"/>
          <w:sz w:val="24"/>
          <w:szCs w:val="24"/>
        </w:rPr>
        <w:t xml:space="preserve">wskazuje, że </w:t>
      </w:r>
      <w:r w:rsidRPr="008D7149">
        <w:rPr>
          <w:rFonts w:ascii="Times New Roman" w:hAnsi="Times New Roman" w:cs="Times New Roman"/>
          <w:sz w:val="24"/>
          <w:szCs w:val="24"/>
        </w:rPr>
        <w:t xml:space="preserve">gwarancja będzie udzielana do wysokości 100% pozostających do wypłaty świadczeń pieniężnych wynikających z wyemitowanych obligacji objętych gwarancją wraz ze 100% należnych odsetek od tej kwoty i innych kosztów bezpośrednio związanych z obligacjami. Takie uformowanie gwarancji najlepiej spełni swoją rolę zachęcając jak największą liczbę podmiotów rynkowych do nabycia obligacji wyemitowanych przez BFG. </w:t>
      </w:r>
      <w:r w:rsidR="006064D0" w:rsidRPr="008D7149">
        <w:rPr>
          <w:rFonts w:ascii="Times New Roman" w:hAnsi="Times New Roman" w:cs="Times New Roman"/>
          <w:sz w:val="24"/>
          <w:szCs w:val="24"/>
        </w:rPr>
        <w:t xml:space="preserve">Przepis </w:t>
      </w:r>
      <w:r w:rsidRPr="008D7149">
        <w:rPr>
          <w:rFonts w:ascii="Times New Roman" w:hAnsi="Times New Roman" w:cs="Times New Roman"/>
          <w:sz w:val="24"/>
          <w:szCs w:val="24"/>
        </w:rPr>
        <w:t>jest tożsamy z innymi występującymi w systemie prawnym przy tego typu gwarancjach</w:t>
      </w:r>
      <w:r w:rsidR="004166A7">
        <w:rPr>
          <w:rFonts w:ascii="Times New Roman" w:hAnsi="Times New Roman" w:cs="Times New Roman"/>
          <w:sz w:val="24"/>
          <w:szCs w:val="24"/>
        </w:rPr>
        <w:t>,</w:t>
      </w:r>
      <w:r w:rsidRPr="008D7149">
        <w:rPr>
          <w:rFonts w:ascii="Times New Roman" w:hAnsi="Times New Roman" w:cs="Times New Roman"/>
          <w:sz w:val="24"/>
          <w:szCs w:val="24"/>
        </w:rPr>
        <w:t xml:space="preserve"> np. art. 21aa </w:t>
      </w:r>
      <w:r w:rsidRPr="008D7149">
        <w:rPr>
          <w:rFonts w:ascii="Times New Roman" w:eastAsia="Times New Roman" w:hAnsi="Times New Roman" w:cs="Times New Roman"/>
          <w:sz w:val="24"/>
          <w:szCs w:val="24"/>
        </w:rPr>
        <w:t>ustawy dnia 4 lipca 2019 r. o systemie instytucji rozwoju.</w:t>
      </w:r>
    </w:p>
    <w:p w14:paraId="336769A2" w14:textId="5C956F1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sz w:val="24"/>
          <w:szCs w:val="24"/>
        </w:rPr>
        <w:t>Dodanie</w:t>
      </w:r>
      <w:r w:rsidRPr="008D7149">
        <w:rPr>
          <w:rFonts w:ascii="Times New Roman" w:eastAsia="Times New Roman" w:hAnsi="Times New Roman" w:cs="Times New Roman"/>
          <w:b/>
          <w:sz w:val="24"/>
          <w:szCs w:val="24"/>
        </w:rPr>
        <w:t xml:space="preserve"> art. 316a ust. 6 i 7 </w:t>
      </w:r>
      <w:r w:rsidR="006064D0" w:rsidRPr="001A685B">
        <w:rPr>
          <w:rFonts w:ascii="Times New Roman" w:eastAsia="Times New Roman" w:hAnsi="Times New Roman" w:cs="Times New Roman"/>
          <w:sz w:val="24"/>
          <w:szCs w:val="24"/>
        </w:rPr>
        <w:t>ustawy o BFG</w:t>
      </w:r>
      <w:r w:rsidR="006064D0" w:rsidRPr="008D7149">
        <w:rPr>
          <w:rFonts w:ascii="Times New Roman" w:eastAsia="Times New Roman" w:hAnsi="Times New Roman" w:cs="Times New Roman"/>
          <w:b/>
          <w:sz w:val="24"/>
          <w:szCs w:val="24"/>
        </w:rPr>
        <w:t xml:space="preserve"> </w:t>
      </w:r>
      <w:r w:rsidRPr="008D7149">
        <w:rPr>
          <w:rFonts w:ascii="Times New Roman" w:hAnsi="Times New Roman" w:cs="Times New Roman"/>
          <w:sz w:val="24"/>
          <w:szCs w:val="24"/>
        </w:rPr>
        <w:t>wynika ze szczególnego charakteru gwarancji udzielanej dla BFG oraz celu samej emisji, która będzie realizowania awaryjnie dla utrzymania stabilności krajowego systemu finansowego</w:t>
      </w:r>
      <w:r w:rsidR="006064D0" w:rsidRPr="008D7149">
        <w:rPr>
          <w:rFonts w:ascii="Times New Roman" w:hAnsi="Times New Roman" w:cs="Times New Roman"/>
          <w:sz w:val="24"/>
          <w:szCs w:val="24"/>
        </w:rPr>
        <w:t>,</w:t>
      </w:r>
      <w:r w:rsidRPr="008D7149">
        <w:rPr>
          <w:rFonts w:ascii="Times New Roman" w:hAnsi="Times New Roman" w:cs="Times New Roman"/>
          <w:sz w:val="24"/>
          <w:szCs w:val="24"/>
        </w:rPr>
        <w:t xml:space="preserve"> a środki z niej uzyskane będą wykorzystane na realizacje przez BFG ustawowych zadań w postaci prowadzenia przymusowej restrukturyzacji lub realizacji zobowiązań systemu gwarantowania depozytów. Należy zauważyć, że w przypadku braku środków na finansowanie tych zadań prawdopodobnie to Skarb Państwa musiałby zapewnić ich pokrycie. Tym samym emisja obligacji przez BFG ogranicza koszty po stronie budżetu, dlatego konieczność wniesienia przez BFG opłaty prowizyjnej od tej gwarancji, o której mowa w art. 2c ww. ustawy, nie byłaby celowa. Z tożsamych względów BFG nie będzie zobowiązany do udzielenia zabezpieczenia. BFG</w:t>
      </w:r>
      <w:r w:rsidR="006064D0" w:rsidRPr="008D7149">
        <w:rPr>
          <w:rFonts w:ascii="Times New Roman" w:hAnsi="Times New Roman" w:cs="Times New Roman"/>
          <w:sz w:val="24"/>
          <w:szCs w:val="24"/>
        </w:rPr>
        <w:t>,</w:t>
      </w:r>
      <w:r w:rsidRPr="008D7149">
        <w:rPr>
          <w:rFonts w:ascii="Times New Roman" w:hAnsi="Times New Roman" w:cs="Times New Roman"/>
          <w:sz w:val="24"/>
          <w:szCs w:val="24"/>
        </w:rPr>
        <w:t xml:space="preserve"> wypełniając zadania ustawowe określone w art. 5 ustawy o BFG</w:t>
      </w:r>
      <w:r w:rsidR="006064D0" w:rsidRPr="008D7149">
        <w:rPr>
          <w:rFonts w:ascii="Times New Roman" w:hAnsi="Times New Roman" w:cs="Times New Roman"/>
          <w:sz w:val="24"/>
          <w:szCs w:val="24"/>
        </w:rPr>
        <w:t>,</w:t>
      </w:r>
      <w:r w:rsidRPr="008D7149">
        <w:rPr>
          <w:rFonts w:ascii="Times New Roman" w:hAnsi="Times New Roman" w:cs="Times New Roman"/>
          <w:sz w:val="24"/>
          <w:szCs w:val="24"/>
        </w:rPr>
        <w:t xml:space="preserve"> działa w sferze prawa publicznego. Jest osobą prawną utworzoną na podstawie ustawy w celu wykonywania zadań publicznych. Biorąc pod uwagę powyższe, jest podmiotem w stosunku do którego nie można ogłosić upadłości, o której mowa art. 6 pkt 4 ustawy z dnia 28 lutego 2003 r. </w:t>
      </w:r>
      <w:r w:rsidR="001A1E76">
        <w:rPr>
          <w:rFonts w:ascii="Times New Roman" w:hAnsi="Times New Roman" w:cs="Times New Roman"/>
          <w:sz w:val="24"/>
          <w:szCs w:val="24"/>
        </w:rPr>
        <w:t>–</w:t>
      </w:r>
      <w:r w:rsidRPr="008D7149">
        <w:rPr>
          <w:rFonts w:ascii="Times New Roman" w:hAnsi="Times New Roman" w:cs="Times New Roman"/>
          <w:sz w:val="24"/>
          <w:szCs w:val="24"/>
        </w:rPr>
        <w:t xml:space="preserve"> Prawo upadłościowe. Ponadto zabezpieczeniem emisji obligacji przez BFG byłyby dochody BFG z tytułu pobieranych składek w kwotach określonych w tzw. ścieżce dojścia, prezentowanej w dokumentach akceptowanych przez Radę BFG i regularnie przekazywanych do Ministerstwa Finansów. W perspektywie inwestycyjnej (5, 10 lub 15 lat) kształtować się one będą w przedziale ok. 2 300,0</w:t>
      </w:r>
      <w:r w:rsidR="004166A7">
        <w:rPr>
          <w:rFonts w:ascii="Times New Roman" w:hAnsi="Times New Roman" w:cs="Times New Roman"/>
          <w:sz w:val="24"/>
          <w:szCs w:val="24"/>
        </w:rPr>
        <w:t>–</w:t>
      </w:r>
      <w:r w:rsidRPr="008D7149">
        <w:rPr>
          <w:rFonts w:ascii="Times New Roman" w:hAnsi="Times New Roman" w:cs="Times New Roman"/>
          <w:sz w:val="24"/>
          <w:szCs w:val="24"/>
        </w:rPr>
        <w:t xml:space="preserve">5 250,0 mln zł w skali roku, w pełni umożliwiając pokrycie kosztów emisji obligacji własnych, zarówno w zakresie spłaty bieżących odsetek, jak i spłaty kapitału (w momencie zapadalności obligacji – w formie skumulowanej lub poprzez systematyczny wykup części obligacji na podstawie zawartego w liście emisyjnym prawa do corocznego wcześniejszego wykupu). Z tych względów udzielanie przez BFG zabezpieczenia do gwarancji nie znajduje uzasadnienia. Natomiast ust. 6 ma charakter awaryjny na okoliczność, </w:t>
      </w:r>
      <w:r w:rsidR="004166A7">
        <w:rPr>
          <w:rFonts w:ascii="Times New Roman" w:hAnsi="Times New Roman" w:cs="Times New Roman"/>
          <w:sz w:val="24"/>
          <w:szCs w:val="24"/>
        </w:rPr>
        <w:t>gdy</w:t>
      </w:r>
      <w:r w:rsidRPr="008D7149">
        <w:rPr>
          <w:rFonts w:ascii="Times New Roman" w:hAnsi="Times New Roman" w:cs="Times New Roman"/>
          <w:sz w:val="24"/>
          <w:szCs w:val="24"/>
        </w:rPr>
        <w:t>by ze względów makroekonomicznych BFG utracił płynność</w:t>
      </w:r>
      <w:r w:rsidR="006064D0" w:rsidRPr="008D7149">
        <w:rPr>
          <w:rFonts w:ascii="Times New Roman" w:hAnsi="Times New Roman" w:cs="Times New Roman"/>
          <w:sz w:val="24"/>
          <w:szCs w:val="24"/>
        </w:rPr>
        <w:t>,</w:t>
      </w:r>
      <w:r w:rsidRPr="008D7149">
        <w:rPr>
          <w:rFonts w:ascii="Times New Roman" w:hAnsi="Times New Roman" w:cs="Times New Roman"/>
          <w:sz w:val="24"/>
          <w:szCs w:val="24"/>
        </w:rPr>
        <w:t xml:space="preserve"> np. przez brak możliwości zwiększenia wysokości składek, ponieważ ich zwiększenie mogłoby się wiązać z wywołaniem kryzysu w sektorze bankowym. Na taką okoliczność musi istnieć przepis umożliwiający umorzenie wierzytelności Skarbu Państwa. Jest to zgodne ze wskazaną okolicznością, że ostatecznie to Skarb Państwa jest gwarantem stabilności krajowego rynku finansowego i odpowiada za depozyty klientów objęte ochroną gwarancyjną.</w:t>
      </w:r>
    </w:p>
    <w:p w14:paraId="214C39B4" w14:textId="2AAF154A"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sz w:val="24"/>
          <w:szCs w:val="24"/>
        </w:rPr>
        <w:t>Dodanie</w:t>
      </w:r>
      <w:r w:rsidRPr="008D7149">
        <w:rPr>
          <w:rFonts w:ascii="Times New Roman" w:eastAsia="Times New Roman" w:hAnsi="Times New Roman" w:cs="Times New Roman"/>
          <w:b/>
          <w:sz w:val="24"/>
          <w:szCs w:val="24"/>
        </w:rPr>
        <w:t xml:space="preserve"> art. 316a ust. 8 </w:t>
      </w:r>
      <w:r w:rsidR="00A31990" w:rsidRPr="006B5003">
        <w:rPr>
          <w:rFonts w:ascii="Times New Roman" w:eastAsia="Times New Roman" w:hAnsi="Times New Roman" w:cs="Times New Roman"/>
          <w:sz w:val="24"/>
          <w:szCs w:val="24"/>
        </w:rPr>
        <w:t>ustawy o BFG</w:t>
      </w:r>
      <w:r w:rsidR="00A31990" w:rsidRPr="008D7149">
        <w:rPr>
          <w:rFonts w:ascii="Times New Roman" w:eastAsia="Times New Roman" w:hAnsi="Times New Roman" w:cs="Times New Roman"/>
          <w:b/>
          <w:sz w:val="24"/>
          <w:szCs w:val="24"/>
        </w:rPr>
        <w:t xml:space="preserve"> </w:t>
      </w:r>
      <w:r w:rsidRPr="008D7149">
        <w:rPr>
          <w:rFonts w:ascii="Times New Roman" w:eastAsia="Times New Roman" w:hAnsi="Times New Roman" w:cs="Times New Roman"/>
          <w:sz w:val="24"/>
          <w:szCs w:val="24"/>
        </w:rPr>
        <w:t>określa</w:t>
      </w:r>
      <w:r w:rsidR="00A31990"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w jakim trybie </w:t>
      </w:r>
      <w:r w:rsidR="00A31990" w:rsidRPr="008D7149">
        <w:rPr>
          <w:rFonts w:ascii="Times New Roman" w:eastAsia="Times New Roman" w:hAnsi="Times New Roman" w:cs="Times New Roman"/>
          <w:sz w:val="24"/>
          <w:szCs w:val="24"/>
        </w:rPr>
        <w:t xml:space="preserve">BFG </w:t>
      </w:r>
      <w:r w:rsidRPr="008D7149">
        <w:rPr>
          <w:rFonts w:ascii="Times New Roman" w:eastAsia="Times New Roman" w:hAnsi="Times New Roman" w:cs="Times New Roman"/>
          <w:sz w:val="24"/>
          <w:szCs w:val="24"/>
        </w:rPr>
        <w:t>będ</w:t>
      </w:r>
      <w:r w:rsidR="00A31990" w:rsidRPr="008D7149">
        <w:rPr>
          <w:rFonts w:ascii="Times New Roman" w:eastAsia="Times New Roman" w:hAnsi="Times New Roman" w:cs="Times New Roman"/>
          <w:sz w:val="24"/>
          <w:szCs w:val="24"/>
        </w:rPr>
        <w:t>zie</w:t>
      </w:r>
      <w:r w:rsidRPr="008D7149">
        <w:rPr>
          <w:rFonts w:ascii="Times New Roman" w:eastAsia="Times New Roman" w:hAnsi="Times New Roman" w:cs="Times New Roman"/>
          <w:sz w:val="24"/>
          <w:szCs w:val="24"/>
        </w:rPr>
        <w:t xml:space="preserve"> emitowa</w:t>
      </w:r>
      <w:r w:rsidR="00A31990" w:rsidRPr="008D7149">
        <w:rPr>
          <w:rFonts w:ascii="Times New Roman" w:eastAsia="Times New Roman" w:hAnsi="Times New Roman" w:cs="Times New Roman"/>
          <w:sz w:val="24"/>
          <w:szCs w:val="24"/>
        </w:rPr>
        <w:t>ł</w:t>
      </w:r>
      <w:r w:rsidRPr="008D7149">
        <w:rPr>
          <w:rFonts w:ascii="Times New Roman" w:eastAsia="Times New Roman" w:hAnsi="Times New Roman" w:cs="Times New Roman"/>
          <w:sz w:val="24"/>
          <w:szCs w:val="24"/>
        </w:rPr>
        <w:t xml:space="preserve"> obligacje</w:t>
      </w:r>
      <w:r w:rsidR="00A31990"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tj. stosując odpowiednio przepisy art. </w:t>
      </w:r>
      <w:r w:rsidR="00A31990" w:rsidRPr="008D7149">
        <w:rPr>
          <w:rFonts w:ascii="Times New Roman" w:eastAsia="Times New Roman" w:hAnsi="Times New Roman" w:cs="Times New Roman"/>
          <w:sz w:val="24"/>
          <w:szCs w:val="24"/>
        </w:rPr>
        <w:t xml:space="preserve">39p–39s, art. 39u i art. 39w </w:t>
      </w:r>
      <w:r w:rsidRPr="008D7149">
        <w:rPr>
          <w:rFonts w:ascii="Times New Roman" w:eastAsia="Times New Roman" w:hAnsi="Times New Roman" w:cs="Times New Roman"/>
          <w:sz w:val="24"/>
          <w:szCs w:val="24"/>
        </w:rPr>
        <w:t xml:space="preserve">ustawy z dnia 27 października 1994 r. o autostradach płatnych oraz o Krajowym Funduszu Drogowym. Wskazane </w:t>
      </w:r>
      <w:r w:rsidR="00A31990" w:rsidRPr="008D7149">
        <w:rPr>
          <w:rFonts w:ascii="Times New Roman" w:eastAsia="Times New Roman" w:hAnsi="Times New Roman" w:cs="Times New Roman"/>
          <w:sz w:val="24"/>
          <w:szCs w:val="24"/>
        </w:rPr>
        <w:t xml:space="preserve">odesłanie </w:t>
      </w:r>
      <w:r w:rsidRPr="008D7149">
        <w:rPr>
          <w:rFonts w:ascii="Times New Roman" w:eastAsia="Times New Roman" w:hAnsi="Times New Roman" w:cs="Times New Roman"/>
          <w:sz w:val="24"/>
          <w:szCs w:val="24"/>
        </w:rPr>
        <w:t>określa wszystkie niezbędne elementy związane z emisją i sprzedażą obligacji</w:t>
      </w:r>
      <w:r w:rsidR="00A31990"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tj. określenie podmiotów tworzących stosunek zobowiązaniowy, w tym przypadku BFG, który stwierdza, że jest dłużnikiem właściciela takiego papieru i zobowiązuje się wobec niego do spełnienia określonego świadczenia pieniężnego</w:t>
      </w:r>
      <w:r w:rsidR="00A31990" w:rsidRPr="008D7149">
        <w:rPr>
          <w:rFonts w:ascii="Times New Roman" w:eastAsia="Times New Roman" w:hAnsi="Times New Roman" w:cs="Times New Roman"/>
          <w:sz w:val="24"/>
          <w:szCs w:val="24"/>
        </w:rPr>
        <w:t>, a</w:t>
      </w:r>
      <w:r w:rsidRPr="008D7149">
        <w:rPr>
          <w:rFonts w:ascii="Times New Roman" w:eastAsia="Times New Roman" w:hAnsi="Times New Roman" w:cs="Times New Roman"/>
          <w:sz w:val="24"/>
          <w:szCs w:val="24"/>
        </w:rPr>
        <w:t xml:space="preserve"> </w:t>
      </w:r>
      <w:r w:rsidR="00A31990" w:rsidRPr="008D7149">
        <w:rPr>
          <w:rFonts w:ascii="Times New Roman" w:eastAsia="Times New Roman" w:hAnsi="Times New Roman" w:cs="Times New Roman"/>
          <w:sz w:val="24"/>
          <w:szCs w:val="24"/>
        </w:rPr>
        <w:t>t</w:t>
      </w:r>
      <w:r w:rsidRPr="008D7149">
        <w:rPr>
          <w:rFonts w:ascii="Times New Roman" w:eastAsia="Times New Roman" w:hAnsi="Times New Roman" w:cs="Times New Roman"/>
          <w:sz w:val="24"/>
          <w:szCs w:val="24"/>
        </w:rPr>
        <w:t xml:space="preserve">akże kwestie związane z oprocentowaniem i cechami emisji, prowadzeniem ewidencji, listem emisyjnym, sprzedażą. </w:t>
      </w:r>
      <w:r w:rsidR="00A31990" w:rsidRPr="008D7149">
        <w:rPr>
          <w:rFonts w:ascii="Times New Roman" w:hAnsi="Times New Roman" w:cs="Times New Roman"/>
          <w:sz w:val="24"/>
          <w:szCs w:val="24"/>
        </w:rPr>
        <w:t>Odesłanie</w:t>
      </w:r>
      <w:r w:rsidR="00A3199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do odpowiedniego stosowania</w:t>
      </w:r>
      <w:r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ma także na celu wprowadzenie wyłączeń w zakresie stosowania ustawy z dnia 15 stycznia 2015 r. o obligacjach do obligacji emitowanych na zasadach określonych w proponowanym rozdziale 18a w dziale III ustawy o BFG (art. 39w pkt 3 ustawy z dnia 27 października 1994 r. o autostradach płatnych oraz o Krajowym Funduszu Drogowym). Zgodnie z przepisami tej ustawy BGK może emitować obligacje w imieniu i na rzecz Krajowego Funduszu Drogowego. Obligacje te mogą być gwarantowane lub poręczane przez Skarb Państwa. Zasadność wyłączenia ustawy </w:t>
      </w:r>
      <w:r w:rsidR="00A31990" w:rsidRPr="008D7149">
        <w:rPr>
          <w:rFonts w:ascii="Times New Roman" w:hAnsi="Times New Roman" w:cs="Times New Roman"/>
          <w:sz w:val="24"/>
          <w:szCs w:val="24"/>
        </w:rPr>
        <w:t xml:space="preserve">z dnia 15 stycznia 2015 r. </w:t>
      </w:r>
      <w:r w:rsidRPr="008D7149">
        <w:rPr>
          <w:rFonts w:ascii="Times New Roman" w:hAnsi="Times New Roman" w:cs="Times New Roman"/>
          <w:sz w:val="24"/>
          <w:szCs w:val="24"/>
        </w:rPr>
        <w:t xml:space="preserve">o obligacjach do obligacji emitowanych przez BGK na rzecz tego funduszu wynika z charakteru i zadań BGK oraz zmniejszenia ryzyka tych instrumentów finansowych w przypadku objęcia ich gwarancją/poręczeniem Skarbu Państwa. Takie same argumenty przemawiają za tożsamym wyłączeniem dla BFG. Wyłącza się także </w:t>
      </w:r>
      <w:r w:rsidR="00A31990" w:rsidRPr="008D7149">
        <w:rPr>
          <w:rFonts w:ascii="Times New Roman" w:hAnsi="Times New Roman" w:cs="Times New Roman"/>
          <w:sz w:val="24"/>
          <w:szCs w:val="24"/>
        </w:rPr>
        <w:t xml:space="preserve">stosowanie </w:t>
      </w:r>
      <w:r w:rsidRPr="008D7149">
        <w:rPr>
          <w:rFonts w:ascii="Times New Roman" w:hAnsi="Times New Roman" w:cs="Times New Roman"/>
          <w:sz w:val="24"/>
          <w:szCs w:val="24"/>
        </w:rPr>
        <w:t xml:space="preserve">art. 39p ust. 2 </w:t>
      </w:r>
      <w:r w:rsidRPr="008D7149">
        <w:rPr>
          <w:rFonts w:ascii="Times New Roman" w:eastAsia="Times New Roman" w:hAnsi="Times New Roman" w:cs="Times New Roman"/>
          <w:sz w:val="24"/>
          <w:szCs w:val="24"/>
        </w:rPr>
        <w:t>ustawy z dnia 27 października 1994 r. o autostradach płatnych oraz o Krajowym Funduszu Drogowym</w:t>
      </w:r>
      <w:r w:rsidR="00A31990"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tj. instytucję uprzedniej akceptacji warunków emisji przez ministra właściwego do spraw budżetu</w:t>
      </w:r>
      <w:r w:rsidR="00A31990" w:rsidRPr="008D7149">
        <w:rPr>
          <w:rFonts w:ascii="Times New Roman" w:eastAsia="Times New Roman" w:hAnsi="Times New Roman" w:cs="Times New Roman"/>
          <w:sz w:val="24"/>
          <w:szCs w:val="24"/>
        </w:rPr>
        <w:t xml:space="preserve">. Projektowane </w:t>
      </w:r>
      <w:r w:rsidRPr="008D7149">
        <w:rPr>
          <w:rFonts w:ascii="Times New Roman" w:eastAsia="Times New Roman" w:hAnsi="Times New Roman" w:cs="Times New Roman"/>
          <w:sz w:val="24"/>
          <w:szCs w:val="24"/>
        </w:rPr>
        <w:t xml:space="preserve">wyłączenie wynika z zaproponowania regulacji szczegółowej w tym zakresie </w:t>
      </w:r>
      <w:r w:rsidR="00A31990" w:rsidRPr="008D7149">
        <w:rPr>
          <w:rFonts w:ascii="Times New Roman" w:eastAsia="Times New Roman" w:hAnsi="Times New Roman" w:cs="Times New Roman"/>
          <w:sz w:val="24"/>
          <w:szCs w:val="24"/>
        </w:rPr>
        <w:t xml:space="preserve">zawartej </w:t>
      </w:r>
      <w:r w:rsidRPr="008D7149">
        <w:rPr>
          <w:rFonts w:ascii="Times New Roman" w:eastAsia="Times New Roman" w:hAnsi="Times New Roman" w:cs="Times New Roman"/>
          <w:sz w:val="24"/>
          <w:szCs w:val="24"/>
        </w:rPr>
        <w:t>w art. 316c</w:t>
      </w:r>
      <w:r w:rsidR="00A31990" w:rsidRPr="008D7149">
        <w:rPr>
          <w:rFonts w:ascii="Times New Roman" w:eastAsia="Times New Roman" w:hAnsi="Times New Roman" w:cs="Times New Roman"/>
          <w:sz w:val="24"/>
          <w:szCs w:val="24"/>
        </w:rPr>
        <w:t xml:space="preserve"> ustawy o BFG</w:t>
      </w:r>
      <w:r w:rsidRPr="008D7149">
        <w:rPr>
          <w:rFonts w:ascii="Times New Roman" w:eastAsia="Times New Roman" w:hAnsi="Times New Roman" w:cs="Times New Roman"/>
          <w:sz w:val="24"/>
          <w:szCs w:val="24"/>
        </w:rPr>
        <w:t xml:space="preserve">. </w:t>
      </w:r>
    </w:p>
    <w:p w14:paraId="044E7DAB" w14:textId="6BD494A8"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Dodanie </w:t>
      </w:r>
      <w:r w:rsidRPr="008D7149">
        <w:rPr>
          <w:rFonts w:ascii="Times New Roman" w:hAnsi="Times New Roman" w:cs="Times New Roman"/>
          <w:b/>
          <w:sz w:val="24"/>
          <w:szCs w:val="24"/>
        </w:rPr>
        <w:t xml:space="preserve">art. 316b </w:t>
      </w:r>
      <w:r w:rsidR="00A31990" w:rsidRPr="006B5003">
        <w:rPr>
          <w:rFonts w:ascii="Times New Roman" w:hAnsi="Times New Roman" w:cs="Times New Roman"/>
          <w:sz w:val="24"/>
          <w:szCs w:val="24"/>
        </w:rPr>
        <w:t>ustawy o BFG</w:t>
      </w:r>
      <w:r w:rsidR="00A3199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podobnie jak w przypadku art. 229f </w:t>
      </w:r>
      <w:r w:rsidR="00A31990"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odnoszącego się do emisji obligacji przez podmiot zarządzający aktywami, ma na celu uregulowanie zagadnień związanych z wykupem obligacji wyemitowanych w tym przypadku przez BFG. Wskazuje się, że z chwilą wykupu obligacje podlegają umorzeniu, co jest zgodne z założeniem dot</w:t>
      </w:r>
      <w:r w:rsidR="00A31990" w:rsidRPr="008D7149">
        <w:rPr>
          <w:rFonts w:ascii="Times New Roman" w:hAnsi="Times New Roman" w:cs="Times New Roman"/>
          <w:sz w:val="24"/>
          <w:szCs w:val="24"/>
        </w:rPr>
        <w:t>yczącym</w:t>
      </w:r>
      <w:r w:rsidRPr="008D7149">
        <w:rPr>
          <w:rFonts w:ascii="Times New Roman" w:hAnsi="Times New Roman" w:cs="Times New Roman"/>
          <w:sz w:val="24"/>
          <w:szCs w:val="24"/>
        </w:rPr>
        <w:t xml:space="preserve"> celu ich emisji, mianowicie związanej z pozyskaniem awaryjnego finansowania przez BFG na realizacje ustawowych zadań. Tożsame </w:t>
      </w:r>
      <w:r w:rsidRPr="008D7149">
        <w:rPr>
          <w:rFonts w:ascii="Times New Roman" w:hAnsi="Times New Roman" w:cs="Times New Roman"/>
          <w:i/>
          <w:sz w:val="24"/>
          <w:szCs w:val="24"/>
        </w:rPr>
        <w:t>ratio legis</w:t>
      </w:r>
      <w:r w:rsidRPr="008D7149">
        <w:rPr>
          <w:rFonts w:ascii="Times New Roman" w:hAnsi="Times New Roman" w:cs="Times New Roman"/>
          <w:sz w:val="24"/>
          <w:szCs w:val="24"/>
        </w:rPr>
        <w:t xml:space="preserve"> stoi za art. 316b ust. 2 i 3</w:t>
      </w:r>
      <w:r w:rsidR="00A31990"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xml:space="preserve"> tj. podkreślenie, że BFG może nabywać własne obligacje jedynie w celu ich umorzenia lub w ramach transakcji warunkowych, w których BFG zgadza się wobec drugiej strony na odkup lub sprzedaż, w związku z zarządzaniem własnymi aktywami lub pasywami.</w:t>
      </w:r>
    </w:p>
    <w:p w14:paraId="5237C357" w14:textId="0263E034"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Dodanie</w:t>
      </w:r>
      <w:r w:rsidRPr="008D7149">
        <w:rPr>
          <w:rFonts w:ascii="Times New Roman" w:hAnsi="Times New Roman" w:cs="Times New Roman"/>
          <w:b/>
          <w:sz w:val="24"/>
          <w:szCs w:val="24"/>
        </w:rPr>
        <w:t xml:space="preserve"> art. 316c </w:t>
      </w:r>
      <w:r w:rsidR="00A31990" w:rsidRPr="006B5003">
        <w:rPr>
          <w:rFonts w:ascii="Times New Roman" w:hAnsi="Times New Roman" w:cs="Times New Roman"/>
          <w:sz w:val="24"/>
          <w:szCs w:val="24"/>
        </w:rPr>
        <w:t>ustawy o BFG</w:t>
      </w:r>
      <w:r w:rsidR="00A31990" w:rsidRPr="008D7149">
        <w:rPr>
          <w:rFonts w:ascii="Times New Roman" w:hAnsi="Times New Roman" w:cs="Times New Roman"/>
          <w:b/>
          <w:sz w:val="24"/>
          <w:szCs w:val="24"/>
        </w:rPr>
        <w:t xml:space="preserve"> </w:t>
      </w:r>
      <w:r w:rsidRPr="008D7149">
        <w:rPr>
          <w:rFonts w:ascii="Times New Roman" w:hAnsi="Times New Roman" w:cs="Times New Roman"/>
          <w:sz w:val="24"/>
          <w:szCs w:val="24"/>
        </w:rPr>
        <w:t xml:space="preserve">określa zasady obejmowania obligacji wyemitowanych przez BFG gwarancją Skarbu Państwa. Możliwość taką wskazuje art. 316a ust. 3 </w:t>
      </w:r>
      <w:r w:rsidR="00A31990" w:rsidRPr="008D7149">
        <w:rPr>
          <w:rFonts w:ascii="Times New Roman" w:hAnsi="Times New Roman" w:cs="Times New Roman"/>
          <w:sz w:val="24"/>
          <w:szCs w:val="24"/>
        </w:rPr>
        <w:t xml:space="preserve">ustawy o BFG </w:t>
      </w:r>
      <w:r w:rsidRPr="008D7149">
        <w:rPr>
          <w:rFonts w:ascii="Times New Roman" w:hAnsi="Times New Roman" w:cs="Times New Roman"/>
          <w:sz w:val="24"/>
          <w:szCs w:val="24"/>
        </w:rPr>
        <w:t>(emisja w specjalnym trybie określona w art. 316a</w:t>
      </w:r>
      <w:r w:rsidR="00370CC4"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natomiast stan faktyczny, kiedy to będzie możliwe</w:t>
      </w:r>
      <w:r w:rsidR="005D7F49">
        <w:rPr>
          <w:rFonts w:ascii="Times New Roman" w:hAnsi="Times New Roman" w:cs="Times New Roman"/>
          <w:sz w:val="24"/>
          <w:szCs w:val="24"/>
        </w:rPr>
        <w:t>,</w:t>
      </w:r>
      <w:r w:rsidRPr="008D7149">
        <w:rPr>
          <w:rFonts w:ascii="Times New Roman" w:hAnsi="Times New Roman" w:cs="Times New Roman"/>
          <w:sz w:val="24"/>
          <w:szCs w:val="24"/>
        </w:rPr>
        <w:t xml:space="preserve"> wynika </w:t>
      </w:r>
      <w:r w:rsidR="00370CC4" w:rsidRPr="008D7149">
        <w:rPr>
          <w:rFonts w:ascii="Times New Roman" w:hAnsi="Times New Roman" w:cs="Times New Roman"/>
          <w:sz w:val="24"/>
          <w:szCs w:val="24"/>
        </w:rPr>
        <w:t xml:space="preserve">z </w:t>
      </w:r>
      <w:r w:rsidRPr="008D7149">
        <w:rPr>
          <w:rFonts w:ascii="Times New Roman" w:hAnsi="Times New Roman" w:cs="Times New Roman"/>
          <w:sz w:val="24"/>
          <w:szCs w:val="24"/>
        </w:rPr>
        <w:t>art. 316c ust. 1</w:t>
      </w:r>
      <w:r w:rsidR="001A1E76">
        <w:rPr>
          <w:rFonts w:ascii="Times New Roman" w:hAnsi="Times New Roman" w:cs="Times New Roman"/>
          <w:sz w:val="24"/>
          <w:szCs w:val="24"/>
        </w:rPr>
        <w:t>–</w:t>
      </w:r>
      <w:r w:rsidRPr="008D7149">
        <w:rPr>
          <w:rFonts w:ascii="Times New Roman" w:hAnsi="Times New Roman" w:cs="Times New Roman"/>
          <w:sz w:val="24"/>
          <w:szCs w:val="24"/>
        </w:rPr>
        <w:t>3</w:t>
      </w:r>
      <w:r w:rsidR="00370CC4" w:rsidRPr="008D7149">
        <w:rPr>
          <w:rFonts w:ascii="Times New Roman" w:hAnsi="Times New Roman" w:cs="Times New Roman"/>
          <w:sz w:val="24"/>
          <w:szCs w:val="24"/>
        </w:rPr>
        <w:t xml:space="preserve"> ustawy o BFG. Ww. przepisy </w:t>
      </w:r>
      <w:r w:rsidRPr="008D7149">
        <w:rPr>
          <w:rFonts w:ascii="Times New Roman" w:hAnsi="Times New Roman" w:cs="Times New Roman"/>
          <w:sz w:val="24"/>
          <w:szCs w:val="24"/>
        </w:rPr>
        <w:t>jasno wskazują, że będzie to sytuacja ekstraordynaryjna, gdy z określonych względów inne źródła finansowania BFG wskazane w art. 270 ust. 1 ustawy o BFG będą niedostępne – utrudnione pozyskanie finansowania z tych źródeł (może to wynikać np. z potrzebnego czasu na ich realizację, sytuacji makroekonomicznej, czy wolumenu potrzebnych środków), niewydajne</w:t>
      </w:r>
      <w:r w:rsidR="00370CC4" w:rsidRPr="008D7149">
        <w:rPr>
          <w:rFonts w:ascii="Times New Roman" w:hAnsi="Times New Roman" w:cs="Times New Roman"/>
          <w:sz w:val="24"/>
          <w:szCs w:val="24"/>
        </w:rPr>
        <w:t>,</w:t>
      </w:r>
      <w:r w:rsidRPr="008D7149">
        <w:rPr>
          <w:rFonts w:ascii="Times New Roman" w:hAnsi="Times New Roman" w:cs="Times New Roman"/>
          <w:sz w:val="24"/>
          <w:szCs w:val="24"/>
        </w:rPr>
        <w:t xml:space="preserve"> tj. ich realizacja okazałaby się niecelowa w rozumieniu – mniej efektywna, droższa ekonomicznie, bardziej czasochłonna lub przede wszystkim skutkowała negatywnie na rynek</w:t>
      </w:r>
      <w:r w:rsidR="00370CC4" w:rsidRPr="008D7149">
        <w:rPr>
          <w:rFonts w:ascii="Times New Roman" w:hAnsi="Times New Roman" w:cs="Times New Roman"/>
          <w:sz w:val="24"/>
          <w:szCs w:val="24"/>
        </w:rPr>
        <w:t>,</w:t>
      </w:r>
      <w:r w:rsidRPr="008D7149">
        <w:rPr>
          <w:rFonts w:ascii="Times New Roman" w:hAnsi="Times New Roman" w:cs="Times New Roman"/>
          <w:sz w:val="24"/>
          <w:szCs w:val="24"/>
        </w:rPr>
        <w:t xml:space="preserve"> np. w postaci znaczącego ryzyka efektu zarażenia kryzysem stabilnych podmiotów w wyniku pobrania składek nadzwyczajnych, czy znaczącego zwiększenia wysokości składek </w:t>
      </w:r>
      <w:r w:rsidRPr="008D7149">
        <w:rPr>
          <w:rFonts w:ascii="Times New Roman" w:hAnsi="Times New Roman" w:cs="Times New Roman"/>
          <w:i/>
          <w:sz w:val="24"/>
          <w:szCs w:val="24"/>
        </w:rPr>
        <w:t xml:space="preserve">ex </w:t>
      </w:r>
      <w:proofErr w:type="spellStart"/>
      <w:r w:rsidRPr="008D7149">
        <w:rPr>
          <w:rFonts w:ascii="Times New Roman" w:hAnsi="Times New Roman" w:cs="Times New Roman"/>
          <w:i/>
          <w:sz w:val="24"/>
          <w:szCs w:val="24"/>
        </w:rPr>
        <w:t>ante</w:t>
      </w:r>
      <w:proofErr w:type="spellEnd"/>
      <w:r w:rsidRPr="008D7149">
        <w:rPr>
          <w:rFonts w:ascii="Times New Roman" w:hAnsi="Times New Roman" w:cs="Times New Roman"/>
          <w:sz w:val="24"/>
          <w:szCs w:val="24"/>
        </w:rPr>
        <w:t xml:space="preserve"> pobieranych w kolejnych latach na fundusz gwarancyjny banków, czy fundusz przymusowej restrukturyzacji banków. Należy bowiem każdorazowo mieć na uwadze, że </w:t>
      </w:r>
      <w:r w:rsidRPr="008D7149">
        <w:rPr>
          <w:rFonts w:ascii="Times New Roman" w:eastAsia="Times New Roman" w:hAnsi="Times New Roman" w:cs="Times New Roman"/>
          <w:sz w:val="24"/>
          <w:szCs w:val="24"/>
        </w:rPr>
        <w:t xml:space="preserve">wymienione w art. 270 ust. 1 </w:t>
      </w:r>
      <w:r w:rsidR="00370CC4" w:rsidRPr="008D7149">
        <w:rPr>
          <w:rFonts w:ascii="Times New Roman" w:eastAsia="Times New Roman" w:hAnsi="Times New Roman" w:cs="Times New Roman"/>
          <w:sz w:val="24"/>
          <w:szCs w:val="24"/>
        </w:rPr>
        <w:t xml:space="preserve">ustawy o BFG </w:t>
      </w:r>
      <w:r w:rsidRPr="008D7149">
        <w:rPr>
          <w:rFonts w:ascii="Times New Roman" w:eastAsia="Times New Roman" w:hAnsi="Times New Roman" w:cs="Times New Roman"/>
          <w:sz w:val="24"/>
          <w:szCs w:val="24"/>
        </w:rPr>
        <w:t>potencjalne źródła pozyskania przez BFG środków na interwencje cechują zawsze jakieś ograniczenia</w:t>
      </w:r>
      <w:r w:rsidR="00370CC4" w:rsidRPr="008D7149">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np. o charakterze kwotowym (12,0 mld zł dla pożyczki z budżetu państwa – zapisane w budżecie na rok 2021) lub czasowym (maksymalnie 1 rok dla kredytu udzielonego przez N</w:t>
      </w:r>
      <w:r w:rsidR="00370CC4" w:rsidRPr="008D7149">
        <w:rPr>
          <w:rFonts w:ascii="Times New Roman" w:eastAsia="Times New Roman" w:hAnsi="Times New Roman" w:cs="Times New Roman"/>
          <w:sz w:val="24"/>
          <w:szCs w:val="24"/>
        </w:rPr>
        <w:t xml:space="preserve">arodowy </w:t>
      </w:r>
      <w:r w:rsidRPr="008D7149">
        <w:rPr>
          <w:rFonts w:ascii="Times New Roman" w:eastAsia="Times New Roman" w:hAnsi="Times New Roman" w:cs="Times New Roman"/>
          <w:sz w:val="24"/>
          <w:szCs w:val="24"/>
        </w:rPr>
        <w:t>B</w:t>
      </w:r>
      <w:r w:rsidR="00370CC4" w:rsidRPr="008D7149">
        <w:rPr>
          <w:rFonts w:ascii="Times New Roman" w:eastAsia="Times New Roman" w:hAnsi="Times New Roman" w:cs="Times New Roman"/>
          <w:sz w:val="24"/>
          <w:szCs w:val="24"/>
        </w:rPr>
        <w:t xml:space="preserve">ank </w:t>
      </w:r>
      <w:r w:rsidRPr="008D7149">
        <w:rPr>
          <w:rFonts w:ascii="Times New Roman" w:eastAsia="Times New Roman" w:hAnsi="Times New Roman" w:cs="Times New Roman"/>
          <w:sz w:val="24"/>
          <w:szCs w:val="24"/>
        </w:rPr>
        <w:t>P</w:t>
      </w:r>
      <w:r w:rsidR="00370CC4" w:rsidRPr="008D7149">
        <w:rPr>
          <w:rFonts w:ascii="Times New Roman" w:eastAsia="Times New Roman" w:hAnsi="Times New Roman" w:cs="Times New Roman"/>
          <w:sz w:val="24"/>
          <w:szCs w:val="24"/>
        </w:rPr>
        <w:t>olski</w:t>
      </w:r>
      <w:r w:rsidRPr="008D7149">
        <w:rPr>
          <w:rFonts w:ascii="Times New Roman" w:eastAsia="Times New Roman" w:hAnsi="Times New Roman" w:cs="Times New Roman"/>
          <w:sz w:val="24"/>
          <w:szCs w:val="24"/>
        </w:rPr>
        <w:t>), natomiast przewidywana w ustawie o BFG możliwość poboru składki nadzwyczajnej w krótkim okresie może stanowić istotne obciążenie dla podmiotów z sektora bankowego, zagrażając ich stabilności finansowej – utrata rentowności, czy w efekcie niespełnienie wymogów adekwatności kapitałowej, co sprawia, że z punktu widzenia działań stabilizacyjnych podejmowanych przez BFG ta forma może nie być wydajna, a nawet stać w sprzeczności z celami przymusowej restrukturyzacji określonymi w art. 66 ustawy o BFG, czy zadaniami BFG wskazanymi w art. 4 ustawy o BFG (</w:t>
      </w:r>
      <w:r w:rsidR="00370CC4" w:rsidRPr="008D7149">
        <w:rPr>
          <w:rFonts w:ascii="Times New Roman" w:eastAsia="Times New Roman" w:hAnsi="Times New Roman" w:cs="Times New Roman"/>
          <w:sz w:val="24"/>
          <w:szCs w:val="24"/>
        </w:rPr>
        <w:t>c</w:t>
      </w:r>
      <w:r w:rsidRPr="008D7149">
        <w:rPr>
          <w:rFonts w:ascii="Times New Roman" w:eastAsia="Times New Roman" w:hAnsi="Times New Roman" w:cs="Times New Roman"/>
          <w:sz w:val="24"/>
          <w:szCs w:val="24"/>
        </w:rPr>
        <w:t>elem działalności BFG jest podejmowanie działań na rzecz stabilności krajowego systemu finansowego, w szczególności przez zapewnienie funkcjonowania obowiązkowego systemu gwarantowania depozytów oraz prowadzenie przymusowej restrukturyzacji). Z tego względu zasadnym jest zapewnienie awaryjnej możliwości finansowania na wypadek sytuacji, gdy dany stan faktyczny na rynku finansowym nie będzie odpowiadał katalogowi możliwości pozyskania przez BFG finansowania</w:t>
      </w:r>
      <w:r w:rsidR="003919D7">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a właściwe fundusze BFG okażą się niewystarczające. W takim stanie faktycznym BFG będzie musiało dokonać oceny</w:t>
      </w:r>
      <w:r w:rsidR="003919D7">
        <w:rPr>
          <w:rFonts w:ascii="Times New Roman" w:eastAsia="Times New Roman" w:hAnsi="Times New Roman" w:cs="Times New Roman"/>
          <w:sz w:val="24"/>
          <w:szCs w:val="24"/>
        </w:rPr>
        <w:t>,</w:t>
      </w:r>
      <w:r w:rsidRPr="008D7149">
        <w:rPr>
          <w:rFonts w:ascii="Times New Roman" w:eastAsia="Times New Roman" w:hAnsi="Times New Roman" w:cs="Times New Roman"/>
          <w:sz w:val="24"/>
          <w:szCs w:val="24"/>
        </w:rPr>
        <w:t xml:space="preserve"> jak w najbardziej optymalny sposób sfinansować swoją interwencję, aby zapewnić długoterminową stabilność finansową na rynku. M</w:t>
      </w:r>
      <w:r w:rsidRPr="008D7149">
        <w:rPr>
          <w:rFonts w:ascii="Times New Roman" w:hAnsi="Times New Roman" w:cs="Times New Roman"/>
          <w:sz w:val="24"/>
          <w:szCs w:val="24"/>
        </w:rPr>
        <w:t xml:space="preserve">ożliwość pozyskania awaryjnego finansowania w formie emisji obligacji jest rozwiązaniem optymalnym, które nie jest obarczone ww. </w:t>
      </w:r>
      <w:proofErr w:type="spellStart"/>
      <w:r w:rsidRPr="008D7149">
        <w:rPr>
          <w:rFonts w:ascii="Times New Roman" w:hAnsi="Times New Roman" w:cs="Times New Roman"/>
          <w:sz w:val="24"/>
          <w:szCs w:val="24"/>
        </w:rPr>
        <w:t>ryzykami</w:t>
      </w:r>
      <w:proofErr w:type="spellEnd"/>
      <w:r w:rsidRPr="008D7149">
        <w:rPr>
          <w:rFonts w:ascii="Times New Roman" w:hAnsi="Times New Roman" w:cs="Times New Roman"/>
          <w:sz w:val="24"/>
          <w:szCs w:val="24"/>
        </w:rPr>
        <w:t xml:space="preserve"> i w pewnych stanach faktycznych może być najodpowiedniejsze. Skarb Państwa, jako ostateczny gwarant stabilności krajowego systemu finansowego, po ocenie ryzyka ewentualnej wypłaty oraz ocenie aktualnej sytuacji na rynku finansowym, udzieli gwarancji spłaty zobowiązań z tytułu tej emisji. Przepis art. 316c ust. 3 </w:t>
      </w:r>
      <w:r w:rsidR="009A3625" w:rsidRPr="008D7149">
        <w:rPr>
          <w:rFonts w:ascii="Times New Roman" w:hAnsi="Times New Roman" w:cs="Times New Roman"/>
          <w:sz w:val="24"/>
          <w:szCs w:val="24"/>
        </w:rPr>
        <w:t xml:space="preserve">ustaw o BFG </w:t>
      </w:r>
      <w:r w:rsidRPr="008D7149">
        <w:rPr>
          <w:rFonts w:ascii="Times New Roman" w:hAnsi="Times New Roman" w:cs="Times New Roman"/>
          <w:sz w:val="24"/>
          <w:szCs w:val="24"/>
        </w:rPr>
        <w:t xml:space="preserve">precyzuje zasady akceptacji przez ministra właściwego do spraw </w:t>
      </w:r>
      <w:r w:rsidR="009A3625" w:rsidRPr="008D7149">
        <w:rPr>
          <w:rFonts w:ascii="Times New Roman" w:hAnsi="Times New Roman" w:cs="Times New Roman"/>
          <w:sz w:val="24"/>
          <w:szCs w:val="24"/>
        </w:rPr>
        <w:t>instytucji finansowych</w:t>
      </w:r>
      <w:r w:rsidRPr="008D7149">
        <w:rPr>
          <w:rFonts w:ascii="Times New Roman" w:hAnsi="Times New Roman" w:cs="Times New Roman"/>
          <w:sz w:val="24"/>
          <w:szCs w:val="24"/>
        </w:rPr>
        <w:t xml:space="preserve"> udzielenia w imieniu Skarbu Państwa gwarancji spłaty obligacji wyemitowanych przez BFG. Należy podkreślić, że emisja obligacji przez BFG miałaby zawsze wyjątkowy charakter</w:t>
      </w:r>
      <w:r w:rsidR="009A3625" w:rsidRPr="008D7149">
        <w:rPr>
          <w:rFonts w:ascii="Times New Roman" w:hAnsi="Times New Roman" w:cs="Times New Roman"/>
          <w:sz w:val="24"/>
          <w:szCs w:val="24"/>
        </w:rPr>
        <w:t>,</w:t>
      </w:r>
      <w:r w:rsidRPr="008D7149">
        <w:rPr>
          <w:rFonts w:ascii="Times New Roman" w:hAnsi="Times New Roman" w:cs="Times New Roman"/>
          <w:sz w:val="24"/>
          <w:szCs w:val="24"/>
        </w:rPr>
        <w:t xml:space="preserve"> tj. środki z emisji pozyskiwane byłyby wyłącznie na realizacj</w:t>
      </w:r>
      <w:r w:rsidR="003919D7">
        <w:rPr>
          <w:rFonts w:ascii="Times New Roman" w:hAnsi="Times New Roman" w:cs="Times New Roman"/>
          <w:sz w:val="24"/>
          <w:szCs w:val="24"/>
        </w:rPr>
        <w:t>ę</w:t>
      </w:r>
      <w:r w:rsidRPr="008D7149">
        <w:rPr>
          <w:rFonts w:ascii="Times New Roman" w:hAnsi="Times New Roman" w:cs="Times New Roman"/>
          <w:sz w:val="24"/>
          <w:szCs w:val="24"/>
        </w:rPr>
        <w:t xml:space="preserve"> określonych zadań BFG wskazanych </w:t>
      </w:r>
      <w:r w:rsidR="009A3625" w:rsidRPr="008D7149">
        <w:rPr>
          <w:rFonts w:ascii="Times New Roman" w:hAnsi="Times New Roman" w:cs="Times New Roman"/>
          <w:sz w:val="24"/>
          <w:szCs w:val="24"/>
        </w:rPr>
        <w:t xml:space="preserve">w </w:t>
      </w:r>
      <w:r w:rsidRPr="008D7149">
        <w:rPr>
          <w:rFonts w:ascii="Times New Roman" w:hAnsi="Times New Roman" w:cs="Times New Roman"/>
          <w:sz w:val="24"/>
          <w:szCs w:val="24"/>
        </w:rPr>
        <w:t>art. 5 ust. 1 pkt 1, 4 i 7</w:t>
      </w:r>
      <w:r w:rsidR="009A3625" w:rsidRPr="008D7149">
        <w:rPr>
          <w:rFonts w:ascii="Times New Roman" w:hAnsi="Times New Roman" w:cs="Times New Roman"/>
          <w:sz w:val="24"/>
          <w:szCs w:val="24"/>
        </w:rPr>
        <w:t xml:space="preserve"> ustawy o BFG</w:t>
      </w:r>
      <w:r w:rsidRPr="008D7149">
        <w:rPr>
          <w:rFonts w:ascii="Times New Roman" w:hAnsi="Times New Roman" w:cs="Times New Roman"/>
          <w:sz w:val="24"/>
          <w:szCs w:val="24"/>
        </w:rPr>
        <w:t>, czyli związanych z wypłatą depozytów gwarantowanych dla deponentów danej instytucji, prowadzeniem przymusowej restrukturyzacji, czy innych działań na rzecz stabilności krajowego systemu finansowego. Ponadto taka emisji byłaby możliwa jedynie w sytuacji utrudnienia możliwości, bądź brakiem wydajności lub celowości zwiększenia zasobów BFG z przeznaczeniem na interwencj</w:t>
      </w:r>
      <w:r w:rsidR="003919D7">
        <w:rPr>
          <w:rFonts w:ascii="Times New Roman" w:hAnsi="Times New Roman" w:cs="Times New Roman"/>
          <w:sz w:val="24"/>
          <w:szCs w:val="24"/>
        </w:rPr>
        <w:t>ę</w:t>
      </w:r>
      <w:r w:rsidRPr="008D7149">
        <w:rPr>
          <w:rFonts w:ascii="Times New Roman" w:hAnsi="Times New Roman" w:cs="Times New Roman"/>
          <w:sz w:val="24"/>
          <w:szCs w:val="24"/>
        </w:rPr>
        <w:t xml:space="preserve"> z innych źródeł. Taki </w:t>
      </w:r>
      <w:r w:rsidR="009A3625" w:rsidRPr="008D7149">
        <w:rPr>
          <w:rFonts w:ascii="Times New Roman" w:hAnsi="Times New Roman" w:cs="Times New Roman"/>
          <w:sz w:val="24"/>
          <w:szCs w:val="24"/>
        </w:rPr>
        <w:t xml:space="preserve">przepis </w:t>
      </w:r>
      <w:r w:rsidRPr="008D7149">
        <w:rPr>
          <w:rFonts w:ascii="Times New Roman" w:hAnsi="Times New Roman" w:cs="Times New Roman"/>
          <w:sz w:val="24"/>
          <w:szCs w:val="24"/>
        </w:rPr>
        <w:t>oddaje intencję projektodawcy, który nie wyklucza, że może nastąpić sytuacja, gdy finansowanie z innych źródeł będzie dostępne, jednak w danej sytuacji okazałoby się niewydajne lub niecelowe</w:t>
      </w:r>
      <w:r w:rsidR="009A3625" w:rsidRPr="008D7149">
        <w:rPr>
          <w:rFonts w:ascii="Times New Roman" w:hAnsi="Times New Roman" w:cs="Times New Roman"/>
          <w:sz w:val="24"/>
          <w:szCs w:val="24"/>
        </w:rPr>
        <w:t>,</w:t>
      </w:r>
      <w:r w:rsidRPr="008D7149">
        <w:rPr>
          <w:rFonts w:ascii="Times New Roman" w:hAnsi="Times New Roman" w:cs="Times New Roman"/>
          <w:sz w:val="24"/>
          <w:szCs w:val="24"/>
        </w:rPr>
        <w:t xml:space="preserve"> np. pobranie przez BFG składek nadzwyczajnych wiązałoby się z efektem zarażania kryzysem innych banków funkcjonujących na rynku, podobnie jak konieczność zwiększenia składek </w:t>
      </w:r>
      <w:r w:rsidRPr="008D7149">
        <w:rPr>
          <w:rFonts w:ascii="Times New Roman" w:hAnsi="Times New Roman" w:cs="Times New Roman"/>
          <w:i/>
          <w:sz w:val="24"/>
          <w:szCs w:val="24"/>
        </w:rPr>
        <w:t xml:space="preserve">ex </w:t>
      </w:r>
      <w:proofErr w:type="spellStart"/>
      <w:r w:rsidRPr="008D7149">
        <w:rPr>
          <w:rFonts w:ascii="Times New Roman" w:hAnsi="Times New Roman" w:cs="Times New Roman"/>
          <w:i/>
          <w:sz w:val="24"/>
          <w:szCs w:val="24"/>
        </w:rPr>
        <w:t>ante</w:t>
      </w:r>
      <w:proofErr w:type="spellEnd"/>
      <w:r w:rsidRPr="008D7149">
        <w:rPr>
          <w:rFonts w:ascii="Times New Roman" w:hAnsi="Times New Roman" w:cs="Times New Roman"/>
          <w:sz w:val="24"/>
          <w:szCs w:val="24"/>
        </w:rPr>
        <w:t xml:space="preserve"> na BFG na potrzeby spłaty kredytu z N</w:t>
      </w:r>
      <w:r w:rsidR="009A3625" w:rsidRPr="008D7149">
        <w:rPr>
          <w:rFonts w:ascii="Times New Roman" w:hAnsi="Times New Roman" w:cs="Times New Roman"/>
          <w:sz w:val="24"/>
          <w:szCs w:val="24"/>
        </w:rPr>
        <w:t xml:space="preserve">arodowego </w:t>
      </w:r>
      <w:r w:rsidRPr="008D7149">
        <w:rPr>
          <w:rFonts w:ascii="Times New Roman" w:hAnsi="Times New Roman" w:cs="Times New Roman"/>
          <w:sz w:val="24"/>
          <w:szCs w:val="24"/>
        </w:rPr>
        <w:t>B</w:t>
      </w:r>
      <w:r w:rsidR="009A3625" w:rsidRPr="008D7149">
        <w:rPr>
          <w:rFonts w:ascii="Times New Roman" w:hAnsi="Times New Roman" w:cs="Times New Roman"/>
          <w:sz w:val="24"/>
          <w:szCs w:val="24"/>
        </w:rPr>
        <w:t xml:space="preserve">anku </w:t>
      </w:r>
      <w:r w:rsidRPr="008D7149">
        <w:rPr>
          <w:rFonts w:ascii="Times New Roman" w:hAnsi="Times New Roman" w:cs="Times New Roman"/>
          <w:sz w:val="24"/>
          <w:szCs w:val="24"/>
        </w:rPr>
        <w:t>P</w:t>
      </w:r>
      <w:r w:rsidR="009A3625" w:rsidRPr="008D7149">
        <w:rPr>
          <w:rFonts w:ascii="Times New Roman" w:hAnsi="Times New Roman" w:cs="Times New Roman"/>
          <w:sz w:val="24"/>
          <w:szCs w:val="24"/>
        </w:rPr>
        <w:t>olskiego</w:t>
      </w:r>
      <w:r w:rsidRPr="008D7149">
        <w:rPr>
          <w:rFonts w:ascii="Times New Roman" w:hAnsi="Times New Roman" w:cs="Times New Roman"/>
          <w:sz w:val="24"/>
          <w:szCs w:val="24"/>
        </w:rPr>
        <w:t>. Ponadto</w:t>
      </w:r>
      <w:r w:rsidR="009A3625" w:rsidRPr="008D7149">
        <w:rPr>
          <w:rFonts w:ascii="Times New Roman" w:hAnsi="Times New Roman" w:cs="Times New Roman"/>
          <w:sz w:val="24"/>
          <w:szCs w:val="24"/>
        </w:rPr>
        <w:t>,</w:t>
      </w:r>
      <w:r w:rsidRPr="008D7149">
        <w:rPr>
          <w:rFonts w:ascii="Times New Roman" w:hAnsi="Times New Roman" w:cs="Times New Roman"/>
          <w:sz w:val="24"/>
          <w:szCs w:val="24"/>
        </w:rPr>
        <w:t xml:space="preserve"> dbając o stan finansów publicznych, minister właściwy do spraw instytucji finansowych dokona także oceny </w:t>
      </w:r>
      <w:proofErr w:type="spellStart"/>
      <w:r w:rsidRPr="008D7149">
        <w:rPr>
          <w:rFonts w:ascii="Times New Roman" w:hAnsi="Times New Roman" w:cs="Times New Roman"/>
          <w:sz w:val="24"/>
          <w:szCs w:val="24"/>
        </w:rPr>
        <w:t>ryzyk</w:t>
      </w:r>
      <w:proofErr w:type="spellEnd"/>
      <w:r w:rsidRPr="008D7149">
        <w:rPr>
          <w:rFonts w:ascii="Times New Roman" w:hAnsi="Times New Roman" w:cs="Times New Roman"/>
          <w:sz w:val="24"/>
          <w:szCs w:val="24"/>
        </w:rPr>
        <w:t xml:space="preserve"> związanych z udzieleniem takiej gwarancji. Niemniej istotnym elementem oceny będzie także sytuacja na rynku finansowym, której konsekwencją będzie konieczność pozyskania dodatkowych środków przez BFG na ewentualn</w:t>
      </w:r>
      <w:r w:rsidR="003919D7">
        <w:rPr>
          <w:rFonts w:ascii="Times New Roman" w:hAnsi="Times New Roman" w:cs="Times New Roman"/>
          <w:sz w:val="24"/>
          <w:szCs w:val="24"/>
        </w:rPr>
        <w:t>ą</w:t>
      </w:r>
      <w:r w:rsidRPr="008D7149">
        <w:rPr>
          <w:rFonts w:ascii="Times New Roman" w:hAnsi="Times New Roman" w:cs="Times New Roman"/>
          <w:sz w:val="24"/>
          <w:szCs w:val="24"/>
        </w:rPr>
        <w:t xml:space="preserve"> interwencję i realizacj</w:t>
      </w:r>
      <w:r w:rsidR="003919D7">
        <w:rPr>
          <w:rFonts w:ascii="Times New Roman" w:hAnsi="Times New Roman" w:cs="Times New Roman"/>
          <w:sz w:val="24"/>
          <w:szCs w:val="24"/>
        </w:rPr>
        <w:t>ę</w:t>
      </w:r>
      <w:r w:rsidRPr="008D7149">
        <w:rPr>
          <w:rFonts w:ascii="Times New Roman" w:hAnsi="Times New Roman" w:cs="Times New Roman"/>
          <w:sz w:val="24"/>
          <w:szCs w:val="24"/>
        </w:rPr>
        <w:t xml:space="preserve"> ustawowych zadań.</w:t>
      </w:r>
    </w:p>
    <w:p w14:paraId="3B29A478" w14:textId="6DCC5BDE"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eastAsia="Times New Roman" w:hAnsi="Times New Roman" w:cs="Times New Roman"/>
          <w:bCs/>
          <w:sz w:val="24"/>
          <w:szCs w:val="24"/>
        </w:rPr>
        <w:t xml:space="preserve">Dodawany przepis </w:t>
      </w:r>
      <w:r w:rsidRPr="008D7149">
        <w:rPr>
          <w:rFonts w:ascii="Times New Roman" w:eastAsia="Times New Roman" w:hAnsi="Times New Roman" w:cs="Times New Roman"/>
          <w:b/>
          <w:bCs/>
          <w:sz w:val="24"/>
          <w:szCs w:val="24"/>
        </w:rPr>
        <w:t>art. 320 ust. 4 pkt 12</w:t>
      </w:r>
      <w:r w:rsidRPr="008D7149">
        <w:rPr>
          <w:rFonts w:ascii="Times New Roman" w:eastAsia="Times New Roman" w:hAnsi="Times New Roman" w:cs="Times New Roman"/>
          <w:bCs/>
          <w:sz w:val="24"/>
          <w:szCs w:val="24"/>
        </w:rPr>
        <w:t xml:space="preserve"> </w:t>
      </w:r>
      <w:r w:rsidR="009A3625" w:rsidRPr="008D7149">
        <w:rPr>
          <w:rFonts w:ascii="Times New Roman" w:eastAsia="Times New Roman" w:hAnsi="Times New Roman" w:cs="Times New Roman"/>
          <w:bCs/>
          <w:sz w:val="24"/>
          <w:szCs w:val="24"/>
        </w:rPr>
        <w:t xml:space="preserve">ustawy o BFG </w:t>
      </w:r>
      <w:r w:rsidRPr="008D7149">
        <w:rPr>
          <w:rFonts w:ascii="Times New Roman" w:eastAsia="Times New Roman" w:hAnsi="Times New Roman" w:cs="Times New Roman"/>
          <w:bCs/>
          <w:sz w:val="24"/>
          <w:szCs w:val="24"/>
        </w:rPr>
        <w:t xml:space="preserve">umożliwi BFG przekazanie informacji stanowiących tajemnicę zawodową na rzecz jednostki zarządzającej systemem ochrony, o której mowa w art. 130e ust. 1 ustawy </w:t>
      </w:r>
      <w:r w:rsidR="009A3625" w:rsidRPr="008D7149">
        <w:rPr>
          <w:rFonts w:ascii="Times New Roman" w:eastAsia="Times New Roman" w:hAnsi="Times New Roman" w:cs="Times New Roman"/>
          <w:bCs/>
          <w:sz w:val="24"/>
          <w:szCs w:val="24"/>
        </w:rPr>
        <w:t xml:space="preserve">z dnia 29 sierpnia 1997 r. </w:t>
      </w:r>
      <w:r w:rsidRPr="008D7149">
        <w:rPr>
          <w:rFonts w:ascii="Times New Roman" w:eastAsia="Times New Roman" w:hAnsi="Times New Roman" w:cs="Times New Roman"/>
          <w:bCs/>
          <w:sz w:val="24"/>
          <w:szCs w:val="24"/>
        </w:rPr>
        <w:t>– Prawo bankowe, w zakresie informacji niezbędnych do realizacji celu, o którym mowa w art. 130b ust. 1</w:t>
      </w:r>
      <w:r w:rsidR="00963D04">
        <w:rPr>
          <w:rFonts w:ascii="Times New Roman" w:eastAsia="Times New Roman" w:hAnsi="Times New Roman" w:cs="Times New Roman"/>
          <w:bCs/>
          <w:sz w:val="24"/>
          <w:szCs w:val="24"/>
        </w:rPr>
        <w:t>–</w:t>
      </w:r>
      <w:r w:rsidRPr="008D7149">
        <w:rPr>
          <w:rFonts w:ascii="Times New Roman" w:eastAsia="Times New Roman" w:hAnsi="Times New Roman" w:cs="Times New Roman"/>
          <w:bCs/>
          <w:sz w:val="24"/>
          <w:szCs w:val="24"/>
        </w:rPr>
        <w:t>2 tej ustawy</w:t>
      </w:r>
      <w:r w:rsidR="009A3625" w:rsidRPr="008D7149">
        <w:rPr>
          <w:rFonts w:ascii="Times New Roman" w:eastAsia="Times New Roman" w:hAnsi="Times New Roman" w:cs="Times New Roman"/>
          <w:bCs/>
          <w:sz w:val="24"/>
          <w:szCs w:val="24"/>
        </w:rPr>
        <w:t>,</w:t>
      </w:r>
      <w:r w:rsidRPr="008D7149">
        <w:rPr>
          <w:rFonts w:ascii="Times New Roman" w:eastAsia="Times New Roman" w:hAnsi="Times New Roman" w:cs="Times New Roman"/>
          <w:bCs/>
          <w:sz w:val="24"/>
          <w:szCs w:val="24"/>
        </w:rPr>
        <w:t xml:space="preserve"> lub zadań organu zarządzającego, określonych w art. 130k ust. 1 pkt 3 i </w:t>
      </w:r>
      <w:r w:rsidR="009A3625" w:rsidRPr="008D7149">
        <w:rPr>
          <w:rFonts w:ascii="Times New Roman" w:eastAsia="Times New Roman" w:hAnsi="Times New Roman" w:cs="Times New Roman"/>
          <w:bCs/>
          <w:sz w:val="24"/>
          <w:szCs w:val="24"/>
        </w:rPr>
        <w:t>4 oraz ust. 2</w:t>
      </w:r>
      <w:r w:rsidRPr="008D7149">
        <w:rPr>
          <w:rFonts w:ascii="Times New Roman" w:eastAsia="Times New Roman" w:hAnsi="Times New Roman" w:cs="Times New Roman"/>
          <w:bCs/>
          <w:sz w:val="24"/>
          <w:szCs w:val="24"/>
        </w:rPr>
        <w:t xml:space="preserve"> tej ustawy.</w:t>
      </w:r>
    </w:p>
    <w:p w14:paraId="479770B3" w14:textId="53ED37AD" w:rsidR="00695EEB" w:rsidRPr="008D7149" w:rsidRDefault="00695EEB" w:rsidP="008D7149">
      <w:pPr>
        <w:spacing w:before="120" w:after="0" w:line="360" w:lineRule="auto"/>
        <w:jc w:val="both"/>
        <w:rPr>
          <w:rFonts w:ascii="Times New Roman" w:eastAsia="Times New Roman" w:hAnsi="Times New Roman" w:cs="Times New Roman"/>
          <w:bCs/>
          <w:sz w:val="24"/>
          <w:szCs w:val="24"/>
        </w:rPr>
      </w:pPr>
      <w:r w:rsidRPr="008D7149">
        <w:rPr>
          <w:rFonts w:ascii="Times New Roman" w:eastAsia="Times New Roman" w:hAnsi="Times New Roman" w:cs="Times New Roman"/>
          <w:bCs/>
          <w:sz w:val="24"/>
          <w:szCs w:val="24"/>
        </w:rPr>
        <w:t xml:space="preserve">Dodawany przepis </w:t>
      </w:r>
      <w:r w:rsidRPr="008D7149">
        <w:rPr>
          <w:rFonts w:ascii="Times New Roman" w:eastAsia="Times New Roman" w:hAnsi="Times New Roman" w:cs="Times New Roman"/>
          <w:b/>
          <w:bCs/>
          <w:sz w:val="24"/>
          <w:szCs w:val="24"/>
        </w:rPr>
        <w:t>art. 320a pkt 10</w:t>
      </w:r>
      <w:r w:rsidR="009A3625" w:rsidRPr="008D7149">
        <w:rPr>
          <w:rFonts w:ascii="Times New Roman" w:eastAsia="Times New Roman" w:hAnsi="Times New Roman" w:cs="Times New Roman"/>
          <w:b/>
          <w:bCs/>
          <w:sz w:val="24"/>
          <w:szCs w:val="24"/>
        </w:rPr>
        <w:t xml:space="preserve"> </w:t>
      </w:r>
      <w:r w:rsidR="009A3625" w:rsidRPr="006B5003">
        <w:rPr>
          <w:rFonts w:ascii="Times New Roman" w:eastAsia="Times New Roman" w:hAnsi="Times New Roman" w:cs="Times New Roman"/>
          <w:bCs/>
          <w:sz w:val="24"/>
          <w:szCs w:val="24"/>
        </w:rPr>
        <w:t>ustaw</w:t>
      </w:r>
      <w:r w:rsidR="00BF5272" w:rsidRPr="006B5003">
        <w:rPr>
          <w:rFonts w:ascii="Times New Roman" w:eastAsia="Times New Roman" w:hAnsi="Times New Roman" w:cs="Times New Roman"/>
          <w:bCs/>
          <w:sz w:val="24"/>
          <w:szCs w:val="24"/>
        </w:rPr>
        <w:t xml:space="preserve">y </w:t>
      </w:r>
      <w:r w:rsidR="009A3625" w:rsidRPr="006B5003">
        <w:rPr>
          <w:rFonts w:ascii="Times New Roman" w:eastAsia="Times New Roman" w:hAnsi="Times New Roman" w:cs="Times New Roman"/>
          <w:bCs/>
          <w:sz w:val="24"/>
          <w:szCs w:val="24"/>
        </w:rPr>
        <w:t>o BFG</w:t>
      </w:r>
      <w:r w:rsidRPr="008D7149">
        <w:rPr>
          <w:rFonts w:ascii="Times New Roman" w:eastAsia="Times New Roman" w:hAnsi="Times New Roman" w:cs="Times New Roman"/>
          <w:bCs/>
          <w:sz w:val="24"/>
          <w:szCs w:val="24"/>
        </w:rPr>
        <w:t xml:space="preserve"> umożliwi BFG przekazanie informacji stanowiących jednocześnie tajemnicę zawodową i tajemnicę bankową na rzecz jednostki zarządzającej systemem ochrony, o której mowa w art. 130e ust. 1 ustawy </w:t>
      </w:r>
      <w:r w:rsidR="009A3625" w:rsidRPr="008D7149">
        <w:rPr>
          <w:rFonts w:ascii="Times New Roman" w:eastAsia="Times New Roman" w:hAnsi="Times New Roman" w:cs="Times New Roman"/>
          <w:bCs/>
          <w:sz w:val="24"/>
          <w:szCs w:val="24"/>
        </w:rPr>
        <w:t xml:space="preserve">z dnia 29 sierpnia 1997 r. </w:t>
      </w:r>
      <w:r w:rsidRPr="008D7149">
        <w:rPr>
          <w:rFonts w:ascii="Times New Roman" w:eastAsia="Times New Roman" w:hAnsi="Times New Roman" w:cs="Times New Roman"/>
          <w:bCs/>
          <w:sz w:val="24"/>
          <w:szCs w:val="24"/>
        </w:rPr>
        <w:t>– Prawo bankowe,</w:t>
      </w:r>
      <w:r w:rsidRPr="008D7149" w:rsidDel="0024311C">
        <w:rPr>
          <w:rFonts w:ascii="Times New Roman" w:eastAsia="Times New Roman" w:hAnsi="Times New Roman" w:cs="Times New Roman"/>
          <w:bCs/>
          <w:sz w:val="24"/>
          <w:szCs w:val="24"/>
        </w:rPr>
        <w:t xml:space="preserve"> </w:t>
      </w:r>
      <w:r w:rsidRPr="008D7149">
        <w:rPr>
          <w:rFonts w:ascii="Times New Roman" w:eastAsia="Times New Roman" w:hAnsi="Times New Roman" w:cs="Times New Roman"/>
          <w:bCs/>
          <w:sz w:val="24"/>
          <w:szCs w:val="24"/>
        </w:rPr>
        <w:t>w zakresie informacji niezbędnych do realizacji celu, o którym mowa w art. 130b ust. 1</w:t>
      </w:r>
      <w:r w:rsidR="00651B26">
        <w:rPr>
          <w:rFonts w:ascii="Times New Roman" w:eastAsia="Times New Roman" w:hAnsi="Times New Roman" w:cs="Times New Roman"/>
          <w:bCs/>
          <w:sz w:val="24"/>
          <w:szCs w:val="24"/>
        </w:rPr>
        <w:t>–</w:t>
      </w:r>
      <w:r w:rsidRPr="008D7149">
        <w:rPr>
          <w:rFonts w:ascii="Times New Roman" w:eastAsia="Times New Roman" w:hAnsi="Times New Roman" w:cs="Times New Roman"/>
          <w:bCs/>
          <w:sz w:val="24"/>
          <w:szCs w:val="24"/>
        </w:rPr>
        <w:t xml:space="preserve">2 tej ustawy, lub zadań organu zarządzającego, określonych w art. 130k ust. 1 pkt 3 i </w:t>
      </w:r>
      <w:r w:rsidR="009A3625" w:rsidRPr="008D7149">
        <w:rPr>
          <w:rFonts w:ascii="Times New Roman" w:eastAsia="Times New Roman" w:hAnsi="Times New Roman" w:cs="Times New Roman"/>
          <w:bCs/>
          <w:sz w:val="24"/>
          <w:szCs w:val="24"/>
        </w:rPr>
        <w:t>4 oraz ust. 2</w:t>
      </w:r>
      <w:r w:rsidRPr="008D7149">
        <w:rPr>
          <w:rFonts w:ascii="Times New Roman" w:eastAsia="Times New Roman" w:hAnsi="Times New Roman" w:cs="Times New Roman"/>
          <w:bCs/>
          <w:sz w:val="24"/>
          <w:szCs w:val="24"/>
        </w:rPr>
        <w:t xml:space="preserve"> tej ustawy.</w:t>
      </w:r>
    </w:p>
    <w:p w14:paraId="17CB6C74" w14:textId="5CD9F10C" w:rsidR="00695EEB" w:rsidRPr="008D7149" w:rsidRDefault="00B4012D" w:rsidP="008D7149">
      <w:pPr>
        <w:spacing w:before="120" w:after="0" w:line="360" w:lineRule="auto"/>
        <w:jc w:val="both"/>
        <w:rPr>
          <w:rFonts w:ascii="Times New Roman" w:eastAsia="Calibri" w:hAnsi="Times New Roman" w:cs="Times New Roman"/>
          <w:sz w:val="24"/>
          <w:szCs w:val="24"/>
        </w:rPr>
      </w:pPr>
      <w:r w:rsidRPr="008D7149">
        <w:rPr>
          <w:rFonts w:ascii="Times New Roman" w:eastAsia="Times New Roman" w:hAnsi="Times New Roman" w:cs="Times New Roman"/>
          <w:bCs/>
          <w:sz w:val="24"/>
          <w:szCs w:val="24"/>
        </w:rPr>
        <w:t>1</w:t>
      </w:r>
      <w:r w:rsidR="005417FC" w:rsidRPr="008D7149">
        <w:rPr>
          <w:rFonts w:ascii="Times New Roman" w:eastAsia="Times New Roman" w:hAnsi="Times New Roman" w:cs="Times New Roman"/>
          <w:bCs/>
          <w:sz w:val="24"/>
          <w:szCs w:val="24"/>
        </w:rPr>
        <w:t>6</w:t>
      </w:r>
      <w:r w:rsidR="0005594E">
        <w:rPr>
          <w:rFonts w:ascii="Times New Roman" w:eastAsia="Times New Roman" w:hAnsi="Times New Roman" w:cs="Times New Roman"/>
          <w:bCs/>
          <w:sz w:val="24"/>
          <w:szCs w:val="24"/>
        </w:rPr>
        <w:t>)</w:t>
      </w:r>
      <w:r w:rsidR="0005594E">
        <w:rPr>
          <w:rFonts w:ascii="Times New Roman" w:eastAsia="Times New Roman" w:hAnsi="Times New Roman" w:cs="Times New Roman"/>
          <w:bCs/>
          <w:sz w:val="24"/>
          <w:szCs w:val="24"/>
        </w:rPr>
        <w:tab/>
      </w:r>
      <w:r w:rsidRPr="008D7149">
        <w:rPr>
          <w:rFonts w:ascii="Times New Roman" w:eastAsia="Times New Roman" w:hAnsi="Times New Roman" w:cs="Times New Roman"/>
          <w:b/>
          <w:bCs/>
          <w:sz w:val="24"/>
          <w:szCs w:val="24"/>
        </w:rPr>
        <w:t>Art. 1</w:t>
      </w:r>
      <w:r w:rsidR="005417FC" w:rsidRPr="008D7149">
        <w:rPr>
          <w:rFonts w:ascii="Times New Roman" w:eastAsia="Times New Roman" w:hAnsi="Times New Roman" w:cs="Times New Roman"/>
          <w:b/>
          <w:bCs/>
          <w:sz w:val="24"/>
          <w:szCs w:val="24"/>
        </w:rPr>
        <w:t>6</w:t>
      </w:r>
      <w:r w:rsidRPr="008D7149">
        <w:rPr>
          <w:rFonts w:ascii="Times New Roman" w:eastAsia="Times New Roman" w:hAnsi="Times New Roman" w:cs="Times New Roman"/>
          <w:b/>
          <w:bCs/>
          <w:sz w:val="24"/>
          <w:szCs w:val="24"/>
        </w:rPr>
        <w:t xml:space="preserve"> </w:t>
      </w:r>
      <w:r w:rsidRPr="00651B26">
        <w:rPr>
          <w:rFonts w:ascii="Times New Roman" w:eastAsia="Times New Roman" w:hAnsi="Times New Roman" w:cs="Times New Roman"/>
          <w:bCs/>
          <w:sz w:val="24"/>
          <w:szCs w:val="24"/>
        </w:rPr>
        <w:t>projektu</w:t>
      </w:r>
      <w:r w:rsidRPr="008D7149">
        <w:rPr>
          <w:rFonts w:ascii="Times New Roman" w:eastAsia="Times New Roman" w:hAnsi="Times New Roman" w:cs="Times New Roman"/>
          <w:bCs/>
          <w:sz w:val="24"/>
          <w:szCs w:val="24"/>
        </w:rPr>
        <w:t xml:space="preserve"> wprowadza zmianę w</w:t>
      </w:r>
      <w:r w:rsidR="0011279D" w:rsidRPr="008D7149">
        <w:rPr>
          <w:rFonts w:ascii="Times New Roman" w:eastAsia="Times New Roman" w:hAnsi="Times New Roman" w:cs="Times New Roman"/>
          <w:bCs/>
          <w:sz w:val="24"/>
          <w:szCs w:val="24"/>
        </w:rPr>
        <w:t xml:space="preserve"> ustawie </w:t>
      </w:r>
      <w:r w:rsidR="00BE1B04" w:rsidRPr="008D7149">
        <w:rPr>
          <w:rFonts w:ascii="Times New Roman" w:eastAsia="Times New Roman" w:hAnsi="Times New Roman" w:cs="Times New Roman"/>
          <w:bCs/>
          <w:sz w:val="24"/>
          <w:szCs w:val="24"/>
        </w:rPr>
        <w:t xml:space="preserve">z dnia 15 grudnia 2016 r. </w:t>
      </w:r>
      <w:r w:rsidR="0011279D" w:rsidRPr="008D7149">
        <w:rPr>
          <w:rFonts w:ascii="Times New Roman" w:eastAsia="Times New Roman" w:hAnsi="Times New Roman" w:cs="Times New Roman"/>
          <w:bCs/>
          <w:sz w:val="24"/>
          <w:szCs w:val="24"/>
        </w:rPr>
        <w:t>o Prokuratorii Generalnej Rzeczypospolitej Polskiej polegającą na doprecyzowaniu kręgu podmiotów wskazanych w dotychczasowym art. 6 ust. 1 pkt 1</w:t>
      </w:r>
      <w:r w:rsidR="00BE1B04" w:rsidRPr="008D7149">
        <w:rPr>
          <w:rFonts w:ascii="Times New Roman" w:eastAsia="Times New Roman" w:hAnsi="Times New Roman" w:cs="Times New Roman"/>
          <w:bCs/>
          <w:sz w:val="24"/>
          <w:szCs w:val="24"/>
        </w:rPr>
        <w:t xml:space="preserve"> </w:t>
      </w:r>
      <w:r w:rsidR="0011279D" w:rsidRPr="008D7149">
        <w:rPr>
          <w:rFonts w:ascii="Times New Roman" w:eastAsia="Times New Roman" w:hAnsi="Times New Roman" w:cs="Times New Roman"/>
          <w:bCs/>
          <w:sz w:val="24"/>
          <w:szCs w:val="24"/>
        </w:rPr>
        <w:t xml:space="preserve">tej ustawy, z którymi Prokuratoria Generalna </w:t>
      </w:r>
      <w:r w:rsidR="000C2F13" w:rsidRPr="008D7149">
        <w:rPr>
          <w:rFonts w:ascii="Times New Roman" w:eastAsia="Times New Roman" w:hAnsi="Times New Roman" w:cs="Times New Roman"/>
          <w:bCs/>
          <w:sz w:val="24"/>
          <w:szCs w:val="24"/>
        </w:rPr>
        <w:t>Rzeczypospolitej Polskiej</w:t>
      </w:r>
      <w:r w:rsidR="00BE1B04" w:rsidRPr="008D7149">
        <w:rPr>
          <w:rFonts w:ascii="Times New Roman" w:eastAsia="Times New Roman" w:hAnsi="Times New Roman" w:cs="Times New Roman"/>
          <w:bCs/>
          <w:sz w:val="24"/>
          <w:szCs w:val="24"/>
        </w:rPr>
        <w:t xml:space="preserve"> </w:t>
      </w:r>
      <w:r w:rsidR="0011279D" w:rsidRPr="008D7149">
        <w:rPr>
          <w:rFonts w:ascii="Times New Roman" w:eastAsia="Times New Roman" w:hAnsi="Times New Roman" w:cs="Times New Roman"/>
          <w:bCs/>
          <w:sz w:val="24"/>
          <w:szCs w:val="24"/>
        </w:rPr>
        <w:t xml:space="preserve">i Prezes Prokuratorii Generalnej </w:t>
      </w:r>
      <w:r w:rsidR="000C2F13" w:rsidRPr="008D7149">
        <w:rPr>
          <w:rFonts w:ascii="Times New Roman" w:eastAsia="Times New Roman" w:hAnsi="Times New Roman" w:cs="Times New Roman"/>
          <w:bCs/>
          <w:sz w:val="24"/>
          <w:szCs w:val="24"/>
        </w:rPr>
        <w:t>Rzeczypospolitej Polskiej</w:t>
      </w:r>
      <w:r w:rsidR="00BE1B04" w:rsidRPr="008D7149">
        <w:rPr>
          <w:rFonts w:ascii="Times New Roman" w:eastAsia="Times New Roman" w:hAnsi="Times New Roman" w:cs="Times New Roman"/>
          <w:bCs/>
          <w:sz w:val="24"/>
          <w:szCs w:val="24"/>
        </w:rPr>
        <w:t xml:space="preserve"> </w:t>
      </w:r>
      <w:r w:rsidR="0011279D" w:rsidRPr="008D7149">
        <w:rPr>
          <w:rFonts w:ascii="Times New Roman" w:eastAsia="Times New Roman" w:hAnsi="Times New Roman" w:cs="Times New Roman"/>
          <w:bCs/>
          <w:sz w:val="24"/>
          <w:szCs w:val="24"/>
        </w:rPr>
        <w:t>współdziałają przy wykonywaniu zadań.</w:t>
      </w:r>
    </w:p>
    <w:p w14:paraId="720C676B" w14:textId="5DB4789D" w:rsidR="00695EEB" w:rsidRPr="008D7149" w:rsidRDefault="005417FC"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17</w:t>
      </w:r>
      <w:r w:rsidR="0005594E">
        <w:rPr>
          <w:rFonts w:ascii="Times New Roman" w:hAnsi="Times New Roman" w:cs="Times New Roman"/>
          <w:sz w:val="24"/>
          <w:szCs w:val="24"/>
        </w:rPr>
        <w:t>)</w:t>
      </w:r>
      <w:r w:rsidR="0005594E">
        <w:rPr>
          <w:rFonts w:ascii="Times New Roman" w:hAnsi="Times New Roman" w:cs="Times New Roman"/>
          <w:sz w:val="24"/>
          <w:szCs w:val="24"/>
        </w:rPr>
        <w:tab/>
      </w:r>
      <w:r w:rsidR="00695EEB" w:rsidRPr="008D7149">
        <w:rPr>
          <w:rFonts w:ascii="Times New Roman" w:hAnsi="Times New Roman" w:cs="Times New Roman"/>
          <w:b/>
          <w:sz w:val="24"/>
          <w:szCs w:val="24"/>
        </w:rPr>
        <w:t>Art. 1</w:t>
      </w:r>
      <w:r w:rsidRPr="008D7149">
        <w:rPr>
          <w:rFonts w:ascii="Times New Roman" w:hAnsi="Times New Roman" w:cs="Times New Roman"/>
          <w:b/>
          <w:sz w:val="24"/>
          <w:szCs w:val="24"/>
        </w:rPr>
        <w:t>7</w:t>
      </w:r>
      <w:r w:rsidR="00695EEB" w:rsidRPr="008D7149">
        <w:rPr>
          <w:rFonts w:ascii="Times New Roman" w:hAnsi="Times New Roman" w:cs="Times New Roman"/>
          <w:b/>
          <w:sz w:val="24"/>
          <w:szCs w:val="24"/>
        </w:rPr>
        <w:t xml:space="preserve"> </w:t>
      </w:r>
      <w:r w:rsidR="00695EEB" w:rsidRPr="00651B26">
        <w:rPr>
          <w:rFonts w:ascii="Times New Roman" w:hAnsi="Times New Roman" w:cs="Times New Roman"/>
          <w:sz w:val="24"/>
          <w:szCs w:val="24"/>
        </w:rPr>
        <w:t>projektu</w:t>
      </w:r>
      <w:r w:rsidR="00695EEB" w:rsidRPr="008D7149">
        <w:rPr>
          <w:rFonts w:ascii="Times New Roman" w:hAnsi="Times New Roman" w:cs="Times New Roman"/>
          <w:sz w:val="24"/>
          <w:szCs w:val="24"/>
        </w:rPr>
        <w:t xml:space="preserve"> – uchylenie w art. 11 w ust. 3 pkt 4 oraz w art. 13 w ust. 2 pkt 2 ustawy z dnia 16 grudnia 2016 r. o zasadach zarządzania mieniem państwowym (Dz. U. z 2021 r. poz. 1933) mają wyłącznie charakter porządkowy i wynikają z przewidzianego w projekcie braku wyodrębniania w ramach art. 73 ust. 2 przypadku z pkt 2 (zbycia akcji w liczbie powodującej osiągnięcie nie więcej niż 33% ogólnej liczby głosów), do którego to przepisu odwoływały się uchylane przepisy.</w:t>
      </w:r>
    </w:p>
    <w:p w14:paraId="60E8666F" w14:textId="1DEBB816" w:rsidR="00695EEB" w:rsidRPr="008D7149" w:rsidRDefault="00695EEB" w:rsidP="008D7149">
      <w:pPr>
        <w:pStyle w:val="PKTpunkt"/>
        <w:spacing w:before="120"/>
        <w:ind w:left="0" w:firstLine="0"/>
        <w:rPr>
          <w:rFonts w:ascii="Times New Roman" w:hAnsi="Times New Roman"/>
        </w:rPr>
      </w:pPr>
      <w:r w:rsidRPr="008D7149">
        <w:rPr>
          <w:rFonts w:ascii="Times New Roman" w:hAnsi="Times New Roman"/>
        </w:rPr>
        <w:t>1</w:t>
      </w:r>
      <w:r w:rsidR="005417FC" w:rsidRPr="008D7149">
        <w:rPr>
          <w:rFonts w:ascii="Times New Roman" w:hAnsi="Times New Roman"/>
        </w:rPr>
        <w:t>8</w:t>
      </w:r>
      <w:r w:rsidRPr="008D7149">
        <w:rPr>
          <w:rFonts w:ascii="Times New Roman" w:hAnsi="Times New Roman"/>
        </w:rPr>
        <w:t>)</w:t>
      </w:r>
      <w:r w:rsidR="0005594E">
        <w:rPr>
          <w:rFonts w:ascii="Times New Roman" w:hAnsi="Times New Roman"/>
          <w:b/>
        </w:rPr>
        <w:tab/>
      </w:r>
      <w:r w:rsidRPr="008D7149">
        <w:rPr>
          <w:rFonts w:ascii="Times New Roman" w:hAnsi="Times New Roman"/>
          <w:b/>
        </w:rPr>
        <w:t>Art. 1</w:t>
      </w:r>
      <w:r w:rsidR="005417FC" w:rsidRPr="008D7149">
        <w:rPr>
          <w:rFonts w:ascii="Times New Roman" w:hAnsi="Times New Roman"/>
          <w:b/>
        </w:rPr>
        <w:t>8</w:t>
      </w:r>
      <w:r w:rsidRPr="008D7149">
        <w:rPr>
          <w:rFonts w:ascii="Times New Roman" w:hAnsi="Times New Roman"/>
          <w:b/>
        </w:rPr>
        <w:t xml:space="preserve"> </w:t>
      </w:r>
      <w:r w:rsidRPr="00651B26">
        <w:rPr>
          <w:rFonts w:ascii="Times New Roman" w:hAnsi="Times New Roman"/>
        </w:rPr>
        <w:t>projektu</w:t>
      </w:r>
      <w:r w:rsidRPr="008D7149">
        <w:rPr>
          <w:rFonts w:ascii="Times New Roman" w:hAnsi="Times New Roman"/>
          <w:b/>
        </w:rPr>
        <w:t xml:space="preserve"> </w:t>
      </w:r>
      <w:r w:rsidRPr="008D7149">
        <w:rPr>
          <w:rFonts w:ascii="Times New Roman" w:hAnsi="Times New Roman"/>
        </w:rPr>
        <w:t xml:space="preserve">wprowadza zmiany w ustawie </w:t>
      </w:r>
      <w:r w:rsidR="004E7FBE" w:rsidRPr="008D7149">
        <w:rPr>
          <w:rFonts w:ascii="Times New Roman" w:hAnsi="Times New Roman"/>
        </w:rPr>
        <w:t xml:space="preserve">z dnia 11 września 2019 r. </w:t>
      </w:r>
      <w:r w:rsidRPr="008D7149">
        <w:rPr>
          <w:rFonts w:ascii="Times New Roman" w:hAnsi="Times New Roman"/>
        </w:rPr>
        <w:t>– Prawo zamówień publicznych</w:t>
      </w:r>
      <w:r w:rsidR="004E7FBE" w:rsidRPr="008D7149">
        <w:rPr>
          <w:rFonts w:ascii="Times New Roman" w:hAnsi="Times New Roman"/>
        </w:rPr>
        <w:t xml:space="preserve"> (Dz. U. z 2021 r. poz. 1129, z późn. zm.)</w:t>
      </w:r>
      <w:r w:rsidR="00256996" w:rsidRPr="008D7149">
        <w:rPr>
          <w:rFonts w:ascii="Times New Roman" w:hAnsi="Times New Roman"/>
        </w:rPr>
        <w:t>, zwaną dalej „PZP”.</w:t>
      </w:r>
    </w:p>
    <w:p w14:paraId="4EAEA630"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Proponowane zmiany w zakresie określonym w:</w:t>
      </w:r>
    </w:p>
    <w:p w14:paraId="7B14BCF5" w14:textId="5CC57BE2" w:rsidR="00695EEB" w:rsidRPr="008D7149" w:rsidRDefault="004E7FBE" w:rsidP="006B5003">
      <w:pPr>
        <w:pStyle w:val="Akapitzlist"/>
        <w:numPr>
          <w:ilvl w:val="0"/>
          <w:numId w:val="15"/>
        </w:numPr>
        <w:spacing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projektowanym uchyleniu </w:t>
      </w:r>
      <w:r w:rsidR="00695EEB" w:rsidRPr="008D7149">
        <w:rPr>
          <w:rFonts w:ascii="Times New Roman" w:hAnsi="Times New Roman" w:cs="Times New Roman"/>
          <w:sz w:val="24"/>
          <w:szCs w:val="24"/>
        </w:rPr>
        <w:t>art. 11 ust. 5 pkt 11 lit. c</w:t>
      </w:r>
      <w:r w:rsidRPr="008D7149">
        <w:rPr>
          <w:rFonts w:ascii="Times New Roman" w:hAnsi="Times New Roman" w:cs="Times New Roman"/>
          <w:sz w:val="24"/>
          <w:szCs w:val="24"/>
        </w:rPr>
        <w:t>, a zatem</w:t>
      </w:r>
      <w:r w:rsidR="00695EEB" w:rsidRPr="008D7149">
        <w:rPr>
          <w:rFonts w:ascii="Times New Roman" w:hAnsi="Times New Roman" w:cs="Times New Roman"/>
          <w:sz w:val="24"/>
          <w:szCs w:val="24"/>
        </w:rPr>
        <w:t xml:space="preserve"> </w:t>
      </w:r>
      <w:r w:rsidR="000A0FCA">
        <w:rPr>
          <w:rFonts w:ascii="Times New Roman" w:hAnsi="Times New Roman" w:cs="Times New Roman"/>
          <w:sz w:val="24"/>
          <w:szCs w:val="24"/>
        </w:rPr>
        <w:t>–</w:t>
      </w:r>
      <w:r w:rsidRPr="008D7149">
        <w:rPr>
          <w:rFonts w:ascii="Times New Roman" w:hAnsi="Times New Roman" w:cs="Times New Roman"/>
          <w:sz w:val="24"/>
          <w:szCs w:val="24"/>
        </w:rPr>
        <w:t xml:space="preserve"> uchyleniu </w:t>
      </w:r>
      <w:r w:rsidR="00695EEB" w:rsidRPr="008D7149">
        <w:rPr>
          <w:rFonts w:ascii="Times New Roman" w:hAnsi="Times New Roman" w:cs="Times New Roman"/>
          <w:sz w:val="24"/>
          <w:szCs w:val="24"/>
        </w:rPr>
        <w:t xml:space="preserve">całej jednostki redakcyjnej odnoszącej się do powierzenia przedsiębiorcy lub przedsiębiorcy zagranicznemu wykonywania pośrednictwa w zakresie czynności wymienionych w art. 5 i art. 6 ustawy </w:t>
      </w:r>
      <w:r w:rsidRPr="008D7149">
        <w:rPr>
          <w:rFonts w:ascii="Times New Roman" w:hAnsi="Times New Roman" w:cs="Times New Roman"/>
          <w:sz w:val="24"/>
          <w:szCs w:val="24"/>
        </w:rPr>
        <w:t xml:space="preserve">z dnia 29 sierpnia 1997 r. </w:t>
      </w:r>
      <w:r w:rsidR="000A0FCA">
        <w:rPr>
          <w:rFonts w:ascii="Times New Roman" w:hAnsi="Times New Roman" w:cs="Times New Roman"/>
          <w:sz w:val="24"/>
          <w:szCs w:val="24"/>
        </w:rPr>
        <w:t>–</w:t>
      </w:r>
      <w:r w:rsidR="00695EEB" w:rsidRPr="008D7149">
        <w:rPr>
          <w:rFonts w:ascii="Times New Roman" w:hAnsi="Times New Roman" w:cs="Times New Roman"/>
          <w:sz w:val="24"/>
          <w:szCs w:val="24"/>
        </w:rPr>
        <w:t xml:space="preserve"> Prawo bankowe, w imieniu i na rzecz banku w restrukturyzacji, oraz czynności związanych z działalnością prowadzoną przez firmę inwestycyjną w restrukturyzacji, w tym z prowadzoną przez nią działalnością maklerską</w:t>
      </w:r>
      <w:r w:rsidRPr="008D7149">
        <w:rPr>
          <w:rFonts w:ascii="Times New Roman" w:hAnsi="Times New Roman" w:cs="Times New Roman"/>
          <w:sz w:val="24"/>
          <w:szCs w:val="24"/>
        </w:rPr>
        <w:t>,</w:t>
      </w:r>
      <w:r w:rsidR="00695EEB" w:rsidRPr="008D7149">
        <w:rPr>
          <w:rFonts w:ascii="Times New Roman" w:hAnsi="Times New Roman" w:cs="Times New Roman"/>
          <w:sz w:val="24"/>
          <w:szCs w:val="24"/>
        </w:rPr>
        <w:t xml:space="preserve"> oraz,</w:t>
      </w:r>
    </w:p>
    <w:p w14:paraId="65A1EA41" w14:textId="64F78440" w:rsidR="00695EEB" w:rsidRPr="008D7149" w:rsidRDefault="004E7FBE" w:rsidP="008D7149">
      <w:pPr>
        <w:pStyle w:val="Akapitzlist"/>
        <w:numPr>
          <w:ilvl w:val="0"/>
          <w:numId w:val="15"/>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projektowanym uchyleniu </w:t>
      </w:r>
      <w:r w:rsidR="00695EEB" w:rsidRPr="008D7149">
        <w:rPr>
          <w:rFonts w:ascii="Times New Roman" w:hAnsi="Times New Roman" w:cs="Times New Roman"/>
          <w:sz w:val="24"/>
          <w:szCs w:val="24"/>
        </w:rPr>
        <w:t>art. 11 ust. 5 pkt 12</w:t>
      </w:r>
      <w:r w:rsidR="00BF5272" w:rsidRPr="008D7149">
        <w:rPr>
          <w:rFonts w:ascii="Times New Roman" w:hAnsi="Times New Roman" w:cs="Times New Roman"/>
          <w:sz w:val="24"/>
          <w:szCs w:val="24"/>
        </w:rPr>
        <w:t>, a zatem uchyleniu</w:t>
      </w:r>
      <w:r w:rsidR="00695EEB" w:rsidRPr="008D7149">
        <w:rPr>
          <w:rFonts w:ascii="Times New Roman" w:hAnsi="Times New Roman" w:cs="Times New Roman"/>
          <w:sz w:val="24"/>
          <w:szCs w:val="24"/>
        </w:rPr>
        <w:t xml:space="preserve"> całej jednostki redakcyjnej odnoszącej się do zamówień udzielan</w:t>
      </w:r>
      <w:r w:rsidRPr="008D7149">
        <w:rPr>
          <w:rFonts w:ascii="Times New Roman" w:hAnsi="Times New Roman" w:cs="Times New Roman"/>
          <w:sz w:val="24"/>
          <w:szCs w:val="24"/>
        </w:rPr>
        <w:t>ych</w:t>
      </w:r>
      <w:r w:rsidR="00695EEB" w:rsidRPr="008D7149">
        <w:rPr>
          <w:rFonts w:ascii="Times New Roman" w:hAnsi="Times New Roman" w:cs="Times New Roman"/>
          <w:sz w:val="24"/>
          <w:szCs w:val="24"/>
        </w:rPr>
        <w:t xml:space="preserve"> przez instytucję pomostową, o której mowa w art. 2 pkt 26 ustawy </w:t>
      </w:r>
      <w:r w:rsidRPr="008D7149">
        <w:rPr>
          <w:rFonts w:ascii="Times New Roman" w:hAnsi="Times New Roman" w:cs="Times New Roman"/>
          <w:sz w:val="24"/>
          <w:szCs w:val="24"/>
        </w:rPr>
        <w:t>o BFG</w:t>
      </w:r>
      <w:r w:rsidR="00695EEB" w:rsidRPr="008D7149">
        <w:rPr>
          <w:rFonts w:ascii="Times New Roman" w:hAnsi="Times New Roman" w:cs="Times New Roman"/>
          <w:sz w:val="24"/>
          <w:szCs w:val="24"/>
        </w:rPr>
        <w:t>, lub podmiot zarządzający aktywami, o którym mowa w art. 2 pkt 46 tej ustawy</w:t>
      </w:r>
      <w:r w:rsidRPr="008D7149">
        <w:rPr>
          <w:rFonts w:ascii="Times New Roman" w:hAnsi="Times New Roman" w:cs="Times New Roman"/>
          <w:sz w:val="24"/>
          <w:szCs w:val="24"/>
        </w:rPr>
        <w:t>,</w:t>
      </w:r>
    </w:p>
    <w:p w14:paraId="0A6C34BA" w14:textId="4E65F242" w:rsidR="00A25FEB" w:rsidRPr="008D7149" w:rsidRDefault="004E7FBE" w:rsidP="008D7149">
      <w:pPr>
        <w:pStyle w:val="Akapitzlist"/>
        <w:numPr>
          <w:ilvl w:val="0"/>
          <w:numId w:val="15"/>
        </w:num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projektowanej zmianie </w:t>
      </w:r>
      <w:r w:rsidR="00A25FEB" w:rsidRPr="008D7149">
        <w:rPr>
          <w:rFonts w:ascii="Times New Roman" w:hAnsi="Times New Roman" w:cs="Times New Roman"/>
          <w:sz w:val="24"/>
          <w:szCs w:val="24"/>
        </w:rPr>
        <w:t>art. 11 ust. 5 pkt 13 lit. a</w:t>
      </w:r>
      <w:r w:rsidRPr="008D7149">
        <w:rPr>
          <w:rFonts w:ascii="Times New Roman" w:hAnsi="Times New Roman" w:cs="Times New Roman"/>
          <w:sz w:val="24"/>
          <w:szCs w:val="24"/>
        </w:rPr>
        <w:t xml:space="preserve">, polegającej na </w:t>
      </w:r>
      <w:r w:rsidR="00A25FEB" w:rsidRPr="008D7149">
        <w:rPr>
          <w:rFonts w:ascii="Times New Roman" w:hAnsi="Times New Roman" w:cs="Times New Roman"/>
          <w:sz w:val="24"/>
          <w:szCs w:val="24"/>
        </w:rPr>
        <w:t>dodani</w:t>
      </w:r>
      <w:r w:rsidRPr="008D7149">
        <w:rPr>
          <w:rFonts w:ascii="Times New Roman" w:hAnsi="Times New Roman" w:cs="Times New Roman"/>
          <w:sz w:val="24"/>
          <w:szCs w:val="24"/>
        </w:rPr>
        <w:t>u</w:t>
      </w:r>
      <w:r w:rsidR="00A25FEB" w:rsidRPr="008D7149">
        <w:rPr>
          <w:rFonts w:ascii="Times New Roman" w:hAnsi="Times New Roman" w:cs="Times New Roman"/>
          <w:sz w:val="24"/>
          <w:szCs w:val="24"/>
        </w:rPr>
        <w:t xml:space="preserve"> </w:t>
      </w:r>
      <w:r w:rsidRPr="008D7149">
        <w:rPr>
          <w:rFonts w:ascii="Times New Roman" w:hAnsi="Times New Roman" w:cs="Times New Roman"/>
          <w:sz w:val="24"/>
          <w:szCs w:val="24"/>
        </w:rPr>
        <w:t>wyrazu</w:t>
      </w:r>
      <w:r w:rsidR="00A25FEB" w:rsidRPr="008D7149">
        <w:rPr>
          <w:rFonts w:ascii="Times New Roman" w:hAnsi="Times New Roman" w:cs="Times New Roman"/>
          <w:sz w:val="24"/>
          <w:szCs w:val="24"/>
        </w:rPr>
        <w:t xml:space="preserve"> „aktualizacji”</w:t>
      </w:r>
      <w:r w:rsidRPr="008D7149">
        <w:rPr>
          <w:rFonts w:ascii="Times New Roman" w:hAnsi="Times New Roman" w:cs="Times New Roman"/>
          <w:sz w:val="24"/>
          <w:szCs w:val="24"/>
        </w:rPr>
        <w:t>;</w:t>
      </w:r>
      <w:r w:rsidR="00A25FEB" w:rsidRPr="008D7149">
        <w:rPr>
          <w:rFonts w:ascii="Times New Roman" w:hAnsi="Times New Roman" w:cs="Times New Roman"/>
          <w:sz w:val="24"/>
          <w:szCs w:val="24"/>
        </w:rPr>
        <w:t xml:space="preserve"> zmiana wynika z </w:t>
      </w:r>
      <w:r w:rsidRPr="008D7149">
        <w:rPr>
          <w:rFonts w:ascii="Times New Roman" w:hAnsi="Times New Roman" w:cs="Times New Roman"/>
          <w:sz w:val="24"/>
          <w:szCs w:val="24"/>
        </w:rPr>
        <w:t>tego</w:t>
      </w:r>
      <w:r w:rsidR="00A25FEB" w:rsidRPr="008D7149">
        <w:rPr>
          <w:rFonts w:ascii="Times New Roman" w:hAnsi="Times New Roman" w:cs="Times New Roman"/>
          <w:sz w:val="24"/>
          <w:szCs w:val="24"/>
        </w:rPr>
        <w:t xml:space="preserve">, że w celu zastosowania rządowych instrumentów stabilności będzie wykorzystane oszacowanie, </w:t>
      </w:r>
      <w:r w:rsidRPr="008D7149">
        <w:rPr>
          <w:rFonts w:ascii="Times New Roman" w:hAnsi="Times New Roman" w:cs="Times New Roman"/>
          <w:sz w:val="24"/>
          <w:szCs w:val="24"/>
        </w:rPr>
        <w:t xml:space="preserve">o którym mowa </w:t>
      </w:r>
      <w:r w:rsidR="00A25FEB" w:rsidRPr="008D7149">
        <w:rPr>
          <w:rFonts w:ascii="Times New Roman" w:hAnsi="Times New Roman" w:cs="Times New Roman"/>
          <w:sz w:val="24"/>
          <w:szCs w:val="24"/>
        </w:rPr>
        <w:t xml:space="preserve">w art. 137 ustawy o </w:t>
      </w:r>
      <w:r w:rsidRPr="008D7149">
        <w:rPr>
          <w:rFonts w:ascii="Times New Roman" w:hAnsi="Times New Roman" w:cs="Times New Roman"/>
          <w:sz w:val="24"/>
          <w:szCs w:val="24"/>
        </w:rPr>
        <w:t>BFG,</w:t>
      </w:r>
      <w:r w:rsidR="00A25FEB" w:rsidRPr="008D7149">
        <w:rPr>
          <w:rFonts w:ascii="Times New Roman" w:hAnsi="Times New Roman" w:cs="Times New Roman"/>
          <w:iCs/>
          <w:sz w:val="24"/>
          <w:szCs w:val="24"/>
        </w:rPr>
        <w:t xml:space="preserve"> a w przypadku zaistnienia istotnej zmiany </w:t>
      </w:r>
      <w:r w:rsidRPr="008D7149">
        <w:rPr>
          <w:rFonts w:ascii="Times New Roman" w:hAnsi="Times New Roman" w:cs="Times New Roman"/>
          <w:iCs/>
          <w:sz w:val="24"/>
          <w:szCs w:val="24"/>
        </w:rPr>
        <w:t>BFG</w:t>
      </w:r>
      <w:r w:rsidR="00A25FEB" w:rsidRPr="008D7149">
        <w:rPr>
          <w:rFonts w:ascii="Times New Roman" w:hAnsi="Times New Roman" w:cs="Times New Roman"/>
          <w:iCs/>
          <w:sz w:val="24"/>
          <w:szCs w:val="24"/>
        </w:rPr>
        <w:t xml:space="preserve"> zleci podmiotowi przygotowującemu oszacowanie jedynie dokonania jego aktualizacji</w:t>
      </w:r>
      <w:r w:rsidRPr="008D7149">
        <w:rPr>
          <w:rFonts w:ascii="Times New Roman" w:hAnsi="Times New Roman" w:cs="Times New Roman"/>
          <w:iCs/>
          <w:sz w:val="24"/>
          <w:szCs w:val="24"/>
        </w:rPr>
        <w:t>.</w:t>
      </w:r>
    </w:p>
    <w:p w14:paraId="6BDD008D" w14:textId="77777777" w:rsidR="00695EEB" w:rsidRPr="008D7149" w:rsidRDefault="00695EEB" w:rsidP="008D7149">
      <w:pPr>
        <w:spacing w:before="120" w:after="0" w:line="360" w:lineRule="auto"/>
        <w:ind w:left="407"/>
        <w:rPr>
          <w:rFonts w:ascii="Times New Roman" w:hAnsi="Times New Roman" w:cs="Times New Roman"/>
          <w:bCs/>
          <w:sz w:val="24"/>
          <w:szCs w:val="24"/>
          <w:u w:val="single"/>
        </w:rPr>
      </w:pPr>
      <w:r w:rsidRPr="008D7149">
        <w:rPr>
          <w:rFonts w:ascii="Times New Roman" w:hAnsi="Times New Roman" w:cs="Times New Roman"/>
          <w:bCs/>
          <w:sz w:val="24"/>
          <w:szCs w:val="24"/>
          <w:u w:val="single"/>
        </w:rPr>
        <w:t>Zamówienia instytucji pomostowej i podmiotu zarządzającego aktywami</w:t>
      </w:r>
    </w:p>
    <w:p w14:paraId="186B1F54" w14:textId="59E48D1A"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art. 4 </w:t>
      </w:r>
      <w:r w:rsidR="00256996" w:rsidRPr="008D7149">
        <w:rPr>
          <w:rFonts w:ascii="Times New Roman" w:hAnsi="Times New Roman" w:cs="Times New Roman"/>
          <w:sz w:val="24"/>
          <w:szCs w:val="24"/>
        </w:rPr>
        <w:t>PZP</w:t>
      </w:r>
      <w:r w:rsidRPr="008D7149">
        <w:rPr>
          <w:rFonts w:ascii="Times New Roman" w:hAnsi="Times New Roman" w:cs="Times New Roman"/>
          <w:sz w:val="24"/>
          <w:szCs w:val="24"/>
        </w:rPr>
        <w:t>:</w:t>
      </w:r>
    </w:p>
    <w:p w14:paraId="609DA7F7" w14:textId="77777777" w:rsidR="00695EEB" w:rsidRPr="008D7149" w:rsidRDefault="00695EEB" w:rsidP="008D7149">
      <w:pPr>
        <w:spacing w:before="120" w:after="0" w:line="360" w:lineRule="auto"/>
        <w:jc w:val="both"/>
        <w:rPr>
          <w:rFonts w:ascii="Times New Roman" w:hAnsi="Times New Roman" w:cs="Times New Roman"/>
          <w:i/>
          <w:sz w:val="24"/>
          <w:szCs w:val="24"/>
        </w:rPr>
      </w:pPr>
      <w:r w:rsidRPr="008D7149">
        <w:rPr>
          <w:rFonts w:ascii="Times New Roman" w:hAnsi="Times New Roman" w:cs="Times New Roman"/>
          <w:sz w:val="24"/>
          <w:szCs w:val="24"/>
        </w:rPr>
        <w:t>„</w:t>
      </w:r>
      <w:r w:rsidRPr="008D7149">
        <w:rPr>
          <w:rFonts w:ascii="Times New Roman" w:hAnsi="Times New Roman" w:cs="Times New Roman"/>
          <w:i/>
          <w:sz w:val="24"/>
          <w:szCs w:val="24"/>
        </w:rPr>
        <w:t>Przepisy ustawy stosuje się do zamawiających publicznych, którymi są:</w:t>
      </w:r>
      <w:bookmarkStart w:id="5" w:name="mip59346174"/>
      <w:bookmarkEnd w:id="5"/>
    </w:p>
    <w:p w14:paraId="1B418F64" w14:textId="01871D2B" w:rsidR="00695EEB" w:rsidRPr="008D7149" w:rsidRDefault="0005594E" w:rsidP="008D7149">
      <w:pPr>
        <w:spacing w:before="120" w:after="0" w:line="360" w:lineRule="auto"/>
        <w:jc w:val="both"/>
        <w:rPr>
          <w:rFonts w:ascii="Times New Roman" w:hAnsi="Times New Roman" w:cs="Times New Roman"/>
          <w:i/>
          <w:sz w:val="24"/>
          <w:szCs w:val="24"/>
        </w:rPr>
      </w:pPr>
      <w:r>
        <w:rPr>
          <w:rFonts w:ascii="Times New Roman" w:hAnsi="Times New Roman" w:cs="Times New Roman"/>
          <w:i/>
          <w:sz w:val="24"/>
          <w:szCs w:val="24"/>
        </w:rPr>
        <w:t>1)</w:t>
      </w:r>
      <w:r>
        <w:rPr>
          <w:rFonts w:ascii="Times New Roman" w:hAnsi="Times New Roman" w:cs="Times New Roman"/>
          <w:i/>
          <w:sz w:val="24"/>
          <w:szCs w:val="24"/>
        </w:rPr>
        <w:tab/>
      </w:r>
      <w:r w:rsidR="00695EEB" w:rsidRPr="008D7149">
        <w:rPr>
          <w:rFonts w:ascii="Times New Roman" w:hAnsi="Times New Roman" w:cs="Times New Roman"/>
          <w:i/>
          <w:sz w:val="24"/>
          <w:szCs w:val="24"/>
        </w:rPr>
        <w:t>jednostki sektora finansów publicznych w rozumieniu przepisów ustawy z dnia 27 sierpnia 2009 r. o finansach publicznych;</w:t>
      </w:r>
      <w:bookmarkStart w:id="6" w:name="mip59346175"/>
      <w:bookmarkEnd w:id="6"/>
    </w:p>
    <w:p w14:paraId="3D26AEF1" w14:textId="50F327E3" w:rsidR="00695EEB" w:rsidRPr="008D7149" w:rsidRDefault="0005594E" w:rsidP="008D7149">
      <w:pPr>
        <w:spacing w:before="120" w:after="0" w:line="360" w:lineRule="auto"/>
        <w:jc w:val="both"/>
        <w:rPr>
          <w:rFonts w:ascii="Times New Roman" w:hAnsi="Times New Roman" w:cs="Times New Roman"/>
          <w:i/>
          <w:sz w:val="24"/>
          <w:szCs w:val="24"/>
        </w:rPr>
      </w:pPr>
      <w:r>
        <w:rPr>
          <w:rFonts w:ascii="Times New Roman" w:hAnsi="Times New Roman" w:cs="Times New Roman"/>
          <w:i/>
          <w:sz w:val="24"/>
          <w:szCs w:val="24"/>
        </w:rPr>
        <w:t>2)</w:t>
      </w:r>
      <w:r>
        <w:rPr>
          <w:rFonts w:ascii="Times New Roman" w:hAnsi="Times New Roman" w:cs="Times New Roman"/>
          <w:i/>
          <w:sz w:val="24"/>
          <w:szCs w:val="24"/>
        </w:rPr>
        <w:tab/>
      </w:r>
      <w:r w:rsidR="00695EEB" w:rsidRPr="008D7149">
        <w:rPr>
          <w:rFonts w:ascii="Times New Roman" w:hAnsi="Times New Roman" w:cs="Times New Roman"/>
          <w:i/>
          <w:sz w:val="24"/>
          <w:szCs w:val="24"/>
        </w:rPr>
        <w:t>inne, niż określone w pkt 1, państwowe jednostki organizacyjne nieposiadające osobowości prawnej;</w:t>
      </w:r>
    </w:p>
    <w:p w14:paraId="1012358F" w14:textId="1F91C52B" w:rsidR="00695EEB" w:rsidRPr="008D7149" w:rsidRDefault="0005594E" w:rsidP="008D7149">
      <w:pPr>
        <w:spacing w:before="120" w:after="0" w:line="360" w:lineRule="auto"/>
        <w:jc w:val="both"/>
        <w:rPr>
          <w:rFonts w:ascii="Times New Roman" w:hAnsi="Times New Roman" w:cs="Times New Roman"/>
          <w:i/>
          <w:sz w:val="24"/>
          <w:szCs w:val="24"/>
        </w:rPr>
      </w:pPr>
      <w:bookmarkStart w:id="7" w:name="mip59346176"/>
      <w:bookmarkEnd w:id="7"/>
      <w:r>
        <w:rPr>
          <w:rFonts w:ascii="Times New Roman" w:hAnsi="Times New Roman" w:cs="Times New Roman"/>
          <w:i/>
          <w:sz w:val="24"/>
          <w:szCs w:val="24"/>
        </w:rPr>
        <w:t>3)</w:t>
      </w:r>
      <w:r>
        <w:rPr>
          <w:rFonts w:ascii="Times New Roman" w:hAnsi="Times New Roman" w:cs="Times New Roman"/>
          <w:i/>
          <w:sz w:val="24"/>
          <w:szCs w:val="24"/>
        </w:rPr>
        <w:tab/>
      </w:r>
      <w:r w:rsidR="00695EEB" w:rsidRPr="008D7149">
        <w:rPr>
          <w:rFonts w:ascii="Times New Roman" w:hAnsi="Times New Roman" w:cs="Times New Roman"/>
          <w:i/>
          <w:sz w:val="24"/>
          <w:szCs w:val="24"/>
        </w:rPr>
        <w:t xml:space="preserve">inne, niż określone w pkt 1, osoby prawne, utworzone w szczególnym celu zaspokajania potrzeb o charakterze powszechnym, niemających charakteru przemysłowego ani handlowego, jeżeli podmioty, o których mowa w tym przepisie oraz w pkt 1 i 2, pojedynczo lub wspólnie, bezpośrednio lub pośrednio przez inny podmiot: </w:t>
      </w:r>
    </w:p>
    <w:p w14:paraId="259D78E8" w14:textId="7382A36B" w:rsidR="00695EEB" w:rsidRPr="008D7149" w:rsidRDefault="0005594E" w:rsidP="000A0FCA">
      <w:pPr>
        <w:spacing w:before="120" w:after="0" w:line="360" w:lineRule="auto"/>
        <w:ind w:left="284"/>
        <w:jc w:val="both"/>
        <w:rPr>
          <w:rFonts w:ascii="Times New Roman" w:hAnsi="Times New Roman" w:cs="Times New Roman"/>
          <w:i/>
          <w:sz w:val="24"/>
          <w:szCs w:val="24"/>
        </w:rPr>
      </w:pPr>
      <w:r>
        <w:rPr>
          <w:rFonts w:ascii="Times New Roman" w:hAnsi="Times New Roman" w:cs="Times New Roman"/>
          <w:i/>
          <w:sz w:val="24"/>
          <w:szCs w:val="24"/>
        </w:rPr>
        <w:t>a)</w:t>
      </w:r>
      <w:r>
        <w:rPr>
          <w:rFonts w:ascii="Times New Roman" w:hAnsi="Times New Roman" w:cs="Times New Roman"/>
          <w:i/>
          <w:sz w:val="24"/>
          <w:szCs w:val="24"/>
        </w:rPr>
        <w:tab/>
      </w:r>
      <w:r w:rsidR="00695EEB" w:rsidRPr="008D7149">
        <w:rPr>
          <w:rFonts w:ascii="Times New Roman" w:hAnsi="Times New Roman" w:cs="Times New Roman"/>
          <w:i/>
          <w:sz w:val="24"/>
          <w:szCs w:val="24"/>
        </w:rPr>
        <w:t xml:space="preserve">finansują je w ponad 50% lub </w:t>
      </w:r>
    </w:p>
    <w:p w14:paraId="25341A79" w14:textId="701F4F18" w:rsidR="00695EEB" w:rsidRPr="008D7149" w:rsidRDefault="0005594E" w:rsidP="000A0FCA">
      <w:pPr>
        <w:spacing w:before="120" w:after="0" w:line="360" w:lineRule="auto"/>
        <w:ind w:left="284"/>
        <w:jc w:val="both"/>
        <w:rPr>
          <w:rFonts w:ascii="Times New Roman" w:hAnsi="Times New Roman" w:cs="Times New Roman"/>
          <w:i/>
          <w:sz w:val="24"/>
          <w:szCs w:val="24"/>
        </w:rPr>
      </w:pPr>
      <w:r>
        <w:rPr>
          <w:rFonts w:ascii="Times New Roman" w:hAnsi="Times New Roman" w:cs="Times New Roman"/>
          <w:i/>
          <w:sz w:val="24"/>
          <w:szCs w:val="24"/>
        </w:rPr>
        <w:t>b)</w:t>
      </w:r>
      <w:r>
        <w:rPr>
          <w:rFonts w:ascii="Times New Roman" w:hAnsi="Times New Roman" w:cs="Times New Roman"/>
          <w:i/>
          <w:sz w:val="24"/>
          <w:szCs w:val="24"/>
        </w:rPr>
        <w:tab/>
      </w:r>
      <w:r w:rsidR="00695EEB" w:rsidRPr="008D7149">
        <w:rPr>
          <w:rFonts w:ascii="Times New Roman" w:hAnsi="Times New Roman" w:cs="Times New Roman"/>
          <w:i/>
          <w:sz w:val="24"/>
          <w:szCs w:val="24"/>
        </w:rPr>
        <w:t xml:space="preserve">posiadają ponad połowę udziałów albo akcji, lub </w:t>
      </w:r>
    </w:p>
    <w:p w14:paraId="5AE864A7" w14:textId="717B5017" w:rsidR="00695EEB" w:rsidRPr="008D7149" w:rsidRDefault="0005594E" w:rsidP="000A0FCA">
      <w:pPr>
        <w:spacing w:before="120" w:after="0" w:line="360" w:lineRule="auto"/>
        <w:ind w:left="284"/>
        <w:jc w:val="both"/>
        <w:rPr>
          <w:rFonts w:ascii="Times New Roman" w:hAnsi="Times New Roman" w:cs="Times New Roman"/>
          <w:i/>
          <w:sz w:val="24"/>
          <w:szCs w:val="24"/>
        </w:rPr>
      </w:pPr>
      <w:r>
        <w:rPr>
          <w:rFonts w:ascii="Times New Roman" w:hAnsi="Times New Roman" w:cs="Times New Roman"/>
          <w:i/>
          <w:sz w:val="24"/>
          <w:szCs w:val="24"/>
        </w:rPr>
        <w:t>c)</w:t>
      </w:r>
      <w:r>
        <w:rPr>
          <w:rFonts w:ascii="Times New Roman" w:hAnsi="Times New Roman" w:cs="Times New Roman"/>
          <w:i/>
          <w:sz w:val="24"/>
          <w:szCs w:val="24"/>
        </w:rPr>
        <w:tab/>
      </w:r>
      <w:r w:rsidR="00695EEB" w:rsidRPr="008D7149">
        <w:rPr>
          <w:rFonts w:ascii="Times New Roman" w:hAnsi="Times New Roman" w:cs="Times New Roman"/>
          <w:i/>
          <w:sz w:val="24"/>
          <w:szCs w:val="24"/>
        </w:rPr>
        <w:t xml:space="preserve">sprawują nadzór nad organem zarządzającym, lub </w:t>
      </w:r>
    </w:p>
    <w:p w14:paraId="0BCEC5D4" w14:textId="77777777" w:rsidR="000A0FCA" w:rsidRDefault="0005594E" w:rsidP="000A0FCA">
      <w:pPr>
        <w:spacing w:before="120" w:after="0" w:line="360" w:lineRule="auto"/>
        <w:ind w:left="284"/>
        <w:jc w:val="both"/>
        <w:rPr>
          <w:rFonts w:ascii="Times New Roman" w:hAnsi="Times New Roman" w:cs="Times New Roman"/>
          <w:i/>
          <w:sz w:val="24"/>
          <w:szCs w:val="24"/>
        </w:rPr>
      </w:pPr>
      <w:r>
        <w:rPr>
          <w:rFonts w:ascii="Times New Roman" w:hAnsi="Times New Roman" w:cs="Times New Roman"/>
          <w:i/>
          <w:sz w:val="24"/>
          <w:szCs w:val="24"/>
        </w:rPr>
        <w:t>d)</w:t>
      </w:r>
      <w:r>
        <w:rPr>
          <w:rFonts w:ascii="Times New Roman" w:hAnsi="Times New Roman" w:cs="Times New Roman"/>
          <w:i/>
          <w:sz w:val="24"/>
          <w:szCs w:val="24"/>
        </w:rPr>
        <w:tab/>
      </w:r>
      <w:r w:rsidR="00695EEB" w:rsidRPr="008D7149">
        <w:rPr>
          <w:rFonts w:ascii="Times New Roman" w:hAnsi="Times New Roman" w:cs="Times New Roman"/>
          <w:i/>
          <w:sz w:val="24"/>
          <w:szCs w:val="24"/>
        </w:rPr>
        <w:t xml:space="preserve">mają prawo do powoływania ponad połowy składu organu nadzorczego lub zarządzającego; </w:t>
      </w:r>
      <w:bookmarkStart w:id="8" w:name="mip59346177"/>
      <w:bookmarkEnd w:id="8"/>
    </w:p>
    <w:p w14:paraId="206A4C90" w14:textId="34F08FF0" w:rsidR="00695EEB" w:rsidRPr="008D7149" w:rsidRDefault="00695EEB" w:rsidP="008D7149">
      <w:pPr>
        <w:spacing w:before="120" w:after="0" w:line="360" w:lineRule="auto"/>
        <w:jc w:val="both"/>
        <w:rPr>
          <w:rFonts w:ascii="Times New Roman" w:hAnsi="Times New Roman" w:cs="Times New Roman"/>
          <w:i/>
          <w:sz w:val="24"/>
          <w:szCs w:val="24"/>
        </w:rPr>
      </w:pPr>
      <w:r w:rsidRPr="008D7149">
        <w:rPr>
          <w:rFonts w:ascii="Times New Roman" w:hAnsi="Times New Roman" w:cs="Times New Roman"/>
          <w:i/>
          <w:sz w:val="24"/>
          <w:szCs w:val="24"/>
        </w:rPr>
        <w:t>4) związki podmiotów, o których mowa w pkt 1 lub 2, lub podmiotów, o których mowa w pkt 3.</w:t>
      </w:r>
      <w:r w:rsidR="00256996" w:rsidRPr="008D7149">
        <w:rPr>
          <w:rFonts w:ascii="Times New Roman" w:hAnsi="Times New Roman" w:cs="Times New Roman"/>
          <w:i/>
          <w:sz w:val="24"/>
          <w:szCs w:val="24"/>
        </w:rPr>
        <w:t>”.</w:t>
      </w:r>
    </w:p>
    <w:p w14:paraId="2907E763" w14:textId="1263966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Wszystkie trzy przesłanki wskazane w art. 4 pkt 3 PZP</w:t>
      </w:r>
      <w:r w:rsidR="00A25FEB" w:rsidRPr="008D7149">
        <w:rPr>
          <w:rFonts w:ascii="Times New Roman" w:hAnsi="Times New Roman" w:cs="Times New Roman"/>
          <w:sz w:val="24"/>
          <w:szCs w:val="24"/>
        </w:rPr>
        <w:t xml:space="preserve"> (czyli powszechny charakter i brak charakteru przemysłowego lub handlowego)</w:t>
      </w:r>
      <w:r w:rsidRPr="008D7149">
        <w:rPr>
          <w:rFonts w:ascii="Times New Roman" w:hAnsi="Times New Roman" w:cs="Times New Roman"/>
          <w:sz w:val="24"/>
          <w:szCs w:val="24"/>
        </w:rPr>
        <w:t xml:space="preserve"> powinny być spełnione łącznie – </w:t>
      </w:r>
      <w:r w:rsidRPr="008D7149">
        <w:rPr>
          <w:rFonts w:ascii="Times New Roman" w:hAnsi="Times New Roman" w:cs="Times New Roman"/>
          <w:bCs/>
          <w:sz w:val="24"/>
          <w:szCs w:val="24"/>
        </w:rPr>
        <w:t>sam fakt powołania danej osoby prawnej przez państwo lub finansowania przez</w:t>
      </w:r>
      <w:r w:rsidR="00A25FEB" w:rsidRPr="008D7149">
        <w:rPr>
          <w:rFonts w:ascii="Times New Roman" w:hAnsi="Times New Roman" w:cs="Times New Roman"/>
          <w:bCs/>
          <w:sz w:val="24"/>
          <w:szCs w:val="24"/>
        </w:rPr>
        <w:t xml:space="preserve"> państwo</w:t>
      </w:r>
      <w:r w:rsidRPr="008D7149">
        <w:rPr>
          <w:rFonts w:ascii="Times New Roman" w:hAnsi="Times New Roman" w:cs="Times New Roman"/>
          <w:bCs/>
          <w:sz w:val="24"/>
          <w:szCs w:val="24"/>
        </w:rPr>
        <w:t xml:space="preserve"> nie jest wystarczający do uznania, że ta osoba prawna jest zamawiającym</w:t>
      </w:r>
      <w:r w:rsidR="00256996" w:rsidRPr="008D7149">
        <w:rPr>
          <w:rFonts w:ascii="Times New Roman" w:hAnsi="Times New Roman" w:cs="Times New Roman"/>
          <w:sz w:val="24"/>
          <w:szCs w:val="24"/>
        </w:rPr>
        <w:t xml:space="preserve">, bowiem </w:t>
      </w:r>
      <w:r w:rsidRPr="008D7149">
        <w:rPr>
          <w:rFonts w:ascii="Times New Roman" w:hAnsi="Times New Roman" w:cs="Times New Roman"/>
          <w:sz w:val="24"/>
          <w:szCs w:val="24"/>
        </w:rPr>
        <w:t>niezbędne jest zbadanie zakresu jej działalności.</w:t>
      </w:r>
    </w:p>
    <w:p w14:paraId="2F4487D9" w14:textId="4E7DD491"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Kryterium </w:t>
      </w:r>
      <w:r w:rsidR="00256996" w:rsidRPr="008D7149">
        <w:rPr>
          <w:rFonts w:ascii="Times New Roman" w:hAnsi="Times New Roman" w:cs="Times New Roman"/>
          <w:sz w:val="24"/>
          <w:szCs w:val="24"/>
        </w:rPr>
        <w:t>„</w:t>
      </w:r>
      <w:r w:rsidRPr="008D7149">
        <w:rPr>
          <w:rFonts w:ascii="Times New Roman" w:hAnsi="Times New Roman" w:cs="Times New Roman"/>
          <w:i/>
          <w:sz w:val="24"/>
          <w:szCs w:val="24"/>
        </w:rPr>
        <w:t xml:space="preserve">ustanowienia w szczególnym </w:t>
      </w:r>
      <w:r w:rsidRPr="008D7149">
        <w:rPr>
          <w:rFonts w:ascii="Times New Roman" w:hAnsi="Times New Roman" w:cs="Times New Roman"/>
          <w:bCs/>
          <w:i/>
          <w:sz w:val="24"/>
          <w:szCs w:val="24"/>
        </w:rPr>
        <w:t>celu zaspokajania potrzeb o charakterze powszechnym, niemających charakteru przemysłowego ani handlowego</w:t>
      </w:r>
      <w:r w:rsidR="00256996" w:rsidRPr="008D7149">
        <w:rPr>
          <w:rFonts w:ascii="Times New Roman" w:hAnsi="Times New Roman" w:cs="Times New Roman"/>
          <w:bCs/>
          <w:sz w:val="24"/>
          <w:szCs w:val="24"/>
        </w:rPr>
        <w:t>”</w:t>
      </w:r>
      <w:r w:rsidRPr="008D7149">
        <w:rPr>
          <w:rFonts w:ascii="Times New Roman" w:hAnsi="Times New Roman" w:cs="Times New Roman"/>
          <w:sz w:val="24"/>
          <w:szCs w:val="24"/>
        </w:rPr>
        <w:t xml:space="preserve"> należy generalnie rozumieć jako prowadzenie działalności, </w:t>
      </w:r>
      <w:r w:rsidRPr="008D7149">
        <w:rPr>
          <w:rFonts w:ascii="Times New Roman" w:hAnsi="Times New Roman" w:cs="Times New Roman"/>
          <w:bCs/>
          <w:sz w:val="24"/>
          <w:szCs w:val="24"/>
        </w:rPr>
        <w:t>która zwykle przynależy do działań szeroko rozumianego państwa</w:t>
      </w:r>
      <w:r w:rsidRPr="008D7149">
        <w:rPr>
          <w:rFonts w:ascii="Times New Roman" w:hAnsi="Times New Roman" w:cs="Times New Roman"/>
          <w:sz w:val="24"/>
          <w:szCs w:val="24"/>
        </w:rPr>
        <w:t>. Jednocześnie działalność ta nie ma charakteru przemysłowego ani handlowego, co może wpływać na dokonywanie zakupów w sposób nie najefektywniejszy.</w:t>
      </w:r>
      <w:r w:rsidR="00725C83" w:rsidRPr="008D7149">
        <w:rPr>
          <w:rFonts w:ascii="Times New Roman" w:hAnsi="Times New Roman" w:cs="Times New Roman"/>
          <w:sz w:val="24"/>
          <w:szCs w:val="24"/>
        </w:rPr>
        <w:t xml:space="preserve"> Należy jednak podkreślić, że każdy przypadek musi być rozważany indywidualnie a jego ocena zależy od okoliczności</w:t>
      </w:r>
      <w:r w:rsidR="00576DCC" w:rsidRPr="008D7149">
        <w:rPr>
          <w:rFonts w:ascii="Times New Roman" w:hAnsi="Times New Roman" w:cs="Times New Roman"/>
          <w:sz w:val="24"/>
          <w:szCs w:val="24"/>
        </w:rPr>
        <w:t>,</w:t>
      </w:r>
      <w:r w:rsidR="00725C83" w:rsidRPr="008D7149">
        <w:rPr>
          <w:rFonts w:ascii="Times New Roman" w:hAnsi="Times New Roman" w:cs="Times New Roman"/>
          <w:sz w:val="24"/>
          <w:szCs w:val="24"/>
        </w:rPr>
        <w:t xml:space="preserve"> w jakich dane zamówienie jest udzielane. </w:t>
      </w:r>
    </w:p>
    <w:p w14:paraId="78D19F48"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Dodatkowo wskazać należy, że zgodnie z orzecznictwem Trybunału Sprawiedliwości Unii Europejskiej z potrzebami w interesie ogólnym mamy zwykle do czynienia wtedy, </w:t>
      </w:r>
      <w:r w:rsidRPr="008D7149">
        <w:rPr>
          <w:rFonts w:ascii="Times New Roman" w:hAnsi="Times New Roman" w:cs="Times New Roman"/>
          <w:bCs/>
          <w:sz w:val="24"/>
          <w:szCs w:val="24"/>
        </w:rPr>
        <w:t>gdy z przyczyn związanych z interesem publicznym państwo zdecydowało się samo świadczyć usługi, których celem jest zaspokojenie tych potrzeb i których zaspokajanie jest ściśle związane z instytucjonalną działalnością państwa</w:t>
      </w:r>
      <w:r w:rsidRPr="008D7149">
        <w:rPr>
          <w:rFonts w:ascii="Times New Roman" w:hAnsi="Times New Roman" w:cs="Times New Roman"/>
          <w:sz w:val="24"/>
          <w:szCs w:val="24"/>
        </w:rPr>
        <w:t>, albo zachować na ich świadczenie decydujący wpływ.</w:t>
      </w:r>
    </w:p>
    <w:p w14:paraId="1CD88CC3" w14:textId="47D9CB3A"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Mając na uwadze powyższe podkreślić należy, że</w:t>
      </w:r>
      <w:r w:rsidR="00DA0685"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ani instytucja pomostowa, ani też podmiot zarządzający aktywami nie </w:t>
      </w:r>
      <w:r w:rsidR="00725C83" w:rsidRPr="008D7149">
        <w:rPr>
          <w:rFonts w:ascii="Times New Roman" w:hAnsi="Times New Roman" w:cs="Times New Roman"/>
          <w:sz w:val="24"/>
          <w:szCs w:val="24"/>
        </w:rPr>
        <w:t xml:space="preserve">będą </w:t>
      </w:r>
      <w:r w:rsidRPr="008D7149">
        <w:rPr>
          <w:rFonts w:ascii="Times New Roman" w:hAnsi="Times New Roman" w:cs="Times New Roman"/>
          <w:sz w:val="24"/>
          <w:szCs w:val="24"/>
        </w:rPr>
        <w:t>osobami prawnymi tworzonymi w szczególnym celu zaspokajania potrzeb o charakterze powszechnym. Co więcej pokreślić należy, że zgodnie z przepisami BRRD i ustawy o BFG mają one prowadzić działalność o</w:t>
      </w:r>
      <w:r w:rsidR="00DA0685" w:rsidRPr="008D7149">
        <w:rPr>
          <w:rFonts w:ascii="Times New Roman" w:hAnsi="Times New Roman" w:cs="Times New Roman"/>
          <w:sz w:val="24"/>
          <w:szCs w:val="24"/>
        </w:rPr>
        <w:t xml:space="preserve"> </w:t>
      </w:r>
      <w:r w:rsidRPr="008D7149">
        <w:rPr>
          <w:rFonts w:ascii="Times New Roman" w:hAnsi="Times New Roman" w:cs="Times New Roman"/>
          <w:sz w:val="24"/>
          <w:szCs w:val="24"/>
        </w:rPr>
        <w:t>charakterze handlowym.</w:t>
      </w:r>
      <w:r w:rsidR="00EE20C1" w:rsidRPr="008D7149">
        <w:rPr>
          <w:rFonts w:ascii="Times New Roman" w:hAnsi="Times New Roman" w:cs="Times New Roman"/>
          <w:sz w:val="24"/>
          <w:szCs w:val="24"/>
        </w:rPr>
        <w:t xml:space="preserve"> </w:t>
      </w:r>
    </w:p>
    <w:p w14:paraId="3A9CD534" w14:textId="09564BB6" w:rsidR="00695EEB" w:rsidRPr="008D7149" w:rsidRDefault="00256996" w:rsidP="008D7149">
      <w:pPr>
        <w:pStyle w:val="Akapitzlist"/>
        <w:numPr>
          <w:ilvl w:val="0"/>
          <w:numId w:val="20"/>
        </w:numPr>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i</w:t>
      </w:r>
      <w:r w:rsidR="00695EEB" w:rsidRPr="008D7149">
        <w:rPr>
          <w:rFonts w:ascii="Times New Roman" w:hAnsi="Times New Roman" w:cs="Times New Roman"/>
          <w:bCs/>
          <w:sz w:val="24"/>
          <w:szCs w:val="24"/>
        </w:rPr>
        <w:t>nstytucja pomostowa</w:t>
      </w:r>
    </w:p>
    <w:p w14:paraId="2DAC06DB" w14:textId="2431A8E2"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komentarzu do art. 181 ustawy o BFG wskazano (Zawadzka 2017, wyd. 1), że „</w:t>
      </w:r>
      <w:r w:rsidRPr="008D7149">
        <w:rPr>
          <w:rFonts w:ascii="Times New Roman" w:hAnsi="Times New Roman" w:cs="Times New Roman"/>
          <w:i/>
          <w:iCs/>
          <w:sz w:val="24"/>
          <w:szCs w:val="24"/>
        </w:rPr>
        <w:t xml:space="preserve">Instytucja pomostowa, mimo że stanowi szczególny instrument prawny, powinna działać na tyle na ile nie stoi to w sprzeczności z działaniami restrukturyzacyjnymi w warunkach takich samych jak inne podmioty na danym rynku, co jest konieczne ze względu na zasady rządzące wolnym rynkiem i ochronę konkurencji”. </w:t>
      </w:r>
      <w:r w:rsidRPr="008D7149">
        <w:rPr>
          <w:rFonts w:ascii="Times New Roman" w:hAnsi="Times New Roman" w:cs="Times New Roman"/>
          <w:sz w:val="24"/>
          <w:szCs w:val="24"/>
        </w:rPr>
        <w:t>Jednocześnie w komentarzu do art. 182 wskazano</w:t>
      </w:r>
      <w:r w:rsidRPr="008D7149">
        <w:rPr>
          <w:rFonts w:ascii="Times New Roman" w:hAnsi="Times New Roman" w:cs="Times New Roman"/>
          <w:i/>
          <w:iCs/>
          <w:sz w:val="24"/>
          <w:szCs w:val="24"/>
        </w:rPr>
        <w:t xml:space="preserve">, </w:t>
      </w:r>
      <w:r w:rsidRPr="008D7149">
        <w:rPr>
          <w:rFonts w:ascii="Times New Roman" w:hAnsi="Times New Roman" w:cs="Times New Roman"/>
          <w:sz w:val="24"/>
          <w:szCs w:val="24"/>
        </w:rPr>
        <w:t>że „</w:t>
      </w:r>
      <w:r w:rsidRPr="008D7149">
        <w:rPr>
          <w:rFonts w:ascii="Times New Roman" w:hAnsi="Times New Roman" w:cs="Times New Roman"/>
          <w:i/>
          <w:iCs/>
          <w:sz w:val="24"/>
          <w:szCs w:val="24"/>
        </w:rPr>
        <w:t xml:space="preserve">Instytucja pomostowa wprawdzie jest instrumentem doraźnym o charakterze przejściowym, </w:t>
      </w:r>
      <w:r w:rsidRPr="008D7149">
        <w:rPr>
          <w:rFonts w:ascii="Times New Roman" w:hAnsi="Times New Roman" w:cs="Times New Roman"/>
          <w:bCs/>
          <w:i/>
          <w:iCs/>
          <w:sz w:val="24"/>
          <w:szCs w:val="24"/>
        </w:rPr>
        <w:t>ale nastawionym na kontynuację działalności, w tym osiąganie przychodów. Z tych też względów zasadą jest, że koszty działalności instytucji pomostowej są pokrywane z jej przychodów własnych.</w:t>
      </w:r>
      <w:r w:rsidRPr="008D7149">
        <w:rPr>
          <w:rFonts w:ascii="Times New Roman" w:hAnsi="Times New Roman" w:cs="Times New Roman"/>
          <w:i/>
          <w:iCs/>
          <w:sz w:val="24"/>
          <w:szCs w:val="24"/>
        </w:rPr>
        <w:t xml:space="preserve"> Z kolei po środki pochodzące z funduszy przymusowej restrukturyzacji można sięgać tylko wtedy, gdy instytucja pomostowa nie osiąga wystarczających przychodów z zarządzania aktywami lub nie zarządza żadnymi przeniesionymi prawami majątkowymi</w:t>
      </w:r>
      <w:r w:rsidRPr="008D7149">
        <w:rPr>
          <w:rFonts w:ascii="Times New Roman" w:hAnsi="Times New Roman" w:cs="Times New Roman"/>
          <w:sz w:val="24"/>
          <w:szCs w:val="24"/>
        </w:rPr>
        <w:t>.”</w:t>
      </w:r>
      <w:r w:rsidR="00256996" w:rsidRPr="008D7149">
        <w:rPr>
          <w:rFonts w:ascii="Times New Roman" w:hAnsi="Times New Roman" w:cs="Times New Roman"/>
          <w:sz w:val="24"/>
          <w:szCs w:val="24"/>
        </w:rPr>
        <w:t>.</w:t>
      </w:r>
    </w:p>
    <w:p w14:paraId="3B8FC6AB" w14:textId="2028A75E"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 kolei w monografii</w:t>
      </w:r>
      <w:r w:rsidRPr="008D7149">
        <w:rPr>
          <w:rFonts w:ascii="Times New Roman" w:hAnsi="Times New Roman" w:cs="Times New Roman"/>
          <w:i/>
          <w:iCs/>
          <w:sz w:val="24"/>
          <w:szCs w:val="24"/>
        </w:rPr>
        <w:t xml:space="preserve"> </w:t>
      </w:r>
      <w:r w:rsidRPr="008D7149">
        <w:rPr>
          <w:rFonts w:ascii="Times New Roman" w:hAnsi="Times New Roman" w:cs="Times New Roman"/>
          <w:iCs/>
          <w:sz w:val="24"/>
          <w:szCs w:val="24"/>
        </w:rPr>
        <w:t>„Środki przymusowej restrukturyzacji banku, dr Paweł Szczęśniak”</w:t>
      </w:r>
      <w:r w:rsidRPr="008D7149">
        <w:rPr>
          <w:rFonts w:ascii="Times New Roman" w:hAnsi="Times New Roman" w:cs="Times New Roman"/>
          <w:i/>
          <w:iCs/>
          <w:sz w:val="24"/>
          <w:szCs w:val="24"/>
        </w:rPr>
        <w:t xml:space="preserve"> </w:t>
      </w:r>
      <w:r w:rsidRPr="008D7149">
        <w:rPr>
          <w:rFonts w:ascii="Times New Roman" w:hAnsi="Times New Roman" w:cs="Times New Roman"/>
          <w:sz w:val="24"/>
          <w:szCs w:val="24"/>
        </w:rPr>
        <w:t>wskazano, że instytucja pomostowa stanowi szczególny podmiot na rynku finansowym. W istocie jest ona bankiem o specyficznym statusie prawnym. W monografii tej wskazano również, m.in.</w:t>
      </w:r>
      <w:r w:rsidR="00256996" w:rsidRPr="008D7149">
        <w:rPr>
          <w:rFonts w:ascii="Times New Roman" w:hAnsi="Times New Roman" w:cs="Times New Roman"/>
          <w:sz w:val="24"/>
          <w:szCs w:val="24"/>
        </w:rPr>
        <w:t>,</w:t>
      </w:r>
      <w:r w:rsidRPr="008D7149">
        <w:rPr>
          <w:rFonts w:ascii="Times New Roman" w:hAnsi="Times New Roman" w:cs="Times New Roman"/>
          <w:sz w:val="24"/>
          <w:szCs w:val="24"/>
        </w:rPr>
        <w:t xml:space="preserve"> że:</w:t>
      </w:r>
    </w:p>
    <w:p w14:paraId="15C55010" w14:textId="4EA33E36" w:rsidR="00695EEB" w:rsidRPr="008D7149" w:rsidRDefault="00695EEB" w:rsidP="006B5003">
      <w:pPr>
        <w:pStyle w:val="Akapitzlist"/>
        <w:numPr>
          <w:ilvl w:val="0"/>
          <w:numId w:val="21"/>
        </w:numPr>
        <w:spacing w:after="0" w:line="360" w:lineRule="auto"/>
        <w:jc w:val="both"/>
        <w:rPr>
          <w:rFonts w:ascii="Times New Roman" w:hAnsi="Times New Roman" w:cs="Times New Roman"/>
          <w:i/>
          <w:iCs/>
          <w:sz w:val="24"/>
          <w:szCs w:val="24"/>
        </w:rPr>
      </w:pPr>
      <w:r w:rsidRPr="008D7149">
        <w:rPr>
          <w:rFonts w:ascii="Times New Roman" w:hAnsi="Times New Roman" w:cs="Times New Roman"/>
          <w:sz w:val="24"/>
          <w:szCs w:val="24"/>
        </w:rPr>
        <w:t>„</w:t>
      </w:r>
      <w:r w:rsidRPr="008D7149">
        <w:rPr>
          <w:rFonts w:ascii="Times New Roman" w:hAnsi="Times New Roman" w:cs="Times New Roman"/>
          <w:i/>
          <w:sz w:val="24"/>
          <w:szCs w:val="24"/>
        </w:rPr>
        <w:t>głównym celem zastosowania środka prawnego w postaci instytucji pomostowej, zgodnie z normą wywiedzioną z przepisu art. 2 pkt 26 ustawy o BFG, jest kontynuowanie, w całości lub części, działalności prowadzonej przez bank w restrukturyzacji</w:t>
      </w:r>
      <w:r w:rsidRPr="008D7149">
        <w:rPr>
          <w:rFonts w:ascii="Times New Roman" w:hAnsi="Times New Roman" w:cs="Times New Roman"/>
          <w:sz w:val="24"/>
          <w:szCs w:val="24"/>
        </w:rPr>
        <w:t>”</w:t>
      </w:r>
      <w:r w:rsidR="00256996" w:rsidRPr="008D7149">
        <w:rPr>
          <w:rFonts w:ascii="Times New Roman" w:hAnsi="Times New Roman" w:cs="Times New Roman"/>
          <w:sz w:val="24"/>
          <w:szCs w:val="24"/>
        </w:rPr>
        <w:t>;</w:t>
      </w:r>
    </w:p>
    <w:p w14:paraId="4D9D234B" w14:textId="248C1283" w:rsidR="00695EEB" w:rsidRPr="008D7149" w:rsidRDefault="00695EEB" w:rsidP="008D7149">
      <w:pPr>
        <w:pStyle w:val="Akapitzlist"/>
        <w:numPr>
          <w:ilvl w:val="0"/>
          <w:numId w:val="21"/>
        </w:numPr>
        <w:spacing w:before="120" w:after="0" w:line="360" w:lineRule="auto"/>
        <w:jc w:val="both"/>
        <w:rPr>
          <w:rFonts w:ascii="Times New Roman" w:hAnsi="Times New Roman" w:cs="Times New Roman"/>
          <w:i/>
          <w:iCs/>
          <w:sz w:val="24"/>
          <w:szCs w:val="24"/>
        </w:rPr>
      </w:pPr>
      <w:r w:rsidRPr="008D7149">
        <w:rPr>
          <w:rFonts w:ascii="Times New Roman" w:hAnsi="Times New Roman" w:cs="Times New Roman"/>
          <w:i/>
          <w:sz w:val="24"/>
          <w:szCs w:val="24"/>
        </w:rPr>
        <w:t>„Cel działania instytucji pomostowej sprowadza się więc do kontytuowania działalności wykonywanej wcześniej przez bank w restrukturyzacji niezależnie od jego formy organizacyjno-prawnej. Kontynuowanie działalności może przejawiać się w zarządzaniu prawami udziałowymi akcjonariuszy lub zarządzaniu przedsiębiorstwem banku. Dzięki temu możliwe jest zapewnienie ciągłości świadczenia podstawowych usług finansowych na rzecz klientów banku oraz ciągłości prowadzenia podstawowej jego działalności finansowej. Zapewnienie ciągłości działalności banku pozwala na utrzymanie jego funkcji krytycznych. Przez pojęcie utrzymania funkcji krytycznych banku należy rozumieć, o czym wspomniano, zapewnienie ciągłości prowadzenia podstawowej działalności depozytowo-kredytowej, o której mowa w art. 2 ustawy – Prawo bankowe, na rzecz klientów restrukturyzowanego banku. Instytucja pomostowa jest więc tworzona w celu kontynuacji stosunków umownych zawartych przez bank w restrukturyzacji.</w:t>
      </w:r>
      <w:r w:rsidR="006D2F0A" w:rsidRPr="008D7149">
        <w:rPr>
          <w:rFonts w:ascii="Times New Roman" w:hAnsi="Times New Roman" w:cs="Times New Roman"/>
          <w:i/>
          <w:sz w:val="24"/>
          <w:szCs w:val="24"/>
        </w:rPr>
        <w:t>”</w:t>
      </w:r>
      <w:r w:rsidR="00576DCC" w:rsidRPr="008D7149">
        <w:rPr>
          <w:rFonts w:ascii="Times New Roman" w:hAnsi="Times New Roman" w:cs="Times New Roman"/>
          <w:i/>
          <w:sz w:val="24"/>
          <w:szCs w:val="24"/>
        </w:rPr>
        <w:t>.</w:t>
      </w:r>
    </w:p>
    <w:p w14:paraId="17EA82BA" w14:textId="4EFF896A" w:rsidR="00695EEB" w:rsidRPr="008D7149" w:rsidRDefault="00256996" w:rsidP="008D7149">
      <w:pPr>
        <w:pStyle w:val="Akapitzlist"/>
        <w:numPr>
          <w:ilvl w:val="0"/>
          <w:numId w:val="20"/>
        </w:numPr>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p</w:t>
      </w:r>
      <w:r w:rsidR="00695EEB" w:rsidRPr="008D7149">
        <w:rPr>
          <w:rFonts w:ascii="Times New Roman" w:hAnsi="Times New Roman" w:cs="Times New Roman"/>
          <w:bCs/>
          <w:sz w:val="24"/>
          <w:szCs w:val="24"/>
        </w:rPr>
        <w:t>odmiot zarządzający aktywami</w:t>
      </w:r>
      <w:r w:rsidR="0052069D">
        <w:rPr>
          <w:rFonts w:ascii="Times New Roman" w:hAnsi="Times New Roman" w:cs="Times New Roman"/>
          <w:bCs/>
          <w:sz w:val="24"/>
          <w:szCs w:val="24"/>
        </w:rPr>
        <w:t>.</w:t>
      </w:r>
    </w:p>
    <w:p w14:paraId="1AA5C9D4"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powoływanej wyżej już monografii P. Szczęśniaka wskazano m.in.:</w:t>
      </w:r>
    </w:p>
    <w:p w14:paraId="653C7C97" w14:textId="14CD3A05" w:rsidR="00695EEB" w:rsidRPr="008D7149" w:rsidRDefault="00695EEB" w:rsidP="006B5003">
      <w:pPr>
        <w:pStyle w:val="Akapitzlist"/>
        <w:numPr>
          <w:ilvl w:val="0"/>
          <w:numId w:val="22"/>
        </w:numPr>
        <w:spacing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t>
      </w:r>
      <w:r w:rsidRPr="008D7149">
        <w:rPr>
          <w:rFonts w:ascii="Times New Roman" w:hAnsi="Times New Roman" w:cs="Times New Roman"/>
          <w:i/>
          <w:sz w:val="24"/>
          <w:szCs w:val="24"/>
        </w:rPr>
        <w:t>Stosownie do normy wywiedzionej z przepisu art. 224 ust. 2 ustawy o BFG, przedmiotem tej działalności jest zarządzanie przeniesionymi do niego prawami majątkowymi i zobowiązaniami z banku w restrukturyzacji lub instytucji pomostowej</w:t>
      </w:r>
      <w:r w:rsidRPr="008D7149">
        <w:rPr>
          <w:rFonts w:ascii="Times New Roman" w:hAnsi="Times New Roman" w:cs="Times New Roman"/>
          <w:sz w:val="24"/>
          <w:szCs w:val="24"/>
        </w:rPr>
        <w:t>”</w:t>
      </w:r>
      <w:r w:rsidR="00256996" w:rsidRPr="008D7149">
        <w:rPr>
          <w:rFonts w:ascii="Times New Roman" w:hAnsi="Times New Roman" w:cs="Times New Roman"/>
          <w:sz w:val="24"/>
          <w:szCs w:val="24"/>
        </w:rPr>
        <w:t>;</w:t>
      </w:r>
    </w:p>
    <w:p w14:paraId="5C849DFF" w14:textId="203795C7" w:rsidR="00695EEB" w:rsidRPr="008D7149" w:rsidRDefault="00695EEB" w:rsidP="008D7149">
      <w:pPr>
        <w:pStyle w:val="Akapitzlist"/>
        <w:numPr>
          <w:ilvl w:val="0"/>
          <w:numId w:val="22"/>
        </w:numPr>
        <w:spacing w:before="120" w:after="0" w:line="360" w:lineRule="auto"/>
        <w:jc w:val="both"/>
        <w:rPr>
          <w:rFonts w:ascii="Times New Roman" w:hAnsi="Times New Roman" w:cs="Times New Roman"/>
          <w:i/>
          <w:sz w:val="24"/>
          <w:szCs w:val="24"/>
        </w:rPr>
      </w:pPr>
      <w:r w:rsidRPr="008D7149">
        <w:rPr>
          <w:rFonts w:ascii="Times New Roman" w:hAnsi="Times New Roman" w:cs="Times New Roman"/>
          <w:sz w:val="24"/>
          <w:szCs w:val="24"/>
        </w:rPr>
        <w:t>„</w:t>
      </w:r>
      <w:r w:rsidRPr="008D7149">
        <w:rPr>
          <w:rFonts w:ascii="Times New Roman" w:hAnsi="Times New Roman" w:cs="Times New Roman"/>
          <w:i/>
          <w:sz w:val="24"/>
          <w:szCs w:val="24"/>
        </w:rPr>
        <w:t>Dla prawidłowego ustalenia znaczenia terminu zarządzania, o którym mowa w wyżej przywołanym przepisie, niezbędne staje się odwołanie się do treści dyrektywy BRR. Z przepisu art. 42 ust. 3 dyrektywy BRR można wyinterpretować, że zarządzanie prawami majątkowymi powinno być dokonane w taki sposób, aby zmaksymalizować ich wartość do czasu ich sprzedaży lub likwidacji. Wobec powyższego należy stwierdzić, że celem działalności podmiotu zarządzającego aktywami jest utrzymanie trwałości stosunków prawnych i zarządzanie nimi, przy jednoczesnym staraniu polegającym na zwiększaniu wartości praw z nich wynikających</w:t>
      </w:r>
      <w:r w:rsidR="00256996" w:rsidRPr="008D7149">
        <w:rPr>
          <w:rFonts w:ascii="Times New Roman" w:hAnsi="Times New Roman" w:cs="Times New Roman"/>
          <w:i/>
          <w:sz w:val="24"/>
          <w:szCs w:val="24"/>
        </w:rPr>
        <w:t>;</w:t>
      </w:r>
      <w:r w:rsidR="006D2F0A" w:rsidRPr="008D7149">
        <w:rPr>
          <w:rFonts w:ascii="Times New Roman" w:hAnsi="Times New Roman" w:cs="Times New Roman"/>
          <w:i/>
          <w:sz w:val="24"/>
          <w:szCs w:val="24"/>
        </w:rPr>
        <w:t>”</w:t>
      </w:r>
      <w:r w:rsidR="00576DCC" w:rsidRPr="008D7149">
        <w:rPr>
          <w:rFonts w:ascii="Times New Roman" w:hAnsi="Times New Roman" w:cs="Times New Roman"/>
          <w:i/>
          <w:sz w:val="24"/>
          <w:szCs w:val="24"/>
        </w:rPr>
        <w:t>;</w:t>
      </w:r>
    </w:p>
    <w:p w14:paraId="66AE241D" w14:textId="4E11C56E" w:rsidR="00695EEB" w:rsidRPr="008D7149" w:rsidRDefault="00AE3F0A" w:rsidP="008D7149">
      <w:pPr>
        <w:pStyle w:val="Akapitzlist"/>
        <w:numPr>
          <w:ilvl w:val="0"/>
          <w:numId w:val="22"/>
        </w:numPr>
        <w:spacing w:before="120" w:after="0" w:line="360" w:lineRule="auto"/>
        <w:jc w:val="both"/>
        <w:rPr>
          <w:rFonts w:ascii="Times New Roman" w:hAnsi="Times New Roman" w:cs="Times New Roman"/>
          <w:i/>
          <w:sz w:val="24"/>
          <w:szCs w:val="24"/>
        </w:rPr>
      </w:pPr>
      <w:r w:rsidRPr="008D7149">
        <w:rPr>
          <w:rFonts w:ascii="Times New Roman" w:hAnsi="Times New Roman" w:cs="Times New Roman"/>
          <w:i/>
          <w:sz w:val="24"/>
          <w:szCs w:val="24"/>
        </w:rPr>
        <w:t>„</w:t>
      </w:r>
      <w:r w:rsidR="00695EEB" w:rsidRPr="008D7149">
        <w:rPr>
          <w:rFonts w:ascii="Times New Roman" w:hAnsi="Times New Roman" w:cs="Times New Roman"/>
          <w:i/>
          <w:sz w:val="24"/>
          <w:szCs w:val="24"/>
        </w:rPr>
        <w:t>Środek wydzielenia praw majątkowych różni się nieco od środka instytucji pomostowej. Jak już była o tym mowa, celem funkcjonowania instytucji pomostowej jest utrzymanie ciągłości działalności całego banku w restrukturyzacji. Instytucja pomostowa zapewnia bowiem ciągłość świadczenia podstawowych usług finansowych na rzecz klientów banku. Z kolei podmiot zarządzający aktywami zajmuje się kontynuacją wybranych stosunków prawnych. Zarządza prawami majątkowymi i związanymi z nimi zobowiązaniami w celu maksymalizacji ich wartości.</w:t>
      </w:r>
      <w:r w:rsidRPr="008D7149">
        <w:rPr>
          <w:rFonts w:ascii="Times New Roman" w:hAnsi="Times New Roman" w:cs="Times New Roman"/>
          <w:i/>
          <w:sz w:val="24"/>
          <w:szCs w:val="24"/>
        </w:rPr>
        <w:t>”</w:t>
      </w:r>
      <w:r w:rsidR="00576DCC" w:rsidRPr="008D7149">
        <w:rPr>
          <w:rFonts w:ascii="Times New Roman" w:hAnsi="Times New Roman" w:cs="Times New Roman"/>
          <w:i/>
          <w:sz w:val="24"/>
          <w:szCs w:val="24"/>
        </w:rPr>
        <w:t>.</w:t>
      </w:r>
      <w:r w:rsidR="00695EEB" w:rsidRPr="008D7149">
        <w:rPr>
          <w:rFonts w:ascii="Times New Roman" w:hAnsi="Times New Roman" w:cs="Times New Roman"/>
          <w:i/>
          <w:sz w:val="24"/>
          <w:szCs w:val="24"/>
        </w:rPr>
        <w:t xml:space="preserve"> </w:t>
      </w:r>
    </w:p>
    <w:p w14:paraId="41AC5CA1" w14:textId="77777777"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W komentarzu do art. 224 ustawy o BFG wskazano, że zasadą jest, że koszty działalności podmiotu zarządzającego aktywami pokrywa się z przychodów z zarządzania wydzielonymi prawami majątkowymi.</w:t>
      </w:r>
    </w:p>
    <w:p w14:paraId="36EB85C8" w14:textId="1AB5D17F" w:rsidR="00256996"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Mając na uwadze powyższe</w:t>
      </w:r>
      <w:r w:rsidR="0052069D">
        <w:rPr>
          <w:rFonts w:ascii="Times New Roman" w:hAnsi="Times New Roman" w:cs="Times New Roman"/>
          <w:sz w:val="24"/>
          <w:szCs w:val="24"/>
        </w:rPr>
        <w:t>,</w:t>
      </w:r>
      <w:r w:rsidRPr="008D7149">
        <w:rPr>
          <w:rFonts w:ascii="Times New Roman" w:hAnsi="Times New Roman" w:cs="Times New Roman"/>
          <w:sz w:val="24"/>
          <w:szCs w:val="24"/>
        </w:rPr>
        <w:t xml:space="preserve"> </w:t>
      </w:r>
      <w:r w:rsidR="00AE3F0A" w:rsidRPr="008D7149">
        <w:rPr>
          <w:rFonts w:ascii="Times New Roman" w:hAnsi="Times New Roman" w:cs="Times New Roman"/>
          <w:sz w:val="24"/>
          <w:szCs w:val="24"/>
        </w:rPr>
        <w:t>kluczowym jest określenie</w:t>
      </w:r>
      <w:r w:rsidR="008802D0" w:rsidRPr="008D7149">
        <w:rPr>
          <w:rFonts w:ascii="Times New Roman" w:hAnsi="Times New Roman" w:cs="Times New Roman"/>
          <w:sz w:val="24"/>
          <w:szCs w:val="24"/>
        </w:rPr>
        <w:t>,</w:t>
      </w:r>
      <w:r w:rsidR="00AE3F0A" w:rsidRPr="008D7149">
        <w:rPr>
          <w:rFonts w:ascii="Times New Roman" w:hAnsi="Times New Roman" w:cs="Times New Roman"/>
          <w:sz w:val="24"/>
          <w:szCs w:val="24"/>
        </w:rPr>
        <w:t xml:space="preserve"> czy </w:t>
      </w:r>
      <w:r w:rsidRPr="008D7149">
        <w:rPr>
          <w:rFonts w:ascii="Times New Roman" w:hAnsi="Times New Roman" w:cs="Times New Roman"/>
          <w:sz w:val="24"/>
          <w:szCs w:val="24"/>
        </w:rPr>
        <w:t>instytucja pomostowa i podmiot zarządzający aktywami mają prowadzić działalność o charakterze handlowym,</w:t>
      </w:r>
      <w:r w:rsidR="00AE3F0A" w:rsidRPr="008D7149">
        <w:rPr>
          <w:rFonts w:ascii="Times New Roman" w:hAnsi="Times New Roman" w:cs="Times New Roman"/>
          <w:sz w:val="24"/>
          <w:szCs w:val="24"/>
        </w:rPr>
        <w:t xml:space="preserve"> a</w:t>
      </w:r>
      <w:r w:rsidRPr="008D7149">
        <w:rPr>
          <w:rFonts w:ascii="Times New Roman" w:hAnsi="Times New Roman" w:cs="Times New Roman"/>
          <w:sz w:val="24"/>
          <w:szCs w:val="24"/>
        </w:rPr>
        <w:t xml:space="preserve"> w konsekwencji czego</w:t>
      </w:r>
      <w:r w:rsidR="008802D0" w:rsidRPr="008D7149">
        <w:rPr>
          <w:rFonts w:ascii="Times New Roman" w:hAnsi="Times New Roman" w:cs="Times New Roman"/>
          <w:sz w:val="24"/>
          <w:szCs w:val="24"/>
        </w:rPr>
        <w:t>,</w:t>
      </w:r>
      <w:r w:rsidRPr="008D7149">
        <w:rPr>
          <w:rFonts w:ascii="Times New Roman" w:hAnsi="Times New Roman" w:cs="Times New Roman"/>
          <w:sz w:val="24"/>
          <w:szCs w:val="24"/>
        </w:rPr>
        <w:t xml:space="preserve"> mając na względzie art. 4 ust. 3 </w:t>
      </w:r>
      <w:r w:rsidR="00256996" w:rsidRPr="008D7149">
        <w:rPr>
          <w:rFonts w:ascii="Times New Roman" w:hAnsi="Times New Roman" w:cs="Times New Roman"/>
          <w:sz w:val="24"/>
          <w:szCs w:val="24"/>
        </w:rPr>
        <w:t>PZP</w:t>
      </w:r>
      <w:r w:rsidR="008802D0" w:rsidRPr="008D7149">
        <w:rPr>
          <w:rFonts w:ascii="Times New Roman" w:hAnsi="Times New Roman" w:cs="Times New Roman"/>
          <w:sz w:val="24"/>
          <w:szCs w:val="24"/>
        </w:rPr>
        <w:t>,</w:t>
      </w:r>
      <w:r w:rsidR="00AE3F0A" w:rsidRPr="008D7149">
        <w:rPr>
          <w:rFonts w:ascii="Times New Roman" w:hAnsi="Times New Roman" w:cs="Times New Roman"/>
          <w:sz w:val="24"/>
          <w:szCs w:val="24"/>
        </w:rPr>
        <w:t xml:space="preserve"> nie jest zobligowany do stosowania reżimu zamówień publicznych</w:t>
      </w:r>
      <w:r w:rsidR="00DA0685" w:rsidRPr="008D7149">
        <w:rPr>
          <w:rFonts w:ascii="Times New Roman" w:hAnsi="Times New Roman" w:cs="Times New Roman"/>
          <w:sz w:val="24"/>
          <w:szCs w:val="24"/>
        </w:rPr>
        <w:t>. W związku z powyższym</w:t>
      </w:r>
      <w:r w:rsidRPr="008D7149">
        <w:rPr>
          <w:rFonts w:ascii="Times New Roman" w:hAnsi="Times New Roman" w:cs="Times New Roman"/>
          <w:sz w:val="24"/>
          <w:szCs w:val="24"/>
        </w:rPr>
        <w:t xml:space="preserve"> nie można uznać</w:t>
      </w:r>
      <w:r w:rsidR="006D2F0A" w:rsidRPr="008D7149">
        <w:rPr>
          <w:rFonts w:ascii="Times New Roman" w:hAnsi="Times New Roman" w:cs="Times New Roman"/>
          <w:sz w:val="24"/>
          <w:szCs w:val="24"/>
        </w:rPr>
        <w:t xml:space="preserve"> </w:t>
      </w:r>
      <w:r w:rsidR="006D2F0A" w:rsidRPr="008D7149">
        <w:rPr>
          <w:rFonts w:ascii="Times New Roman" w:hAnsi="Times New Roman" w:cs="Times New Roman"/>
          <w:i/>
          <w:sz w:val="24"/>
          <w:szCs w:val="24"/>
        </w:rPr>
        <w:t xml:space="preserve">ex </w:t>
      </w:r>
      <w:proofErr w:type="spellStart"/>
      <w:r w:rsidR="006D2F0A" w:rsidRPr="008D7149">
        <w:rPr>
          <w:rFonts w:ascii="Times New Roman" w:hAnsi="Times New Roman" w:cs="Times New Roman"/>
          <w:i/>
          <w:sz w:val="24"/>
          <w:szCs w:val="24"/>
        </w:rPr>
        <w:t>ante</w:t>
      </w:r>
      <w:proofErr w:type="spellEnd"/>
      <w:r w:rsidR="006D2F0A" w:rsidRPr="008D7149">
        <w:rPr>
          <w:rFonts w:ascii="Times New Roman" w:hAnsi="Times New Roman" w:cs="Times New Roman"/>
          <w:sz w:val="24"/>
          <w:szCs w:val="24"/>
        </w:rPr>
        <w:t xml:space="preserve"> </w:t>
      </w:r>
      <w:r w:rsidRPr="008D7149">
        <w:rPr>
          <w:rFonts w:ascii="Times New Roman" w:hAnsi="Times New Roman" w:cs="Times New Roman"/>
          <w:sz w:val="24"/>
          <w:szCs w:val="24"/>
        </w:rPr>
        <w:t xml:space="preserve">tych instytucji za podmioty podlegające reżimowi </w:t>
      </w:r>
      <w:r w:rsidR="00256996" w:rsidRPr="008D7149">
        <w:rPr>
          <w:rFonts w:ascii="Times New Roman" w:hAnsi="Times New Roman" w:cs="Times New Roman"/>
          <w:sz w:val="24"/>
          <w:szCs w:val="24"/>
        </w:rPr>
        <w:t>PZP</w:t>
      </w:r>
      <w:r w:rsidR="0052069D">
        <w:rPr>
          <w:rFonts w:ascii="Times New Roman" w:hAnsi="Times New Roman" w:cs="Times New Roman"/>
          <w:sz w:val="24"/>
          <w:szCs w:val="24"/>
        </w:rPr>
        <w:t>,</w:t>
      </w:r>
      <w:r w:rsidR="00AE3F0A" w:rsidRPr="008D7149">
        <w:rPr>
          <w:rFonts w:ascii="Times New Roman" w:hAnsi="Times New Roman" w:cs="Times New Roman"/>
          <w:sz w:val="24"/>
          <w:szCs w:val="24"/>
        </w:rPr>
        <w:t xml:space="preserve"> a o</w:t>
      </w:r>
      <w:r w:rsidR="006D2F0A" w:rsidRPr="008D7149">
        <w:rPr>
          <w:rFonts w:ascii="Times New Roman" w:hAnsi="Times New Roman" w:cs="Times New Roman"/>
          <w:sz w:val="24"/>
          <w:szCs w:val="24"/>
        </w:rPr>
        <w:t>cena podlegania pod PZP będzie niezbędna przed udzieleniem zamówienia</w:t>
      </w:r>
      <w:r w:rsidR="008802D0" w:rsidRPr="008D7149">
        <w:rPr>
          <w:rFonts w:ascii="Times New Roman" w:hAnsi="Times New Roman" w:cs="Times New Roman"/>
          <w:sz w:val="24"/>
          <w:szCs w:val="24"/>
        </w:rPr>
        <w:t>,</w:t>
      </w:r>
      <w:r w:rsidR="006D2F0A" w:rsidRPr="008D7149">
        <w:rPr>
          <w:rFonts w:ascii="Times New Roman" w:hAnsi="Times New Roman" w:cs="Times New Roman"/>
          <w:sz w:val="24"/>
          <w:szCs w:val="24"/>
        </w:rPr>
        <w:t xml:space="preserve"> analizując wymienione wyżej przesłanki na moment udzielenia zamówienia.</w:t>
      </w:r>
    </w:p>
    <w:p w14:paraId="675D87C6" w14:textId="3979EF60" w:rsidR="00695EEB" w:rsidRPr="008D7149" w:rsidRDefault="00695EEB" w:rsidP="008D7149">
      <w:pPr>
        <w:spacing w:before="120" w:after="0" w:line="360" w:lineRule="auto"/>
        <w:ind w:left="360"/>
        <w:jc w:val="both"/>
        <w:rPr>
          <w:rFonts w:ascii="Times New Roman" w:hAnsi="Times New Roman" w:cs="Times New Roman"/>
          <w:bCs/>
          <w:sz w:val="24"/>
          <w:szCs w:val="24"/>
          <w:u w:val="single"/>
        </w:rPr>
      </w:pPr>
      <w:r w:rsidRPr="008D7149">
        <w:rPr>
          <w:rFonts w:ascii="Times New Roman" w:hAnsi="Times New Roman" w:cs="Times New Roman"/>
          <w:bCs/>
          <w:sz w:val="24"/>
          <w:szCs w:val="24"/>
          <w:u w:val="single"/>
        </w:rPr>
        <w:t xml:space="preserve">Powierzenie wykonywania pośrednictwa w zakresie czynności wymienionych w art. 5 i art. 6 </w:t>
      </w:r>
      <w:r w:rsidR="00D5333C" w:rsidRPr="008D7149">
        <w:rPr>
          <w:rFonts w:ascii="Times New Roman" w:hAnsi="Times New Roman" w:cs="Times New Roman"/>
          <w:bCs/>
          <w:sz w:val="24"/>
          <w:szCs w:val="24"/>
          <w:u w:val="single"/>
        </w:rPr>
        <w:t xml:space="preserve">z dnia 29 sierpnia 1997 r. </w:t>
      </w:r>
      <w:r w:rsidR="0052069D">
        <w:rPr>
          <w:rFonts w:ascii="Times New Roman" w:hAnsi="Times New Roman" w:cs="Times New Roman"/>
          <w:bCs/>
          <w:sz w:val="24"/>
          <w:szCs w:val="24"/>
          <w:u w:val="single"/>
        </w:rPr>
        <w:t xml:space="preserve">– </w:t>
      </w:r>
      <w:r w:rsidRPr="008D7149">
        <w:rPr>
          <w:rFonts w:ascii="Times New Roman" w:hAnsi="Times New Roman" w:cs="Times New Roman"/>
          <w:bCs/>
          <w:sz w:val="24"/>
          <w:szCs w:val="24"/>
          <w:u w:val="single"/>
        </w:rPr>
        <w:t>Praw</w:t>
      </w:r>
      <w:r w:rsidR="00D5333C" w:rsidRPr="008D7149">
        <w:rPr>
          <w:rFonts w:ascii="Times New Roman" w:hAnsi="Times New Roman" w:cs="Times New Roman"/>
          <w:bCs/>
          <w:sz w:val="24"/>
          <w:szCs w:val="24"/>
          <w:u w:val="single"/>
        </w:rPr>
        <w:t>o</w:t>
      </w:r>
      <w:r w:rsidRPr="008D7149">
        <w:rPr>
          <w:rFonts w:ascii="Times New Roman" w:hAnsi="Times New Roman" w:cs="Times New Roman"/>
          <w:bCs/>
          <w:sz w:val="24"/>
          <w:szCs w:val="24"/>
          <w:u w:val="single"/>
        </w:rPr>
        <w:t xml:space="preserve"> bankow</w:t>
      </w:r>
      <w:r w:rsidR="00D5333C" w:rsidRPr="008D7149">
        <w:rPr>
          <w:rFonts w:ascii="Times New Roman" w:hAnsi="Times New Roman" w:cs="Times New Roman"/>
          <w:bCs/>
          <w:sz w:val="24"/>
          <w:szCs w:val="24"/>
          <w:u w:val="single"/>
        </w:rPr>
        <w:t>e</w:t>
      </w:r>
    </w:p>
    <w:p w14:paraId="0A2EA7B3" w14:textId="673CD97D" w:rsidR="00695EEB" w:rsidRPr="008D7149" w:rsidRDefault="00695EE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Przepis art. 11 ust. 5 pkt 11 lit. c </w:t>
      </w:r>
      <w:r w:rsidR="00D5333C" w:rsidRPr="008D7149">
        <w:rPr>
          <w:rFonts w:ascii="Times New Roman" w:hAnsi="Times New Roman" w:cs="Times New Roman"/>
          <w:sz w:val="24"/>
          <w:szCs w:val="24"/>
        </w:rPr>
        <w:t>PZP</w:t>
      </w:r>
      <w:r w:rsidRPr="008D7149">
        <w:rPr>
          <w:rFonts w:ascii="Times New Roman" w:hAnsi="Times New Roman" w:cs="Times New Roman"/>
          <w:sz w:val="24"/>
          <w:szCs w:val="24"/>
        </w:rPr>
        <w:t xml:space="preserve"> odnosi się do wynikającego z art. 149 ustawy o BFG uprawnienia BFG (działającego jako organ przymusowej restrukturyzacji) do powierzenia wykonywania określonych czynności w imieniu i na rzecz podmiotu w restrukturyzacji (a nie BFG). Podmiot w restrukturyzacji nie jest „zamawiającym publicznym” w rozumieniu art. 4 </w:t>
      </w:r>
      <w:r w:rsidR="00D5333C" w:rsidRPr="008D7149">
        <w:rPr>
          <w:rFonts w:ascii="Times New Roman" w:hAnsi="Times New Roman" w:cs="Times New Roman"/>
          <w:sz w:val="24"/>
          <w:szCs w:val="24"/>
        </w:rPr>
        <w:t>PZP</w:t>
      </w:r>
      <w:r w:rsidRPr="008D7149">
        <w:rPr>
          <w:rFonts w:ascii="Times New Roman" w:hAnsi="Times New Roman" w:cs="Times New Roman"/>
          <w:sz w:val="24"/>
          <w:szCs w:val="24"/>
        </w:rPr>
        <w:t xml:space="preserve">, w związku z czym zasadnym jest </w:t>
      </w:r>
      <w:r w:rsidR="00D5333C" w:rsidRPr="008D7149">
        <w:rPr>
          <w:rFonts w:ascii="Times New Roman" w:hAnsi="Times New Roman" w:cs="Times New Roman"/>
          <w:sz w:val="24"/>
          <w:szCs w:val="24"/>
        </w:rPr>
        <w:t xml:space="preserve">uchylenie </w:t>
      </w:r>
      <w:r w:rsidRPr="008D7149">
        <w:rPr>
          <w:rFonts w:ascii="Times New Roman" w:hAnsi="Times New Roman" w:cs="Times New Roman"/>
          <w:sz w:val="24"/>
          <w:szCs w:val="24"/>
        </w:rPr>
        <w:t>tego przepisu.</w:t>
      </w:r>
      <w:r w:rsidR="006D2F0A" w:rsidRPr="008D7149">
        <w:rPr>
          <w:rFonts w:ascii="Times New Roman" w:hAnsi="Times New Roman" w:cs="Times New Roman"/>
          <w:sz w:val="24"/>
          <w:szCs w:val="24"/>
        </w:rPr>
        <w:t xml:space="preserve"> Podkreślić należy, że wobec podmiotu w restrukturyzacji BFG działa jedynie jako pewnego rodzaju pełnomocnik</w:t>
      </w:r>
      <w:r w:rsidR="008802D0" w:rsidRPr="008D7149">
        <w:rPr>
          <w:rFonts w:ascii="Times New Roman" w:hAnsi="Times New Roman" w:cs="Times New Roman"/>
          <w:sz w:val="24"/>
          <w:szCs w:val="24"/>
        </w:rPr>
        <w:t>,</w:t>
      </w:r>
      <w:r w:rsidR="006D2F0A" w:rsidRPr="008D7149">
        <w:rPr>
          <w:rFonts w:ascii="Times New Roman" w:hAnsi="Times New Roman" w:cs="Times New Roman"/>
          <w:sz w:val="24"/>
          <w:szCs w:val="24"/>
        </w:rPr>
        <w:t xml:space="preserve"> co nie zmienia charakteru zamawiającego</w:t>
      </w:r>
      <w:r w:rsidR="008802D0" w:rsidRPr="008D7149">
        <w:rPr>
          <w:rFonts w:ascii="Times New Roman" w:hAnsi="Times New Roman" w:cs="Times New Roman"/>
          <w:sz w:val="24"/>
          <w:szCs w:val="24"/>
        </w:rPr>
        <w:t>,</w:t>
      </w:r>
      <w:r w:rsidR="006D2F0A" w:rsidRPr="008D7149">
        <w:rPr>
          <w:rFonts w:ascii="Times New Roman" w:hAnsi="Times New Roman" w:cs="Times New Roman"/>
          <w:sz w:val="24"/>
          <w:szCs w:val="24"/>
        </w:rPr>
        <w:t xml:space="preserve"> a tym samym nie obliguje go do stosowania reżimu PZP.</w:t>
      </w:r>
    </w:p>
    <w:p w14:paraId="3AE43FAA" w14:textId="77777777" w:rsidR="00695EEB" w:rsidRPr="008D7149" w:rsidRDefault="00695EEB" w:rsidP="008D7149">
      <w:pPr>
        <w:spacing w:before="120" w:after="0" w:line="360" w:lineRule="auto"/>
        <w:ind w:firstLine="708"/>
        <w:jc w:val="both"/>
        <w:rPr>
          <w:rFonts w:ascii="Times New Roman" w:hAnsi="Times New Roman" w:cs="Times New Roman"/>
          <w:bCs/>
          <w:sz w:val="24"/>
          <w:szCs w:val="24"/>
          <w:u w:val="single"/>
        </w:rPr>
      </w:pPr>
      <w:r w:rsidRPr="008D7149">
        <w:rPr>
          <w:rFonts w:ascii="Times New Roman" w:hAnsi="Times New Roman" w:cs="Times New Roman"/>
          <w:bCs/>
          <w:sz w:val="24"/>
          <w:szCs w:val="24"/>
          <w:u w:val="single"/>
        </w:rPr>
        <w:t xml:space="preserve">Oszacowanie na potrzeby zastosowania rządowych instrumentów stabilizacji finansowej </w:t>
      </w:r>
    </w:p>
    <w:p w14:paraId="616B3B17" w14:textId="4BA27745" w:rsidR="00695EEB" w:rsidRPr="008D7149" w:rsidRDefault="00695EEB" w:rsidP="008D7149">
      <w:pPr>
        <w:spacing w:before="120" w:after="0" w:line="360" w:lineRule="auto"/>
        <w:jc w:val="both"/>
        <w:rPr>
          <w:rFonts w:ascii="Times New Roman" w:hAnsi="Times New Roman" w:cs="Times New Roman"/>
          <w:i/>
          <w:iCs/>
          <w:sz w:val="24"/>
          <w:szCs w:val="24"/>
        </w:rPr>
      </w:pPr>
      <w:r w:rsidRPr="008D7149">
        <w:rPr>
          <w:rFonts w:ascii="Times New Roman" w:hAnsi="Times New Roman" w:cs="Times New Roman"/>
          <w:sz w:val="24"/>
          <w:szCs w:val="24"/>
        </w:rPr>
        <w:t xml:space="preserve">Zmiana w zakresie art. 11 ust. 5 pkt 13 lit. a </w:t>
      </w:r>
      <w:r w:rsidR="00D5333C" w:rsidRPr="008D7149">
        <w:rPr>
          <w:rFonts w:ascii="Times New Roman" w:hAnsi="Times New Roman" w:cs="Times New Roman"/>
          <w:sz w:val="24"/>
          <w:szCs w:val="24"/>
        </w:rPr>
        <w:t xml:space="preserve">PZP </w:t>
      </w:r>
      <w:r w:rsidRPr="008D7149">
        <w:rPr>
          <w:rFonts w:ascii="Times New Roman" w:hAnsi="Times New Roman" w:cs="Times New Roman"/>
          <w:sz w:val="24"/>
          <w:szCs w:val="24"/>
        </w:rPr>
        <w:t xml:space="preserve">jest związana z tym, że art. 19f ust. 8 ustawy </w:t>
      </w:r>
      <w:r w:rsidR="00BF5272" w:rsidRPr="008D7149">
        <w:rPr>
          <w:rFonts w:ascii="Times New Roman" w:hAnsi="Times New Roman" w:cs="Times New Roman"/>
          <w:sz w:val="24"/>
          <w:szCs w:val="24"/>
        </w:rPr>
        <w:t xml:space="preserve">z dnia 12 lutego 2010 r. </w:t>
      </w:r>
      <w:r w:rsidRPr="008D7149">
        <w:rPr>
          <w:rFonts w:ascii="Times New Roman" w:hAnsi="Times New Roman" w:cs="Times New Roman"/>
          <w:sz w:val="24"/>
          <w:szCs w:val="24"/>
        </w:rPr>
        <w:t xml:space="preserve">o rekapitalizacji niektórych instytucji oraz o rządowych instrumentach stabilizacji finansowej </w:t>
      </w:r>
      <w:r w:rsidR="00D5333C" w:rsidRPr="008D7149">
        <w:rPr>
          <w:rFonts w:ascii="Times New Roman" w:hAnsi="Times New Roman" w:cs="Times New Roman"/>
          <w:sz w:val="24"/>
          <w:szCs w:val="24"/>
        </w:rPr>
        <w:t xml:space="preserve">(Dz. U. z 2018 r. poz. 124, z późn. zm.) </w:t>
      </w:r>
      <w:r w:rsidRPr="008D7149">
        <w:rPr>
          <w:rFonts w:ascii="Times New Roman" w:hAnsi="Times New Roman" w:cs="Times New Roman"/>
          <w:sz w:val="24"/>
          <w:szCs w:val="24"/>
        </w:rPr>
        <w:t>nie przewiduje zlecania przez BFG sporządzenia odrębnego oszacowania na potrzeby zastosowania rządowych instrument</w:t>
      </w:r>
      <w:r w:rsidR="0052069D">
        <w:rPr>
          <w:rFonts w:ascii="Times New Roman" w:hAnsi="Times New Roman" w:cs="Times New Roman"/>
          <w:sz w:val="24"/>
          <w:szCs w:val="24"/>
        </w:rPr>
        <w:t xml:space="preserve">ów </w:t>
      </w:r>
      <w:r w:rsidRPr="008D7149">
        <w:rPr>
          <w:rFonts w:ascii="Times New Roman" w:hAnsi="Times New Roman" w:cs="Times New Roman"/>
          <w:sz w:val="24"/>
          <w:szCs w:val="24"/>
        </w:rPr>
        <w:t xml:space="preserve"> stabilizacji finansowe</w:t>
      </w:r>
      <w:r w:rsidR="0052069D">
        <w:rPr>
          <w:rFonts w:ascii="Times New Roman" w:hAnsi="Times New Roman" w:cs="Times New Roman"/>
          <w:sz w:val="24"/>
          <w:szCs w:val="24"/>
        </w:rPr>
        <w:t>j</w:t>
      </w:r>
      <w:r w:rsidRPr="008D7149">
        <w:rPr>
          <w:rFonts w:ascii="Times New Roman" w:hAnsi="Times New Roman" w:cs="Times New Roman"/>
          <w:sz w:val="24"/>
          <w:szCs w:val="24"/>
        </w:rPr>
        <w:t xml:space="preserve">, lecz wykorzystanie oszacowania sporządzonego na potrzeby przymusowej restrukturyzacji, z możliwością dokonania jego aktualizacji. </w:t>
      </w:r>
      <w:r w:rsidRPr="008D7149">
        <w:rPr>
          <w:rFonts w:ascii="Times New Roman" w:hAnsi="Times New Roman" w:cs="Times New Roman"/>
          <w:iCs/>
          <w:sz w:val="24"/>
          <w:szCs w:val="24"/>
        </w:rPr>
        <w:t>Przedmiotowy przepis stanowi:</w:t>
      </w:r>
      <w:r w:rsidRPr="008D7149">
        <w:rPr>
          <w:rFonts w:ascii="Times New Roman" w:hAnsi="Times New Roman" w:cs="Times New Roman"/>
          <w:i/>
          <w:iCs/>
          <w:sz w:val="24"/>
          <w:szCs w:val="24"/>
        </w:rPr>
        <w:t xml:space="preserve"> „Do ustalenia ceny za przeniesienie praw udziałowych stosuje się oszacowanie, o którym mowa w art. 137 ustawy z dnia 10 czerwca 2016 r. o Bankowym Funduszu Gwarancyjnym, systemie gwarantowania depozytów oraz przymusowej restrukturyzacji, dokonane na zlecenie Bankowego Funduszu Gwarancyjnego. W przypadku zaistnienia istotnej zmiany Bankowy Fundusz Gwarancyjny zleca podmiotowi przygotowującemu oszacowanie dokonanie jego aktualizacji w części niezbędnej do zastosowania rządowych instrumentów stabilizacji finansowej.”</w:t>
      </w:r>
      <w:r w:rsidR="00D5333C" w:rsidRPr="008D7149">
        <w:rPr>
          <w:rFonts w:ascii="Times New Roman" w:hAnsi="Times New Roman" w:cs="Times New Roman"/>
          <w:i/>
          <w:iCs/>
          <w:sz w:val="24"/>
          <w:szCs w:val="24"/>
        </w:rPr>
        <w:t>.</w:t>
      </w:r>
    </w:p>
    <w:p w14:paraId="0AB40680" w14:textId="32C67CC4" w:rsidR="009B2BF6" w:rsidRPr="008D7149" w:rsidRDefault="00C20CC7" w:rsidP="008D7149">
      <w:pPr>
        <w:pStyle w:val="PKTpunkt"/>
        <w:spacing w:before="120"/>
        <w:ind w:left="0" w:firstLine="0"/>
        <w:rPr>
          <w:rFonts w:ascii="Times New Roman" w:eastAsia="Times New Roman" w:hAnsi="Times New Roman"/>
        </w:rPr>
      </w:pPr>
      <w:r w:rsidRPr="008D7149">
        <w:rPr>
          <w:rFonts w:ascii="Times New Roman" w:hAnsi="Times New Roman"/>
        </w:rPr>
        <w:t>1</w:t>
      </w:r>
      <w:r w:rsidR="005417FC" w:rsidRPr="008D7149">
        <w:rPr>
          <w:rFonts w:ascii="Times New Roman" w:hAnsi="Times New Roman"/>
        </w:rPr>
        <w:t>9</w:t>
      </w:r>
      <w:r w:rsidRPr="008D7149">
        <w:rPr>
          <w:rFonts w:ascii="Times New Roman" w:hAnsi="Times New Roman"/>
        </w:rPr>
        <w:t>)</w:t>
      </w:r>
      <w:r w:rsidR="007F7D8E">
        <w:rPr>
          <w:rFonts w:ascii="Times New Roman" w:hAnsi="Times New Roman"/>
          <w:b/>
        </w:rPr>
        <w:tab/>
      </w:r>
      <w:r w:rsidR="00EF441C" w:rsidRPr="008D7149">
        <w:rPr>
          <w:rFonts w:ascii="Times New Roman" w:hAnsi="Times New Roman"/>
          <w:b/>
        </w:rPr>
        <w:t xml:space="preserve">Art. </w:t>
      </w:r>
      <w:r w:rsidR="00594042" w:rsidRPr="008D7149">
        <w:rPr>
          <w:rFonts w:ascii="Times New Roman" w:hAnsi="Times New Roman"/>
          <w:b/>
        </w:rPr>
        <w:t>1</w:t>
      </w:r>
      <w:r w:rsidR="005417FC" w:rsidRPr="008D7149">
        <w:rPr>
          <w:rFonts w:ascii="Times New Roman" w:hAnsi="Times New Roman"/>
          <w:b/>
        </w:rPr>
        <w:t>9</w:t>
      </w:r>
      <w:r w:rsidR="00240CB8" w:rsidRPr="008D7149">
        <w:rPr>
          <w:rFonts w:ascii="Times New Roman" w:hAnsi="Times New Roman"/>
          <w:b/>
        </w:rPr>
        <w:t xml:space="preserve"> </w:t>
      </w:r>
      <w:r w:rsidR="00EF441C" w:rsidRPr="006B5003">
        <w:rPr>
          <w:rFonts w:ascii="Times New Roman" w:hAnsi="Times New Roman"/>
        </w:rPr>
        <w:t>projektu</w:t>
      </w:r>
      <w:r w:rsidR="00EF441C" w:rsidRPr="008D7149">
        <w:rPr>
          <w:rFonts w:ascii="Times New Roman" w:hAnsi="Times New Roman"/>
          <w:b/>
        </w:rPr>
        <w:t xml:space="preserve"> – </w:t>
      </w:r>
      <w:r w:rsidR="00AB6D60" w:rsidRPr="008D7149">
        <w:rPr>
          <w:rFonts w:ascii="Times New Roman" w:eastAsia="Times New Roman" w:hAnsi="Times New Roman"/>
        </w:rPr>
        <w:t>stanowi przepis o charakterze przejściowym, w związku z wprowadzaną zmian</w:t>
      </w:r>
      <w:r w:rsidR="00C83764" w:rsidRPr="008D7149">
        <w:rPr>
          <w:rFonts w:ascii="Times New Roman" w:eastAsia="Times New Roman" w:hAnsi="Times New Roman"/>
        </w:rPr>
        <w:t>ą</w:t>
      </w:r>
      <w:r w:rsidR="00AB6D60" w:rsidRPr="008D7149">
        <w:rPr>
          <w:rFonts w:ascii="Times New Roman" w:eastAsia="Times New Roman" w:hAnsi="Times New Roman"/>
        </w:rPr>
        <w:t xml:space="preserve"> w art. 2 </w:t>
      </w:r>
      <w:r w:rsidR="00C83764" w:rsidRPr="008D7149">
        <w:rPr>
          <w:rFonts w:ascii="Times New Roman" w:eastAsia="Times New Roman" w:hAnsi="Times New Roman"/>
        </w:rPr>
        <w:t>projektu ustawy</w:t>
      </w:r>
      <w:r w:rsidR="00AB6D60" w:rsidRPr="008D7149">
        <w:rPr>
          <w:rFonts w:ascii="Times New Roman" w:eastAsia="Times New Roman" w:hAnsi="Times New Roman"/>
        </w:rPr>
        <w:t>. Zgodnie z projektowanym przepisem podlegają umorzeniu postępowania</w:t>
      </w:r>
      <w:r w:rsidR="00D93FBF" w:rsidRPr="008D7149">
        <w:rPr>
          <w:rFonts w:ascii="Times New Roman" w:eastAsia="Times New Roman" w:hAnsi="Times New Roman"/>
        </w:rPr>
        <w:t>,</w:t>
      </w:r>
      <w:r w:rsidR="00AB6D60" w:rsidRPr="008D7149">
        <w:rPr>
          <w:rFonts w:ascii="Times New Roman" w:eastAsia="Times New Roman" w:hAnsi="Times New Roman"/>
        </w:rPr>
        <w:t xml:space="preserve"> </w:t>
      </w:r>
      <w:r w:rsidR="00D93FBF" w:rsidRPr="008D7149">
        <w:rPr>
          <w:rFonts w:ascii="Times New Roman" w:eastAsia="Times New Roman" w:hAnsi="Times New Roman"/>
        </w:rPr>
        <w:t xml:space="preserve">które zostały wszczęte i niezakończone przed dniem wejścia w życie projektowanej ustawy, </w:t>
      </w:r>
      <w:r w:rsidR="00AB6D60" w:rsidRPr="008D7149">
        <w:rPr>
          <w:rFonts w:ascii="Times New Roman" w:eastAsia="Times New Roman" w:hAnsi="Times New Roman"/>
        </w:rPr>
        <w:t>w sprawie wniosku o wpis w księdze wieczystej informacji, o któr</w:t>
      </w:r>
      <w:r w:rsidR="00C83764" w:rsidRPr="008D7149">
        <w:rPr>
          <w:rFonts w:ascii="Times New Roman" w:eastAsia="Times New Roman" w:hAnsi="Times New Roman"/>
        </w:rPr>
        <w:t>ych</w:t>
      </w:r>
      <w:r w:rsidR="00AB6D60" w:rsidRPr="008D7149">
        <w:rPr>
          <w:rFonts w:ascii="Times New Roman" w:eastAsia="Times New Roman" w:hAnsi="Times New Roman"/>
        </w:rPr>
        <w:t xml:space="preserve"> mowa w </w:t>
      </w:r>
      <w:r w:rsidR="00C83764" w:rsidRPr="008D7149">
        <w:rPr>
          <w:rFonts w:ascii="Times New Roman" w:eastAsia="Times New Roman" w:hAnsi="Times New Roman"/>
        </w:rPr>
        <w:t xml:space="preserve">uchylanym </w:t>
      </w:r>
      <w:r w:rsidR="00AB6D60" w:rsidRPr="008D7149">
        <w:rPr>
          <w:rFonts w:ascii="Times New Roman" w:eastAsia="Times New Roman" w:hAnsi="Times New Roman"/>
        </w:rPr>
        <w:t>art. 24 ust</w:t>
      </w:r>
      <w:r w:rsidR="00C83764" w:rsidRPr="008D7149">
        <w:rPr>
          <w:rFonts w:ascii="Times New Roman" w:eastAsia="Times New Roman" w:hAnsi="Times New Roman"/>
        </w:rPr>
        <w:t>.</w:t>
      </w:r>
      <w:r w:rsidR="00AB6D60" w:rsidRPr="008D7149">
        <w:rPr>
          <w:rFonts w:ascii="Times New Roman" w:eastAsia="Times New Roman" w:hAnsi="Times New Roman"/>
        </w:rPr>
        <w:t xml:space="preserve"> 2 </w:t>
      </w:r>
      <w:r w:rsidR="00C83764" w:rsidRPr="008D7149">
        <w:rPr>
          <w:rFonts w:ascii="Times New Roman" w:eastAsia="Times New Roman" w:hAnsi="Times New Roman"/>
        </w:rPr>
        <w:t>Ustawy</w:t>
      </w:r>
      <w:r w:rsidR="00AB6D60" w:rsidRPr="008D7149">
        <w:rPr>
          <w:rFonts w:ascii="Times New Roman" w:eastAsia="Times New Roman" w:hAnsi="Times New Roman"/>
        </w:rPr>
        <w:t xml:space="preserve">. </w:t>
      </w:r>
    </w:p>
    <w:p w14:paraId="7DC53B07" w14:textId="03AD37DC" w:rsidR="00D93FBF" w:rsidRPr="008D7149" w:rsidRDefault="005417FC" w:rsidP="008D7149">
      <w:pPr>
        <w:pStyle w:val="PKTpunkt"/>
        <w:spacing w:before="120"/>
        <w:ind w:left="0" w:firstLine="0"/>
        <w:rPr>
          <w:rFonts w:ascii="Times New Roman" w:hAnsi="Times New Roman"/>
        </w:rPr>
      </w:pPr>
      <w:r w:rsidRPr="008D7149">
        <w:rPr>
          <w:rFonts w:ascii="Times New Roman" w:hAnsi="Times New Roman"/>
        </w:rPr>
        <w:t>20</w:t>
      </w:r>
      <w:r w:rsidR="007F7D8E">
        <w:rPr>
          <w:rFonts w:ascii="Times New Roman" w:hAnsi="Times New Roman"/>
        </w:rPr>
        <w:t>)</w:t>
      </w:r>
      <w:r w:rsidR="007F7D8E">
        <w:rPr>
          <w:rFonts w:ascii="Times New Roman" w:hAnsi="Times New Roman"/>
        </w:rPr>
        <w:tab/>
      </w:r>
      <w:r w:rsidR="00AB6D60" w:rsidRPr="008D7149">
        <w:rPr>
          <w:rFonts w:ascii="Times New Roman" w:hAnsi="Times New Roman"/>
          <w:b/>
        </w:rPr>
        <w:t xml:space="preserve">Art. </w:t>
      </w:r>
      <w:r w:rsidRPr="008D7149">
        <w:rPr>
          <w:rFonts w:ascii="Times New Roman" w:hAnsi="Times New Roman"/>
          <w:b/>
        </w:rPr>
        <w:t>20</w:t>
      </w:r>
      <w:r w:rsidR="00AB6D60" w:rsidRPr="008D7149">
        <w:rPr>
          <w:rFonts w:ascii="Times New Roman" w:hAnsi="Times New Roman"/>
          <w:b/>
        </w:rPr>
        <w:t xml:space="preserve"> </w:t>
      </w:r>
      <w:r w:rsidR="00C83764" w:rsidRPr="008D7149">
        <w:rPr>
          <w:rFonts w:ascii="Times New Roman" w:hAnsi="Times New Roman"/>
          <w:b/>
        </w:rPr>
        <w:t xml:space="preserve">ust. 1 </w:t>
      </w:r>
      <w:r w:rsidR="00AB6D60" w:rsidRPr="006B5003">
        <w:rPr>
          <w:rFonts w:ascii="Times New Roman" w:hAnsi="Times New Roman"/>
        </w:rPr>
        <w:t>projektu</w:t>
      </w:r>
      <w:r w:rsidR="00AB6D60" w:rsidRPr="008D7149">
        <w:rPr>
          <w:rFonts w:ascii="Times New Roman" w:hAnsi="Times New Roman"/>
        </w:rPr>
        <w:t xml:space="preserve"> </w:t>
      </w:r>
      <w:r w:rsidR="00EF441C" w:rsidRPr="008D7149">
        <w:rPr>
          <w:rFonts w:ascii="Times New Roman" w:hAnsi="Times New Roman"/>
        </w:rPr>
        <w:t>stanowi przepis regulujący kwestie składania po raz pierwszy przez powiernika sprawozdania, o którym mowa w projektowanym brzmieniu art. 30 ust. 2 Ustawy.</w:t>
      </w:r>
      <w:r w:rsidR="00F864E3" w:rsidRPr="008D7149">
        <w:rPr>
          <w:rFonts w:ascii="Times New Roman" w:hAnsi="Times New Roman"/>
        </w:rPr>
        <w:t xml:space="preserve"> </w:t>
      </w:r>
    </w:p>
    <w:p w14:paraId="12767CB9" w14:textId="27449F6E" w:rsidR="00F130E5" w:rsidRPr="008D7149" w:rsidRDefault="00D93FBF" w:rsidP="008D7149">
      <w:pPr>
        <w:pStyle w:val="PKTpunkt"/>
        <w:spacing w:before="120"/>
        <w:ind w:left="0" w:firstLine="0"/>
        <w:rPr>
          <w:rFonts w:ascii="Times New Roman" w:hAnsi="Times New Roman"/>
        </w:rPr>
      </w:pPr>
      <w:r w:rsidRPr="008D7149">
        <w:rPr>
          <w:rFonts w:ascii="Times New Roman" w:hAnsi="Times New Roman"/>
          <w:b/>
        </w:rPr>
        <w:t xml:space="preserve">Art. </w:t>
      </w:r>
      <w:r w:rsidR="005417FC" w:rsidRPr="008D7149">
        <w:rPr>
          <w:rFonts w:ascii="Times New Roman" w:hAnsi="Times New Roman"/>
          <w:b/>
        </w:rPr>
        <w:t>20</w:t>
      </w:r>
      <w:r w:rsidR="00C13B43" w:rsidRPr="008D7149">
        <w:rPr>
          <w:rFonts w:ascii="Times New Roman" w:hAnsi="Times New Roman"/>
          <w:b/>
        </w:rPr>
        <w:t xml:space="preserve"> </w:t>
      </w:r>
      <w:r w:rsidRPr="008D7149">
        <w:rPr>
          <w:rFonts w:ascii="Times New Roman" w:hAnsi="Times New Roman"/>
          <w:b/>
        </w:rPr>
        <w:t xml:space="preserve">ust. 2 </w:t>
      </w:r>
      <w:r w:rsidRPr="006B5003">
        <w:rPr>
          <w:rFonts w:ascii="Times New Roman" w:hAnsi="Times New Roman"/>
        </w:rPr>
        <w:t>projektu</w:t>
      </w:r>
      <w:r w:rsidRPr="008D7149">
        <w:rPr>
          <w:rFonts w:ascii="Times New Roman" w:hAnsi="Times New Roman"/>
        </w:rPr>
        <w:t xml:space="preserve"> stanowi przepis regulujący kwestie przekazywania po raz pierwszy przez banki hipoteczne informacji, o których mowa w art. 33c ust. 1</w:t>
      </w:r>
      <w:r w:rsidR="005B39A8" w:rsidRPr="008D7149">
        <w:rPr>
          <w:rFonts w:ascii="Times New Roman" w:hAnsi="Times New Roman"/>
        </w:rPr>
        <w:t xml:space="preserve"> </w:t>
      </w:r>
      <w:r w:rsidR="00562140" w:rsidRPr="008D7149">
        <w:rPr>
          <w:rFonts w:ascii="Times New Roman" w:hAnsi="Times New Roman"/>
        </w:rPr>
        <w:t>Ustawy</w:t>
      </w:r>
      <w:r w:rsidR="00F130E5" w:rsidRPr="008D7149">
        <w:rPr>
          <w:rFonts w:ascii="Times New Roman" w:hAnsi="Times New Roman"/>
        </w:rPr>
        <w:t xml:space="preserve"> w brzmieniu obowiązującym po nowelizacji.</w:t>
      </w:r>
      <w:r w:rsidRPr="008D7149">
        <w:rPr>
          <w:rFonts w:ascii="Times New Roman" w:hAnsi="Times New Roman"/>
        </w:rPr>
        <w:t xml:space="preserve"> </w:t>
      </w:r>
    </w:p>
    <w:p w14:paraId="669B7E60" w14:textId="04994F62" w:rsidR="00EF441C" w:rsidRPr="008D7149" w:rsidRDefault="00BF32C5" w:rsidP="008D7149">
      <w:pPr>
        <w:pStyle w:val="PKTpunkt"/>
        <w:spacing w:before="120"/>
        <w:ind w:left="0" w:firstLine="0"/>
        <w:rPr>
          <w:rFonts w:ascii="Times New Roman" w:hAnsi="Times New Roman"/>
        </w:rPr>
      </w:pPr>
      <w:r w:rsidRPr="008D7149">
        <w:rPr>
          <w:rFonts w:ascii="Times New Roman" w:hAnsi="Times New Roman"/>
          <w:b/>
        </w:rPr>
        <w:t xml:space="preserve">Art. </w:t>
      </w:r>
      <w:r w:rsidR="005417FC" w:rsidRPr="008D7149">
        <w:rPr>
          <w:rFonts w:ascii="Times New Roman" w:hAnsi="Times New Roman"/>
          <w:b/>
        </w:rPr>
        <w:t>20</w:t>
      </w:r>
      <w:r w:rsidR="00C13B43" w:rsidRPr="008D7149">
        <w:rPr>
          <w:rFonts w:ascii="Times New Roman" w:hAnsi="Times New Roman"/>
          <w:b/>
        </w:rPr>
        <w:t xml:space="preserve"> </w:t>
      </w:r>
      <w:r w:rsidRPr="008D7149">
        <w:rPr>
          <w:rFonts w:ascii="Times New Roman" w:hAnsi="Times New Roman"/>
          <w:b/>
        </w:rPr>
        <w:t xml:space="preserve">ust. 3 </w:t>
      </w:r>
      <w:r w:rsidRPr="006B5003">
        <w:rPr>
          <w:rFonts w:ascii="Times New Roman" w:hAnsi="Times New Roman"/>
        </w:rPr>
        <w:t>projektu</w:t>
      </w:r>
      <w:r w:rsidR="00F130E5" w:rsidRPr="008D7149">
        <w:rPr>
          <w:rFonts w:ascii="Times New Roman" w:hAnsi="Times New Roman"/>
        </w:rPr>
        <w:t xml:space="preserve"> </w:t>
      </w:r>
      <w:r w:rsidR="00791555" w:rsidRPr="008D7149">
        <w:rPr>
          <w:rFonts w:ascii="Times New Roman" w:hAnsi="Times New Roman"/>
        </w:rPr>
        <w:t xml:space="preserve">ustawy dotyczy udostępniania przez banki hipoteczne po raz pierwszy </w:t>
      </w:r>
      <w:r w:rsidR="00F864E3" w:rsidRPr="008D7149">
        <w:rPr>
          <w:rFonts w:ascii="Times New Roman" w:hAnsi="Times New Roman"/>
        </w:rPr>
        <w:t xml:space="preserve">informacji, o których mowa w </w:t>
      </w:r>
      <w:r w:rsidR="00791555" w:rsidRPr="008D7149">
        <w:rPr>
          <w:rFonts w:ascii="Times New Roman" w:hAnsi="Times New Roman"/>
        </w:rPr>
        <w:t xml:space="preserve">projektowanym </w:t>
      </w:r>
      <w:r w:rsidR="00F864E3" w:rsidRPr="008D7149">
        <w:rPr>
          <w:rFonts w:ascii="Times New Roman" w:hAnsi="Times New Roman"/>
        </w:rPr>
        <w:t>art. 33d ust. 1</w:t>
      </w:r>
      <w:r w:rsidR="00791555" w:rsidRPr="008D7149">
        <w:rPr>
          <w:rFonts w:ascii="Times New Roman" w:hAnsi="Times New Roman"/>
        </w:rPr>
        <w:t xml:space="preserve"> Ustawy</w:t>
      </w:r>
      <w:r w:rsidR="00F864E3" w:rsidRPr="008D7149">
        <w:rPr>
          <w:rFonts w:ascii="Times New Roman" w:hAnsi="Times New Roman"/>
        </w:rPr>
        <w:t>.</w:t>
      </w:r>
      <w:r w:rsidR="00F40581" w:rsidRPr="008D7149">
        <w:rPr>
          <w:rFonts w:ascii="Times New Roman" w:hAnsi="Times New Roman"/>
        </w:rPr>
        <w:t xml:space="preserve"> </w:t>
      </w:r>
    </w:p>
    <w:p w14:paraId="6077F0F7" w14:textId="3A4D0FE8" w:rsidR="00C83764" w:rsidRPr="007F7D8E" w:rsidRDefault="0011279D" w:rsidP="008D7149">
      <w:pPr>
        <w:pStyle w:val="PKTpunkt"/>
        <w:spacing w:before="120"/>
        <w:ind w:left="0" w:firstLine="0"/>
        <w:rPr>
          <w:rFonts w:ascii="Times New Roman" w:hAnsi="Times New Roman"/>
          <w:b/>
        </w:rPr>
      </w:pPr>
      <w:r w:rsidRPr="008D7149">
        <w:rPr>
          <w:rFonts w:ascii="Times New Roman" w:hAnsi="Times New Roman"/>
        </w:rPr>
        <w:t>2</w:t>
      </w:r>
      <w:r w:rsidR="005417FC" w:rsidRPr="008D7149">
        <w:rPr>
          <w:rFonts w:ascii="Times New Roman" w:hAnsi="Times New Roman"/>
        </w:rPr>
        <w:t>1</w:t>
      </w:r>
      <w:r w:rsidR="00EF441C" w:rsidRPr="008D7149">
        <w:rPr>
          <w:rFonts w:ascii="Times New Roman" w:hAnsi="Times New Roman"/>
        </w:rPr>
        <w:t>)</w:t>
      </w:r>
      <w:r w:rsidR="007F7D8E">
        <w:rPr>
          <w:rFonts w:ascii="Times New Roman" w:hAnsi="Times New Roman"/>
          <w:b/>
        </w:rPr>
        <w:tab/>
      </w:r>
      <w:r w:rsidR="00EF441C" w:rsidRPr="008D7149">
        <w:rPr>
          <w:rFonts w:ascii="Times New Roman" w:hAnsi="Times New Roman"/>
          <w:b/>
        </w:rPr>
        <w:t xml:space="preserve">Art. </w:t>
      </w:r>
      <w:r w:rsidRPr="008D7149">
        <w:rPr>
          <w:rFonts w:ascii="Times New Roman" w:hAnsi="Times New Roman"/>
          <w:b/>
        </w:rPr>
        <w:t>2</w:t>
      </w:r>
      <w:r w:rsidR="005417FC" w:rsidRPr="008D7149">
        <w:rPr>
          <w:rFonts w:ascii="Times New Roman" w:hAnsi="Times New Roman"/>
          <w:b/>
        </w:rPr>
        <w:t>1</w:t>
      </w:r>
      <w:r w:rsidR="007F7D8E">
        <w:rPr>
          <w:rFonts w:ascii="Times New Roman" w:hAnsi="Times New Roman"/>
          <w:b/>
        </w:rPr>
        <w:t>–</w:t>
      </w:r>
      <w:r w:rsidR="00C13B43" w:rsidRPr="008D7149">
        <w:rPr>
          <w:rFonts w:ascii="Times New Roman" w:hAnsi="Times New Roman"/>
          <w:b/>
        </w:rPr>
        <w:t>2</w:t>
      </w:r>
      <w:r w:rsidR="005417FC" w:rsidRPr="008D7149">
        <w:rPr>
          <w:rFonts w:ascii="Times New Roman" w:hAnsi="Times New Roman"/>
          <w:b/>
        </w:rPr>
        <w:t>3</w:t>
      </w:r>
      <w:r w:rsidR="00C13B43" w:rsidRPr="008D7149">
        <w:rPr>
          <w:rFonts w:ascii="Times New Roman" w:hAnsi="Times New Roman"/>
          <w:b/>
        </w:rPr>
        <w:t xml:space="preserve"> </w:t>
      </w:r>
      <w:r w:rsidR="00EF441C" w:rsidRPr="006B5003">
        <w:rPr>
          <w:rFonts w:ascii="Times New Roman" w:hAnsi="Times New Roman"/>
        </w:rPr>
        <w:t>projektu</w:t>
      </w:r>
      <w:r w:rsidR="00EF441C" w:rsidRPr="008D7149">
        <w:rPr>
          <w:rFonts w:ascii="Times New Roman" w:hAnsi="Times New Roman"/>
        </w:rPr>
        <w:t xml:space="preserve"> obejmują przepisy o charakterze przejściowym, stanowiąc</w:t>
      </w:r>
      <w:r w:rsidR="00706000" w:rsidRPr="008D7149">
        <w:rPr>
          <w:rFonts w:ascii="Times New Roman" w:hAnsi="Times New Roman"/>
        </w:rPr>
        <w:t>e</w:t>
      </w:r>
      <w:r w:rsidR="00EF441C" w:rsidRPr="008D7149">
        <w:rPr>
          <w:rFonts w:ascii="Times New Roman" w:hAnsi="Times New Roman"/>
        </w:rPr>
        <w:t xml:space="preserve"> transpozycję art. 30 dyrektywy </w:t>
      </w:r>
      <w:r w:rsidR="00EF441C" w:rsidRPr="008D7149">
        <w:rPr>
          <w:rFonts w:ascii="Times New Roman" w:eastAsia="Calibri" w:hAnsi="Times New Roman"/>
        </w:rPr>
        <w:t>2019/2162</w:t>
      </w:r>
      <w:r w:rsidR="00EF441C" w:rsidRPr="008D7149">
        <w:rPr>
          <w:rFonts w:ascii="Times New Roman" w:hAnsi="Times New Roman"/>
        </w:rPr>
        <w:t xml:space="preserve">. Przedmiotowy art. 30 dyrektywy 2019/2162 </w:t>
      </w:r>
      <w:r w:rsidR="00C83764" w:rsidRPr="008D7149">
        <w:rPr>
          <w:rFonts w:ascii="Times New Roman" w:hAnsi="Times New Roman"/>
        </w:rPr>
        <w:t>–</w:t>
      </w:r>
      <w:r w:rsidR="00EF441C" w:rsidRPr="008D7149">
        <w:rPr>
          <w:rFonts w:ascii="Times New Roman" w:hAnsi="Times New Roman"/>
        </w:rPr>
        <w:t xml:space="preserve"> jako przepis przejściowy – określa zasady i zakres stosowania przepisów dyrektywy 2019/2162 do obligacji zabezpieczonych wyemitowanych przed dniem 8 lipca 2022 r. Wprowadza też określone obowiązki dla organu nadzoru w zakresie monitorowania spełniania wymogów dla obligacji zabezpieczonych wyemitowanych przed dniem 8 lipca 2022 r. </w:t>
      </w:r>
    </w:p>
    <w:p w14:paraId="74641E80" w14:textId="6E1A0920" w:rsidR="00540F2E" w:rsidRPr="008D7149" w:rsidRDefault="00EF441C" w:rsidP="008D7149">
      <w:pPr>
        <w:pStyle w:val="PKTpunkt"/>
        <w:spacing w:before="120"/>
        <w:ind w:left="0" w:firstLine="0"/>
        <w:rPr>
          <w:rFonts w:ascii="Times New Roman" w:hAnsi="Times New Roman"/>
        </w:rPr>
      </w:pPr>
      <w:r w:rsidRPr="008D7149">
        <w:rPr>
          <w:rFonts w:ascii="Times New Roman" w:hAnsi="Times New Roman"/>
        </w:rPr>
        <w:t xml:space="preserve">Odrębne zasady przewidziano dla emisji ciągłych obligacji zabezpieczonych, dla których otwarto ten sam kod ISIN przed dniem 8 lipca 2022 r. (stosowane przez okres nie dłuższy niż 24 miesiące). </w:t>
      </w:r>
      <w:r w:rsidR="00540F2E" w:rsidRPr="008D7149">
        <w:rPr>
          <w:rFonts w:ascii="Times New Roman" w:hAnsi="Times New Roman"/>
        </w:rPr>
        <w:t xml:space="preserve">Zgodnie z konstrukcją </w:t>
      </w:r>
      <w:r w:rsidR="00540F2E" w:rsidRPr="008D7149">
        <w:rPr>
          <w:rFonts w:ascii="Times New Roman" w:hAnsi="Times New Roman"/>
          <w:b/>
        </w:rPr>
        <w:t xml:space="preserve">art. </w:t>
      </w:r>
      <w:r w:rsidR="00C13B43" w:rsidRPr="008D7149">
        <w:rPr>
          <w:rFonts w:ascii="Times New Roman" w:hAnsi="Times New Roman"/>
          <w:b/>
        </w:rPr>
        <w:t>2</w:t>
      </w:r>
      <w:r w:rsidR="005417FC" w:rsidRPr="008D7149">
        <w:rPr>
          <w:rFonts w:ascii="Times New Roman" w:hAnsi="Times New Roman"/>
          <w:b/>
        </w:rPr>
        <w:t>3</w:t>
      </w:r>
      <w:r w:rsidR="00C13B43" w:rsidRPr="008D7149">
        <w:rPr>
          <w:rFonts w:ascii="Times New Roman" w:hAnsi="Times New Roman"/>
        </w:rPr>
        <w:t xml:space="preserve"> </w:t>
      </w:r>
      <w:r w:rsidR="00C83764" w:rsidRPr="008D7149">
        <w:rPr>
          <w:rFonts w:ascii="Times New Roman" w:hAnsi="Times New Roman"/>
        </w:rPr>
        <w:t xml:space="preserve">projektowanej ustawy </w:t>
      </w:r>
      <w:r w:rsidR="00540F2E" w:rsidRPr="008D7149">
        <w:rPr>
          <w:rFonts w:ascii="Times New Roman" w:hAnsi="Times New Roman"/>
        </w:rPr>
        <w:t xml:space="preserve">listy wyemitowane w ramach emisji ciągłych spełniających łącznie wskazane warunki będą podlegały </w:t>
      </w:r>
      <w:r w:rsidR="00C83764" w:rsidRPr="008D7149">
        <w:rPr>
          <w:rFonts w:ascii="Times New Roman" w:hAnsi="Times New Roman"/>
        </w:rPr>
        <w:t xml:space="preserve">określonym </w:t>
      </w:r>
      <w:r w:rsidR="00540F2E" w:rsidRPr="008D7149">
        <w:rPr>
          <w:rFonts w:ascii="Times New Roman" w:hAnsi="Times New Roman"/>
        </w:rPr>
        <w:t>rygorom</w:t>
      </w:r>
      <w:r w:rsidR="00C83764" w:rsidRPr="008D7149">
        <w:rPr>
          <w:rFonts w:ascii="Times New Roman" w:hAnsi="Times New Roman"/>
        </w:rPr>
        <w:t xml:space="preserve"> sformułowanym przede wszystkim </w:t>
      </w:r>
      <w:r w:rsidR="00540F2E" w:rsidRPr="008D7149">
        <w:rPr>
          <w:rFonts w:ascii="Times New Roman" w:hAnsi="Times New Roman"/>
        </w:rPr>
        <w:t>w projek</w:t>
      </w:r>
      <w:r w:rsidR="00C83764" w:rsidRPr="008D7149">
        <w:rPr>
          <w:rFonts w:ascii="Times New Roman" w:hAnsi="Times New Roman"/>
        </w:rPr>
        <w:t>towanej ustawie</w:t>
      </w:r>
      <w:r w:rsidR="00540F2E" w:rsidRPr="008D7149">
        <w:rPr>
          <w:rFonts w:ascii="Times New Roman" w:hAnsi="Times New Roman"/>
        </w:rPr>
        <w:t>,</w:t>
      </w:r>
      <w:r w:rsidR="00C83764" w:rsidRPr="008D7149">
        <w:rPr>
          <w:rFonts w:ascii="Times New Roman" w:hAnsi="Times New Roman"/>
        </w:rPr>
        <w:t xml:space="preserve"> a w pozostałym zakresie </w:t>
      </w:r>
      <w:r w:rsidR="00E42861" w:rsidRPr="008D7149">
        <w:rPr>
          <w:rFonts w:ascii="Times New Roman" w:hAnsi="Times New Roman"/>
        </w:rPr>
        <w:t>–</w:t>
      </w:r>
      <w:r w:rsidR="00C83764" w:rsidRPr="008D7149">
        <w:rPr>
          <w:rFonts w:ascii="Times New Roman" w:hAnsi="Times New Roman"/>
        </w:rPr>
        <w:t xml:space="preserve"> </w:t>
      </w:r>
      <w:r w:rsidR="00540F2E" w:rsidRPr="008D7149">
        <w:rPr>
          <w:rFonts w:ascii="Times New Roman" w:hAnsi="Times New Roman"/>
        </w:rPr>
        <w:t>w brzmieniu dotychczasowym. W konsekwencji</w:t>
      </w:r>
      <w:r w:rsidR="00C83764" w:rsidRPr="008D7149">
        <w:rPr>
          <w:rFonts w:ascii="Times New Roman" w:hAnsi="Times New Roman"/>
        </w:rPr>
        <w:t xml:space="preserve"> powyższego</w:t>
      </w:r>
      <w:r w:rsidR="00540F2E" w:rsidRPr="008D7149">
        <w:rPr>
          <w:rFonts w:ascii="Times New Roman" w:hAnsi="Times New Roman"/>
        </w:rPr>
        <w:t xml:space="preserve"> do listów zastawnych wyemitowanych przed </w:t>
      </w:r>
      <w:r w:rsidR="00B26832" w:rsidRPr="008D7149">
        <w:rPr>
          <w:rFonts w:ascii="Times New Roman" w:hAnsi="Times New Roman"/>
        </w:rPr>
        <w:t xml:space="preserve">dniem wejścia w życie niniejszej ustawy </w:t>
      </w:r>
      <w:r w:rsidR="00540F2E" w:rsidRPr="008D7149">
        <w:rPr>
          <w:rFonts w:ascii="Times New Roman" w:hAnsi="Times New Roman"/>
        </w:rPr>
        <w:t xml:space="preserve">w ramach emisji ciągłych niespełniających powyższych warunków nie będzie mógł być stosowany reżim prawny </w:t>
      </w:r>
      <w:r w:rsidR="00C83764" w:rsidRPr="008D7149">
        <w:rPr>
          <w:rFonts w:ascii="Times New Roman" w:hAnsi="Times New Roman"/>
        </w:rPr>
        <w:t xml:space="preserve">określony w </w:t>
      </w:r>
      <w:r w:rsidR="00540F2E" w:rsidRPr="008D7149">
        <w:rPr>
          <w:rFonts w:ascii="Times New Roman" w:hAnsi="Times New Roman"/>
        </w:rPr>
        <w:t xml:space="preserve">art. </w:t>
      </w:r>
      <w:r w:rsidR="002A0B0E" w:rsidRPr="008D7149">
        <w:rPr>
          <w:rFonts w:ascii="Times New Roman" w:hAnsi="Times New Roman"/>
        </w:rPr>
        <w:t>2</w:t>
      </w:r>
      <w:r w:rsidR="005417FC" w:rsidRPr="008D7149">
        <w:rPr>
          <w:rFonts w:ascii="Times New Roman" w:hAnsi="Times New Roman"/>
        </w:rPr>
        <w:t>3</w:t>
      </w:r>
      <w:r w:rsidR="00540F2E" w:rsidRPr="008D7149">
        <w:rPr>
          <w:rFonts w:ascii="Times New Roman" w:hAnsi="Times New Roman"/>
        </w:rPr>
        <w:t xml:space="preserve"> </w:t>
      </w:r>
      <w:r w:rsidR="00C83764" w:rsidRPr="008D7149">
        <w:rPr>
          <w:rFonts w:ascii="Times New Roman" w:hAnsi="Times New Roman"/>
        </w:rPr>
        <w:t xml:space="preserve">projektu ustawy </w:t>
      </w:r>
      <w:r w:rsidR="00540F2E" w:rsidRPr="008D7149">
        <w:rPr>
          <w:rFonts w:ascii="Times New Roman" w:hAnsi="Times New Roman"/>
        </w:rPr>
        <w:t xml:space="preserve">i emisje takie nie będą mogły być kontynuowane. Jednocześnie do listów zastawnych wyemitowanych przed dniem </w:t>
      </w:r>
      <w:r w:rsidR="00332B77" w:rsidRPr="008D7149">
        <w:rPr>
          <w:rFonts w:ascii="Times New Roman" w:hAnsi="Times New Roman"/>
        </w:rPr>
        <w:t>wejścia w życie niniejszej ustawy</w:t>
      </w:r>
      <w:r w:rsidR="00540F2E" w:rsidRPr="008D7149">
        <w:rPr>
          <w:rFonts w:ascii="Times New Roman" w:hAnsi="Times New Roman"/>
        </w:rPr>
        <w:t>, do dnia upływu terminu ich zapadalności</w:t>
      </w:r>
      <w:r w:rsidR="00C83764" w:rsidRPr="008D7149">
        <w:rPr>
          <w:rFonts w:ascii="Times New Roman" w:hAnsi="Times New Roman"/>
        </w:rPr>
        <w:t>,</w:t>
      </w:r>
      <w:r w:rsidR="00540F2E" w:rsidRPr="008D7149">
        <w:rPr>
          <w:rFonts w:ascii="Times New Roman" w:hAnsi="Times New Roman"/>
        </w:rPr>
        <w:t xml:space="preserve"> będą stosowane unormowania art. </w:t>
      </w:r>
      <w:r w:rsidR="0011279D" w:rsidRPr="008D7149">
        <w:rPr>
          <w:rFonts w:ascii="Times New Roman" w:hAnsi="Times New Roman"/>
        </w:rPr>
        <w:t>2</w:t>
      </w:r>
      <w:r w:rsidR="005417FC" w:rsidRPr="008D7149">
        <w:rPr>
          <w:rFonts w:ascii="Times New Roman" w:hAnsi="Times New Roman"/>
        </w:rPr>
        <w:t>1</w:t>
      </w:r>
      <w:r w:rsidR="00540F2E" w:rsidRPr="008D7149">
        <w:rPr>
          <w:rFonts w:ascii="Times New Roman" w:hAnsi="Times New Roman"/>
        </w:rPr>
        <w:t xml:space="preserve"> </w:t>
      </w:r>
      <w:r w:rsidR="00C83764" w:rsidRPr="008D7149">
        <w:rPr>
          <w:rFonts w:ascii="Times New Roman" w:hAnsi="Times New Roman"/>
        </w:rPr>
        <w:t>projektowanej ustawy</w:t>
      </w:r>
      <w:r w:rsidR="00540F2E" w:rsidRPr="008D7149">
        <w:rPr>
          <w:rFonts w:ascii="Times New Roman" w:hAnsi="Times New Roman"/>
        </w:rPr>
        <w:t>.</w:t>
      </w:r>
    </w:p>
    <w:p w14:paraId="6A7F79CB" w14:textId="544D7B14" w:rsidR="00CC7501" w:rsidRPr="008D7149" w:rsidRDefault="00804659"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2</w:t>
      </w:r>
      <w:r w:rsidR="005417FC" w:rsidRPr="008D7149">
        <w:rPr>
          <w:rFonts w:ascii="Times New Roman" w:hAnsi="Times New Roman" w:cs="Times New Roman"/>
          <w:sz w:val="24"/>
          <w:szCs w:val="24"/>
        </w:rPr>
        <w:t>2</w:t>
      </w:r>
      <w:r w:rsidR="008949E5">
        <w:rPr>
          <w:rFonts w:ascii="Times New Roman" w:hAnsi="Times New Roman" w:cs="Times New Roman"/>
          <w:sz w:val="24"/>
          <w:szCs w:val="24"/>
        </w:rPr>
        <w:t>)</w:t>
      </w:r>
      <w:r w:rsidR="008949E5">
        <w:rPr>
          <w:rFonts w:ascii="Times New Roman" w:hAnsi="Times New Roman" w:cs="Times New Roman"/>
          <w:sz w:val="24"/>
          <w:szCs w:val="24"/>
        </w:rPr>
        <w:tab/>
      </w:r>
      <w:r w:rsidR="00540F2E" w:rsidRPr="008D7149">
        <w:rPr>
          <w:rFonts w:ascii="Times New Roman" w:hAnsi="Times New Roman" w:cs="Times New Roman"/>
          <w:b/>
          <w:sz w:val="24"/>
          <w:szCs w:val="24"/>
        </w:rPr>
        <w:t xml:space="preserve">Art. </w:t>
      </w:r>
      <w:r w:rsidRPr="008D7149">
        <w:rPr>
          <w:rFonts w:ascii="Times New Roman" w:hAnsi="Times New Roman" w:cs="Times New Roman"/>
          <w:b/>
          <w:sz w:val="24"/>
          <w:szCs w:val="24"/>
        </w:rPr>
        <w:t>2</w:t>
      </w:r>
      <w:r w:rsidR="005417FC" w:rsidRPr="008D7149">
        <w:rPr>
          <w:rFonts w:ascii="Times New Roman" w:hAnsi="Times New Roman" w:cs="Times New Roman"/>
          <w:b/>
          <w:sz w:val="24"/>
          <w:szCs w:val="24"/>
        </w:rPr>
        <w:t>4</w:t>
      </w:r>
      <w:r w:rsidR="00540F2E" w:rsidRPr="008D7149">
        <w:rPr>
          <w:rFonts w:ascii="Times New Roman" w:hAnsi="Times New Roman" w:cs="Times New Roman"/>
          <w:b/>
          <w:sz w:val="24"/>
          <w:szCs w:val="24"/>
        </w:rPr>
        <w:t xml:space="preserve"> </w:t>
      </w:r>
      <w:r w:rsidR="005F27EA" w:rsidRPr="008D7149">
        <w:rPr>
          <w:rFonts w:ascii="Times New Roman" w:hAnsi="Times New Roman" w:cs="Times New Roman"/>
          <w:b/>
          <w:sz w:val="24"/>
          <w:szCs w:val="24"/>
        </w:rPr>
        <w:t xml:space="preserve">ust. 1 </w:t>
      </w:r>
      <w:r w:rsidR="00540F2E" w:rsidRPr="006B5003">
        <w:rPr>
          <w:rFonts w:ascii="Times New Roman" w:hAnsi="Times New Roman" w:cs="Times New Roman"/>
          <w:sz w:val="24"/>
          <w:szCs w:val="24"/>
        </w:rPr>
        <w:t xml:space="preserve">projektu </w:t>
      </w:r>
      <w:r w:rsidR="00CC7501" w:rsidRPr="008D7149">
        <w:rPr>
          <w:rFonts w:ascii="Times New Roman" w:hAnsi="Times New Roman" w:cs="Times New Roman"/>
          <w:sz w:val="24"/>
          <w:szCs w:val="24"/>
        </w:rPr>
        <w:t>wskazuje, że banki hipoteczne posiadające w dniu wejścia w życie ustawy zezwolenie na prowadzenie działalności w zakresie emisji listów zastawnych, mogą</w:t>
      </w:r>
      <w:r w:rsidR="00BF5272" w:rsidRPr="008D7149">
        <w:rPr>
          <w:rFonts w:ascii="Times New Roman" w:hAnsi="Times New Roman" w:cs="Times New Roman"/>
          <w:sz w:val="24"/>
          <w:szCs w:val="24"/>
        </w:rPr>
        <w:t xml:space="preserve"> </w:t>
      </w:r>
      <w:r w:rsidR="00CC7501" w:rsidRPr="008D7149">
        <w:rPr>
          <w:rFonts w:ascii="Times New Roman" w:hAnsi="Times New Roman" w:cs="Times New Roman"/>
          <w:sz w:val="24"/>
          <w:szCs w:val="24"/>
        </w:rPr>
        <w:t xml:space="preserve">ją kontynuować </w:t>
      </w:r>
      <w:r w:rsidR="00A07481" w:rsidRPr="008D7149">
        <w:rPr>
          <w:rFonts w:ascii="Times New Roman" w:hAnsi="Times New Roman" w:cs="Times New Roman"/>
          <w:sz w:val="24"/>
          <w:szCs w:val="24"/>
        </w:rPr>
        <w:t>zgodnie z tym zezwoleniem</w:t>
      </w:r>
      <w:r w:rsidR="00CC7501" w:rsidRPr="008D7149">
        <w:rPr>
          <w:rFonts w:ascii="Times New Roman" w:hAnsi="Times New Roman" w:cs="Times New Roman"/>
          <w:sz w:val="24"/>
          <w:szCs w:val="24"/>
        </w:rPr>
        <w:t xml:space="preserve">. </w:t>
      </w:r>
      <w:r w:rsidR="00DF4896" w:rsidRPr="008D7149">
        <w:rPr>
          <w:rFonts w:ascii="Times New Roman" w:hAnsi="Times New Roman" w:cs="Times New Roman"/>
          <w:sz w:val="24"/>
          <w:szCs w:val="24"/>
        </w:rPr>
        <w:t xml:space="preserve">Jednocześnie banki </w:t>
      </w:r>
      <w:r w:rsidR="005B6A88" w:rsidRPr="008D7149">
        <w:rPr>
          <w:rFonts w:ascii="Times New Roman" w:hAnsi="Times New Roman" w:cs="Times New Roman"/>
          <w:sz w:val="24"/>
          <w:szCs w:val="24"/>
        </w:rPr>
        <w:t xml:space="preserve">te w swojej działalności powinny przestrzegać wymogów nowelizowanej Ustawy. </w:t>
      </w:r>
    </w:p>
    <w:p w14:paraId="37705D47" w14:textId="3B77A3AE" w:rsidR="005B6A88" w:rsidRPr="008D7149" w:rsidRDefault="008759A7"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 xml:space="preserve">Na podstawie </w:t>
      </w:r>
      <w:r w:rsidRPr="008D7149">
        <w:rPr>
          <w:rFonts w:ascii="Times New Roman" w:hAnsi="Times New Roman" w:cs="Times New Roman"/>
          <w:b/>
          <w:szCs w:val="24"/>
        </w:rPr>
        <w:t>ust. 2</w:t>
      </w:r>
      <w:r w:rsidRPr="008D7149">
        <w:rPr>
          <w:rFonts w:ascii="Times New Roman" w:hAnsi="Times New Roman" w:cs="Times New Roman"/>
          <w:szCs w:val="24"/>
        </w:rPr>
        <w:t xml:space="preserve"> ww. artykułu</w:t>
      </w:r>
      <w:r w:rsidR="006F060E" w:rsidRPr="008D7149">
        <w:rPr>
          <w:rFonts w:ascii="Times New Roman" w:hAnsi="Times New Roman" w:cs="Times New Roman"/>
          <w:szCs w:val="24"/>
        </w:rPr>
        <w:t>,</w:t>
      </w:r>
      <w:r w:rsidRPr="008D7149">
        <w:rPr>
          <w:rFonts w:ascii="Times New Roman" w:hAnsi="Times New Roman" w:cs="Times New Roman"/>
          <w:szCs w:val="24"/>
        </w:rPr>
        <w:t xml:space="preserve"> do postępowań wszczętych i niezakończonych przed dniem wejście w życie niniejszej ustawy w sprawie zezwolenia na </w:t>
      </w:r>
      <w:r w:rsidR="00A07481" w:rsidRPr="008D7149">
        <w:rPr>
          <w:rFonts w:ascii="Times New Roman" w:hAnsi="Times New Roman" w:cs="Times New Roman"/>
          <w:szCs w:val="24"/>
        </w:rPr>
        <w:t xml:space="preserve">prowadzenie działalności w zakresie emisji </w:t>
      </w:r>
      <w:r w:rsidRPr="008D7149">
        <w:rPr>
          <w:rFonts w:ascii="Times New Roman" w:hAnsi="Times New Roman" w:cs="Times New Roman"/>
          <w:szCs w:val="24"/>
        </w:rPr>
        <w:t xml:space="preserve">listów zastawnych stosowane będą przepisy dotychczasowe. </w:t>
      </w:r>
    </w:p>
    <w:p w14:paraId="4D76CE06" w14:textId="77CF15E3" w:rsidR="00770AE4" w:rsidRPr="008D7149" w:rsidRDefault="00804659"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2</w:t>
      </w:r>
      <w:r w:rsidR="005417FC" w:rsidRPr="008D7149">
        <w:rPr>
          <w:rFonts w:ascii="Times New Roman" w:hAnsi="Times New Roman" w:cs="Times New Roman"/>
          <w:szCs w:val="24"/>
        </w:rPr>
        <w:t>3</w:t>
      </w:r>
      <w:r w:rsidR="00C51D0F" w:rsidRPr="008D7149">
        <w:rPr>
          <w:rFonts w:ascii="Times New Roman" w:hAnsi="Times New Roman" w:cs="Times New Roman"/>
          <w:b/>
          <w:szCs w:val="24"/>
        </w:rPr>
        <w:t>)</w:t>
      </w:r>
      <w:r w:rsidR="008949E5">
        <w:rPr>
          <w:rFonts w:ascii="Times New Roman" w:hAnsi="Times New Roman" w:cs="Times New Roman"/>
          <w:b/>
          <w:szCs w:val="24"/>
        </w:rPr>
        <w:tab/>
      </w:r>
      <w:r w:rsidR="00770AE4" w:rsidRPr="008D7149">
        <w:rPr>
          <w:rFonts w:ascii="Times New Roman" w:hAnsi="Times New Roman" w:cs="Times New Roman"/>
          <w:b/>
          <w:szCs w:val="24"/>
        </w:rPr>
        <w:t xml:space="preserve">Art. </w:t>
      </w:r>
      <w:r w:rsidRPr="008D7149">
        <w:rPr>
          <w:rFonts w:ascii="Times New Roman" w:hAnsi="Times New Roman" w:cs="Times New Roman"/>
          <w:b/>
          <w:szCs w:val="24"/>
        </w:rPr>
        <w:t>2</w:t>
      </w:r>
      <w:r w:rsidR="005417FC" w:rsidRPr="008D7149">
        <w:rPr>
          <w:rFonts w:ascii="Times New Roman" w:hAnsi="Times New Roman" w:cs="Times New Roman"/>
          <w:b/>
          <w:szCs w:val="24"/>
        </w:rPr>
        <w:t>5</w:t>
      </w:r>
      <w:r w:rsidR="00770AE4" w:rsidRPr="008D7149">
        <w:rPr>
          <w:rFonts w:ascii="Times New Roman" w:hAnsi="Times New Roman" w:cs="Times New Roman"/>
          <w:b/>
          <w:szCs w:val="24"/>
        </w:rPr>
        <w:t xml:space="preserve"> </w:t>
      </w:r>
      <w:r w:rsidR="00770AE4" w:rsidRPr="008D7149">
        <w:rPr>
          <w:rFonts w:ascii="Times New Roman" w:hAnsi="Times New Roman" w:cs="Times New Roman"/>
          <w:szCs w:val="24"/>
        </w:rPr>
        <w:t>projektu</w:t>
      </w:r>
      <w:r w:rsidR="00770AE4" w:rsidRPr="008D7149">
        <w:rPr>
          <w:rFonts w:ascii="Times New Roman" w:hAnsi="Times New Roman" w:cs="Times New Roman"/>
          <w:b/>
          <w:szCs w:val="24"/>
        </w:rPr>
        <w:t xml:space="preserve"> </w:t>
      </w:r>
      <w:r w:rsidR="00770AE4" w:rsidRPr="008D7149">
        <w:rPr>
          <w:rFonts w:ascii="Times New Roman" w:hAnsi="Times New Roman" w:cs="Times New Roman"/>
          <w:szCs w:val="24"/>
        </w:rPr>
        <w:t>odnosi się do reguł dotyczących prowadzenia postępowań upadłościowych banków hipotecznych, które zostały wszczęte i niezakończone przed dniem wejścia w życie projekt</w:t>
      </w:r>
      <w:r w:rsidR="00B87AF9" w:rsidRPr="008D7149">
        <w:rPr>
          <w:rFonts w:ascii="Times New Roman" w:hAnsi="Times New Roman" w:cs="Times New Roman"/>
          <w:szCs w:val="24"/>
        </w:rPr>
        <w:t>owanej Ustawy</w:t>
      </w:r>
      <w:r w:rsidR="00770AE4" w:rsidRPr="008D7149">
        <w:rPr>
          <w:rFonts w:ascii="Times New Roman" w:hAnsi="Times New Roman" w:cs="Times New Roman"/>
          <w:szCs w:val="24"/>
        </w:rPr>
        <w:t>.</w:t>
      </w:r>
    </w:p>
    <w:p w14:paraId="352C0101" w14:textId="6B6817B0" w:rsidR="00EF6D7A" w:rsidRPr="008D7149" w:rsidRDefault="00D16F93"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2</w:t>
      </w:r>
      <w:r w:rsidR="005417FC" w:rsidRPr="008D7149">
        <w:rPr>
          <w:rFonts w:ascii="Times New Roman" w:hAnsi="Times New Roman" w:cs="Times New Roman"/>
          <w:szCs w:val="24"/>
        </w:rPr>
        <w:t>4</w:t>
      </w:r>
      <w:r w:rsidR="008949E5">
        <w:rPr>
          <w:rFonts w:ascii="Times New Roman" w:hAnsi="Times New Roman" w:cs="Times New Roman"/>
          <w:szCs w:val="24"/>
        </w:rPr>
        <w:t>)</w:t>
      </w:r>
      <w:r w:rsidR="008949E5">
        <w:rPr>
          <w:rFonts w:ascii="Times New Roman" w:hAnsi="Times New Roman" w:cs="Times New Roman"/>
          <w:szCs w:val="24"/>
        </w:rPr>
        <w:tab/>
      </w:r>
      <w:r w:rsidR="00EF6D7A" w:rsidRPr="008D7149">
        <w:rPr>
          <w:rFonts w:ascii="Times New Roman" w:hAnsi="Times New Roman" w:cs="Times New Roman"/>
          <w:b/>
          <w:szCs w:val="24"/>
        </w:rPr>
        <w:t xml:space="preserve">Art. </w:t>
      </w:r>
      <w:r w:rsidR="008D4FA9" w:rsidRPr="008D7149">
        <w:rPr>
          <w:rFonts w:ascii="Times New Roman" w:hAnsi="Times New Roman" w:cs="Times New Roman"/>
          <w:b/>
          <w:szCs w:val="24"/>
        </w:rPr>
        <w:t>2</w:t>
      </w:r>
      <w:r w:rsidR="005417FC" w:rsidRPr="008D7149">
        <w:rPr>
          <w:rFonts w:ascii="Times New Roman" w:hAnsi="Times New Roman" w:cs="Times New Roman"/>
          <w:b/>
          <w:szCs w:val="24"/>
        </w:rPr>
        <w:t>6</w:t>
      </w:r>
      <w:r w:rsidR="00EF6D7A" w:rsidRPr="008D7149">
        <w:rPr>
          <w:rFonts w:ascii="Times New Roman" w:hAnsi="Times New Roman" w:cs="Times New Roman"/>
          <w:b/>
          <w:szCs w:val="24"/>
        </w:rPr>
        <w:t>-</w:t>
      </w:r>
      <w:r w:rsidR="005417FC" w:rsidRPr="008D7149">
        <w:rPr>
          <w:rFonts w:ascii="Times New Roman" w:hAnsi="Times New Roman" w:cs="Times New Roman"/>
          <w:b/>
          <w:szCs w:val="24"/>
        </w:rPr>
        <w:t>30</w:t>
      </w:r>
      <w:r w:rsidR="00AC25BD" w:rsidRPr="008D7149">
        <w:rPr>
          <w:rFonts w:ascii="Times New Roman" w:hAnsi="Times New Roman" w:cs="Times New Roman"/>
          <w:b/>
          <w:szCs w:val="24"/>
        </w:rPr>
        <w:t xml:space="preserve"> </w:t>
      </w:r>
      <w:r w:rsidR="00EF6D7A" w:rsidRPr="006B5003">
        <w:rPr>
          <w:rFonts w:ascii="Times New Roman" w:hAnsi="Times New Roman" w:cs="Times New Roman"/>
          <w:szCs w:val="24"/>
        </w:rPr>
        <w:t>projektu</w:t>
      </w:r>
      <w:r w:rsidR="00EF6D7A" w:rsidRPr="008D7149">
        <w:rPr>
          <w:rFonts w:ascii="Times New Roman" w:hAnsi="Times New Roman" w:cs="Times New Roman"/>
          <w:szCs w:val="24"/>
        </w:rPr>
        <w:t xml:space="preserve"> ustanawia przepisy przejściowe wynikające ze zmian wprowadzanych w ustawie o ofercie publicznej. Celem regulacji zawartych </w:t>
      </w:r>
      <w:r w:rsidR="00EF6D7A" w:rsidRPr="008D7149">
        <w:rPr>
          <w:rFonts w:ascii="Times New Roman" w:hAnsi="Times New Roman" w:cs="Times New Roman"/>
          <w:b/>
          <w:szCs w:val="24"/>
        </w:rPr>
        <w:t xml:space="preserve">w art. </w:t>
      </w:r>
      <w:r w:rsidR="00BE6E39" w:rsidRPr="008D7149">
        <w:rPr>
          <w:rFonts w:ascii="Times New Roman" w:hAnsi="Times New Roman" w:cs="Times New Roman"/>
          <w:b/>
          <w:szCs w:val="24"/>
        </w:rPr>
        <w:t>2</w:t>
      </w:r>
      <w:r w:rsidR="005417FC" w:rsidRPr="008D7149">
        <w:rPr>
          <w:rFonts w:ascii="Times New Roman" w:hAnsi="Times New Roman" w:cs="Times New Roman"/>
          <w:b/>
          <w:szCs w:val="24"/>
        </w:rPr>
        <w:t>6</w:t>
      </w:r>
      <w:r w:rsidR="00BE6E39" w:rsidRPr="008D7149">
        <w:rPr>
          <w:rFonts w:ascii="Times New Roman" w:hAnsi="Times New Roman" w:cs="Times New Roman"/>
          <w:szCs w:val="24"/>
        </w:rPr>
        <w:t xml:space="preserve"> </w:t>
      </w:r>
      <w:r w:rsidR="00EF6D7A" w:rsidRPr="008D7149">
        <w:rPr>
          <w:rFonts w:ascii="Times New Roman" w:hAnsi="Times New Roman" w:cs="Times New Roman"/>
          <w:szCs w:val="24"/>
        </w:rPr>
        <w:t>jest zapewnieni</w:t>
      </w:r>
      <w:r w:rsidR="00B82198" w:rsidRPr="008D7149">
        <w:rPr>
          <w:rFonts w:ascii="Times New Roman" w:hAnsi="Times New Roman" w:cs="Times New Roman"/>
          <w:szCs w:val="24"/>
        </w:rPr>
        <w:t>e</w:t>
      </w:r>
      <w:r w:rsidR="00EF6D7A" w:rsidRPr="008D7149">
        <w:rPr>
          <w:rFonts w:ascii="Times New Roman" w:hAnsi="Times New Roman" w:cs="Times New Roman"/>
          <w:szCs w:val="24"/>
        </w:rPr>
        <w:t xml:space="preserve"> ochrony inwestorów mniejszościowych, a także umożliwienie prawidłowego wykonania przez akcjonariuszy obowiązków w zakresie wezwań. Konieczne jest uregulowanie przypadków, w których obowiązek wezwania powstał przed wejściem w życie nowych przepisów, a wezwanie nie zostało ogłoszone lub zakończone w dniu wejścia w życie </w:t>
      </w:r>
      <w:r w:rsidR="0060200C" w:rsidRPr="008D7149">
        <w:rPr>
          <w:rFonts w:ascii="Times New Roman" w:hAnsi="Times New Roman" w:cs="Times New Roman"/>
          <w:szCs w:val="24"/>
        </w:rPr>
        <w:t>tych przepisów.</w:t>
      </w:r>
      <w:r w:rsidR="00537DD1" w:rsidRPr="008D7149">
        <w:rPr>
          <w:rFonts w:ascii="Times New Roman" w:hAnsi="Times New Roman" w:cs="Times New Roman"/>
          <w:szCs w:val="24"/>
        </w:rPr>
        <w:t xml:space="preserve"> </w:t>
      </w:r>
      <w:r w:rsidR="00EF6D7A" w:rsidRPr="008D7149">
        <w:rPr>
          <w:rFonts w:ascii="Times New Roman" w:hAnsi="Times New Roman" w:cs="Times New Roman"/>
          <w:szCs w:val="24"/>
        </w:rPr>
        <w:t>W takich przypadkach treść obowiązku nie powinna ulegać zmianom. Ponadto zmiana progu, z przekroczeniem którego wiąże się obowiązek ogłoszenia wezwania na wszystkie akcje spółki</w:t>
      </w:r>
      <w:r w:rsidR="00896AF5">
        <w:rPr>
          <w:rFonts w:ascii="Times New Roman" w:hAnsi="Times New Roman" w:cs="Times New Roman"/>
          <w:szCs w:val="24"/>
        </w:rPr>
        <w:t>,</w:t>
      </w:r>
      <w:r w:rsidR="00EF6D7A" w:rsidRPr="008D7149">
        <w:rPr>
          <w:rFonts w:ascii="Times New Roman" w:hAnsi="Times New Roman" w:cs="Times New Roman"/>
          <w:szCs w:val="24"/>
        </w:rPr>
        <w:t xml:space="preserve"> powodowałaby, że niektórzy akcjonariusze, obecnie posiadający ponad 50% ogólnej liczby głosów w spółce publicznej, a zatem na których spoczywać mógł jedynie obowiązek ogłoszenia wezwania do 66% udziału w ogólnej liczbie głosów, nigdy nie byliby zobowiązani do ogłoszenia wezwania na wszystkie akcje spółki. W </w:t>
      </w:r>
      <w:r w:rsidR="00EF6D7A" w:rsidRPr="008D7149">
        <w:rPr>
          <w:rFonts w:ascii="Times New Roman" w:hAnsi="Times New Roman" w:cs="Times New Roman"/>
          <w:b/>
          <w:szCs w:val="24"/>
        </w:rPr>
        <w:t>ust. 1</w:t>
      </w:r>
      <w:r w:rsidR="00EF6D7A" w:rsidRPr="008D7149">
        <w:rPr>
          <w:rFonts w:ascii="Times New Roman" w:hAnsi="Times New Roman" w:cs="Times New Roman"/>
          <w:szCs w:val="24"/>
        </w:rPr>
        <w:t xml:space="preserve"> rozstrzygnięto kwestię wezwań, które zostały ogłoszone przed dniem wejścia w życie </w:t>
      </w:r>
      <w:r w:rsidR="0060200C" w:rsidRPr="008D7149">
        <w:rPr>
          <w:rFonts w:ascii="Times New Roman" w:hAnsi="Times New Roman" w:cs="Times New Roman"/>
          <w:szCs w:val="24"/>
        </w:rPr>
        <w:t>znowelizowanych przepisów ustawy o ofercie publicznej</w:t>
      </w:r>
      <w:r w:rsidR="00EF6D7A" w:rsidRPr="008D7149">
        <w:rPr>
          <w:rFonts w:ascii="Times New Roman" w:hAnsi="Times New Roman" w:cs="Times New Roman"/>
          <w:szCs w:val="24"/>
        </w:rPr>
        <w:t xml:space="preserve"> – te wezwania powinny przebiegać i zakończyć się zgodnie z przepisami obowiązującymi dotychczas. W </w:t>
      </w:r>
      <w:r w:rsidR="00EF6D7A" w:rsidRPr="008D7149">
        <w:rPr>
          <w:rFonts w:ascii="Times New Roman" w:hAnsi="Times New Roman" w:cs="Times New Roman"/>
          <w:b/>
          <w:szCs w:val="24"/>
        </w:rPr>
        <w:t>ust. 2</w:t>
      </w:r>
      <w:r w:rsidR="00EF6D7A" w:rsidRPr="008D7149">
        <w:rPr>
          <w:rFonts w:ascii="Times New Roman" w:hAnsi="Times New Roman" w:cs="Times New Roman"/>
          <w:szCs w:val="24"/>
        </w:rPr>
        <w:t xml:space="preserve"> określono zasady postępowania w przypadku</w:t>
      </w:r>
      <w:r w:rsidR="00896AF5">
        <w:rPr>
          <w:rFonts w:ascii="Times New Roman" w:hAnsi="Times New Roman" w:cs="Times New Roman"/>
          <w:szCs w:val="24"/>
        </w:rPr>
        <w:t>,</w:t>
      </w:r>
      <w:r w:rsidR="00EF6D7A" w:rsidRPr="008D7149">
        <w:rPr>
          <w:rFonts w:ascii="Times New Roman" w:hAnsi="Times New Roman" w:cs="Times New Roman"/>
          <w:szCs w:val="24"/>
        </w:rPr>
        <w:t xml:space="preserve"> gd</w:t>
      </w:r>
      <w:r w:rsidR="00896AF5">
        <w:rPr>
          <w:rFonts w:ascii="Times New Roman" w:hAnsi="Times New Roman" w:cs="Times New Roman"/>
          <w:szCs w:val="24"/>
        </w:rPr>
        <w:t>y</w:t>
      </w:r>
      <w:r w:rsidR="00EF6D7A" w:rsidRPr="008D7149">
        <w:rPr>
          <w:rFonts w:ascii="Times New Roman" w:hAnsi="Times New Roman" w:cs="Times New Roman"/>
          <w:szCs w:val="24"/>
        </w:rPr>
        <w:t xml:space="preserve"> obowiązek wezwania powstał w czasie obowiązywania dotychczasowych przepisów, jednak wezwanie ogłaszane jest po wejściu w życie </w:t>
      </w:r>
      <w:r w:rsidR="0060200C" w:rsidRPr="008D7149">
        <w:rPr>
          <w:rFonts w:ascii="Times New Roman" w:hAnsi="Times New Roman" w:cs="Times New Roman"/>
          <w:szCs w:val="24"/>
        </w:rPr>
        <w:t>znowelizowanych przepisów ustawy o ofercie publicznej</w:t>
      </w:r>
      <w:r w:rsidR="00EF6D7A" w:rsidRPr="008D7149">
        <w:rPr>
          <w:rFonts w:ascii="Times New Roman" w:hAnsi="Times New Roman" w:cs="Times New Roman"/>
          <w:szCs w:val="24"/>
        </w:rPr>
        <w:t xml:space="preserve">. Wówczas treść obowiązku ogłoszenia wezwania i sposób jego wykonania powinny pozostać niezmienione i wezwanie powinno przebiegać zgodnie z przepisami dotychczasowymi. W </w:t>
      </w:r>
      <w:r w:rsidR="00EF6D7A" w:rsidRPr="008D7149">
        <w:rPr>
          <w:rFonts w:ascii="Times New Roman" w:hAnsi="Times New Roman" w:cs="Times New Roman"/>
          <w:b/>
          <w:szCs w:val="24"/>
        </w:rPr>
        <w:t>ust. 3</w:t>
      </w:r>
      <w:r w:rsidR="00EF6D7A" w:rsidRPr="008D7149">
        <w:rPr>
          <w:rFonts w:ascii="Times New Roman" w:hAnsi="Times New Roman" w:cs="Times New Roman"/>
          <w:szCs w:val="24"/>
        </w:rPr>
        <w:t xml:space="preserve"> odniesiono się do przypadków, w których akcjonariusz, w wyniku wezwań ogłoszonych na podstawie dotychczasowych przepisów art. 73 ust. 1 albo art. 73 ust. 2 pkt 1 ustawy o ofercie publicznej (wezwania do 66%), ale zakończonych po wejściu w życie </w:t>
      </w:r>
      <w:r w:rsidR="0060200C" w:rsidRPr="008D7149">
        <w:rPr>
          <w:rFonts w:ascii="Times New Roman" w:hAnsi="Times New Roman" w:cs="Times New Roman"/>
          <w:szCs w:val="24"/>
        </w:rPr>
        <w:t>znowelizowanych przepisów ustawy o ofercie publicznej</w:t>
      </w:r>
      <w:r w:rsidR="00EF6D7A" w:rsidRPr="008D7149">
        <w:rPr>
          <w:rFonts w:ascii="Times New Roman" w:hAnsi="Times New Roman" w:cs="Times New Roman"/>
          <w:szCs w:val="24"/>
        </w:rPr>
        <w:t xml:space="preserve">, przekroczy w wyniku tego wezwania próg 50% ogólnej liczby głosów w spółce publicznej. W takich przypadkach dalsze zwiększenie udziału w ogólnej liczbie głosów w tej spółce prowadzić będzie do powstania obowiązku ogłoszenia wezwania na wszystkie akcje spółki. Przepis ma na celu zapewnienie, że po przekroczeniu 50% udziału w ogólnej liczbie głosów zostanie ogłoszone wezwanie na wszystkie akcje spółki. </w:t>
      </w:r>
      <w:r w:rsidR="00EF6D7A" w:rsidRPr="008D7149">
        <w:rPr>
          <w:rFonts w:ascii="Times New Roman" w:hAnsi="Times New Roman" w:cs="Times New Roman"/>
          <w:b/>
          <w:szCs w:val="24"/>
        </w:rPr>
        <w:t>Ust. 4</w:t>
      </w:r>
      <w:r w:rsidR="00EF6D7A" w:rsidRPr="008D7149">
        <w:rPr>
          <w:rFonts w:ascii="Times New Roman" w:hAnsi="Times New Roman" w:cs="Times New Roman"/>
          <w:szCs w:val="24"/>
        </w:rPr>
        <w:t xml:space="preserve"> zawiera analogiczny mechanizm, jak w przypadku ust. 3, z tym że przepis ma zastosowanie do przypadków, w których przed ogłoszeniem wezwania, o którym mowa w art. 73 ust. 2 pkt 1 ustawy o ofercie publiczn</w:t>
      </w:r>
      <w:r w:rsidR="00896AF5">
        <w:rPr>
          <w:rFonts w:ascii="Times New Roman" w:hAnsi="Times New Roman" w:cs="Times New Roman"/>
          <w:szCs w:val="24"/>
        </w:rPr>
        <w:t>ej</w:t>
      </w:r>
      <w:r w:rsidR="00EF6D7A" w:rsidRPr="008D7149">
        <w:rPr>
          <w:rFonts w:ascii="Times New Roman" w:hAnsi="Times New Roman" w:cs="Times New Roman"/>
          <w:szCs w:val="24"/>
        </w:rPr>
        <w:t xml:space="preserve"> w brzmieniu dotychczasowym, akcjonariusz lub podmiot, który pośrednio nabył akcje, posiadał w dniu wejścia w życie </w:t>
      </w:r>
      <w:r w:rsidR="0060200C" w:rsidRPr="008D7149">
        <w:rPr>
          <w:rFonts w:ascii="Times New Roman" w:hAnsi="Times New Roman" w:cs="Times New Roman"/>
          <w:szCs w:val="24"/>
        </w:rPr>
        <w:t>znowelizowanych przepisów ustawy o ofercie publicznej</w:t>
      </w:r>
      <w:r w:rsidR="00EF6D7A" w:rsidRPr="008D7149">
        <w:rPr>
          <w:rFonts w:ascii="Times New Roman" w:hAnsi="Times New Roman" w:cs="Times New Roman"/>
          <w:szCs w:val="24"/>
        </w:rPr>
        <w:t xml:space="preserve"> ponad 50% ogólnej liczby głosów w spółce publicznej. W takich przypadkach obowiązek ogłoszenia wezwania, o którym mowa w art. 73 ust. 1 ustawy o ofercie publicznej, w brzmieniu nadanym niniejsza ustawą, powstanie, jeżeli po zakończeniu wezwania nastąpiło dalsze zwiększenie udziału w ogólnej liczbie głosów w spółce publicznej. </w:t>
      </w:r>
      <w:r w:rsidR="00AC25BD" w:rsidRPr="008D7149">
        <w:rPr>
          <w:rFonts w:ascii="Times New Roman" w:hAnsi="Times New Roman" w:cs="Times New Roman"/>
          <w:szCs w:val="24"/>
        </w:rPr>
        <w:t xml:space="preserve">Przypadkiem </w:t>
      </w:r>
      <w:r w:rsidR="00EF6D7A" w:rsidRPr="008D7149">
        <w:rPr>
          <w:rFonts w:ascii="Times New Roman" w:hAnsi="Times New Roman" w:cs="Times New Roman"/>
          <w:szCs w:val="24"/>
        </w:rPr>
        <w:t>wymagającym szczególnego uregulowani</w:t>
      </w:r>
      <w:r w:rsidR="00896AF5">
        <w:rPr>
          <w:rFonts w:ascii="Times New Roman" w:hAnsi="Times New Roman" w:cs="Times New Roman"/>
          <w:szCs w:val="24"/>
        </w:rPr>
        <w:t>a</w:t>
      </w:r>
      <w:r w:rsidR="00EF6D7A" w:rsidRPr="008D7149">
        <w:rPr>
          <w:rFonts w:ascii="Times New Roman" w:hAnsi="Times New Roman" w:cs="Times New Roman"/>
          <w:szCs w:val="24"/>
        </w:rPr>
        <w:t xml:space="preserve">, aby zapewnić wykonanie </w:t>
      </w:r>
      <w:r w:rsidR="00AC25BD" w:rsidRPr="008D7149">
        <w:rPr>
          <w:rFonts w:ascii="Times New Roman" w:hAnsi="Times New Roman" w:cs="Times New Roman"/>
          <w:szCs w:val="24"/>
        </w:rPr>
        <w:t xml:space="preserve">wezwania </w:t>
      </w:r>
      <w:r w:rsidR="00EF6D7A" w:rsidRPr="008D7149">
        <w:rPr>
          <w:rFonts w:ascii="Times New Roman" w:hAnsi="Times New Roman" w:cs="Times New Roman"/>
          <w:szCs w:val="24"/>
        </w:rPr>
        <w:t xml:space="preserve">przez akcjonariusza mającego większościowy udział w ogólnej liczbie głosów w spółce publicznej stanowiący więcej niż 50% oraz nie więcej niż 66% ogólnej liczby głosów, jest przypadek regulowany w </w:t>
      </w:r>
      <w:r w:rsidR="00EF6D7A" w:rsidRPr="008D7149">
        <w:rPr>
          <w:rFonts w:ascii="Times New Roman" w:hAnsi="Times New Roman" w:cs="Times New Roman"/>
          <w:b/>
          <w:szCs w:val="24"/>
        </w:rPr>
        <w:t>ust. 5</w:t>
      </w:r>
      <w:r w:rsidR="00EF6D7A" w:rsidRPr="008D7149">
        <w:rPr>
          <w:rFonts w:ascii="Times New Roman" w:hAnsi="Times New Roman" w:cs="Times New Roman"/>
          <w:szCs w:val="24"/>
        </w:rPr>
        <w:t>. Obowiązek ogłoszenia wezwania na wszystkie pozostałe akcje spółki publicznej będzie w takim przypadku powstawał w momencie, w którym podmioty takie dokonają nabycia akcji spółki publicznej, zwiększającego ich stan posiadania ogólnej liczby głosów w spółce.</w:t>
      </w:r>
      <w:r w:rsidR="0060200C" w:rsidRPr="008D7149">
        <w:rPr>
          <w:rFonts w:ascii="Times New Roman" w:hAnsi="Times New Roman" w:cs="Times New Roman"/>
          <w:szCs w:val="24"/>
        </w:rPr>
        <w:t xml:space="preserve"> Mając na uwadze potrzebę zachowania pewności prawa w odniesieniu do zdarzeń prawnych zaistniałych przed wejściem w życie projektowanych przepisów</w:t>
      </w:r>
      <w:r w:rsidR="00D60D92">
        <w:rPr>
          <w:rFonts w:ascii="Times New Roman" w:hAnsi="Times New Roman" w:cs="Times New Roman"/>
          <w:szCs w:val="24"/>
        </w:rPr>
        <w:t>,</w:t>
      </w:r>
      <w:r w:rsidR="0060200C" w:rsidRPr="008D7149">
        <w:rPr>
          <w:rFonts w:ascii="Times New Roman" w:hAnsi="Times New Roman" w:cs="Times New Roman"/>
          <w:szCs w:val="24"/>
        </w:rPr>
        <w:t xml:space="preserve"> w projekcie przewidziano pewne odstępstwo od tej reguły. Dotyczy to sytuacji</w:t>
      </w:r>
      <w:r w:rsidR="00D5333C" w:rsidRPr="008D7149">
        <w:rPr>
          <w:rFonts w:ascii="Times New Roman" w:hAnsi="Times New Roman" w:cs="Times New Roman"/>
          <w:szCs w:val="24"/>
        </w:rPr>
        <w:t>,</w:t>
      </w:r>
      <w:r w:rsidR="0027300E" w:rsidRPr="008D7149">
        <w:rPr>
          <w:rFonts w:ascii="Times New Roman" w:hAnsi="Times New Roman" w:cs="Times New Roman"/>
          <w:szCs w:val="24"/>
        </w:rPr>
        <w:t xml:space="preserve"> </w:t>
      </w:r>
      <w:r w:rsidR="00D5333C" w:rsidRPr="008D7149">
        <w:rPr>
          <w:rFonts w:ascii="Times New Roman" w:hAnsi="Times New Roman" w:cs="Times New Roman"/>
          <w:szCs w:val="24"/>
        </w:rPr>
        <w:t>w których</w:t>
      </w:r>
      <w:r w:rsidR="0060200C" w:rsidRPr="008D7149">
        <w:rPr>
          <w:rFonts w:ascii="Times New Roman" w:hAnsi="Times New Roman" w:cs="Times New Roman"/>
          <w:szCs w:val="24"/>
        </w:rPr>
        <w:t xml:space="preserve"> przed dniem wejścia w życie znowelizowanych przepisów ustawy o ofercie publicznej podjęte zostały przez spółkę działania mające na celu podwyższenie kapitału zakładowego, w wyniku którego w dotychczasowym stanie prawnym nie powstałby obowiązek ogłoszenia wezwania. W tym przypadku w ust. 6 przewidziano, że obowiązek ogłoszenia wezwania wynikający ze zwiększenia udziału w ogólnej liczbie głosów w spółce publicznej powstanie</w:t>
      </w:r>
      <w:r w:rsidR="00D5333C" w:rsidRPr="008D7149">
        <w:rPr>
          <w:rFonts w:ascii="Times New Roman" w:hAnsi="Times New Roman" w:cs="Times New Roman"/>
          <w:szCs w:val="24"/>
        </w:rPr>
        <w:t>,</w:t>
      </w:r>
      <w:r w:rsidR="0060200C" w:rsidRPr="008D7149">
        <w:rPr>
          <w:rFonts w:ascii="Times New Roman" w:hAnsi="Times New Roman" w:cs="Times New Roman"/>
          <w:szCs w:val="24"/>
        </w:rPr>
        <w:t xml:space="preserve"> gdy dojdzie do kolejnego zwiększenia tego udziału. </w:t>
      </w:r>
      <w:r w:rsidR="00D5333C" w:rsidRPr="008D7149">
        <w:rPr>
          <w:rFonts w:ascii="Times New Roman" w:hAnsi="Times New Roman" w:cs="Times New Roman"/>
          <w:szCs w:val="24"/>
        </w:rPr>
        <w:t>W celu</w:t>
      </w:r>
      <w:r w:rsidR="0060200C" w:rsidRPr="008D7149">
        <w:rPr>
          <w:rFonts w:ascii="Times New Roman" w:hAnsi="Times New Roman" w:cs="Times New Roman"/>
          <w:szCs w:val="24"/>
        </w:rPr>
        <w:t xml:space="preserve"> ograniczenia stanów faktycznych, </w:t>
      </w:r>
      <w:r w:rsidR="00D5333C" w:rsidRPr="008D7149">
        <w:rPr>
          <w:rFonts w:ascii="Times New Roman" w:hAnsi="Times New Roman" w:cs="Times New Roman"/>
          <w:szCs w:val="24"/>
        </w:rPr>
        <w:t>w których</w:t>
      </w:r>
      <w:r w:rsidR="0060200C" w:rsidRPr="008D7149">
        <w:rPr>
          <w:rFonts w:ascii="Times New Roman" w:hAnsi="Times New Roman" w:cs="Times New Roman"/>
          <w:szCs w:val="24"/>
        </w:rPr>
        <w:t xml:space="preserve"> możliwe będzie skorzystanie z tego przepisu wyłącznie do zaawansowanych procesów podwyższenia kapitału zakładowego</w:t>
      </w:r>
      <w:r w:rsidR="00D5333C" w:rsidRPr="008D7149">
        <w:rPr>
          <w:rFonts w:ascii="Times New Roman" w:hAnsi="Times New Roman" w:cs="Times New Roman"/>
          <w:szCs w:val="24"/>
        </w:rPr>
        <w:t>,</w:t>
      </w:r>
      <w:r w:rsidR="0060200C" w:rsidRPr="008D7149">
        <w:rPr>
          <w:rFonts w:ascii="Times New Roman" w:hAnsi="Times New Roman" w:cs="Times New Roman"/>
          <w:szCs w:val="24"/>
        </w:rPr>
        <w:t xml:space="preserve"> w ust. 6 wskazano, że rozwiązanie to dotyczyć będzie wyłącznie sytuacji</w:t>
      </w:r>
      <w:r w:rsidR="00D5333C" w:rsidRPr="008D7149">
        <w:rPr>
          <w:rFonts w:ascii="Times New Roman" w:hAnsi="Times New Roman" w:cs="Times New Roman"/>
          <w:szCs w:val="24"/>
        </w:rPr>
        <w:t>, w których</w:t>
      </w:r>
      <w:r w:rsidR="0060200C" w:rsidRPr="008D7149">
        <w:rPr>
          <w:rFonts w:ascii="Times New Roman" w:hAnsi="Times New Roman" w:cs="Times New Roman"/>
          <w:szCs w:val="24"/>
        </w:rPr>
        <w:t xml:space="preserve"> zgłoszenie </w:t>
      </w:r>
      <w:r w:rsidR="00D5333C" w:rsidRPr="008D7149">
        <w:rPr>
          <w:rFonts w:ascii="Times New Roman" w:hAnsi="Times New Roman" w:cs="Times New Roman"/>
          <w:szCs w:val="24"/>
        </w:rPr>
        <w:t xml:space="preserve">tego podwyższenia </w:t>
      </w:r>
      <w:r w:rsidR="0060200C" w:rsidRPr="008D7149">
        <w:rPr>
          <w:rFonts w:ascii="Times New Roman" w:hAnsi="Times New Roman" w:cs="Times New Roman"/>
          <w:szCs w:val="24"/>
        </w:rPr>
        <w:t>do sądu rejestrowego nastąpiło przed dniem wejścia w życie znowelizowanych przepisów ustawy o ofercie publicznej. Z tych samych względów w przepisie tym wskazano, że dotyczy on wyłącznie przypadków zwykłego podwyższenia kapitału zakładowego, przez co nie ma zastosowania do objęcia akcji w granicach kapitału docelowego lub warunkowego podwyższenia kapitału zakładowego.</w:t>
      </w:r>
      <w:r w:rsidR="00041CB0" w:rsidRPr="008D7149">
        <w:rPr>
          <w:rFonts w:ascii="Times New Roman" w:hAnsi="Times New Roman" w:cs="Times New Roman"/>
          <w:szCs w:val="24"/>
        </w:rPr>
        <w:t xml:space="preserve"> </w:t>
      </w:r>
    </w:p>
    <w:p w14:paraId="742F5B8D" w14:textId="1361BDEA" w:rsidR="00EF6D7A" w:rsidRPr="008D7149" w:rsidRDefault="008949E5" w:rsidP="008D7149">
      <w:pPr>
        <w:pStyle w:val="USTustnpkodeksu"/>
        <w:spacing w:before="120"/>
        <w:ind w:firstLine="0"/>
        <w:rPr>
          <w:rFonts w:ascii="Times New Roman" w:hAnsi="Times New Roman" w:cs="Times New Roman"/>
          <w:szCs w:val="24"/>
        </w:rPr>
      </w:pPr>
      <w:r>
        <w:rPr>
          <w:rFonts w:ascii="Times New Roman" w:hAnsi="Times New Roman" w:cs="Times New Roman"/>
          <w:b/>
          <w:szCs w:val="24"/>
        </w:rPr>
        <w:t xml:space="preserve">Art. </w:t>
      </w:r>
      <w:r w:rsidR="008D4FA9" w:rsidRPr="008D7149">
        <w:rPr>
          <w:rFonts w:ascii="Times New Roman" w:hAnsi="Times New Roman" w:cs="Times New Roman"/>
          <w:b/>
          <w:szCs w:val="24"/>
        </w:rPr>
        <w:t>2</w:t>
      </w:r>
      <w:r w:rsidR="005417FC" w:rsidRPr="008D7149">
        <w:rPr>
          <w:rFonts w:ascii="Times New Roman" w:hAnsi="Times New Roman" w:cs="Times New Roman"/>
          <w:b/>
          <w:szCs w:val="24"/>
        </w:rPr>
        <w:t>7</w:t>
      </w:r>
      <w:r w:rsidR="00EF6D7A" w:rsidRPr="008D7149">
        <w:rPr>
          <w:rFonts w:ascii="Times New Roman" w:hAnsi="Times New Roman" w:cs="Times New Roman"/>
          <w:szCs w:val="24"/>
        </w:rPr>
        <w:t xml:space="preserve"> projekt</w:t>
      </w:r>
      <w:r w:rsidR="00CD7A32" w:rsidRPr="008D7149">
        <w:rPr>
          <w:rFonts w:ascii="Times New Roman" w:hAnsi="Times New Roman" w:cs="Times New Roman"/>
          <w:szCs w:val="24"/>
        </w:rPr>
        <w:t>u</w:t>
      </w:r>
      <w:r w:rsidR="00EF6D7A" w:rsidRPr="008D7149">
        <w:rPr>
          <w:rFonts w:ascii="Times New Roman" w:hAnsi="Times New Roman" w:cs="Times New Roman"/>
          <w:szCs w:val="24"/>
        </w:rPr>
        <w:t xml:space="preserve"> ustawy przewiduje, że do postępowań w sprawach wynikających z wezwań ogłoszonych na podstawie art. 11</w:t>
      </w:r>
      <w:r w:rsidR="00D5333C" w:rsidRPr="008D7149">
        <w:rPr>
          <w:rFonts w:ascii="Times New Roman" w:hAnsi="Times New Roman" w:cs="Times New Roman"/>
          <w:szCs w:val="24"/>
        </w:rPr>
        <w:t>a</w:t>
      </w:r>
      <w:r w:rsidR="00EF6D7A" w:rsidRPr="008D7149">
        <w:rPr>
          <w:rFonts w:ascii="Times New Roman" w:hAnsi="Times New Roman" w:cs="Times New Roman"/>
          <w:szCs w:val="24"/>
        </w:rPr>
        <w:t xml:space="preserve"> ust. 9, art. 73 ust. 1 i ust. 2 pkt 1, art. 74 ust. 1 i 2, art. 90a ust. 1 i art. 91 ust. 5 ustawy o ofercie publicznej zmienianej w art. </w:t>
      </w:r>
      <w:r w:rsidR="00804659" w:rsidRPr="008D7149">
        <w:rPr>
          <w:rFonts w:ascii="Times New Roman" w:hAnsi="Times New Roman" w:cs="Times New Roman"/>
          <w:szCs w:val="24"/>
        </w:rPr>
        <w:t>10</w:t>
      </w:r>
      <w:r w:rsidR="00EF6D7A" w:rsidRPr="008D7149">
        <w:rPr>
          <w:rFonts w:ascii="Times New Roman" w:hAnsi="Times New Roman" w:cs="Times New Roman"/>
          <w:szCs w:val="24"/>
        </w:rPr>
        <w:t>, w brzmieniu dotychczasowym, wszczętych i niezakończonych przez Komisję Nadzoru Finansowego przed dniem wejścia w życie</w:t>
      </w:r>
      <w:r w:rsidR="00E02478" w:rsidRPr="008D7149">
        <w:rPr>
          <w:rFonts w:ascii="Times New Roman" w:hAnsi="Times New Roman" w:cs="Times New Roman"/>
          <w:szCs w:val="24"/>
        </w:rPr>
        <w:t xml:space="preserve"> znowelizowanych przepisów ustawy o ofercie publiczn</w:t>
      </w:r>
      <w:r w:rsidR="00D60D92">
        <w:rPr>
          <w:rFonts w:ascii="Times New Roman" w:hAnsi="Times New Roman" w:cs="Times New Roman"/>
          <w:szCs w:val="24"/>
        </w:rPr>
        <w:t>ej</w:t>
      </w:r>
      <w:r w:rsidR="00EF6D7A" w:rsidRPr="008D7149">
        <w:rPr>
          <w:rFonts w:ascii="Times New Roman" w:hAnsi="Times New Roman" w:cs="Times New Roman"/>
          <w:szCs w:val="24"/>
        </w:rPr>
        <w:t xml:space="preserve"> stosuje się przepisy dotychczasowe.</w:t>
      </w:r>
    </w:p>
    <w:p w14:paraId="57D82868" w14:textId="27BF80F7" w:rsidR="00EF6D7A" w:rsidRPr="008D7149" w:rsidRDefault="00EF6D7A"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 xml:space="preserve">Ponieważ przepis przejściowy proponowany w art. </w:t>
      </w:r>
      <w:r w:rsidR="008D4FA9" w:rsidRPr="008D7149">
        <w:rPr>
          <w:rFonts w:ascii="Times New Roman" w:hAnsi="Times New Roman" w:cs="Times New Roman"/>
          <w:szCs w:val="24"/>
        </w:rPr>
        <w:t>2</w:t>
      </w:r>
      <w:r w:rsidR="005417FC" w:rsidRPr="008D7149">
        <w:rPr>
          <w:rFonts w:ascii="Times New Roman" w:hAnsi="Times New Roman" w:cs="Times New Roman"/>
          <w:szCs w:val="24"/>
        </w:rPr>
        <w:t>6</w:t>
      </w:r>
      <w:r w:rsidRPr="008D7149">
        <w:rPr>
          <w:rFonts w:ascii="Times New Roman" w:hAnsi="Times New Roman" w:cs="Times New Roman"/>
          <w:szCs w:val="24"/>
        </w:rPr>
        <w:t xml:space="preserve"> ust. 1 i 2 dotyczący zasad ogłaszania wezwań utrzymuje we wskazanych tam przypadkach obowiązek stosowania przepisów w brzmieniu dotychczasowym, niezbędne jest również utrzymanie odpowiedzialności administracyjnej za naruszenie dotychczas obowiązujących przepisów, a także dotychczasowych cywilnoprawnych konsekwencji naruszenia obowiązku ogłoszenia wezwania</w:t>
      </w:r>
      <w:r w:rsidR="00537DD1" w:rsidRPr="008D7149">
        <w:rPr>
          <w:rFonts w:ascii="Times New Roman" w:hAnsi="Times New Roman" w:cs="Times New Roman"/>
          <w:szCs w:val="24"/>
        </w:rPr>
        <w:t xml:space="preserve">, chyba że sankcja administracyjna wymierzona według przepisów ustawy o ofercie publicznej, w brzmieniu nadanym projektowaną ustawą, byłaby względniejsza dla strony postępowania. </w:t>
      </w:r>
      <w:r w:rsidRPr="008D7149">
        <w:rPr>
          <w:rFonts w:ascii="Times New Roman" w:hAnsi="Times New Roman" w:cs="Times New Roman"/>
          <w:szCs w:val="24"/>
        </w:rPr>
        <w:t xml:space="preserve">Służy temu </w:t>
      </w:r>
      <w:r w:rsidRPr="008D7149">
        <w:rPr>
          <w:rFonts w:ascii="Times New Roman" w:hAnsi="Times New Roman" w:cs="Times New Roman"/>
          <w:b/>
          <w:szCs w:val="24"/>
        </w:rPr>
        <w:t xml:space="preserve">art. </w:t>
      </w:r>
      <w:r w:rsidR="008D4FA9" w:rsidRPr="008D7149">
        <w:rPr>
          <w:rFonts w:ascii="Times New Roman" w:hAnsi="Times New Roman" w:cs="Times New Roman"/>
          <w:b/>
          <w:szCs w:val="24"/>
        </w:rPr>
        <w:t>2</w:t>
      </w:r>
      <w:r w:rsidR="005417FC" w:rsidRPr="008D7149">
        <w:rPr>
          <w:rFonts w:ascii="Times New Roman" w:hAnsi="Times New Roman" w:cs="Times New Roman"/>
          <w:b/>
          <w:szCs w:val="24"/>
        </w:rPr>
        <w:t>8</w:t>
      </w:r>
      <w:r w:rsidR="00F92C25" w:rsidRPr="008D7149">
        <w:rPr>
          <w:rFonts w:ascii="Times New Roman" w:hAnsi="Times New Roman" w:cs="Times New Roman"/>
          <w:szCs w:val="24"/>
        </w:rPr>
        <w:t xml:space="preserve"> projektu ustawy.</w:t>
      </w:r>
    </w:p>
    <w:p w14:paraId="21040E4D" w14:textId="6DC13305" w:rsidR="00E02478" w:rsidRPr="008D7149" w:rsidRDefault="00562B2C" w:rsidP="008D7149">
      <w:pPr>
        <w:pStyle w:val="USTustnpkodeksu"/>
        <w:spacing w:before="120"/>
        <w:ind w:firstLine="0"/>
        <w:rPr>
          <w:rFonts w:ascii="Times New Roman" w:hAnsi="Times New Roman" w:cs="Times New Roman"/>
          <w:szCs w:val="24"/>
        </w:rPr>
      </w:pPr>
      <w:r w:rsidRPr="008D7149">
        <w:rPr>
          <w:rFonts w:ascii="Times New Roman" w:hAnsi="Times New Roman" w:cs="Times New Roman"/>
          <w:szCs w:val="24"/>
        </w:rPr>
        <w:t>2</w:t>
      </w:r>
      <w:r w:rsidR="005417FC" w:rsidRPr="008D7149">
        <w:rPr>
          <w:rFonts w:ascii="Times New Roman" w:hAnsi="Times New Roman" w:cs="Times New Roman"/>
          <w:szCs w:val="24"/>
        </w:rPr>
        <w:t>5</w:t>
      </w:r>
      <w:r w:rsidR="008949E5">
        <w:rPr>
          <w:rFonts w:ascii="Times New Roman" w:hAnsi="Times New Roman" w:cs="Times New Roman"/>
          <w:szCs w:val="24"/>
        </w:rPr>
        <w:t>)</w:t>
      </w:r>
      <w:r w:rsidR="008949E5">
        <w:rPr>
          <w:rFonts w:ascii="Times New Roman" w:hAnsi="Times New Roman" w:cs="Times New Roman"/>
          <w:szCs w:val="24"/>
        </w:rPr>
        <w:tab/>
      </w:r>
      <w:r w:rsidR="00E02478" w:rsidRPr="008D7149">
        <w:rPr>
          <w:rFonts w:ascii="Times New Roman" w:hAnsi="Times New Roman" w:cs="Times New Roman"/>
          <w:szCs w:val="24"/>
        </w:rPr>
        <w:t xml:space="preserve">Mając na uwadze, że przewidziane projektem zmiany w zasadach ustalania ceny w wezwaniu mają również zastosowanie do przymusowego wykupu akcji dopuszczonych do obrotu na rynku regulowanym, o którym mowa w art. 82 ustawy o ofercie publicznej, oraz do żądania wykupienia akcji, o którym mowa w art. 83 tej ustawy, w </w:t>
      </w:r>
      <w:r w:rsidR="00E02478" w:rsidRPr="008D7149">
        <w:rPr>
          <w:rFonts w:ascii="Times New Roman" w:hAnsi="Times New Roman" w:cs="Times New Roman"/>
          <w:b/>
          <w:szCs w:val="24"/>
        </w:rPr>
        <w:t>art. 2</w:t>
      </w:r>
      <w:r w:rsidR="005417FC" w:rsidRPr="008D7149">
        <w:rPr>
          <w:rFonts w:ascii="Times New Roman" w:hAnsi="Times New Roman" w:cs="Times New Roman"/>
          <w:b/>
          <w:szCs w:val="24"/>
        </w:rPr>
        <w:t>9</w:t>
      </w:r>
      <w:r w:rsidR="00E02478" w:rsidRPr="008D7149">
        <w:rPr>
          <w:rFonts w:ascii="Times New Roman" w:hAnsi="Times New Roman" w:cs="Times New Roman"/>
          <w:szCs w:val="24"/>
        </w:rPr>
        <w:t xml:space="preserve"> </w:t>
      </w:r>
      <w:r w:rsidR="00D5333C" w:rsidRPr="008D7149">
        <w:rPr>
          <w:rFonts w:ascii="Times New Roman" w:hAnsi="Times New Roman" w:cs="Times New Roman"/>
          <w:b/>
          <w:szCs w:val="24"/>
        </w:rPr>
        <w:t>projektu</w:t>
      </w:r>
      <w:r w:rsidR="00D5333C" w:rsidRPr="008D7149">
        <w:rPr>
          <w:rFonts w:ascii="Times New Roman" w:hAnsi="Times New Roman" w:cs="Times New Roman"/>
          <w:szCs w:val="24"/>
        </w:rPr>
        <w:t xml:space="preserve"> </w:t>
      </w:r>
      <w:r w:rsidR="00E02478" w:rsidRPr="008D7149">
        <w:rPr>
          <w:rFonts w:ascii="Times New Roman" w:hAnsi="Times New Roman" w:cs="Times New Roman"/>
          <w:szCs w:val="24"/>
        </w:rPr>
        <w:t>wskazano, że w przypadku gdy z żądaniami na podstawie wymienionych przepisów wystąpiono przed dniem wejścia w życie znowelizowanych przepisów ustawy o ofercie publicznej</w:t>
      </w:r>
      <w:r w:rsidR="00D5333C" w:rsidRPr="008D7149">
        <w:rPr>
          <w:rFonts w:ascii="Times New Roman" w:hAnsi="Times New Roman" w:cs="Times New Roman"/>
          <w:szCs w:val="24"/>
        </w:rPr>
        <w:t>,</w:t>
      </w:r>
      <w:r w:rsidR="00E02478" w:rsidRPr="008D7149">
        <w:rPr>
          <w:rFonts w:ascii="Times New Roman" w:hAnsi="Times New Roman" w:cs="Times New Roman"/>
          <w:szCs w:val="24"/>
        </w:rPr>
        <w:t xml:space="preserve"> to zastosowanie znajdą przepisy dotychczasowe.</w:t>
      </w:r>
    </w:p>
    <w:p w14:paraId="1AB16458" w14:textId="0F949B43" w:rsidR="00635F4E" w:rsidRPr="008D7149" w:rsidRDefault="00562B2C" w:rsidP="008D7149">
      <w:pPr>
        <w:pStyle w:val="USTustnpkodeksu"/>
        <w:spacing w:before="120"/>
        <w:ind w:firstLine="0"/>
        <w:rPr>
          <w:rFonts w:ascii="Times New Roman" w:hAnsi="Times New Roman" w:cs="Times New Roman"/>
          <w:b/>
          <w:szCs w:val="24"/>
        </w:rPr>
      </w:pPr>
      <w:r w:rsidRPr="008D7149">
        <w:rPr>
          <w:rFonts w:ascii="Times New Roman" w:hAnsi="Times New Roman" w:cs="Times New Roman"/>
          <w:szCs w:val="24"/>
        </w:rPr>
        <w:t>2</w:t>
      </w:r>
      <w:r w:rsidR="005417FC" w:rsidRPr="008D7149">
        <w:rPr>
          <w:rFonts w:ascii="Times New Roman" w:hAnsi="Times New Roman" w:cs="Times New Roman"/>
          <w:szCs w:val="24"/>
        </w:rPr>
        <w:t>6</w:t>
      </w:r>
      <w:r w:rsidRPr="008D7149">
        <w:rPr>
          <w:rFonts w:ascii="Times New Roman" w:hAnsi="Times New Roman" w:cs="Times New Roman"/>
          <w:szCs w:val="24"/>
        </w:rPr>
        <w:t>)</w:t>
      </w:r>
      <w:r w:rsidR="00D255DB">
        <w:rPr>
          <w:rFonts w:ascii="Times New Roman" w:hAnsi="Times New Roman" w:cs="Times New Roman"/>
          <w:b/>
          <w:szCs w:val="24"/>
        </w:rPr>
        <w:tab/>
      </w:r>
      <w:r w:rsidR="00635F4E" w:rsidRPr="008D7149">
        <w:rPr>
          <w:rFonts w:ascii="Times New Roman" w:hAnsi="Times New Roman" w:cs="Times New Roman"/>
          <w:b/>
          <w:szCs w:val="24"/>
        </w:rPr>
        <w:t xml:space="preserve">Art. </w:t>
      </w:r>
      <w:r w:rsidR="005417FC" w:rsidRPr="008D7149">
        <w:rPr>
          <w:rFonts w:ascii="Times New Roman" w:hAnsi="Times New Roman" w:cs="Times New Roman"/>
          <w:b/>
          <w:szCs w:val="24"/>
        </w:rPr>
        <w:t>30</w:t>
      </w:r>
      <w:r w:rsidR="00D5333C" w:rsidRPr="008D7149">
        <w:rPr>
          <w:rFonts w:ascii="Times New Roman" w:hAnsi="Times New Roman" w:cs="Times New Roman"/>
          <w:b/>
          <w:szCs w:val="24"/>
        </w:rPr>
        <w:t xml:space="preserve"> </w:t>
      </w:r>
      <w:r w:rsidR="00D5333C" w:rsidRPr="006B5003">
        <w:rPr>
          <w:rFonts w:ascii="Times New Roman" w:hAnsi="Times New Roman" w:cs="Times New Roman"/>
          <w:szCs w:val="24"/>
        </w:rPr>
        <w:t>projektu</w:t>
      </w:r>
      <w:r w:rsidR="00635F4E" w:rsidRPr="008D7149">
        <w:rPr>
          <w:rFonts w:ascii="Times New Roman" w:hAnsi="Times New Roman" w:cs="Times New Roman"/>
          <w:b/>
          <w:szCs w:val="24"/>
        </w:rPr>
        <w:t xml:space="preserve"> </w:t>
      </w:r>
      <w:r w:rsidR="00635F4E" w:rsidRPr="008D7149">
        <w:rPr>
          <w:rFonts w:ascii="Times New Roman" w:hAnsi="Times New Roman" w:cs="Times New Roman"/>
          <w:szCs w:val="24"/>
        </w:rPr>
        <w:t>wprowadza zasadę, że za zachowania zaistniałe przed dniem wejścia w życie znowelizowanych przepisów ustawy o ofercie publicznej, stanowiące naruszenie przepisów ustawy o ofercie publicznej w brzmieniu dotychczasowym, KNF wymierza sankcję administracyjną według przepisów dotychczasowych, chyba że sankcja administracyjna wymierzona według przepisów ustawy o ofercie publicznej</w:t>
      </w:r>
      <w:r w:rsidR="00D5333C" w:rsidRPr="008D7149">
        <w:rPr>
          <w:rFonts w:ascii="Times New Roman" w:hAnsi="Times New Roman" w:cs="Times New Roman"/>
          <w:szCs w:val="24"/>
        </w:rPr>
        <w:t>,</w:t>
      </w:r>
      <w:r w:rsidR="00635F4E" w:rsidRPr="008D7149">
        <w:rPr>
          <w:rFonts w:ascii="Times New Roman" w:hAnsi="Times New Roman" w:cs="Times New Roman"/>
          <w:szCs w:val="24"/>
        </w:rPr>
        <w:t xml:space="preserve"> w brzmieniu nadanym projektowaną ustawą, byłaby względniejsza dla strony postępowania.</w:t>
      </w:r>
    </w:p>
    <w:p w14:paraId="34ED3C1D" w14:textId="1E1301BA" w:rsidR="00A76A0B" w:rsidRPr="008D7149" w:rsidRDefault="00965473"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2</w:t>
      </w:r>
      <w:r w:rsidR="005417FC" w:rsidRPr="008D7149">
        <w:rPr>
          <w:rFonts w:ascii="Times New Roman" w:hAnsi="Times New Roman" w:cs="Times New Roman"/>
          <w:sz w:val="24"/>
          <w:szCs w:val="24"/>
        </w:rPr>
        <w:t>7</w:t>
      </w:r>
      <w:r w:rsidR="00D255DB">
        <w:rPr>
          <w:rFonts w:ascii="Times New Roman" w:hAnsi="Times New Roman" w:cs="Times New Roman"/>
          <w:sz w:val="24"/>
          <w:szCs w:val="24"/>
        </w:rPr>
        <w:t>)</w:t>
      </w:r>
      <w:r w:rsidR="00D255DB">
        <w:rPr>
          <w:rFonts w:ascii="Times New Roman" w:hAnsi="Times New Roman" w:cs="Times New Roman"/>
          <w:sz w:val="24"/>
          <w:szCs w:val="24"/>
        </w:rPr>
        <w:tab/>
      </w:r>
      <w:r w:rsidR="00A76A0B" w:rsidRPr="008D7149">
        <w:rPr>
          <w:rFonts w:ascii="Times New Roman" w:hAnsi="Times New Roman" w:cs="Times New Roman"/>
          <w:b/>
          <w:sz w:val="24"/>
          <w:szCs w:val="24"/>
        </w:rPr>
        <w:t>Art. 3</w:t>
      </w:r>
      <w:r w:rsidR="005417FC" w:rsidRPr="008D7149">
        <w:rPr>
          <w:rFonts w:ascii="Times New Roman" w:hAnsi="Times New Roman" w:cs="Times New Roman"/>
          <w:b/>
          <w:sz w:val="24"/>
          <w:szCs w:val="24"/>
        </w:rPr>
        <w:t>1</w:t>
      </w:r>
      <w:r w:rsidR="00A76A0B" w:rsidRPr="008D7149">
        <w:rPr>
          <w:rFonts w:ascii="Times New Roman" w:hAnsi="Times New Roman" w:cs="Times New Roman"/>
          <w:b/>
          <w:sz w:val="24"/>
          <w:szCs w:val="24"/>
        </w:rPr>
        <w:t xml:space="preserve"> </w:t>
      </w:r>
      <w:r w:rsidR="00A76A0B" w:rsidRPr="006B5003">
        <w:rPr>
          <w:rFonts w:ascii="Times New Roman" w:hAnsi="Times New Roman" w:cs="Times New Roman"/>
          <w:sz w:val="24"/>
          <w:szCs w:val="24"/>
        </w:rPr>
        <w:t>projektu</w:t>
      </w:r>
      <w:r w:rsidR="00A76A0B" w:rsidRPr="008D7149">
        <w:rPr>
          <w:rFonts w:ascii="Times New Roman" w:hAnsi="Times New Roman" w:cs="Times New Roman"/>
          <w:sz w:val="24"/>
          <w:szCs w:val="24"/>
        </w:rPr>
        <w:t xml:space="preserve"> dotyczy regulacji przejściowych dla zmienianych przepisów w ustawie o BFG, mianowicie ust. 1 wskazuje, że do oszacowania, o którym mowa w art. 137 ustawy o BFG, rozpoczętego i niezakończonego do dnia wejścia w życie niniejszego przepisu stosuje się art. 138 ust. 7 pkt 2 ustawy o BFG</w:t>
      </w:r>
      <w:r w:rsidR="007D3C1C" w:rsidRPr="008D7149">
        <w:rPr>
          <w:rFonts w:ascii="Times New Roman" w:hAnsi="Times New Roman" w:cs="Times New Roman"/>
          <w:sz w:val="24"/>
          <w:szCs w:val="24"/>
        </w:rPr>
        <w:t>,</w:t>
      </w:r>
      <w:r w:rsidR="00A76A0B" w:rsidRPr="008D7149">
        <w:rPr>
          <w:rFonts w:ascii="Times New Roman" w:hAnsi="Times New Roman" w:cs="Times New Roman"/>
          <w:sz w:val="24"/>
          <w:szCs w:val="24"/>
        </w:rPr>
        <w:t xml:space="preserve"> w brzmieniu nadanym niniejszą ustawą</w:t>
      </w:r>
      <w:r w:rsidR="007D3C1C" w:rsidRPr="008D7149">
        <w:rPr>
          <w:rFonts w:ascii="Times New Roman" w:hAnsi="Times New Roman" w:cs="Times New Roman"/>
          <w:sz w:val="24"/>
          <w:szCs w:val="24"/>
        </w:rPr>
        <w:t>,</w:t>
      </w:r>
      <w:r w:rsidR="00A76A0B" w:rsidRPr="008D7149">
        <w:rPr>
          <w:rFonts w:ascii="Times New Roman" w:hAnsi="Times New Roman" w:cs="Times New Roman"/>
          <w:sz w:val="24"/>
          <w:szCs w:val="24"/>
        </w:rPr>
        <w:t xml:space="preserve"> tzn. oszacowanie nie musi zawierać rachunku wyników. Natomiast ust. 2 zakłada, że podmioty będące stronami umów finansowych w rozumieniu aktualnego art. 144b ustawy o BFG, w zakresie umów zawartych przed dniem wejścia w życie nowelizowanego w niniejszej ustawie przepisu, mają obowiązek dostosowania tych umów do znowelizowanego art. 144b</w:t>
      </w:r>
      <w:r w:rsidR="00CE4593" w:rsidRPr="008D7149">
        <w:rPr>
          <w:rFonts w:ascii="Times New Roman" w:hAnsi="Times New Roman" w:cs="Times New Roman"/>
          <w:sz w:val="24"/>
          <w:szCs w:val="24"/>
        </w:rPr>
        <w:t xml:space="preserve"> w terminie </w:t>
      </w:r>
      <w:r w:rsidR="00A76A0B" w:rsidRPr="008D7149">
        <w:rPr>
          <w:rFonts w:ascii="Times New Roman" w:hAnsi="Times New Roman" w:cs="Times New Roman"/>
          <w:sz w:val="24"/>
          <w:szCs w:val="24"/>
        </w:rPr>
        <w:t>3 miesięcy od dnia wejścia w życie niniejszego przepisu.</w:t>
      </w:r>
    </w:p>
    <w:p w14:paraId="4FBF0BAF" w14:textId="78C35E17" w:rsidR="00DE693B" w:rsidRPr="008D7149" w:rsidRDefault="00A76A0B" w:rsidP="008D7149">
      <w:pPr>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2</w:t>
      </w:r>
      <w:r w:rsidR="005417FC" w:rsidRPr="008D7149">
        <w:rPr>
          <w:rFonts w:ascii="Times New Roman" w:hAnsi="Times New Roman" w:cs="Times New Roman"/>
          <w:sz w:val="24"/>
          <w:szCs w:val="24"/>
        </w:rPr>
        <w:t>8</w:t>
      </w:r>
      <w:r w:rsidR="00D255DB">
        <w:rPr>
          <w:rFonts w:ascii="Times New Roman" w:hAnsi="Times New Roman" w:cs="Times New Roman"/>
          <w:sz w:val="24"/>
          <w:szCs w:val="24"/>
        </w:rPr>
        <w:t>)</w:t>
      </w:r>
      <w:r w:rsidR="00D255DB">
        <w:rPr>
          <w:rFonts w:ascii="Times New Roman" w:hAnsi="Times New Roman" w:cs="Times New Roman"/>
          <w:sz w:val="24"/>
          <w:szCs w:val="24"/>
        </w:rPr>
        <w:tab/>
      </w:r>
      <w:r w:rsidR="00676EFC" w:rsidRPr="008D7149">
        <w:rPr>
          <w:rFonts w:ascii="Times New Roman" w:hAnsi="Times New Roman" w:cs="Times New Roman"/>
          <w:b/>
          <w:sz w:val="24"/>
          <w:szCs w:val="24"/>
        </w:rPr>
        <w:t xml:space="preserve">Art. </w:t>
      </w:r>
      <w:r w:rsidRPr="008D7149">
        <w:rPr>
          <w:rFonts w:ascii="Times New Roman" w:hAnsi="Times New Roman" w:cs="Times New Roman"/>
          <w:b/>
          <w:sz w:val="24"/>
          <w:szCs w:val="24"/>
        </w:rPr>
        <w:t>3</w:t>
      </w:r>
      <w:r w:rsidR="005417FC" w:rsidRPr="008D7149">
        <w:rPr>
          <w:rFonts w:ascii="Times New Roman" w:hAnsi="Times New Roman" w:cs="Times New Roman"/>
          <w:b/>
          <w:sz w:val="24"/>
          <w:szCs w:val="24"/>
        </w:rPr>
        <w:t>2</w:t>
      </w:r>
      <w:r w:rsidRPr="008D7149">
        <w:rPr>
          <w:rFonts w:ascii="Times New Roman" w:hAnsi="Times New Roman" w:cs="Times New Roman"/>
          <w:b/>
          <w:sz w:val="24"/>
          <w:szCs w:val="24"/>
        </w:rPr>
        <w:t xml:space="preserve"> </w:t>
      </w:r>
      <w:r w:rsidR="00CD64DB" w:rsidRPr="006B5003">
        <w:rPr>
          <w:rFonts w:ascii="Times New Roman" w:hAnsi="Times New Roman" w:cs="Times New Roman"/>
          <w:sz w:val="24"/>
          <w:szCs w:val="24"/>
        </w:rPr>
        <w:t>projektu</w:t>
      </w:r>
      <w:r w:rsidR="00CD64DB" w:rsidRPr="008D7149">
        <w:rPr>
          <w:rFonts w:ascii="Times New Roman" w:hAnsi="Times New Roman" w:cs="Times New Roman"/>
          <w:sz w:val="24"/>
          <w:szCs w:val="24"/>
        </w:rPr>
        <w:t xml:space="preserve"> zakłada zawieszenie do 31 października 2022 r. poboru składek</w:t>
      </w:r>
      <w:r w:rsidR="00ED60FB" w:rsidRPr="008D7149">
        <w:rPr>
          <w:rFonts w:ascii="Times New Roman" w:hAnsi="Times New Roman" w:cs="Times New Roman"/>
          <w:sz w:val="24"/>
          <w:szCs w:val="24"/>
        </w:rPr>
        <w:t xml:space="preserve"> należnych za rok 2022</w:t>
      </w:r>
      <w:r w:rsidR="00CD64DB" w:rsidRPr="008D7149">
        <w:rPr>
          <w:rFonts w:ascii="Times New Roman" w:hAnsi="Times New Roman" w:cs="Times New Roman"/>
          <w:sz w:val="24"/>
          <w:szCs w:val="24"/>
        </w:rPr>
        <w:t xml:space="preserve"> na </w:t>
      </w:r>
      <w:r w:rsidR="00CD64DB" w:rsidRPr="008D7149">
        <w:rPr>
          <w:rFonts w:ascii="Times New Roman" w:eastAsia="Times New Roman" w:hAnsi="Times New Roman" w:cs="Times New Roman"/>
          <w:sz w:val="24"/>
          <w:szCs w:val="24"/>
        </w:rPr>
        <w:t>obowiązkowy system gwarantowania depozytów w bankach,</w:t>
      </w:r>
      <w:r w:rsidR="00ED60FB" w:rsidRPr="008D7149">
        <w:rPr>
          <w:rFonts w:ascii="Times New Roman" w:eastAsia="Times New Roman" w:hAnsi="Times New Roman" w:cs="Times New Roman"/>
          <w:sz w:val="24"/>
          <w:szCs w:val="24"/>
        </w:rPr>
        <w:t xml:space="preserve"> które nie zostały wniesione do dnia wejścia w życie niniejszego przepisu</w:t>
      </w:r>
      <w:r w:rsidR="00CD64DB" w:rsidRPr="008D7149">
        <w:rPr>
          <w:rFonts w:ascii="Times New Roman" w:eastAsia="Times New Roman" w:hAnsi="Times New Roman" w:cs="Times New Roman"/>
          <w:sz w:val="24"/>
          <w:szCs w:val="24"/>
        </w:rPr>
        <w:t>. Zgodnie z ust. 2</w:t>
      </w:r>
      <w:r w:rsidR="0099282F" w:rsidRPr="008D7149">
        <w:rPr>
          <w:rFonts w:ascii="Times New Roman" w:eastAsia="Times New Roman" w:hAnsi="Times New Roman" w:cs="Times New Roman"/>
          <w:sz w:val="24"/>
          <w:szCs w:val="24"/>
        </w:rPr>
        <w:t xml:space="preserve"> projektowanego przepisu</w:t>
      </w:r>
      <w:r w:rsidR="00CD64DB" w:rsidRPr="008D7149">
        <w:rPr>
          <w:rFonts w:ascii="Times New Roman" w:eastAsia="Times New Roman" w:hAnsi="Times New Roman" w:cs="Times New Roman"/>
          <w:sz w:val="24"/>
          <w:szCs w:val="24"/>
        </w:rPr>
        <w:t xml:space="preserve"> </w:t>
      </w:r>
      <w:r w:rsidR="00A606AB" w:rsidRPr="008D7149">
        <w:rPr>
          <w:rFonts w:ascii="Times New Roman" w:eastAsia="Times New Roman" w:hAnsi="Times New Roman" w:cs="Times New Roman"/>
          <w:sz w:val="24"/>
          <w:szCs w:val="24"/>
        </w:rPr>
        <w:t xml:space="preserve">wniesienie zawieszonych </w:t>
      </w:r>
      <w:r w:rsidR="00ED60FB" w:rsidRPr="008D7149">
        <w:rPr>
          <w:rFonts w:ascii="Times New Roman" w:eastAsia="Times New Roman" w:hAnsi="Times New Roman" w:cs="Times New Roman"/>
          <w:sz w:val="24"/>
          <w:szCs w:val="24"/>
        </w:rPr>
        <w:t xml:space="preserve">należnych </w:t>
      </w:r>
      <w:r w:rsidR="00A606AB" w:rsidRPr="008D7149">
        <w:rPr>
          <w:rFonts w:ascii="Times New Roman" w:eastAsia="Times New Roman" w:hAnsi="Times New Roman" w:cs="Times New Roman"/>
          <w:sz w:val="24"/>
          <w:szCs w:val="24"/>
        </w:rPr>
        <w:t xml:space="preserve">składek nastąpi w IV kwartale 2022 r. </w:t>
      </w:r>
      <w:r w:rsidR="00ED60FB" w:rsidRPr="008D7149">
        <w:rPr>
          <w:rFonts w:ascii="Times New Roman" w:eastAsia="Times New Roman" w:hAnsi="Times New Roman" w:cs="Times New Roman"/>
          <w:sz w:val="24"/>
          <w:szCs w:val="24"/>
        </w:rPr>
        <w:t xml:space="preserve">Jednak w sytuacji, gdy </w:t>
      </w:r>
      <w:r w:rsidR="00A606AB" w:rsidRPr="008D7149">
        <w:rPr>
          <w:rFonts w:ascii="Times New Roman" w:eastAsia="Times New Roman" w:hAnsi="Times New Roman" w:cs="Times New Roman"/>
          <w:sz w:val="24"/>
          <w:szCs w:val="24"/>
        </w:rPr>
        <w:t>w 2022 r. Rad</w:t>
      </w:r>
      <w:r w:rsidR="00ED60FB" w:rsidRPr="008D7149">
        <w:rPr>
          <w:rFonts w:ascii="Times New Roman" w:eastAsia="Times New Roman" w:hAnsi="Times New Roman" w:cs="Times New Roman"/>
          <w:sz w:val="24"/>
          <w:szCs w:val="24"/>
        </w:rPr>
        <w:t>a</w:t>
      </w:r>
      <w:r w:rsidR="00A606AB" w:rsidRPr="008D7149">
        <w:rPr>
          <w:rFonts w:ascii="Times New Roman" w:eastAsia="Times New Roman" w:hAnsi="Times New Roman" w:cs="Times New Roman"/>
          <w:sz w:val="24"/>
          <w:szCs w:val="24"/>
        </w:rPr>
        <w:t xml:space="preserve"> </w:t>
      </w:r>
      <w:r w:rsidR="007D3C1C" w:rsidRPr="008D7149">
        <w:rPr>
          <w:rFonts w:ascii="Times New Roman" w:eastAsia="Times New Roman" w:hAnsi="Times New Roman" w:cs="Times New Roman"/>
          <w:sz w:val="24"/>
          <w:szCs w:val="24"/>
        </w:rPr>
        <w:t>BFG</w:t>
      </w:r>
      <w:r w:rsidR="00A606AB" w:rsidRPr="008D7149">
        <w:rPr>
          <w:rFonts w:ascii="Times New Roman" w:eastAsia="Times New Roman" w:hAnsi="Times New Roman" w:cs="Times New Roman"/>
          <w:sz w:val="24"/>
          <w:szCs w:val="24"/>
        </w:rPr>
        <w:t xml:space="preserve"> </w:t>
      </w:r>
      <w:r w:rsidR="0099282F" w:rsidRPr="008D7149">
        <w:rPr>
          <w:rFonts w:ascii="Times New Roman" w:eastAsia="Times New Roman" w:hAnsi="Times New Roman" w:cs="Times New Roman"/>
          <w:sz w:val="24"/>
          <w:szCs w:val="24"/>
        </w:rPr>
        <w:t xml:space="preserve">ustali </w:t>
      </w:r>
      <w:r w:rsidR="00A606AB" w:rsidRPr="008D7149">
        <w:rPr>
          <w:rFonts w:ascii="Times New Roman" w:eastAsia="Times New Roman" w:hAnsi="Times New Roman" w:cs="Times New Roman"/>
          <w:sz w:val="24"/>
          <w:szCs w:val="24"/>
        </w:rPr>
        <w:t>now</w:t>
      </w:r>
      <w:r w:rsidR="0099282F" w:rsidRPr="008D7149">
        <w:rPr>
          <w:rFonts w:ascii="Times New Roman" w:eastAsia="Times New Roman" w:hAnsi="Times New Roman" w:cs="Times New Roman"/>
          <w:sz w:val="24"/>
          <w:szCs w:val="24"/>
        </w:rPr>
        <w:t>ą</w:t>
      </w:r>
      <w:r w:rsidR="00A606AB" w:rsidRPr="008D7149">
        <w:rPr>
          <w:rFonts w:ascii="Times New Roman" w:eastAsia="Times New Roman" w:hAnsi="Times New Roman" w:cs="Times New Roman"/>
          <w:sz w:val="24"/>
          <w:szCs w:val="24"/>
        </w:rPr>
        <w:t xml:space="preserve"> łączn</w:t>
      </w:r>
      <w:r w:rsidR="0099282F" w:rsidRPr="008D7149">
        <w:rPr>
          <w:rFonts w:ascii="Times New Roman" w:eastAsia="Times New Roman" w:hAnsi="Times New Roman" w:cs="Times New Roman"/>
          <w:sz w:val="24"/>
          <w:szCs w:val="24"/>
        </w:rPr>
        <w:t>ą</w:t>
      </w:r>
      <w:r w:rsidR="00A606AB" w:rsidRPr="008D7149">
        <w:rPr>
          <w:rFonts w:ascii="Times New Roman" w:eastAsia="Times New Roman" w:hAnsi="Times New Roman" w:cs="Times New Roman"/>
          <w:sz w:val="24"/>
          <w:szCs w:val="24"/>
        </w:rPr>
        <w:t xml:space="preserve"> kwot</w:t>
      </w:r>
      <w:r w:rsidR="0099282F" w:rsidRPr="008D7149">
        <w:rPr>
          <w:rFonts w:ascii="Times New Roman" w:eastAsia="Times New Roman" w:hAnsi="Times New Roman" w:cs="Times New Roman"/>
          <w:sz w:val="24"/>
          <w:szCs w:val="24"/>
        </w:rPr>
        <w:t>ę</w:t>
      </w:r>
      <w:r w:rsidR="00A606AB" w:rsidRPr="008D7149">
        <w:rPr>
          <w:rFonts w:ascii="Times New Roman" w:eastAsia="Times New Roman" w:hAnsi="Times New Roman" w:cs="Times New Roman"/>
          <w:sz w:val="24"/>
          <w:szCs w:val="24"/>
        </w:rPr>
        <w:t xml:space="preserve"> składek na obowiązkowy system gwarantowania depozytów, </w:t>
      </w:r>
      <w:r w:rsidR="0099282F" w:rsidRPr="008D7149">
        <w:rPr>
          <w:rFonts w:ascii="Times New Roman" w:eastAsia="Times New Roman" w:hAnsi="Times New Roman" w:cs="Times New Roman"/>
          <w:sz w:val="24"/>
          <w:szCs w:val="24"/>
        </w:rPr>
        <w:t xml:space="preserve">co </w:t>
      </w:r>
      <w:r w:rsidR="00A606AB" w:rsidRPr="008D7149">
        <w:rPr>
          <w:rFonts w:ascii="Times New Roman" w:eastAsia="Times New Roman" w:hAnsi="Times New Roman" w:cs="Times New Roman"/>
          <w:sz w:val="24"/>
          <w:szCs w:val="24"/>
        </w:rPr>
        <w:t xml:space="preserve">wynika z </w:t>
      </w:r>
      <w:r w:rsidR="0099282F" w:rsidRPr="008D7149">
        <w:rPr>
          <w:rFonts w:ascii="Times New Roman" w:eastAsia="Times New Roman" w:hAnsi="Times New Roman" w:cs="Times New Roman"/>
          <w:sz w:val="24"/>
          <w:szCs w:val="24"/>
        </w:rPr>
        <w:t xml:space="preserve">nadanego jej </w:t>
      </w:r>
      <w:r w:rsidR="00A606AB" w:rsidRPr="008D7149">
        <w:rPr>
          <w:rFonts w:ascii="Times New Roman" w:eastAsia="Times New Roman" w:hAnsi="Times New Roman" w:cs="Times New Roman"/>
          <w:sz w:val="24"/>
          <w:szCs w:val="24"/>
        </w:rPr>
        <w:t>uprawnienia do obniżenia docelowego poziomu środków systemu gwarantowania depozytów, o którym mowa w projektowanym art. 287 ust. 1 ustawy zmienianej w art. 1</w:t>
      </w:r>
      <w:r w:rsidR="005417FC" w:rsidRPr="008D7149">
        <w:rPr>
          <w:rFonts w:ascii="Times New Roman" w:eastAsia="Times New Roman" w:hAnsi="Times New Roman" w:cs="Times New Roman"/>
          <w:sz w:val="24"/>
          <w:szCs w:val="24"/>
        </w:rPr>
        <w:t>5</w:t>
      </w:r>
      <w:r w:rsidR="00A606AB" w:rsidRPr="008D7149">
        <w:rPr>
          <w:rFonts w:ascii="Times New Roman" w:eastAsia="Times New Roman" w:hAnsi="Times New Roman" w:cs="Times New Roman"/>
          <w:sz w:val="24"/>
          <w:szCs w:val="24"/>
        </w:rPr>
        <w:t xml:space="preserve"> projektu</w:t>
      </w:r>
      <w:r w:rsidR="0099282F" w:rsidRPr="008D7149">
        <w:rPr>
          <w:rFonts w:ascii="Times New Roman" w:eastAsia="Times New Roman" w:hAnsi="Times New Roman" w:cs="Times New Roman"/>
          <w:sz w:val="24"/>
          <w:szCs w:val="24"/>
        </w:rPr>
        <w:t>, wniesienie należnych składek nastąpi po dokonaniu takiego ustalenia</w:t>
      </w:r>
      <w:r w:rsidR="00A606AB" w:rsidRPr="008D7149">
        <w:rPr>
          <w:rFonts w:ascii="Times New Roman" w:eastAsia="Times New Roman" w:hAnsi="Times New Roman" w:cs="Times New Roman"/>
          <w:sz w:val="24"/>
          <w:szCs w:val="24"/>
        </w:rPr>
        <w:t>.</w:t>
      </w:r>
      <w:r w:rsidR="00ED60FB" w:rsidRPr="008D7149">
        <w:rPr>
          <w:rFonts w:ascii="Times New Roman" w:eastAsia="Times New Roman" w:hAnsi="Times New Roman" w:cs="Times New Roman"/>
          <w:sz w:val="24"/>
          <w:szCs w:val="24"/>
        </w:rPr>
        <w:t xml:space="preserve"> Natomiast zgodnie z ust. 2 pkt 2, jeżeli Rada </w:t>
      </w:r>
      <w:r w:rsidR="007D3C1C" w:rsidRPr="008D7149">
        <w:rPr>
          <w:rFonts w:ascii="Times New Roman" w:eastAsia="Times New Roman" w:hAnsi="Times New Roman" w:cs="Times New Roman"/>
          <w:sz w:val="24"/>
          <w:szCs w:val="24"/>
        </w:rPr>
        <w:t>BFG</w:t>
      </w:r>
      <w:r w:rsidR="00ED60FB" w:rsidRPr="008D7149">
        <w:rPr>
          <w:rFonts w:ascii="Times New Roman" w:eastAsia="Times New Roman" w:hAnsi="Times New Roman" w:cs="Times New Roman"/>
          <w:sz w:val="24"/>
          <w:szCs w:val="24"/>
        </w:rPr>
        <w:t xml:space="preserve"> nie ustali nowej łącznej kwoty składek na obowiązkowy system gwarantowania depozytów</w:t>
      </w:r>
      <w:r w:rsidR="007D3C1C" w:rsidRPr="008D7149">
        <w:rPr>
          <w:rFonts w:ascii="Times New Roman" w:eastAsia="Times New Roman" w:hAnsi="Times New Roman" w:cs="Times New Roman"/>
          <w:sz w:val="24"/>
          <w:szCs w:val="24"/>
        </w:rPr>
        <w:t>,</w:t>
      </w:r>
      <w:r w:rsidR="00ED60FB" w:rsidRPr="008D7149">
        <w:rPr>
          <w:rFonts w:ascii="Times New Roman" w:eastAsia="Times New Roman" w:hAnsi="Times New Roman" w:cs="Times New Roman"/>
          <w:sz w:val="24"/>
          <w:szCs w:val="24"/>
        </w:rPr>
        <w:t xml:space="preserve"> to w IV kwartale 2022 r. składki należne za rok 2022 r. zostaną wniesione na dotychczasowych zasadach.</w:t>
      </w:r>
      <w:r w:rsidR="00A606AB" w:rsidRPr="008D7149">
        <w:rPr>
          <w:rFonts w:ascii="Times New Roman" w:eastAsia="Times New Roman" w:hAnsi="Times New Roman" w:cs="Times New Roman"/>
          <w:sz w:val="24"/>
          <w:szCs w:val="24"/>
        </w:rPr>
        <w:t xml:space="preserve"> </w:t>
      </w:r>
      <w:r w:rsidR="007D3C1C" w:rsidRPr="008D7149">
        <w:rPr>
          <w:rFonts w:ascii="Times New Roman" w:eastAsia="Times New Roman" w:hAnsi="Times New Roman" w:cs="Times New Roman"/>
          <w:sz w:val="24"/>
          <w:szCs w:val="24"/>
        </w:rPr>
        <w:t>Zgodnie</w:t>
      </w:r>
      <w:r w:rsidR="00CD64DB" w:rsidRPr="008D7149">
        <w:rPr>
          <w:rFonts w:ascii="Times New Roman" w:eastAsia="Times New Roman" w:hAnsi="Times New Roman" w:cs="Times New Roman"/>
          <w:sz w:val="24"/>
          <w:szCs w:val="24"/>
        </w:rPr>
        <w:t xml:space="preserve"> z ust. 3</w:t>
      </w:r>
      <w:r w:rsidR="00D60D92">
        <w:rPr>
          <w:rFonts w:ascii="Times New Roman" w:eastAsia="Times New Roman" w:hAnsi="Times New Roman" w:cs="Times New Roman"/>
          <w:sz w:val="24"/>
          <w:szCs w:val="24"/>
        </w:rPr>
        <w:t>,</w:t>
      </w:r>
      <w:r w:rsidR="00CD64DB" w:rsidRPr="008D7149">
        <w:rPr>
          <w:rFonts w:ascii="Times New Roman" w:eastAsia="Times New Roman" w:hAnsi="Times New Roman" w:cs="Times New Roman"/>
          <w:sz w:val="24"/>
          <w:szCs w:val="24"/>
        </w:rPr>
        <w:t xml:space="preserve"> w przypadku gdy </w:t>
      </w:r>
      <w:r w:rsidR="00A606AB" w:rsidRPr="008D7149">
        <w:rPr>
          <w:rFonts w:ascii="Times New Roman" w:eastAsia="Times New Roman" w:hAnsi="Times New Roman" w:cs="Times New Roman"/>
          <w:sz w:val="24"/>
          <w:szCs w:val="24"/>
        </w:rPr>
        <w:t>w wyniku wniesienia</w:t>
      </w:r>
      <w:r w:rsidR="0099282F" w:rsidRPr="008D7149">
        <w:rPr>
          <w:rFonts w:ascii="Times New Roman" w:eastAsia="Times New Roman" w:hAnsi="Times New Roman" w:cs="Times New Roman"/>
          <w:sz w:val="24"/>
          <w:szCs w:val="24"/>
        </w:rPr>
        <w:t xml:space="preserve"> należnych</w:t>
      </w:r>
      <w:r w:rsidR="00A606AB" w:rsidRPr="008D7149">
        <w:rPr>
          <w:rFonts w:ascii="Times New Roman" w:eastAsia="Times New Roman" w:hAnsi="Times New Roman" w:cs="Times New Roman"/>
          <w:sz w:val="24"/>
          <w:szCs w:val="24"/>
        </w:rPr>
        <w:t xml:space="preserve"> składek w 2022 r. suma tych składek przekroczy nową łączną kwotę składek</w:t>
      </w:r>
      <w:r w:rsidR="0099282F" w:rsidRPr="008D7149">
        <w:rPr>
          <w:rFonts w:ascii="Times New Roman" w:eastAsia="Times New Roman" w:hAnsi="Times New Roman" w:cs="Times New Roman"/>
          <w:sz w:val="24"/>
          <w:szCs w:val="24"/>
        </w:rPr>
        <w:t xml:space="preserve"> (w sytuacji gdy </w:t>
      </w:r>
      <w:r w:rsidR="007D3C1C" w:rsidRPr="008D7149">
        <w:rPr>
          <w:rFonts w:ascii="Times New Roman" w:eastAsia="Times New Roman" w:hAnsi="Times New Roman" w:cs="Times New Roman"/>
          <w:sz w:val="24"/>
          <w:szCs w:val="24"/>
        </w:rPr>
        <w:t>BFG</w:t>
      </w:r>
      <w:r w:rsidR="0099282F" w:rsidRPr="008D7149">
        <w:rPr>
          <w:rFonts w:ascii="Times New Roman" w:eastAsia="Times New Roman" w:hAnsi="Times New Roman" w:cs="Times New Roman"/>
          <w:sz w:val="24"/>
          <w:szCs w:val="24"/>
        </w:rPr>
        <w:t xml:space="preserve"> skorzysta z uprawnienia do obniżenia)</w:t>
      </w:r>
      <w:r w:rsidR="00A606AB" w:rsidRPr="008D7149">
        <w:rPr>
          <w:rFonts w:ascii="Times New Roman" w:eastAsia="Times New Roman" w:hAnsi="Times New Roman" w:cs="Times New Roman"/>
          <w:sz w:val="24"/>
          <w:szCs w:val="24"/>
        </w:rPr>
        <w:t>, nadwyżka ta zostanie zaliczona na poczet przyszłych składek</w:t>
      </w:r>
      <w:r w:rsidR="00CD64DB" w:rsidRPr="008D7149">
        <w:rPr>
          <w:rFonts w:ascii="Times New Roman" w:eastAsia="Times New Roman" w:hAnsi="Times New Roman" w:cs="Times New Roman"/>
          <w:sz w:val="24"/>
          <w:szCs w:val="24"/>
        </w:rPr>
        <w:t xml:space="preserve">. Przedmiotowa zmiana jest skorelowana z przyznaniem Radzie BFG kompetencji w </w:t>
      </w:r>
      <w:r w:rsidR="00A606AB" w:rsidRPr="008D7149">
        <w:rPr>
          <w:rFonts w:ascii="Times New Roman" w:eastAsia="Times New Roman" w:hAnsi="Times New Roman" w:cs="Times New Roman"/>
          <w:sz w:val="24"/>
          <w:szCs w:val="24"/>
        </w:rPr>
        <w:t xml:space="preserve">projektowanym </w:t>
      </w:r>
      <w:r w:rsidR="00CD64DB" w:rsidRPr="008D7149">
        <w:rPr>
          <w:rFonts w:ascii="Times New Roman" w:eastAsia="Times New Roman" w:hAnsi="Times New Roman" w:cs="Times New Roman"/>
          <w:sz w:val="24"/>
          <w:szCs w:val="24"/>
        </w:rPr>
        <w:t>art. 287 ust. 2 ustawy o BFG do obniżenia poziomu docelowego środków systemu gwarantowania depozytów w bankach i ma za zadanie doprowadzić do</w:t>
      </w:r>
      <w:r w:rsidR="00CD64DB" w:rsidRPr="008D7149">
        <w:rPr>
          <w:rFonts w:ascii="Times New Roman" w:hAnsi="Times New Roman" w:cs="Times New Roman"/>
          <w:sz w:val="24"/>
          <w:szCs w:val="24"/>
        </w:rPr>
        <w:t xml:space="preserve"> </w:t>
      </w:r>
      <w:r w:rsidR="00CD64DB" w:rsidRPr="008D7149">
        <w:rPr>
          <w:rFonts w:ascii="Times New Roman" w:eastAsia="Times New Roman" w:hAnsi="Times New Roman" w:cs="Times New Roman"/>
          <w:sz w:val="24"/>
          <w:szCs w:val="24"/>
        </w:rPr>
        <w:t xml:space="preserve">uzyskania potencjalnej możliwości podejmowania działań ograniczających efekty i koszty procesów upadłościowych. </w:t>
      </w:r>
    </w:p>
    <w:p w14:paraId="530BA228" w14:textId="4F13983F" w:rsidR="000866C0" w:rsidRPr="008D7149" w:rsidRDefault="00DE693B"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2</w:t>
      </w:r>
      <w:r w:rsidR="005417FC" w:rsidRPr="008D7149">
        <w:rPr>
          <w:rFonts w:ascii="Times New Roman" w:hAnsi="Times New Roman" w:cs="Times New Roman"/>
          <w:sz w:val="24"/>
          <w:szCs w:val="24"/>
        </w:rPr>
        <w:t>9</w:t>
      </w:r>
      <w:r w:rsidR="00D255DB">
        <w:rPr>
          <w:rFonts w:ascii="Times New Roman" w:hAnsi="Times New Roman" w:cs="Times New Roman"/>
          <w:sz w:val="24"/>
          <w:szCs w:val="24"/>
        </w:rPr>
        <w:t>)</w:t>
      </w:r>
      <w:r w:rsidR="00D255DB">
        <w:rPr>
          <w:rFonts w:ascii="Times New Roman" w:hAnsi="Times New Roman" w:cs="Times New Roman"/>
          <w:sz w:val="24"/>
          <w:szCs w:val="24"/>
        </w:rPr>
        <w:tab/>
      </w:r>
      <w:r w:rsidR="000866C0" w:rsidRPr="008D7149">
        <w:rPr>
          <w:rFonts w:ascii="Times New Roman" w:hAnsi="Times New Roman" w:cs="Times New Roman"/>
          <w:b/>
          <w:sz w:val="24"/>
          <w:szCs w:val="24"/>
        </w:rPr>
        <w:t>Art. 3</w:t>
      </w:r>
      <w:r w:rsidR="005417FC" w:rsidRPr="008D7149">
        <w:rPr>
          <w:rFonts w:ascii="Times New Roman" w:hAnsi="Times New Roman" w:cs="Times New Roman"/>
          <w:b/>
          <w:sz w:val="24"/>
          <w:szCs w:val="24"/>
        </w:rPr>
        <w:t>3</w:t>
      </w:r>
      <w:r w:rsidR="000866C0" w:rsidRPr="008D7149">
        <w:rPr>
          <w:rFonts w:ascii="Times New Roman" w:hAnsi="Times New Roman" w:cs="Times New Roman"/>
          <w:b/>
          <w:sz w:val="24"/>
          <w:szCs w:val="24"/>
        </w:rPr>
        <w:t xml:space="preserve"> </w:t>
      </w:r>
      <w:r w:rsidR="000866C0" w:rsidRPr="006B5003">
        <w:rPr>
          <w:rFonts w:ascii="Times New Roman" w:hAnsi="Times New Roman" w:cs="Times New Roman"/>
          <w:sz w:val="24"/>
          <w:szCs w:val="24"/>
        </w:rPr>
        <w:t>projektu</w:t>
      </w:r>
      <w:r w:rsidR="000866C0" w:rsidRPr="008D7149">
        <w:rPr>
          <w:rFonts w:ascii="Times New Roman" w:hAnsi="Times New Roman" w:cs="Times New Roman"/>
          <w:sz w:val="24"/>
          <w:szCs w:val="24"/>
        </w:rPr>
        <w:t xml:space="preserve"> dotyczy utrzymania w mocy przepisów wykonawczych wydanych odpowiednio na podstawie art. 25 ust. 7 ustawy zmienianej w art. 1 oraz art. 20 ust. 2 ustawy zmienianej w art. 11 przez okres maksymalnie 12 miesięcy od dnia wejścia tych przepisów.</w:t>
      </w:r>
    </w:p>
    <w:p w14:paraId="7A3D025C" w14:textId="59D6F5FD" w:rsidR="00C51E30" w:rsidRPr="008D7149" w:rsidRDefault="005417FC" w:rsidP="008D7149">
      <w:pPr>
        <w:autoSpaceDE w:val="0"/>
        <w:autoSpaceDN w:val="0"/>
        <w:adjustRightInd w:val="0"/>
        <w:spacing w:before="120" w:after="0" w:line="360" w:lineRule="auto"/>
        <w:jc w:val="both"/>
        <w:rPr>
          <w:rFonts w:ascii="Times New Roman" w:hAnsi="Times New Roman" w:cs="Times New Roman"/>
          <w:bCs/>
          <w:sz w:val="24"/>
          <w:szCs w:val="24"/>
        </w:rPr>
      </w:pPr>
      <w:r w:rsidRPr="008D7149">
        <w:rPr>
          <w:rFonts w:ascii="Times New Roman" w:hAnsi="Times New Roman" w:cs="Times New Roman"/>
          <w:bCs/>
          <w:sz w:val="24"/>
          <w:szCs w:val="24"/>
        </w:rPr>
        <w:t>30</w:t>
      </w:r>
      <w:r w:rsidR="00F62E00" w:rsidRPr="008D7149">
        <w:rPr>
          <w:rFonts w:ascii="Times New Roman" w:hAnsi="Times New Roman" w:cs="Times New Roman"/>
          <w:bCs/>
          <w:sz w:val="24"/>
          <w:szCs w:val="24"/>
        </w:rPr>
        <w:t>)</w:t>
      </w:r>
      <w:r w:rsidR="00D255DB">
        <w:rPr>
          <w:rFonts w:ascii="Times New Roman" w:hAnsi="Times New Roman" w:cs="Times New Roman"/>
          <w:b/>
          <w:bCs/>
          <w:sz w:val="24"/>
          <w:szCs w:val="24"/>
        </w:rPr>
        <w:tab/>
      </w:r>
      <w:r w:rsidR="00EF441C" w:rsidRPr="008D7149">
        <w:rPr>
          <w:rFonts w:ascii="Times New Roman" w:hAnsi="Times New Roman" w:cs="Times New Roman"/>
          <w:b/>
          <w:bCs/>
          <w:sz w:val="24"/>
          <w:szCs w:val="24"/>
        </w:rPr>
        <w:t xml:space="preserve">Art. </w:t>
      </w:r>
      <w:r w:rsidR="0011279D" w:rsidRPr="008D7149">
        <w:rPr>
          <w:rFonts w:ascii="Times New Roman" w:hAnsi="Times New Roman" w:cs="Times New Roman"/>
          <w:b/>
          <w:bCs/>
          <w:sz w:val="24"/>
          <w:szCs w:val="24"/>
        </w:rPr>
        <w:t>3</w:t>
      </w:r>
      <w:r w:rsidRPr="008D7149">
        <w:rPr>
          <w:rFonts w:ascii="Times New Roman" w:hAnsi="Times New Roman" w:cs="Times New Roman"/>
          <w:b/>
          <w:bCs/>
          <w:sz w:val="24"/>
          <w:szCs w:val="24"/>
        </w:rPr>
        <w:t>4</w:t>
      </w:r>
      <w:r w:rsidR="00397C91" w:rsidRPr="008D7149">
        <w:rPr>
          <w:rFonts w:ascii="Times New Roman" w:hAnsi="Times New Roman" w:cs="Times New Roman"/>
          <w:b/>
          <w:bCs/>
          <w:sz w:val="24"/>
          <w:szCs w:val="24"/>
        </w:rPr>
        <w:t xml:space="preserve"> </w:t>
      </w:r>
      <w:r w:rsidR="00EF441C" w:rsidRPr="006B5003">
        <w:rPr>
          <w:rFonts w:ascii="Times New Roman" w:hAnsi="Times New Roman" w:cs="Times New Roman"/>
          <w:bCs/>
          <w:sz w:val="24"/>
          <w:szCs w:val="24"/>
        </w:rPr>
        <w:t>projektu</w:t>
      </w:r>
      <w:r w:rsidR="00EF441C" w:rsidRPr="008D7149">
        <w:rPr>
          <w:rFonts w:ascii="Times New Roman" w:hAnsi="Times New Roman" w:cs="Times New Roman"/>
          <w:b/>
          <w:bCs/>
          <w:sz w:val="24"/>
          <w:szCs w:val="24"/>
        </w:rPr>
        <w:t xml:space="preserve"> </w:t>
      </w:r>
      <w:r w:rsidR="00EF441C" w:rsidRPr="008D7149">
        <w:rPr>
          <w:rFonts w:ascii="Times New Roman" w:hAnsi="Times New Roman" w:cs="Times New Roman"/>
          <w:bCs/>
          <w:sz w:val="24"/>
          <w:szCs w:val="24"/>
        </w:rPr>
        <w:t xml:space="preserve">określa </w:t>
      </w:r>
      <w:r w:rsidR="00C83764" w:rsidRPr="008D7149">
        <w:rPr>
          <w:rFonts w:ascii="Times New Roman" w:hAnsi="Times New Roman" w:cs="Times New Roman"/>
          <w:bCs/>
          <w:sz w:val="24"/>
          <w:szCs w:val="24"/>
        </w:rPr>
        <w:t xml:space="preserve">ogólny </w:t>
      </w:r>
      <w:r w:rsidR="00EF441C" w:rsidRPr="008D7149">
        <w:rPr>
          <w:rFonts w:ascii="Times New Roman" w:hAnsi="Times New Roman" w:cs="Times New Roman"/>
          <w:bCs/>
          <w:sz w:val="24"/>
          <w:szCs w:val="24"/>
        </w:rPr>
        <w:t>termin wejścia</w:t>
      </w:r>
      <w:r w:rsidR="00EF441C" w:rsidRPr="008D7149">
        <w:rPr>
          <w:rFonts w:ascii="Times New Roman" w:hAnsi="Times New Roman" w:cs="Times New Roman"/>
          <w:b/>
          <w:bCs/>
          <w:sz w:val="24"/>
          <w:szCs w:val="24"/>
        </w:rPr>
        <w:t xml:space="preserve"> </w:t>
      </w:r>
      <w:r w:rsidR="00EF441C" w:rsidRPr="008D7149">
        <w:rPr>
          <w:rFonts w:ascii="Times New Roman" w:hAnsi="Times New Roman" w:cs="Times New Roman"/>
          <w:bCs/>
          <w:sz w:val="24"/>
          <w:szCs w:val="24"/>
        </w:rPr>
        <w:t xml:space="preserve">w życie ustawy </w:t>
      </w:r>
      <w:r w:rsidR="00E42861" w:rsidRPr="008D7149">
        <w:rPr>
          <w:rFonts w:ascii="Times New Roman" w:hAnsi="Times New Roman" w:cs="Times New Roman"/>
          <w:sz w:val="24"/>
          <w:szCs w:val="24"/>
        </w:rPr>
        <w:t>–</w:t>
      </w:r>
      <w:r w:rsidR="00A21898" w:rsidRPr="008D7149">
        <w:rPr>
          <w:rFonts w:ascii="Times New Roman" w:hAnsi="Times New Roman" w:cs="Times New Roman"/>
          <w:sz w:val="24"/>
          <w:szCs w:val="24"/>
        </w:rPr>
        <w:t xml:space="preserve"> </w:t>
      </w:r>
      <w:r w:rsidR="00FF570D">
        <w:rPr>
          <w:rFonts w:ascii="Times New Roman" w:hAnsi="Times New Roman" w:cs="Times New Roman"/>
          <w:bCs/>
          <w:sz w:val="24"/>
          <w:szCs w:val="24"/>
        </w:rPr>
        <w:t>z dniem 8 lipca 2022 </w:t>
      </w:r>
      <w:bookmarkStart w:id="9" w:name="_GoBack"/>
      <w:bookmarkEnd w:id="9"/>
      <w:r w:rsidR="00C51E30" w:rsidRPr="008D7149">
        <w:rPr>
          <w:rFonts w:ascii="Times New Roman" w:hAnsi="Times New Roman" w:cs="Times New Roman"/>
          <w:bCs/>
          <w:sz w:val="24"/>
          <w:szCs w:val="24"/>
        </w:rPr>
        <w:t>r.</w:t>
      </w:r>
      <w:r w:rsidR="008168F8" w:rsidRPr="008D7149">
        <w:rPr>
          <w:rFonts w:ascii="Times New Roman" w:hAnsi="Times New Roman" w:cs="Times New Roman"/>
          <w:bCs/>
          <w:sz w:val="24"/>
          <w:szCs w:val="24"/>
        </w:rPr>
        <w:t xml:space="preserve"> </w:t>
      </w:r>
      <w:r w:rsidR="008168F8" w:rsidRPr="008D7149">
        <w:rPr>
          <w:rFonts w:ascii="Times New Roman" w:hAnsi="Times New Roman" w:cs="Times New Roman"/>
          <w:sz w:val="24"/>
          <w:szCs w:val="24"/>
        </w:rPr>
        <w:t>z wyjątkiem</w:t>
      </w:r>
      <w:r w:rsidR="006402CF" w:rsidRPr="008D7149">
        <w:rPr>
          <w:rFonts w:ascii="Times New Roman" w:hAnsi="Times New Roman" w:cs="Times New Roman"/>
          <w:sz w:val="24"/>
          <w:szCs w:val="24"/>
        </w:rPr>
        <w:t xml:space="preserve"> przepisów, które wchodzą w życie</w:t>
      </w:r>
      <w:r w:rsidRPr="008D7149">
        <w:rPr>
          <w:rFonts w:ascii="Times New Roman" w:hAnsi="Times New Roman" w:cs="Times New Roman"/>
          <w:sz w:val="24"/>
          <w:szCs w:val="24"/>
        </w:rPr>
        <w:t xml:space="preserve"> z dniem następującym po dniu ogłoszenia,</w:t>
      </w:r>
      <w:r w:rsidR="006402CF" w:rsidRPr="008D7149">
        <w:rPr>
          <w:rFonts w:ascii="Times New Roman" w:hAnsi="Times New Roman" w:cs="Times New Roman"/>
          <w:sz w:val="24"/>
          <w:szCs w:val="24"/>
        </w:rPr>
        <w:t xml:space="preserve"> po upływie </w:t>
      </w:r>
      <w:r w:rsidR="00F92C25" w:rsidRPr="008D7149">
        <w:rPr>
          <w:rFonts w:ascii="Times New Roman" w:hAnsi="Times New Roman" w:cs="Times New Roman"/>
          <w:sz w:val="24"/>
          <w:szCs w:val="24"/>
        </w:rPr>
        <w:t xml:space="preserve">14 dni od dnia ogłoszenia </w:t>
      </w:r>
      <w:r w:rsidR="006402CF" w:rsidRPr="008D7149">
        <w:rPr>
          <w:rFonts w:ascii="Times New Roman" w:hAnsi="Times New Roman" w:cs="Times New Roman"/>
          <w:sz w:val="24"/>
          <w:szCs w:val="24"/>
        </w:rPr>
        <w:t xml:space="preserve">oraz </w:t>
      </w:r>
      <w:r w:rsidR="008168F8" w:rsidRPr="008D7149">
        <w:rPr>
          <w:rFonts w:ascii="Times New Roman" w:hAnsi="Times New Roman" w:cs="Times New Roman"/>
          <w:sz w:val="24"/>
          <w:szCs w:val="24"/>
        </w:rPr>
        <w:t>pierwszego dnia miesiąca następującego po miesiącu ogłoszenia.</w:t>
      </w:r>
      <w:r w:rsidR="002349B3" w:rsidRPr="008D7149">
        <w:rPr>
          <w:rFonts w:ascii="Times New Roman" w:hAnsi="Times New Roman" w:cs="Times New Roman"/>
          <w:bCs/>
          <w:sz w:val="24"/>
          <w:szCs w:val="24"/>
        </w:rPr>
        <w:t xml:space="preserve"> Termin </w:t>
      </w:r>
      <w:r w:rsidR="00F92C25" w:rsidRPr="008D7149">
        <w:rPr>
          <w:rFonts w:ascii="Times New Roman" w:hAnsi="Times New Roman" w:cs="Times New Roman"/>
          <w:bCs/>
          <w:sz w:val="24"/>
          <w:szCs w:val="24"/>
        </w:rPr>
        <w:t>8 lipca 2022 r.</w:t>
      </w:r>
      <w:r w:rsidR="002349B3" w:rsidRPr="008D7149">
        <w:rPr>
          <w:rFonts w:ascii="Times New Roman" w:hAnsi="Times New Roman" w:cs="Times New Roman"/>
          <w:bCs/>
          <w:sz w:val="24"/>
          <w:szCs w:val="24"/>
        </w:rPr>
        <w:t xml:space="preserve"> odpowiada terminowi, od którego państwa członkowskie, zgodnie z art. 32 ust. 1 zdanie drugie dyrektywy 2019/2162, stosują najpóźniej przepisy implementowanej dyrektywy.</w:t>
      </w:r>
      <w:r w:rsidR="008168F8" w:rsidRPr="008D7149">
        <w:rPr>
          <w:rFonts w:ascii="Times New Roman" w:hAnsi="Times New Roman" w:cs="Times New Roman"/>
          <w:bCs/>
          <w:sz w:val="24"/>
          <w:szCs w:val="24"/>
        </w:rPr>
        <w:t xml:space="preserve"> </w:t>
      </w:r>
      <w:r w:rsidR="002349B3" w:rsidRPr="008D7149">
        <w:rPr>
          <w:rFonts w:ascii="Times New Roman" w:hAnsi="Times New Roman" w:cs="Times New Roman"/>
          <w:bCs/>
          <w:sz w:val="24"/>
          <w:szCs w:val="24"/>
        </w:rPr>
        <w:t xml:space="preserve">Należy jednocześnie wskazać, że </w:t>
      </w:r>
      <w:r w:rsidR="002349B3" w:rsidRPr="008D7149">
        <w:rPr>
          <w:rFonts w:ascii="Times New Roman" w:eastAsia="Times New Roman" w:hAnsi="Times New Roman" w:cs="Times New Roman"/>
          <w:sz w:val="24"/>
          <w:szCs w:val="24"/>
          <w:lang w:eastAsia="pl-PL"/>
        </w:rPr>
        <w:t>rozporządzenie 2019/2160</w:t>
      </w:r>
      <w:r w:rsidR="002349B3" w:rsidRPr="008D7149">
        <w:rPr>
          <w:rFonts w:ascii="Times New Roman" w:eastAsia="Calibri" w:hAnsi="Times New Roman" w:cs="Times New Roman"/>
          <w:sz w:val="24"/>
          <w:szCs w:val="24"/>
        </w:rPr>
        <w:t xml:space="preserve">, stanowiące z dyrektywą 2019/2162 pakiet regulacyjny dotyczący obligacji zabezpieczonych, na podstawie art. 2 tego rozporządzenia, ma zastosowanie od dnia </w:t>
      </w:r>
      <w:r w:rsidR="002349B3" w:rsidRPr="008D7149">
        <w:rPr>
          <w:rFonts w:ascii="Times New Roman" w:hAnsi="Times New Roman" w:cs="Times New Roman"/>
          <w:bCs/>
          <w:sz w:val="24"/>
          <w:szCs w:val="24"/>
        </w:rPr>
        <w:t xml:space="preserve">8 lipca 2022 r. Od tej daty będą zatem stosowane wymogi przewidziane w </w:t>
      </w:r>
      <w:r w:rsidR="002349B3" w:rsidRPr="008D7149">
        <w:rPr>
          <w:rFonts w:ascii="Times New Roman" w:eastAsia="Times New Roman" w:hAnsi="Times New Roman" w:cs="Times New Roman"/>
          <w:sz w:val="24"/>
          <w:szCs w:val="24"/>
          <w:lang w:eastAsia="pl-PL"/>
        </w:rPr>
        <w:t xml:space="preserve">rozporządzeniu 2019/2160 </w:t>
      </w:r>
      <w:r w:rsidR="002349B3" w:rsidRPr="008D7149">
        <w:rPr>
          <w:rFonts w:ascii="Times New Roman" w:hAnsi="Times New Roman" w:cs="Times New Roman"/>
          <w:bCs/>
          <w:sz w:val="24"/>
          <w:szCs w:val="24"/>
        </w:rPr>
        <w:t xml:space="preserve">dotyczące obligacji zabezpieczonych dla celów ich preferencyjnego traktowania. </w:t>
      </w:r>
    </w:p>
    <w:p w14:paraId="6FEE24AE" w14:textId="77777777" w:rsidR="00EF441C" w:rsidRPr="008D7149" w:rsidRDefault="00C51E30"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Zawarte </w:t>
      </w:r>
      <w:r w:rsidR="00EF441C" w:rsidRPr="008D7149">
        <w:rPr>
          <w:rFonts w:ascii="Times New Roman" w:hAnsi="Times New Roman" w:cs="Times New Roman"/>
          <w:sz w:val="24"/>
          <w:szCs w:val="24"/>
        </w:rPr>
        <w:t>w projekcie regulacje nie stanowią przepisów technicznych w rozumieniu rozporządzenia Rady Ministrów z dnia 23 grudnia 2002 r. w sprawie sposobu funkcjonowania krajowego systemu notyfikacji norm i aktów prawnych (Dz. U. poz. 2039, z późn. zm.), dlatego też projekt ustawy nie podlega procedurze notyfikacji.</w:t>
      </w:r>
    </w:p>
    <w:p w14:paraId="51CED4C7" w14:textId="77777777" w:rsidR="00EF441C"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Projekt nie wymaga przedstawiania organom i instytucjom Unii Europejskiej w celu uzyskania opinii, dokonania powiadomienia, konsultacji albo uzgodnienia. W szczególności, zgodnie z art. 2 ust. 1 decyzji Rady 98/415/WE z dnia 29 czerwca 1998 r. w sprawie konsultacji Europejskiego Banku Centralnego udzielanych władzom krajowym w sprawie projektów przepisów prawnych (Dz. Urz. WE L 189 z 03.07.1998, str. 42), projekt ustawy nie podlega konsultacji z Europejskim Bankiem Centralnym. </w:t>
      </w:r>
    </w:p>
    <w:p w14:paraId="68987ECE" w14:textId="773CBFB7" w:rsidR="00341606"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 xml:space="preserve">Zgodnie z art. 5 ustawy z dnia 7 lipca 2005 r. o działalności lobbingowej w procesie stanowienia prawa </w:t>
      </w:r>
      <w:r w:rsidR="00D60D92">
        <w:rPr>
          <w:rFonts w:ascii="Times New Roman" w:hAnsi="Times New Roman" w:cs="Times New Roman"/>
          <w:sz w:val="24"/>
          <w:szCs w:val="24"/>
        </w:rPr>
        <w:t xml:space="preserve">(Dz. U. z 2017 r. poz. 248) </w:t>
      </w:r>
      <w:r w:rsidRPr="008D7149">
        <w:rPr>
          <w:rFonts w:ascii="Times New Roman" w:hAnsi="Times New Roman" w:cs="Times New Roman"/>
          <w:sz w:val="24"/>
          <w:szCs w:val="24"/>
        </w:rPr>
        <w:t xml:space="preserve">oraz § 52 uchwały </w:t>
      </w:r>
      <w:r w:rsidR="00FF570D">
        <w:rPr>
          <w:rFonts w:ascii="Times New Roman" w:hAnsi="Times New Roman" w:cs="Times New Roman"/>
          <w:sz w:val="24"/>
          <w:szCs w:val="24"/>
        </w:rPr>
        <w:t>nr 190 Rady Ministrów z dnia 29 </w:t>
      </w:r>
      <w:r w:rsidRPr="008D7149">
        <w:rPr>
          <w:rFonts w:ascii="Times New Roman" w:hAnsi="Times New Roman" w:cs="Times New Roman"/>
          <w:sz w:val="24"/>
          <w:szCs w:val="24"/>
        </w:rPr>
        <w:t>października 2013 r. – Regulamin pracy Rady Ministrów (M.</w:t>
      </w:r>
      <w:r w:rsidR="00FF570D">
        <w:rPr>
          <w:rFonts w:ascii="Times New Roman" w:hAnsi="Times New Roman" w:cs="Times New Roman"/>
          <w:sz w:val="24"/>
          <w:szCs w:val="24"/>
        </w:rPr>
        <w:t>P. z 2016 r. poz. 1006, z </w:t>
      </w:r>
      <w:proofErr w:type="spellStart"/>
      <w:r w:rsidR="00FF570D">
        <w:rPr>
          <w:rFonts w:ascii="Times New Roman" w:hAnsi="Times New Roman" w:cs="Times New Roman"/>
          <w:sz w:val="24"/>
          <w:szCs w:val="24"/>
        </w:rPr>
        <w:t>późn</w:t>
      </w:r>
      <w:proofErr w:type="spellEnd"/>
      <w:r w:rsidR="00FF570D">
        <w:rPr>
          <w:rFonts w:ascii="Times New Roman" w:hAnsi="Times New Roman" w:cs="Times New Roman"/>
          <w:sz w:val="24"/>
          <w:szCs w:val="24"/>
        </w:rPr>
        <w:t>. </w:t>
      </w:r>
      <w:r w:rsidRPr="008D7149">
        <w:rPr>
          <w:rFonts w:ascii="Times New Roman" w:hAnsi="Times New Roman" w:cs="Times New Roman"/>
          <w:sz w:val="24"/>
          <w:szCs w:val="24"/>
        </w:rPr>
        <w:t xml:space="preserve">zm.) projekt ustawy </w:t>
      </w:r>
      <w:r w:rsidR="00593E53" w:rsidRPr="008D7149">
        <w:rPr>
          <w:rFonts w:ascii="Times New Roman" w:hAnsi="Times New Roman" w:cs="Times New Roman"/>
          <w:sz w:val="24"/>
          <w:szCs w:val="24"/>
        </w:rPr>
        <w:t xml:space="preserve">został </w:t>
      </w:r>
      <w:r w:rsidRPr="008D7149">
        <w:rPr>
          <w:rFonts w:ascii="Times New Roman" w:hAnsi="Times New Roman" w:cs="Times New Roman"/>
          <w:sz w:val="24"/>
          <w:szCs w:val="24"/>
        </w:rPr>
        <w:t>udostępniony w Biuletynie Informacji Publicznej na stronie podmiotowej Rządowego Centrum Legislacji, w serwisie Rządowy Proces Legislacyjny.</w:t>
      </w:r>
      <w:r w:rsidR="00341606" w:rsidRPr="008D7149">
        <w:rPr>
          <w:rFonts w:ascii="Times New Roman" w:hAnsi="Times New Roman" w:cs="Times New Roman"/>
          <w:sz w:val="24"/>
          <w:szCs w:val="24"/>
        </w:rPr>
        <w:t xml:space="preserve"> Żaden podmiot nie zgłosił zainteresowania pracami nad projektem w trybie ww. ustawy.</w:t>
      </w:r>
    </w:p>
    <w:p w14:paraId="33A2A4C3" w14:textId="467F11B3" w:rsidR="00B818AA" w:rsidRPr="008D7149" w:rsidRDefault="00EF441C" w:rsidP="008D7149">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Zawarte w projekcie regulacje nie będą miały wpływu na działalność mikroprzedsiębiorców, małych i średnich przedsiębiorców, o których mowa w ustawie z dnia 6 marca 2018 r. – Prawo przedsiębiorców (Dz. U. z 20</w:t>
      </w:r>
      <w:r w:rsidR="005567FB" w:rsidRPr="008D7149">
        <w:rPr>
          <w:rFonts w:ascii="Times New Roman" w:hAnsi="Times New Roman" w:cs="Times New Roman"/>
          <w:sz w:val="24"/>
          <w:szCs w:val="24"/>
        </w:rPr>
        <w:t>21</w:t>
      </w:r>
      <w:r w:rsidRPr="008D7149">
        <w:rPr>
          <w:rFonts w:ascii="Times New Roman" w:hAnsi="Times New Roman" w:cs="Times New Roman"/>
          <w:sz w:val="24"/>
          <w:szCs w:val="24"/>
        </w:rPr>
        <w:t xml:space="preserve"> r. poz. </w:t>
      </w:r>
      <w:r w:rsidR="005567FB" w:rsidRPr="008D7149">
        <w:rPr>
          <w:rFonts w:ascii="Times New Roman" w:hAnsi="Times New Roman" w:cs="Times New Roman"/>
          <w:sz w:val="24"/>
          <w:szCs w:val="24"/>
        </w:rPr>
        <w:t>162</w:t>
      </w:r>
      <w:r w:rsidR="00767961" w:rsidRPr="008D7149">
        <w:rPr>
          <w:rFonts w:ascii="Times New Roman" w:hAnsi="Times New Roman" w:cs="Times New Roman"/>
          <w:sz w:val="24"/>
          <w:szCs w:val="24"/>
        </w:rPr>
        <w:t>, z późn. zm.</w:t>
      </w:r>
      <w:r w:rsidRPr="008D7149">
        <w:rPr>
          <w:rFonts w:ascii="Times New Roman" w:hAnsi="Times New Roman" w:cs="Times New Roman"/>
          <w:sz w:val="24"/>
          <w:szCs w:val="24"/>
        </w:rPr>
        <w:t xml:space="preserve">), </w:t>
      </w:r>
      <w:r w:rsidR="00FF570D">
        <w:rPr>
          <w:rFonts w:ascii="Times New Roman" w:hAnsi="Times New Roman" w:cs="Times New Roman"/>
          <w:sz w:val="24"/>
          <w:szCs w:val="24"/>
        </w:rPr>
        <w:t>z wyjątkiem wpływu wskazanego w </w:t>
      </w:r>
      <w:r w:rsidRPr="008D7149">
        <w:rPr>
          <w:rFonts w:ascii="Times New Roman" w:hAnsi="Times New Roman" w:cs="Times New Roman"/>
          <w:sz w:val="24"/>
          <w:szCs w:val="24"/>
        </w:rPr>
        <w:t xml:space="preserve">punkcie 7 Oceny Skutków Regulacji. </w:t>
      </w:r>
    </w:p>
    <w:p w14:paraId="43E715DA" w14:textId="516EA77A" w:rsidR="003E3F2F" w:rsidRPr="008D7149" w:rsidRDefault="00EF441C" w:rsidP="00D255DB">
      <w:pPr>
        <w:autoSpaceDE w:val="0"/>
        <w:autoSpaceDN w:val="0"/>
        <w:adjustRightInd w:val="0"/>
        <w:spacing w:before="120" w:after="0" w:line="360" w:lineRule="auto"/>
        <w:jc w:val="both"/>
        <w:rPr>
          <w:rFonts w:ascii="Times New Roman" w:hAnsi="Times New Roman" w:cs="Times New Roman"/>
          <w:sz w:val="24"/>
          <w:szCs w:val="24"/>
        </w:rPr>
      </w:pPr>
      <w:r w:rsidRPr="008D7149">
        <w:rPr>
          <w:rFonts w:ascii="Times New Roman" w:hAnsi="Times New Roman" w:cs="Times New Roman"/>
          <w:sz w:val="24"/>
          <w:szCs w:val="24"/>
        </w:rPr>
        <w:t>Projekt ustawy jest zgodny z prawem Unii Europejskiej</w:t>
      </w:r>
      <w:r w:rsidR="00B818AA" w:rsidRPr="008D7149">
        <w:rPr>
          <w:rFonts w:ascii="Times New Roman" w:hAnsi="Times New Roman" w:cs="Times New Roman"/>
          <w:sz w:val="24"/>
          <w:szCs w:val="24"/>
        </w:rPr>
        <w:t>.</w:t>
      </w:r>
    </w:p>
    <w:sectPr w:rsidR="003E3F2F" w:rsidRPr="008D7149" w:rsidSect="006F713C">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FA1C2" w14:textId="77777777" w:rsidR="00EB51C4" w:rsidRDefault="00EB51C4" w:rsidP="001B7AB8">
      <w:pPr>
        <w:spacing w:after="0" w:line="240" w:lineRule="auto"/>
      </w:pPr>
      <w:r>
        <w:separator/>
      </w:r>
    </w:p>
  </w:endnote>
  <w:endnote w:type="continuationSeparator" w:id="0">
    <w:p w14:paraId="40CAA90B" w14:textId="77777777" w:rsidR="00EB51C4" w:rsidRDefault="00EB51C4" w:rsidP="001B7AB8">
      <w:pPr>
        <w:spacing w:after="0" w:line="240" w:lineRule="auto"/>
      </w:pPr>
      <w:r>
        <w:continuationSeparator/>
      </w:r>
    </w:p>
  </w:endnote>
  <w:endnote w:type="continuationNotice" w:id="1">
    <w:p w14:paraId="2B14D894" w14:textId="77777777" w:rsidR="00EB51C4" w:rsidRDefault="00EB5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EUAlbertina">
    <w:altName w:val="Times New Roman"/>
    <w:panose1 w:val="00000000000000000000"/>
    <w:charset w:val="EE"/>
    <w:family w:val="auto"/>
    <w:notTrueType/>
    <w:pitch w:val="default"/>
    <w:sig w:usb0="00000005" w:usb1="00000000" w:usb2="00000000" w:usb3="00000000" w:csb0="00000002"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032592"/>
      <w:docPartObj>
        <w:docPartGallery w:val="Page Numbers (Bottom of Page)"/>
        <w:docPartUnique/>
      </w:docPartObj>
    </w:sdtPr>
    <w:sdtEndPr>
      <w:rPr>
        <w:rFonts w:ascii="Times New Roman" w:hAnsi="Times New Roman" w:cs="Times New Roman"/>
        <w:sz w:val="24"/>
        <w:szCs w:val="24"/>
      </w:rPr>
    </w:sdtEndPr>
    <w:sdtContent>
      <w:p w14:paraId="6CFE7BE1" w14:textId="76889909" w:rsidR="00433BEA" w:rsidRPr="008D7149" w:rsidRDefault="00433BEA" w:rsidP="008D7149">
        <w:pPr>
          <w:pStyle w:val="Stopka"/>
          <w:jc w:val="center"/>
          <w:rPr>
            <w:rFonts w:ascii="Times New Roman" w:hAnsi="Times New Roman" w:cs="Times New Roman"/>
            <w:sz w:val="24"/>
            <w:szCs w:val="24"/>
          </w:rPr>
        </w:pPr>
        <w:r w:rsidRPr="008D7149">
          <w:rPr>
            <w:rFonts w:ascii="Times New Roman" w:hAnsi="Times New Roman" w:cs="Times New Roman"/>
            <w:sz w:val="24"/>
            <w:szCs w:val="24"/>
          </w:rPr>
          <w:fldChar w:fldCharType="begin"/>
        </w:r>
        <w:r w:rsidRPr="008D7149">
          <w:rPr>
            <w:rFonts w:ascii="Times New Roman" w:hAnsi="Times New Roman" w:cs="Times New Roman"/>
            <w:sz w:val="24"/>
            <w:szCs w:val="24"/>
          </w:rPr>
          <w:instrText>PAGE   \* MERGEFORMAT</w:instrText>
        </w:r>
        <w:r w:rsidRPr="008D7149">
          <w:rPr>
            <w:rFonts w:ascii="Times New Roman" w:hAnsi="Times New Roman" w:cs="Times New Roman"/>
            <w:sz w:val="24"/>
            <w:szCs w:val="24"/>
          </w:rPr>
          <w:fldChar w:fldCharType="separate"/>
        </w:r>
        <w:r w:rsidR="00FF570D">
          <w:rPr>
            <w:rFonts w:ascii="Times New Roman" w:hAnsi="Times New Roman" w:cs="Times New Roman"/>
            <w:noProof/>
            <w:sz w:val="24"/>
            <w:szCs w:val="24"/>
          </w:rPr>
          <w:t>123</w:t>
        </w:r>
        <w:r w:rsidRPr="008D714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A3D42" w14:textId="77777777" w:rsidR="00EB51C4" w:rsidRDefault="00EB51C4" w:rsidP="001B7AB8">
      <w:pPr>
        <w:spacing w:after="0" w:line="240" w:lineRule="auto"/>
      </w:pPr>
      <w:r>
        <w:separator/>
      </w:r>
    </w:p>
  </w:footnote>
  <w:footnote w:type="continuationSeparator" w:id="0">
    <w:p w14:paraId="23557DA5" w14:textId="77777777" w:rsidR="00EB51C4" w:rsidRDefault="00EB51C4" w:rsidP="001B7AB8">
      <w:pPr>
        <w:spacing w:after="0" w:line="240" w:lineRule="auto"/>
      </w:pPr>
      <w:r>
        <w:continuationSeparator/>
      </w:r>
    </w:p>
  </w:footnote>
  <w:footnote w:type="continuationNotice" w:id="1">
    <w:p w14:paraId="289E46C1" w14:textId="77777777" w:rsidR="00EB51C4" w:rsidRDefault="00EB51C4">
      <w:pPr>
        <w:spacing w:after="0" w:line="240" w:lineRule="auto"/>
      </w:pPr>
    </w:p>
  </w:footnote>
  <w:footnote w:id="2">
    <w:p w14:paraId="4B29D765" w14:textId="13117918" w:rsidR="00433BEA" w:rsidRPr="008D7149" w:rsidRDefault="00433BEA" w:rsidP="008D7149">
      <w:pPr>
        <w:jc w:val="both"/>
        <w:rPr>
          <w:rFonts w:ascii="Times New Roman" w:hAnsi="Times New Roman" w:cs="Times New Roman"/>
          <w:bCs/>
          <w:lang w:val="en-GB"/>
        </w:rPr>
      </w:pPr>
      <w:r w:rsidRPr="00205778">
        <w:rPr>
          <w:rStyle w:val="Odwoanieprzypisudolnego"/>
          <w:rFonts w:ascii="Times New Roman" w:hAnsi="Times New Roman" w:cs="Times New Roman"/>
        </w:rPr>
        <w:footnoteRef/>
      </w:r>
      <w:r>
        <w:rPr>
          <w:rStyle w:val="tlid-translation"/>
          <w:rFonts w:ascii="Times New Roman" w:hAnsi="Times New Roman" w:cs="Times New Roman"/>
          <w:lang w:val="en-GB"/>
        </w:rPr>
        <w:t xml:space="preserve"> </w:t>
      </w:r>
      <w:r w:rsidRPr="00205778">
        <w:rPr>
          <w:rStyle w:val="tlid-translation"/>
          <w:rFonts w:ascii="Times New Roman" w:hAnsi="Times New Roman" w:cs="Times New Roman"/>
          <w:lang w:val="en-GB"/>
        </w:rPr>
        <w:t xml:space="preserve">European Banking Authority, </w:t>
      </w:r>
      <w:r w:rsidRPr="00205778">
        <w:rPr>
          <w:rStyle w:val="tlid-translation"/>
          <w:rFonts w:ascii="Times New Roman" w:hAnsi="Times New Roman" w:cs="Times New Roman"/>
          <w:i/>
          <w:lang w:val="en-GB"/>
        </w:rPr>
        <w:t>Report on covered bonds recommendations on harmonisation of covered bond framework in the EU</w:t>
      </w:r>
      <w:r>
        <w:rPr>
          <w:rStyle w:val="tlid-translation"/>
          <w:rFonts w:ascii="Times New Roman" w:hAnsi="Times New Roman" w:cs="Times New Roman"/>
          <w:lang w:val="en-GB"/>
        </w:rPr>
        <w:t>, 2016.</w:t>
      </w:r>
    </w:p>
  </w:footnote>
  <w:footnote w:id="3">
    <w:p w14:paraId="6EFD4EE8" w14:textId="4E11091F" w:rsidR="00433BEA" w:rsidRPr="008367A0" w:rsidRDefault="00433BEA" w:rsidP="00C20CC7">
      <w:pPr>
        <w:pStyle w:val="Tekstprzypisudolnego"/>
        <w:jc w:val="both"/>
        <w:rPr>
          <w:rFonts w:ascii="Times New Roman" w:hAnsi="Times New Roman" w:cs="Times New Roman"/>
          <w:lang w:val="en-GB"/>
        </w:rPr>
      </w:pPr>
      <w:r w:rsidRPr="00B77361">
        <w:rPr>
          <w:rStyle w:val="Odwoanieprzypisudolnego"/>
          <w:rFonts w:ascii="Times New Roman" w:hAnsi="Times New Roman" w:cs="Times New Roman"/>
        </w:rPr>
        <w:footnoteRef/>
      </w:r>
      <w:r>
        <w:rPr>
          <w:rFonts w:ascii="Times New Roman" w:hAnsi="Times New Roman" w:cs="Times New Roman"/>
          <w:lang w:val="en-GB"/>
        </w:rPr>
        <w:t xml:space="preserve"> </w:t>
      </w:r>
      <w:r w:rsidRPr="008367A0">
        <w:rPr>
          <w:rFonts w:ascii="Times New Roman" w:hAnsi="Times New Roman" w:cs="Times New Roman"/>
          <w:lang w:val="en-GB"/>
        </w:rPr>
        <w:t>https://www.bfg.pl/przymusowa-restrukturyzacja-banku-spoldzielczego-w-przemkowie-informacja-o-przyczynach-i-skutkach/</w:t>
      </w:r>
    </w:p>
  </w:footnote>
  <w:footnote w:id="4">
    <w:p w14:paraId="06C91E4F" w14:textId="77777777" w:rsidR="00433BEA" w:rsidRDefault="00433BEA" w:rsidP="00C20CC7">
      <w:pPr>
        <w:pStyle w:val="Tekstprzypisudolnego"/>
        <w:jc w:val="both"/>
      </w:pPr>
      <w:r w:rsidRPr="00B77361">
        <w:rPr>
          <w:rStyle w:val="Odwoanieprzypisudolnego"/>
          <w:rFonts w:ascii="Times New Roman" w:hAnsi="Times New Roman" w:cs="Times New Roman"/>
        </w:rPr>
        <w:footnoteRef/>
      </w:r>
      <w:r w:rsidRPr="00B77361">
        <w:rPr>
          <w:rFonts w:ascii="Times New Roman" w:hAnsi="Times New Roman" w:cs="Times New Roman"/>
        </w:rPr>
        <w:t xml:space="preserve"> Dyrektywy Parlamentu Europejskiego i Rady 2014/49/UE z dnia 16 kwietnia 2014 r. w sprawie systemów gwarancji depozytów (Dz. Urz. UE L 173 z 12.06.2014, str. 149, Dz. Urz. UE L 212 z 18.07.2014, str. 47 oraz Dz. Urz. UE L 309 z 30.10.2014, str. 37),</w:t>
      </w:r>
    </w:p>
  </w:footnote>
  <w:footnote w:id="5">
    <w:p w14:paraId="69C6D57E" w14:textId="77777777" w:rsidR="00433BEA" w:rsidRPr="00ED0201" w:rsidRDefault="00433BEA" w:rsidP="00695EEB">
      <w:pPr>
        <w:pStyle w:val="Tekstprzypisudolnego"/>
        <w:jc w:val="both"/>
        <w:rPr>
          <w:rFonts w:ascii="Times New Roman" w:hAnsi="Times New Roman" w:cs="Times New Roman"/>
        </w:rPr>
      </w:pPr>
      <w:r w:rsidRPr="00ED0201">
        <w:rPr>
          <w:rStyle w:val="Odwoanieprzypisudolnego"/>
          <w:rFonts w:ascii="Times New Roman" w:hAnsi="Times New Roman" w:cs="Times New Roman"/>
        </w:rPr>
        <w:footnoteRef/>
      </w:r>
      <w:r w:rsidRPr="00ED0201">
        <w:rPr>
          <w:rFonts w:ascii="Times New Roman" w:hAnsi="Times New Roman" w:cs="Times New Roman"/>
        </w:rPr>
        <w:t xml:space="preserve"> Dyrektywa Parlamentu Europejskiego i Rady 2019/879/UE z dnia 20 maja 2019 r. zmieniająca dyrektywę 2014/59/UE w odniesieniu do zdolności do pokrycia strat i dokapitalizowania instytucji kredytowych i firm inwestycyjnych oraz dyrektywę 98/26/WE2012 (Dz. Urz. UE L 150 z 07.06.2019, str. 296 oraz Dz. Urz. UE L 283 z 31.08.2020, str. 2), wdrożona ustawą z dnia 8 lipca 2021 r. o zmianie ustawy o Bankowym Funduszu Gwarancyjnym, systemie gwarantowania depozytów oraz przymusowej restrukturyzacji oraz niektórych innych ustaw (Dz.U. poz. 1598).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45A94"/>
    <w:multiLevelType w:val="hybridMultilevel"/>
    <w:tmpl w:val="77AC910C"/>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15:restartNumberingAfterBreak="0">
    <w:nsid w:val="09E3719C"/>
    <w:multiLevelType w:val="hybridMultilevel"/>
    <w:tmpl w:val="2592AEBC"/>
    <w:lvl w:ilvl="0" w:tplc="04150011">
      <w:start w:val="1"/>
      <w:numFmt w:val="decimal"/>
      <w:lvlText w:val="%1)"/>
      <w:lvlJc w:val="left"/>
      <w:pPr>
        <w:ind w:left="776" w:hanging="360"/>
      </w:pPr>
      <w:rPr>
        <w:rFonts w:hint="default"/>
      </w:rPr>
    </w:lvl>
    <w:lvl w:ilvl="1" w:tplc="04150003">
      <w:start w:val="1"/>
      <w:numFmt w:val="bullet"/>
      <w:lvlText w:val="o"/>
      <w:lvlJc w:val="left"/>
      <w:pPr>
        <w:ind w:left="1496" w:hanging="360"/>
      </w:pPr>
      <w:rPr>
        <w:rFonts w:ascii="Courier New" w:hAnsi="Courier New" w:cs="Courier New" w:hint="default"/>
      </w:rPr>
    </w:lvl>
    <w:lvl w:ilvl="2" w:tplc="04150005">
      <w:start w:val="1"/>
      <w:numFmt w:val="bullet"/>
      <w:lvlText w:val=""/>
      <w:lvlJc w:val="left"/>
      <w:pPr>
        <w:ind w:left="2216" w:hanging="360"/>
      </w:pPr>
      <w:rPr>
        <w:rFonts w:ascii="Wingdings" w:hAnsi="Wingdings" w:hint="default"/>
      </w:rPr>
    </w:lvl>
    <w:lvl w:ilvl="3" w:tplc="04150001">
      <w:start w:val="1"/>
      <w:numFmt w:val="bullet"/>
      <w:lvlText w:val=""/>
      <w:lvlJc w:val="left"/>
      <w:pPr>
        <w:ind w:left="2936" w:hanging="360"/>
      </w:pPr>
      <w:rPr>
        <w:rFonts w:ascii="Symbol" w:hAnsi="Symbol" w:hint="default"/>
      </w:rPr>
    </w:lvl>
    <w:lvl w:ilvl="4" w:tplc="04150003">
      <w:start w:val="1"/>
      <w:numFmt w:val="bullet"/>
      <w:lvlText w:val="o"/>
      <w:lvlJc w:val="left"/>
      <w:pPr>
        <w:ind w:left="3656" w:hanging="360"/>
      </w:pPr>
      <w:rPr>
        <w:rFonts w:ascii="Courier New" w:hAnsi="Courier New" w:cs="Courier New" w:hint="default"/>
      </w:rPr>
    </w:lvl>
    <w:lvl w:ilvl="5" w:tplc="04150005">
      <w:start w:val="1"/>
      <w:numFmt w:val="bullet"/>
      <w:lvlText w:val=""/>
      <w:lvlJc w:val="left"/>
      <w:pPr>
        <w:ind w:left="4376" w:hanging="360"/>
      </w:pPr>
      <w:rPr>
        <w:rFonts w:ascii="Wingdings" w:hAnsi="Wingdings" w:hint="default"/>
      </w:rPr>
    </w:lvl>
    <w:lvl w:ilvl="6" w:tplc="04150001">
      <w:start w:val="1"/>
      <w:numFmt w:val="bullet"/>
      <w:lvlText w:val=""/>
      <w:lvlJc w:val="left"/>
      <w:pPr>
        <w:ind w:left="5096" w:hanging="360"/>
      </w:pPr>
      <w:rPr>
        <w:rFonts w:ascii="Symbol" w:hAnsi="Symbol" w:hint="default"/>
      </w:rPr>
    </w:lvl>
    <w:lvl w:ilvl="7" w:tplc="04150003">
      <w:start w:val="1"/>
      <w:numFmt w:val="bullet"/>
      <w:lvlText w:val="o"/>
      <w:lvlJc w:val="left"/>
      <w:pPr>
        <w:ind w:left="5816" w:hanging="360"/>
      </w:pPr>
      <w:rPr>
        <w:rFonts w:ascii="Courier New" w:hAnsi="Courier New" w:cs="Courier New" w:hint="default"/>
      </w:rPr>
    </w:lvl>
    <w:lvl w:ilvl="8" w:tplc="04150005">
      <w:start w:val="1"/>
      <w:numFmt w:val="bullet"/>
      <w:lvlText w:val=""/>
      <w:lvlJc w:val="left"/>
      <w:pPr>
        <w:ind w:left="6536" w:hanging="360"/>
      </w:pPr>
      <w:rPr>
        <w:rFonts w:ascii="Wingdings" w:hAnsi="Wingdings" w:hint="default"/>
      </w:rPr>
    </w:lvl>
  </w:abstractNum>
  <w:abstractNum w:abstractNumId="2" w15:restartNumberingAfterBreak="0">
    <w:nsid w:val="0BF6179C"/>
    <w:multiLevelType w:val="hybridMultilevel"/>
    <w:tmpl w:val="504862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E079A5"/>
    <w:multiLevelType w:val="hybridMultilevel"/>
    <w:tmpl w:val="6E1EE0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845432"/>
    <w:multiLevelType w:val="hybridMultilevel"/>
    <w:tmpl w:val="E9AC2E12"/>
    <w:lvl w:ilvl="0" w:tplc="0415000F">
      <w:start w:val="1"/>
      <w:numFmt w:val="decimal"/>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C244093"/>
    <w:multiLevelType w:val="hybridMultilevel"/>
    <w:tmpl w:val="F4F05B34"/>
    <w:lvl w:ilvl="0" w:tplc="DA9E71FE">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2067989"/>
    <w:multiLevelType w:val="hybridMultilevel"/>
    <w:tmpl w:val="84FACAD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B63644"/>
    <w:multiLevelType w:val="hybridMultilevel"/>
    <w:tmpl w:val="95D6BA9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B33778B"/>
    <w:multiLevelType w:val="hybridMultilevel"/>
    <w:tmpl w:val="619CFF38"/>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2C34721E"/>
    <w:multiLevelType w:val="hybridMultilevel"/>
    <w:tmpl w:val="95EC07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6C768E"/>
    <w:multiLevelType w:val="hybridMultilevel"/>
    <w:tmpl w:val="53741C70"/>
    <w:lvl w:ilvl="0" w:tplc="5AA6E70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D4A26A7"/>
    <w:multiLevelType w:val="hybridMultilevel"/>
    <w:tmpl w:val="58D08A9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4001B4C"/>
    <w:multiLevelType w:val="hybridMultilevel"/>
    <w:tmpl w:val="E28E07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6E2FD5"/>
    <w:multiLevelType w:val="hybridMultilevel"/>
    <w:tmpl w:val="AF2CDE70"/>
    <w:lvl w:ilvl="0" w:tplc="CC44C33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4B0807"/>
    <w:multiLevelType w:val="hybridMultilevel"/>
    <w:tmpl w:val="5C72F468"/>
    <w:lvl w:ilvl="0" w:tplc="EB3AD6CE">
      <w:start w:val="1"/>
      <w:numFmt w:val="lowerRoman"/>
      <w:lvlText w:val="%1)"/>
      <w:lvlJc w:val="left"/>
      <w:pPr>
        <w:ind w:left="780" w:hanging="72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5" w15:restartNumberingAfterBreak="0">
    <w:nsid w:val="378D4805"/>
    <w:multiLevelType w:val="hybridMultilevel"/>
    <w:tmpl w:val="5638F9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3C32B6"/>
    <w:multiLevelType w:val="hybridMultilevel"/>
    <w:tmpl w:val="FCC016F6"/>
    <w:lvl w:ilvl="0" w:tplc="5F0A6D2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153D55"/>
    <w:multiLevelType w:val="hybridMultilevel"/>
    <w:tmpl w:val="3162D12A"/>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44314717"/>
    <w:multiLevelType w:val="hybridMultilevel"/>
    <w:tmpl w:val="E2EC3B78"/>
    <w:lvl w:ilvl="0" w:tplc="A4FE1B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B437BCF"/>
    <w:multiLevelType w:val="hybridMultilevel"/>
    <w:tmpl w:val="5906AC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9D0487"/>
    <w:multiLevelType w:val="hybridMultilevel"/>
    <w:tmpl w:val="C562E8FE"/>
    <w:lvl w:ilvl="0" w:tplc="0415000F">
      <w:start w:val="1"/>
      <w:numFmt w:val="decimal"/>
      <w:lvlText w:val="%1."/>
      <w:lvlJc w:val="left"/>
      <w:pPr>
        <w:ind w:left="720" w:hanging="360"/>
      </w:pPr>
      <w:rPr>
        <w:rFonts w:hint="default"/>
      </w:rPr>
    </w:lvl>
    <w:lvl w:ilvl="1" w:tplc="D48C9A82">
      <w:start w:val="1"/>
      <w:numFmt w:val="decimal"/>
      <w:lvlText w:val="%2)"/>
      <w:lvlJc w:val="left"/>
      <w:pPr>
        <w:ind w:left="1440" w:hanging="360"/>
      </w:pPr>
      <w:rPr>
        <w:rFonts w:ascii="Times New Roman" w:eastAsiaTheme="minorHAnsi" w:hAnsi="Times New Roman" w:cs="Times New Roman" w:hint="default"/>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3950CC"/>
    <w:multiLevelType w:val="hybridMultilevel"/>
    <w:tmpl w:val="2300216E"/>
    <w:lvl w:ilvl="0" w:tplc="DB0E5D44">
      <w:start w:val="1"/>
      <w:numFmt w:val="lowerLetter"/>
      <w:lvlText w:val="%1)"/>
      <w:lvlJc w:val="left"/>
      <w:pPr>
        <w:ind w:left="1851" w:hanging="360"/>
      </w:pPr>
      <w:rPr>
        <w:rFonts w:ascii="Calibri" w:eastAsia="Calibri" w:hAnsi="Calibri" w:cs="Times New Roman"/>
      </w:rPr>
    </w:lvl>
    <w:lvl w:ilvl="1" w:tplc="04150003">
      <w:start w:val="1"/>
      <w:numFmt w:val="bullet"/>
      <w:lvlText w:val="o"/>
      <w:lvlJc w:val="left"/>
      <w:pPr>
        <w:ind w:left="2571" w:hanging="360"/>
      </w:pPr>
      <w:rPr>
        <w:rFonts w:ascii="Courier New" w:hAnsi="Courier New" w:cs="Courier New" w:hint="default"/>
      </w:rPr>
    </w:lvl>
    <w:lvl w:ilvl="2" w:tplc="04150005">
      <w:start w:val="1"/>
      <w:numFmt w:val="bullet"/>
      <w:lvlText w:val=""/>
      <w:lvlJc w:val="left"/>
      <w:pPr>
        <w:ind w:left="3291" w:hanging="360"/>
      </w:pPr>
      <w:rPr>
        <w:rFonts w:ascii="Wingdings" w:hAnsi="Wingdings" w:hint="default"/>
      </w:rPr>
    </w:lvl>
    <w:lvl w:ilvl="3" w:tplc="04150001">
      <w:start w:val="1"/>
      <w:numFmt w:val="bullet"/>
      <w:lvlText w:val=""/>
      <w:lvlJc w:val="left"/>
      <w:pPr>
        <w:ind w:left="4011" w:hanging="360"/>
      </w:pPr>
      <w:rPr>
        <w:rFonts w:ascii="Symbol" w:hAnsi="Symbol" w:hint="default"/>
      </w:rPr>
    </w:lvl>
    <w:lvl w:ilvl="4" w:tplc="04150003">
      <w:start w:val="1"/>
      <w:numFmt w:val="bullet"/>
      <w:lvlText w:val="o"/>
      <w:lvlJc w:val="left"/>
      <w:pPr>
        <w:ind w:left="4731" w:hanging="360"/>
      </w:pPr>
      <w:rPr>
        <w:rFonts w:ascii="Courier New" w:hAnsi="Courier New" w:cs="Courier New" w:hint="default"/>
      </w:rPr>
    </w:lvl>
    <w:lvl w:ilvl="5" w:tplc="04150005">
      <w:start w:val="1"/>
      <w:numFmt w:val="bullet"/>
      <w:lvlText w:val=""/>
      <w:lvlJc w:val="left"/>
      <w:pPr>
        <w:ind w:left="5451" w:hanging="360"/>
      </w:pPr>
      <w:rPr>
        <w:rFonts w:ascii="Wingdings" w:hAnsi="Wingdings" w:hint="default"/>
      </w:rPr>
    </w:lvl>
    <w:lvl w:ilvl="6" w:tplc="04150001">
      <w:start w:val="1"/>
      <w:numFmt w:val="bullet"/>
      <w:lvlText w:val=""/>
      <w:lvlJc w:val="left"/>
      <w:pPr>
        <w:ind w:left="6171" w:hanging="360"/>
      </w:pPr>
      <w:rPr>
        <w:rFonts w:ascii="Symbol" w:hAnsi="Symbol" w:hint="default"/>
      </w:rPr>
    </w:lvl>
    <w:lvl w:ilvl="7" w:tplc="04150003">
      <w:start w:val="1"/>
      <w:numFmt w:val="bullet"/>
      <w:lvlText w:val="o"/>
      <w:lvlJc w:val="left"/>
      <w:pPr>
        <w:ind w:left="6891" w:hanging="360"/>
      </w:pPr>
      <w:rPr>
        <w:rFonts w:ascii="Courier New" w:hAnsi="Courier New" w:cs="Courier New" w:hint="default"/>
      </w:rPr>
    </w:lvl>
    <w:lvl w:ilvl="8" w:tplc="04150005">
      <w:start w:val="1"/>
      <w:numFmt w:val="bullet"/>
      <w:lvlText w:val=""/>
      <w:lvlJc w:val="left"/>
      <w:pPr>
        <w:ind w:left="7611" w:hanging="360"/>
      </w:pPr>
      <w:rPr>
        <w:rFonts w:ascii="Wingdings" w:hAnsi="Wingdings" w:hint="default"/>
      </w:rPr>
    </w:lvl>
  </w:abstractNum>
  <w:abstractNum w:abstractNumId="22" w15:restartNumberingAfterBreak="0">
    <w:nsid w:val="57B452D6"/>
    <w:multiLevelType w:val="hybridMultilevel"/>
    <w:tmpl w:val="2556DFE2"/>
    <w:lvl w:ilvl="0" w:tplc="04150001">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23" w15:restartNumberingAfterBreak="0">
    <w:nsid w:val="5AD14C16"/>
    <w:multiLevelType w:val="hybridMultilevel"/>
    <w:tmpl w:val="52608406"/>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5C1613A6"/>
    <w:multiLevelType w:val="hybridMultilevel"/>
    <w:tmpl w:val="436039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22919B6"/>
    <w:multiLevelType w:val="hybridMultilevel"/>
    <w:tmpl w:val="9C1419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2F76A0"/>
    <w:multiLevelType w:val="hybridMultilevel"/>
    <w:tmpl w:val="6BE820E6"/>
    <w:lvl w:ilvl="0" w:tplc="40BE11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98272CC"/>
    <w:multiLevelType w:val="hybridMultilevel"/>
    <w:tmpl w:val="684EF8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3ED1492"/>
    <w:multiLevelType w:val="hybridMultilevel"/>
    <w:tmpl w:val="8FF082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5"/>
  </w:num>
  <w:num w:numId="3">
    <w:abstractNumId w:val="18"/>
  </w:num>
  <w:num w:numId="4">
    <w:abstractNumId w:val="25"/>
    <w:lvlOverride w:ilvl="0">
      <w:startOverride w:val="1"/>
    </w:lvlOverride>
  </w:num>
  <w:num w:numId="5">
    <w:abstractNumId w:val="20"/>
  </w:num>
  <w:num w:numId="6">
    <w:abstractNumId w:val="3"/>
  </w:num>
  <w:num w:numId="7">
    <w:abstractNumId w:val="13"/>
  </w:num>
  <w:num w:numId="8">
    <w:abstractNumId w:val="26"/>
  </w:num>
  <w:num w:numId="9">
    <w:abstractNumId w:val="2"/>
  </w:num>
  <w:num w:numId="10">
    <w:abstractNumId w:val="12"/>
  </w:num>
  <w:num w:numId="11">
    <w:abstractNumId w:val="28"/>
  </w:num>
  <w:num w:numId="12">
    <w:abstractNumId w:val="27"/>
  </w:num>
  <w:num w:numId="13">
    <w:abstractNumId w:val="15"/>
  </w:num>
  <w:num w:numId="14">
    <w:abstractNumId w:val="16"/>
  </w:num>
  <w:num w:numId="15">
    <w:abstractNumId w:val="22"/>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lvlOverride w:ilvl="2"/>
    <w:lvlOverride w:ilvl="3"/>
    <w:lvlOverride w:ilvl="4"/>
    <w:lvlOverride w:ilvl="5"/>
    <w:lvlOverride w:ilvl="6"/>
    <w:lvlOverride w:ilvl="7"/>
    <w:lvlOverride w:ilvl="8"/>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3"/>
  </w:num>
  <w:num w:numId="23">
    <w:abstractNumId w:val="7"/>
  </w:num>
  <w:num w:numId="24">
    <w:abstractNumId w:val="29"/>
  </w:num>
  <w:num w:numId="25">
    <w:abstractNumId w:val="0"/>
  </w:num>
  <w:num w:numId="26">
    <w:abstractNumId w:val="14"/>
  </w:num>
  <w:num w:numId="27">
    <w:abstractNumId w:val="6"/>
  </w:num>
  <w:num w:numId="28">
    <w:abstractNumId w:val="17"/>
  </w:num>
  <w:num w:numId="29">
    <w:abstractNumId w:val="10"/>
  </w:num>
  <w:num w:numId="30">
    <w:abstractNumId w:val="9"/>
  </w:num>
  <w:num w:numId="31">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E7F"/>
    <w:rsid w:val="00000A69"/>
    <w:rsid w:val="0000129A"/>
    <w:rsid w:val="00001313"/>
    <w:rsid w:val="00001707"/>
    <w:rsid w:val="00002634"/>
    <w:rsid w:val="00002793"/>
    <w:rsid w:val="00002A5C"/>
    <w:rsid w:val="0000329D"/>
    <w:rsid w:val="00004438"/>
    <w:rsid w:val="00005C96"/>
    <w:rsid w:val="000110B3"/>
    <w:rsid w:val="00013D4A"/>
    <w:rsid w:val="000148B8"/>
    <w:rsid w:val="00014901"/>
    <w:rsid w:val="00014F32"/>
    <w:rsid w:val="00016EF3"/>
    <w:rsid w:val="00017158"/>
    <w:rsid w:val="000202EA"/>
    <w:rsid w:val="00020927"/>
    <w:rsid w:val="00021653"/>
    <w:rsid w:val="00022116"/>
    <w:rsid w:val="00022A97"/>
    <w:rsid w:val="00022BC1"/>
    <w:rsid w:val="00024084"/>
    <w:rsid w:val="0002454C"/>
    <w:rsid w:val="00024904"/>
    <w:rsid w:val="00025E36"/>
    <w:rsid w:val="00025ED6"/>
    <w:rsid w:val="00026232"/>
    <w:rsid w:val="00027757"/>
    <w:rsid w:val="00031438"/>
    <w:rsid w:val="00031FB2"/>
    <w:rsid w:val="000334E6"/>
    <w:rsid w:val="000339AB"/>
    <w:rsid w:val="00035BF8"/>
    <w:rsid w:val="00035DDE"/>
    <w:rsid w:val="00037108"/>
    <w:rsid w:val="00037BB7"/>
    <w:rsid w:val="00037BCB"/>
    <w:rsid w:val="00040803"/>
    <w:rsid w:val="00041CB0"/>
    <w:rsid w:val="00041F4A"/>
    <w:rsid w:val="00042E96"/>
    <w:rsid w:val="00042EE6"/>
    <w:rsid w:val="00043644"/>
    <w:rsid w:val="000439AA"/>
    <w:rsid w:val="00043D50"/>
    <w:rsid w:val="00050270"/>
    <w:rsid w:val="000503C5"/>
    <w:rsid w:val="00050D79"/>
    <w:rsid w:val="0005126B"/>
    <w:rsid w:val="000518EA"/>
    <w:rsid w:val="00051F34"/>
    <w:rsid w:val="000534BE"/>
    <w:rsid w:val="00053EFC"/>
    <w:rsid w:val="00055101"/>
    <w:rsid w:val="0005594E"/>
    <w:rsid w:val="00056569"/>
    <w:rsid w:val="00060A08"/>
    <w:rsid w:val="000623E6"/>
    <w:rsid w:val="0006275F"/>
    <w:rsid w:val="00066C3B"/>
    <w:rsid w:val="000717F5"/>
    <w:rsid w:val="000763CB"/>
    <w:rsid w:val="0007659D"/>
    <w:rsid w:val="00077E91"/>
    <w:rsid w:val="00080696"/>
    <w:rsid w:val="00080C43"/>
    <w:rsid w:val="0008118B"/>
    <w:rsid w:val="000826F0"/>
    <w:rsid w:val="0008347C"/>
    <w:rsid w:val="0008485C"/>
    <w:rsid w:val="0008625F"/>
    <w:rsid w:val="0008642F"/>
    <w:rsid w:val="0008654B"/>
    <w:rsid w:val="000866C0"/>
    <w:rsid w:val="0009048E"/>
    <w:rsid w:val="00090999"/>
    <w:rsid w:val="00092088"/>
    <w:rsid w:val="00092ADC"/>
    <w:rsid w:val="00093DE6"/>
    <w:rsid w:val="00095A02"/>
    <w:rsid w:val="00095ACE"/>
    <w:rsid w:val="00096B2A"/>
    <w:rsid w:val="00097878"/>
    <w:rsid w:val="000A0FCA"/>
    <w:rsid w:val="000A1CEE"/>
    <w:rsid w:val="000A1F0B"/>
    <w:rsid w:val="000A20EA"/>
    <w:rsid w:val="000A2725"/>
    <w:rsid w:val="000A307E"/>
    <w:rsid w:val="000A322C"/>
    <w:rsid w:val="000A3251"/>
    <w:rsid w:val="000A3B59"/>
    <w:rsid w:val="000A4557"/>
    <w:rsid w:val="000A7CC4"/>
    <w:rsid w:val="000B16D5"/>
    <w:rsid w:val="000B616C"/>
    <w:rsid w:val="000B61C3"/>
    <w:rsid w:val="000B61F3"/>
    <w:rsid w:val="000B62FB"/>
    <w:rsid w:val="000B6E8E"/>
    <w:rsid w:val="000B79AD"/>
    <w:rsid w:val="000B7DCD"/>
    <w:rsid w:val="000B7F25"/>
    <w:rsid w:val="000C0608"/>
    <w:rsid w:val="000C0E75"/>
    <w:rsid w:val="000C1329"/>
    <w:rsid w:val="000C258C"/>
    <w:rsid w:val="000C2F13"/>
    <w:rsid w:val="000C3F31"/>
    <w:rsid w:val="000C5FCF"/>
    <w:rsid w:val="000C6EF3"/>
    <w:rsid w:val="000C7BE8"/>
    <w:rsid w:val="000D0B24"/>
    <w:rsid w:val="000D2B7F"/>
    <w:rsid w:val="000D3498"/>
    <w:rsid w:val="000D4A7E"/>
    <w:rsid w:val="000D4F47"/>
    <w:rsid w:val="000E1D1E"/>
    <w:rsid w:val="000E43A0"/>
    <w:rsid w:val="000F0173"/>
    <w:rsid w:val="000F0D29"/>
    <w:rsid w:val="000F2561"/>
    <w:rsid w:val="000F28CC"/>
    <w:rsid w:val="000F36E4"/>
    <w:rsid w:val="000F3799"/>
    <w:rsid w:val="000F4173"/>
    <w:rsid w:val="000F4354"/>
    <w:rsid w:val="000F55F2"/>
    <w:rsid w:val="000F5DD6"/>
    <w:rsid w:val="000F6045"/>
    <w:rsid w:val="000F6E1A"/>
    <w:rsid w:val="000F7489"/>
    <w:rsid w:val="000F766E"/>
    <w:rsid w:val="000F7952"/>
    <w:rsid w:val="000F7A50"/>
    <w:rsid w:val="001010AB"/>
    <w:rsid w:val="00102E8A"/>
    <w:rsid w:val="001049BE"/>
    <w:rsid w:val="0010535E"/>
    <w:rsid w:val="001061A7"/>
    <w:rsid w:val="001126E2"/>
    <w:rsid w:val="0011279D"/>
    <w:rsid w:val="00112A88"/>
    <w:rsid w:val="00112CAE"/>
    <w:rsid w:val="001140F6"/>
    <w:rsid w:val="00114B8D"/>
    <w:rsid w:val="00115551"/>
    <w:rsid w:val="00116D1C"/>
    <w:rsid w:val="00120171"/>
    <w:rsid w:val="00121CE2"/>
    <w:rsid w:val="00122B9E"/>
    <w:rsid w:val="00123BE2"/>
    <w:rsid w:val="001255B0"/>
    <w:rsid w:val="0012565F"/>
    <w:rsid w:val="00127306"/>
    <w:rsid w:val="001319F0"/>
    <w:rsid w:val="00132A56"/>
    <w:rsid w:val="00133211"/>
    <w:rsid w:val="00133DB2"/>
    <w:rsid w:val="00135249"/>
    <w:rsid w:val="001372F9"/>
    <w:rsid w:val="0013735B"/>
    <w:rsid w:val="001374BC"/>
    <w:rsid w:val="001374C9"/>
    <w:rsid w:val="0013773E"/>
    <w:rsid w:val="00137AA1"/>
    <w:rsid w:val="00137B5A"/>
    <w:rsid w:val="0014016B"/>
    <w:rsid w:val="00140E61"/>
    <w:rsid w:val="00143198"/>
    <w:rsid w:val="0014344E"/>
    <w:rsid w:val="001446F6"/>
    <w:rsid w:val="00145C3B"/>
    <w:rsid w:val="00146F9A"/>
    <w:rsid w:val="00147382"/>
    <w:rsid w:val="001508BF"/>
    <w:rsid w:val="00150CFB"/>
    <w:rsid w:val="001522CA"/>
    <w:rsid w:val="0015387F"/>
    <w:rsid w:val="001545F1"/>
    <w:rsid w:val="0015567F"/>
    <w:rsid w:val="00155958"/>
    <w:rsid w:val="00155ED6"/>
    <w:rsid w:val="00156185"/>
    <w:rsid w:val="00156AD0"/>
    <w:rsid w:val="00157947"/>
    <w:rsid w:val="00157C95"/>
    <w:rsid w:val="00160434"/>
    <w:rsid w:val="0016140B"/>
    <w:rsid w:val="001625AB"/>
    <w:rsid w:val="00163EF9"/>
    <w:rsid w:val="001640B0"/>
    <w:rsid w:val="00164B46"/>
    <w:rsid w:val="001669DD"/>
    <w:rsid w:val="00170098"/>
    <w:rsid w:val="00171154"/>
    <w:rsid w:val="00171899"/>
    <w:rsid w:val="00172710"/>
    <w:rsid w:val="0017278E"/>
    <w:rsid w:val="001752FC"/>
    <w:rsid w:val="001759C5"/>
    <w:rsid w:val="0017774D"/>
    <w:rsid w:val="001806B7"/>
    <w:rsid w:val="00181233"/>
    <w:rsid w:val="001819CD"/>
    <w:rsid w:val="001819DE"/>
    <w:rsid w:val="00181BE7"/>
    <w:rsid w:val="0018298A"/>
    <w:rsid w:val="0018368C"/>
    <w:rsid w:val="00185D7E"/>
    <w:rsid w:val="0018666F"/>
    <w:rsid w:val="00186ACB"/>
    <w:rsid w:val="00190514"/>
    <w:rsid w:val="00190F3F"/>
    <w:rsid w:val="00191174"/>
    <w:rsid w:val="00192000"/>
    <w:rsid w:val="00192A24"/>
    <w:rsid w:val="00192C38"/>
    <w:rsid w:val="00193261"/>
    <w:rsid w:val="001935BB"/>
    <w:rsid w:val="001955F6"/>
    <w:rsid w:val="00195FE4"/>
    <w:rsid w:val="001976A7"/>
    <w:rsid w:val="001A0FAA"/>
    <w:rsid w:val="001A1D44"/>
    <w:rsid w:val="001A1E76"/>
    <w:rsid w:val="001A2238"/>
    <w:rsid w:val="001A2F5E"/>
    <w:rsid w:val="001A46CD"/>
    <w:rsid w:val="001A4B97"/>
    <w:rsid w:val="001A685B"/>
    <w:rsid w:val="001A6FA8"/>
    <w:rsid w:val="001B169B"/>
    <w:rsid w:val="001B27B3"/>
    <w:rsid w:val="001B386A"/>
    <w:rsid w:val="001B4A31"/>
    <w:rsid w:val="001B4BC8"/>
    <w:rsid w:val="001B4D98"/>
    <w:rsid w:val="001B537B"/>
    <w:rsid w:val="001B59F7"/>
    <w:rsid w:val="001B5EFC"/>
    <w:rsid w:val="001B7AB8"/>
    <w:rsid w:val="001B7CF3"/>
    <w:rsid w:val="001C0255"/>
    <w:rsid w:val="001C1EEF"/>
    <w:rsid w:val="001C60DB"/>
    <w:rsid w:val="001C6C21"/>
    <w:rsid w:val="001C6DBD"/>
    <w:rsid w:val="001C70F6"/>
    <w:rsid w:val="001D13AC"/>
    <w:rsid w:val="001D311A"/>
    <w:rsid w:val="001D3B42"/>
    <w:rsid w:val="001D5A28"/>
    <w:rsid w:val="001D5ADE"/>
    <w:rsid w:val="001D5C4A"/>
    <w:rsid w:val="001D6F0B"/>
    <w:rsid w:val="001D7AD4"/>
    <w:rsid w:val="001D7F47"/>
    <w:rsid w:val="001E0C2B"/>
    <w:rsid w:val="001E2550"/>
    <w:rsid w:val="001E26BD"/>
    <w:rsid w:val="001E3AB4"/>
    <w:rsid w:val="001E3B56"/>
    <w:rsid w:val="001E3C9B"/>
    <w:rsid w:val="001E4013"/>
    <w:rsid w:val="001E428C"/>
    <w:rsid w:val="001E4631"/>
    <w:rsid w:val="001E4B68"/>
    <w:rsid w:val="001E5205"/>
    <w:rsid w:val="001E5473"/>
    <w:rsid w:val="001E70D2"/>
    <w:rsid w:val="001E7E22"/>
    <w:rsid w:val="001F0A32"/>
    <w:rsid w:val="001F1269"/>
    <w:rsid w:val="001F19B7"/>
    <w:rsid w:val="001F2411"/>
    <w:rsid w:val="001F3DC0"/>
    <w:rsid w:val="001F4416"/>
    <w:rsid w:val="001F5CE9"/>
    <w:rsid w:val="002013E5"/>
    <w:rsid w:val="00202A71"/>
    <w:rsid w:val="0020506D"/>
    <w:rsid w:val="002050F8"/>
    <w:rsid w:val="002055EA"/>
    <w:rsid w:val="00205778"/>
    <w:rsid w:val="0020694E"/>
    <w:rsid w:val="00207A9C"/>
    <w:rsid w:val="00207DC0"/>
    <w:rsid w:val="00212195"/>
    <w:rsid w:val="00212505"/>
    <w:rsid w:val="00214908"/>
    <w:rsid w:val="00214D1D"/>
    <w:rsid w:val="0021512B"/>
    <w:rsid w:val="0021682D"/>
    <w:rsid w:val="00216AD4"/>
    <w:rsid w:val="00217948"/>
    <w:rsid w:val="00217E39"/>
    <w:rsid w:val="00220666"/>
    <w:rsid w:val="00220788"/>
    <w:rsid w:val="00223CC2"/>
    <w:rsid w:val="00224287"/>
    <w:rsid w:val="002258A2"/>
    <w:rsid w:val="00226563"/>
    <w:rsid w:val="00227AA6"/>
    <w:rsid w:val="00227B35"/>
    <w:rsid w:val="00230B93"/>
    <w:rsid w:val="002329D0"/>
    <w:rsid w:val="00232CB8"/>
    <w:rsid w:val="002347FC"/>
    <w:rsid w:val="002349B3"/>
    <w:rsid w:val="00240CB8"/>
    <w:rsid w:val="0024209B"/>
    <w:rsid w:val="00242268"/>
    <w:rsid w:val="002425A5"/>
    <w:rsid w:val="0024275D"/>
    <w:rsid w:val="00244B99"/>
    <w:rsid w:val="00247F02"/>
    <w:rsid w:val="00250583"/>
    <w:rsid w:val="00251AD6"/>
    <w:rsid w:val="00255348"/>
    <w:rsid w:val="00255423"/>
    <w:rsid w:val="00255B93"/>
    <w:rsid w:val="00256466"/>
    <w:rsid w:val="002565E0"/>
    <w:rsid w:val="00256996"/>
    <w:rsid w:val="00257259"/>
    <w:rsid w:val="00257BBD"/>
    <w:rsid w:val="00260B78"/>
    <w:rsid w:val="0026311A"/>
    <w:rsid w:val="002633AE"/>
    <w:rsid w:val="00263916"/>
    <w:rsid w:val="00264DA0"/>
    <w:rsid w:val="00264FE8"/>
    <w:rsid w:val="00265399"/>
    <w:rsid w:val="00266D90"/>
    <w:rsid w:val="00267D8D"/>
    <w:rsid w:val="00270559"/>
    <w:rsid w:val="002705B8"/>
    <w:rsid w:val="002705BB"/>
    <w:rsid w:val="00270629"/>
    <w:rsid w:val="00272628"/>
    <w:rsid w:val="0027280C"/>
    <w:rsid w:val="0027300E"/>
    <w:rsid w:val="0027459D"/>
    <w:rsid w:val="002745E1"/>
    <w:rsid w:val="002749AC"/>
    <w:rsid w:val="002754DA"/>
    <w:rsid w:val="0027648E"/>
    <w:rsid w:val="00276A66"/>
    <w:rsid w:val="00276B01"/>
    <w:rsid w:val="00276B1A"/>
    <w:rsid w:val="00280C4D"/>
    <w:rsid w:val="00280F91"/>
    <w:rsid w:val="00282DA4"/>
    <w:rsid w:val="00283320"/>
    <w:rsid w:val="002848EE"/>
    <w:rsid w:val="00287882"/>
    <w:rsid w:val="00290A64"/>
    <w:rsid w:val="00291A1E"/>
    <w:rsid w:val="00293046"/>
    <w:rsid w:val="00293C66"/>
    <w:rsid w:val="00294324"/>
    <w:rsid w:val="002945D5"/>
    <w:rsid w:val="00294F8E"/>
    <w:rsid w:val="00297993"/>
    <w:rsid w:val="002A013A"/>
    <w:rsid w:val="002A0242"/>
    <w:rsid w:val="002A0B0E"/>
    <w:rsid w:val="002A0CCC"/>
    <w:rsid w:val="002A0FED"/>
    <w:rsid w:val="002A1ADD"/>
    <w:rsid w:val="002A2A98"/>
    <w:rsid w:val="002A3329"/>
    <w:rsid w:val="002A3449"/>
    <w:rsid w:val="002A3992"/>
    <w:rsid w:val="002A4823"/>
    <w:rsid w:val="002A6CA5"/>
    <w:rsid w:val="002A73BB"/>
    <w:rsid w:val="002B1D21"/>
    <w:rsid w:val="002B201F"/>
    <w:rsid w:val="002B33F7"/>
    <w:rsid w:val="002B3FBF"/>
    <w:rsid w:val="002B536E"/>
    <w:rsid w:val="002B5E4A"/>
    <w:rsid w:val="002B6DB8"/>
    <w:rsid w:val="002B7950"/>
    <w:rsid w:val="002B7FC5"/>
    <w:rsid w:val="002C046B"/>
    <w:rsid w:val="002C0781"/>
    <w:rsid w:val="002C0A64"/>
    <w:rsid w:val="002C0D1F"/>
    <w:rsid w:val="002C3850"/>
    <w:rsid w:val="002C385C"/>
    <w:rsid w:val="002C38C8"/>
    <w:rsid w:val="002C4534"/>
    <w:rsid w:val="002C6244"/>
    <w:rsid w:val="002C7845"/>
    <w:rsid w:val="002D1409"/>
    <w:rsid w:val="002D3A2D"/>
    <w:rsid w:val="002D493A"/>
    <w:rsid w:val="002D6D5D"/>
    <w:rsid w:val="002D7006"/>
    <w:rsid w:val="002D7086"/>
    <w:rsid w:val="002E0424"/>
    <w:rsid w:val="002E0C9E"/>
    <w:rsid w:val="002E0DB0"/>
    <w:rsid w:val="002E31D6"/>
    <w:rsid w:val="002E3C67"/>
    <w:rsid w:val="002E5D27"/>
    <w:rsid w:val="002E63C1"/>
    <w:rsid w:val="002F29D8"/>
    <w:rsid w:val="002F2A64"/>
    <w:rsid w:val="002F2ED3"/>
    <w:rsid w:val="002F4BF4"/>
    <w:rsid w:val="002F4E93"/>
    <w:rsid w:val="002F5E2B"/>
    <w:rsid w:val="002F70E9"/>
    <w:rsid w:val="00300A53"/>
    <w:rsid w:val="00303338"/>
    <w:rsid w:val="00304238"/>
    <w:rsid w:val="00305431"/>
    <w:rsid w:val="003060C8"/>
    <w:rsid w:val="00306329"/>
    <w:rsid w:val="0030671A"/>
    <w:rsid w:val="00307A9E"/>
    <w:rsid w:val="00310ED3"/>
    <w:rsid w:val="00313B1E"/>
    <w:rsid w:val="00314DBF"/>
    <w:rsid w:val="00315BEB"/>
    <w:rsid w:val="00316A33"/>
    <w:rsid w:val="00316C5E"/>
    <w:rsid w:val="003174DF"/>
    <w:rsid w:val="00317785"/>
    <w:rsid w:val="0032027D"/>
    <w:rsid w:val="00320912"/>
    <w:rsid w:val="003212A9"/>
    <w:rsid w:val="00322912"/>
    <w:rsid w:val="00323622"/>
    <w:rsid w:val="00325CEA"/>
    <w:rsid w:val="003263F8"/>
    <w:rsid w:val="00332B77"/>
    <w:rsid w:val="003330A3"/>
    <w:rsid w:val="003335BE"/>
    <w:rsid w:val="0033421B"/>
    <w:rsid w:val="0033675D"/>
    <w:rsid w:val="0033695D"/>
    <w:rsid w:val="00336E20"/>
    <w:rsid w:val="00336F45"/>
    <w:rsid w:val="00337992"/>
    <w:rsid w:val="00340C51"/>
    <w:rsid w:val="00341606"/>
    <w:rsid w:val="00341970"/>
    <w:rsid w:val="003423B0"/>
    <w:rsid w:val="00342427"/>
    <w:rsid w:val="00343DDB"/>
    <w:rsid w:val="00344D4C"/>
    <w:rsid w:val="00345AEE"/>
    <w:rsid w:val="00345E4C"/>
    <w:rsid w:val="00345EB1"/>
    <w:rsid w:val="00346B7A"/>
    <w:rsid w:val="00347AF7"/>
    <w:rsid w:val="0035094A"/>
    <w:rsid w:val="003509F8"/>
    <w:rsid w:val="0035297D"/>
    <w:rsid w:val="00353A1C"/>
    <w:rsid w:val="00354FD2"/>
    <w:rsid w:val="00355809"/>
    <w:rsid w:val="00356B49"/>
    <w:rsid w:val="00356DAD"/>
    <w:rsid w:val="00356EF1"/>
    <w:rsid w:val="003572DB"/>
    <w:rsid w:val="00357BC6"/>
    <w:rsid w:val="00357C7A"/>
    <w:rsid w:val="00360724"/>
    <w:rsid w:val="00360D34"/>
    <w:rsid w:val="00360D5E"/>
    <w:rsid w:val="00361686"/>
    <w:rsid w:val="00361F73"/>
    <w:rsid w:val="0036288C"/>
    <w:rsid w:val="00362C08"/>
    <w:rsid w:val="0036329E"/>
    <w:rsid w:val="003632D0"/>
    <w:rsid w:val="00363B51"/>
    <w:rsid w:val="00363C43"/>
    <w:rsid w:val="00364E01"/>
    <w:rsid w:val="00367408"/>
    <w:rsid w:val="003707E2"/>
    <w:rsid w:val="00370CC4"/>
    <w:rsid w:val="003715D7"/>
    <w:rsid w:val="003715ED"/>
    <w:rsid w:val="003727D9"/>
    <w:rsid w:val="003731D5"/>
    <w:rsid w:val="00374071"/>
    <w:rsid w:val="0037417E"/>
    <w:rsid w:val="0037438A"/>
    <w:rsid w:val="00382398"/>
    <w:rsid w:val="003825CD"/>
    <w:rsid w:val="00382E67"/>
    <w:rsid w:val="00383B20"/>
    <w:rsid w:val="00384A30"/>
    <w:rsid w:val="003853E0"/>
    <w:rsid w:val="003919D7"/>
    <w:rsid w:val="003928AA"/>
    <w:rsid w:val="00393298"/>
    <w:rsid w:val="00396FF8"/>
    <w:rsid w:val="00397C91"/>
    <w:rsid w:val="003A0918"/>
    <w:rsid w:val="003A0D8A"/>
    <w:rsid w:val="003A0EB9"/>
    <w:rsid w:val="003A16E5"/>
    <w:rsid w:val="003A1B94"/>
    <w:rsid w:val="003A1F24"/>
    <w:rsid w:val="003A2E24"/>
    <w:rsid w:val="003A302B"/>
    <w:rsid w:val="003A4125"/>
    <w:rsid w:val="003A4C76"/>
    <w:rsid w:val="003A4EE9"/>
    <w:rsid w:val="003B0557"/>
    <w:rsid w:val="003B0D67"/>
    <w:rsid w:val="003B13CD"/>
    <w:rsid w:val="003B317A"/>
    <w:rsid w:val="003B35D0"/>
    <w:rsid w:val="003B59B8"/>
    <w:rsid w:val="003B5FD3"/>
    <w:rsid w:val="003B776A"/>
    <w:rsid w:val="003C1C5B"/>
    <w:rsid w:val="003C1EBF"/>
    <w:rsid w:val="003C25ED"/>
    <w:rsid w:val="003C31A2"/>
    <w:rsid w:val="003C3574"/>
    <w:rsid w:val="003C3983"/>
    <w:rsid w:val="003C3D60"/>
    <w:rsid w:val="003C53B9"/>
    <w:rsid w:val="003C674A"/>
    <w:rsid w:val="003C71F4"/>
    <w:rsid w:val="003D1BD7"/>
    <w:rsid w:val="003D234A"/>
    <w:rsid w:val="003D33A6"/>
    <w:rsid w:val="003D5166"/>
    <w:rsid w:val="003D7E0A"/>
    <w:rsid w:val="003E1C08"/>
    <w:rsid w:val="003E1FBE"/>
    <w:rsid w:val="003E2318"/>
    <w:rsid w:val="003E26B7"/>
    <w:rsid w:val="003E2CEC"/>
    <w:rsid w:val="003E3F2F"/>
    <w:rsid w:val="003E4081"/>
    <w:rsid w:val="003E4D02"/>
    <w:rsid w:val="003E5263"/>
    <w:rsid w:val="003E621C"/>
    <w:rsid w:val="003E760F"/>
    <w:rsid w:val="003F122E"/>
    <w:rsid w:val="003F14EF"/>
    <w:rsid w:val="003F3365"/>
    <w:rsid w:val="003F430D"/>
    <w:rsid w:val="003F560C"/>
    <w:rsid w:val="003F5ED4"/>
    <w:rsid w:val="003F633E"/>
    <w:rsid w:val="003F77F3"/>
    <w:rsid w:val="00400B91"/>
    <w:rsid w:val="00401ABC"/>
    <w:rsid w:val="00402A0B"/>
    <w:rsid w:val="00403D41"/>
    <w:rsid w:val="00403FD6"/>
    <w:rsid w:val="00404855"/>
    <w:rsid w:val="00406525"/>
    <w:rsid w:val="00410033"/>
    <w:rsid w:val="00410177"/>
    <w:rsid w:val="0041089C"/>
    <w:rsid w:val="00410952"/>
    <w:rsid w:val="00411BF2"/>
    <w:rsid w:val="004130D3"/>
    <w:rsid w:val="00414291"/>
    <w:rsid w:val="004146EC"/>
    <w:rsid w:val="0041496E"/>
    <w:rsid w:val="00414BE1"/>
    <w:rsid w:val="00414F8D"/>
    <w:rsid w:val="004155FD"/>
    <w:rsid w:val="004166A7"/>
    <w:rsid w:val="004169C7"/>
    <w:rsid w:val="00417E2E"/>
    <w:rsid w:val="00420AB2"/>
    <w:rsid w:val="00420E23"/>
    <w:rsid w:val="00420E66"/>
    <w:rsid w:val="004218D0"/>
    <w:rsid w:val="004225C8"/>
    <w:rsid w:val="00423FE0"/>
    <w:rsid w:val="00424EC9"/>
    <w:rsid w:val="00426428"/>
    <w:rsid w:val="00426929"/>
    <w:rsid w:val="00431A8F"/>
    <w:rsid w:val="00431FA2"/>
    <w:rsid w:val="004329CA"/>
    <w:rsid w:val="00433BEA"/>
    <w:rsid w:val="004358D0"/>
    <w:rsid w:val="004362A8"/>
    <w:rsid w:val="004372F2"/>
    <w:rsid w:val="00442271"/>
    <w:rsid w:val="0044433B"/>
    <w:rsid w:val="00446AFA"/>
    <w:rsid w:val="00447331"/>
    <w:rsid w:val="00447BB4"/>
    <w:rsid w:val="00447F82"/>
    <w:rsid w:val="00447FC8"/>
    <w:rsid w:val="0045095B"/>
    <w:rsid w:val="00451AD4"/>
    <w:rsid w:val="00453047"/>
    <w:rsid w:val="00453C1D"/>
    <w:rsid w:val="00453EA9"/>
    <w:rsid w:val="004549A7"/>
    <w:rsid w:val="00455574"/>
    <w:rsid w:val="0046049C"/>
    <w:rsid w:val="004627BB"/>
    <w:rsid w:val="00464441"/>
    <w:rsid w:val="00464672"/>
    <w:rsid w:val="004653AD"/>
    <w:rsid w:val="00465A18"/>
    <w:rsid w:val="00465FC4"/>
    <w:rsid w:val="00466793"/>
    <w:rsid w:val="00466E79"/>
    <w:rsid w:val="00466EC5"/>
    <w:rsid w:val="0047228D"/>
    <w:rsid w:val="004722BD"/>
    <w:rsid w:val="00475237"/>
    <w:rsid w:val="00475759"/>
    <w:rsid w:val="00475F95"/>
    <w:rsid w:val="00477044"/>
    <w:rsid w:val="00477142"/>
    <w:rsid w:val="004774F3"/>
    <w:rsid w:val="0047794D"/>
    <w:rsid w:val="0048036A"/>
    <w:rsid w:val="00482356"/>
    <w:rsid w:val="00482E1A"/>
    <w:rsid w:val="00483A30"/>
    <w:rsid w:val="004843DE"/>
    <w:rsid w:val="00484547"/>
    <w:rsid w:val="00484AC8"/>
    <w:rsid w:val="0048537D"/>
    <w:rsid w:val="00485E86"/>
    <w:rsid w:val="0048688E"/>
    <w:rsid w:val="00491295"/>
    <w:rsid w:val="0049249D"/>
    <w:rsid w:val="00492660"/>
    <w:rsid w:val="00492C10"/>
    <w:rsid w:val="00494DD7"/>
    <w:rsid w:val="00495980"/>
    <w:rsid w:val="00497A64"/>
    <w:rsid w:val="004A0CB8"/>
    <w:rsid w:val="004A2D8A"/>
    <w:rsid w:val="004A372B"/>
    <w:rsid w:val="004A423F"/>
    <w:rsid w:val="004A4524"/>
    <w:rsid w:val="004A584B"/>
    <w:rsid w:val="004A5AB0"/>
    <w:rsid w:val="004A6631"/>
    <w:rsid w:val="004A7B65"/>
    <w:rsid w:val="004A7DB3"/>
    <w:rsid w:val="004B01CE"/>
    <w:rsid w:val="004B0979"/>
    <w:rsid w:val="004B14CD"/>
    <w:rsid w:val="004B1599"/>
    <w:rsid w:val="004B4321"/>
    <w:rsid w:val="004B4382"/>
    <w:rsid w:val="004B47B1"/>
    <w:rsid w:val="004B715E"/>
    <w:rsid w:val="004B78D3"/>
    <w:rsid w:val="004B7E12"/>
    <w:rsid w:val="004C02FB"/>
    <w:rsid w:val="004C0A3B"/>
    <w:rsid w:val="004C0E15"/>
    <w:rsid w:val="004C18E0"/>
    <w:rsid w:val="004C2EB2"/>
    <w:rsid w:val="004C3C92"/>
    <w:rsid w:val="004C3DCD"/>
    <w:rsid w:val="004C6B10"/>
    <w:rsid w:val="004C70D8"/>
    <w:rsid w:val="004C7D1D"/>
    <w:rsid w:val="004C7E43"/>
    <w:rsid w:val="004D0A6D"/>
    <w:rsid w:val="004D1695"/>
    <w:rsid w:val="004D4935"/>
    <w:rsid w:val="004D4CF5"/>
    <w:rsid w:val="004D7242"/>
    <w:rsid w:val="004E16E0"/>
    <w:rsid w:val="004E204C"/>
    <w:rsid w:val="004E2365"/>
    <w:rsid w:val="004E264B"/>
    <w:rsid w:val="004E2C7D"/>
    <w:rsid w:val="004E3091"/>
    <w:rsid w:val="004E32D5"/>
    <w:rsid w:val="004E349F"/>
    <w:rsid w:val="004E4756"/>
    <w:rsid w:val="004E4B67"/>
    <w:rsid w:val="004E53C9"/>
    <w:rsid w:val="004E603B"/>
    <w:rsid w:val="004E7412"/>
    <w:rsid w:val="004E7FBE"/>
    <w:rsid w:val="004F2282"/>
    <w:rsid w:val="004F3833"/>
    <w:rsid w:val="004F3C75"/>
    <w:rsid w:val="004F485D"/>
    <w:rsid w:val="004F4F69"/>
    <w:rsid w:val="004F4F83"/>
    <w:rsid w:val="004F65F7"/>
    <w:rsid w:val="004F679E"/>
    <w:rsid w:val="004F738D"/>
    <w:rsid w:val="004F79C2"/>
    <w:rsid w:val="00500199"/>
    <w:rsid w:val="00500263"/>
    <w:rsid w:val="00501156"/>
    <w:rsid w:val="00501B68"/>
    <w:rsid w:val="00502D90"/>
    <w:rsid w:val="00503558"/>
    <w:rsid w:val="00503D52"/>
    <w:rsid w:val="00506CD7"/>
    <w:rsid w:val="0050729F"/>
    <w:rsid w:val="005075BC"/>
    <w:rsid w:val="00507D87"/>
    <w:rsid w:val="00512671"/>
    <w:rsid w:val="0051349D"/>
    <w:rsid w:val="005148E2"/>
    <w:rsid w:val="00515C52"/>
    <w:rsid w:val="00516013"/>
    <w:rsid w:val="005172EC"/>
    <w:rsid w:val="0052069D"/>
    <w:rsid w:val="00520BEE"/>
    <w:rsid w:val="00521595"/>
    <w:rsid w:val="005226EB"/>
    <w:rsid w:val="00522B5E"/>
    <w:rsid w:val="0052362A"/>
    <w:rsid w:val="00525EF1"/>
    <w:rsid w:val="00526659"/>
    <w:rsid w:val="00530D23"/>
    <w:rsid w:val="00531F90"/>
    <w:rsid w:val="00532025"/>
    <w:rsid w:val="005331E2"/>
    <w:rsid w:val="00535480"/>
    <w:rsid w:val="00537144"/>
    <w:rsid w:val="00537852"/>
    <w:rsid w:val="00537DD1"/>
    <w:rsid w:val="00540F2E"/>
    <w:rsid w:val="00541178"/>
    <w:rsid w:val="005417FC"/>
    <w:rsid w:val="00541A27"/>
    <w:rsid w:val="005425B4"/>
    <w:rsid w:val="0054284E"/>
    <w:rsid w:val="0054334E"/>
    <w:rsid w:val="0054556D"/>
    <w:rsid w:val="005461FB"/>
    <w:rsid w:val="0055015E"/>
    <w:rsid w:val="00553FF8"/>
    <w:rsid w:val="005555CE"/>
    <w:rsid w:val="0055650B"/>
    <w:rsid w:val="005567FB"/>
    <w:rsid w:val="00560A25"/>
    <w:rsid w:val="0056106A"/>
    <w:rsid w:val="005612F8"/>
    <w:rsid w:val="0056192C"/>
    <w:rsid w:val="00561C09"/>
    <w:rsid w:val="00562140"/>
    <w:rsid w:val="005621EE"/>
    <w:rsid w:val="00562567"/>
    <w:rsid w:val="00562B2C"/>
    <w:rsid w:val="00563413"/>
    <w:rsid w:val="00565181"/>
    <w:rsid w:val="00565326"/>
    <w:rsid w:val="00565A3A"/>
    <w:rsid w:val="00565FD4"/>
    <w:rsid w:val="005669CF"/>
    <w:rsid w:val="0057020A"/>
    <w:rsid w:val="005711E9"/>
    <w:rsid w:val="0057131E"/>
    <w:rsid w:val="00572033"/>
    <w:rsid w:val="005727E0"/>
    <w:rsid w:val="00572B52"/>
    <w:rsid w:val="00573985"/>
    <w:rsid w:val="00574EF8"/>
    <w:rsid w:val="00574F35"/>
    <w:rsid w:val="00576DCC"/>
    <w:rsid w:val="00577211"/>
    <w:rsid w:val="00577B34"/>
    <w:rsid w:val="00577C8A"/>
    <w:rsid w:val="0058008E"/>
    <w:rsid w:val="00582008"/>
    <w:rsid w:val="00586AC5"/>
    <w:rsid w:val="00586F65"/>
    <w:rsid w:val="005901F3"/>
    <w:rsid w:val="005908DE"/>
    <w:rsid w:val="005911B1"/>
    <w:rsid w:val="00592ED2"/>
    <w:rsid w:val="00593CDD"/>
    <w:rsid w:val="00593E53"/>
    <w:rsid w:val="00594042"/>
    <w:rsid w:val="00594329"/>
    <w:rsid w:val="00594CF9"/>
    <w:rsid w:val="00594EA0"/>
    <w:rsid w:val="00596D44"/>
    <w:rsid w:val="005970CC"/>
    <w:rsid w:val="005971B6"/>
    <w:rsid w:val="00597ADA"/>
    <w:rsid w:val="005A03F3"/>
    <w:rsid w:val="005A0996"/>
    <w:rsid w:val="005A3ABC"/>
    <w:rsid w:val="005A469A"/>
    <w:rsid w:val="005A48F6"/>
    <w:rsid w:val="005A495A"/>
    <w:rsid w:val="005A4DD2"/>
    <w:rsid w:val="005A5976"/>
    <w:rsid w:val="005A5A0F"/>
    <w:rsid w:val="005A5AF9"/>
    <w:rsid w:val="005A710F"/>
    <w:rsid w:val="005A7CA2"/>
    <w:rsid w:val="005B2321"/>
    <w:rsid w:val="005B25A8"/>
    <w:rsid w:val="005B353A"/>
    <w:rsid w:val="005B39A8"/>
    <w:rsid w:val="005B407D"/>
    <w:rsid w:val="005B44E9"/>
    <w:rsid w:val="005B5023"/>
    <w:rsid w:val="005B5387"/>
    <w:rsid w:val="005B5DAC"/>
    <w:rsid w:val="005B6901"/>
    <w:rsid w:val="005B6A88"/>
    <w:rsid w:val="005B7E11"/>
    <w:rsid w:val="005C0A20"/>
    <w:rsid w:val="005C4E46"/>
    <w:rsid w:val="005C56B5"/>
    <w:rsid w:val="005C6806"/>
    <w:rsid w:val="005C6A35"/>
    <w:rsid w:val="005C7248"/>
    <w:rsid w:val="005D0BAE"/>
    <w:rsid w:val="005D0C6B"/>
    <w:rsid w:val="005D17E8"/>
    <w:rsid w:val="005D1A26"/>
    <w:rsid w:val="005D2C64"/>
    <w:rsid w:val="005D4F8B"/>
    <w:rsid w:val="005D50DC"/>
    <w:rsid w:val="005D5667"/>
    <w:rsid w:val="005D5B19"/>
    <w:rsid w:val="005D66CE"/>
    <w:rsid w:val="005D6ADC"/>
    <w:rsid w:val="005D7002"/>
    <w:rsid w:val="005D7C3E"/>
    <w:rsid w:val="005D7F49"/>
    <w:rsid w:val="005E0A48"/>
    <w:rsid w:val="005E4310"/>
    <w:rsid w:val="005E4C39"/>
    <w:rsid w:val="005E664C"/>
    <w:rsid w:val="005E7A34"/>
    <w:rsid w:val="005F1E03"/>
    <w:rsid w:val="005F2464"/>
    <w:rsid w:val="005F27EA"/>
    <w:rsid w:val="005F2EAC"/>
    <w:rsid w:val="005F5E7F"/>
    <w:rsid w:val="005F65BE"/>
    <w:rsid w:val="005F6B37"/>
    <w:rsid w:val="005F6CD5"/>
    <w:rsid w:val="005F7199"/>
    <w:rsid w:val="0060065A"/>
    <w:rsid w:val="006012CA"/>
    <w:rsid w:val="0060200C"/>
    <w:rsid w:val="0060257A"/>
    <w:rsid w:val="00603734"/>
    <w:rsid w:val="00603DE0"/>
    <w:rsid w:val="00604A41"/>
    <w:rsid w:val="00605872"/>
    <w:rsid w:val="00605AEE"/>
    <w:rsid w:val="00605F1E"/>
    <w:rsid w:val="006064D0"/>
    <w:rsid w:val="0060693E"/>
    <w:rsid w:val="00606E4E"/>
    <w:rsid w:val="0060714C"/>
    <w:rsid w:val="006118AF"/>
    <w:rsid w:val="0061214F"/>
    <w:rsid w:val="00612ADF"/>
    <w:rsid w:val="006130BC"/>
    <w:rsid w:val="00613E35"/>
    <w:rsid w:val="0061409C"/>
    <w:rsid w:val="00614811"/>
    <w:rsid w:val="0061514C"/>
    <w:rsid w:val="00615EF9"/>
    <w:rsid w:val="006161D5"/>
    <w:rsid w:val="0061655B"/>
    <w:rsid w:val="00620E06"/>
    <w:rsid w:val="0062169E"/>
    <w:rsid w:val="00622CAB"/>
    <w:rsid w:val="00625774"/>
    <w:rsid w:val="00625F64"/>
    <w:rsid w:val="00627FB4"/>
    <w:rsid w:val="006306FB"/>
    <w:rsid w:val="00630879"/>
    <w:rsid w:val="00631FDA"/>
    <w:rsid w:val="00632A8F"/>
    <w:rsid w:val="00632F19"/>
    <w:rsid w:val="006338A7"/>
    <w:rsid w:val="00633D28"/>
    <w:rsid w:val="00635A7E"/>
    <w:rsid w:val="00635F24"/>
    <w:rsid w:val="00635F4E"/>
    <w:rsid w:val="00640186"/>
    <w:rsid w:val="006402CF"/>
    <w:rsid w:val="00640676"/>
    <w:rsid w:val="00640E69"/>
    <w:rsid w:val="0064154E"/>
    <w:rsid w:val="0064245C"/>
    <w:rsid w:val="006433E8"/>
    <w:rsid w:val="0064383D"/>
    <w:rsid w:val="00643885"/>
    <w:rsid w:val="00643B35"/>
    <w:rsid w:val="0064484F"/>
    <w:rsid w:val="00646425"/>
    <w:rsid w:val="00646687"/>
    <w:rsid w:val="006466F9"/>
    <w:rsid w:val="00646A71"/>
    <w:rsid w:val="0065023D"/>
    <w:rsid w:val="00650891"/>
    <w:rsid w:val="006517F9"/>
    <w:rsid w:val="00651B26"/>
    <w:rsid w:val="00652808"/>
    <w:rsid w:val="006548F2"/>
    <w:rsid w:val="00656F70"/>
    <w:rsid w:val="006578A6"/>
    <w:rsid w:val="00660DCA"/>
    <w:rsid w:val="006616A3"/>
    <w:rsid w:val="00661702"/>
    <w:rsid w:val="00662938"/>
    <w:rsid w:val="0066298A"/>
    <w:rsid w:val="0066447A"/>
    <w:rsid w:val="0067004D"/>
    <w:rsid w:val="006700EA"/>
    <w:rsid w:val="00670F18"/>
    <w:rsid w:val="00671949"/>
    <w:rsid w:val="00671986"/>
    <w:rsid w:val="006726DC"/>
    <w:rsid w:val="00672B93"/>
    <w:rsid w:val="0067344C"/>
    <w:rsid w:val="0067391A"/>
    <w:rsid w:val="00675C1C"/>
    <w:rsid w:val="0067612A"/>
    <w:rsid w:val="00676EFC"/>
    <w:rsid w:val="00677253"/>
    <w:rsid w:val="0068002A"/>
    <w:rsid w:val="00680597"/>
    <w:rsid w:val="00680ABF"/>
    <w:rsid w:val="00681394"/>
    <w:rsid w:val="0068226E"/>
    <w:rsid w:val="00684B57"/>
    <w:rsid w:val="006868C5"/>
    <w:rsid w:val="0068788E"/>
    <w:rsid w:val="0069072B"/>
    <w:rsid w:val="00692C79"/>
    <w:rsid w:val="00694647"/>
    <w:rsid w:val="0069544F"/>
    <w:rsid w:val="00695EEB"/>
    <w:rsid w:val="00696142"/>
    <w:rsid w:val="00696A42"/>
    <w:rsid w:val="00696D4D"/>
    <w:rsid w:val="00696E39"/>
    <w:rsid w:val="006A0100"/>
    <w:rsid w:val="006A0303"/>
    <w:rsid w:val="006A047A"/>
    <w:rsid w:val="006A08CC"/>
    <w:rsid w:val="006A1035"/>
    <w:rsid w:val="006A473C"/>
    <w:rsid w:val="006A47E7"/>
    <w:rsid w:val="006A609A"/>
    <w:rsid w:val="006A6471"/>
    <w:rsid w:val="006A7181"/>
    <w:rsid w:val="006A7BFD"/>
    <w:rsid w:val="006A7D02"/>
    <w:rsid w:val="006A7F8E"/>
    <w:rsid w:val="006B2763"/>
    <w:rsid w:val="006B3954"/>
    <w:rsid w:val="006B41F9"/>
    <w:rsid w:val="006B5003"/>
    <w:rsid w:val="006B6357"/>
    <w:rsid w:val="006B6E12"/>
    <w:rsid w:val="006C113E"/>
    <w:rsid w:val="006C1273"/>
    <w:rsid w:val="006C2995"/>
    <w:rsid w:val="006C4072"/>
    <w:rsid w:val="006C4AD8"/>
    <w:rsid w:val="006C60B9"/>
    <w:rsid w:val="006C7898"/>
    <w:rsid w:val="006C7E8B"/>
    <w:rsid w:val="006D04F4"/>
    <w:rsid w:val="006D1E3C"/>
    <w:rsid w:val="006D2F0A"/>
    <w:rsid w:val="006D3109"/>
    <w:rsid w:val="006D3132"/>
    <w:rsid w:val="006D4167"/>
    <w:rsid w:val="006D4269"/>
    <w:rsid w:val="006D5FF1"/>
    <w:rsid w:val="006D6068"/>
    <w:rsid w:val="006D632E"/>
    <w:rsid w:val="006D6861"/>
    <w:rsid w:val="006D6CA9"/>
    <w:rsid w:val="006E01D6"/>
    <w:rsid w:val="006E34AF"/>
    <w:rsid w:val="006E3786"/>
    <w:rsid w:val="006E43D3"/>
    <w:rsid w:val="006E6939"/>
    <w:rsid w:val="006E7AF3"/>
    <w:rsid w:val="006F0249"/>
    <w:rsid w:val="006F060E"/>
    <w:rsid w:val="006F1DC7"/>
    <w:rsid w:val="006F412B"/>
    <w:rsid w:val="006F4459"/>
    <w:rsid w:val="006F45B2"/>
    <w:rsid w:val="006F5681"/>
    <w:rsid w:val="006F57DA"/>
    <w:rsid w:val="006F5CA5"/>
    <w:rsid w:val="006F713C"/>
    <w:rsid w:val="006F75B9"/>
    <w:rsid w:val="0070107D"/>
    <w:rsid w:val="00701480"/>
    <w:rsid w:val="00701522"/>
    <w:rsid w:val="00703514"/>
    <w:rsid w:val="00703DDF"/>
    <w:rsid w:val="0070447B"/>
    <w:rsid w:val="00704865"/>
    <w:rsid w:val="00704E66"/>
    <w:rsid w:val="00706000"/>
    <w:rsid w:val="00706120"/>
    <w:rsid w:val="007066EF"/>
    <w:rsid w:val="00706CEA"/>
    <w:rsid w:val="00710543"/>
    <w:rsid w:val="00712182"/>
    <w:rsid w:val="00712B4D"/>
    <w:rsid w:val="00713CF8"/>
    <w:rsid w:val="0071462B"/>
    <w:rsid w:val="007148AD"/>
    <w:rsid w:val="00714C74"/>
    <w:rsid w:val="00715DD9"/>
    <w:rsid w:val="00717567"/>
    <w:rsid w:val="007175FD"/>
    <w:rsid w:val="00717AF6"/>
    <w:rsid w:val="007203B6"/>
    <w:rsid w:val="00720FD9"/>
    <w:rsid w:val="0072202C"/>
    <w:rsid w:val="00723F58"/>
    <w:rsid w:val="00725C1F"/>
    <w:rsid w:val="00725C83"/>
    <w:rsid w:val="00731AB0"/>
    <w:rsid w:val="007321DE"/>
    <w:rsid w:val="007327F0"/>
    <w:rsid w:val="007334EF"/>
    <w:rsid w:val="00733DB6"/>
    <w:rsid w:val="007355FD"/>
    <w:rsid w:val="0073577D"/>
    <w:rsid w:val="00735DDD"/>
    <w:rsid w:val="00736616"/>
    <w:rsid w:val="00736BFE"/>
    <w:rsid w:val="00737493"/>
    <w:rsid w:val="007428DE"/>
    <w:rsid w:val="00743400"/>
    <w:rsid w:val="00743BEF"/>
    <w:rsid w:val="00743EB7"/>
    <w:rsid w:val="00744960"/>
    <w:rsid w:val="00751082"/>
    <w:rsid w:val="0075147A"/>
    <w:rsid w:val="00751D47"/>
    <w:rsid w:val="00754691"/>
    <w:rsid w:val="0075568E"/>
    <w:rsid w:val="007563CB"/>
    <w:rsid w:val="00756DF0"/>
    <w:rsid w:val="007603BC"/>
    <w:rsid w:val="007605F3"/>
    <w:rsid w:val="00762167"/>
    <w:rsid w:val="0076267E"/>
    <w:rsid w:val="00762843"/>
    <w:rsid w:val="0076383A"/>
    <w:rsid w:val="0076556C"/>
    <w:rsid w:val="00765909"/>
    <w:rsid w:val="00765A2A"/>
    <w:rsid w:val="007664D3"/>
    <w:rsid w:val="00766C30"/>
    <w:rsid w:val="00767961"/>
    <w:rsid w:val="00767CB7"/>
    <w:rsid w:val="00770AE4"/>
    <w:rsid w:val="00772363"/>
    <w:rsid w:val="00774322"/>
    <w:rsid w:val="00774946"/>
    <w:rsid w:val="00775BC6"/>
    <w:rsid w:val="00775BF9"/>
    <w:rsid w:val="00777FFA"/>
    <w:rsid w:val="007826C4"/>
    <w:rsid w:val="00782DF6"/>
    <w:rsid w:val="0078344B"/>
    <w:rsid w:val="007843E9"/>
    <w:rsid w:val="007850DB"/>
    <w:rsid w:val="00785CBE"/>
    <w:rsid w:val="0079035D"/>
    <w:rsid w:val="007907A7"/>
    <w:rsid w:val="007911F1"/>
    <w:rsid w:val="00791555"/>
    <w:rsid w:val="00795F00"/>
    <w:rsid w:val="00796E53"/>
    <w:rsid w:val="007A0079"/>
    <w:rsid w:val="007A00E2"/>
    <w:rsid w:val="007A0434"/>
    <w:rsid w:val="007A154F"/>
    <w:rsid w:val="007A2955"/>
    <w:rsid w:val="007A2C03"/>
    <w:rsid w:val="007A405C"/>
    <w:rsid w:val="007A5726"/>
    <w:rsid w:val="007A672C"/>
    <w:rsid w:val="007A6E03"/>
    <w:rsid w:val="007A7115"/>
    <w:rsid w:val="007A71E0"/>
    <w:rsid w:val="007B142E"/>
    <w:rsid w:val="007B2248"/>
    <w:rsid w:val="007B2269"/>
    <w:rsid w:val="007B3265"/>
    <w:rsid w:val="007B4414"/>
    <w:rsid w:val="007B46CB"/>
    <w:rsid w:val="007B5999"/>
    <w:rsid w:val="007C1079"/>
    <w:rsid w:val="007C3462"/>
    <w:rsid w:val="007C4643"/>
    <w:rsid w:val="007C610A"/>
    <w:rsid w:val="007C7C26"/>
    <w:rsid w:val="007D0C4B"/>
    <w:rsid w:val="007D3C1C"/>
    <w:rsid w:val="007D5D5B"/>
    <w:rsid w:val="007D6347"/>
    <w:rsid w:val="007D798E"/>
    <w:rsid w:val="007E0A0B"/>
    <w:rsid w:val="007E138D"/>
    <w:rsid w:val="007E1607"/>
    <w:rsid w:val="007E1870"/>
    <w:rsid w:val="007E1931"/>
    <w:rsid w:val="007E398B"/>
    <w:rsid w:val="007E5142"/>
    <w:rsid w:val="007E5A9F"/>
    <w:rsid w:val="007E5E5E"/>
    <w:rsid w:val="007E6ED3"/>
    <w:rsid w:val="007E7126"/>
    <w:rsid w:val="007F01E9"/>
    <w:rsid w:val="007F03AB"/>
    <w:rsid w:val="007F0C0C"/>
    <w:rsid w:val="007F193A"/>
    <w:rsid w:val="007F19E7"/>
    <w:rsid w:val="007F273A"/>
    <w:rsid w:val="007F2D10"/>
    <w:rsid w:val="007F2DB7"/>
    <w:rsid w:val="007F3B67"/>
    <w:rsid w:val="007F4782"/>
    <w:rsid w:val="007F59ED"/>
    <w:rsid w:val="007F7D8E"/>
    <w:rsid w:val="007F7EF1"/>
    <w:rsid w:val="00800141"/>
    <w:rsid w:val="00800D9D"/>
    <w:rsid w:val="008017E9"/>
    <w:rsid w:val="00802DAC"/>
    <w:rsid w:val="008031A3"/>
    <w:rsid w:val="00803EFF"/>
    <w:rsid w:val="00804659"/>
    <w:rsid w:val="008057EE"/>
    <w:rsid w:val="008070E6"/>
    <w:rsid w:val="008106DA"/>
    <w:rsid w:val="008120BF"/>
    <w:rsid w:val="0081459E"/>
    <w:rsid w:val="0081513A"/>
    <w:rsid w:val="008168F8"/>
    <w:rsid w:val="00817FD3"/>
    <w:rsid w:val="0082047D"/>
    <w:rsid w:val="00820965"/>
    <w:rsid w:val="00822513"/>
    <w:rsid w:val="008275C6"/>
    <w:rsid w:val="00827B37"/>
    <w:rsid w:val="00827C55"/>
    <w:rsid w:val="008353F0"/>
    <w:rsid w:val="00836286"/>
    <w:rsid w:val="008367A0"/>
    <w:rsid w:val="008371F4"/>
    <w:rsid w:val="008374FD"/>
    <w:rsid w:val="00840B43"/>
    <w:rsid w:val="008419ED"/>
    <w:rsid w:val="00841C0A"/>
    <w:rsid w:val="00841C91"/>
    <w:rsid w:val="0084208A"/>
    <w:rsid w:val="00844F90"/>
    <w:rsid w:val="00845C9A"/>
    <w:rsid w:val="00845EF4"/>
    <w:rsid w:val="00846FAC"/>
    <w:rsid w:val="00852527"/>
    <w:rsid w:val="00853146"/>
    <w:rsid w:val="008536D5"/>
    <w:rsid w:val="00854D3C"/>
    <w:rsid w:val="00854EC1"/>
    <w:rsid w:val="0085548C"/>
    <w:rsid w:val="008575FF"/>
    <w:rsid w:val="00857AF9"/>
    <w:rsid w:val="008611AA"/>
    <w:rsid w:val="00862491"/>
    <w:rsid w:val="00863F0B"/>
    <w:rsid w:val="00864F97"/>
    <w:rsid w:val="00866F45"/>
    <w:rsid w:val="0086774B"/>
    <w:rsid w:val="008713EE"/>
    <w:rsid w:val="008728BF"/>
    <w:rsid w:val="00872933"/>
    <w:rsid w:val="008759A7"/>
    <w:rsid w:val="00876748"/>
    <w:rsid w:val="008776D0"/>
    <w:rsid w:val="00877982"/>
    <w:rsid w:val="00877E24"/>
    <w:rsid w:val="00880212"/>
    <w:rsid w:val="008802D0"/>
    <w:rsid w:val="00881189"/>
    <w:rsid w:val="0088187A"/>
    <w:rsid w:val="008822B0"/>
    <w:rsid w:val="0088341C"/>
    <w:rsid w:val="00884C87"/>
    <w:rsid w:val="008856C0"/>
    <w:rsid w:val="00886A8C"/>
    <w:rsid w:val="00886D65"/>
    <w:rsid w:val="0088730A"/>
    <w:rsid w:val="00890194"/>
    <w:rsid w:val="00890BD7"/>
    <w:rsid w:val="008911E5"/>
    <w:rsid w:val="00891951"/>
    <w:rsid w:val="00891FAA"/>
    <w:rsid w:val="00893104"/>
    <w:rsid w:val="00894573"/>
    <w:rsid w:val="008949E5"/>
    <w:rsid w:val="00894F8C"/>
    <w:rsid w:val="00896018"/>
    <w:rsid w:val="00896AF5"/>
    <w:rsid w:val="008A0285"/>
    <w:rsid w:val="008A0F46"/>
    <w:rsid w:val="008A2A48"/>
    <w:rsid w:val="008A2E1E"/>
    <w:rsid w:val="008A3119"/>
    <w:rsid w:val="008A3BC8"/>
    <w:rsid w:val="008A55A1"/>
    <w:rsid w:val="008A6B4E"/>
    <w:rsid w:val="008B1D56"/>
    <w:rsid w:val="008B1EAF"/>
    <w:rsid w:val="008B232E"/>
    <w:rsid w:val="008B610A"/>
    <w:rsid w:val="008B6B25"/>
    <w:rsid w:val="008B71D5"/>
    <w:rsid w:val="008C0752"/>
    <w:rsid w:val="008C2497"/>
    <w:rsid w:val="008C548D"/>
    <w:rsid w:val="008C55BE"/>
    <w:rsid w:val="008C5E02"/>
    <w:rsid w:val="008C66FC"/>
    <w:rsid w:val="008C7A15"/>
    <w:rsid w:val="008C7F2C"/>
    <w:rsid w:val="008D0F75"/>
    <w:rsid w:val="008D1949"/>
    <w:rsid w:val="008D1AE7"/>
    <w:rsid w:val="008D1E51"/>
    <w:rsid w:val="008D3C0F"/>
    <w:rsid w:val="008D4510"/>
    <w:rsid w:val="008D4FA9"/>
    <w:rsid w:val="008D582C"/>
    <w:rsid w:val="008D6971"/>
    <w:rsid w:val="008D6EAB"/>
    <w:rsid w:val="008D7149"/>
    <w:rsid w:val="008D7680"/>
    <w:rsid w:val="008D7A3F"/>
    <w:rsid w:val="008E061F"/>
    <w:rsid w:val="008E131B"/>
    <w:rsid w:val="008E1F1D"/>
    <w:rsid w:val="008E21FD"/>
    <w:rsid w:val="008E4A47"/>
    <w:rsid w:val="008E5127"/>
    <w:rsid w:val="008E67B5"/>
    <w:rsid w:val="008E6DC2"/>
    <w:rsid w:val="008F02A5"/>
    <w:rsid w:val="008F23BD"/>
    <w:rsid w:val="008F3802"/>
    <w:rsid w:val="008F3BD0"/>
    <w:rsid w:val="008F4895"/>
    <w:rsid w:val="008F680D"/>
    <w:rsid w:val="008F6AB6"/>
    <w:rsid w:val="008F6D75"/>
    <w:rsid w:val="008F6F70"/>
    <w:rsid w:val="008F7693"/>
    <w:rsid w:val="008F778D"/>
    <w:rsid w:val="00900BBF"/>
    <w:rsid w:val="009031D4"/>
    <w:rsid w:val="00904886"/>
    <w:rsid w:val="00905E32"/>
    <w:rsid w:val="009078EC"/>
    <w:rsid w:val="00907E49"/>
    <w:rsid w:val="0091145F"/>
    <w:rsid w:val="0091197D"/>
    <w:rsid w:val="00913150"/>
    <w:rsid w:val="00913784"/>
    <w:rsid w:val="00913DC8"/>
    <w:rsid w:val="00916F04"/>
    <w:rsid w:val="009171BB"/>
    <w:rsid w:val="00917ECA"/>
    <w:rsid w:val="00920EDA"/>
    <w:rsid w:val="009225F9"/>
    <w:rsid w:val="00923001"/>
    <w:rsid w:val="009258CB"/>
    <w:rsid w:val="00925D61"/>
    <w:rsid w:val="00926D4B"/>
    <w:rsid w:val="00927837"/>
    <w:rsid w:val="00932543"/>
    <w:rsid w:val="00932BC9"/>
    <w:rsid w:val="0093337D"/>
    <w:rsid w:val="00934113"/>
    <w:rsid w:val="00935883"/>
    <w:rsid w:val="00935CC3"/>
    <w:rsid w:val="00936F62"/>
    <w:rsid w:val="0094030B"/>
    <w:rsid w:val="00943979"/>
    <w:rsid w:val="009439FC"/>
    <w:rsid w:val="009447C3"/>
    <w:rsid w:val="0094546B"/>
    <w:rsid w:val="00947200"/>
    <w:rsid w:val="00950DF4"/>
    <w:rsid w:val="00951163"/>
    <w:rsid w:val="00951FC4"/>
    <w:rsid w:val="00952609"/>
    <w:rsid w:val="00953378"/>
    <w:rsid w:val="00953661"/>
    <w:rsid w:val="00957D08"/>
    <w:rsid w:val="00962968"/>
    <w:rsid w:val="00962ADB"/>
    <w:rsid w:val="00962FE0"/>
    <w:rsid w:val="00963D04"/>
    <w:rsid w:val="00963D08"/>
    <w:rsid w:val="00964854"/>
    <w:rsid w:val="0096490B"/>
    <w:rsid w:val="00965473"/>
    <w:rsid w:val="00966C36"/>
    <w:rsid w:val="009677ED"/>
    <w:rsid w:val="00967CCC"/>
    <w:rsid w:val="0097026B"/>
    <w:rsid w:val="00970BD7"/>
    <w:rsid w:val="00973040"/>
    <w:rsid w:val="0097618D"/>
    <w:rsid w:val="00976576"/>
    <w:rsid w:val="009800AB"/>
    <w:rsid w:val="00980564"/>
    <w:rsid w:val="00980A26"/>
    <w:rsid w:val="0098196E"/>
    <w:rsid w:val="00982085"/>
    <w:rsid w:val="00982337"/>
    <w:rsid w:val="00982858"/>
    <w:rsid w:val="00982FA8"/>
    <w:rsid w:val="009838E1"/>
    <w:rsid w:val="00983B55"/>
    <w:rsid w:val="00984B1F"/>
    <w:rsid w:val="00985B4A"/>
    <w:rsid w:val="00985C6D"/>
    <w:rsid w:val="00985EC8"/>
    <w:rsid w:val="009861B2"/>
    <w:rsid w:val="00986F82"/>
    <w:rsid w:val="0099282F"/>
    <w:rsid w:val="0099423D"/>
    <w:rsid w:val="00995B69"/>
    <w:rsid w:val="00995BB6"/>
    <w:rsid w:val="00997F5E"/>
    <w:rsid w:val="009A02B9"/>
    <w:rsid w:val="009A1EF3"/>
    <w:rsid w:val="009A3625"/>
    <w:rsid w:val="009A3BBD"/>
    <w:rsid w:val="009A3D0A"/>
    <w:rsid w:val="009A3E18"/>
    <w:rsid w:val="009A568A"/>
    <w:rsid w:val="009A56EA"/>
    <w:rsid w:val="009A65F8"/>
    <w:rsid w:val="009B0EA6"/>
    <w:rsid w:val="009B220B"/>
    <w:rsid w:val="009B2597"/>
    <w:rsid w:val="009B2B23"/>
    <w:rsid w:val="009B2BF6"/>
    <w:rsid w:val="009B2E17"/>
    <w:rsid w:val="009B58C8"/>
    <w:rsid w:val="009B7065"/>
    <w:rsid w:val="009B7C5C"/>
    <w:rsid w:val="009B7D3B"/>
    <w:rsid w:val="009C0740"/>
    <w:rsid w:val="009C0E96"/>
    <w:rsid w:val="009C2364"/>
    <w:rsid w:val="009C2ACF"/>
    <w:rsid w:val="009C337F"/>
    <w:rsid w:val="009C36F0"/>
    <w:rsid w:val="009C3F15"/>
    <w:rsid w:val="009C4AD6"/>
    <w:rsid w:val="009C5BD7"/>
    <w:rsid w:val="009C6DAA"/>
    <w:rsid w:val="009C7CD0"/>
    <w:rsid w:val="009D0AFA"/>
    <w:rsid w:val="009D0F6D"/>
    <w:rsid w:val="009D1F69"/>
    <w:rsid w:val="009D2F93"/>
    <w:rsid w:val="009D4B65"/>
    <w:rsid w:val="009D723F"/>
    <w:rsid w:val="009E1286"/>
    <w:rsid w:val="009E15FA"/>
    <w:rsid w:val="009E1A9F"/>
    <w:rsid w:val="009E2C72"/>
    <w:rsid w:val="009E3432"/>
    <w:rsid w:val="009E460A"/>
    <w:rsid w:val="009E4AD2"/>
    <w:rsid w:val="009E4AD8"/>
    <w:rsid w:val="009E517B"/>
    <w:rsid w:val="009E7012"/>
    <w:rsid w:val="009F0E9B"/>
    <w:rsid w:val="009F14C9"/>
    <w:rsid w:val="009F182A"/>
    <w:rsid w:val="009F2D50"/>
    <w:rsid w:val="009F2D6E"/>
    <w:rsid w:val="009F3C49"/>
    <w:rsid w:val="009F59E7"/>
    <w:rsid w:val="009F5CB6"/>
    <w:rsid w:val="009F5D38"/>
    <w:rsid w:val="009F623A"/>
    <w:rsid w:val="009F6666"/>
    <w:rsid w:val="009F67BA"/>
    <w:rsid w:val="009F6FBD"/>
    <w:rsid w:val="00A0138D"/>
    <w:rsid w:val="00A01ADB"/>
    <w:rsid w:val="00A03529"/>
    <w:rsid w:val="00A05B34"/>
    <w:rsid w:val="00A06465"/>
    <w:rsid w:val="00A06E3E"/>
    <w:rsid w:val="00A07481"/>
    <w:rsid w:val="00A07C84"/>
    <w:rsid w:val="00A10429"/>
    <w:rsid w:val="00A10DA9"/>
    <w:rsid w:val="00A111A0"/>
    <w:rsid w:val="00A11EFF"/>
    <w:rsid w:val="00A12403"/>
    <w:rsid w:val="00A13C6C"/>
    <w:rsid w:val="00A15E80"/>
    <w:rsid w:val="00A161C5"/>
    <w:rsid w:val="00A20F80"/>
    <w:rsid w:val="00A21647"/>
    <w:rsid w:val="00A21898"/>
    <w:rsid w:val="00A22962"/>
    <w:rsid w:val="00A23441"/>
    <w:rsid w:val="00A23939"/>
    <w:rsid w:val="00A2497D"/>
    <w:rsid w:val="00A2595F"/>
    <w:rsid w:val="00A25FEB"/>
    <w:rsid w:val="00A26ECF"/>
    <w:rsid w:val="00A270B2"/>
    <w:rsid w:val="00A27238"/>
    <w:rsid w:val="00A27CEB"/>
    <w:rsid w:val="00A30963"/>
    <w:rsid w:val="00A3097E"/>
    <w:rsid w:val="00A317BD"/>
    <w:rsid w:val="00A31990"/>
    <w:rsid w:val="00A31F53"/>
    <w:rsid w:val="00A31F96"/>
    <w:rsid w:val="00A32271"/>
    <w:rsid w:val="00A32856"/>
    <w:rsid w:val="00A34802"/>
    <w:rsid w:val="00A34A4B"/>
    <w:rsid w:val="00A34E9B"/>
    <w:rsid w:val="00A35819"/>
    <w:rsid w:val="00A35E43"/>
    <w:rsid w:val="00A37232"/>
    <w:rsid w:val="00A37BDB"/>
    <w:rsid w:val="00A37CE9"/>
    <w:rsid w:val="00A4036D"/>
    <w:rsid w:val="00A40961"/>
    <w:rsid w:val="00A41F39"/>
    <w:rsid w:val="00A4286E"/>
    <w:rsid w:val="00A447A6"/>
    <w:rsid w:val="00A45E7D"/>
    <w:rsid w:val="00A47BCA"/>
    <w:rsid w:val="00A50414"/>
    <w:rsid w:val="00A50549"/>
    <w:rsid w:val="00A50981"/>
    <w:rsid w:val="00A50A28"/>
    <w:rsid w:val="00A50E96"/>
    <w:rsid w:val="00A50FEA"/>
    <w:rsid w:val="00A521DA"/>
    <w:rsid w:val="00A52F17"/>
    <w:rsid w:val="00A5327C"/>
    <w:rsid w:val="00A55BE2"/>
    <w:rsid w:val="00A563C7"/>
    <w:rsid w:val="00A5719F"/>
    <w:rsid w:val="00A57F3D"/>
    <w:rsid w:val="00A606AB"/>
    <w:rsid w:val="00A61214"/>
    <w:rsid w:val="00A61A85"/>
    <w:rsid w:val="00A62D83"/>
    <w:rsid w:val="00A645E4"/>
    <w:rsid w:val="00A671AF"/>
    <w:rsid w:val="00A673CE"/>
    <w:rsid w:val="00A67975"/>
    <w:rsid w:val="00A7195E"/>
    <w:rsid w:val="00A726A9"/>
    <w:rsid w:val="00A72EBD"/>
    <w:rsid w:val="00A75721"/>
    <w:rsid w:val="00A76A0B"/>
    <w:rsid w:val="00A77AE0"/>
    <w:rsid w:val="00A77D20"/>
    <w:rsid w:val="00A803A2"/>
    <w:rsid w:val="00A81483"/>
    <w:rsid w:val="00A81B29"/>
    <w:rsid w:val="00A81C18"/>
    <w:rsid w:val="00A8338C"/>
    <w:rsid w:val="00A84ADB"/>
    <w:rsid w:val="00A851BF"/>
    <w:rsid w:val="00A861E2"/>
    <w:rsid w:val="00A8635E"/>
    <w:rsid w:val="00A8755F"/>
    <w:rsid w:val="00A90F8B"/>
    <w:rsid w:val="00A91E81"/>
    <w:rsid w:val="00A91F12"/>
    <w:rsid w:val="00A9237B"/>
    <w:rsid w:val="00A94154"/>
    <w:rsid w:val="00A945BF"/>
    <w:rsid w:val="00A95559"/>
    <w:rsid w:val="00A95668"/>
    <w:rsid w:val="00A95E77"/>
    <w:rsid w:val="00A966AC"/>
    <w:rsid w:val="00A967EC"/>
    <w:rsid w:val="00AA00EA"/>
    <w:rsid w:val="00AA0398"/>
    <w:rsid w:val="00AA4018"/>
    <w:rsid w:val="00AA40AD"/>
    <w:rsid w:val="00AA41E8"/>
    <w:rsid w:val="00AA4A80"/>
    <w:rsid w:val="00AA5380"/>
    <w:rsid w:val="00AA75B2"/>
    <w:rsid w:val="00AA766A"/>
    <w:rsid w:val="00AB0294"/>
    <w:rsid w:val="00AB25EE"/>
    <w:rsid w:val="00AB34B7"/>
    <w:rsid w:val="00AB4767"/>
    <w:rsid w:val="00AB54BF"/>
    <w:rsid w:val="00AB6818"/>
    <w:rsid w:val="00AB6D60"/>
    <w:rsid w:val="00AC0860"/>
    <w:rsid w:val="00AC0B33"/>
    <w:rsid w:val="00AC1B31"/>
    <w:rsid w:val="00AC25BD"/>
    <w:rsid w:val="00AC2A8B"/>
    <w:rsid w:val="00AC2C82"/>
    <w:rsid w:val="00AC531B"/>
    <w:rsid w:val="00AC5464"/>
    <w:rsid w:val="00AC630B"/>
    <w:rsid w:val="00AC6B92"/>
    <w:rsid w:val="00AC76D4"/>
    <w:rsid w:val="00AD055E"/>
    <w:rsid w:val="00AD0BA8"/>
    <w:rsid w:val="00AD13E1"/>
    <w:rsid w:val="00AD179D"/>
    <w:rsid w:val="00AD1A73"/>
    <w:rsid w:val="00AD36C8"/>
    <w:rsid w:val="00AD6044"/>
    <w:rsid w:val="00AD60BC"/>
    <w:rsid w:val="00AD68AA"/>
    <w:rsid w:val="00AD693C"/>
    <w:rsid w:val="00AD732D"/>
    <w:rsid w:val="00AE0500"/>
    <w:rsid w:val="00AE1AEE"/>
    <w:rsid w:val="00AE3A2F"/>
    <w:rsid w:val="00AE3C7B"/>
    <w:rsid w:val="00AE3F0A"/>
    <w:rsid w:val="00AE40C2"/>
    <w:rsid w:val="00AE5709"/>
    <w:rsid w:val="00AE6FCE"/>
    <w:rsid w:val="00AF0399"/>
    <w:rsid w:val="00AF2325"/>
    <w:rsid w:val="00AF29C2"/>
    <w:rsid w:val="00AF3E16"/>
    <w:rsid w:val="00AF3F9A"/>
    <w:rsid w:val="00AF4110"/>
    <w:rsid w:val="00AF4A7B"/>
    <w:rsid w:val="00AF4AE7"/>
    <w:rsid w:val="00AF6AB6"/>
    <w:rsid w:val="00B006AB"/>
    <w:rsid w:val="00B00F58"/>
    <w:rsid w:val="00B012B3"/>
    <w:rsid w:val="00B03049"/>
    <w:rsid w:val="00B04779"/>
    <w:rsid w:val="00B04DF0"/>
    <w:rsid w:val="00B060F5"/>
    <w:rsid w:val="00B07EDE"/>
    <w:rsid w:val="00B127F0"/>
    <w:rsid w:val="00B135E2"/>
    <w:rsid w:val="00B15887"/>
    <w:rsid w:val="00B16820"/>
    <w:rsid w:val="00B175A8"/>
    <w:rsid w:val="00B17E40"/>
    <w:rsid w:val="00B20060"/>
    <w:rsid w:val="00B216F5"/>
    <w:rsid w:val="00B21914"/>
    <w:rsid w:val="00B21BAF"/>
    <w:rsid w:val="00B2354B"/>
    <w:rsid w:val="00B2428E"/>
    <w:rsid w:val="00B251CF"/>
    <w:rsid w:val="00B26832"/>
    <w:rsid w:val="00B27AFB"/>
    <w:rsid w:val="00B30241"/>
    <w:rsid w:val="00B30271"/>
    <w:rsid w:val="00B3037C"/>
    <w:rsid w:val="00B30B8A"/>
    <w:rsid w:val="00B32E95"/>
    <w:rsid w:val="00B34582"/>
    <w:rsid w:val="00B378C7"/>
    <w:rsid w:val="00B37CDE"/>
    <w:rsid w:val="00B37F97"/>
    <w:rsid w:val="00B4012D"/>
    <w:rsid w:val="00B4154B"/>
    <w:rsid w:val="00B43D25"/>
    <w:rsid w:val="00B4610B"/>
    <w:rsid w:val="00B46AB7"/>
    <w:rsid w:val="00B477BF"/>
    <w:rsid w:val="00B477CF"/>
    <w:rsid w:val="00B47875"/>
    <w:rsid w:val="00B5125A"/>
    <w:rsid w:val="00B51AFA"/>
    <w:rsid w:val="00B52A64"/>
    <w:rsid w:val="00B5641C"/>
    <w:rsid w:val="00B62E64"/>
    <w:rsid w:val="00B63E31"/>
    <w:rsid w:val="00B64FC2"/>
    <w:rsid w:val="00B66953"/>
    <w:rsid w:val="00B66E0F"/>
    <w:rsid w:val="00B679E4"/>
    <w:rsid w:val="00B71175"/>
    <w:rsid w:val="00B71346"/>
    <w:rsid w:val="00B71F9B"/>
    <w:rsid w:val="00B73FF1"/>
    <w:rsid w:val="00B75274"/>
    <w:rsid w:val="00B75655"/>
    <w:rsid w:val="00B76E9D"/>
    <w:rsid w:val="00B7728F"/>
    <w:rsid w:val="00B77361"/>
    <w:rsid w:val="00B818AA"/>
    <w:rsid w:val="00B818CF"/>
    <w:rsid w:val="00B81AC4"/>
    <w:rsid w:val="00B82198"/>
    <w:rsid w:val="00B82C09"/>
    <w:rsid w:val="00B846AA"/>
    <w:rsid w:val="00B847BA"/>
    <w:rsid w:val="00B862CC"/>
    <w:rsid w:val="00B86701"/>
    <w:rsid w:val="00B87AF9"/>
    <w:rsid w:val="00B9137C"/>
    <w:rsid w:val="00B9154F"/>
    <w:rsid w:val="00B94F06"/>
    <w:rsid w:val="00B95429"/>
    <w:rsid w:val="00B96CE8"/>
    <w:rsid w:val="00B97F0B"/>
    <w:rsid w:val="00BA0EE9"/>
    <w:rsid w:val="00BA1C86"/>
    <w:rsid w:val="00BA5491"/>
    <w:rsid w:val="00BA6D9C"/>
    <w:rsid w:val="00BA7208"/>
    <w:rsid w:val="00BB0511"/>
    <w:rsid w:val="00BB16D5"/>
    <w:rsid w:val="00BB187D"/>
    <w:rsid w:val="00BB1D62"/>
    <w:rsid w:val="00BB1EE1"/>
    <w:rsid w:val="00BB2AD5"/>
    <w:rsid w:val="00BB57D5"/>
    <w:rsid w:val="00BB5F67"/>
    <w:rsid w:val="00BB61AA"/>
    <w:rsid w:val="00BB69F5"/>
    <w:rsid w:val="00BB71D1"/>
    <w:rsid w:val="00BC3DA2"/>
    <w:rsid w:val="00BC68DD"/>
    <w:rsid w:val="00BD1140"/>
    <w:rsid w:val="00BD1788"/>
    <w:rsid w:val="00BD21C9"/>
    <w:rsid w:val="00BD43E7"/>
    <w:rsid w:val="00BD45BC"/>
    <w:rsid w:val="00BD4790"/>
    <w:rsid w:val="00BD4BA6"/>
    <w:rsid w:val="00BD5808"/>
    <w:rsid w:val="00BE001A"/>
    <w:rsid w:val="00BE00F5"/>
    <w:rsid w:val="00BE1B04"/>
    <w:rsid w:val="00BE2011"/>
    <w:rsid w:val="00BE2CD2"/>
    <w:rsid w:val="00BE301F"/>
    <w:rsid w:val="00BE3023"/>
    <w:rsid w:val="00BE4FC3"/>
    <w:rsid w:val="00BE6AEE"/>
    <w:rsid w:val="00BE6E39"/>
    <w:rsid w:val="00BF0073"/>
    <w:rsid w:val="00BF279C"/>
    <w:rsid w:val="00BF32C5"/>
    <w:rsid w:val="00BF3728"/>
    <w:rsid w:val="00BF390B"/>
    <w:rsid w:val="00BF449A"/>
    <w:rsid w:val="00BF4B7D"/>
    <w:rsid w:val="00BF4D26"/>
    <w:rsid w:val="00BF5272"/>
    <w:rsid w:val="00C03C22"/>
    <w:rsid w:val="00C04B72"/>
    <w:rsid w:val="00C04FCB"/>
    <w:rsid w:val="00C10B52"/>
    <w:rsid w:val="00C12434"/>
    <w:rsid w:val="00C13B43"/>
    <w:rsid w:val="00C15DE2"/>
    <w:rsid w:val="00C15E0C"/>
    <w:rsid w:val="00C1639B"/>
    <w:rsid w:val="00C165B6"/>
    <w:rsid w:val="00C20C2E"/>
    <w:rsid w:val="00C20CC7"/>
    <w:rsid w:val="00C2118B"/>
    <w:rsid w:val="00C23E5F"/>
    <w:rsid w:val="00C24166"/>
    <w:rsid w:val="00C25213"/>
    <w:rsid w:val="00C26E84"/>
    <w:rsid w:val="00C30989"/>
    <w:rsid w:val="00C311F2"/>
    <w:rsid w:val="00C317C9"/>
    <w:rsid w:val="00C338A9"/>
    <w:rsid w:val="00C338B4"/>
    <w:rsid w:val="00C33908"/>
    <w:rsid w:val="00C34729"/>
    <w:rsid w:val="00C3517A"/>
    <w:rsid w:val="00C35BA0"/>
    <w:rsid w:val="00C35D7D"/>
    <w:rsid w:val="00C36864"/>
    <w:rsid w:val="00C36BE3"/>
    <w:rsid w:val="00C40488"/>
    <w:rsid w:val="00C409C3"/>
    <w:rsid w:val="00C40E9A"/>
    <w:rsid w:val="00C420A3"/>
    <w:rsid w:val="00C43032"/>
    <w:rsid w:val="00C458C2"/>
    <w:rsid w:val="00C4595D"/>
    <w:rsid w:val="00C50042"/>
    <w:rsid w:val="00C510C2"/>
    <w:rsid w:val="00C51D0F"/>
    <w:rsid w:val="00C51E30"/>
    <w:rsid w:val="00C52C7A"/>
    <w:rsid w:val="00C53F82"/>
    <w:rsid w:val="00C558B5"/>
    <w:rsid w:val="00C55F8D"/>
    <w:rsid w:val="00C56568"/>
    <w:rsid w:val="00C567A0"/>
    <w:rsid w:val="00C56B2B"/>
    <w:rsid w:val="00C60115"/>
    <w:rsid w:val="00C60B94"/>
    <w:rsid w:val="00C6135D"/>
    <w:rsid w:val="00C61EC9"/>
    <w:rsid w:val="00C62727"/>
    <w:rsid w:val="00C627B3"/>
    <w:rsid w:val="00C62C93"/>
    <w:rsid w:val="00C63170"/>
    <w:rsid w:val="00C64A9A"/>
    <w:rsid w:val="00C67A90"/>
    <w:rsid w:val="00C71117"/>
    <w:rsid w:val="00C7239C"/>
    <w:rsid w:val="00C729A2"/>
    <w:rsid w:val="00C72E62"/>
    <w:rsid w:val="00C72F76"/>
    <w:rsid w:val="00C73341"/>
    <w:rsid w:val="00C748FA"/>
    <w:rsid w:val="00C74A87"/>
    <w:rsid w:val="00C756F9"/>
    <w:rsid w:val="00C76B1B"/>
    <w:rsid w:val="00C76C58"/>
    <w:rsid w:val="00C80155"/>
    <w:rsid w:val="00C80410"/>
    <w:rsid w:val="00C80977"/>
    <w:rsid w:val="00C82594"/>
    <w:rsid w:val="00C82604"/>
    <w:rsid w:val="00C836B7"/>
    <w:rsid w:val="00C83764"/>
    <w:rsid w:val="00C84053"/>
    <w:rsid w:val="00C8447E"/>
    <w:rsid w:val="00C85104"/>
    <w:rsid w:val="00C868CD"/>
    <w:rsid w:val="00C86DC1"/>
    <w:rsid w:val="00C903D1"/>
    <w:rsid w:val="00C90513"/>
    <w:rsid w:val="00C90A62"/>
    <w:rsid w:val="00C922C2"/>
    <w:rsid w:val="00C92FC3"/>
    <w:rsid w:val="00C9348C"/>
    <w:rsid w:val="00C94FFF"/>
    <w:rsid w:val="00C95C07"/>
    <w:rsid w:val="00C96684"/>
    <w:rsid w:val="00C96C0F"/>
    <w:rsid w:val="00C96FE3"/>
    <w:rsid w:val="00C97316"/>
    <w:rsid w:val="00CA19F0"/>
    <w:rsid w:val="00CA22A6"/>
    <w:rsid w:val="00CA2B20"/>
    <w:rsid w:val="00CA31E5"/>
    <w:rsid w:val="00CA41E6"/>
    <w:rsid w:val="00CA5CE6"/>
    <w:rsid w:val="00CA5DAA"/>
    <w:rsid w:val="00CA6959"/>
    <w:rsid w:val="00CA6C9F"/>
    <w:rsid w:val="00CB187E"/>
    <w:rsid w:val="00CB282C"/>
    <w:rsid w:val="00CB35BA"/>
    <w:rsid w:val="00CB3942"/>
    <w:rsid w:val="00CB490E"/>
    <w:rsid w:val="00CB4CE6"/>
    <w:rsid w:val="00CB52A7"/>
    <w:rsid w:val="00CB7799"/>
    <w:rsid w:val="00CC0BBE"/>
    <w:rsid w:val="00CC0D09"/>
    <w:rsid w:val="00CC11B4"/>
    <w:rsid w:val="00CC159A"/>
    <w:rsid w:val="00CC1DAB"/>
    <w:rsid w:val="00CC1E5C"/>
    <w:rsid w:val="00CC20D7"/>
    <w:rsid w:val="00CC2323"/>
    <w:rsid w:val="00CC3391"/>
    <w:rsid w:val="00CC436F"/>
    <w:rsid w:val="00CC5DA7"/>
    <w:rsid w:val="00CC5DB9"/>
    <w:rsid w:val="00CC6690"/>
    <w:rsid w:val="00CC70B3"/>
    <w:rsid w:val="00CC70C6"/>
    <w:rsid w:val="00CC7501"/>
    <w:rsid w:val="00CD15DD"/>
    <w:rsid w:val="00CD1E42"/>
    <w:rsid w:val="00CD1F4A"/>
    <w:rsid w:val="00CD22DA"/>
    <w:rsid w:val="00CD2866"/>
    <w:rsid w:val="00CD327A"/>
    <w:rsid w:val="00CD35C9"/>
    <w:rsid w:val="00CD3CE3"/>
    <w:rsid w:val="00CD3D9D"/>
    <w:rsid w:val="00CD3FB5"/>
    <w:rsid w:val="00CD5034"/>
    <w:rsid w:val="00CD59E6"/>
    <w:rsid w:val="00CD5A46"/>
    <w:rsid w:val="00CD64DB"/>
    <w:rsid w:val="00CD65E9"/>
    <w:rsid w:val="00CD695B"/>
    <w:rsid w:val="00CD6A4C"/>
    <w:rsid w:val="00CD6AA6"/>
    <w:rsid w:val="00CD7A32"/>
    <w:rsid w:val="00CE029A"/>
    <w:rsid w:val="00CE0AAC"/>
    <w:rsid w:val="00CE1B16"/>
    <w:rsid w:val="00CE2460"/>
    <w:rsid w:val="00CE3404"/>
    <w:rsid w:val="00CE3B67"/>
    <w:rsid w:val="00CE4593"/>
    <w:rsid w:val="00CE4B9B"/>
    <w:rsid w:val="00CE5F91"/>
    <w:rsid w:val="00CE7700"/>
    <w:rsid w:val="00CF252E"/>
    <w:rsid w:val="00CF2839"/>
    <w:rsid w:val="00CF2D46"/>
    <w:rsid w:val="00D0043B"/>
    <w:rsid w:val="00D01E57"/>
    <w:rsid w:val="00D05E10"/>
    <w:rsid w:val="00D06378"/>
    <w:rsid w:val="00D0663B"/>
    <w:rsid w:val="00D06A00"/>
    <w:rsid w:val="00D06D8A"/>
    <w:rsid w:val="00D104DA"/>
    <w:rsid w:val="00D10EE6"/>
    <w:rsid w:val="00D12326"/>
    <w:rsid w:val="00D12837"/>
    <w:rsid w:val="00D135F2"/>
    <w:rsid w:val="00D1365D"/>
    <w:rsid w:val="00D14C66"/>
    <w:rsid w:val="00D16F93"/>
    <w:rsid w:val="00D17B72"/>
    <w:rsid w:val="00D20AE9"/>
    <w:rsid w:val="00D2211D"/>
    <w:rsid w:val="00D22770"/>
    <w:rsid w:val="00D22C3D"/>
    <w:rsid w:val="00D23A7C"/>
    <w:rsid w:val="00D249D0"/>
    <w:rsid w:val="00D24B40"/>
    <w:rsid w:val="00D25082"/>
    <w:rsid w:val="00D255DB"/>
    <w:rsid w:val="00D25647"/>
    <w:rsid w:val="00D2628D"/>
    <w:rsid w:val="00D27C82"/>
    <w:rsid w:val="00D331CA"/>
    <w:rsid w:val="00D33311"/>
    <w:rsid w:val="00D33CAB"/>
    <w:rsid w:val="00D33CD2"/>
    <w:rsid w:val="00D33F58"/>
    <w:rsid w:val="00D35BFD"/>
    <w:rsid w:val="00D366E5"/>
    <w:rsid w:val="00D36C5D"/>
    <w:rsid w:val="00D36D19"/>
    <w:rsid w:val="00D3730A"/>
    <w:rsid w:val="00D41286"/>
    <w:rsid w:val="00D41ED6"/>
    <w:rsid w:val="00D42EA3"/>
    <w:rsid w:val="00D43051"/>
    <w:rsid w:val="00D44AEC"/>
    <w:rsid w:val="00D454EE"/>
    <w:rsid w:val="00D476EC"/>
    <w:rsid w:val="00D47931"/>
    <w:rsid w:val="00D479C7"/>
    <w:rsid w:val="00D47B35"/>
    <w:rsid w:val="00D528A2"/>
    <w:rsid w:val="00D5333C"/>
    <w:rsid w:val="00D539F5"/>
    <w:rsid w:val="00D5569E"/>
    <w:rsid w:val="00D55E82"/>
    <w:rsid w:val="00D56731"/>
    <w:rsid w:val="00D5712A"/>
    <w:rsid w:val="00D57142"/>
    <w:rsid w:val="00D57DE8"/>
    <w:rsid w:val="00D6013C"/>
    <w:rsid w:val="00D60338"/>
    <w:rsid w:val="00D60687"/>
    <w:rsid w:val="00D60D92"/>
    <w:rsid w:val="00D61B61"/>
    <w:rsid w:val="00D620C2"/>
    <w:rsid w:val="00D63BD2"/>
    <w:rsid w:val="00D6530C"/>
    <w:rsid w:val="00D67388"/>
    <w:rsid w:val="00D70CAB"/>
    <w:rsid w:val="00D72A93"/>
    <w:rsid w:val="00D754AF"/>
    <w:rsid w:val="00D76696"/>
    <w:rsid w:val="00D807DD"/>
    <w:rsid w:val="00D80E05"/>
    <w:rsid w:val="00D83C88"/>
    <w:rsid w:val="00D848A7"/>
    <w:rsid w:val="00D8623D"/>
    <w:rsid w:val="00D86A31"/>
    <w:rsid w:val="00D87DBF"/>
    <w:rsid w:val="00D91DDD"/>
    <w:rsid w:val="00D93FB7"/>
    <w:rsid w:val="00D93FBF"/>
    <w:rsid w:val="00D9400F"/>
    <w:rsid w:val="00D9619B"/>
    <w:rsid w:val="00D96613"/>
    <w:rsid w:val="00D97375"/>
    <w:rsid w:val="00D97F18"/>
    <w:rsid w:val="00DA0513"/>
    <w:rsid w:val="00DA0685"/>
    <w:rsid w:val="00DA12EB"/>
    <w:rsid w:val="00DA1C3D"/>
    <w:rsid w:val="00DA5D19"/>
    <w:rsid w:val="00DA630F"/>
    <w:rsid w:val="00DA7A09"/>
    <w:rsid w:val="00DB1FA3"/>
    <w:rsid w:val="00DB338C"/>
    <w:rsid w:val="00DB3892"/>
    <w:rsid w:val="00DB4603"/>
    <w:rsid w:val="00DB56EE"/>
    <w:rsid w:val="00DB5C41"/>
    <w:rsid w:val="00DB5DD6"/>
    <w:rsid w:val="00DC1239"/>
    <w:rsid w:val="00DC1DE6"/>
    <w:rsid w:val="00DC28E6"/>
    <w:rsid w:val="00DC3538"/>
    <w:rsid w:val="00DC53EF"/>
    <w:rsid w:val="00DC70C6"/>
    <w:rsid w:val="00DD004D"/>
    <w:rsid w:val="00DD0E23"/>
    <w:rsid w:val="00DD1014"/>
    <w:rsid w:val="00DD16F4"/>
    <w:rsid w:val="00DD48D3"/>
    <w:rsid w:val="00DD5C7C"/>
    <w:rsid w:val="00DD5E19"/>
    <w:rsid w:val="00DD61C0"/>
    <w:rsid w:val="00DD70EF"/>
    <w:rsid w:val="00DE287E"/>
    <w:rsid w:val="00DE2A9B"/>
    <w:rsid w:val="00DE3539"/>
    <w:rsid w:val="00DE3558"/>
    <w:rsid w:val="00DE4673"/>
    <w:rsid w:val="00DE4AC6"/>
    <w:rsid w:val="00DE4CA8"/>
    <w:rsid w:val="00DE5AF2"/>
    <w:rsid w:val="00DE651D"/>
    <w:rsid w:val="00DE693B"/>
    <w:rsid w:val="00DE6E79"/>
    <w:rsid w:val="00DE71A9"/>
    <w:rsid w:val="00DF00B2"/>
    <w:rsid w:val="00DF30D1"/>
    <w:rsid w:val="00DF3B0C"/>
    <w:rsid w:val="00DF41C8"/>
    <w:rsid w:val="00DF44EF"/>
    <w:rsid w:val="00DF46DA"/>
    <w:rsid w:val="00DF4896"/>
    <w:rsid w:val="00DF56F1"/>
    <w:rsid w:val="00DF5D5E"/>
    <w:rsid w:val="00DF7540"/>
    <w:rsid w:val="00E01FBB"/>
    <w:rsid w:val="00E02478"/>
    <w:rsid w:val="00E0280E"/>
    <w:rsid w:val="00E02AFC"/>
    <w:rsid w:val="00E03459"/>
    <w:rsid w:val="00E03E57"/>
    <w:rsid w:val="00E05823"/>
    <w:rsid w:val="00E062E2"/>
    <w:rsid w:val="00E07BCB"/>
    <w:rsid w:val="00E07C2A"/>
    <w:rsid w:val="00E1004B"/>
    <w:rsid w:val="00E1075A"/>
    <w:rsid w:val="00E10C2C"/>
    <w:rsid w:val="00E1119B"/>
    <w:rsid w:val="00E12859"/>
    <w:rsid w:val="00E12CB0"/>
    <w:rsid w:val="00E13884"/>
    <w:rsid w:val="00E15E4B"/>
    <w:rsid w:val="00E17773"/>
    <w:rsid w:val="00E203E3"/>
    <w:rsid w:val="00E20662"/>
    <w:rsid w:val="00E20AC2"/>
    <w:rsid w:val="00E2281D"/>
    <w:rsid w:val="00E22E52"/>
    <w:rsid w:val="00E230C7"/>
    <w:rsid w:val="00E26362"/>
    <w:rsid w:val="00E266AD"/>
    <w:rsid w:val="00E27FBA"/>
    <w:rsid w:val="00E30736"/>
    <w:rsid w:val="00E33EDB"/>
    <w:rsid w:val="00E34886"/>
    <w:rsid w:val="00E36858"/>
    <w:rsid w:val="00E36AA3"/>
    <w:rsid w:val="00E37E6A"/>
    <w:rsid w:val="00E412C1"/>
    <w:rsid w:val="00E41D62"/>
    <w:rsid w:val="00E42861"/>
    <w:rsid w:val="00E437A8"/>
    <w:rsid w:val="00E452E1"/>
    <w:rsid w:val="00E46335"/>
    <w:rsid w:val="00E508D4"/>
    <w:rsid w:val="00E50CE7"/>
    <w:rsid w:val="00E510C8"/>
    <w:rsid w:val="00E51744"/>
    <w:rsid w:val="00E5185C"/>
    <w:rsid w:val="00E53376"/>
    <w:rsid w:val="00E53485"/>
    <w:rsid w:val="00E53CC4"/>
    <w:rsid w:val="00E54103"/>
    <w:rsid w:val="00E547B6"/>
    <w:rsid w:val="00E55241"/>
    <w:rsid w:val="00E5609F"/>
    <w:rsid w:val="00E56561"/>
    <w:rsid w:val="00E60BBE"/>
    <w:rsid w:val="00E61086"/>
    <w:rsid w:val="00E6152B"/>
    <w:rsid w:val="00E61CA8"/>
    <w:rsid w:val="00E62C74"/>
    <w:rsid w:val="00E62E9D"/>
    <w:rsid w:val="00E633BF"/>
    <w:rsid w:val="00E633E0"/>
    <w:rsid w:val="00E6456C"/>
    <w:rsid w:val="00E6597F"/>
    <w:rsid w:val="00E67F6C"/>
    <w:rsid w:val="00E7000E"/>
    <w:rsid w:val="00E702D3"/>
    <w:rsid w:val="00E704C4"/>
    <w:rsid w:val="00E71BE3"/>
    <w:rsid w:val="00E74E0A"/>
    <w:rsid w:val="00E75558"/>
    <w:rsid w:val="00E76630"/>
    <w:rsid w:val="00E77D44"/>
    <w:rsid w:val="00E80AAE"/>
    <w:rsid w:val="00E80F99"/>
    <w:rsid w:val="00E82C36"/>
    <w:rsid w:val="00E82FFE"/>
    <w:rsid w:val="00E83E82"/>
    <w:rsid w:val="00E84875"/>
    <w:rsid w:val="00E84C30"/>
    <w:rsid w:val="00E85060"/>
    <w:rsid w:val="00E86BED"/>
    <w:rsid w:val="00E903EC"/>
    <w:rsid w:val="00E90F46"/>
    <w:rsid w:val="00E9161F"/>
    <w:rsid w:val="00E9493F"/>
    <w:rsid w:val="00E94981"/>
    <w:rsid w:val="00E95F66"/>
    <w:rsid w:val="00E96E1B"/>
    <w:rsid w:val="00E97E4D"/>
    <w:rsid w:val="00EA16BD"/>
    <w:rsid w:val="00EA1DA0"/>
    <w:rsid w:val="00EA24B9"/>
    <w:rsid w:val="00EA24C5"/>
    <w:rsid w:val="00EA28D0"/>
    <w:rsid w:val="00EA3942"/>
    <w:rsid w:val="00EA46E2"/>
    <w:rsid w:val="00EA4B81"/>
    <w:rsid w:val="00EA68D4"/>
    <w:rsid w:val="00EA6CD7"/>
    <w:rsid w:val="00EA79C8"/>
    <w:rsid w:val="00EB0ECA"/>
    <w:rsid w:val="00EB256E"/>
    <w:rsid w:val="00EB2F0A"/>
    <w:rsid w:val="00EB35EA"/>
    <w:rsid w:val="00EB50B2"/>
    <w:rsid w:val="00EB51C4"/>
    <w:rsid w:val="00EB58C4"/>
    <w:rsid w:val="00EB6FAA"/>
    <w:rsid w:val="00EB7072"/>
    <w:rsid w:val="00EB7550"/>
    <w:rsid w:val="00EC0779"/>
    <w:rsid w:val="00EC2306"/>
    <w:rsid w:val="00EC30DB"/>
    <w:rsid w:val="00EC3C8B"/>
    <w:rsid w:val="00EC4025"/>
    <w:rsid w:val="00EC454E"/>
    <w:rsid w:val="00EC5BEF"/>
    <w:rsid w:val="00EC610E"/>
    <w:rsid w:val="00ED0201"/>
    <w:rsid w:val="00ED03BA"/>
    <w:rsid w:val="00ED152D"/>
    <w:rsid w:val="00ED1FBC"/>
    <w:rsid w:val="00ED2843"/>
    <w:rsid w:val="00ED3364"/>
    <w:rsid w:val="00ED458C"/>
    <w:rsid w:val="00ED60FB"/>
    <w:rsid w:val="00ED701F"/>
    <w:rsid w:val="00EE039D"/>
    <w:rsid w:val="00EE10E2"/>
    <w:rsid w:val="00EE1CD0"/>
    <w:rsid w:val="00EE1E91"/>
    <w:rsid w:val="00EE20C1"/>
    <w:rsid w:val="00EE26F4"/>
    <w:rsid w:val="00EE3328"/>
    <w:rsid w:val="00EE370E"/>
    <w:rsid w:val="00EE4096"/>
    <w:rsid w:val="00EE520B"/>
    <w:rsid w:val="00EE5AD9"/>
    <w:rsid w:val="00EE67C0"/>
    <w:rsid w:val="00EE6F80"/>
    <w:rsid w:val="00EF0A6A"/>
    <w:rsid w:val="00EF10A0"/>
    <w:rsid w:val="00EF23C6"/>
    <w:rsid w:val="00EF27AA"/>
    <w:rsid w:val="00EF2AB3"/>
    <w:rsid w:val="00EF33AB"/>
    <w:rsid w:val="00EF40D1"/>
    <w:rsid w:val="00EF441C"/>
    <w:rsid w:val="00EF464A"/>
    <w:rsid w:val="00EF6D7A"/>
    <w:rsid w:val="00F0089C"/>
    <w:rsid w:val="00F020E9"/>
    <w:rsid w:val="00F032AE"/>
    <w:rsid w:val="00F056C8"/>
    <w:rsid w:val="00F05A78"/>
    <w:rsid w:val="00F066B5"/>
    <w:rsid w:val="00F077FC"/>
    <w:rsid w:val="00F07C35"/>
    <w:rsid w:val="00F11066"/>
    <w:rsid w:val="00F1185C"/>
    <w:rsid w:val="00F1240F"/>
    <w:rsid w:val="00F12E3B"/>
    <w:rsid w:val="00F130E5"/>
    <w:rsid w:val="00F135EC"/>
    <w:rsid w:val="00F13C29"/>
    <w:rsid w:val="00F14D05"/>
    <w:rsid w:val="00F16789"/>
    <w:rsid w:val="00F17C1F"/>
    <w:rsid w:val="00F21920"/>
    <w:rsid w:val="00F220C9"/>
    <w:rsid w:val="00F22DF0"/>
    <w:rsid w:val="00F23135"/>
    <w:rsid w:val="00F23E5B"/>
    <w:rsid w:val="00F246B1"/>
    <w:rsid w:val="00F26342"/>
    <w:rsid w:val="00F2681C"/>
    <w:rsid w:val="00F305C3"/>
    <w:rsid w:val="00F318BE"/>
    <w:rsid w:val="00F32359"/>
    <w:rsid w:val="00F3295E"/>
    <w:rsid w:val="00F3400F"/>
    <w:rsid w:val="00F345A3"/>
    <w:rsid w:val="00F34D52"/>
    <w:rsid w:val="00F35A61"/>
    <w:rsid w:val="00F36805"/>
    <w:rsid w:val="00F3726B"/>
    <w:rsid w:val="00F3733E"/>
    <w:rsid w:val="00F37E47"/>
    <w:rsid w:val="00F40581"/>
    <w:rsid w:val="00F42084"/>
    <w:rsid w:val="00F42089"/>
    <w:rsid w:val="00F44FEA"/>
    <w:rsid w:val="00F46913"/>
    <w:rsid w:val="00F46A89"/>
    <w:rsid w:val="00F5026C"/>
    <w:rsid w:val="00F50B06"/>
    <w:rsid w:val="00F50D5D"/>
    <w:rsid w:val="00F517BF"/>
    <w:rsid w:val="00F51DB2"/>
    <w:rsid w:val="00F52539"/>
    <w:rsid w:val="00F54C26"/>
    <w:rsid w:val="00F54EEC"/>
    <w:rsid w:val="00F552B3"/>
    <w:rsid w:val="00F57D60"/>
    <w:rsid w:val="00F60A6B"/>
    <w:rsid w:val="00F60FFD"/>
    <w:rsid w:val="00F627CC"/>
    <w:rsid w:val="00F6285E"/>
    <w:rsid w:val="00F62E00"/>
    <w:rsid w:val="00F62EF3"/>
    <w:rsid w:val="00F63987"/>
    <w:rsid w:val="00F639BC"/>
    <w:rsid w:val="00F648BA"/>
    <w:rsid w:val="00F65980"/>
    <w:rsid w:val="00F67CBA"/>
    <w:rsid w:val="00F70326"/>
    <w:rsid w:val="00F70D76"/>
    <w:rsid w:val="00F73E45"/>
    <w:rsid w:val="00F74548"/>
    <w:rsid w:val="00F75279"/>
    <w:rsid w:val="00F7655E"/>
    <w:rsid w:val="00F76F21"/>
    <w:rsid w:val="00F7738F"/>
    <w:rsid w:val="00F80251"/>
    <w:rsid w:val="00F81072"/>
    <w:rsid w:val="00F81479"/>
    <w:rsid w:val="00F8152D"/>
    <w:rsid w:val="00F81FA6"/>
    <w:rsid w:val="00F8397C"/>
    <w:rsid w:val="00F84288"/>
    <w:rsid w:val="00F84F00"/>
    <w:rsid w:val="00F8542C"/>
    <w:rsid w:val="00F86078"/>
    <w:rsid w:val="00F864E3"/>
    <w:rsid w:val="00F86CB4"/>
    <w:rsid w:val="00F872EC"/>
    <w:rsid w:val="00F906E9"/>
    <w:rsid w:val="00F91F21"/>
    <w:rsid w:val="00F92C25"/>
    <w:rsid w:val="00F935DF"/>
    <w:rsid w:val="00F936AC"/>
    <w:rsid w:val="00F93F79"/>
    <w:rsid w:val="00F95087"/>
    <w:rsid w:val="00F97361"/>
    <w:rsid w:val="00F97EB3"/>
    <w:rsid w:val="00FA1284"/>
    <w:rsid w:val="00FA1334"/>
    <w:rsid w:val="00FA29D1"/>
    <w:rsid w:val="00FA502B"/>
    <w:rsid w:val="00FA5055"/>
    <w:rsid w:val="00FA5683"/>
    <w:rsid w:val="00FA6FCE"/>
    <w:rsid w:val="00FA710F"/>
    <w:rsid w:val="00FA7BE5"/>
    <w:rsid w:val="00FB0600"/>
    <w:rsid w:val="00FB289F"/>
    <w:rsid w:val="00FB2BEB"/>
    <w:rsid w:val="00FB2D8D"/>
    <w:rsid w:val="00FB2E1B"/>
    <w:rsid w:val="00FB3978"/>
    <w:rsid w:val="00FB3A0A"/>
    <w:rsid w:val="00FB3AB4"/>
    <w:rsid w:val="00FB52C2"/>
    <w:rsid w:val="00FB594D"/>
    <w:rsid w:val="00FB6A90"/>
    <w:rsid w:val="00FC2AD8"/>
    <w:rsid w:val="00FC2BD8"/>
    <w:rsid w:val="00FC6C0D"/>
    <w:rsid w:val="00FC789F"/>
    <w:rsid w:val="00FC7B33"/>
    <w:rsid w:val="00FD1207"/>
    <w:rsid w:val="00FD19AF"/>
    <w:rsid w:val="00FD5FA4"/>
    <w:rsid w:val="00FD7126"/>
    <w:rsid w:val="00FE165A"/>
    <w:rsid w:val="00FE1B15"/>
    <w:rsid w:val="00FE27C6"/>
    <w:rsid w:val="00FE3C1C"/>
    <w:rsid w:val="00FE3E01"/>
    <w:rsid w:val="00FE3F1E"/>
    <w:rsid w:val="00FE4B3B"/>
    <w:rsid w:val="00FE78D3"/>
    <w:rsid w:val="00FE7C8C"/>
    <w:rsid w:val="00FF3362"/>
    <w:rsid w:val="00FF570D"/>
    <w:rsid w:val="00FF582C"/>
    <w:rsid w:val="00FF64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E7F5BC"/>
  <w15:docId w15:val="{CA0131BC-3BCC-4E19-9FFA-0B4B153D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2EAC"/>
    <w:pPr>
      <w:spacing w:after="200" w:line="276" w:lineRule="auto"/>
    </w:pPr>
  </w:style>
  <w:style w:type="paragraph" w:styleId="Nagwek1">
    <w:name w:val="heading 1"/>
    <w:basedOn w:val="Normalny"/>
    <w:next w:val="Normalny"/>
    <w:link w:val="Nagwek1Znak"/>
    <w:uiPriority w:val="9"/>
    <w:qFormat/>
    <w:rsid w:val="003E76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E6152B"/>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E6152B"/>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aszerű bekezdés1,List Paragraph à moi,Recommendation,List Paragraph11,Kolorowa lista — akcent 11,Numerowanie,Dot pt,F5 List Paragraph,Numbered Para 1,No Spacing1,Indicator Text,Bullet 1,List Paragraph Char Char Char,2,Akapit z list?,3"/>
    <w:basedOn w:val="Normalny"/>
    <w:link w:val="AkapitzlistZnak"/>
    <w:uiPriority w:val="34"/>
    <w:qFormat/>
    <w:rsid w:val="001B7AB8"/>
    <w:pPr>
      <w:ind w:left="720"/>
      <w:contextualSpacing/>
    </w:pPr>
  </w:style>
  <w:style w:type="character" w:customStyle="1" w:styleId="Footnote">
    <w:name w:val="Footnote_"/>
    <w:basedOn w:val="Domylnaczcionkaakapitu"/>
    <w:link w:val="Footnote0"/>
    <w:rsid w:val="001B7AB8"/>
    <w:rPr>
      <w:rFonts w:ascii="Calibri" w:eastAsia="Calibri" w:hAnsi="Calibri" w:cs="Calibri"/>
      <w:sz w:val="19"/>
      <w:szCs w:val="19"/>
      <w:shd w:val="clear" w:color="auto" w:fill="FFFFFF"/>
    </w:rPr>
  </w:style>
  <w:style w:type="paragraph" w:customStyle="1" w:styleId="Footnote0">
    <w:name w:val="Footnote"/>
    <w:basedOn w:val="Normalny"/>
    <w:link w:val="Footnote"/>
    <w:rsid w:val="001B7AB8"/>
    <w:pPr>
      <w:shd w:val="clear" w:color="auto" w:fill="FFFFFF"/>
      <w:spacing w:after="0" w:line="241" w:lineRule="exact"/>
    </w:pPr>
    <w:rPr>
      <w:rFonts w:ascii="Calibri" w:eastAsia="Calibri" w:hAnsi="Calibri" w:cs="Calibri"/>
      <w:sz w:val="19"/>
      <w:szCs w:val="19"/>
    </w:rPr>
  </w:style>
  <w:style w:type="paragraph" w:customStyle="1" w:styleId="Default">
    <w:name w:val="Default"/>
    <w:rsid w:val="00382E67"/>
    <w:pPr>
      <w:autoSpaceDE w:val="0"/>
      <w:autoSpaceDN w:val="0"/>
      <w:adjustRightInd w:val="0"/>
      <w:spacing w:after="0" w:line="240" w:lineRule="auto"/>
    </w:pPr>
    <w:rPr>
      <w:rFonts w:ascii="EUAlbertina" w:hAnsi="EUAlbertina" w:cs="EUAlbertina"/>
      <w:color w:val="000000"/>
      <w:sz w:val="24"/>
      <w:szCs w:val="24"/>
    </w:rPr>
  </w:style>
  <w:style w:type="paragraph" w:styleId="Tekstprzypisudolnego">
    <w:name w:val="footnote text"/>
    <w:basedOn w:val="Normalny"/>
    <w:link w:val="TekstprzypisudolnegoZnak"/>
    <w:uiPriority w:val="99"/>
    <w:unhideWhenUsed/>
    <w:qFormat/>
    <w:rsid w:val="00CE4B9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CE4B9B"/>
    <w:rPr>
      <w:sz w:val="20"/>
      <w:szCs w:val="20"/>
    </w:rPr>
  </w:style>
  <w:style w:type="character" w:styleId="Odwoanieprzypisudolnego">
    <w:name w:val="footnote reference"/>
    <w:aliases w:val="OZNAKA OPOMBE,FZ,Char1,Ref,de nota al pie,Footnote Reference Number,Footnote Reference_LVL6,Footnote Reference_LVL61,Footnote Reference_LVL62,Footnote Reference_LVL63,Footnote Reference_LVL64,Footnote number, Char1"/>
    <w:basedOn w:val="Domylnaczcionkaakapitu"/>
    <w:uiPriority w:val="99"/>
    <w:unhideWhenUsed/>
    <w:qFormat/>
    <w:rsid w:val="00CE4B9B"/>
    <w:rPr>
      <w:vertAlign w:val="superscript"/>
    </w:rPr>
  </w:style>
  <w:style w:type="character" w:customStyle="1" w:styleId="Nagwek2Znak">
    <w:name w:val="Nagłówek 2 Znak"/>
    <w:basedOn w:val="Domylnaczcionkaakapitu"/>
    <w:link w:val="Nagwek2"/>
    <w:uiPriority w:val="9"/>
    <w:rsid w:val="00E6152B"/>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E6152B"/>
    <w:rPr>
      <w:rFonts w:ascii="Times New Roman" w:eastAsia="Times New Roman" w:hAnsi="Times New Roman" w:cs="Times New Roman"/>
      <w:b/>
      <w:bCs/>
      <w:sz w:val="27"/>
      <w:szCs w:val="27"/>
      <w:lang w:eastAsia="pl-PL"/>
    </w:rPr>
  </w:style>
  <w:style w:type="character" w:customStyle="1" w:styleId="validity">
    <w:name w:val="validity"/>
    <w:basedOn w:val="Domylnaczcionkaakapitu"/>
    <w:rsid w:val="00E6152B"/>
  </w:style>
  <w:style w:type="character" w:customStyle="1" w:styleId="blue">
    <w:name w:val="blue"/>
    <w:basedOn w:val="Domylnaczcionkaakapitu"/>
    <w:rsid w:val="00E6152B"/>
  </w:style>
  <w:style w:type="character" w:customStyle="1" w:styleId="Nagwek1Znak">
    <w:name w:val="Nagłówek 1 Znak"/>
    <w:basedOn w:val="Domylnaczcionkaakapitu"/>
    <w:link w:val="Nagwek1"/>
    <w:uiPriority w:val="9"/>
    <w:rsid w:val="003E760F"/>
    <w:rPr>
      <w:rFonts w:asciiTheme="majorHAnsi" w:eastAsiaTheme="majorEastAsia" w:hAnsiTheme="majorHAnsi" w:cstheme="majorBidi"/>
      <w:color w:val="2E74B5" w:themeColor="accent1" w:themeShade="BF"/>
      <w:sz w:val="32"/>
      <w:szCs w:val="32"/>
    </w:rPr>
  </w:style>
  <w:style w:type="character" w:customStyle="1" w:styleId="tlid-translation">
    <w:name w:val="tlid-translation"/>
    <w:basedOn w:val="Domylnaczcionkaakapitu"/>
    <w:rsid w:val="00310ED3"/>
  </w:style>
  <w:style w:type="character" w:styleId="Hipercze">
    <w:name w:val="Hyperlink"/>
    <w:basedOn w:val="Domylnaczcionkaakapitu"/>
    <w:uiPriority w:val="99"/>
    <w:unhideWhenUsed/>
    <w:rsid w:val="00345EB1"/>
    <w:rPr>
      <w:color w:val="0000FF"/>
      <w:u w:val="single"/>
    </w:rPr>
  </w:style>
  <w:style w:type="character" w:customStyle="1" w:styleId="AkapitzlistZnak">
    <w:name w:val="Akapit z listą Znak"/>
    <w:aliases w:val="Listaszerű bekezdés1 Znak,List Paragraph à moi Znak,Recommendation Znak,List Paragraph11 Znak,Kolorowa lista — akcent 11 Znak,Numerowanie Znak,Dot pt Znak,F5 List Paragraph Znak,Numbered Para 1 Znak,No Spacing1 Znak,Bullet 1 Znak"/>
    <w:link w:val="Akapitzlist"/>
    <w:uiPriority w:val="34"/>
    <w:qFormat/>
    <w:locked/>
    <w:rsid w:val="00345EB1"/>
  </w:style>
  <w:style w:type="character" w:customStyle="1" w:styleId="highlight">
    <w:name w:val="highlight"/>
    <w:basedOn w:val="Domylnaczcionkaakapitu"/>
    <w:rsid w:val="00D55E82"/>
  </w:style>
  <w:style w:type="paragraph" w:customStyle="1" w:styleId="DATAAKTUdatauchwalenialubwydaniaaktu">
    <w:name w:val="DATA_AKTU – data uchwalenia lub wydania aktu"/>
    <w:next w:val="Normalny"/>
    <w:uiPriority w:val="6"/>
    <w:qFormat/>
    <w:rsid w:val="006E7AF3"/>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ARTartustawynprozporzdzenia">
    <w:name w:val="ART(§) – art. ustawy (§ np. rozporządzenia)"/>
    <w:uiPriority w:val="11"/>
    <w:qFormat/>
    <w:rsid w:val="006E7AF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6E7AF3"/>
    <w:pPr>
      <w:spacing w:before="0"/>
    </w:pPr>
    <w:rPr>
      <w:bCs/>
    </w:rPr>
  </w:style>
  <w:style w:type="paragraph" w:styleId="Nagwek">
    <w:name w:val="header"/>
    <w:basedOn w:val="Normalny"/>
    <w:link w:val="NagwekZnak"/>
    <w:uiPriority w:val="99"/>
    <w:unhideWhenUsed/>
    <w:rsid w:val="00D004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043B"/>
  </w:style>
  <w:style w:type="paragraph" w:styleId="Stopka">
    <w:name w:val="footer"/>
    <w:basedOn w:val="Normalny"/>
    <w:link w:val="StopkaZnak"/>
    <w:uiPriority w:val="99"/>
    <w:unhideWhenUsed/>
    <w:rsid w:val="00D004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043B"/>
  </w:style>
  <w:style w:type="paragraph" w:customStyle="1" w:styleId="PKTpunkt">
    <w:name w:val="PKT – punkt"/>
    <w:basedOn w:val="Normalny"/>
    <w:uiPriority w:val="13"/>
    <w:qFormat/>
    <w:rsid w:val="0021512B"/>
    <w:pPr>
      <w:spacing w:after="0" w:line="360" w:lineRule="auto"/>
      <w:ind w:left="510" w:hanging="510"/>
      <w:jc w:val="both"/>
    </w:pPr>
    <w:rPr>
      <w:rFonts w:ascii="Times" w:hAnsi="Times" w:cs="Times New Roman"/>
      <w:sz w:val="24"/>
      <w:szCs w:val="24"/>
      <w:lang w:eastAsia="pl-PL"/>
    </w:rPr>
  </w:style>
  <w:style w:type="character" w:customStyle="1" w:styleId="Ppogrubienie">
    <w:name w:val="_P_ – pogrubienie"/>
    <w:basedOn w:val="Domylnaczcionkaakapitu"/>
    <w:uiPriority w:val="1"/>
    <w:qFormat/>
    <w:rsid w:val="00123BE2"/>
    <w:rPr>
      <w:b/>
    </w:rPr>
  </w:style>
  <w:style w:type="paragraph" w:styleId="Tekstkomentarza">
    <w:name w:val="annotation text"/>
    <w:basedOn w:val="Normalny"/>
    <w:link w:val="TekstkomentarzaZnak"/>
    <w:uiPriority w:val="99"/>
    <w:unhideWhenUsed/>
    <w:rsid w:val="00A34A4B"/>
    <w:pPr>
      <w:spacing w:line="240" w:lineRule="auto"/>
    </w:pPr>
    <w:rPr>
      <w:sz w:val="20"/>
      <w:szCs w:val="20"/>
    </w:rPr>
  </w:style>
  <w:style w:type="character" w:customStyle="1" w:styleId="TekstkomentarzaZnak">
    <w:name w:val="Tekst komentarza Znak"/>
    <w:basedOn w:val="Domylnaczcionkaakapitu"/>
    <w:link w:val="Tekstkomentarza"/>
    <w:uiPriority w:val="99"/>
    <w:rsid w:val="00A34A4B"/>
    <w:rPr>
      <w:sz w:val="20"/>
      <w:szCs w:val="20"/>
    </w:rPr>
  </w:style>
  <w:style w:type="paragraph" w:styleId="Tematkomentarza">
    <w:name w:val="annotation subject"/>
    <w:basedOn w:val="Tekstkomentarza"/>
    <w:next w:val="Tekstkomentarza"/>
    <w:link w:val="TematkomentarzaZnak"/>
    <w:uiPriority w:val="99"/>
    <w:semiHidden/>
    <w:unhideWhenUsed/>
    <w:rsid w:val="00A34A4B"/>
    <w:pPr>
      <w:widowControl w:val="0"/>
      <w:autoSpaceDE w:val="0"/>
      <w:autoSpaceDN w:val="0"/>
      <w:adjustRightInd w:val="0"/>
      <w:spacing w:after="0"/>
    </w:pPr>
    <w:rPr>
      <w:rFonts w:ascii="Times New Roman" w:eastAsiaTheme="minorEastAsia" w:hAnsi="Times New Roman" w:cs="Arial"/>
      <w:b/>
      <w:bCs/>
      <w:lang w:eastAsia="pl-PL"/>
    </w:rPr>
  </w:style>
  <w:style w:type="character" w:customStyle="1" w:styleId="TematkomentarzaZnak">
    <w:name w:val="Temat komentarza Znak"/>
    <w:basedOn w:val="TekstkomentarzaZnak"/>
    <w:link w:val="Tematkomentarza"/>
    <w:uiPriority w:val="99"/>
    <w:semiHidden/>
    <w:rsid w:val="00A34A4B"/>
    <w:rPr>
      <w:rFonts w:ascii="Times New Roman" w:eastAsiaTheme="minorEastAsia" w:hAnsi="Times New Roman" w:cs="Arial"/>
      <w:b/>
      <w:bCs/>
      <w:sz w:val="20"/>
      <w:szCs w:val="20"/>
      <w:lang w:eastAsia="pl-PL"/>
    </w:rPr>
  </w:style>
  <w:style w:type="paragraph" w:customStyle="1" w:styleId="LITlitera">
    <w:name w:val="LIT – litera"/>
    <w:basedOn w:val="PKTpunkt"/>
    <w:uiPriority w:val="14"/>
    <w:qFormat/>
    <w:rsid w:val="008911E5"/>
    <w:pPr>
      <w:ind w:left="986" w:hanging="476"/>
    </w:pPr>
    <w:rPr>
      <w:rFonts w:eastAsiaTheme="minorEastAsia" w:cs="Arial"/>
      <w:bCs/>
      <w:szCs w:val="20"/>
    </w:rPr>
  </w:style>
  <w:style w:type="paragraph" w:customStyle="1" w:styleId="Tiret0">
    <w:name w:val="Tiret 0"/>
    <w:basedOn w:val="Normalny"/>
    <w:rsid w:val="00266D90"/>
    <w:pPr>
      <w:numPr>
        <w:numId w:val="4"/>
      </w:numPr>
      <w:spacing w:before="120" w:after="120" w:line="240" w:lineRule="auto"/>
      <w:jc w:val="both"/>
    </w:pPr>
    <w:rPr>
      <w:rFonts w:ascii="Times New Roman" w:hAnsi="Times New Roman" w:cs="Times New Roman"/>
      <w:sz w:val="24"/>
      <w:lang w:eastAsia="pl-PL" w:bidi="pl-PL"/>
    </w:rPr>
  </w:style>
  <w:style w:type="paragraph" w:customStyle="1" w:styleId="Normalny1">
    <w:name w:val="Normalny1"/>
    <w:basedOn w:val="Normalny"/>
    <w:rsid w:val="001C70F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4752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75237"/>
    <w:rPr>
      <w:rFonts w:ascii="Segoe UI" w:hAnsi="Segoe UI" w:cs="Segoe UI"/>
      <w:sz w:val="18"/>
      <w:szCs w:val="18"/>
    </w:rPr>
  </w:style>
  <w:style w:type="paragraph" w:customStyle="1" w:styleId="ppkt">
    <w:name w:val="p.pkt"/>
    <w:uiPriority w:val="99"/>
    <w:rsid w:val="007850DB"/>
    <w:pPr>
      <w:widowControl w:val="0"/>
      <w:autoSpaceDE w:val="0"/>
      <w:autoSpaceDN w:val="0"/>
      <w:adjustRightInd w:val="0"/>
      <w:spacing w:after="0" w:line="40" w:lineRule="atLeast"/>
      <w:ind w:left="240"/>
      <w:jc w:val="both"/>
    </w:pPr>
    <w:rPr>
      <w:rFonts w:ascii="Helvetica" w:eastAsia="Times New Roman" w:hAnsi="Helvetica" w:cs="Helvetica"/>
      <w:color w:val="000000"/>
      <w:sz w:val="18"/>
      <w:szCs w:val="18"/>
      <w:lang w:eastAsia="pl-PL"/>
    </w:rPr>
  </w:style>
  <w:style w:type="character" w:styleId="Odwoaniedokomentarza">
    <w:name w:val="annotation reference"/>
    <w:basedOn w:val="Domylnaczcionkaakapitu"/>
    <w:uiPriority w:val="99"/>
    <w:unhideWhenUsed/>
    <w:rsid w:val="00230B93"/>
    <w:rPr>
      <w:sz w:val="16"/>
      <w:szCs w:val="16"/>
    </w:rPr>
  </w:style>
  <w:style w:type="paragraph" w:styleId="Poprawka">
    <w:name w:val="Revision"/>
    <w:hidden/>
    <w:uiPriority w:val="99"/>
    <w:semiHidden/>
    <w:rsid w:val="0056192C"/>
    <w:pPr>
      <w:spacing w:after="0" w:line="240" w:lineRule="auto"/>
    </w:pPr>
  </w:style>
  <w:style w:type="paragraph" w:customStyle="1" w:styleId="ZARTzmartartykuempunktem">
    <w:name w:val="Z/ART(§) – zm. art. (§) artykułem (punktem)"/>
    <w:basedOn w:val="ARTartustawynprozporzdzenia"/>
    <w:uiPriority w:val="30"/>
    <w:qFormat/>
    <w:rsid w:val="00521595"/>
    <w:pPr>
      <w:spacing w:before="0"/>
      <w:ind w:left="510"/>
    </w:pPr>
  </w:style>
  <w:style w:type="paragraph" w:customStyle="1" w:styleId="ZUSTzmustartykuempunktem">
    <w:name w:val="Z/UST(§) – zm. ust. (§) artykułem (punktem)"/>
    <w:basedOn w:val="ZARTzmartartykuempunktem"/>
    <w:uiPriority w:val="30"/>
    <w:qFormat/>
    <w:rsid w:val="00066C3B"/>
  </w:style>
  <w:style w:type="paragraph" w:customStyle="1" w:styleId="ZLITzmlitartykuempunktem">
    <w:name w:val="Z/LIT – zm. lit. artykułem (punktem)"/>
    <w:basedOn w:val="LITlitera"/>
    <w:uiPriority w:val="32"/>
    <w:qFormat/>
    <w:rsid w:val="001752FC"/>
  </w:style>
  <w:style w:type="paragraph" w:customStyle="1" w:styleId="ZPKTzmpktartykuempunktem">
    <w:name w:val="Z/PKT – zm. pkt artykułem (punktem)"/>
    <w:basedOn w:val="Normalny"/>
    <w:uiPriority w:val="31"/>
    <w:qFormat/>
    <w:rsid w:val="009F6666"/>
    <w:pPr>
      <w:spacing w:after="0" w:line="360" w:lineRule="auto"/>
      <w:ind w:left="1020" w:hanging="510"/>
      <w:jc w:val="both"/>
    </w:pPr>
    <w:rPr>
      <w:rFonts w:ascii="Times" w:eastAsiaTheme="minorEastAsia" w:hAnsi="Times" w:cs="Arial"/>
      <w:bCs/>
      <w:sz w:val="24"/>
      <w:szCs w:val="20"/>
      <w:lang w:eastAsia="pl-PL"/>
    </w:rPr>
  </w:style>
  <w:style w:type="paragraph" w:styleId="NormalnyWeb">
    <w:name w:val="Normal (Web)"/>
    <w:basedOn w:val="Normalny"/>
    <w:uiPriority w:val="99"/>
    <w:semiHidden/>
    <w:unhideWhenUsed/>
    <w:rsid w:val="00762167"/>
    <w:pPr>
      <w:spacing w:before="30" w:after="45" w:line="240" w:lineRule="auto"/>
    </w:pPr>
    <w:rPr>
      <w:rFonts w:ascii="Times New Roman" w:eastAsia="Times New Roman" w:hAnsi="Times New Roman" w:cs="Times New Roman"/>
      <w:sz w:val="24"/>
      <w:szCs w:val="24"/>
      <w:lang w:eastAsia="pl-PL"/>
    </w:rPr>
  </w:style>
  <w:style w:type="paragraph" w:customStyle="1" w:styleId="ODNONIKtreodnonika">
    <w:name w:val="ODNOŚNIK – treść odnośnika"/>
    <w:uiPriority w:val="19"/>
    <w:qFormat/>
    <w:rsid w:val="00E82FFE"/>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E82FFE"/>
    <w:rPr>
      <w:b w:val="0"/>
      <w:i w:val="0"/>
      <w:vanish w:val="0"/>
      <w:spacing w:val="0"/>
      <w:vertAlign w:val="superscript"/>
    </w:rPr>
  </w:style>
  <w:style w:type="paragraph" w:customStyle="1" w:styleId="Normalny2">
    <w:name w:val="Normalny2"/>
    <w:basedOn w:val="Normalny"/>
    <w:rsid w:val="0036168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953378"/>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ZLITUSTzmustliter">
    <w:name w:val="Z_LIT/UST(§) – zm. ust. (§) literą"/>
    <w:basedOn w:val="USTustnpkodeksu"/>
    <w:uiPriority w:val="44"/>
    <w:qFormat/>
    <w:rsid w:val="00896018"/>
    <w:pPr>
      <w:ind w:left="987"/>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3351">
      <w:bodyDiv w:val="1"/>
      <w:marLeft w:val="0"/>
      <w:marRight w:val="0"/>
      <w:marTop w:val="0"/>
      <w:marBottom w:val="0"/>
      <w:divBdr>
        <w:top w:val="none" w:sz="0" w:space="0" w:color="auto"/>
        <w:left w:val="none" w:sz="0" w:space="0" w:color="auto"/>
        <w:bottom w:val="none" w:sz="0" w:space="0" w:color="auto"/>
        <w:right w:val="none" w:sz="0" w:space="0" w:color="auto"/>
      </w:divBdr>
    </w:div>
    <w:div w:id="30041063">
      <w:bodyDiv w:val="1"/>
      <w:marLeft w:val="0"/>
      <w:marRight w:val="0"/>
      <w:marTop w:val="0"/>
      <w:marBottom w:val="0"/>
      <w:divBdr>
        <w:top w:val="none" w:sz="0" w:space="0" w:color="auto"/>
        <w:left w:val="none" w:sz="0" w:space="0" w:color="auto"/>
        <w:bottom w:val="none" w:sz="0" w:space="0" w:color="auto"/>
        <w:right w:val="none" w:sz="0" w:space="0" w:color="auto"/>
      </w:divBdr>
    </w:div>
    <w:div w:id="136385817">
      <w:bodyDiv w:val="1"/>
      <w:marLeft w:val="0"/>
      <w:marRight w:val="0"/>
      <w:marTop w:val="0"/>
      <w:marBottom w:val="0"/>
      <w:divBdr>
        <w:top w:val="none" w:sz="0" w:space="0" w:color="auto"/>
        <w:left w:val="none" w:sz="0" w:space="0" w:color="auto"/>
        <w:bottom w:val="none" w:sz="0" w:space="0" w:color="auto"/>
        <w:right w:val="none" w:sz="0" w:space="0" w:color="auto"/>
      </w:divBdr>
    </w:div>
    <w:div w:id="274752997">
      <w:bodyDiv w:val="1"/>
      <w:marLeft w:val="0"/>
      <w:marRight w:val="0"/>
      <w:marTop w:val="0"/>
      <w:marBottom w:val="0"/>
      <w:divBdr>
        <w:top w:val="none" w:sz="0" w:space="0" w:color="auto"/>
        <w:left w:val="none" w:sz="0" w:space="0" w:color="auto"/>
        <w:bottom w:val="none" w:sz="0" w:space="0" w:color="auto"/>
        <w:right w:val="none" w:sz="0" w:space="0" w:color="auto"/>
      </w:divBdr>
    </w:div>
    <w:div w:id="283270927">
      <w:bodyDiv w:val="1"/>
      <w:marLeft w:val="0"/>
      <w:marRight w:val="0"/>
      <w:marTop w:val="0"/>
      <w:marBottom w:val="0"/>
      <w:divBdr>
        <w:top w:val="none" w:sz="0" w:space="0" w:color="auto"/>
        <w:left w:val="none" w:sz="0" w:space="0" w:color="auto"/>
        <w:bottom w:val="none" w:sz="0" w:space="0" w:color="auto"/>
        <w:right w:val="none" w:sz="0" w:space="0" w:color="auto"/>
      </w:divBdr>
    </w:div>
    <w:div w:id="368796447">
      <w:bodyDiv w:val="1"/>
      <w:marLeft w:val="0"/>
      <w:marRight w:val="0"/>
      <w:marTop w:val="0"/>
      <w:marBottom w:val="0"/>
      <w:divBdr>
        <w:top w:val="none" w:sz="0" w:space="0" w:color="auto"/>
        <w:left w:val="none" w:sz="0" w:space="0" w:color="auto"/>
        <w:bottom w:val="none" w:sz="0" w:space="0" w:color="auto"/>
        <w:right w:val="none" w:sz="0" w:space="0" w:color="auto"/>
      </w:divBdr>
    </w:div>
    <w:div w:id="400064176">
      <w:bodyDiv w:val="1"/>
      <w:marLeft w:val="0"/>
      <w:marRight w:val="0"/>
      <w:marTop w:val="0"/>
      <w:marBottom w:val="0"/>
      <w:divBdr>
        <w:top w:val="none" w:sz="0" w:space="0" w:color="auto"/>
        <w:left w:val="none" w:sz="0" w:space="0" w:color="auto"/>
        <w:bottom w:val="none" w:sz="0" w:space="0" w:color="auto"/>
        <w:right w:val="none" w:sz="0" w:space="0" w:color="auto"/>
      </w:divBdr>
    </w:div>
    <w:div w:id="421224839">
      <w:bodyDiv w:val="1"/>
      <w:marLeft w:val="0"/>
      <w:marRight w:val="0"/>
      <w:marTop w:val="0"/>
      <w:marBottom w:val="0"/>
      <w:divBdr>
        <w:top w:val="none" w:sz="0" w:space="0" w:color="auto"/>
        <w:left w:val="none" w:sz="0" w:space="0" w:color="auto"/>
        <w:bottom w:val="none" w:sz="0" w:space="0" w:color="auto"/>
        <w:right w:val="none" w:sz="0" w:space="0" w:color="auto"/>
      </w:divBdr>
    </w:div>
    <w:div w:id="518739813">
      <w:bodyDiv w:val="1"/>
      <w:marLeft w:val="0"/>
      <w:marRight w:val="0"/>
      <w:marTop w:val="0"/>
      <w:marBottom w:val="0"/>
      <w:divBdr>
        <w:top w:val="none" w:sz="0" w:space="0" w:color="auto"/>
        <w:left w:val="none" w:sz="0" w:space="0" w:color="auto"/>
        <w:bottom w:val="none" w:sz="0" w:space="0" w:color="auto"/>
        <w:right w:val="none" w:sz="0" w:space="0" w:color="auto"/>
      </w:divBdr>
    </w:div>
    <w:div w:id="579173479">
      <w:bodyDiv w:val="1"/>
      <w:marLeft w:val="0"/>
      <w:marRight w:val="0"/>
      <w:marTop w:val="0"/>
      <w:marBottom w:val="0"/>
      <w:divBdr>
        <w:top w:val="none" w:sz="0" w:space="0" w:color="auto"/>
        <w:left w:val="none" w:sz="0" w:space="0" w:color="auto"/>
        <w:bottom w:val="none" w:sz="0" w:space="0" w:color="auto"/>
        <w:right w:val="none" w:sz="0" w:space="0" w:color="auto"/>
      </w:divBdr>
    </w:div>
    <w:div w:id="682442743">
      <w:bodyDiv w:val="1"/>
      <w:marLeft w:val="0"/>
      <w:marRight w:val="0"/>
      <w:marTop w:val="0"/>
      <w:marBottom w:val="0"/>
      <w:divBdr>
        <w:top w:val="none" w:sz="0" w:space="0" w:color="auto"/>
        <w:left w:val="none" w:sz="0" w:space="0" w:color="auto"/>
        <w:bottom w:val="none" w:sz="0" w:space="0" w:color="auto"/>
        <w:right w:val="none" w:sz="0" w:space="0" w:color="auto"/>
      </w:divBdr>
    </w:div>
    <w:div w:id="685444599">
      <w:bodyDiv w:val="1"/>
      <w:marLeft w:val="0"/>
      <w:marRight w:val="0"/>
      <w:marTop w:val="0"/>
      <w:marBottom w:val="0"/>
      <w:divBdr>
        <w:top w:val="none" w:sz="0" w:space="0" w:color="auto"/>
        <w:left w:val="none" w:sz="0" w:space="0" w:color="auto"/>
        <w:bottom w:val="none" w:sz="0" w:space="0" w:color="auto"/>
        <w:right w:val="none" w:sz="0" w:space="0" w:color="auto"/>
      </w:divBdr>
    </w:div>
    <w:div w:id="890268309">
      <w:bodyDiv w:val="1"/>
      <w:marLeft w:val="0"/>
      <w:marRight w:val="0"/>
      <w:marTop w:val="0"/>
      <w:marBottom w:val="0"/>
      <w:divBdr>
        <w:top w:val="none" w:sz="0" w:space="0" w:color="auto"/>
        <w:left w:val="none" w:sz="0" w:space="0" w:color="auto"/>
        <w:bottom w:val="none" w:sz="0" w:space="0" w:color="auto"/>
        <w:right w:val="none" w:sz="0" w:space="0" w:color="auto"/>
      </w:divBdr>
    </w:div>
    <w:div w:id="979462577">
      <w:bodyDiv w:val="1"/>
      <w:marLeft w:val="0"/>
      <w:marRight w:val="0"/>
      <w:marTop w:val="0"/>
      <w:marBottom w:val="0"/>
      <w:divBdr>
        <w:top w:val="none" w:sz="0" w:space="0" w:color="auto"/>
        <w:left w:val="none" w:sz="0" w:space="0" w:color="auto"/>
        <w:bottom w:val="none" w:sz="0" w:space="0" w:color="auto"/>
        <w:right w:val="none" w:sz="0" w:space="0" w:color="auto"/>
      </w:divBdr>
    </w:div>
    <w:div w:id="1033385274">
      <w:bodyDiv w:val="1"/>
      <w:marLeft w:val="0"/>
      <w:marRight w:val="0"/>
      <w:marTop w:val="0"/>
      <w:marBottom w:val="0"/>
      <w:divBdr>
        <w:top w:val="none" w:sz="0" w:space="0" w:color="auto"/>
        <w:left w:val="none" w:sz="0" w:space="0" w:color="auto"/>
        <w:bottom w:val="none" w:sz="0" w:space="0" w:color="auto"/>
        <w:right w:val="none" w:sz="0" w:space="0" w:color="auto"/>
      </w:divBdr>
    </w:div>
    <w:div w:id="1045789006">
      <w:bodyDiv w:val="1"/>
      <w:marLeft w:val="0"/>
      <w:marRight w:val="0"/>
      <w:marTop w:val="0"/>
      <w:marBottom w:val="0"/>
      <w:divBdr>
        <w:top w:val="none" w:sz="0" w:space="0" w:color="auto"/>
        <w:left w:val="none" w:sz="0" w:space="0" w:color="auto"/>
        <w:bottom w:val="none" w:sz="0" w:space="0" w:color="auto"/>
        <w:right w:val="none" w:sz="0" w:space="0" w:color="auto"/>
      </w:divBdr>
    </w:div>
    <w:div w:id="1282763400">
      <w:bodyDiv w:val="1"/>
      <w:marLeft w:val="0"/>
      <w:marRight w:val="0"/>
      <w:marTop w:val="0"/>
      <w:marBottom w:val="0"/>
      <w:divBdr>
        <w:top w:val="none" w:sz="0" w:space="0" w:color="auto"/>
        <w:left w:val="none" w:sz="0" w:space="0" w:color="auto"/>
        <w:bottom w:val="none" w:sz="0" w:space="0" w:color="auto"/>
        <w:right w:val="none" w:sz="0" w:space="0" w:color="auto"/>
      </w:divBdr>
      <w:divsChild>
        <w:div w:id="1901282531">
          <w:marLeft w:val="0"/>
          <w:marRight w:val="0"/>
          <w:marTop w:val="0"/>
          <w:marBottom w:val="0"/>
          <w:divBdr>
            <w:top w:val="none" w:sz="0" w:space="0" w:color="auto"/>
            <w:left w:val="none" w:sz="0" w:space="0" w:color="auto"/>
            <w:bottom w:val="none" w:sz="0" w:space="0" w:color="auto"/>
            <w:right w:val="none" w:sz="0" w:space="0" w:color="auto"/>
          </w:divBdr>
          <w:divsChild>
            <w:div w:id="1914120018">
              <w:marLeft w:val="0"/>
              <w:marRight w:val="0"/>
              <w:marTop w:val="0"/>
              <w:marBottom w:val="0"/>
              <w:divBdr>
                <w:top w:val="none" w:sz="0" w:space="0" w:color="auto"/>
                <w:left w:val="none" w:sz="0" w:space="0" w:color="auto"/>
                <w:bottom w:val="none" w:sz="0" w:space="0" w:color="auto"/>
                <w:right w:val="none" w:sz="0" w:space="0" w:color="auto"/>
              </w:divBdr>
            </w:div>
            <w:div w:id="201669312">
              <w:marLeft w:val="0"/>
              <w:marRight w:val="0"/>
              <w:marTop w:val="0"/>
              <w:marBottom w:val="0"/>
              <w:divBdr>
                <w:top w:val="none" w:sz="0" w:space="0" w:color="auto"/>
                <w:left w:val="none" w:sz="0" w:space="0" w:color="auto"/>
                <w:bottom w:val="none" w:sz="0" w:space="0" w:color="auto"/>
                <w:right w:val="none" w:sz="0" w:space="0" w:color="auto"/>
              </w:divBdr>
            </w:div>
          </w:divsChild>
        </w:div>
        <w:div w:id="2115468342">
          <w:marLeft w:val="0"/>
          <w:marRight w:val="0"/>
          <w:marTop w:val="0"/>
          <w:marBottom w:val="0"/>
          <w:divBdr>
            <w:top w:val="none" w:sz="0" w:space="0" w:color="auto"/>
            <w:left w:val="none" w:sz="0" w:space="0" w:color="auto"/>
            <w:bottom w:val="none" w:sz="0" w:space="0" w:color="auto"/>
            <w:right w:val="none" w:sz="0" w:space="0" w:color="auto"/>
          </w:divBdr>
          <w:divsChild>
            <w:div w:id="1580482456">
              <w:marLeft w:val="0"/>
              <w:marRight w:val="0"/>
              <w:marTop w:val="0"/>
              <w:marBottom w:val="0"/>
              <w:divBdr>
                <w:top w:val="none" w:sz="0" w:space="0" w:color="auto"/>
                <w:left w:val="none" w:sz="0" w:space="0" w:color="auto"/>
                <w:bottom w:val="none" w:sz="0" w:space="0" w:color="auto"/>
                <w:right w:val="none" w:sz="0" w:space="0" w:color="auto"/>
              </w:divBdr>
            </w:div>
            <w:div w:id="1140079292">
              <w:marLeft w:val="0"/>
              <w:marRight w:val="0"/>
              <w:marTop w:val="0"/>
              <w:marBottom w:val="0"/>
              <w:divBdr>
                <w:top w:val="none" w:sz="0" w:space="0" w:color="auto"/>
                <w:left w:val="none" w:sz="0" w:space="0" w:color="auto"/>
                <w:bottom w:val="none" w:sz="0" w:space="0" w:color="auto"/>
                <w:right w:val="none" w:sz="0" w:space="0" w:color="auto"/>
              </w:divBdr>
            </w:div>
            <w:div w:id="11784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82294">
      <w:bodyDiv w:val="1"/>
      <w:marLeft w:val="0"/>
      <w:marRight w:val="0"/>
      <w:marTop w:val="0"/>
      <w:marBottom w:val="0"/>
      <w:divBdr>
        <w:top w:val="none" w:sz="0" w:space="0" w:color="auto"/>
        <w:left w:val="none" w:sz="0" w:space="0" w:color="auto"/>
        <w:bottom w:val="none" w:sz="0" w:space="0" w:color="auto"/>
        <w:right w:val="none" w:sz="0" w:space="0" w:color="auto"/>
      </w:divBdr>
    </w:div>
    <w:div w:id="1315839641">
      <w:bodyDiv w:val="1"/>
      <w:marLeft w:val="0"/>
      <w:marRight w:val="0"/>
      <w:marTop w:val="0"/>
      <w:marBottom w:val="0"/>
      <w:divBdr>
        <w:top w:val="none" w:sz="0" w:space="0" w:color="auto"/>
        <w:left w:val="none" w:sz="0" w:space="0" w:color="auto"/>
        <w:bottom w:val="none" w:sz="0" w:space="0" w:color="auto"/>
        <w:right w:val="none" w:sz="0" w:space="0" w:color="auto"/>
      </w:divBdr>
      <w:divsChild>
        <w:div w:id="66653931">
          <w:marLeft w:val="0"/>
          <w:marRight w:val="0"/>
          <w:marTop w:val="72"/>
          <w:marBottom w:val="0"/>
          <w:divBdr>
            <w:top w:val="none" w:sz="0" w:space="0" w:color="auto"/>
            <w:left w:val="none" w:sz="0" w:space="0" w:color="auto"/>
            <w:bottom w:val="none" w:sz="0" w:space="0" w:color="auto"/>
            <w:right w:val="none" w:sz="0" w:space="0" w:color="auto"/>
          </w:divBdr>
          <w:divsChild>
            <w:div w:id="512569187">
              <w:marLeft w:val="0"/>
              <w:marRight w:val="0"/>
              <w:marTop w:val="0"/>
              <w:marBottom w:val="0"/>
              <w:divBdr>
                <w:top w:val="none" w:sz="0" w:space="0" w:color="auto"/>
                <w:left w:val="none" w:sz="0" w:space="0" w:color="auto"/>
                <w:bottom w:val="none" w:sz="0" w:space="0" w:color="auto"/>
                <w:right w:val="none" w:sz="0" w:space="0" w:color="auto"/>
              </w:divBdr>
            </w:div>
          </w:divsChild>
        </w:div>
        <w:div w:id="2085253200">
          <w:marLeft w:val="0"/>
          <w:marRight w:val="0"/>
          <w:marTop w:val="72"/>
          <w:marBottom w:val="0"/>
          <w:divBdr>
            <w:top w:val="none" w:sz="0" w:space="0" w:color="auto"/>
            <w:left w:val="none" w:sz="0" w:space="0" w:color="auto"/>
            <w:bottom w:val="none" w:sz="0" w:space="0" w:color="auto"/>
            <w:right w:val="none" w:sz="0" w:space="0" w:color="auto"/>
          </w:divBdr>
          <w:divsChild>
            <w:div w:id="177787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4497">
      <w:bodyDiv w:val="1"/>
      <w:marLeft w:val="0"/>
      <w:marRight w:val="0"/>
      <w:marTop w:val="0"/>
      <w:marBottom w:val="0"/>
      <w:divBdr>
        <w:top w:val="none" w:sz="0" w:space="0" w:color="auto"/>
        <w:left w:val="none" w:sz="0" w:space="0" w:color="auto"/>
        <w:bottom w:val="none" w:sz="0" w:space="0" w:color="auto"/>
        <w:right w:val="none" w:sz="0" w:space="0" w:color="auto"/>
      </w:divBdr>
    </w:div>
    <w:div w:id="1500274365">
      <w:bodyDiv w:val="1"/>
      <w:marLeft w:val="0"/>
      <w:marRight w:val="0"/>
      <w:marTop w:val="0"/>
      <w:marBottom w:val="0"/>
      <w:divBdr>
        <w:top w:val="none" w:sz="0" w:space="0" w:color="auto"/>
        <w:left w:val="none" w:sz="0" w:space="0" w:color="auto"/>
        <w:bottom w:val="none" w:sz="0" w:space="0" w:color="auto"/>
        <w:right w:val="none" w:sz="0" w:space="0" w:color="auto"/>
      </w:divBdr>
    </w:div>
    <w:div w:id="1665208804">
      <w:bodyDiv w:val="1"/>
      <w:marLeft w:val="0"/>
      <w:marRight w:val="0"/>
      <w:marTop w:val="0"/>
      <w:marBottom w:val="0"/>
      <w:divBdr>
        <w:top w:val="none" w:sz="0" w:space="0" w:color="auto"/>
        <w:left w:val="none" w:sz="0" w:space="0" w:color="auto"/>
        <w:bottom w:val="none" w:sz="0" w:space="0" w:color="auto"/>
        <w:right w:val="none" w:sz="0" w:space="0" w:color="auto"/>
      </w:divBdr>
    </w:div>
    <w:div w:id="1689135175">
      <w:bodyDiv w:val="1"/>
      <w:marLeft w:val="0"/>
      <w:marRight w:val="0"/>
      <w:marTop w:val="0"/>
      <w:marBottom w:val="0"/>
      <w:divBdr>
        <w:top w:val="none" w:sz="0" w:space="0" w:color="auto"/>
        <w:left w:val="none" w:sz="0" w:space="0" w:color="auto"/>
        <w:bottom w:val="none" w:sz="0" w:space="0" w:color="auto"/>
        <w:right w:val="none" w:sz="0" w:space="0" w:color="auto"/>
      </w:divBdr>
    </w:div>
    <w:div w:id="1737819550">
      <w:bodyDiv w:val="1"/>
      <w:marLeft w:val="0"/>
      <w:marRight w:val="0"/>
      <w:marTop w:val="0"/>
      <w:marBottom w:val="0"/>
      <w:divBdr>
        <w:top w:val="none" w:sz="0" w:space="0" w:color="auto"/>
        <w:left w:val="none" w:sz="0" w:space="0" w:color="auto"/>
        <w:bottom w:val="none" w:sz="0" w:space="0" w:color="auto"/>
        <w:right w:val="none" w:sz="0" w:space="0" w:color="auto"/>
      </w:divBdr>
    </w:div>
    <w:div w:id="1757284031">
      <w:bodyDiv w:val="1"/>
      <w:marLeft w:val="0"/>
      <w:marRight w:val="0"/>
      <w:marTop w:val="0"/>
      <w:marBottom w:val="0"/>
      <w:divBdr>
        <w:top w:val="none" w:sz="0" w:space="0" w:color="auto"/>
        <w:left w:val="none" w:sz="0" w:space="0" w:color="auto"/>
        <w:bottom w:val="none" w:sz="0" w:space="0" w:color="auto"/>
        <w:right w:val="none" w:sz="0" w:space="0" w:color="auto"/>
      </w:divBdr>
    </w:div>
    <w:div w:id="1759449281">
      <w:bodyDiv w:val="1"/>
      <w:marLeft w:val="0"/>
      <w:marRight w:val="0"/>
      <w:marTop w:val="0"/>
      <w:marBottom w:val="0"/>
      <w:divBdr>
        <w:top w:val="none" w:sz="0" w:space="0" w:color="auto"/>
        <w:left w:val="none" w:sz="0" w:space="0" w:color="auto"/>
        <w:bottom w:val="none" w:sz="0" w:space="0" w:color="auto"/>
        <w:right w:val="none" w:sz="0" w:space="0" w:color="auto"/>
      </w:divBdr>
    </w:div>
    <w:div w:id="1785804919">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742291485">
          <w:marLeft w:val="0"/>
          <w:marRight w:val="0"/>
          <w:marTop w:val="0"/>
          <w:marBottom w:val="0"/>
          <w:divBdr>
            <w:top w:val="none" w:sz="0" w:space="0" w:color="auto"/>
            <w:left w:val="none" w:sz="0" w:space="0" w:color="auto"/>
            <w:bottom w:val="none" w:sz="0" w:space="0" w:color="auto"/>
            <w:right w:val="none" w:sz="0" w:space="0" w:color="auto"/>
          </w:divBdr>
        </w:div>
      </w:divsChild>
    </w:div>
    <w:div w:id="1819568475">
      <w:bodyDiv w:val="1"/>
      <w:marLeft w:val="0"/>
      <w:marRight w:val="0"/>
      <w:marTop w:val="0"/>
      <w:marBottom w:val="0"/>
      <w:divBdr>
        <w:top w:val="none" w:sz="0" w:space="0" w:color="auto"/>
        <w:left w:val="none" w:sz="0" w:space="0" w:color="auto"/>
        <w:bottom w:val="none" w:sz="0" w:space="0" w:color="auto"/>
        <w:right w:val="none" w:sz="0" w:space="0" w:color="auto"/>
      </w:divBdr>
    </w:div>
    <w:div w:id="1864637010">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631012805">
          <w:marLeft w:val="0"/>
          <w:marRight w:val="0"/>
          <w:marTop w:val="0"/>
          <w:marBottom w:val="0"/>
          <w:divBdr>
            <w:top w:val="none" w:sz="0" w:space="0" w:color="auto"/>
            <w:left w:val="none" w:sz="0" w:space="0" w:color="auto"/>
            <w:bottom w:val="none" w:sz="0" w:space="0" w:color="auto"/>
            <w:right w:val="none" w:sz="0" w:space="0" w:color="auto"/>
          </w:divBdr>
          <w:divsChild>
            <w:div w:id="145361316">
              <w:marLeft w:val="0"/>
              <w:marRight w:val="0"/>
              <w:marTop w:val="75"/>
              <w:marBottom w:val="0"/>
              <w:divBdr>
                <w:top w:val="none" w:sz="0" w:space="0" w:color="auto"/>
                <w:left w:val="none" w:sz="0" w:space="0" w:color="auto"/>
                <w:bottom w:val="none" w:sz="0" w:space="0" w:color="auto"/>
                <w:right w:val="none" w:sz="0" w:space="0" w:color="auto"/>
              </w:divBdr>
              <w:divsChild>
                <w:div w:id="57241516">
                  <w:marLeft w:val="0"/>
                  <w:marRight w:val="0"/>
                  <w:marTop w:val="105"/>
                  <w:marBottom w:val="0"/>
                  <w:divBdr>
                    <w:top w:val="none" w:sz="0" w:space="0" w:color="auto"/>
                    <w:left w:val="none" w:sz="0" w:space="0" w:color="auto"/>
                    <w:bottom w:val="none" w:sz="0" w:space="0" w:color="auto"/>
                    <w:right w:val="none" w:sz="0" w:space="0" w:color="auto"/>
                  </w:divBdr>
                </w:div>
                <w:div w:id="856235275">
                  <w:marLeft w:val="0"/>
                  <w:marRight w:val="0"/>
                  <w:marTop w:val="105"/>
                  <w:marBottom w:val="0"/>
                  <w:divBdr>
                    <w:top w:val="none" w:sz="0" w:space="0" w:color="auto"/>
                    <w:left w:val="none" w:sz="0" w:space="0" w:color="auto"/>
                    <w:bottom w:val="none" w:sz="0" w:space="0" w:color="auto"/>
                    <w:right w:val="none" w:sz="0" w:space="0" w:color="auto"/>
                  </w:divBdr>
                </w:div>
                <w:div w:id="100297333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969898565">
      <w:bodyDiv w:val="1"/>
      <w:marLeft w:val="0"/>
      <w:marRight w:val="0"/>
      <w:marTop w:val="0"/>
      <w:marBottom w:val="0"/>
      <w:divBdr>
        <w:top w:val="none" w:sz="0" w:space="0" w:color="auto"/>
        <w:left w:val="none" w:sz="0" w:space="0" w:color="auto"/>
        <w:bottom w:val="none" w:sz="0" w:space="0" w:color="auto"/>
        <w:right w:val="none" w:sz="0" w:space="0" w:color="auto"/>
      </w:divBdr>
    </w:div>
    <w:div w:id="2008317871">
      <w:bodyDiv w:val="1"/>
      <w:marLeft w:val="0"/>
      <w:marRight w:val="0"/>
      <w:marTop w:val="0"/>
      <w:marBottom w:val="0"/>
      <w:divBdr>
        <w:top w:val="none" w:sz="0" w:space="0" w:color="auto"/>
        <w:left w:val="none" w:sz="0" w:space="0" w:color="auto"/>
        <w:bottom w:val="none" w:sz="0" w:space="0" w:color="auto"/>
        <w:right w:val="none" w:sz="0" w:space="0" w:color="auto"/>
      </w:divBdr>
    </w:div>
    <w:div w:id="2016226794">
      <w:bodyDiv w:val="1"/>
      <w:marLeft w:val="0"/>
      <w:marRight w:val="0"/>
      <w:marTop w:val="0"/>
      <w:marBottom w:val="0"/>
      <w:divBdr>
        <w:top w:val="none" w:sz="0" w:space="0" w:color="auto"/>
        <w:left w:val="none" w:sz="0" w:space="0" w:color="auto"/>
        <w:bottom w:val="none" w:sz="0" w:space="0" w:color="auto"/>
        <w:right w:val="none" w:sz="0" w:space="0" w:color="auto"/>
      </w:divBdr>
    </w:div>
    <w:div w:id="213478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fg.pl/wp-content/uploads/tekst-jednolity-ustawy-o-bfg.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7869CB90B42314787662249B492C142" ma:contentTypeVersion="" ma:contentTypeDescription="Utwórz nowy dokument." ma:contentTypeScope="" ma:versionID="de4bf11a8fc88fef27a7c88ee272d764">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76CC2-937D-47EA-8273-CE8B850A8ECE}">
  <ds:schemaRefs>
    <ds:schemaRef ds:uri="http://schemas.microsoft.com/sharepoint/v3/contenttype/forms"/>
  </ds:schemaRefs>
</ds:datastoreItem>
</file>

<file path=customXml/itemProps2.xml><?xml version="1.0" encoding="utf-8"?>
<ds:datastoreItem xmlns:ds="http://schemas.openxmlformats.org/officeDocument/2006/customXml" ds:itemID="{4C718566-FBFC-463E-BF5B-4A7362C56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DD5B769-3F47-4819-8D00-89D0578111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5A2005-6D63-4ADA-BFF5-C578940E4FD1}">
  <ds:schemaRefs>
    <ds:schemaRef ds:uri="http://schemas.openxmlformats.org/officeDocument/2006/bibliography"/>
  </ds:schemaRefs>
</ds:datastoreItem>
</file>

<file path=customXml/itemProps5.xml><?xml version="1.0" encoding="utf-8"?>
<ds:datastoreItem xmlns:ds="http://schemas.openxmlformats.org/officeDocument/2006/customXml" ds:itemID="{986D7034-7FD5-4F10-92A7-9A3EDB883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123</Pages>
  <Words>46155</Words>
  <Characters>276936</Characters>
  <Application>Microsoft Office Word</Application>
  <DocSecurity>4</DocSecurity>
  <Lines>2307</Lines>
  <Paragraphs>644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Brzozowska-Poniedzielska Iwona</dc:creator>
  <cp:lastModifiedBy>Wójcik Aleksandra</cp:lastModifiedBy>
  <cp:revision>2</cp:revision>
  <cp:lastPrinted>2021-10-07T15:13:00Z</cp:lastPrinted>
  <dcterms:created xsi:type="dcterms:W3CDTF">2022-02-17T19:25:00Z</dcterms:created>
  <dcterms:modified xsi:type="dcterms:W3CDTF">2022-02-17T19:25:00Z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0x01010037869CB90B42314787662249B492C142</vt:lpwstr>
  </property>
  <property fmtid="{D5CDD505-2E9C-101B-9397-08002B2CF9AE}" pid="3" name="MFCATEGORY">
    <vt:lpwstr>InformacjePrzeznaczoneWylacznieDoUzytkuWewnetrznego</vt:lpwstr>
  </property>
  <property fmtid="{D5CDD505-2E9C-101B-9397-08002B2CF9AE}" pid="4" name="MFClassifiedBy">
    <vt:lpwstr>MF\HNAG;Rokita-Marzec Joanna</vt:lpwstr>
  </property>
  <property fmtid="{D5CDD505-2E9C-101B-9397-08002B2CF9AE}" pid="5" name="MFClassificationDate">
    <vt:lpwstr>2021-12-17T11:34:35.7906800+01:00</vt:lpwstr>
  </property>
  <property fmtid="{D5CDD505-2E9C-101B-9397-08002B2CF9AE}" pid="6" name="MFClassifiedBySID">
    <vt:lpwstr>MF\S-1-5-21-1525952054-1005573771-2909822258-466272</vt:lpwstr>
  </property>
  <property fmtid="{D5CDD505-2E9C-101B-9397-08002B2CF9AE}" pid="7" name="MFGRNItemId">
    <vt:lpwstr>GRN-c86ff42c-8d74-42a5-b89a-85267864a063</vt:lpwstr>
  </property>
  <property fmtid="{D5CDD505-2E9C-101B-9397-08002B2CF9AE}" pid="8" name="MFHash">
    <vt:lpwstr>OJHpqX/aRYSw6wnwLKoy6D420aDVGlhjTRLKiRCDKjM=</vt:lpwstr>
  </property>
  <property fmtid="{D5CDD505-2E9C-101B-9397-08002B2CF9AE}" pid="9" name="DLPManualFileClassification">
    <vt:lpwstr>{5fdfc941-3fcf-4a5b-87be-4848800d39d0}</vt:lpwstr>
  </property>
  <property fmtid="{D5CDD505-2E9C-101B-9397-08002B2CF9AE}" pid="10" name="MFRefresh">
    <vt:lpwstr>False</vt:lpwstr>
  </property>
</Properties>
</file>