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4D223" w14:textId="77777777" w:rsidR="00271D07" w:rsidRPr="00F26FD0" w:rsidRDefault="00271D07" w:rsidP="00F26FD0">
      <w:pPr>
        <w:spacing w:before="120" w:line="360" w:lineRule="auto"/>
        <w:jc w:val="center"/>
      </w:pPr>
      <w:r w:rsidRPr="00F26FD0">
        <w:t>UZASADNIENIE</w:t>
      </w:r>
    </w:p>
    <w:p w14:paraId="79AE3166" w14:textId="77777777" w:rsidR="00271D07" w:rsidRPr="00F26FD0" w:rsidRDefault="00271D07" w:rsidP="00F26FD0">
      <w:pPr>
        <w:numPr>
          <w:ilvl w:val="0"/>
          <w:numId w:val="7"/>
        </w:numPr>
        <w:spacing w:before="120" w:line="360" w:lineRule="auto"/>
        <w:ind w:left="357" w:hanging="357"/>
        <w:jc w:val="both"/>
        <w:rPr>
          <w:b/>
        </w:rPr>
      </w:pPr>
      <w:r w:rsidRPr="00F26FD0">
        <w:rPr>
          <w:b/>
        </w:rPr>
        <w:t xml:space="preserve">Potrzeba i cel związania Rzeczypospolitej Polskiej </w:t>
      </w:r>
      <w:r w:rsidR="00BB7793" w:rsidRPr="00F26FD0">
        <w:rPr>
          <w:b/>
        </w:rPr>
        <w:t>Umową</w:t>
      </w:r>
    </w:p>
    <w:p w14:paraId="2AAA0819" w14:textId="77777777" w:rsidR="00D87F99" w:rsidRPr="00F26FD0" w:rsidRDefault="00D87F99" w:rsidP="00F26FD0">
      <w:pPr>
        <w:spacing w:before="120" w:line="360" w:lineRule="auto"/>
        <w:jc w:val="both"/>
      </w:pPr>
      <w:r w:rsidRPr="00F26FD0">
        <w:t>Umowa o Partnerstwie Gospodarczym między państwami CARIFORUM</w:t>
      </w:r>
      <w:r w:rsidR="00ED2B15" w:rsidRPr="00F26FD0">
        <w:rPr>
          <w:rStyle w:val="Odwoanieprzypisudolnego"/>
        </w:rPr>
        <w:footnoteReference w:id="1"/>
      </w:r>
      <w:r w:rsidR="00677D43" w:rsidRPr="00F26FD0">
        <w:t>, z jednej strony, a </w:t>
      </w:r>
      <w:r w:rsidRPr="00F26FD0">
        <w:t>Wspólnotą Europejską i jej państwami członkowskimi, z drugiej strony została podpisana 15 października 2008 r.</w:t>
      </w:r>
      <w:r w:rsidR="0004690A" w:rsidRPr="00F26FD0">
        <w:rPr>
          <w:rStyle w:val="Odwoanieprzypisudolnego"/>
        </w:rPr>
        <w:footnoteReference w:id="2"/>
      </w:r>
      <w:r w:rsidRPr="00F26FD0">
        <w:t xml:space="preserve"> w Bridgetown</w:t>
      </w:r>
      <w:r w:rsidR="00EC5E52" w:rsidRPr="00F26FD0">
        <w:t xml:space="preserve">, natomiast od 29 grudnia 2008 r. </w:t>
      </w:r>
      <w:r w:rsidR="00E05565" w:rsidRPr="00F26FD0">
        <w:t>jest</w:t>
      </w:r>
      <w:r w:rsidR="00EC5E52" w:rsidRPr="00F26FD0">
        <w:t xml:space="preserve"> stosowana tymczasowo</w:t>
      </w:r>
      <w:r w:rsidR="00BA23C9" w:rsidRPr="00F26FD0">
        <w:t xml:space="preserve"> w odniesieniu do elementów objętych zakresem kompetencji Wspólnoty</w:t>
      </w:r>
      <w:r w:rsidR="00066CC1" w:rsidRPr="00F26FD0">
        <w:t>.</w:t>
      </w:r>
    </w:p>
    <w:p w14:paraId="580577A1" w14:textId="77777777" w:rsidR="00BB7793" w:rsidRPr="00F26FD0" w:rsidRDefault="00E30B48" w:rsidP="00F26FD0">
      <w:pPr>
        <w:spacing w:before="120" w:line="360" w:lineRule="auto"/>
        <w:jc w:val="both"/>
      </w:pPr>
      <w:r w:rsidRPr="00F26FD0">
        <w:t>Umowa</w:t>
      </w:r>
      <w:r w:rsidR="00D54B3C" w:rsidRPr="00F26FD0">
        <w:t xml:space="preserve"> o Partnerstwie Gospodarczym </w:t>
      </w:r>
      <w:r w:rsidR="00403AFC" w:rsidRPr="00F26FD0">
        <w:t xml:space="preserve">(ang. „Economic Partnership Agreement” – EPA) </w:t>
      </w:r>
      <w:r w:rsidR="00D54B3C" w:rsidRPr="00F26FD0">
        <w:t xml:space="preserve">jest umową handlową ukierunkowaną na rozwój. Zapewnia ona asymetryczny dostęp do rynków państwom partnerskim CARIFORUM. </w:t>
      </w:r>
      <w:r w:rsidR="00BB7793" w:rsidRPr="00F26FD0">
        <w:t xml:space="preserve">Celem Umowy jest umożliwienie państwom wchodzącym w skład Karaibskiego Forum Państw AKP uzyskania większego wpływu na swój rozwój gospodarczy. </w:t>
      </w:r>
      <w:r w:rsidR="00D36C38" w:rsidRPr="00F26FD0">
        <w:t>Realizacji tego celu ma służyć polityka handlowa ukierunkowana na zdynamizowanie obrotów handlowych państw CARIFORUM z UE</w:t>
      </w:r>
      <w:r w:rsidR="00AB267E" w:rsidRPr="00F26FD0">
        <w:t>,</w:t>
      </w:r>
      <w:r w:rsidR="00D36C38" w:rsidRPr="00F26FD0">
        <w:t xml:space="preserve"> np. przez zmniejszenie lub eliminację ceł na rynku unijnym na to</w:t>
      </w:r>
      <w:r w:rsidR="00705BBC">
        <w:t xml:space="preserve">wary przywożone z tych państw i </w:t>
      </w:r>
      <w:r w:rsidR="00D36C38" w:rsidRPr="00F26FD0">
        <w:t>eli</w:t>
      </w:r>
      <w:r w:rsidR="00AB267E" w:rsidRPr="00F26FD0">
        <w:t>minację kontyngentów taryfowych</w:t>
      </w:r>
      <w:r w:rsidR="00D36C38" w:rsidRPr="00F26FD0">
        <w:t>.</w:t>
      </w:r>
    </w:p>
    <w:p w14:paraId="64CB3F71" w14:textId="3C6D2AE0" w:rsidR="00D863D4" w:rsidRPr="00F26FD0" w:rsidRDefault="00BA23C9" w:rsidP="00F26FD0">
      <w:pPr>
        <w:spacing w:before="120" w:line="360" w:lineRule="auto"/>
        <w:jc w:val="both"/>
      </w:pPr>
      <w:r w:rsidRPr="00F26FD0">
        <w:t>Umowa</w:t>
      </w:r>
      <w:r w:rsidR="007F1BA3" w:rsidRPr="00F26FD0">
        <w:t xml:space="preserve"> </w:t>
      </w:r>
      <w:r w:rsidR="00D863D4" w:rsidRPr="00F26FD0">
        <w:t>z CARIFORUM została wynegocjowana w zgodzie z celami umów o partnerstwie gospodarczym</w:t>
      </w:r>
      <w:r w:rsidR="00AB267E" w:rsidRPr="00F26FD0">
        <w:t>,</w:t>
      </w:r>
      <w:r w:rsidR="00D863D4" w:rsidRPr="00F26FD0">
        <w:t xml:space="preserve"> określonymi w </w:t>
      </w:r>
      <w:r w:rsidR="00EF6CAA" w:rsidRPr="00F26FD0">
        <w:t>U</w:t>
      </w:r>
      <w:r w:rsidR="00D863D4" w:rsidRPr="00F26FD0">
        <w:t>mowie z Kotonu</w:t>
      </w:r>
      <w:r w:rsidR="00BC2965" w:rsidRPr="00F26FD0">
        <w:rPr>
          <w:rStyle w:val="Odwoanieprzypisudolnego"/>
        </w:rPr>
        <w:footnoteReference w:id="3"/>
      </w:r>
      <w:r w:rsidR="00D863D4" w:rsidRPr="00F26FD0">
        <w:t xml:space="preserve"> i dyrekt</w:t>
      </w:r>
      <w:r w:rsidR="00677D43" w:rsidRPr="00F26FD0">
        <w:t>ywami negocjacyjnymi dla umów o </w:t>
      </w:r>
      <w:r w:rsidR="00D863D4" w:rsidRPr="00F26FD0">
        <w:t>partnerstwie gospodarczym z państwami AKP prz</w:t>
      </w:r>
      <w:r w:rsidR="00677D43" w:rsidRPr="00F26FD0">
        <w:t>yjętymi przez Radę UE w dniu 12 </w:t>
      </w:r>
      <w:r w:rsidR="00D863D4" w:rsidRPr="00F26FD0">
        <w:t>czerwca 2002 r. Negocjacje zakończyły się parafowaniem EPA w dniu 16 grudnia 2007 r.</w:t>
      </w:r>
      <w:r w:rsidRPr="00F26FD0">
        <w:t>,</w:t>
      </w:r>
      <w:r w:rsidR="00D863D4" w:rsidRPr="00F26FD0">
        <w:t xml:space="preserve"> przed wygaśnięciem systemu handlowego określonego w załączniku V do </w:t>
      </w:r>
      <w:r w:rsidR="00EF6CAA" w:rsidRPr="00F26FD0">
        <w:t>U</w:t>
      </w:r>
      <w:r w:rsidR="00D863D4" w:rsidRPr="00F26FD0">
        <w:t xml:space="preserve">mowy z Kotonu w dniu 31 grudnia 2007 r. </w:t>
      </w:r>
      <w:r w:rsidRPr="00F26FD0">
        <w:t>oraz</w:t>
      </w:r>
      <w:r w:rsidR="00D863D4" w:rsidRPr="00F26FD0">
        <w:t xml:space="preserve"> odstępstwa ustanowionego przez Światową Organizację Handlu (WTO) obejmującego ten system handlowy. W rezultacie wszystkie państwa CA</w:t>
      </w:r>
      <w:r w:rsidRPr="00F26FD0">
        <w:t>R</w:t>
      </w:r>
      <w:r w:rsidR="00D863D4" w:rsidRPr="00F26FD0">
        <w:t xml:space="preserve">IFORUM zostały włączone do wykazu krajów, które skorzystały z </w:t>
      </w:r>
      <w:r w:rsidRPr="00F26FD0">
        <w:t xml:space="preserve">oferty </w:t>
      </w:r>
      <w:r w:rsidR="00705BBC">
        <w:t>dostępu do rynku UE złożonej w </w:t>
      </w:r>
      <w:r w:rsidR="00D863D4" w:rsidRPr="00F26FD0">
        <w:t>kontekście umów o partnerstwie gosp</w:t>
      </w:r>
      <w:r w:rsidR="00705BBC">
        <w:t xml:space="preserve">odarczym w dniu 1 stycznia 2008 </w:t>
      </w:r>
      <w:r w:rsidR="00D863D4" w:rsidRPr="00F26FD0">
        <w:t xml:space="preserve">r., zamieszczonego w załączniku </w:t>
      </w:r>
      <w:r w:rsidR="00513E07" w:rsidRPr="00F26FD0">
        <w:t>I</w:t>
      </w:r>
      <w:r w:rsidR="00D863D4" w:rsidRPr="00F26FD0">
        <w:t xml:space="preserve"> do </w:t>
      </w:r>
      <w:r w:rsidR="007016BF" w:rsidRPr="00F26FD0">
        <w:t>r</w:t>
      </w:r>
      <w:r w:rsidR="00D863D4" w:rsidRPr="00F26FD0">
        <w:t xml:space="preserve">ozporządzenia </w:t>
      </w:r>
      <w:r w:rsidR="00E30B48" w:rsidRPr="00F26FD0">
        <w:t xml:space="preserve">Rady (WE) </w:t>
      </w:r>
      <w:r w:rsidR="00705BBC">
        <w:t>n</w:t>
      </w:r>
      <w:r w:rsidR="00E30B48" w:rsidRPr="00F26FD0">
        <w:t>r 1528/2007 z dnia 20 grudnia 2007 r. w sprawie stosowania uzgodnień dotyc</w:t>
      </w:r>
      <w:r w:rsidR="00677D43" w:rsidRPr="00F26FD0">
        <w:t>zących produktów pochodzących z</w:t>
      </w:r>
      <w:r w:rsidR="00705BBC">
        <w:t xml:space="preserve"> </w:t>
      </w:r>
      <w:r w:rsidR="00E30B48" w:rsidRPr="00F26FD0">
        <w:t xml:space="preserve">niektórych państw wchodzących w skład grupy państw Afryki, Karaibów i </w:t>
      </w:r>
      <w:r w:rsidR="00467FDF">
        <w:t>Pacyfiku (AKP) przewidzianych w </w:t>
      </w:r>
      <w:r w:rsidR="00E30B48" w:rsidRPr="00F26FD0">
        <w:t>umowach ustanawiających lub prow</w:t>
      </w:r>
      <w:r w:rsidR="00705BBC">
        <w:t xml:space="preserve">adzących do ustanowienia umów o </w:t>
      </w:r>
      <w:r w:rsidR="00E30B48" w:rsidRPr="00F26FD0">
        <w:t xml:space="preserve">partnerstwie </w:t>
      </w:r>
      <w:r w:rsidR="00E30B48" w:rsidRPr="00F26FD0">
        <w:lastRenderedPageBreak/>
        <w:t>gospodarczym</w:t>
      </w:r>
      <w:r w:rsidR="00513E07" w:rsidRPr="00F26FD0">
        <w:rPr>
          <w:rStyle w:val="Odwoanieprzypisudolnego"/>
        </w:rPr>
        <w:footnoteReference w:id="4"/>
      </w:r>
      <w:r w:rsidR="00D863D4" w:rsidRPr="00F26FD0">
        <w:t>. Włączenie ich do wykazu nabierze trwałego charakteru po ratyfikacji EPA przez wszystkie strony. W ten sposób powstanie jednolity zharmonizowany system handlowy, w ramach którego UE zapewni lepszy dostęp do rynku dla wszystkich państw CARIFORUM łączni</w:t>
      </w:r>
      <w:r w:rsidR="00BC2965" w:rsidRPr="00F26FD0">
        <w:t>e</w:t>
      </w:r>
      <w:r w:rsidR="00D863D4" w:rsidRPr="00F26FD0">
        <w:t xml:space="preserve"> z Haiti, które uznawane jest przez Narody Zjednoczone za kraj najsłabiej rozwinięty.</w:t>
      </w:r>
    </w:p>
    <w:p w14:paraId="644DB7BA" w14:textId="17628924" w:rsidR="007F1BA3" w:rsidRPr="00F26FD0" w:rsidRDefault="007F1BA3" w:rsidP="00F26FD0">
      <w:pPr>
        <w:spacing w:before="120" w:line="360" w:lineRule="auto"/>
        <w:jc w:val="both"/>
      </w:pPr>
      <w:r w:rsidRPr="00F26FD0">
        <w:t>EPA z krajami karaibskimi jest kompleksową umową o partnerstwie gospodarczym. Zawiera ona wszystkie środki konieczne do ustanowienia wolneg</w:t>
      </w:r>
      <w:r w:rsidR="00467FDF">
        <w:t>o obszaru handlowego zgodnego z </w:t>
      </w:r>
      <w:r w:rsidRPr="00F26FD0">
        <w:t>przepisami art. XXIV GATT z 1994 r. Ponadto nie ogranicza się jedynie do handlowej wymiany towarowej, ale obejmuje swoim zakresem także usługi i inwestycje oraz inne obszary, które mają wpływ na handel, tj. konkurencyjność, innowacje i prawa autorskie, zamówienia publiczne, a także standardy pracy i ochrony środowiska. Umowa ta ma też na celu wprowadzenie licznych ułatwień nie tylko w kwestiach handlowych, ale również zacieśnianie współpracy na rzecz rozwoju.</w:t>
      </w:r>
    </w:p>
    <w:p w14:paraId="148E4712" w14:textId="3687C013" w:rsidR="00DF60F1" w:rsidRPr="00F26FD0" w:rsidRDefault="00DF60F1" w:rsidP="00F26FD0">
      <w:pPr>
        <w:spacing w:before="120" w:line="360" w:lineRule="auto"/>
        <w:jc w:val="both"/>
      </w:pPr>
      <w:r w:rsidRPr="00F26FD0">
        <w:t xml:space="preserve">Do głównych celów </w:t>
      </w:r>
      <w:r w:rsidR="009627AE">
        <w:rPr>
          <w:color w:val="000000" w:themeColor="text1"/>
        </w:rPr>
        <w:t>U</w:t>
      </w:r>
      <w:r w:rsidRPr="009627AE">
        <w:rPr>
          <w:color w:val="000000" w:themeColor="text1"/>
        </w:rPr>
        <w:t xml:space="preserve">mowy </w:t>
      </w:r>
      <w:r w:rsidRPr="00F26FD0">
        <w:t>należą:</w:t>
      </w:r>
    </w:p>
    <w:p w14:paraId="3149319E" w14:textId="14AD1F96" w:rsidR="0079152A" w:rsidRPr="00F26FD0" w:rsidRDefault="00705BBC" w:rsidP="00F26FD0">
      <w:pPr>
        <w:numPr>
          <w:ilvl w:val="0"/>
          <w:numId w:val="6"/>
        </w:numPr>
        <w:spacing w:before="120" w:line="360" w:lineRule="auto"/>
        <w:jc w:val="both"/>
      </w:pPr>
      <w:r>
        <w:t>r</w:t>
      </w:r>
      <w:r w:rsidR="00DF60F1" w:rsidRPr="00F26FD0">
        <w:t xml:space="preserve">edukcja i likwidacja ubóstwa przez ustanowienie partnerstwa </w:t>
      </w:r>
      <w:r w:rsidR="0079152A" w:rsidRPr="00F26FD0">
        <w:t xml:space="preserve">spójnego z celami zrównoważonego rozwoju, milenijnymi celami rozwoju oraz </w:t>
      </w:r>
      <w:r w:rsidR="000C761F" w:rsidRPr="00F26FD0">
        <w:t>U</w:t>
      </w:r>
      <w:r w:rsidR="0079152A" w:rsidRPr="00F26FD0">
        <w:t>mową z Kotonu</w:t>
      </w:r>
      <w:r>
        <w:t>,</w:t>
      </w:r>
    </w:p>
    <w:p w14:paraId="60013717" w14:textId="5FB0A6A6" w:rsidR="00DF60F1" w:rsidRPr="00F26FD0" w:rsidRDefault="00705BBC" w:rsidP="00F26FD0">
      <w:pPr>
        <w:numPr>
          <w:ilvl w:val="0"/>
          <w:numId w:val="6"/>
        </w:numPr>
        <w:spacing w:before="120" w:line="360" w:lineRule="auto"/>
        <w:jc w:val="both"/>
      </w:pPr>
      <w:r>
        <w:t>p</w:t>
      </w:r>
      <w:r w:rsidR="0079152A" w:rsidRPr="00F26FD0">
        <w:t>romocja integracji regionalnej, współpracy gospodarczej i dobrego rządzenia przez wdrażanie ram prawnych dla handlu i inwestycji</w:t>
      </w:r>
      <w:r>
        <w:t>,</w:t>
      </w:r>
    </w:p>
    <w:p w14:paraId="29AB4C24" w14:textId="788C1AA2" w:rsidR="0079152A" w:rsidRPr="00F26FD0" w:rsidRDefault="00705BBC" w:rsidP="00F26FD0">
      <w:pPr>
        <w:numPr>
          <w:ilvl w:val="0"/>
          <w:numId w:val="6"/>
        </w:numPr>
        <w:spacing w:before="120" w:line="360" w:lineRule="auto"/>
        <w:jc w:val="both"/>
      </w:pPr>
      <w:r>
        <w:t>w</w:t>
      </w:r>
      <w:r w:rsidR="0079152A" w:rsidRPr="00F26FD0">
        <w:t>spieranie integracji państw CARIFORUM z gospodarką światową</w:t>
      </w:r>
      <w:r>
        <w:t>,</w:t>
      </w:r>
    </w:p>
    <w:p w14:paraId="2B94D24D" w14:textId="7CFCACE5" w:rsidR="0079152A" w:rsidRPr="00F26FD0" w:rsidRDefault="00705BBC" w:rsidP="00F26FD0">
      <w:pPr>
        <w:numPr>
          <w:ilvl w:val="0"/>
          <w:numId w:val="6"/>
        </w:numPr>
        <w:spacing w:before="120" w:line="360" w:lineRule="auto"/>
        <w:jc w:val="both"/>
      </w:pPr>
      <w:r>
        <w:t>w</w:t>
      </w:r>
      <w:r w:rsidR="0079152A" w:rsidRPr="00F26FD0">
        <w:t>zmacnianie potencjału handlowego państw CARIFORUM</w:t>
      </w:r>
      <w:r>
        <w:t>,</w:t>
      </w:r>
    </w:p>
    <w:p w14:paraId="0754A9EB" w14:textId="002AAA9E" w:rsidR="0079152A" w:rsidRPr="00F26FD0" w:rsidRDefault="00705BBC" w:rsidP="00F26FD0">
      <w:pPr>
        <w:numPr>
          <w:ilvl w:val="0"/>
          <w:numId w:val="6"/>
        </w:numPr>
        <w:spacing w:before="120" w:line="360" w:lineRule="auto"/>
        <w:jc w:val="both"/>
      </w:pPr>
      <w:r>
        <w:t>p</w:t>
      </w:r>
      <w:r w:rsidR="0079152A" w:rsidRPr="00F26FD0">
        <w:t>oprawa warunków do zwiększania inwestycji i rozwoju sektora</w:t>
      </w:r>
      <w:r w:rsidR="00A9193D" w:rsidRPr="00F26FD0">
        <w:t xml:space="preserve"> prywatnego oraz otoczenia gospodarczego</w:t>
      </w:r>
      <w:r>
        <w:t>,</w:t>
      </w:r>
    </w:p>
    <w:p w14:paraId="56075CF5" w14:textId="51E67CBB" w:rsidR="00A9193D" w:rsidRPr="00F26FD0" w:rsidRDefault="00705BBC" w:rsidP="00F26FD0">
      <w:pPr>
        <w:numPr>
          <w:ilvl w:val="0"/>
          <w:numId w:val="6"/>
        </w:numPr>
        <w:spacing w:before="120" w:line="360" w:lineRule="auto"/>
        <w:jc w:val="both"/>
      </w:pPr>
      <w:r>
        <w:t>w</w:t>
      </w:r>
      <w:r w:rsidR="00A9193D" w:rsidRPr="00F26FD0">
        <w:t>zmocnienie istniejących relacji mi</w:t>
      </w:r>
      <w:r w:rsidR="000C761F" w:rsidRPr="00F26FD0">
        <w:t>ę</w:t>
      </w:r>
      <w:r w:rsidR="00A9193D" w:rsidRPr="00F26FD0">
        <w:t xml:space="preserve">dzy UE </w:t>
      </w:r>
      <w:r>
        <w:t>a</w:t>
      </w:r>
      <w:r w:rsidR="00A9193D" w:rsidRPr="00F26FD0">
        <w:t xml:space="preserve"> państwami CARIFORUM przez rozszerzenie stosunków handlowych i gospodarczych, stopniow</w:t>
      </w:r>
      <w:r w:rsidR="00B847DF" w:rsidRPr="00F26FD0">
        <w:t>ą</w:t>
      </w:r>
      <w:r w:rsidR="00A9193D" w:rsidRPr="00F26FD0">
        <w:t xml:space="preserve"> i asymetryczną liberalizację handlu i pogłębienie współpracy handlowej i inwestycyjnej.</w:t>
      </w:r>
    </w:p>
    <w:p w14:paraId="738612DE" w14:textId="124C0600" w:rsidR="007F1BA3" w:rsidRPr="00F26FD0" w:rsidRDefault="007F1BA3" w:rsidP="00F26FD0">
      <w:pPr>
        <w:spacing w:before="120" w:line="360" w:lineRule="auto"/>
        <w:jc w:val="both"/>
      </w:pPr>
      <w:r w:rsidRPr="00F26FD0">
        <w:t xml:space="preserve">Umowa zapewnia bezcłowy i nieograniczony ilościowo dostęp do rynku UE dla wszystkich produktów pochodzących z państw CARIFORUM. W odniesieniu do produktów eksportowanych przez UE </w:t>
      </w:r>
      <w:r w:rsidR="00DC5744">
        <w:t>U</w:t>
      </w:r>
      <w:r w:rsidRPr="00F26FD0">
        <w:t xml:space="preserve">mowa wprowadza 25-letni okres przejściowy na redukcję ceł </w:t>
      </w:r>
      <w:r w:rsidRPr="00F26FD0">
        <w:lastRenderedPageBreak/>
        <w:t>importowych przez kraje partnerskie regionu. Umowa zawiera także tytuł dotyczący usług, inwestycji i handlu elektronicznego oraz powiązane harmonogramy zobowiązań zgodne z</w:t>
      </w:r>
      <w:r w:rsidR="00677D43" w:rsidRPr="00F26FD0">
        <w:t> </w:t>
      </w:r>
      <w:r w:rsidRPr="00F26FD0">
        <w:t xml:space="preserve">przepisami art. V GATS. Przedsiębiorstwa pochodzące z państw CARIFORUM na mocy </w:t>
      </w:r>
      <w:r w:rsidR="00944ED9" w:rsidRPr="00F26FD0">
        <w:t>U</w:t>
      </w:r>
      <w:r w:rsidRPr="00F26FD0">
        <w:t>mowy uzyskały możliwość ustanawiania obecności handlowej w UE.</w:t>
      </w:r>
    </w:p>
    <w:p w14:paraId="798ED61E" w14:textId="69BE66C8" w:rsidR="007F1BA3" w:rsidRPr="00F26FD0" w:rsidRDefault="007F1BA3" w:rsidP="00F26FD0">
      <w:pPr>
        <w:spacing w:before="120" w:line="360" w:lineRule="auto"/>
        <w:jc w:val="both"/>
      </w:pPr>
      <w:r w:rsidRPr="00F26FD0">
        <w:t>EPA zawiera także przepisy dotyczące ułatwień celno-handlowych, barier technicznych w</w:t>
      </w:r>
      <w:r w:rsidR="00677D43" w:rsidRPr="00F26FD0">
        <w:t> </w:t>
      </w:r>
      <w:r w:rsidRPr="00F26FD0">
        <w:t>handlu, środków sanitarnych i fitosanitarnych, rolnictwa i rybołówstwa, regulowania płatności bieżących i przepływu kapitału, konkurencji, innowacji i własności intelektualnej, przejrzystości w dziedzinie zamówień publicznych, dialogu na temat kwestii finansowych, przejrzystości i najlepszych praktyk w dziedzinie polityki podatkowej, jak również aspektów środowiskowych i społecznych. Położono dalszy nacisk na upowszechnienie zrównoważonego rozwoju przez zaangażowanie społeczeństwa obywatelskiego i</w:t>
      </w:r>
      <w:r w:rsidR="00CD2920">
        <w:t xml:space="preserve"> </w:t>
      </w:r>
      <w:r w:rsidRPr="00F26FD0">
        <w:t xml:space="preserve">parlamentarzystów we wspólnych komitetach oraz przez specjalne mechanizmy konsultacji. Znajdują się tam także postanowienia na rzecz współpracy na rzecz rozwoju ustanawiające obszary priorytetowe działań mających na celu wdrożenie EPA. Poszczególne merytoryczne rozdziały </w:t>
      </w:r>
      <w:r w:rsidR="00944ED9" w:rsidRPr="004C5BF3">
        <w:rPr>
          <w:color w:val="000000" w:themeColor="text1"/>
        </w:rPr>
        <w:t>U</w:t>
      </w:r>
      <w:r w:rsidRPr="004C5BF3">
        <w:rPr>
          <w:color w:val="000000" w:themeColor="text1"/>
        </w:rPr>
        <w:t xml:space="preserve">mowy </w:t>
      </w:r>
      <w:r w:rsidRPr="00F26FD0">
        <w:t>dotyczą szczegółowych obszarów współpracy, a deklaracja o</w:t>
      </w:r>
      <w:r w:rsidR="00211617">
        <w:t xml:space="preserve"> </w:t>
      </w:r>
      <w:r w:rsidRPr="00F26FD0">
        <w:t xml:space="preserve">współpracy na rzecz rozwoju zawiera </w:t>
      </w:r>
      <w:r w:rsidR="00A37C3E" w:rsidRPr="00F26FD0">
        <w:t>odniesienie do strategii UE dotyczącej pomo</w:t>
      </w:r>
      <w:r w:rsidR="00467FDF">
        <w:t>cy na rzecz wymiany handlowej i </w:t>
      </w:r>
      <w:r w:rsidR="00A37C3E" w:rsidRPr="00F26FD0">
        <w:t>powołuje się na zamiary Komisji i państw członkowskich co do udziału w funduszu rozwoju regionalnego.</w:t>
      </w:r>
    </w:p>
    <w:p w14:paraId="77B92652" w14:textId="0E2DF2EE" w:rsidR="00D75AA7" w:rsidRPr="00F26FD0" w:rsidRDefault="00D75AA7" w:rsidP="00F26FD0">
      <w:pPr>
        <w:spacing w:before="120" w:line="360" w:lineRule="auto"/>
        <w:jc w:val="both"/>
      </w:pPr>
      <w:r w:rsidRPr="00F26FD0">
        <w:t>Bardzo ważnym elementem realizacji Umowy o Partnerstwie Gospodarczym z CARIFORUM jest współpraca rozwojowa (</w:t>
      </w:r>
      <w:r w:rsidR="00A9193D" w:rsidRPr="00F26FD0">
        <w:t>artykuł 7</w:t>
      </w:r>
      <w:r w:rsidRPr="00F26FD0">
        <w:t xml:space="preserve"> Umowy). Współpraca na rzecz rozwoju między państwami UE a CARIFORUM ma być prowadzona w sposób efektywny i zgodny z Umową z Kotonu, zwłaszcza w odniesieniu do Europejskiego Funduszu Rozwoju (EDF)</w:t>
      </w:r>
      <w:r w:rsidR="00AA550E" w:rsidRPr="00F26FD0">
        <w:rPr>
          <w:rStyle w:val="Odwoanieprzypisudolnego"/>
        </w:rPr>
        <w:footnoteReference w:id="5"/>
      </w:r>
      <w:r w:rsidRPr="00F26FD0">
        <w:t xml:space="preserve"> oraz podobnych instrument</w:t>
      </w:r>
      <w:r w:rsidR="00112A1C" w:rsidRPr="00F26FD0">
        <w:t>ów</w:t>
      </w:r>
      <w:r w:rsidRPr="00F26FD0">
        <w:t xml:space="preserve"> współpracy finansowanych z bu</w:t>
      </w:r>
      <w:r w:rsidR="0012279D" w:rsidRPr="00F26FD0">
        <w:t xml:space="preserve">dżetu UE. Państwa </w:t>
      </w:r>
      <w:r w:rsidR="00E961C5" w:rsidRPr="00F26FD0">
        <w:t>c</w:t>
      </w:r>
      <w:r w:rsidR="0012279D" w:rsidRPr="00F26FD0">
        <w:t xml:space="preserve">złonkowskie </w:t>
      </w:r>
      <w:r w:rsidRPr="00F26FD0">
        <w:t>UE oraz państwa CARIFORUM są zobowiązane do podjęcia wszelkich starań w celu efektywnego wykorzystania środków przeznaczonych na w</w:t>
      </w:r>
      <w:r w:rsidR="00677D43" w:rsidRPr="00F26FD0">
        <w:t>spółpracę rozwojową w oparciu o </w:t>
      </w:r>
      <w:r w:rsidRPr="00F26FD0">
        <w:t xml:space="preserve">zasadę </w:t>
      </w:r>
      <w:r w:rsidR="0096137D" w:rsidRPr="00F26FD0">
        <w:lastRenderedPageBreak/>
        <w:t>skuteczności (</w:t>
      </w:r>
      <w:r w:rsidRPr="00F26FD0">
        <w:t>efektywności</w:t>
      </w:r>
      <w:r w:rsidR="0096137D" w:rsidRPr="00F26FD0">
        <w:t>)</w:t>
      </w:r>
      <w:r w:rsidR="00BE293B" w:rsidRPr="00F26FD0">
        <w:rPr>
          <w:rStyle w:val="Odwoanieprzypisudolnego"/>
        </w:rPr>
        <w:footnoteReference w:id="6"/>
      </w:r>
      <w:r w:rsidR="00FC5208" w:rsidRPr="00F26FD0">
        <w:t>.</w:t>
      </w:r>
      <w:r w:rsidRPr="00F26FD0">
        <w:t xml:space="preserve"> </w:t>
      </w:r>
      <w:r w:rsidR="00FC5208" w:rsidRPr="00F26FD0">
        <w:t>Ponadto obie strony mają pod</w:t>
      </w:r>
      <w:r w:rsidR="00467FDF">
        <w:t>jąć współpracę w tym zakresie w </w:t>
      </w:r>
      <w:r w:rsidR="00FC5208" w:rsidRPr="00F26FD0">
        <w:t>celu koordynacji działań na rzecz rozwoju państw CARIFORUM z innymi donatorami pomocy rozwojowej.</w:t>
      </w:r>
    </w:p>
    <w:p w14:paraId="15000783" w14:textId="48FC18DE" w:rsidR="006412E5" w:rsidRPr="00F26FD0" w:rsidRDefault="009A6D7E" w:rsidP="00F26FD0">
      <w:pPr>
        <w:spacing w:before="120" w:line="360" w:lineRule="auto"/>
        <w:jc w:val="both"/>
      </w:pPr>
      <w:r w:rsidRPr="00F26FD0">
        <w:t>Dla realizacji współpracy rozwojowej</w:t>
      </w:r>
      <w:r w:rsidR="00784D6C" w:rsidRPr="00F26FD0">
        <w:t xml:space="preserve"> Umow</w:t>
      </w:r>
      <w:r w:rsidR="00677D43" w:rsidRPr="00F26FD0">
        <w:t>a o Partnerstwie Gospodarczym z </w:t>
      </w:r>
      <w:r w:rsidR="00784D6C" w:rsidRPr="00F26FD0">
        <w:t>CARIFORUM przewiduje utworzenie Partnerstwa Handlowego na rzecz Zrównoważonego Rozwoju (Trade Partnersh</w:t>
      </w:r>
      <w:r w:rsidRPr="00F26FD0">
        <w:t>ip for Sustainable Development), którego podstawą jest</w:t>
      </w:r>
      <w:r w:rsidR="00677D43" w:rsidRPr="00F26FD0">
        <w:t xml:space="preserve"> Umowa z</w:t>
      </w:r>
      <w:r w:rsidR="00211617">
        <w:t xml:space="preserve"> </w:t>
      </w:r>
      <w:r w:rsidR="00784D6C" w:rsidRPr="00F26FD0">
        <w:t>Kotonu.</w:t>
      </w:r>
      <w:r w:rsidR="00467FDF">
        <w:t xml:space="preserve"> Zgodnie z </w:t>
      </w:r>
      <w:r w:rsidR="00EB5733" w:rsidRPr="00F26FD0">
        <w:t>art. 8 Umowy określono nastę</w:t>
      </w:r>
      <w:r w:rsidR="00677D43" w:rsidRPr="00F26FD0">
        <w:t>pujące działania priorytetowe w</w:t>
      </w:r>
      <w:r w:rsidR="00211617">
        <w:t xml:space="preserve"> </w:t>
      </w:r>
      <w:r w:rsidR="00EB5733" w:rsidRPr="00F26FD0">
        <w:t xml:space="preserve">odniesieniu do współpracy </w:t>
      </w:r>
      <w:r w:rsidRPr="00F26FD0">
        <w:t>rozwojowej</w:t>
      </w:r>
      <w:r w:rsidR="00EB5733" w:rsidRPr="00F26FD0">
        <w:t xml:space="preserve"> między UE a państwami CARIFORUM:</w:t>
      </w:r>
    </w:p>
    <w:p w14:paraId="3D2CD979" w14:textId="77777777" w:rsidR="00EB5733" w:rsidRPr="00F26FD0" w:rsidRDefault="00EB5733" w:rsidP="00F26FD0">
      <w:pPr>
        <w:numPr>
          <w:ilvl w:val="0"/>
          <w:numId w:val="4"/>
        </w:numPr>
        <w:spacing w:before="120" w:line="360" w:lineRule="auto"/>
        <w:jc w:val="both"/>
      </w:pPr>
      <w:r w:rsidRPr="00F26FD0">
        <w:t>pomoc techniczna w zakresie tworzenia potencjału ludzkiego oraz zdolności prawnych i instytucjonalnych w celu zwiększeni</w:t>
      </w:r>
      <w:r w:rsidR="00677D43" w:rsidRPr="00F26FD0">
        <w:t>a możliwości państw CARIFORUM w </w:t>
      </w:r>
      <w:r w:rsidRPr="00F26FD0">
        <w:t>wypełnieniu zobowiązań zawartych w Umowie;</w:t>
      </w:r>
    </w:p>
    <w:p w14:paraId="7C9FC93A" w14:textId="77777777" w:rsidR="00EB5733" w:rsidRPr="00F26FD0" w:rsidRDefault="00EB5733" w:rsidP="00F26FD0">
      <w:pPr>
        <w:numPr>
          <w:ilvl w:val="0"/>
          <w:numId w:val="4"/>
        </w:numPr>
        <w:spacing w:before="120" w:line="360" w:lineRule="auto"/>
        <w:jc w:val="both"/>
      </w:pPr>
      <w:r w:rsidRPr="00F26FD0">
        <w:t>pomoc w budowie zdolności instytucjonalnej w kontekście reformy polityki fiskalnej państw CARIFORUM</w:t>
      </w:r>
      <w:r w:rsidR="00711A9B" w:rsidRPr="00F26FD0">
        <w:t>;</w:t>
      </w:r>
    </w:p>
    <w:p w14:paraId="18F7A0D9" w14:textId="77777777" w:rsidR="00711A9B" w:rsidRPr="00F26FD0" w:rsidRDefault="00711A9B" w:rsidP="00F26FD0">
      <w:pPr>
        <w:numPr>
          <w:ilvl w:val="0"/>
          <w:numId w:val="4"/>
        </w:numPr>
        <w:spacing w:before="120" w:line="360" w:lineRule="auto"/>
        <w:jc w:val="both"/>
      </w:pPr>
      <w:r w:rsidRPr="00F26FD0">
        <w:t>wsparcie w zakresie promocji sektora prywatnego i rozwoju przedsiębiorczości, zwłaszcza małych podmiotów gospodarczych, w zakresie zwiększania konkurencyjności przedsiębiorstw regionu CARIFORUM oraz w zakresie dywersyfikacji ich gospodarek narodowych;</w:t>
      </w:r>
    </w:p>
    <w:p w14:paraId="6EE25229" w14:textId="2FEDB363" w:rsidR="00711A9B" w:rsidRPr="00F26FD0" w:rsidRDefault="00711A9B" w:rsidP="00F26FD0">
      <w:pPr>
        <w:numPr>
          <w:ilvl w:val="0"/>
          <w:numId w:val="4"/>
        </w:numPr>
        <w:spacing w:before="120" w:line="360" w:lineRule="auto"/>
        <w:jc w:val="both"/>
      </w:pPr>
      <w:r w:rsidRPr="00F26FD0">
        <w:t>dywersyfikacja eksportu dóbr i usług państw CA</w:t>
      </w:r>
      <w:r w:rsidR="00467FDF">
        <w:t>RIFORUM przez nowe inwestycje i </w:t>
      </w:r>
      <w:r w:rsidRPr="00F26FD0">
        <w:t>rozwój nowych gałęzi gospodarki</w:t>
      </w:r>
      <w:r w:rsidR="00102490" w:rsidRPr="00F26FD0">
        <w:t>;</w:t>
      </w:r>
    </w:p>
    <w:p w14:paraId="7B76EAF9" w14:textId="77777777" w:rsidR="00102490" w:rsidRPr="00F26FD0" w:rsidRDefault="00102490" w:rsidP="00F26FD0">
      <w:pPr>
        <w:numPr>
          <w:ilvl w:val="0"/>
          <w:numId w:val="4"/>
        </w:numPr>
        <w:spacing w:before="120" w:line="360" w:lineRule="auto"/>
        <w:jc w:val="both"/>
      </w:pPr>
      <w:r w:rsidRPr="00F26FD0">
        <w:t>wspieranie potencjału badawczego i technologicznego państw CARIFORUM, aby ułatwić spełnienie międzynarodowych wymogów w zakresie środków sanitarnych i</w:t>
      </w:r>
      <w:r w:rsidR="00854741" w:rsidRPr="00F26FD0">
        <w:t> </w:t>
      </w:r>
      <w:r w:rsidRPr="00F26FD0">
        <w:t>fitosanitarnych, standardów technicznych oraz w dziedzinie pracy i ochrony środowiska;</w:t>
      </w:r>
    </w:p>
    <w:p w14:paraId="1C214ADF" w14:textId="77777777" w:rsidR="00102490" w:rsidRPr="00F26FD0" w:rsidRDefault="00102490" w:rsidP="00F26FD0">
      <w:pPr>
        <w:numPr>
          <w:ilvl w:val="0"/>
          <w:numId w:val="4"/>
        </w:numPr>
        <w:spacing w:before="120" w:line="360" w:lineRule="auto"/>
        <w:jc w:val="both"/>
      </w:pPr>
      <w:r w:rsidRPr="00F26FD0">
        <w:lastRenderedPageBreak/>
        <w:t>rozwój systemów innowacji CARIFORUM;</w:t>
      </w:r>
    </w:p>
    <w:p w14:paraId="4441FC97" w14:textId="77777777" w:rsidR="00102490" w:rsidRPr="00F26FD0" w:rsidRDefault="00102490" w:rsidP="00F26FD0">
      <w:pPr>
        <w:numPr>
          <w:ilvl w:val="0"/>
          <w:numId w:val="4"/>
        </w:numPr>
        <w:spacing w:before="120" w:line="360" w:lineRule="auto"/>
        <w:jc w:val="both"/>
      </w:pPr>
      <w:r w:rsidRPr="00F26FD0">
        <w:t>wsparcie w zakresie rozwoju infrastruktury niezbędnej dla prowadzenia handlu.</w:t>
      </w:r>
    </w:p>
    <w:p w14:paraId="328413CF" w14:textId="77777777" w:rsidR="00102490" w:rsidRPr="00F26FD0" w:rsidRDefault="009A6D7E" w:rsidP="00F26FD0">
      <w:pPr>
        <w:spacing w:before="120" w:line="360" w:lineRule="auto"/>
        <w:jc w:val="both"/>
      </w:pPr>
      <w:r w:rsidRPr="00F26FD0">
        <w:t>Ważnym instrumentem służącym osiągnięciu celów przewidzianych w Partnerstwie jest integracja regionalna, która ma stworzyć państwom CARIFORUM większe możliwości gospodarcze, pomóc w osiągnięciu przez nie stabilizacji politycznej oraz wesprzeć proces ich integracji z gospodarką światową. O postępie i zakresie integracji regionalnej mają decydować wyłącznie państwa CARIFORUM zgodnie z ich obecnymi i przyszłymi ambicjami politycznymi</w:t>
      </w:r>
      <w:r w:rsidR="0062541C" w:rsidRPr="00F26FD0">
        <w:t>.</w:t>
      </w:r>
    </w:p>
    <w:p w14:paraId="0FF8B5B5" w14:textId="77777777" w:rsidR="00102490" w:rsidRPr="00F26FD0" w:rsidRDefault="006405D9" w:rsidP="00F26FD0">
      <w:pPr>
        <w:spacing w:before="120" w:line="360" w:lineRule="auto"/>
        <w:jc w:val="both"/>
      </w:pPr>
      <w:r w:rsidRPr="00F26FD0">
        <w:t>Ponadto państwom CARIFORUM zostanie udzielona pomoc finansowa i techniczna w</w:t>
      </w:r>
      <w:r w:rsidR="00854741" w:rsidRPr="00F26FD0">
        <w:t> </w:t>
      </w:r>
      <w:r w:rsidRPr="00F26FD0">
        <w:t>sektorze infrastruktury i technologii w celu poprawy ich zdolności produkcyjnych, zwłaszcza w sektorze prywatnym</w:t>
      </w:r>
      <w:r w:rsidR="00211617">
        <w:t>,</w:t>
      </w:r>
      <w:r w:rsidRPr="00F26FD0">
        <w:t xml:space="preserve"> oraz na cele związane z u</w:t>
      </w:r>
      <w:r w:rsidR="00112A1C" w:rsidRPr="00F26FD0">
        <w:t>s</w:t>
      </w:r>
      <w:r w:rsidRPr="00F26FD0">
        <w:t>prawnieniem funkcjonowania ich administracji i instytucji, m.in. w zakresie przeprowadzenia reformy systemu celnego. Wszystkie wymienione działania powinny pozy</w:t>
      </w:r>
      <w:r w:rsidR="00AE386F" w:rsidRPr="00F26FD0">
        <w:t>tywnie oddziaływać na możliwości osiągnięcia</w:t>
      </w:r>
      <w:r w:rsidR="00292D6B" w:rsidRPr="00F26FD0">
        <w:t xml:space="preserve"> przez państwa CARIFORUM trwałego i zrównoważonego wzrostu gospodarczego, redukcji ubóstwa i realizacji innych Milenijnych Celów Rozwoju oraz wspierać proces stopniowej integracji tych państw z gospodarką światową.</w:t>
      </w:r>
    </w:p>
    <w:p w14:paraId="535F9B7F" w14:textId="77777777" w:rsidR="00677D43" w:rsidRPr="00F26FD0" w:rsidRDefault="00677D43" w:rsidP="00F26FD0">
      <w:pPr>
        <w:spacing w:before="120" w:line="360" w:lineRule="auto"/>
        <w:jc w:val="both"/>
        <w:rPr>
          <w:b/>
          <w:color w:val="000000"/>
        </w:rPr>
      </w:pPr>
    </w:p>
    <w:p w14:paraId="15DD4090" w14:textId="77777777" w:rsidR="00667C3D" w:rsidRPr="00F26FD0" w:rsidRDefault="00667C3D" w:rsidP="00F26FD0">
      <w:pPr>
        <w:numPr>
          <w:ilvl w:val="0"/>
          <w:numId w:val="7"/>
        </w:numPr>
        <w:spacing w:before="120" w:line="360" w:lineRule="auto"/>
        <w:ind w:left="357" w:hanging="357"/>
        <w:jc w:val="both"/>
        <w:rPr>
          <w:b/>
          <w:color w:val="000000"/>
        </w:rPr>
      </w:pPr>
      <w:r w:rsidRPr="00F26FD0">
        <w:rPr>
          <w:b/>
          <w:color w:val="000000"/>
        </w:rPr>
        <w:t>Dotychczasowy a projektowany stan prawny</w:t>
      </w:r>
    </w:p>
    <w:p w14:paraId="64029D97" w14:textId="77777777" w:rsidR="00FE3EB3" w:rsidRPr="00F26FD0" w:rsidRDefault="00FE3EB3" w:rsidP="00F26FD0">
      <w:pPr>
        <w:spacing w:before="120" w:line="360" w:lineRule="auto"/>
        <w:jc w:val="both"/>
      </w:pPr>
      <w:r w:rsidRPr="00F26FD0">
        <w:t>Umow</w:t>
      </w:r>
      <w:r w:rsidR="00470643" w:rsidRPr="00F26FD0">
        <w:t>a</w:t>
      </w:r>
      <w:r w:rsidRPr="00F26FD0">
        <w:t xml:space="preserve"> o Partnerstwie Gospodarczym między państwam</w:t>
      </w:r>
      <w:r w:rsidR="00854741" w:rsidRPr="00F26FD0">
        <w:t>i CARIFORUM, z jednej strony, a </w:t>
      </w:r>
      <w:r w:rsidRPr="00F26FD0">
        <w:t>Wspólnotą Europejską i jej państwami członkowskimi, z drugiej strony z</w:t>
      </w:r>
      <w:r w:rsidR="00D06630" w:rsidRPr="00F26FD0">
        <w:t>a</w:t>
      </w:r>
      <w:r w:rsidRPr="00F26FD0">
        <w:t xml:space="preserve">stąpiła postanowienia handlowej części </w:t>
      </w:r>
      <w:r w:rsidR="00112A1C" w:rsidRPr="00F26FD0">
        <w:t>U</w:t>
      </w:r>
      <w:r w:rsidRPr="00F26FD0">
        <w:t xml:space="preserve">mowy z Kotonu, która oparta była na jednostronnych preferencjach dla eksportu z państw AKP i która wymagała zwolnienia od zasady </w:t>
      </w:r>
      <w:r w:rsidR="00470643" w:rsidRPr="00F26FD0">
        <w:t>WTO wynikającej z A</w:t>
      </w:r>
      <w:r w:rsidRPr="00F26FD0">
        <w:t xml:space="preserve">rtykułu </w:t>
      </w:r>
      <w:r w:rsidR="00470643" w:rsidRPr="00F26FD0">
        <w:t>I</w:t>
      </w:r>
      <w:r w:rsidRPr="00F26FD0">
        <w:t xml:space="preserve"> GATT</w:t>
      </w:r>
      <w:r w:rsidR="00871CB5" w:rsidRPr="00F26FD0">
        <w:t xml:space="preserve"> </w:t>
      </w:r>
      <w:r w:rsidRPr="00F26FD0">
        <w:t>– klauzuli największego uprzywilejowania</w:t>
      </w:r>
      <w:r w:rsidR="00871CB5" w:rsidRPr="00F26FD0">
        <w:t xml:space="preserve">, </w:t>
      </w:r>
      <w:r w:rsidR="00E33A9F" w:rsidRPr="00F26FD0">
        <w:t xml:space="preserve">zgodnie z którą wszyscy członkowie powinni być </w:t>
      </w:r>
      <w:r w:rsidR="005E00C8" w:rsidRPr="00F26FD0">
        <w:t xml:space="preserve">traktowani </w:t>
      </w:r>
      <w:r w:rsidR="00E33A9F" w:rsidRPr="00F26FD0">
        <w:t>w taki sam sposób</w:t>
      </w:r>
      <w:r w:rsidR="00470643" w:rsidRPr="00F26FD0">
        <w:t xml:space="preserve">. Zwolnienie od zasady opierało się na </w:t>
      </w:r>
      <w:r w:rsidR="00E33A9F" w:rsidRPr="00F26FD0">
        <w:t xml:space="preserve">zobowiązaniu </w:t>
      </w:r>
      <w:r w:rsidR="00470643" w:rsidRPr="00F26FD0">
        <w:t xml:space="preserve">stron </w:t>
      </w:r>
      <w:r w:rsidR="00E33A9F" w:rsidRPr="00F26FD0">
        <w:t xml:space="preserve">Układu z Kotonu </w:t>
      </w:r>
      <w:r w:rsidR="00854741" w:rsidRPr="00F26FD0">
        <w:t>do zawarcia układu zgodnego z</w:t>
      </w:r>
      <w:r w:rsidR="00211617">
        <w:t xml:space="preserve"> </w:t>
      </w:r>
      <w:r w:rsidR="00470643" w:rsidRPr="00F26FD0">
        <w:t>zasadami WTO do roku 2007 r.</w:t>
      </w:r>
      <w:r w:rsidR="002A5081" w:rsidRPr="00F26FD0">
        <w:t>,</w:t>
      </w:r>
      <w:r w:rsidR="00470643" w:rsidRPr="00F26FD0">
        <w:t xml:space="preserve"> </w:t>
      </w:r>
      <w:r w:rsidR="002A5081" w:rsidRPr="00F26FD0">
        <w:t xml:space="preserve">co zrealizowano przez podpisanie </w:t>
      </w:r>
      <w:r w:rsidR="00BA2CF5" w:rsidRPr="00F26FD0">
        <w:t>Umowy</w:t>
      </w:r>
      <w:r w:rsidR="00C442AE" w:rsidRPr="00F26FD0">
        <w:t xml:space="preserve"> o</w:t>
      </w:r>
      <w:r w:rsidR="00211617">
        <w:t xml:space="preserve"> </w:t>
      </w:r>
      <w:r w:rsidR="002A5081" w:rsidRPr="00F26FD0">
        <w:t>Partnerstwie Gospodarczym CARIFORUM – UE.</w:t>
      </w:r>
    </w:p>
    <w:p w14:paraId="53649C6C" w14:textId="62F56481" w:rsidR="002A5081" w:rsidRPr="00F26FD0" w:rsidRDefault="00BA2CF5" w:rsidP="00F26FD0">
      <w:pPr>
        <w:spacing w:before="120" w:line="360" w:lineRule="auto"/>
        <w:jc w:val="both"/>
      </w:pPr>
      <w:r w:rsidRPr="00F26FD0">
        <w:t>Umowa</w:t>
      </w:r>
      <w:r w:rsidR="002A5081" w:rsidRPr="00F26FD0">
        <w:t xml:space="preserve"> o Partnerstwie Gospodarczym ma asymetryczny</w:t>
      </w:r>
      <w:r w:rsidR="00854741" w:rsidRPr="00F26FD0">
        <w:t xml:space="preserve"> charakter, co oznacza, że UE w </w:t>
      </w:r>
      <w:r w:rsidR="002A5081" w:rsidRPr="00F26FD0">
        <w:t>początkowym okresie obowiązywania porozumienia udzieli</w:t>
      </w:r>
      <w:r w:rsidR="00B324E8" w:rsidRPr="00F26FD0">
        <w:t>ła</w:t>
      </w:r>
      <w:r w:rsidR="002A5081" w:rsidRPr="00F26FD0">
        <w:t xml:space="preserve"> państwom CARIFORUM </w:t>
      </w:r>
      <w:r w:rsidR="005F59EE" w:rsidRPr="00F26FD0">
        <w:t xml:space="preserve">zwolnień w większym stopniu niż uzyska w zamian od państw regionu Karaibów. </w:t>
      </w:r>
      <w:r w:rsidR="00323605" w:rsidRPr="00F26FD0">
        <w:t xml:space="preserve">W praktyce UE otworzyła całkowicie swój rynek na towary z państw CARIFORUM, podczas gdy rynek państw karaibskich będzie </w:t>
      </w:r>
      <w:r w:rsidR="00211617" w:rsidRPr="00F26FD0">
        <w:t xml:space="preserve">się </w:t>
      </w:r>
      <w:r w:rsidR="00323605" w:rsidRPr="00F26FD0">
        <w:t xml:space="preserve">otwierał stopniowo dla europejskiego eksportu, aby po 25 latach </w:t>
      </w:r>
      <w:r w:rsidR="00323605" w:rsidRPr="00F26FD0">
        <w:lastRenderedPageBreak/>
        <w:t>poziom liberalizacji taryf osiągnął 86,9%. Taryfy na 13,1% produktów uznanych za wrażliwe dla rynku karaibskiego (żywność) zostały wykluczon</w:t>
      </w:r>
      <w:r w:rsidR="00B324E8" w:rsidRPr="00F26FD0">
        <w:t>e</w:t>
      </w:r>
      <w:r w:rsidR="00323605" w:rsidRPr="00F26FD0">
        <w:t xml:space="preserve"> z liberalizacji. Idea asymetryczności układu wynika z założenia, że obie strony różnią się pod względe</w:t>
      </w:r>
      <w:r w:rsidR="00467FDF">
        <w:t>m poziomu rozwoju i </w:t>
      </w:r>
      <w:r w:rsidR="00486315" w:rsidRPr="00F26FD0">
        <w:t>zamożności, co zostało podkreślone w celach układu, który służy przede wszystkim poprawie poziomu rozwoju gospodarczego państw CARIFORUM.</w:t>
      </w:r>
    </w:p>
    <w:p w14:paraId="55D1AAA8" w14:textId="2D0F1820" w:rsidR="00677D43" w:rsidRPr="00F26FD0" w:rsidRDefault="00677D43" w:rsidP="00F26FD0">
      <w:pPr>
        <w:spacing w:before="120" w:line="360" w:lineRule="auto"/>
        <w:jc w:val="both"/>
      </w:pPr>
      <w:r w:rsidRPr="00F26FD0">
        <w:t>Ratyfikacja EPA nie jest niezbędna do stosowania wielu zapisów układu</w:t>
      </w:r>
      <w:r w:rsidR="00854741" w:rsidRPr="00F26FD0">
        <w:t>, ponieważ zgodnie z </w:t>
      </w:r>
      <w:r w:rsidRPr="00F26FD0">
        <w:t xml:space="preserve">Artykułem 243 Umowy oraz Artykułem 4 Decyzji Rady z dnia 15 lipca 2008 r. w sprawie podpisania i tymczasowego stosowania Umowy o partnerstwie gospodarczym między państwami CARIFORUM, z jednej strony, a Wspólnotą Europejską i jej państwami członkowskimi, z drugiej strony (2008/805/WE) w odniesieniu do elementów objętych zakresem kompetencji Wspólnoty Umowę stosuje się tymczasowo do czasu zakończenia procedur dla jej zawarcia. UE zniosła większość ceł na produkty importowane z </w:t>
      </w:r>
      <w:r w:rsidR="009D3EC6">
        <w:t>p</w:t>
      </w:r>
      <w:r w:rsidRPr="00580B47">
        <w:t xml:space="preserve">aństw </w:t>
      </w:r>
      <w:r w:rsidRPr="00F26FD0">
        <w:t xml:space="preserve">CARIFORUM, a niektóre karaibskie państwa (Jamajka, Bahamy) zdecydowały się na redukcję ceł na towary europejskie, jeszcze przed ratyfikacją układu. Niemniej jednak część działań jest możliwa dopiero po pełnym wejściu w życie </w:t>
      </w:r>
      <w:r w:rsidR="00944ED9" w:rsidRPr="00F26FD0">
        <w:t>U</w:t>
      </w:r>
      <w:r w:rsidRPr="00F26FD0">
        <w:t>mowy l</w:t>
      </w:r>
      <w:r w:rsidR="00467FDF">
        <w:t>ub może być stosowana dopiero w </w:t>
      </w:r>
      <w:r w:rsidRPr="00F26FD0">
        <w:t>określonym czasie pełnego obowiązywania. Do chwili obecnej ratyfikacji dokonało 2</w:t>
      </w:r>
      <w:r w:rsidR="004F18E0" w:rsidRPr="00F26FD0">
        <w:t>5 (z 2</w:t>
      </w:r>
      <w:r w:rsidR="00573903" w:rsidRPr="00F26FD0">
        <w:t>7</w:t>
      </w:r>
      <w:r w:rsidR="004F18E0" w:rsidRPr="00F26FD0">
        <w:t>)</w:t>
      </w:r>
      <w:r w:rsidRPr="00F26FD0">
        <w:t xml:space="preserve"> państw UE oraz </w:t>
      </w:r>
      <w:r w:rsidR="00E059C2" w:rsidRPr="00F26FD0">
        <w:t>10</w:t>
      </w:r>
      <w:r w:rsidR="009B517B" w:rsidRPr="00F26FD0">
        <w:t xml:space="preserve"> (z 15) </w:t>
      </w:r>
      <w:r w:rsidRPr="00F26FD0">
        <w:t>państw CARIFORUM</w:t>
      </w:r>
      <w:r w:rsidRPr="00F26FD0">
        <w:rPr>
          <w:rStyle w:val="Odwoanieprzypisudolnego"/>
        </w:rPr>
        <w:footnoteReference w:id="7"/>
      </w:r>
      <w:r w:rsidRPr="00F26FD0">
        <w:t>.</w:t>
      </w:r>
    </w:p>
    <w:p w14:paraId="678CDD8C" w14:textId="77777777" w:rsidR="00677D43" w:rsidRPr="00F26FD0" w:rsidRDefault="00677D43" w:rsidP="00F26FD0">
      <w:pPr>
        <w:widowControl w:val="0"/>
        <w:autoSpaceDE w:val="0"/>
        <w:autoSpaceDN w:val="0"/>
        <w:adjustRightInd w:val="0"/>
        <w:spacing w:before="120" w:line="360" w:lineRule="auto"/>
        <w:jc w:val="both"/>
        <w:rPr>
          <w:color w:val="000000"/>
        </w:rPr>
      </w:pPr>
    </w:p>
    <w:p w14:paraId="221C40FE" w14:textId="77777777" w:rsidR="00271D07" w:rsidRPr="00F26FD0" w:rsidRDefault="00271D07" w:rsidP="00F26FD0">
      <w:pPr>
        <w:numPr>
          <w:ilvl w:val="0"/>
          <w:numId w:val="7"/>
        </w:numPr>
        <w:spacing w:before="120" w:line="360" w:lineRule="auto"/>
        <w:ind w:left="357" w:hanging="357"/>
        <w:jc w:val="both"/>
        <w:rPr>
          <w:b/>
        </w:rPr>
      </w:pPr>
      <w:r w:rsidRPr="00F26FD0">
        <w:rPr>
          <w:b/>
        </w:rPr>
        <w:t>Przewidywane skutki społeczne, gospodarcze, finansowe, polityczne i prawne</w:t>
      </w:r>
    </w:p>
    <w:p w14:paraId="30F610CA" w14:textId="77777777" w:rsidR="005D7459" w:rsidRPr="00F26FD0" w:rsidRDefault="008376F6" w:rsidP="00F26FD0">
      <w:pPr>
        <w:numPr>
          <w:ilvl w:val="0"/>
          <w:numId w:val="8"/>
        </w:numPr>
        <w:spacing w:before="120" w:line="360" w:lineRule="auto"/>
        <w:jc w:val="both"/>
      </w:pPr>
      <w:r w:rsidRPr="00F26FD0">
        <w:t>Skutki społeczne</w:t>
      </w:r>
      <w:r w:rsidR="003D5F95" w:rsidRPr="00F26FD0">
        <w:t xml:space="preserve"> i polityczne</w:t>
      </w:r>
    </w:p>
    <w:p w14:paraId="6AEED7EB" w14:textId="77777777" w:rsidR="008376F6" w:rsidRPr="00F26FD0" w:rsidRDefault="008376F6" w:rsidP="00F26FD0">
      <w:pPr>
        <w:spacing w:before="120" w:line="360" w:lineRule="auto"/>
        <w:jc w:val="both"/>
      </w:pPr>
      <w:r w:rsidRPr="00F26FD0">
        <w:t>Umowa nie rodzi dla Rzeczypospolitej Polskiej bezpośrednich skutków społecznych</w:t>
      </w:r>
      <w:r w:rsidR="00854741" w:rsidRPr="00F26FD0">
        <w:t xml:space="preserve"> i </w:t>
      </w:r>
      <w:r w:rsidR="003D5F95" w:rsidRPr="00F26FD0">
        <w:t>politycznych</w:t>
      </w:r>
      <w:r w:rsidRPr="00F26FD0">
        <w:t>.</w:t>
      </w:r>
    </w:p>
    <w:p w14:paraId="67DE3799" w14:textId="77777777" w:rsidR="008376F6" w:rsidRPr="00F26FD0" w:rsidRDefault="008376F6" w:rsidP="00F26FD0">
      <w:pPr>
        <w:numPr>
          <w:ilvl w:val="0"/>
          <w:numId w:val="8"/>
        </w:numPr>
        <w:spacing w:before="120" w:line="360" w:lineRule="auto"/>
        <w:jc w:val="both"/>
      </w:pPr>
      <w:r w:rsidRPr="00F26FD0">
        <w:t>Skutki gospodarcze</w:t>
      </w:r>
    </w:p>
    <w:p w14:paraId="5307D1B5" w14:textId="48347E31" w:rsidR="00073DB9" w:rsidRPr="00F26FD0" w:rsidRDefault="008376F6" w:rsidP="00F26FD0">
      <w:pPr>
        <w:spacing w:before="120" w:line="360" w:lineRule="auto"/>
        <w:jc w:val="both"/>
      </w:pPr>
      <w:r w:rsidRPr="00F26FD0">
        <w:t xml:space="preserve">Nie przewiduje się negatywnych skutków gospodarczych wejścia w życie </w:t>
      </w:r>
      <w:r w:rsidR="00854741" w:rsidRPr="00F26FD0">
        <w:t>Umowy o </w:t>
      </w:r>
      <w:r w:rsidR="005C4A34" w:rsidRPr="00F26FD0">
        <w:t>Partnerstwie Gospodarczym UE – CARIFORUM</w:t>
      </w:r>
      <w:r w:rsidR="00AB7593" w:rsidRPr="00F26FD0">
        <w:t>.</w:t>
      </w:r>
      <w:r w:rsidR="00A37C3E" w:rsidRPr="00F26FD0">
        <w:t xml:space="preserve"> </w:t>
      </w:r>
      <w:r w:rsidR="00955D4D" w:rsidRPr="00F26FD0">
        <w:t xml:space="preserve">Przede wszystkim </w:t>
      </w:r>
      <w:r w:rsidR="00944ED9" w:rsidRPr="00F26FD0">
        <w:t>U</w:t>
      </w:r>
      <w:r w:rsidR="00955D4D" w:rsidRPr="00F26FD0">
        <w:t>mowa w zakresie uregulowań handlowych jest stosowana tymczasowo od 2008 r. Ewentualne</w:t>
      </w:r>
      <w:r w:rsidR="00B324E8" w:rsidRPr="00F26FD0">
        <w:t xml:space="preserve"> korzyści dla polskiej gospodarki</w:t>
      </w:r>
      <w:r w:rsidR="00955D4D" w:rsidRPr="00F26FD0">
        <w:t xml:space="preserve"> mogą się pojawić</w:t>
      </w:r>
      <w:r w:rsidR="00B324E8" w:rsidRPr="00F26FD0">
        <w:t>, choć ich wysokość</w:t>
      </w:r>
      <w:r w:rsidR="00A37C3E" w:rsidRPr="00F26FD0">
        <w:t xml:space="preserve"> z uwagi na fakt, że</w:t>
      </w:r>
      <w:r w:rsidR="005C4A34" w:rsidRPr="00F26FD0">
        <w:t xml:space="preserve"> </w:t>
      </w:r>
      <w:r w:rsidR="00AB7593" w:rsidRPr="00F26FD0">
        <w:t>Polska nie posiada bliskich kontaktów handlowych z większością krajów regionu,</w:t>
      </w:r>
      <w:r w:rsidR="00A37C3E" w:rsidRPr="00F26FD0">
        <w:t xml:space="preserve"> może być nie</w:t>
      </w:r>
      <w:r w:rsidR="00B324E8" w:rsidRPr="00F26FD0">
        <w:t>znaczna</w:t>
      </w:r>
      <w:r w:rsidR="00A37C3E" w:rsidRPr="00F26FD0">
        <w:t xml:space="preserve"> w skali całej gospodarki.</w:t>
      </w:r>
      <w:r w:rsidR="00AB7593" w:rsidRPr="00F26FD0">
        <w:t xml:space="preserve"> </w:t>
      </w:r>
      <w:r w:rsidR="00073DB9" w:rsidRPr="00F26FD0">
        <w:t xml:space="preserve">W 2020 r., wartość obrotów handlowych między Polską a państwami </w:t>
      </w:r>
      <w:r w:rsidR="00736B21" w:rsidRPr="00F26FD0">
        <w:lastRenderedPageBreak/>
        <w:t>CARIFORUM</w:t>
      </w:r>
      <w:r w:rsidR="00073DB9" w:rsidRPr="00F26FD0">
        <w:t xml:space="preserve"> wyniosła 641,7 mln EUR, co oznaczało spadek o ok. 37% w skali roku (</w:t>
      </w:r>
      <w:r w:rsidR="00467FDF">
        <w:t>z </w:t>
      </w:r>
      <w:r w:rsidR="001B78FC" w:rsidRPr="00F26FD0">
        <w:t xml:space="preserve">poziomu </w:t>
      </w:r>
      <w:r w:rsidR="00073DB9" w:rsidRPr="00F26FD0">
        <w:t xml:space="preserve">1 024,9 mln EUR </w:t>
      </w:r>
      <w:r w:rsidR="001B78FC" w:rsidRPr="00F26FD0">
        <w:t>w</w:t>
      </w:r>
      <w:r w:rsidR="0058764D" w:rsidRPr="00F26FD0">
        <w:t xml:space="preserve"> </w:t>
      </w:r>
      <w:r w:rsidR="00073DB9" w:rsidRPr="00F26FD0">
        <w:t>2019</w:t>
      </w:r>
      <w:r w:rsidR="0058764D" w:rsidRPr="00F26FD0">
        <w:t xml:space="preserve"> r.</w:t>
      </w:r>
      <w:r w:rsidR="00073DB9" w:rsidRPr="00F26FD0">
        <w:t xml:space="preserve">). Jednocześnie w 2020 r. Polska odnotowała nadwyżkę w handlu z </w:t>
      </w:r>
      <w:r w:rsidR="00736B21" w:rsidRPr="00F26FD0">
        <w:t>CARIFORUM</w:t>
      </w:r>
      <w:r w:rsidR="00073DB9" w:rsidRPr="00F26FD0">
        <w:t xml:space="preserve"> (wartość polskiego eksportu wyniosła 359 mln EUR, a importu 282,8), podczas gdy rok wcześniej odnotowała ujemny bilans handlowy (z wartością eksportu wynoszącą 443,5 mln EUR i 581,5 mln EUR importu). </w:t>
      </w:r>
      <w:r w:rsidR="001B78FC" w:rsidRPr="00F26FD0">
        <w:t>W ujęciu ogólnym, z</w:t>
      </w:r>
      <w:r w:rsidR="00073DB9" w:rsidRPr="00F26FD0">
        <w:t xml:space="preserve"> 15 państw </w:t>
      </w:r>
      <w:r w:rsidR="00736B21" w:rsidRPr="00F26FD0">
        <w:t>CARIFORUM</w:t>
      </w:r>
      <w:r w:rsidR="00073DB9" w:rsidRPr="00F26FD0">
        <w:t xml:space="preserve">, największymi odbiorcami polskiego eksportu są: Bahamy (wartość eksportu </w:t>
      </w:r>
      <w:r w:rsidR="008E184B" w:rsidRPr="00F26FD0">
        <w:t xml:space="preserve">wynosząca </w:t>
      </w:r>
      <w:r w:rsidR="008466C6" w:rsidRPr="00F26FD0">
        <w:t xml:space="preserve">w 2020 r. </w:t>
      </w:r>
      <w:r w:rsidR="00073DB9" w:rsidRPr="00F26FD0">
        <w:t>189,2 mln EUR), Antigua i Barbuda (101,1 mln EUR) i Dominikana (26,6 mln EUR), przy cz</w:t>
      </w:r>
      <w:r w:rsidR="008466C6" w:rsidRPr="00F26FD0">
        <w:t xml:space="preserve">ym dla dwóch pierwszych państw </w:t>
      </w:r>
      <w:r w:rsidR="00073DB9" w:rsidRPr="00F26FD0">
        <w:t>Pol</w:t>
      </w:r>
      <w:r w:rsidR="00467FDF">
        <w:t>ska odnotowała dodatni bilans w </w:t>
      </w:r>
      <w:r w:rsidR="00073DB9" w:rsidRPr="00F26FD0">
        <w:t>handlu, a dla trzeciego</w:t>
      </w:r>
      <w:r w:rsidR="001B78FC" w:rsidRPr="00F26FD0">
        <w:t xml:space="preserve"> </w:t>
      </w:r>
      <w:r w:rsidR="00073DB9" w:rsidRPr="00F26FD0">
        <w:t>ujemny. Dane dot</w:t>
      </w:r>
      <w:r w:rsidR="00192D30">
        <w:t>yczące</w:t>
      </w:r>
      <w:r w:rsidR="00073DB9" w:rsidRPr="00F26FD0">
        <w:t xml:space="preserve"> wymiany handlowej Polski z pozostałymi państwami regionu są zwykle niewielkie i nie przekraczają poziomu 10 mln EUR rocznie.</w:t>
      </w:r>
    </w:p>
    <w:p w14:paraId="6E04E085" w14:textId="77777777" w:rsidR="009E134B" w:rsidRPr="00F26FD0" w:rsidRDefault="009E134B" w:rsidP="00F26FD0">
      <w:pPr>
        <w:numPr>
          <w:ilvl w:val="0"/>
          <w:numId w:val="8"/>
        </w:numPr>
        <w:spacing w:before="120" w:line="360" w:lineRule="auto"/>
        <w:jc w:val="both"/>
      </w:pPr>
      <w:r w:rsidRPr="00F26FD0">
        <w:t>Skutki finansowe</w:t>
      </w:r>
    </w:p>
    <w:p w14:paraId="4C26515E" w14:textId="77777777" w:rsidR="009E134B" w:rsidRPr="00F26FD0" w:rsidRDefault="009E134B" w:rsidP="00F26FD0">
      <w:pPr>
        <w:spacing w:before="120" w:line="360" w:lineRule="auto"/>
        <w:jc w:val="both"/>
      </w:pPr>
      <w:r w:rsidRPr="00F26FD0">
        <w:t>Nie przewiduje się negatywnych skutków finansowych Umowy dla Rzeczypospolitej Polskiej.</w:t>
      </w:r>
    </w:p>
    <w:p w14:paraId="750C5125" w14:textId="77777777" w:rsidR="009E134B" w:rsidRPr="00F26FD0" w:rsidRDefault="009E134B" w:rsidP="00F26FD0">
      <w:pPr>
        <w:numPr>
          <w:ilvl w:val="0"/>
          <w:numId w:val="8"/>
        </w:numPr>
        <w:spacing w:before="120" w:line="360" w:lineRule="auto"/>
        <w:jc w:val="both"/>
      </w:pPr>
      <w:r w:rsidRPr="00F26FD0">
        <w:t xml:space="preserve">Skutki </w:t>
      </w:r>
      <w:r w:rsidR="00FD6613" w:rsidRPr="00F26FD0">
        <w:t>prawne</w:t>
      </w:r>
    </w:p>
    <w:p w14:paraId="7491FC03" w14:textId="77777777" w:rsidR="00FD6613" w:rsidRPr="00F26FD0" w:rsidRDefault="00D07E82" w:rsidP="00F26FD0">
      <w:pPr>
        <w:spacing w:before="120" w:line="360" w:lineRule="auto"/>
        <w:jc w:val="both"/>
      </w:pPr>
      <w:r w:rsidRPr="00F26FD0">
        <w:t>W wyniku ratyfikowania</w:t>
      </w:r>
      <w:r w:rsidR="00FD6613" w:rsidRPr="00F26FD0">
        <w:t xml:space="preserve"> Umowy </w:t>
      </w:r>
      <w:r w:rsidRPr="00F26FD0">
        <w:t xml:space="preserve">Rzeczpospolita Polska stanie się stroną </w:t>
      </w:r>
      <w:r w:rsidR="00FD6613" w:rsidRPr="00F26FD0">
        <w:t>Umowy o</w:t>
      </w:r>
      <w:r w:rsidR="00854741" w:rsidRPr="00F26FD0">
        <w:t> </w:t>
      </w:r>
      <w:r w:rsidR="00FD6613" w:rsidRPr="00F26FD0">
        <w:t>Partnerstwie Gospodarczym UE – CARIFORUM</w:t>
      </w:r>
      <w:r w:rsidRPr="00F26FD0">
        <w:t xml:space="preserve">. </w:t>
      </w:r>
      <w:r w:rsidR="00955D4D" w:rsidRPr="00F26FD0">
        <w:t>Ratyfikacja</w:t>
      </w:r>
      <w:r w:rsidRPr="00F26FD0">
        <w:t xml:space="preserve"> nie spowoduje konieczności wprowadzania zmian do polskiego prawodawstwa.</w:t>
      </w:r>
    </w:p>
    <w:p w14:paraId="1F7DFDCC" w14:textId="77777777" w:rsidR="00D07E82" w:rsidRPr="00F26FD0" w:rsidRDefault="00F508EB" w:rsidP="00F26FD0">
      <w:pPr>
        <w:spacing w:before="120" w:line="360" w:lineRule="auto"/>
        <w:jc w:val="both"/>
      </w:pPr>
      <w:r w:rsidRPr="00F26FD0">
        <w:t>N</w:t>
      </w:r>
      <w:r w:rsidR="00D07E82" w:rsidRPr="00F26FD0">
        <w:t xml:space="preserve">iektóre zobowiązania Umowy o Partnerstwie Gospodarczym odnoszą się do obszaru kompetencji dzielonych między Unią Europejską a jej państwami członkowskimi oraz kompetencji wyłącznych państw członkowskich, </w:t>
      </w:r>
      <w:r w:rsidRPr="00F26FD0">
        <w:t xml:space="preserve">w związku z czym </w:t>
      </w:r>
      <w:r w:rsidR="00D07E82" w:rsidRPr="00F26FD0">
        <w:t xml:space="preserve">państwa członkowskie będą również stroną niniejszej </w:t>
      </w:r>
      <w:r w:rsidR="00112A1C" w:rsidRPr="00F26FD0">
        <w:t>U</w:t>
      </w:r>
      <w:r w:rsidR="00D07E82" w:rsidRPr="00F26FD0">
        <w:t>mowy i są one zobowi</w:t>
      </w:r>
      <w:r w:rsidRPr="00F26FD0">
        <w:t>ązane związać się nią zgodnie z </w:t>
      </w:r>
      <w:r w:rsidR="00D07E82" w:rsidRPr="00F26FD0">
        <w:t>własnymi procedurami wewnętrznymi.</w:t>
      </w:r>
    </w:p>
    <w:p w14:paraId="3F7E3494" w14:textId="77777777" w:rsidR="00D36384" w:rsidRPr="00F26FD0" w:rsidRDefault="00D36384" w:rsidP="00F26FD0">
      <w:pPr>
        <w:spacing w:before="120" w:line="360" w:lineRule="auto"/>
        <w:jc w:val="both"/>
      </w:pPr>
      <w:r w:rsidRPr="00F26FD0">
        <w:t xml:space="preserve">Umowa nie dotyczy bezpośrednio osób fizycznych ani prawnych. Nie zmienia również spraw uregulowanych w prawie wewnętrznym. </w:t>
      </w:r>
    </w:p>
    <w:p w14:paraId="67B3F7D1" w14:textId="77777777" w:rsidR="008376F6" w:rsidRPr="00F26FD0" w:rsidRDefault="008376F6" w:rsidP="00F26FD0">
      <w:pPr>
        <w:spacing w:before="120" w:line="360" w:lineRule="auto"/>
        <w:jc w:val="both"/>
      </w:pPr>
    </w:p>
    <w:p w14:paraId="7E36F5E6" w14:textId="77777777" w:rsidR="00271D07" w:rsidRPr="00F26FD0" w:rsidRDefault="00271D07" w:rsidP="00F26FD0">
      <w:pPr>
        <w:numPr>
          <w:ilvl w:val="0"/>
          <w:numId w:val="7"/>
        </w:numPr>
        <w:spacing w:before="120" w:line="360" w:lineRule="auto"/>
        <w:ind w:left="357" w:hanging="357"/>
        <w:jc w:val="both"/>
        <w:rPr>
          <w:b/>
        </w:rPr>
      </w:pPr>
      <w:r w:rsidRPr="00F26FD0">
        <w:rPr>
          <w:b/>
        </w:rPr>
        <w:t>Tryb związania</w:t>
      </w:r>
      <w:r w:rsidR="00B324E8" w:rsidRPr="00F26FD0">
        <w:rPr>
          <w:b/>
        </w:rPr>
        <w:t xml:space="preserve"> Umową Rzeczypospolitej Polskiej</w:t>
      </w:r>
    </w:p>
    <w:p w14:paraId="1D8464C1" w14:textId="74DB6681" w:rsidR="00667C3D" w:rsidRPr="00F26FD0" w:rsidRDefault="00667C3D" w:rsidP="00F26FD0">
      <w:pPr>
        <w:spacing w:before="120" w:line="360" w:lineRule="auto"/>
        <w:jc w:val="both"/>
      </w:pPr>
      <w:r w:rsidRPr="00F26FD0">
        <w:t>Umowa o Partnerstwie Gospodarczym UE – CARIFORUM stanowi umowę mieszaną, która przewiduje utworzenie strefy wolnego handlu i zawiera postanowienia dotyczące m.in. taryf celnych, inwestycji oraz ułatwień handlowych. Spełnia ona pr</w:t>
      </w:r>
      <w:r w:rsidR="00467FDF">
        <w:t>zesłanki zawarte w art. 89 ust. </w:t>
      </w:r>
      <w:r w:rsidRPr="00F26FD0">
        <w:t xml:space="preserve">1 pkt 2 i 5 Konstytucji </w:t>
      </w:r>
      <w:r w:rsidR="008376F6" w:rsidRPr="00F26FD0">
        <w:t xml:space="preserve">Rzeczypospolitej Polskiej (Dz. U. </w:t>
      </w:r>
      <w:r w:rsidR="00112A1C" w:rsidRPr="00F26FD0">
        <w:t xml:space="preserve">z 1997 r. </w:t>
      </w:r>
      <w:r w:rsidR="00467FDF">
        <w:t>poz. 483, z późn. </w:t>
      </w:r>
      <w:bookmarkStart w:id="0" w:name="_GoBack"/>
      <w:bookmarkEnd w:id="0"/>
      <w:r w:rsidR="008376F6" w:rsidRPr="00F26FD0">
        <w:t>zm.)</w:t>
      </w:r>
      <w:r w:rsidRPr="00F26FD0">
        <w:t xml:space="preserve">, ponieważ może wpływać na wolności, prawa i obowiązki obywatelskie określone </w:t>
      </w:r>
      <w:r w:rsidRPr="00F26FD0">
        <w:lastRenderedPageBreak/>
        <w:t>w</w:t>
      </w:r>
      <w:r w:rsidR="00854741" w:rsidRPr="00F26FD0">
        <w:t> </w:t>
      </w:r>
      <w:r w:rsidRPr="00F26FD0">
        <w:t xml:space="preserve">Konstytucji </w:t>
      </w:r>
      <w:r w:rsidR="00192D30">
        <w:t xml:space="preserve">RP </w:t>
      </w:r>
      <w:r w:rsidRPr="00F26FD0">
        <w:t xml:space="preserve">oraz dotyczy spraw uregulowanych w ustawie lub w których Konstytucja </w:t>
      </w:r>
      <w:r w:rsidR="00192D30">
        <w:t xml:space="preserve">RP </w:t>
      </w:r>
      <w:r w:rsidRPr="00F26FD0">
        <w:t>wymaga ustawy.</w:t>
      </w:r>
    </w:p>
    <w:p w14:paraId="7B19FEAD" w14:textId="77777777" w:rsidR="00CF77A3" w:rsidRPr="00F26FD0" w:rsidRDefault="00667C3D" w:rsidP="00F26FD0">
      <w:pPr>
        <w:spacing w:before="120" w:line="360" w:lineRule="auto"/>
        <w:jc w:val="both"/>
      </w:pPr>
      <w:r w:rsidRPr="00F26FD0">
        <w:t xml:space="preserve">W związku z powyższym Umowa zostanie przedłożona Prezydentowi Rzeczypospolitej Polskiej do ratyfikacji za uprzednią zgodą </w:t>
      </w:r>
      <w:r w:rsidR="00955D4D" w:rsidRPr="00F26FD0">
        <w:t>P</w:t>
      </w:r>
      <w:r w:rsidRPr="00F26FD0">
        <w:t>arlamentu wyrażoną w ustawie.</w:t>
      </w:r>
    </w:p>
    <w:sectPr w:rsidR="00CF77A3" w:rsidRPr="00F26FD0" w:rsidSect="00F26FD0">
      <w:footerReference w:type="even" r:id="rId8"/>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61093" w14:textId="77777777" w:rsidR="0061471F" w:rsidRDefault="0061471F">
      <w:r>
        <w:separator/>
      </w:r>
    </w:p>
  </w:endnote>
  <w:endnote w:type="continuationSeparator" w:id="0">
    <w:p w14:paraId="44B90F04" w14:textId="77777777" w:rsidR="0061471F" w:rsidRDefault="00614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A7D9D" w14:textId="77777777" w:rsidR="008112EC" w:rsidRDefault="008112EC"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991C946" w14:textId="77777777" w:rsidR="008112EC" w:rsidRDefault="008112E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31E9F" w14:textId="582D2537" w:rsidR="008112EC" w:rsidRDefault="008112EC" w:rsidP="00F26FD0">
    <w:pPr>
      <w:pStyle w:val="Stopka"/>
      <w:framePr w:w="409" w:wrap="around" w:vAnchor="text" w:hAnchor="margin" w:xAlign="center" w:y="2"/>
    </w:pPr>
    <w:r>
      <w:rPr>
        <w:rStyle w:val="Numerstrony"/>
      </w:rPr>
      <w:fldChar w:fldCharType="begin"/>
    </w:r>
    <w:r>
      <w:rPr>
        <w:rStyle w:val="Numerstrony"/>
      </w:rPr>
      <w:instrText xml:space="preserve">PAGE  </w:instrText>
    </w:r>
    <w:r>
      <w:rPr>
        <w:rStyle w:val="Numerstrony"/>
      </w:rPr>
      <w:fldChar w:fldCharType="separate"/>
    </w:r>
    <w:r w:rsidR="00467FDF">
      <w:rPr>
        <w:rStyle w:val="Numerstrony"/>
        <w:noProof/>
      </w:rPr>
      <w:t>8</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4E414" w14:textId="77777777" w:rsidR="0061471F" w:rsidRDefault="0061471F">
      <w:r>
        <w:separator/>
      </w:r>
    </w:p>
  </w:footnote>
  <w:footnote w:type="continuationSeparator" w:id="0">
    <w:p w14:paraId="41450C69" w14:textId="77777777" w:rsidR="0061471F" w:rsidRDefault="0061471F">
      <w:r>
        <w:continuationSeparator/>
      </w:r>
    </w:p>
  </w:footnote>
  <w:footnote w:id="1">
    <w:p w14:paraId="7CA24220" w14:textId="77777777" w:rsidR="00ED2B15" w:rsidRDefault="00ED2B15" w:rsidP="00BA2CF5">
      <w:pPr>
        <w:pStyle w:val="Tekstprzypisudolnego"/>
        <w:jc w:val="both"/>
      </w:pPr>
      <w:r>
        <w:rPr>
          <w:rStyle w:val="Odwoanieprzypisudolnego"/>
        </w:rPr>
        <w:footnoteRef/>
      </w:r>
      <w:r>
        <w:t xml:space="preserve"> </w:t>
      </w:r>
      <w:r w:rsidR="0069567E">
        <w:t>Karaib</w:t>
      </w:r>
      <w:r>
        <w:t>s</w:t>
      </w:r>
      <w:r w:rsidR="0069567E">
        <w:t>k</w:t>
      </w:r>
      <w:r w:rsidR="00403AFC">
        <w:t>ie Forum P</w:t>
      </w:r>
      <w:r>
        <w:t>aństw AKP</w:t>
      </w:r>
      <w:r w:rsidR="0069567E">
        <w:t xml:space="preserve"> liczy 15 członków</w:t>
      </w:r>
      <w:r>
        <w:t xml:space="preserve">: Antigua i Barbuda, Wspólnota Bahamów, Barbados, Belize, Wspólnota Dominiki, Republika Dominikańska, Grenada, Kooperacyjna Republika Gujany, Republika Haiti, </w:t>
      </w:r>
      <w:r w:rsidR="0069567E">
        <w:t>Jamajka, Saint Kitts i Nevis, Saint Lucia, Saint Vincent i Grenadyny, Republika Surinamu, Republika Trynidadu i Tobago.</w:t>
      </w:r>
    </w:p>
  </w:footnote>
  <w:footnote w:id="2">
    <w:p w14:paraId="77CFBE08" w14:textId="77777777" w:rsidR="0004690A" w:rsidRDefault="0004690A" w:rsidP="00BA2CF5">
      <w:pPr>
        <w:pStyle w:val="Tekstprzypisudolnego"/>
        <w:jc w:val="both"/>
      </w:pPr>
      <w:r>
        <w:rPr>
          <w:rStyle w:val="Odwoanieprzypisudolnego"/>
        </w:rPr>
        <w:footnoteRef/>
      </w:r>
      <w:r>
        <w:t xml:space="preserve"> </w:t>
      </w:r>
      <w:r w:rsidR="00DB4A92">
        <w:t>Gujana podpisał</w:t>
      </w:r>
      <w:r w:rsidR="00513E07">
        <w:t xml:space="preserve">a </w:t>
      </w:r>
      <w:r w:rsidR="00C8050F">
        <w:t>U</w:t>
      </w:r>
      <w:r w:rsidR="00513E07">
        <w:t xml:space="preserve">mowę 20 października 2008 r., a </w:t>
      </w:r>
      <w:r>
        <w:t xml:space="preserve">Haiti podpisało </w:t>
      </w:r>
      <w:r w:rsidR="00EF6CAA">
        <w:t>U</w:t>
      </w:r>
      <w:r>
        <w:t>mowę 10 grudnia 2009 r.</w:t>
      </w:r>
    </w:p>
  </w:footnote>
  <w:footnote w:id="3">
    <w:p w14:paraId="77BA3536" w14:textId="77777777" w:rsidR="00BC2965" w:rsidRDefault="00BC2965" w:rsidP="00BA2CF5">
      <w:pPr>
        <w:pStyle w:val="Tekstprzypisudolnego"/>
        <w:jc w:val="both"/>
      </w:pPr>
      <w:r>
        <w:rPr>
          <w:rStyle w:val="Odwoanieprzypisudolnego"/>
        </w:rPr>
        <w:footnoteRef/>
      </w:r>
      <w:r>
        <w:t xml:space="preserve"> Umowa o partnerstwie między członkami grupy państw Afryki, Karaibów i Pacyfiku</w:t>
      </w:r>
      <w:r w:rsidR="00403AFC">
        <w:t>, z jednej strony, a Wspólnotą E</w:t>
      </w:r>
      <w:r>
        <w:t>uropejską i jej Państwami Członkowskimi, z drugiej str</w:t>
      </w:r>
      <w:r w:rsidR="00BA2CF5">
        <w:t>ony, podpisana w Kotonu dnia 23 </w:t>
      </w:r>
      <w:r>
        <w:t>czerwca 2000 r.</w:t>
      </w:r>
    </w:p>
  </w:footnote>
  <w:footnote w:id="4">
    <w:p w14:paraId="3D983FA5" w14:textId="5066134A" w:rsidR="00513E07" w:rsidRDefault="00513E07" w:rsidP="00BA2CF5">
      <w:pPr>
        <w:pStyle w:val="Tekstprzypisudolnego"/>
        <w:jc w:val="both"/>
      </w:pPr>
      <w:r>
        <w:rPr>
          <w:rStyle w:val="Odwoanieprzypisudolnego"/>
        </w:rPr>
        <w:footnoteRef/>
      </w:r>
      <w:r>
        <w:t xml:space="preserve"> </w:t>
      </w:r>
      <w:r w:rsidR="00403AFC">
        <w:t>Z</w:t>
      </w:r>
      <w:r w:rsidR="00C4143A">
        <w:t>astąpione</w:t>
      </w:r>
      <w:r>
        <w:t xml:space="preserve"> </w:t>
      </w:r>
      <w:r w:rsidR="007016BF">
        <w:t>r</w:t>
      </w:r>
      <w:r>
        <w:t xml:space="preserve">ozporządzeniem Parlamentu Europejskiego i Rady (UE) </w:t>
      </w:r>
      <w:r w:rsidR="00467FDF">
        <w:t>2016/1076 z dnia 8 czerwca 2016 </w:t>
      </w:r>
      <w:r>
        <w:t>r. w</w:t>
      </w:r>
      <w:r w:rsidR="00BA2CF5">
        <w:t> </w:t>
      </w:r>
      <w:r>
        <w:t>sprawie stosowania uzgodnień dotyczących produktów pochodzących z niektórych pań</w:t>
      </w:r>
      <w:r w:rsidR="00BA2CF5">
        <w:t>stw wchodzących w </w:t>
      </w:r>
      <w:r>
        <w:t>skład grupy państw Afryki, Karaibów i Pacyfiku (AKP) przewidzianych w umowach ustanawiających lub prowadzących do ustanowienia umów o partnerstwie gospodarczym</w:t>
      </w:r>
      <w:r w:rsidR="00C4143A">
        <w:t xml:space="preserve"> (Dz. Urz. U</w:t>
      </w:r>
      <w:r w:rsidR="00467FDF">
        <w:t>E L 185 z 08.07.2016, str. 1, z </w:t>
      </w:r>
      <w:r w:rsidR="00C4143A">
        <w:t>późn. zm</w:t>
      </w:r>
      <w:r w:rsidR="001712D7">
        <w:t>.</w:t>
      </w:r>
      <w:r w:rsidR="00C4143A">
        <w:t>)</w:t>
      </w:r>
      <w:r>
        <w:t xml:space="preserve">, w którym z </w:t>
      </w:r>
      <w:r w:rsidR="00DA4B78">
        <w:t>z</w:t>
      </w:r>
      <w:r>
        <w:t>ałącznika I wykreślono Haiti</w:t>
      </w:r>
      <w:r w:rsidR="00BC2965">
        <w:t>, które choć podpisało Umowę, to do chwili obecnej jej nie ratyfikowało ani nie notyfikowało jej tymczasowego stosowania</w:t>
      </w:r>
      <w:r>
        <w:t>.</w:t>
      </w:r>
    </w:p>
  </w:footnote>
  <w:footnote w:id="5">
    <w:p w14:paraId="14CE6D7E" w14:textId="40A5C263" w:rsidR="004F18E0" w:rsidRDefault="00AA550E" w:rsidP="00BA2CF5">
      <w:pPr>
        <w:pStyle w:val="Tekstprzypisudolnego"/>
        <w:jc w:val="both"/>
      </w:pPr>
      <w:r>
        <w:rPr>
          <w:rStyle w:val="Odwoanieprzypisudolnego"/>
        </w:rPr>
        <w:footnoteRef/>
      </w:r>
      <w:r>
        <w:t xml:space="preserve"> Europejski Fundusz Rozwoju (EDF) jest głównym instrumentem finansowym realizacji polityki rozwojowej Unii Europejskiej wobec krajów Afryki, Karaibów i Pacyfiku (AKP czy tzw. ACP) oraz krajów i terytoriów zamorskich (OCT). EDF został utworzony na podstawie Traktatu Rzymskiego (art. 131 i 136). W jego ramach </w:t>
      </w:r>
      <w:r w:rsidR="00504342">
        <w:t xml:space="preserve">jest </w:t>
      </w:r>
      <w:r>
        <w:t>oferowana głównie pomoc bezzwrotna (granty) przeznaczona na finans</w:t>
      </w:r>
      <w:r w:rsidR="004F18E0">
        <w:t>owanie rozwoju w długim terminie. Wraz z zakończeniem 11. edycji funduszu, obejmującej okres od 2014 do 2020 i wygaśnięciem dwudziestoletniej Umowy Kotonu stanowiącej podstawę jego finansowania</w:t>
      </w:r>
      <w:r w:rsidR="00220CE5">
        <w:t xml:space="preserve"> (w 2020 r.)</w:t>
      </w:r>
      <w:r w:rsidR="004F18E0">
        <w:t xml:space="preserve">, EDF został </w:t>
      </w:r>
      <w:r w:rsidR="00BF7FBD">
        <w:t xml:space="preserve">włączony do </w:t>
      </w:r>
      <w:r w:rsidR="004F18E0">
        <w:t>wieloletnich ram finansowych w perspektywie 2021</w:t>
      </w:r>
      <w:r w:rsidR="00504342">
        <w:t>–</w:t>
      </w:r>
      <w:r w:rsidR="00220CE5">
        <w:t>20</w:t>
      </w:r>
      <w:r w:rsidR="004F18E0">
        <w:t xml:space="preserve">27. W związku ze zmianą organizacyjną funduszu, </w:t>
      </w:r>
      <w:r w:rsidR="00BF7FBD">
        <w:t>zmianie uległy ta</w:t>
      </w:r>
      <w:r w:rsidR="00220CE5">
        <w:t>kże zasady jego funkcjonowania, w tym przede wszystkim okres obowiązywania czy mechanizmy regulacyjne</w:t>
      </w:r>
      <w:r w:rsidR="00A67E40">
        <w:t xml:space="preserve">. Choć </w:t>
      </w:r>
      <w:r w:rsidR="00BF7FBD">
        <w:t>pozostaje on funduszem dotowanym ze składek PCz UE</w:t>
      </w:r>
      <w:r w:rsidR="00A67E40">
        <w:t xml:space="preserve">, to </w:t>
      </w:r>
      <w:r w:rsidR="00BF7FBD">
        <w:t xml:space="preserve">działa na warunkach odmiennych </w:t>
      </w:r>
      <w:r w:rsidR="00112A1C">
        <w:t>od</w:t>
      </w:r>
      <w:r w:rsidR="00BF7FBD">
        <w:t xml:space="preserve"> zasad, obowiązujących </w:t>
      </w:r>
      <w:r w:rsidR="00220CE5">
        <w:t>budżet unijny.</w:t>
      </w:r>
      <w:r w:rsidR="00BF7FBD">
        <w:t xml:space="preserve"> Wysokość składek</w:t>
      </w:r>
      <w:r w:rsidR="004A1B5D">
        <w:t xml:space="preserve"> </w:t>
      </w:r>
      <w:r w:rsidR="00BF7FBD">
        <w:t xml:space="preserve">jest ustalana w oparciu o poziom interesów </w:t>
      </w:r>
      <w:r w:rsidR="009F7E3D">
        <w:t xml:space="preserve">poszczególnych PCz </w:t>
      </w:r>
      <w:r w:rsidR="004A1B5D">
        <w:t xml:space="preserve">UE </w:t>
      </w:r>
      <w:r w:rsidR="009F7E3D">
        <w:t xml:space="preserve">w </w:t>
      </w:r>
      <w:r w:rsidR="004A1B5D">
        <w:t>państwach regionu</w:t>
      </w:r>
      <w:r w:rsidR="009F7E3D">
        <w:t xml:space="preserve">. </w:t>
      </w:r>
      <w:r w:rsidR="004A1B5D">
        <w:t>Włączenie EDF w struktury wieloletnich ram finansowych zwiększyło</w:t>
      </w:r>
      <w:r w:rsidR="00A4655F">
        <w:t xml:space="preserve"> kompetencje Parlamentu Europejskiego </w:t>
      </w:r>
      <w:r w:rsidR="004A1B5D">
        <w:t xml:space="preserve">w </w:t>
      </w:r>
      <w:r w:rsidR="006C76AE">
        <w:t>odniesieniu do sposobu</w:t>
      </w:r>
      <w:r w:rsidR="00A4655F">
        <w:t xml:space="preserve"> wydatkowania środkó</w:t>
      </w:r>
      <w:r w:rsidR="00A4124A">
        <w:t>w pochodzących z</w:t>
      </w:r>
      <w:r w:rsidR="00A4655F">
        <w:t xml:space="preserve"> fundusz</w:t>
      </w:r>
      <w:r w:rsidR="00A4124A">
        <w:t>u.</w:t>
      </w:r>
    </w:p>
    <w:p w14:paraId="4E4B385D" w14:textId="77777777" w:rsidR="004F18E0" w:rsidRDefault="004F18E0" w:rsidP="00BA2CF5">
      <w:pPr>
        <w:pStyle w:val="Tekstprzypisudolnego"/>
        <w:jc w:val="both"/>
      </w:pPr>
    </w:p>
  </w:footnote>
  <w:footnote w:id="6">
    <w:p w14:paraId="36BE2D77" w14:textId="764B93D9" w:rsidR="00BE293B" w:rsidRDefault="00BE293B" w:rsidP="00BA2CF5">
      <w:pPr>
        <w:pStyle w:val="Tekstprzypisudolnego"/>
        <w:jc w:val="both"/>
      </w:pPr>
      <w:r>
        <w:rPr>
          <w:rStyle w:val="Odwoanieprzypisudolnego"/>
        </w:rPr>
        <w:footnoteRef/>
      </w:r>
      <w:r>
        <w:t xml:space="preserve"> W maju 2005 r. przyjęta została „Deklaracja Paryska nt. Skuteczności Pomocy”, w której wszyscy sygnatariusze zobowiązali się do przestrzegania pięciu zasad obowiązujących przy przekazywaniu pomocy do krajów rozwijających się. Jej przyjęcie wynikało z przekonania, że do osiągnięcia Milenijnych Celów Rozwoju (Millennium Development Goals – MDG) </w:t>
      </w:r>
      <w:r w:rsidR="002A3093">
        <w:t xml:space="preserve">jest </w:t>
      </w:r>
      <w:r>
        <w:t>potrzebne nie tylko zwiększenie wolumen</w:t>
      </w:r>
      <w:r w:rsidR="004C3827">
        <w:t>u</w:t>
      </w:r>
      <w:r>
        <w:t xml:space="preserve"> pomocy rozwojowej, ale również wzajemna koordynacja podmiotów przekazujących pomoc, tak aby nie komplikować procesu otrzymywania pomocy po stronie jej beneficjentów oraz uczynić ten proces prawdziwie partnerskim. Pięć podstawowych zasad udzielania pomocy rozwojowej to:</w:t>
      </w:r>
      <w:r w:rsidR="008D4BA9">
        <w:t xml:space="preserve"> 1) własność koncepcji rozwojowych (kraj partnerski jest autorem koncepcji swojego rozwoju, a donatorzy powinni tę koncepcję wspierać); 2) uzgadnianie (donatorzy opierają swe działania o narodowe strategie rozwoju, instytucje i procedury krajów partnerskich), 3)</w:t>
      </w:r>
      <w:r w:rsidR="00BA2CF5">
        <w:t> </w:t>
      </w:r>
      <w:r w:rsidR="008D4BA9">
        <w:t>harmonizacja (działania donatorów są bardziej zharmonizowane, przejrzyste i cechuje je większa skuteczność zbiorowa); 4) zarządzanie w celu osiągnięcia rezultatów (managing for results</w:t>
      </w:r>
      <w:r w:rsidR="004C3827">
        <w:t xml:space="preserve"> – </w:t>
      </w:r>
      <w:r w:rsidR="008D4BA9">
        <w:t>zarządzanie pomocą i</w:t>
      </w:r>
      <w:r w:rsidR="00467FDF">
        <w:t xml:space="preserve"> jej implementacja w </w:t>
      </w:r>
      <w:r w:rsidR="008D4BA9">
        <w:t>sposób ukierunkowany na uzyskanie pożądanych rezultatów i</w:t>
      </w:r>
      <w:r w:rsidR="002A3093">
        <w:t xml:space="preserve"> </w:t>
      </w:r>
      <w:r w:rsidR="008D4BA9">
        <w:t xml:space="preserve">usprawnienie przepływu informacji w celu ulepszenia procesu decyzyjnego); </w:t>
      </w:r>
      <w:r w:rsidR="006412E5">
        <w:t>5) wspólna odpowiedzialność (kraje rozwinięte są odpowiedzialne za zapewnienie środków finansowych na pomoc rozwojową, kraje partnerskie powinny tworzyć strategie i programy ułatwiające osiągnięcie MDG</w:t>
      </w:r>
      <w:r w:rsidR="00C8050F">
        <w:t>)</w:t>
      </w:r>
      <w:r w:rsidR="006412E5">
        <w:t>.</w:t>
      </w:r>
    </w:p>
  </w:footnote>
  <w:footnote w:id="7">
    <w:p w14:paraId="38E2F45D" w14:textId="77777777" w:rsidR="00677D43" w:rsidRDefault="00677D43" w:rsidP="00BA2CF5">
      <w:pPr>
        <w:pStyle w:val="Tekstprzypisudolnego"/>
        <w:jc w:val="both"/>
      </w:pPr>
      <w:r>
        <w:rPr>
          <w:rStyle w:val="Odwoanieprzypisudolnego"/>
        </w:rPr>
        <w:footnoteRef/>
      </w:r>
      <w:r>
        <w:t xml:space="preserve"> Spośród państw europejskich </w:t>
      </w:r>
      <w:r w:rsidR="00BA2CF5">
        <w:t>Umowy</w:t>
      </w:r>
      <w:r>
        <w:t xml:space="preserve"> nie ratyfikowały jeszcze Węgry, </w:t>
      </w:r>
      <w:r w:rsidR="002F536D">
        <w:t xml:space="preserve">Słowenia i </w:t>
      </w:r>
      <w:r>
        <w:t xml:space="preserve">Polska, a z państw CARIFORUM – Bahamy, Haiti (jest obserwatorem i nie notyfikowało prowizorycznego stosowania </w:t>
      </w:r>
      <w:r w:rsidR="00112A1C">
        <w:t>U</w:t>
      </w:r>
      <w:r>
        <w:t xml:space="preserve">mowy), Jamajka, </w:t>
      </w:r>
      <w:r w:rsidRPr="0004690A">
        <w:t>Surinam</w:t>
      </w:r>
      <w:r w:rsidR="00FD4DE8">
        <w:t xml:space="preserve"> oraz </w:t>
      </w:r>
      <w:r w:rsidRPr="0004690A">
        <w:t>Trynidad i</w:t>
      </w:r>
      <w:r w:rsidR="00F508EB">
        <w:t xml:space="preserve"> </w:t>
      </w:r>
      <w:r w:rsidRPr="0004690A">
        <w:t>Tobago</w:t>
      </w:r>
      <w:r w:rsidR="00F508EB">
        <w:t xml:space="preserve"> (stan na dzień</w:t>
      </w:r>
      <w:r w:rsidR="002A3093">
        <w:t xml:space="preserve"> 0</w:t>
      </w:r>
      <w:r w:rsidR="002F536D">
        <w:t>1.</w:t>
      </w:r>
      <w:r w:rsidR="00B05D53">
        <w:t>12</w:t>
      </w:r>
      <w:r w:rsidR="002F536D">
        <w:t xml:space="preserve">.2021 </w:t>
      </w:r>
      <w:r>
        <w:t>r</w:t>
      </w:r>
      <w:r w:rsidRPr="0004690A">
        <w: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E33A7"/>
    <w:multiLevelType w:val="hybridMultilevel"/>
    <w:tmpl w:val="A0C29E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0830D9"/>
    <w:multiLevelType w:val="hybridMultilevel"/>
    <w:tmpl w:val="421463B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7257748"/>
    <w:multiLevelType w:val="hybridMultilevel"/>
    <w:tmpl w:val="91F27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A96718E"/>
    <w:multiLevelType w:val="hybridMultilevel"/>
    <w:tmpl w:val="2834C0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9D2998"/>
    <w:multiLevelType w:val="hybridMultilevel"/>
    <w:tmpl w:val="EF66A9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6F9E42D5"/>
    <w:multiLevelType w:val="hybridMultilevel"/>
    <w:tmpl w:val="47A026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5"/>
  </w:num>
  <w:num w:numId="5">
    <w:abstractNumId w:val="1"/>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07"/>
    <w:rsid w:val="00002FFC"/>
    <w:rsid w:val="00004B21"/>
    <w:rsid w:val="00010C00"/>
    <w:rsid w:val="00012A9C"/>
    <w:rsid w:val="00014FF0"/>
    <w:rsid w:val="00015AE9"/>
    <w:rsid w:val="00017829"/>
    <w:rsid w:val="00017AE9"/>
    <w:rsid w:val="00030B0D"/>
    <w:rsid w:val="00031EF0"/>
    <w:rsid w:val="00031F0C"/>
    <w:rsid w:val="00036B27"/>
    <w:rsid w:val="00037C3F"/>
    <w:rsid w:val="0004502C"/>
    <w:rsid w:val="00045606"/>
    <w:rsid w:val="0004690A"/>
    <w:rsid w:val="000473AE"/>
    <w:rsid w:val="00050884"/>
    <w:rsid w:val="00052EE0"/>
    <w:rsid w:val="00060C35"/>
    <w:rsid w:val="00063191"/>
    <w:rsid w:val="000643E1"/>
    <w:rsid w:val="00065650"/>
    <w:rsid w:val="00066CC1"/>
    <w:rsid w:val="00073DB9"/>
    <w:rsid w:val="00082329"/>
    <w:rsid w:val="00082CFA"/>
    <w:rsid w:val="00082D2F"/>
    <w:rsid w:val="00086877"/>
    <w:rsid w:val="00086C8E"/>
    <w:rsid w:val="00094818"/>
    <w:rsid w:val="000954BF"/>
    <w:rsid w:val="00095796"/>
    <w:rsid w:val="000A0C19"/>
    <w:rsid w:val="000B1110"/>
    <w:rsid w:val="000B331A"/>
    <w:rsid w:val="000B39C1"/>
    <w:rsid w:val="000B69F3"/>
    <w:rsid w:val="000C761F"/>
    <w:rsid w:val="000D0F36"/>
    <w:rsid w:val="000D7C4E"/>
    <w:rsid w:val="000E4CE1"/>
    <w:rsid w:val="000E6133"/>
    <w:rsid w:val="000E683B"/>
    <w:rsid w:val="000F1664"/>
    <w:rsid w:val="00102490"/>
    <w:rsid w:val="00107520"/>
    <w:rsid w:val="0011060B"/>
    <w:rsid w:val="00112A1C"/>
    <w:rsid w:val="0012279D"/>
    <w:rsid w:val="001248C7"/>
    <w:rsid w:val="00125D7C"/>
    <w:rsid w:val="00127AAF"/>
    <w:rsid w:val="00127C02"/>
    <w:rsid w:val="00140622"/>
    <w:rsid w:val="00140F10"/>
    <w:rsid w:val="00140F6C"/>
    <w:rsid w:val="0014362F"/>
    <w:rsid w:val="00152821"/>
    <w:rsid w:val="00152837"/>
    <w:rsid w:val="00156DEB"/>
    <w:rsid w:val="00162E74"/>
    <w:rsid w:val="00164CC3"/>
    <w:rsid w:val="00170FC8"/>
    <w:rsid w:val="001712D7"/>
    <w:rsid w:val="0017145F"/>
    <w:rsid w:val="00172177"/>
    <w:rsid w:val="00175C36"/>
    <w:rsid w:val="001860AE"/>
    <w:rsid w:val="001864BC"/>
    <w:rsid w:val="00191981"/>
    <w:rsid w:val="00192B92"/>
    <w:rsid w:val="00192D30"/>
    <w:rsid w:val="00194C3F"/>
    <w:rsid w:val="0019797D"/>
    <w:rsid w:val="00197DC1"/>
    <w:rsid w:val="001A3DB2"/>
    <w:rsid w:val="001A4A2E"/>
    <w:rsid w:val="001B1C70"/>
    <w:rsid w:val="001B215B"/>
    <w:rsid w:val="001B3EFE"/>
    <w:rsid w:val="001B78FC"/>
    <w:rsid w:val="001C03AE"/>
    <w:rsid w:val="001C767B"/>
    <w:rsid w:val="001D13D7"/>
    <w:rsid w:val="001D49F6"/>
    <w:rsid w:val="001D5910"/>
    <w:rsid w:val="001E0BD4"/>
    <w:rsid w:val="001E2D56"/>
    <w:rsid w:val="001E33B5"/>
    <w:rsid w:val="001E7CFC"/>
    <w:rsid w:val="001F7B0A"/>
    <w:rsid w:val="002004B3"/>
    <w:rsid w:val="00200589"/>
    <w:rsid w:val="00200CA1"/>
    <w:rsid w:val="0020279C"/>
    <w:rsid w:val="00211617"/>
    <w:rsid w:val="002202DE"/>
    <w:rsid w:val="00220CE5"/>
    <w:rsid w:val="00221E1A"/>
    <w:rsid w:val="002247DC"/>
    <w:rsid w:val="00234DB2"/>
    <w:rsid w:val="0023547F"/>
    <w:rsid w:val="00235847"/>
    <w:rsid w:val="00242B75"/>
    <w:rsid w:val="00243891"/>
    <w:rsid w:val="0024478F"/>
    <w:rsid w:val="00245F53"/>
    <w:rsid w:val="0025623B"/>
    <w:rsid w:val="002628A8"/>
    <w:rsid w:val="002641D0"/>
    <w:rsid w:val="00271D07"/>
    <w:rsid w:val="002722FD"/>
    <w:rsid w:val="0027483C"/>
    <w:rsid w:val="00274D7F"/>
    <w:rsid w:val="00277B9A"/>
    <w:rsid w:val="0028025F"/>
    <w:rsid w:val="00285DD6"/>
    <w:rsid w:val="00291494"/>
    <w:rsid w:val="0029159A"/>
    <w:rsid w:val="00292D6B"/>
    <w:rsid w:val="00295963"/>
    <w:rsid w:val="00296719"/>
    <w:rsid w:val="002A3093"/>
    <w:rsid w:val="002A3914"/>
    <w:rsid w:val="002A5081"/>
    <w:rsid w:val="002A6C35"/>
    <w:rsid w:val="002A7BE3"/>
    <w:rsid w:val="002A7BF3"/>
    <w:rsid w:val="002B05BD"/>
    <w:rsid w:val="002B310C"/>
    <w:rsid w:val="002D2726"/>
    <w:rsid w:val="002D358F"/>
    <w:rsid w:val="002E04D5"/>
    <w:rsid w:val="002F3F41"/>
    <w:rsid w:val="002F3FD9"/>
    <w:rsid w:val="002F536D"/>
    <w:rsid w:val="002F7EE1"/>
    <w:rsid w:val="003022A2"/>
    <w:rsid w:val="003056A9"/>
    <w:rsid w:val="00307171"/>
    <w:rsid w:val="003103A7"/>
    <w:rsid w:val="0031504F"/>
    <w:rsid w:val="003152CD"/>
    <w:rsid w:val="0032053C"/>
    <w:rsid w:val="00322249"/>
    <w:rsid w:val="00323605"/>
    <w:rsid w:val="00324A89"/>
    <w:rsid w:val="00331C74"/>
    <w:rsid w:val="00332A17"/>
    <w:rsid w:val="003369CC"/>
    <w:rsid w:val="00342BCE"/>
    <w:rsid w:val="00350180"/>
    <w:rsid w:val="00350D1D"/>
    <w:rsid w:val="00361C8D"/>
    <w:rsid w:val="00366190"/>
    <w:rsid w:val="00367DA4"/>
    <w:rsid w:val="003700BE"/>
    <w:rsid w:val="003706D6"/>
    <w:rsid w:val="00371E60"/>
    <w:rsid w:val="0037701E"/>
    <w:rsid w:val="003855D6"/>
    <w:rsid w:val="0039157D"/>
    <w:rsid w:val="0039229C"/>
    <w:rsid w:val="003943A9"/>
    <w:rsid w:val="0039468C"/>
    <w:rsid w:val="00395821"/>
    <w:rsid w:val="00396E52"/>
    <w:rsid w:val="0039744C"/>
    <w:rsid w:val="003A085C"/>
    <w:rsid w:val="003A46CE"/>
    <w:rsid w:val="003B1FE1"/>
    <w:rsid w:val="003B4027"/>
    <w:rsid w:val="003B5232"/>
    <w:rsid w:val="003B5D85"/>
    <w:rsid w:val="003C3E9C"/>
    <w:rsid w:val="003C6A68"/>
    <w:rsid w:val="003C7275"/>
    <w:rsid w:val="003D2583"/>
    <w:rsid w:val="003D5F95"/>
    <w:rsid w:val="003F3394"/>
    <w:rsid w:val="003F57C1"/>
    <w:rsid w:val="004009BB"/>
    <w:rsid w:val="00400B06"/>
    <w:rsid w:val="00403AFC"/>
    <w:rsid w:val="00403B11"/>
    <w:rsid w:val="004053DE"/>
    <w:rsid w:val="0041042E"/>
    <w:rsid w:val="00413517"/>
    <w:rsid w:val="00417C92"/>
    <w:rsid w:val="004200BB"/>
    <w:rsid w:val="004219CB"/>
    <w:rsid w:val="00423D5B"/>
    <w:rsid w:val="0042575A"/>
    <w:rsid w:val="00430FDB"/>
    <w:rsid w:val="00431BEE"/>
    <w:rsid w:val="00435ED0"/>
    <w:rsid w:val="004364A1"/>
    <w:rsid w:val="0044180C"/>
    <w:rsid w:val="004434CA"/>
    <w:rsid w:val="004457AA"/>
    <w:rsid w:val="004459F2"/>
    <w:rsid w:val="00454D41"/>
    <w:rsid w:val="00457DDC"/>
    <w:rsid w:val="004647CC"/>
    <w:rsid w:val="004652D2"/>
    <w:rsid w:val="00467FDF"/>
    <w:rsid w:val="00470643"/>
    <w:rsid w:val="00471A4D"/>
    <w:rsid w:val="00472716"/>
    <w:rsid w:val="004737DF"/>
    <w:rsid w:val="00486315"/>
    <w:rsid w:val="00491C31"/>
    <w:rsid w:val="004A1B5D"/>
    <w:rsid w:val="004A3ACE"/>
    <w:rsid w:val="004A46E9"/>
    <w:rsid w:val="004A4D5E"/>
    <w:rsid w:val="004B1473"/>
    <w:rsid w:val="004B1AD2"/>
    <w:rsid w:val="004B2A3E"/>
    <w:rsid w:val="004B426B"/>
    <w:rsid w:val="004B5876"/>
    <w:rsid w:val="004B6447"/>
    <w:rsid w:val="004C3827"/>
    <w:rsid w:val="004C4BF4"/>
    <w:rsid w:val="004C5BF3"/>
    <w:rsid w:val="004D142E"/>
    <w:rsid w:val="004D387B"/>
    <w:rsid w:val="004E04F1"/>
    <w:rsid w:val="004E5418"/>
    <w:rsid w:val="004E6BFB"/>
    <w:rsid w:val="004F1171"/>
    <w:rsid w:val="004F18E0"/>
    <w:rsid w:val="004F362F"/>
    <w:rsid w:val="004F5FFB"/>
    <w:rsid w:val="00504342"/>
    <w:rsid w:val="0050575C"/>
    <w:rsid w:val="005070F1"/>
    <w:rsid w:val="005108B0"/>
    <w:rsid w:val="005118FA"/>
    <w:rsid w:val="00513E07"/>
    <w:rsid w:val="00514EDE"/>
    <w:rsid w:val="00517DE9"/>
    <w:rsid w:val="005210A7"/>
    <w:rsid w:val="00524263"/>
    <w:rsid w:val="00535150"/>
    <w:rsid w:val="00540BDD"/>
    <w:rsid w:val="005548A7"/>
    <w:rsid w:val="0057230B"/>
    <w:rsid w:val="00573903"/>
    <w:rsid w:val="005761D9"/>
    <w:rsid w:val="00577B4D"/>
    <w:rsid w:val="00580B47"/>
    <w:rsid w:val="005812AD"/>
    <w:rsid w:val="005837FF"/>
    <w:rsid w:val="0058433A"/>
    <w:rsid w:val="0058764D"/>
    <w:rsid w:val="005911AE"/>
    <w:rsid w:val="00594B77"/>
    <w:rsid w:val="0059545F"/>
    <w:rsid w:val="00597C2C"/>
    <w:rsid w:val="005A1AA5"/>
    <w:rsid w:val="005A1C73"/>
    <w:rsid w:val="005A4BEC"/>
    <w:rsid w:val="005A6884"/>
    <w:rsid w:val="005A6FA0"/>
    <w:rsid w:val="005B0268"/>
    <w:rsid w:val="005B15F9"/>
    <w:rsid w:val="005B5132"/>
    <w:rsid w:val="005C4A34"/>
    <w:rsid w:val="005C6697"/>
    <w:rsid w:val="005C6798"/>
    <w:rsid w:val="005D043F"/>
    <w:rsid w:val="005D564E"/>
    <w:rsid w:val="005D7459"/>
    <w:rsid w:val="005E00C8"/>
    <w:rsid w:val="005F20E6"/>
    <w:rsid w:val="005F2461"/>
    <w:rsid w:val="005F545D"/>
    <w:rsid w:val="005F59EE"/>
    <w:rsid w:val="00603909"/>
    <w:rsid w:val="00604312"/>
    <w:rsid w:val="0061225C"/>
    <w:rsid w:val="0061471F"/>
    <w:rsid w:val="006220DE"/>
    <w:rsid w:val="0062541C"/>
    <w:rsid w:val="00632BA3"/>
    <w:rsid w:val="00635D6D"/>
    <w:rsid w:val="006405D9"/>
    <w:rsid w:val="006412E5"/>
    <w:rsid w:val="0064455F"/>
    <w:rsid w:val="00646675"/>
    <w:rsid w:val="00653A6D"/>
    <w:rsid w:val="00654D95"/>
    <w:rsid w:val="00661205"/>
    <w:rsid w:val="00663ABB"/>
    <w:rsid w:val="00663BB6"/>
    <w:rsid w:val="00664038"/>
    <w:rsid w:val="00664306"/>
    <w:rsid w:val="00667C3D"/>
    <w:rsid w:val="00671EEC"/>
    <w:rsid w:val="00677391"/>
    <w:rsid w:val="00677D43"/>
    <w:rsid w:val="00682922"/>
    <w:rsid w:val="0069567E"/>
    <w:rsid w:val="006965A4"/>
    <w:rsid w:val="0069669F"/>
    <w:rsid w:val="006B0124"/>
    <w:rsid w:val="006C0EFE"/>
    <w:rsid w:val="006C2CA7"/>
    <w:rsid w:val="006C76AE"/>
    <w:rsid w:val="006E0386"/>
    <w:rsid w:val="006E19B4"/>
    <w:rsid w:val="006E2DC4"/>
    <w:rsid w:val="006F1F6B"/>
    <w:rsid w:val="006F4FFD"/>
    <w:rsid w:val="007016BF"/>
    <w:rsid w:val="00705BBC"/>
    <w:rsid w:val="007102BD"/>
    <w:rsid w:val="00711A9B"/>
    <w:rsid w:val="00711DDE"/>
    <w:rsid w:val="007170C6"/>
    <w:rsid w:val="00722BCA"/>
    <w:rsid w:val="007273C9"/>
    <w:rsid w:val="007355C6"/>
    <w:rsid w:val="00736B21"/>
    <w:rsid w:val="0074436B"/>
    <w:rsid w:val="007462CE"/>
    <w:rsid w:val="00756C22"/>
    <w:rsid w:val="00757FDD"/>
    <w:rsid w:val="00761967"/>
    <w:rsid w:val="0076674E"/>
    <w:rsid w:val="0076785E"/>
    <w:rsid w:val="007718D6"/>
    <w:rsid w:val="0077398D"/>
    <w:rsid w:val="0077441D"/>
    <w:rsid w:val="00777023"/>
    <w:rsid w:val="00777D28"/>
    <w:rsid w:val="0078243F"/>
    <w:rsid w:val="00784D6C"/>
    <w:rsid w:val="0079152A"/>
    <w:rsid w:val="007915AE"/>
    <w:rsid w:val="007B3672"/>
    <w:rsid w:val="007B3E1D"/>
    <w:rsid w:val="007B5F79"/>
    <w:rsid w:val="007C0B25"/>
    <w:rsid w:val="007C3939"/>
    <w:rsid w:val="007D25CD"/>
    <w:rsid w:val="007E6CAD"/>
    <w:rsid w:val="007F1AE0"/>
    <w:rsid w:val="007F1BA3"/>
    <w:rsid w:val="007F1C28"/>
    <w:rsid w:val="007F3CB8"/>
    <w:rsid w:val="00802798"/>
    <w:rsid w:val="00810FB5"/>
    <w:rsid w:val="00810FE4"/>
    <w:rsid w:val="008112EC"/>
    <w:rsid w:val="00817E24"/>
    <w:rsid w:val="008221F9"/>
    <w:rsid w:val="00822692"/>
    <w:rsid w:val="00822E61"/>
    <w:rsid w:val="0082564B"/>
    <w:rsid w:val="0082681F"/>
    <w:rsid w:val="00831142"/>
    <w:rsid w:val="0083154C"/>
    <w:rsid w:val="0083213A"/>
    <w:rsid w:val="00835E62"/>
    <w:rsid w:val="008376F6"/>
    <w:rsid w:val="00837D67"/>
    <w:rsid w:val="0084281A"/>
    <w:rsid w:val="00844670"/>
    <w:rsid w:val="0084502C"/>
    <w:rsid w:val="008466C6"/>
    <w:rsid w:val="00854741"/>
    <w:rsid w:val="00862C14"/>
    <w:rsid w:val="00864D7E"/>
    <w:rsid w:val="00871CB5"/>
    <w:rsid w:val="00877749"/>
    <w:rsid w:val="00884296"/>
    <w:rsid w:val="008855DE"/>
    <w:rsid w:val="00894C26"/>
    <w:rsid w:val="008976ED"/>
    <w:rsid w:val="008A15E4"/>
    <w:rsid w:val="008A247C"/>
    <w:rsid w:val="008B20EC"/>
    <w:rsid w:val="008B3131"/>
    <w:rsid w:val="008B4F25"/>
    <w:rsid w:val="008B67FC"/>
    <w:rsid w:val="008C1F21"/>
    <w:rsid w:val="008D4BA9"/>
    <w:rsid w:val="008E184B"/>
    <w:rsid w:val="008E1E21"/>
    <w:rsid w:val="008F4354"/>
    <w:rsid w:val="008F588C"/>
    <w:rsid w:val="008F763F"/>
    <w:rsid w:val="0090353A"/>
    <w:rsid w:val="00904194"/>
    <w:rsid w:val="009063C3"/>
    <w:rsid w:val="0091022A"/>
    <w:rsid w:val="00911447"/>
    <w:rsid w:val="00911E1D"/>
    <w:rsid w:val="00915A04"/>
    <w:rsid w:val="00915DFD"/>
    <w:rsid w:val="00921002"/>
    <w:rsid w:val="00926540"/>
    <w:rsid w:val="009310FF"/>
    <w:rsid w:val="009319A4"/>
    <w:rsid w:val="0093342A"/>
    <w:rsid w:val="0093709B"/>
    <w:rsid w:val="009406A6"/>
    <w:rsid w:val="00944ED9"/>
    <w:rsid w:val="009456A4"/>
    <w:rsid w:val="00945981"/>
    <w:rsid w:val="009478FD"/>
    <w:rsid w:val="00947D1E"/>
    <w:rsid w:val="00953B27"/>
    <w:rsid w:val="00953BA1"/>
    <w:rsid w:val="00955D4D"/>
    <w:rsid w:val="009577A3"/>
    <w:rsid w:val="00960ECB"/>
    <w:rsid w:val="0096137D"/>
    <w:rsid w:val="009627AE"/>
    <w:rsid w:val="009643F7"/>
    <w:rsid w:val="00964F2F"/>
    <w:rsid w:val="009729EA"/>
    <w:rsid w:val="009741AF"/>
    <w:rsid w:val="00976FBE"/>
    <w:rsid w:val="00976FD8"/>
    <w:rsid w:val="00990454"/>
    <w:rsid w:val="00990970"/>
    <w:rsid w:val="0099616C"/>
    <w:rsid w:val="009A07C5"/>
    <w:rsid w:val="009A28FC"/>
    <w:rsid w:val="009A6D7E"/>
    <w:rsid w:val="009A7878"/>
    <w:rsid w:val="009B5178"/>
    <w:rsid w:val="009B517B"/>
    <w:rsid w:val="009C0881"/>
    <w:rsid w:val="009C60BB"/>
    <w:rsid w:val="009C6392"/>
    <w:rsid w:val="009C6661"/>
    <w:rsid w:val="009D3EC6"/>
    <w:rsid w:val="009D3F04"/>
    <w:rsid w:val="009D476E"/>
    <w:rsid w:val="009D6AC4"/>
    <w:rsid w:val="009E0C2A"/>
    <w:rsid w:val="009E134B"/>
    <w:rsid w:val="009E27A0"/>
    <w:rsid w:val="009E7528"/>
    <w:rsid w:val="009F7E3D"/>
    <w:rsid w:val="00A00E68"/>
    <w:rsid w:val="00A04BFB"/>
    <w:rsid w:val="00A0577F"/>
    <w:rsid w:val="00A17675"/>
    <w:rsid w:val="00A24E00"/>
    <w:rsid w:val="00A26FDE"/>
    <w:rsid w:val="00A312DD"/>
    <w:rsid w:val="00A32BC4"/>
    <w:rsid w:val="00A37C3E"/>
    <w:rsid w:val="00A4124A"/>
    <w:rsid w:val="00A431F1"/>
    <w:rsid w:val="00A438D4"/>
    <w:rsid w:val="00A4655F"/>
    <w:rsid w:val="00A50440"/>
    <w:rsid w:val="00A67E40"/>
    <w:rsid w:val="00A7004B"/>
    <w:rsid w:val="00A8666D"/>
    <w:rsid w:val="00A873F2"/>
    <w:rsid w:val="00A90415"/>
    <w:rsid w:val="00A9193D"/>
    <w:rsid w:val="00A9687B"/>
    <w:rsid w:val="00AA00DA"/>
    <w:rsid w:val="00AA4CAC"/>
    <w:rsid w:val="00AA550E"/>
    <w:rsid w:val="00AB1E2F"/>
    <w:rsid w:val="00AB267E"/>
    <w:rsid w:val="00AB33E1"/>
    <w:rsid w:val="00AB3A52"/>
    <w:rsid w:val="00AB4371"/>
    <w:rsid w:val="00AB5BC7"/>
    <w:rsid w:val="00AB7593"/>
    <w:rsid w:val="00AC1F7E"/>
    <w:rsid w:val="00AC5E84"/>
    <w:rsid w:val="00AD292D"/>
    <w:rsid w:val="00AD679B"/>
    <w:rsid w:val="00AE386F"/>
    <w:rsid w:val="00AE5314"/>
    <w:rsid w:val="00AE592E"/>
    <w:rsid w:val="00AE7350"/>
    <w:rsid w:val="00AE7C3A"/>
    <w:rsid w:val="00AF62DE"/>
    <w:rsid w:val="00AF6749"/>
    <w:rsid w:val="00B00549"/>
    <w:rsid w:val="00B01E8F"/>
    <w:rsid w:val="00B02C6C"/>
    <w:rsid w:val="00B03FEC"/>
    <w:rsid w:val="00B0446E"/>
    <w:rsid w:val="00B04B71"/>
    <w:rsid w:val="00B05D53"/>
    <w:rsid w:val="00B13B08"/>
    <w:rsid w:val="00B276F5"/>
    <w:rsid w:val="00B324E8"/>
    <w:rsid w:val="00B3290B"/>
    <w:rsid w:val="00B360EA"/>
    <w:rsid w:val="00B3672D"/>
    <w:rsid w:val="00B402AE"/>
    <w:rsid w:val="00B40635"/>
    <w:rsid w:val="00B4099B"/>
    <w:rsid w:val="00B430FB"/>
    <w:rsid w:val="00B4317B"/>
    <w:rsid w:val="00B45550"/>
    <w:rsid w:val="00B609F3"/>
    <w:rsid w:val="00B60DAF"/>
    <w:rsid w:val="00B65B3E"/>
    <w:rsid w:val="00B728D6"/>
    <w:rsid w:val="00B72BE9"/>
    <w:rsid w:val="00B7311B"/>
    <w:rsid w:val="00B74BBF"/>
    <w:rsid w:val="00B847DF"/>
    <w:rsid w:val="00B8715E"/>
    <w:rsid w:val="00B952EA"/>
    <w:rsid w:val="00BA23C9"/>
    <w:rsid w:val="00BA2CF5"/>
    <w:rsid w:val="00BA3291"/>
    <w:rsid w:val="00BA379E"/>
    <w:rsid w:val="00BB0D8D"/>
    <w:rsid w:val="00BB6330"/>
    <w:rsid w:val="00BB7793"/>
    <w:rsid w:val="00BC05C6"/>
    <w:rsid w:val="00BC09C6"/>
    <w:rsid w:val="00BC17AA"/>
    <w:rsid w:val="00BC2965"/>
    <w:rsid w:val="00BC2A26"/>
    <w:rsid w:val="00BC5738"/>
    <w:rsid w:val="00BC6D3E"/>
    <w:rsid w:val="00BD13E6"/>
    <w:rsid w:val="00BD2EA8"/>
    <w:rsid w:val="00BD684F"/>
    <w:rsid w:val="00BE293B"/>
    <w:rsid w:val="00BE2F1C"/>
    <w:rsid w:val="00BE3FCC"/>
    <w:rsid w:val="00BE623A"/>
    <w:rsid w:val="00BF1BF6"/>
    <w:rsid w:val="00BF6F8F"/>
    <w:rsid w:val="00BF7FBD"/>
    <w:rsid w:val="00C0097A"/>
    <w:rsid w:val="00C04BA9"/>
    <w:rsid w:val="00C07712"/>
    <w:rsid w:val="00C10954"/>
    <w:rsid w:val="00C11D05"/>
    <w:rsid w:val="00C12D4B"/>
    <w:rsid w:val="00C14506"/>
    <w:rsid w:val="00C1457C"/>
    <w:rsid w:val="00C17CF4"/>
    <w:rsid w:val="00C2411A"/>
    <w:rsid w:val="00C316A4"/>
    <w:rsid w:val="00C34B45"/>
    <w:rsid w:val="00C35684"/>
    <w:rsid w:val="00C4143A"/>
    <w:rsid w:val="00C442AE"/>
    <w:rsid w:val="00C502BD"/>
    <w:rsid w:val="00C526F9"/>
    <w:rsid w:val="00C528D5"/>
    <w:rsid w:val="00C538DA"/>
    <w:rsid w:val="00C53967"/>
    <w:rsid w:val="00C60C98"/>
    <w:rsid w:val="00C72B6B"/>
    <w:rsid w:val="00C739E8"/>
    <w:rsid w:val="00C8050F"/>
    <w:rsid w:val="00C8614E"/>
    <w:rsid w:val="00C867B8"/>
    <w:rsid w:val="00C87054"/>
    <w:rsid w:val="00C908C3"/>
    <w:rsid w:val="00C90FB4"/>
    <w:rsid w:val="00C940D0"/>
    <w:rsid w:val="00CB1AB7"/>
    <w:rsid w:val="00CB67DB"/>
    <w:rsid w:val="00CC0377"/>
    <w:rsid w:val="00CD2920"/>
    <w:rsid w:val="00CD6110"/>
    <w:rsid w:val="00CF02F6"/>
    <w:rsid w:val="00CF3806"/>
    <w:rsid w:val="00CF76DC"/>
    <w:rsid w:val="00CF77A3"/>
    <w:rsid w:val="00D01DAD"/>
    <w:rsid w:val="00D03F11"/>
    <w:rsid w:val="00D06630"/>
    <w:rsid w:val="00D07E82"/>
    <w:rsid w:val="00D167DC"/>
    <w:rsid w:val="00D20D79"/>
    <w:rsid w:val="00D23A00"/>
    <w:rsid w:val="00D323AC"/>
    <w:rsid w:val="00D33F74"/>
    <w:rsid w:val="00D362B2"/>
    <w:rsid w:val="00D36384"/>
    <w:rsid w:val="00D367A6"/>
    <w:rsid w:val="00D36964"/>
    <w:rsid w:val="00D36C38"/>
    <w:rsid w:val="00D53220"/>
    <w:rsid w:val="00D54B3C"/>
    <w:rsid w:val="00D57DD7"/>
    <w:rsid w:val="00D6335F"/>
    <w:rsid w:val="00D643C0"/>
    <w:rsid w:val="00D700F6"/>
    <w:rsid w:val="00D717E0"/>
    <w:rsid w:val="00D7403C"/>
    <w:rsid w:val="00D75AA7"/>
    <w:rsid w:val="00D77CB3"/>
    <w:rsid w:val="00D819AB"/>
    <w:rsid w:val="00D863D4"/>
    <w:rsid w:val="00D86B25"/>
    <w:rsid w:val="00D86BEF"/>
    <w:rsid w:val="00D871E6"/>
    <w:rsid w:val="00D87F99"/>
    <w:rsid w:val="00DA061A"/>
    <w:rsid w:val="00DA1B34"/>
    <w:rsid w:val="00DA1CC0"/>
    <w:rsid w:val="00DA4B78"/>
    <w:rsid w:val="00DB4A92"/>
    <w:rsid w:val="00DB5BDF"/>
    <w:rsid w:val="00DB6D3E"/>
    <w:rsid w:val="00DC5744"/>
    <w:rsid w:val="00DC732E"/>
    <w:rsid w:val="00DD4BA7"/>
    <w:rsid w:val="00DE18EC"/>
    <w:rsid w:val="00DF117C"/>
    <w:rsid w:val="00DF60F1"/>
    <w:rsid w:val="00E00360"/>
    <w:rsid w:val="00E04A89"/>
    <w:rsid w:val="00E05565"/>
    <w:rsid w:val="00E059C2"/>
    <w:rsid w:val="00E1367D"/>
    <w:rsid w:val="00E30B48"/>
    <w:rsid w:val="00E31A60"/>
    <w:rsid w:val="00E31B81"/>
    <w:rsid w:val="00E33A9F"/>
    <w:rsid w:val="00E36964"/>
    <w:rsid w:val="00E40D04"/>
    <w:rsid w:val="00E44188"/>
    <w:rsid w:val="00E45387"/>
    <w:rsid w:val="00E50FF1"/>
    <w:rsid w:val="00E54E7E"/>
    <w:rsid w:val="00E63FAA"/>
    <w:rsid w:val="00E67832"/>
    <w:rsid w:val="00E77E1D"/>
    <w:rsid w:val="00E80B7E"/>
    <w:rsid w:val="00E81D40"/>
    <w:rsid w:val="00E826F3"/>
    <w:rsid w:val="00E8604C"/>
    <w:rsid w:val="00E86EB6"/>
    <w:rsid w:val="00E87E11"/>
    <w:rsid w:val="00E91614"/>
    <w:rsid w:val="00E9264A"/>
    <w:rsid w:val="00E961C5"/>
    <w:rsid w:val="00E96856"/>
    <w:rsid w:val="00E9729F"/>
    <w:rsid w:val="00EA2B48"/>
    <w:rsid w:val="00EB32C0"/>
    <w:rsid w:val="00EB5733"/>
    <w:rsid w:val="00EB7A3E"/>
    <w:rsid w:val="00EC14A0"/>
    <w:rsid w:val="00EC2408"/>
    <w:rsid w:val="00EC5427"/>
    <w:rsid w:val="00EC5E52"/>
    <w:rsid w:val="00EC63DA"/>
    <w:rsid w:val="00ED2B15"/>
    <w:rsid w:val="00EF2073"/>
    <w:rsid w:val="00EF3B60"/>
    <w:rsid w:val="00EF3C2F"/>
    <w:rsid w:val="00EF6C8E"/>
    <w:rsid w:val="00EF6CAA"/>
    <w:rsid w:val="00F10E1F"/>
    <w:rsid w:val="00F13BB2"/>
    <w:rsid w:val="00F16513"/>
    <w:rsid w:val="00F24A78"/>
    <w:rsid w:val="00F25736"/>
    <w:rsid w:val="00F26FD0"/>
    <w:rsid w:val="00F2744C"/>
    <w:rsid w:val="00F3747A"/>
    <w:rsid w:val="00F508EB"/>
    <w:rsid w:val="00F60096"/>
    <w:rsid w:val="00F61A42"/>
    <w:rsid w:val="00F65D05"/>
    <w:rsid w:val="00F66E79"/>
    <w:rsid w:val="00F72144"/>
    <w:rsid w:val="00F74E43"/>
    <w:rsid w:val="00F83E30"/>
    <w:rsid w:val="00F841F9"/>
    <w:rsid w:val="00F84F55"/>
    <w:rsid w:val="00F9242E"/>
    <w:rsid w:val="00F92DBE"/>
    <w:rsid w:val="00F93339"/>
    <w:rsid w:val="00F968A6"/>
    <w:rsid w:val="00FA717F"/>
    <w:rsid w:val="00FB30CC"/>
    <w:rsid w:val="00FB5122"/>
    <w:rsid w:val="00FC0C80"/>
    <w:rsid w:val="00FC1E97"/>
    <w:rsid w:val="00FC1FA6"/>
    <w:rsid w:val="00FC3B63"/>
    <w:rsid w:val="00FC4D37"/>
    <w:rsid w:val="00FC5208"/>
    <w:rsid w:val="00FD1C80"/>
    <w:rsid w:val="00FD249B"/>
    <w:rsid w:val="00FD30AB"/>
    <w:rsid w:val="00FD48BA"/>
    <w:rsid w:val="00FD4DE8"/>
    <w:rsid w:val="00FD6613"/>
    <w:rsid w:val="00FE051E"/>
    <w:rsid w:val="00FE2951"/>
    <w:rsid w:val="00FE3EB3"/>
    <w:rsid w:val="00FE4B9E"/>
    <w:rsid w:val="00FE4F66"/>
    <w:rsid w:val="00FE525F"/>
    <w:rsid w:val="00FF4391"/>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A0EC6"/>
  <w15:docId w15:val="{47A6C217-C5EF-4B90-9DCB-51128E26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1D07"/>
    <w:rPr>
      <w:sz w:val="24"/>
      <w:szCs w:val="24"/>
    </w:rPr>
  </w:style>
  <w:style w:type="paragraph" w:styleId="Nagwek1">
    <w:name w:val="heading 1"/>
    <w:basedOn w:val="Normalny"/>
    <w:next w:val="Normalny"/>
    <w:link w:val="Nagwek1Znak"/>
    <w:qFormat/>
    <w:rsid w:val="00BA2CF5"/>
    <w:pPr>
      <w:keepNext/>
      <w:spacing w:before="240" w:after="60"/>
      <w:outlineLvl w:val="0"/>
    </w:pPr>
    <w:rPr>
      <w:rFonts w:ascii="Cambria" w:hAnsi="Cambria"/>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Default">
    <w:name w:val="Default"/>
    <w:rsid w:val="001E2D56"/>
    <w:pPr>
      <w:autoSpaceDE w:val="0"/>
      <w:autoSpaceDN w:val="0"/>
      <w:adjustRightInd w:val="0"/>
    </w:pPr>
    <w:rPr>
      <w:color w:val="000000"/>
      <w:sz w:val="24"/>
      <w:szCs w:val="24"/>
      <w:lang w:eastAsia="en-US"/>
    </w:rPr>
  </w:style>
  <w:style w:type="character" w:customStyle="1" w:styleId="Nagwek1Znak">
    <w:name w:val="Nagłówek 1 Znak"/>
    <w:link w:val="Nagwek1"/>
    <w:rsid w:val="00BA2CF5"/>
    <w:rPr>
      <w:rFonts w:ascii="Cambria" w:eastAsia="Times New Roman" w:hAnsi="Cambria" w:cs="Times New Roman"/>
      <w:b/>
      <w:bCs/>
      <w:kern w:val="32"/>
      <w:sz w:val="32"/>
      <w:szCs w:val="32"/>
    </w:rPr>
  </w:style>
  <w:style w:type="paragraph" w:styleId="Nagwek">
    <w:name w:val="header"/>
    <w:basedOn w:val="Normalny"/>
    <w:link w:val="NagwekZnak"/>
    <w:unhideWhenUsed/>
    <w:rsid w:val="00F26FD0"/>
    <w:pPr>
      <w:tabs>
        <w:tab w:val="center" w:pos="4536"/>
        <w:tab w:val="right" w:pos="9072"/>
      </w:tabs>
    </w:pPr>
  </w:style>
  <w:style w:type="character" w:customStyle="1" w:styleId="NagwekZnak">
    <w:name w:val="Nagłówek Znak"/>
    <w:basedOn w:val="Domylnaczcionkaakapitu"/>
    <w:link w:val="Nagwek"/>
    <w:rsid w:val="00F26F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3FC8F-DB25-428D-8262-0666CDDA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1934</Words>
  <Characters>12454</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Autor</cp:lastModifiedBy>
  <cp:revision>3</cp:revision>
  <cp:lastPrinted>2017-10-06T13:03:00Z</cp:lastPrinted>
  <dcterms:created xsi:type="dcterms:W3CDTF">2022-01-31T09:11:00Z</dcterms:created>
  <dcterms:modified xsi:type="dcterms:W3CDTF">2022-02-02T12:31:00Z</dcterms:modified>
</cp:coreProperties>
</file>