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3C026E" w14:textId="77777777" w:rsidR="00397499" w:rsidRPr="00830ADC" w:rsidRDefault="00397499" w:rsidP="00397499">
      <w:pPr>
        <w:spacing w:after="0" w:line="360" w:lineRule="auto"/>
        <w:ind w:left="113" w:right="113" w:firstLine="595"/>
        <w:jc w:val="center"/>
        <w:rPr>
          <w:rFonts w:ascii="Times New Roman" w:hAnsi="Times New Roman" w:cs="Times New Roman"/>
          <w:b/>
          <w:sz w:val="24"/>
          <w:szCs w:val="24"/>
        </w:rPr>
      </w:pPr>
      <w:r w:rsidRPr="00830ADC">
        <w:rPr>
          <w:rFonts w:ascii="Times New Roman" w:hAnsi="Times New Roman" w:cs="Times New Roman"/>
          <w:b/>
          <w:sz w:val="24"/>
          <w:szCs w:val="24"/>
        </w:rPr>
        <w:t>UZASADNIENIE</w:t>
      </w:r>
    </w:p>
    <w:p w14:paraId="3C3626CE" w14:textId="77777777" w:rsidR="00397499" w:rsidRPr="00830ADC" w:rsidRDefault="00397499" w:rsidP="00731550">
      <w:pPr>
        <w:spacing w:after="0" w:line="360" w:lineRule="auto"/>
        <w:ind w:left="113" w:right="113" w:firstLine="595"/>
        <w:jc w:val="both"/>
        <w:rPr>
          <w:rFonts w:ascii="Times New Roman" w:hAnsi="Times New Roman" w:cs="Times New Roman"/>
          <w:sz w:val="24"/>
          <w:szCs w:val="24"/>
        </w:rPr>
      </w:pPr>
    </w:p>
    <w:p w14:paraId="0F5B0A02" w14:textId="486C1E25" w:rsidR="00BC10BD" w:rsidRPr="00830ADC" w:rsidRDefault="00731550" w:rsidP="00731550">
      <w:pPr>
        <w:spacing w:after="0" w:line="360" w:lineRule="auto"/>
        <w:ind w:left="113" w:right="113" w:firstLine="595"/>
        <w:jc w:val="both"/>
        <w:rPr>
          <w:rFonts w:ascii="Times New Roman" w:hAnsi="Times New Roman" w:cs="Times New Roman"/>
          <w:sz w:val="24"/>
          <w:szCs w:val="24"/>
        </w:rPr>
      </w:pPr>
      <w:r w:rsidRPr="00830ADC">
        <w:rPr>
          <w:rFonts w:ascii="Times New Roman" w:hAnsi="Times New Roman" w:cs="Times New Roman"/>
          <w:sz w:val="24"/>
          <w:szCs w:val="24"/>
        </w:rPr>
        <w:t>Pro</w:t>
      </w:r>
      <w:r w:rsidR="007F19D8" w:rsidRPr="00830ADC">
        <w:rPr>
          <w:rFonts w:ascii="Times New Roman" w:hAnsi="Times New Roman" w:cs="Times New Roman"/>
          <w:sz w:val="24"/>
          <w:szCs w:val="24"/>
        </w:rPr>
        <w:t>jekt</w:t>
      </w:r>
      <w:r w:rsidRPr="00830ADC">
        <w:rPr>
          <w:rFonts w:ascii="Times New Roman" w:hAnsi="Times New Roman" w:cs="Times New Roman"/>
          <w:sz w:val="24"/>
          <w:szCs w:val="24"/>
        </w:rPr>
        <w:t>owana ustawa ma na celu uregulowanie stanu prawnego niektórych nieruchomości objętych postępowaniem scaleniowym</w:t>
      </w:r>
      <w:r w:rsidR="00BC10BD" w:rsidRPr="00830ADC">
        <w:rPr>
          <w:rFonts w:ascii="Times New Roman" w:hAnsi="Times New Roman" w:cs="Times New Roman"/>
          <w:sz w:val="24"/>
          <w:szCs w:val="24"/>
        </w:rPr>
        <w:t xml:space="preserve"> wszczętym na podstawie przepisów ustawy z dnia 26 marca 1982 r. o scalaniu i wymianie gruntów (Dz. U. z 2018 r. poz. 908 oraz z 2019 r. poz. 861) na wniosek właścicieli gospodarstw rolnych lub właścicieli gruntów w danej wsi, w stosunku do których postępowanie scaleniowe nie zostało zakończone i nie toczą się postępowania cywilne lub administracyjne mające na celu zakończenie postępowania scaleniowego albo przywrócenie stanu sprzed sporządzenia projektu scalenia gruntów, lub dla których istnieją przeszkody uniemożliwiające odtworzenie stanu sprzed sporządzenia projektu scalenia gruntów. </w:t>
      </w:r>
      <w:r w:rsidR="007F19D8" w:rsidRPr="00830ADC">
        <w:rPr>
          <w:rFonts w:ascii="Times New Roman" w:hAnsi="Times New Roman" w:cs="Times New Roman"/>
          <w:sz w:val="24"/>
          <w:szCs w:val="24"/>
        </w:rPr>
        <w:t xml:space="preserve">Projektowana ustawa obejmie więc zakresem swojej regulacji grunty, w stosunku do których postępowania scaleniowe nie zostały formalnie zakończone, mimo że faktyczny proces scalenia gruntów został przeprowadzony. </w:t>
      </w:r>
    </w:p>
    <w:p w14:paraId="1A6D96C0" w14:textId="5B357126" w:rsidR="00AA4985" w:rsidRPr="00830ADC" w:rsidRDefault="008D219B" w:rsidP="00731550">
      <w:pPr>
        <w:spacing w:after="0" w:line="360" w:lineRule="auto"/>
        <w:ind w:left="113" w:right="113" w:firstLine="595"/>
        <w:jc w:val="both"/>
        <w:rPr>
          <w:rFonts w:ascii="Times New Roman" w:hAnsi="Times New Roman" w:cs="Times New Roman"/>
          <w:sz w:val="24"/>
          <w:szCs w:val="24"/>
        </w:rPr>
      </w:pPr>
      <w:r w:rsidRPr="00830ADC">
        <w:rPr>
          <w:rFonts w:ascii="Times New Roman" w:hAnsi="Times New Roman" w:cs="Times New Roman"/>
          <w:sz w:val="24"/>
          <w:szCs w:val="24"/>
        </w:rPr>
        <w:t>Projektowana ustawa zawiera normy rozwiązujące problem przedłużających się procesów scaleniowych</w:t>
      </w:r>
      <w:r w:rsidR="007F19D8" w:rsidRPr="00830ADC">
        <w:rPr>
          <w:rFonts w:ascii="Times New Roman" w:hAnsi="Times New Roman" w:cs="Times New Roman"/>
          <w:sz w:val="24"/>
          <w:szCs w:val="24"/>
        </w:rPr>
        <w:t>,</w:t>
      </w:r>
      <w:r w:rsidRPr="00830ADC">
        <w:rPr>
          <w:rFonts w:ascii="Times New Roman" w:hAnsi="Times New Roman" w:cs="Times New Roman"/>
          <w:sz w:val="24"/>
          <w:szCs w:val="24"/>
        </w:rPr>
        <w:t xml:space="preserve"> w których </w:t>
      </w:r>
      <w:r w:rsidR="007F19D8" w:rsidRPr="00830ADC">
        <w:rPr>
          <w:rFonts w:ascii="Times New Roman" w:hAnsi="Times New Roman" w:cs="Times New Roman"/>
          <w:sz w:val="24"/>
          <w:szCs w:val="24"/>
        </w:rPr>
        <w:t xml:space="preserve">została wydana </w:t>
      </w:r>
      <w:r w:rsidRPr="00830ADC">
        <w:rPr>
          <w:rFonts w:ascii="Times New Roman" w:hAnsi="Times New Roman" w:cs="Times New Roman"/>
          <w:sz w:val="24"/>
          <w:szCs w:val="24"/>
        </w:rPr>
        <w:t>decyzja</w:t>
      </w:r>
      <w:r w:rsidR="007F19D8" w:rsidRPr="00830ADC">
        <w:rPr>
          <w:rFonts w:ascii="Times New Roman" w:hAnsi="Times New Roman" w:cs="Times New Roman"/>
          <w:sz w:val="24"/>
          <w:szCs w:val="24"/>
        </w:rPr>
        <w:t xml:space="preserve"> zatwierdzająca projekt </w:t>
      </w:r>
      <w:r w:rsidRPr="00830ADC">
        <w:rPr>
          <w:rFonts w:ascii="Times New Roman" w:hAnsi="Times New Roman" w:cs="Times New Roman"/>
          <w:sz w:val="24"/>
          <w:szCs w:val="24"/>
        </w:rPr>
        <w:t>scal</w:t>
      </w:r>
      <w:r w:rsidR="00861151" w:rsidRPr="00830ADC">
        <w:rPr>
          <w:rFonts w:ascii="Times New Roman" w:hAnsi="Times New Roman" w:cs="Times New Roman"/>
          <w:sz w:val="24"/>
          <w:szCs w:val="24"/>
        </w:rPr>
        <w:t>e</w:t>
      </w:r>
      <w:r w:rsidR="007F19D8" w:rsidRPr="00830ADC">
        <w:rPr>
          <w:rFonts w:ascii="Times New Roman" w:hAnsi="Times New Roman" w:cs="Times New Roman"/>
          <w:sz w:val="24"/>
          <w:szCs w:val="24"/>
        </w:rPr>
        <w:t>nia, lecz z różnych przyczyn została ona następnie, po wielu latach od jej wydania, wyeliminowana z obrotu prawnego</w:t>
      </w:r>
      <w:r w:rsidRPr="00830ADC">
        <w:rPr>
          <w:rFonts w:ascii="Times New Roman" w:hAnsi="Times New Roman" w:cs="Times New Roman"/>
          <w:sz w:val="24"/>
          <w:szCs w:val="24"/>
        </w:rPr>
        <w:t xml:space="preserve"> </w:t>
      </w:r>
      <w:r w:rsidR="007F19D8" w:rsidRPr="00830ADC">
        <w:rPr>
          <w:rFonts w:ascii="Times New Roman" w:hAnsi="Times New Roman" w:cs="Times New Roman"/>
          <w:sz w:val="24"/>
          <w:szCs w:val="24"/>
        </w:rPr>
        <w:t xml:space="preserve">(np. </w:t>
      </w:r>
      <w:r w:rsidRPr="00830ADC">
        <w:rPr>
          <w:rFonts w:ascii="Times New Roman" w:hAnsi="Times New Roman" w:cs="Times New Roman"/>
          <w:sz w:val="24"/>
          <w:szCs w:val="24"/>
        </w:rPr>
        <w:t>uchylona przez sąd</w:t>
      </w:r>
      <w:r w:rsidR="007F19D8" w:rsidRPr="00830ADC">
        <w:rPr>
          <w:rFonts w:ascii="Times New Roman" w:hAnsi="Times New Roman" w:cs="Times New Roman"/>
          <w:sz w:val="24"/>
          <w:szCs w:val="24"/>
        </w:rPr>
        <w:t>). Chodzi tu o sytuacje, w których decyzja ta została wykonana, dane wynikające z operatu poscaleniowego opracowanego</w:t>
      </w:r>
      <w:r w:rsidR="00AA4985" w:rsidRPr="00830ADC">
        <w:rPr>
          <w:rFonts w:ascii="Times New Roman" w:hAnsi="Times New Roman" w:cs="Times New Roman"/>
          <w:sz w:val="24"/>
          <w:szCs w:val="24"/>
        </w:rPr>
        <w:t xml:space="preserve"> </w:t>
      </w:r>
      <w:r w:rsidRPr="00830ADC">
        <w:rPr>
          <w:rFonts w:ascii="Times New Roman" w:hAnsi="Times New Roman" w:cs="Times New Roman"/>
          <w:sz w:val="24"/>
          <w:szCs w:val="24"/>
        </w:rPr>
        <w:t xml:space="preserve">na podstawie tej decyzji </w:t>
      </w:r>
      <w:r w:rsidR="007F19D8" w:rsidRPr="00830ADC">
        <w:rPr>
          <w:rFonts w:ascii="Times New Roman" w:hAnsi="Times New Roman" w:cs="Times New Roman"/>
          <w:sz w:val="24"/>
          <w:szCs w:val="24"/>
        </w:rPr>
        <w:t xml:space="preserve">stanowiły podstawę </w:t>
      </w:r>
      <w:r w:rsidRPr="00830ADC">
        <w:rPr>
          <w:rFonts w:ascii="Times New Roman" w:hAnsi="Times New Roman" w:cs="Times New Roman"/>
          <w:sz w:val="24"/>
          <w:szCs w:val="24"/>
        </w:rPr>
        <w:t>wpis</w:t>
      </w:r>
      <w:r w:rsidR="007F19D8" w:rsidRPr="00830ADC">
        <w:rPr>
          <w:rFonts w:ascii="Times New Roman" w:hAnsi="Times New Roman" w:cs="Times New Roman"/>
          <w:sz w:val="24"/>
          <w:szCs w:val="24"/>
        </w:rPr>
        <w:t xml:space="preserve">u do ewidencji gruntów i budynków, a te </w:t>
      </w:r>
      <w:r w:rsidR="00AA4985" w:rsidRPr="00830ADC">
        <w:rPr>
          <w:rFonts w:ascii="Times New Roman" w:hAnsi="Times New Roman" w:cs="Times New Roman"/>
          <w:sz w:val="24"/>
          <w:szCs w:val="24"/>
        </w:rPr>
        <w:t>z kolei</w:t>
      </w:r>
      <w:r w:rsidR="007F19D8" w:rsidRPr="00830ADC">
        <w:rPr>
          <w:rFonts w:ascii="Times New Roman" w:hAnsi="Times New Roman" w:cs="Times New Roman"/>
          <w:sz w:val="24"/>
          <w:szCs w:val="24"/>
        </w:rPr>
        <w:t xml:space="preserve"> podstawę </w:t>
      </w:r>
      <w:r w:rsidRPr="00830ADC">
        <w:rPr>
          <w:rFonts w:ascii="Times New Roman" w:hAnsi="Times New Roman" w:cs="Times New Roman"/>
          <w:sz w:val="24"/>
          <w:szCs w:val="24"/>
        </w:rPr>
        <w:t xml:space="preserve">do </w:t>
      </w:r>
      <w:r w:rsidR="007F19D8" w:rsidRPr="00830ADC">
        <w:rPr>
          <w:rFonts w:ascii="Times New Roman" w:hAnsi="Times New Roman" w:cs="Times New Roman"/>
          <w:sz w:val="24"/>
          <w:szCs w:val="24"/>
        </w:rPr>
        <w:t xml:space="preserve">ujawnienia danych w </w:t>
      </w:r>
      <w:r w:rsidRPr="00830ADC">
        <w:rPr>
          <w:rFonts w:ascii="Times New Roman" w:hAnsi="Times New Roman" w:cs="Times New Roman"/>
          <w:sz w:val="24"/>
          <w:szCs w:val="24"/>
        </w:rPr>
        <w:t>ksi</w:t>
      </w:r>
      <w:r w:rsidR="007F19D8" w:rsidRPr="00830ADC">
        <w:rPr>
          <w:rFonts w:ascii="Times New Roman" w:hAnsi="Times New Roman" w:cs="Times New Roman"/>
          <w:sz w:val="24"/>
          <w:szCs w:val="24"/>
        </w:rPr>
        <w:t>ę</w:t>
      </w:r>
      <w:r w:rsidRPr="00830ADC">
        <w:rPr>
          <w:rFonts w:ascii="Times New Roman" w:hAnsi="Times New Roman" w:cs="Times New Roman"/>
          <w:sz w:val="24"/>
          <w:szCs w:val="24"/>
        </w:rPr>
        <w:t>g</w:t>
      </w:r>
      <w:r w:rsidR="007F19D8" w:rsidRPr="00830ADC">
        <w:rPr>
          <w:rFonts w:ascii="Times New Roman" w:hAnsi="Times New Roman" w:cs="Times New Roman"/>
          <w:sz w:val="24"/>
          <w:szCs w:val="24"/>
        </w:rPr>
        <w:t>ach</w:t>
      </w:r>
      <w:r w:rsidRPr="00830ADC">
        <w:rPr>
          <w:rFonts w:ascii="Times New Roman" w:hAnsi="Times New Roman" w:cs="Times New Roman"/>
          <w:sz w:val="24"/>
          <w:szCs w:val="24"/>
        </w:rPr>
        <w:t xml:space="preserve"> wieczystych</w:t>
      </w:r>
      <w:r w:rsidR="007F19D8" w:rsidRPr="00830ADC">
        <w:rPr>
          <w:rFonts w:ascii="Times New Roman" w:hAnsi="Times New Roman" w:cs="Times New Roman"/>
          <w:sz w:val="24"/>
          <w:szCs w:val="24"/>
        </w:rPr>
        <w:t xml:space="preserve">. </w:t>
      </w:r>
      <w:r w:rsidR="00AA4985" w:rsidRPr="00830ADC">
        <w:rPr>
          <w:rFonts w:ascii="Times New Roman" w:hAnsi="Times New Roman" w:cs="Times New Roman"/>
          <w:sz w:val="24"/>
          <w:szCs w:val="24"/>
        </w:rPr>
        <w:t>W konsekwencji więc od dnia wydania decyzji scaleniowej do dnia jej wyeliminowania z obrotu prawnego nastąpił szereg czynności faktycznych (objęcie w posiadanie nowych działek przez uczestników postępowania scaleniowego, wpis do ewidencji gruntów i budynków) oraz czynności (czy zdarzeń) prawnych (sprzedaż nieruchomości oznaczonych według stanu poscaleniowego, dziedziczenie takich nieruchomości).</w:t>
      </w:r>
    </w:p>
    <w:p w14:paraId="2EB59C13" w14:textId="7DA4D98A" w:rsidR="004405C8" w:rsidRPr="00830ADC" w:rsidRDefault="00832B44" w:rsidP="00832B44">
      <w:pPr>
        <w:spacing w:after="0" w:line="360" w:lineRule="auto"/>
        <w:ind w:left="113" w:right="113" w:firstLine="595"/>
        <w:jc w:val="both"/>
        <w:rPr>
          <w:rFonts w:ascii="Times New Roman" w:hAnsi="Times New Roman" w:cs="Times New Roman"/>
          <w:sz w:val="24"/>
          <w:szCs w:val="24"/>
        </w:rPr>
      </w:pPr>
      <w:r w:rsidRPr="00830ADC">
        <w:rPr>
          <w:rFonts w:ascii="Times New Roman" w:hAnsi="Times New Roman" w:cs="Times New Roman"/>
          <w:sz w:val="24"/>
          <w:szCs w:val="24"/>
        </w:rPr>
        <w:t xml:space="preserve">Skutkiem wejścia w życie </w:t>
      </w:r>
      <w:r w:rsidR="00861151" w:rsidRPr="00830ADC">
        <w:rPr>
          <w:rFonts w:ascii="Times New Roman" w:hAnsi="Times New Roman" w:cs="Times New Roman"/>
          <w:sz w:val="24"/>
          <w:szCs w:val="24"/>
        </w:rPr>
        <w:t xml:space="preserve">projektowanej </w:t>
      </w:r>
      <w:r w:rsidRPr="00830ADC">
        <w:rPr>
          <w:rFonts w:ascii="Times New Roman" w:hAnsi="Times New Roman" w:cs="Times New Roman"/>
          <w:sz w:val="24"/>
          <w:szCs w:val="24"/>
        </w:rPr>
        <w:t xml:space="preserve">ustawy będzie rozwiązanie problemów pojawiających się </w:t>
      </w:r>
      <w:r w:rsidR="00AA4985" w:rsidRPr="00830ADC">
        <w:rPr>
          <w:rFonts w:ascii="Times New Roman" w:hAnsi="Times New Roman" w:cs="Times New Roman"/>
          <w:sz w:val="24"/>
          <w:szCs w:val="24"/>
        </w:rPr>
        <w:t>w skutek</w:t>
      </w:r>
      <w:r w:rsidRPr="00830ADC">
        <w:rPr>
          <w:rFonts w:ascii="Times New Roman" w:hAnsi="Times New Roman" w:cs="Times New Roman"/>
          <w:sz w:val="24"/>
          <w:szCs w:val="24"/>
        </w:rPr>
        <w:t xml:space="preserve"> przedłużając</w:t>
      </w:r>
      <w:r w:rsidR="00AA4985" w:rsidRPr="00830ADC">
        <w:rPr>
          <w:rFonts w:ascii="Times New Roman" w:hAnsi="Times New Roman" w:cs="Times New Roman"/>
          <w:sz w:val="24"/>
          <w:szCs w:val="24"/>
        </w:rPr>
        <w:t>ych</w:t>
      </w:r>
      <w:r w:rsidRPr="00830ADC">
        <w:rPr>
          <w:rFonts w:ascii="Times New Roman" w:hAnsi="Times New Roman" w:cs="Times New Roman"/>
          <w:sz w:val="24"/>
          <w:szCs w:val="24"/>
        </w:rPr>
        <w:t xml:space="preserve"> się postępowa</w:t>
      </w:r>
      <w:r w:rsidR="00AA4985" w:rsidRPr="00830ADC">
        <w:rPr>
          <w:rFonts w:ascii="Times New Roman" w:hAnsi="Times New Roman" w:cs="Times New Roman"/>
          <w:sz w:val="24"/>
          <w:szCs w:val="24"/>
        </w:rPr>
        <w:t>ń</w:t>
      </w:r>
      <w:r w:rsidRPr="00830ADC">
        <w:rPr>
          <w:rFonts w:ascii="Times New Roman" w:hAnsi="Times New Roman" w:cs="Times New Roman"/>
          <w:sz w:val="24"/>
          <w:szCs w:val="24"/>
        </w:rPr>
        <w:t xml:space="preserve"> scaleniow</w:t>
      </w:r>
      <w:r w:rsidR="00AA4985" w:rsidRPr="00830ADC">
        <w:rPr>
          <w:rFonts w:ascii="Times New Roman" w:hAnsi="Times New Roman" w:cs="Times New Roman"/>
          <w:sz w:val="24"/>
          <w:szCs w:val="24"/>
        </w:rPr>
        <w:t>ych</w:t>
      </w:r>
      <w:r w:rsidRPr="00830ADC">
        <w:rPr>
          <w:rFonts w:ascii="Times New Roman" w:hAnsi="Times New Roman" w:cs="Times New Roman"/>
          <w:sz w:val="24"/>
          <w:szCs w:val="24"/>
        </w:rPr>
        <w:t xml:space="preserve">, </w:t>
      </w:r>
      <w:r w:rsidR="00AA4985" w:rsidRPr="00830ADC">
        <w:rPr>
          <w:rFonts w:ascii="Times New Roman" w:hAnsi="Times New Roman" w:cs="Times New Roman"/>
          <w:sz w:val="24"/>
          <w:szCs w:val="24"/>
        </w:rPr>
        <w:t xml:space="preserve">nieukończonych formalnie od co najmniej kilkunastu lat, </w:t>
      </w:r>
      <w:r w:rsidRPr="00830ADC">
        <w:rPr>
          <w:rFonts w:ascii="Times New Roman" w:hAnsi="Times New Roman" w:cs="Times New Roman"/>
          <w:sz w:val="24"/>
          <w:szCs w:val="24"/>
        </w:rPr>
        <w:t>które</w:t>
      </w:r>
      <w:r w:rsidR="00AA4985" w:rsidRPr="00830ADC">
        <w:rPr>
          <w:rFonts w:ascii="Times New Roman" w:hAnsi="Times New Roman" w:cs="Times New Roman"/>
          <w:sz w:val="24"/>
          <w:szCs w:val="24"/>
        </w:rPr>
        <w:t xml:space="preserve"> znacząco ograniczają lub wręcz</w:t>
      </w:r>
      <w:r w:rsidRPr="00830ADC">
        <w:rPr>
          <w:rFonts w:ascii="Times New Roman" w:hAnsi="Times New Roman" w:cs="Times New Roman"/>
          <w:sz w:val="24"/>
          <w:szCs w:val="24"/>
        </w:rPr>
        <w:t xml:space="preserve"> uniemożliwiają obrót prawny nieruchomościami</w:t>
      </w:r>
      <w:r w:rsidR="00AA4985" w:rsidRPr="00830ADC">
        <w:rPr>
          <w:rFonts w:ascii="Times New Roman" w:hAnsi="Times New Roman" w:cs="Times New Roman"/>
          <w:sz w:val="24"/>
          <w:szCs w:val="24"/>
        </w:rPr>
        <w:t>.</w:t>
      </w:r>
      <w:r w:rsidRPr="00830ADC">
        <w:rPr>
          <w:rFonts w:ascii="Times New Roman" w:hAnsi="Times New Roman" w:cs="Times New Roman"/>
          <w:sz w:val="24"/>
          <w:szCs w:val="24"/>
        </w:rPr>
        <w:t xml:space="preserve"> </w:t>
      </w:r>
    </w:p>
    <w:p w14:paraId="2526E4FC" w14:textId="3CB569F2" w:rsidR="00830ADC" w:rsidRPr="00830ADC" w:rsidRDefault="008D219B" w:rsidP="00830ADC">
      <w:pPr>
        <w:pStyle w:val="Akapitzlist"/>
        <w:spacing w:line="360" w:lineRule="auto"/>
        <w:ind w:left="0" w:firstLine="708"/>
        <w:jc w:val="both"/>
        <w:rPr>
          <w:rFonts w:ascii="Times New Roman" w:hAnsi="Times New Roman" w:cs="Times New Roman"/>
          <w:sz w:val="24"/>
          <w:szCs w:val="24"/>
        </w:rPr>
      </w:pPr>
      <w:r w:rsidRPr="00830ADC">
        <w:rPr>
          <w:rFonts w:ascii="Times New Roman" w:hAnsi="Times New Roman" w:cs="Times New Roman"/>
          <w:sz w:val="24"/>
          <w:szCs w:val="24"/>
        </w:rPr>
        <w:t>Przykładem takiej sytuacji jest postępowanie scaleniowe we wsi Lipnica Wielka. Postępowanie to zostało zainicjowane wnioskiem z dnia 28 października 1984</w:t>
      </w:r>
      <w:r w:rsidR="00F17EF4" w:rsidRPr="00830ADC">
        <w:rPr>
          <w:rFonts w:ascii="Times New Roman" w:hAnsi="Times New Roman" w:cs="Times New Roman"/>
          <w:sz w:val="24"/>
          <w:szCs w:val="24"/>
        </w:rPr>
        <w:t xml:space="preserve"> </w:t>
      </w:r>
      <w:r w:rsidRPr="00830ADC">
        <w:rPr>
          <w:rFonts w:ascii="Times New Roman" w:hAnsi="Times New Roman" w:cs="Times New Roman"/>
          <w:sz w:val="24"/>
          <w:szCs w:val="24"/>
        </w:rPr>
        <w:t xml:space="preserve">r., formalnie wszczęte zawiadomieniem naczelnika gminy Jabłonka z dnia 27 sierpnia 1987 r. Decyzja zatwierdzająca projekt planu scalania została wydana przez </w:t>
      </w:r>
      <w:r w:rsidR="00205DDD" w:rsidRPr="00830ADC">
        <w:rPr>
          <w:rFonts w:ascii="Times New Roman" w:hAnsi="Times New Roman" w:cs="Times New Roman"/>
          <w:sz w:val="24"/>
          <w:szCs w:val="24"/>
        </w:rPr>
        <w:t>w</w:t>
      </w:r>
      <w:r w:rsidRPr="00830ADC">
        <w:rPr>
          <w:rFonts w:ascii="Times New Roman" w:hAnsi="Times New Roman" w:cs="Times New Roman"/>
          <w:sz w:val="24"/>
          <w:szCs w:val="24"/>
        </w:rPr>
        <w:t>ójta gminy Nowy Targ z dnia</w:t>
      </w:r>
      <w:r w:rsidR="00F17EF4" w:rsidRPr="00830ADC">
        <w:rPr>
          <w:rFonts w:ascii="Times New Roman" w:hAnsi="Times New Roman" w:cs="Times New Roman"/>
          <w:sz w:val="24"/>
          <w:szCs w:val="24"/>
        </w:rPr>
        <w:t xml:space="preserve"> </w:t>
      </w:r>
      <w:r w:rsidRPr="00830ADC">
        <w:rPr>
          <w:rFonts w:ascii="Times New Roman" w:hAnsi="Times New Roman" w:cs="Times New Roman"/>
          <w:sz w:val="24"/>
          <w:szCs w:val="24"/>
        </w:rPr>
        <w:t xml:space="preserve">14 </w:t>
      </w:r>
      <w:r w:rsidRPr="00830ADC">
        <w:rPr>
          <w:rFonts w:ascii="Times New Roman" w:hAnsi="Times New Roman" w:cs="Times New Roman"/>
          <w:sz w:val="24"/>
          <w:szCs w:val="24"/>
        </w:rPr>
        <w:lastRenderedPageBreak/>
        <w:t xml:space="preserve">września 2006 r. </w:t>
      </w:r>
      <w:r w:rsidR="00F17EF4" w:rsidRPr="00830ADC">
        <w:rPr>
          <w:rFonts w:ascii="Times New Roman" w:hAnsi="Times New Roman" w:cs="Times New Roman"/>
          <w:sz w:val="24"/>
          <w:szCs w:val="24"/>
        </w:rPr>
        <w:t>Decyzja ta została opatrzona rygorem natychmiastowej wykonalności</w:t>
      </w:r>
      <w:r w:rsidR="005437C8" w:rsidRPr="00830ADC">
        <w:rPr>
          <w:rFonts w:ascii="Times New Roman" w:hAnsi="Times New Roman" w:cs="Times New Roman"/>
          <w:sz w:val="24"/>
          <w:szCs w:val="24"/>
        </w:rPr>
        <w:t>. Zgodnie z art. 108 Kodeksu postępowania administracyjnego</w:t>
      </w:r>
      <w:r w:rsidR="00F17EF4" w:rsidRPr="00830ADC">
        <w:rPr>
          <w:rFonts w:ascii="Times New Roman" w:hAnsi="Times New Roman" w:cs="Times New Roman"/>
          <w:sz w:val="24"/>
          <w:szCs w:val="24"/>
        </w:rPr>
        <w:t>.</w:t>
      </w:r>
      <w:r w:rsidR="005437C8" w:rsidRPr="00830ADC">
        <w:rPr>
          <w:rFonts w:ascii="Times New Roman" w:hAnsi="Times New Roman" w:cs="Times New Roman"/>
          <w:sz w:val="24"/>
          <w:szCs w:val="24"/>
        </w:rPr>
        <w:t xml:space="preserve"> W konsekwencji więc decyzja ta podlegała wykonaniu, choć nie była jeszcze ostateczna.</w:t>
      </w:r>
      <w:r w:rsidR="00F17EF4" w:rsidRPr="00830ADC">
        <w:rPr>
          <w:rFonts w:ascii="Times New Roman" w:hAnsi="Times New Roman" w:cs="Times New Roman"/>
          <w:sz w:val="24"/>
          <w:szCs w:val="24"/>
        </w:rPr>
        <w:t xml:space="preserve"> </w:t>
      </w:r>
      <w:r w:rsidRPr="00830ADC">
        <w:rPr>
          <w:rFonts w:ascii="Times New Roman" w:hAnsi="Times New Roman" w:cs="Times New Roman"/>
          <w:sz w:val="24"/>
          <w:szCs w:val="24"/>
        </w:rPr>
        <w:t>W wyniku wniesionych odwołań decyzja ta została utrzymana w mocy decyzją S</w:t>
      </w:r>
      <w:r w:rsidR="00F17EF4" w:rsidRPr="00830ADC">
        <w:rPr>
          <w:rFonts w:ascii="Times New Roman" w:hAnsi="Times New Roman" w:cs="Times New Roman"/>
          <w:sz w:val="24"/>
          <w:szCs w:val="24"/>
        </w:rPr>
        <w:t xml:space="preserve">amorządowego </w:t>
      </w:r>
      <w:r w:rsidRPr="00830ADC">
        <w:rPr>
          <w:rFonts w:ascii="Times New Roman" w:hAnsi="Times New Roman" w:cs="Times New Roman"/>
          <w:sz w:val="24"/>
          <w:szCs w:val="24"/>
        </w:rPr>
        <w:t>K</w:t>
      </w:r>
      <w:r w:rsidR="00F17EF4" w:rsidRPr="00830ADC">
        <w:rPr>
          <w:rFonts w:ascii="Times New Roman" w:hAnsi="Times New Roman" w:cs="Times New Roman"/>
          <w:sz w:val="24"/>
          <w:szCs w:val="24"/>
        </w:rPr>
        <w:t>olegium Odwoławczego w Krakowie</w:t>
      </w:r>
      <w:r w:rsidRPr="00830ADC">
        <w:rPr>
          <w:rFonts w:ascii="Times New Roman" w:hAnsi="Times New Roman" w:cs="Times New Roman"/>
          <w:sz w:val="24"/>
          <w:szCs w:val="24"/>
        </w:rPr>
        <w:t xml:space="preserve"> z dnia 21 maja 2008 r. W wyniku wykonania tej decyzji operat poscaleniowy został przyjęty do państwowego zasobu geodezyjnego i kartograficznego </w:t>
      </w:r>
      <w:r w:rsidR="00F17EF4" w:rsidRPr="00830ADC">
        <w:rPr>
          <w:rFonts w:ascii="Times New Roman" w:hAnsi="Times New Roman" w:cs="Times New Roman"/>
          <w:sz w:val="24"/>
          <w:szCs w:val="24"/>
        </w:rPr>
        <w:t xml:space="preserve">dnia </w:t>
      </w:r>
      <w:r w:rsidRPr="00830ADC">
        <w:rPr>
          <w:rFonts w:ascii="Times New Roman" w:hAnsi="Times New Roman" w:cs="Times New Roman"/>
          <w:sz w:val="24"/>
          <w:szCs w:val="24"/>
        </w:rPr>
        <w:t xml:space="preserve">15 marca 2010 r. i ujawniony w ewidencji gruntów i budynków, a następnie w księgach wieczystych. </w:t>
      </w:r>
      <w:r w:rsidR="00F17EF4" w:rsidRPr="00830ADC">
        <w:rPr>
          <w:rFonts w:ascii="Times New Roman" w:hAnsi="Times New Roman" w:cs="Times New Roman"/>
          <w:sz w:val="24"/>
          <w:szCs w:val="24"/>
        </w:rPr>
        <w:t xml:space="preserve">Następnie </w:t>
      </w:r>
      <w:r w:rsidRPr="00830ADC">
        <w:rPr>
          <w:rFonts w:ascii="Times New Roman" w:hAnsi="Times New Roman" w:cs="Times New Roman"/>
          <w:sz w:val="24"/>
          <w:szCs w:val="24"/>
        </w:rPr>
        <w:t>decyzja powyższa została zaskarżona</w:t>
      </w:r>
      <w:r w:rsidR="00F17EF4" w:rsidRPr="00830ADC">
        <w:rPr>
          <w:rFonts w:ascii="Times New Roman" w:hAnsi="Times New Roman" w:cs="Times New Roman"/>
          <w:sz w:val="24"/>
          <w:szCs w:val="24"/>
        </w:rPr>
        <w:t xml:space="preserve"> przez część uczestników postępowania scaleniowego</w:t>
      </w:r>
      <w:r w:rsidRPr="00830ADC">
        <w:rPr>
          <w:rFonts w:ascii="Times New Roman" w:hAnsi="Times New Roman" w:cs="Times New Roman"/>
          <w:sz w:val="24"/>
          <w:szCs w:val="24"/>
        </w:rPr>
        <w:t xml:space="preserve"> do Wojewódzkiego Sądu Administracyjnego w Krakowie, który wyrokiem z dnia 24 sierpnia 2011 r. uchylił zaskarżoną decyzję </w:t>
      </w:r>
      <w:r w:rsidR="00F17EF4" w:rsidRPr="00830ADC">
        <w:rPr>
          <w:rFonts w:ascii="Times New Roman" w:hAnsi="Times New Roman" w:cs="Times New Roman"/>
          <w:sz w:val="24"/>
          <w:szCs w:val="24"/>
        </w:rPr>
        <w:t>Samorządowego Kolegium Odwoławczego</w:t>
      </w:r>
      <w:r w:rsidRPr="00830ADC">
        <w:rPr>
          <w:rFonts w:ascii="Times New Roman" w:hAnsi="Times New Roman" w:cs="Times New Roman"/>
          <w:sz w:val="24"/>
          <w:szCs w:val="24"/>
        </w:rPr>
        <w:t xml:space="preserve"> oraz poprzedzającą ją decyzję organu I instancji</w:t>
      </w:r>
      <w:r w:rsidR="00203E2E" w:rsidRPr="00830ADC">
        <w:rPr>
          <w:rFonts w:ascii="Times New Roman" w:hAnsi="Times New Roman" w:cs="Times New Roman"/>
          <w:sz w:val="24"/>
          <w:szCs w:val="24"/>
        </w:rPr>
        <w:t>, oraz stwierdził, że zaskarżona decyzja nie może być wykonywana</w:t>
      </w:r>
      <w:r w:rsidRPr="00830ADC">
        <w:rPr>
          <w:rFonts w:ascii="Times New Roman" w:hAnsi="Times New Roman" w:cs="Times New Roman"/>
          <w:sz w:val="24"/>
          <w:szCs w:val="24"/>
        </w:rPr>
        <w:t>. Wyrok ten został następnie utrzymany przez N</w:t>
      </w:r>
      <w:r w:rsidR="00F17EF4" w:rsidRPr="00830ADC">
        <w:rPr>
          <w:rFonts w:ascii="Times New Roman" w:hAnsi="Times New Roman" w:cs="Times New Roman"/>
          <w:sz w:val="24"/>
          <w:szCs w:val="24"/>
        </w:rPr>
        <w:t xml:space="preserve">aczelny </w:t>
      </w:r>
      <w:r w:rsidRPr="00830ADC">
        <w:rPr>
          <w:rFonts w:ascii="Times New Roman" w:hAnsi="Times New Roman" w:cs="Times New Roman"/>
          <w:sz w:val="24"/>
          <w:szCs w:val="24"/>
        </w:rPr>
        <w:t>S</w:t>
      </w:r>
      <w:r w:rsidR="00F17EF4" w:rsidRPr="00830ADC">
        <w:rPr>
          <w:rFonts w:ascii="Times New Roman" w:hAnsi="Times New Roman" w:cs="Times New Roman"/>
          <w:sz w:val="24"/>
          <w:szCs w:val="24"/>
        </w:rPr>
        <w:t xml:space="preserve">ąd </w:t>
      </w:r>
      <w:r w:rsidRPr="00830ADC">
        <w:rPr>
          <w:rFonts w:ascii="Times New Roman" w:hAnsi="Times New Roman" w:cs="Times New Roman"/>
          <w:sz w:val="24"/>
          <w:szCs w:val="24"/>
        </w:rPr>
        <w:t>A</w:t>
      </w:r>
      <w:r w:rsidR="00F17EF4" w:rsidRPr="00830ADC">
        <w:rPr>
          <w:rFonts w:ascii="Times New Roman" w:hAnsi="Times New Roman" w:cs="Times New Roman"/>
          <w:sz w:val="24"/>
          <w:szCs w:val="24"/>
        </w:rPr>
        <w:t>dministracyjny</w:t>
      </w:r>
      <w:r w:rsidRPr="00830ADC">
        <w:rPr>
          <w:rFonts w:ascii="Times New Roman" w:hAnsi="Times New Roman" w:cs="Times New Roman"/>
          <w:sz w:val="24"/>
          <w:szCs w:val="24"/>
        </w:rPr>
        <w:t>, po rozpatrzeniu skargi kasacyjnej, wyrokiem z dnia 18 października 2013 r.</w:t>
      </w:r>
      <w:r w:rsidR="00A0136B" w:rsidRPr="00830ADC">
        <w:rPr>
          <w:rFonts w:ascii="Times New Roman" w:eastAsia="Calibri" w:hAnsi="Times New Roman" w:cs="Times New Roman"/>
          <w:color w:val="000000" w:themeColor="text1"/>
          <w:sz w:val="24"/>
          <w:szCs w:val="24"/>
        </w:rPr>
        <w:t xml:space="preserve"> </w:t>
      </w:r>
      <w:r w:rsidR="005437C8" w:rsidRPr="00830ADC">
        <w:rPr>
          <w:rFonts w:ascii="Times New Roman" w:eastAsia="Calibri" w:hAnsi="Times New Roman" w:cs="Times New Roman"/>
          <w:color w:val="000000" w:themeColor="text1"/>
          <w:sz w:val="24"/>
          <w:szCs w:val="24"/>
        </w:rPr>
        <w:t>Konsekwencją p</w:t>
      </w:r>
      <w:r w:rsidR="004405C8" w:rsidRPr="00830ADC">
        <w:rPr>
          <w:rFonts w:ascii="Times New Roman" w:eastAsia="Calibri" w:hAnsi="Times New Roman" w:cs="Times New Roman"/>
          <w:color w:val="000000" w:themeColor="text1"/>
          <w:sz w:val="24"/>
          <w:szCs w:val="24"/>
        </w:rPr>
        <w:t>owyższe</w:t>
      </w:r>
      <w:r w:rsidR="005437C8" w:rsidRPr="00830ADC">
        <w:rPr>
          <w:rFonts w:ascii="Times New Roman" w:eastAsia="Calibri" w:hAnsi="Times New Roman" w:cs="Times New Roman"/>
          <w:color w:val="000000" w:themeColor="text1"/>
          <w:sz w:val="24"/>
          <w:szCs w:val="24"/>
        </w:rPr>
        <w:t xml:space="preserve">go rozstrzygnięcia </w:t>
      </w:r>
      <w:r w:rsidR="001D2FA5" w:rsidRPr="00830ADC">
        <w:rPr>
          <w:rFonts w:ascii="Times New Roman" w:eastAsia="Calibri" w:hAnsi="Times New Roman" w:cs="Times New Roman"/>
          <w:color w:val="000000" w:themeColor="text1"/>
          <w:sz w:val="24"/>
          <w:szCs w:val="24"/>
        </w:rPr>
        <w:t>byłby „nakaz” powrotu do stanu nieruchomości istniejącego przed scaleniem, czyli określenia przebiegu granic, konfiguracji i powierzchni działek oraz ich obciążeń (służebności) według stanu sprzed sporządzenia operatu scaleniowego, a w konsekwencji „likwidację” wpisów w ewidencji gruntów i budynkó</w:t>
      </w:r>
      <w:r w:rsidR="00223985" w:rsidRPr="00830ADC">
        <w:rPr>
          <w:rFonts w:ascii="Times New Roman" w:eastAsia="Calibri" w:hAnsi="Times New Roman" w:cs="Times New Roman"/>
          <w:color w:val="000000" w:themeColor="text1"/>
          <w:sz w:val="24"/>
          <w:szCs w:val="24"/>
        </w:rPr>
        <w:t xml:space="preserve">w oraz księgach wieczystych. Ewentualnie natomiast „utrzymanie” stanu wynikającego z decyzji scaleniowej z 2006 r. wiązałoby się z </w:t>
      </w:r>
      <w:r w:rsidR="004405C8" w:rsidRPr="00830ADC">
        <w:rPr>
          <w:rFonts w:ascii="Times New Roman" w:eastAsia="Calibri" w:hAnsi="Times New Roman" w:cs="Times New Roman"/>
          <w:color w:val="000000" w:themeColor="text1"/>
          <w:sz w:val="24"/>
          <w:szCs w:val="24"/>
        </w:rPr>
        <w:t>koniecznoś</w:t>
      </w:r>
      <w:r w:rsidR="00223985" w:rsidRPr="00830ADC">
        <w:rPr>
          <w:rFonts w:ascii="Times New Roman" w:eastAsia="Calibri" w:hAnsi="Times New Roman" w:cs="Times New Roman"/>
          <w:color w:val="000000" w:themeColor="text1"/>
          <w:sz w:val="24"/>
          <w:szCs w:val="24"/>
        </w:rPr>
        <w:t>cią</w:t>
      </w:r>
      <w:r w:rsidR="004405C8" w:rsidRPr="00830ADC">
        <w:rPr>
          <w:rFonts w:ascii="Times New Roman" w:eastAsia="Calibri" w:hAnsi="Times New Roman" w:cs="Times New Roman"/>
          <w:color w:val="000000" w:themeColor="text1"/>
          <w:sz w:val="24"/>
          <w:szCs w:val="24"/>
        </w:rPr>
        <w:t xml:space="preserve"> ponownego przeprowadzenia postępowania scaleniowego w Lipnicy Wielkiej.</w:t>
      </w:r>
      <w:r w:rsidR="00203E2E" w:rsidRPr="00830ADC">
        <w:rPr>
          <w:rFonts w:ascii="Times New Roman" w:eastAsia="Calibri" w:hAnsi="Times New Roman" w:cs="Times New Roman"/>
          <w:color w:val="000000" w:themeColor="text1"/>
          <w:sz w:val="24"/>
          <w:szCs w:val="24"/>
        </w:rPr>
        <w:t xml:space="preserve"> Po wydaniu wyroku przez Naczelny Sąd Administracyjny, starosta nowotarski dokonał ponownej analizy wniosku z 1984 r., który zainicjował postępowanie scaleniowe, i wydał decyzję umarzającą to postępowanie (decyzja z dnia 26 czerwca 2018 r., znak SLW.661.26.2016).</w:t>
      </w:r>
      <w:r w:rsidR="004405C8" w:rsidRPr="00830ADC">
        <w:rPr>
          <w:rFonts w:ascii="Times New Roman" w:eastAsia="Calibri" w:hAnsi="Times New Roman" w:cs="Times New Roman"/>
          <w:color w:val="000000" w:themeColor="text1"/>
          <w:sz w:val="24"/>
          <w:szCs w:val="24"/>
        </w:rPr>
        <w:t xml:space="preserve"> Przed dokonaniem </w:t>
      </w:r>
      <w:r w:rsidR="002F5D5D" w:rsidRPr="00830ADC">
        <w:rPr>
          <w:rFonts w:ascii="Times New Roman" w:eastAsia="Calibri" w:hAnsi="Times New Roman" w:cs="Times New Roman"/>
          <w:color w:val="000000" w:themeColor="text1"/>
          <w:sz w:val="24"/>
          <w:szCs w:val="24"/>
        </w:rPr>
        <w:t xml:space="preserve">ewentualnego ponownego postępowania scaleniowego </w:t>
      </w:r>
      <w:r w:rsidR="004405C8" w:rsidRPr="00830ADC">
        <w:rPr>
          <w:rFonts w:ascii="Times New Roman" w:eastAsia="Calibri" w:hAnsi="Times New Roman" w:cs="Times New Roman"/>
          <w:color w:val="000000" w:themeColor="text1"/>
          <w:sz w:val="24"/>
          <w:szCs w:val="24"/>
        </w:rPr>
        <w:t>konieczne stałoby się jednak przywrócenie stanu prawnego i faktycznego obowiązującego przed dniem wydania decyzji</w:t>
      </w:r>
      <w:r w:rsidR="00A0136B" w:rsidRPr="00830ADC">
        <w:rPr>
          <w:rFonts w:ascii="Times New Roman" w:eastAsia="Calibri" w:hAnsi="Times New Roman" w:cs="Times New Roman"/>
          <w:color w:val="000000" w:themeColor="text1"/>
          <w:sz w:val="24"/>
          <w:szCs w:val="24"/>
        </w:rPr>
        <w:t xml:space="preserve"> scaleniowej</w:t>
      </w:r>
      <w:r w:rsidR="002F5D5D" w:rsidRPr="00830ADC">
        <w:rPr>
          <w:rFonts w:ascii="Times New Roman" w:eastAsia="Calibri" w:hAnsi="Times New Roman" w:cs="Times New Roman"/>
          <w:color w:val="000000" w:themeColor="text1"/>
          <w:sz w:val="24"/>
          <w:szCs w:val="24"/>
        </w:rPr>
        <w:t xml:space="preserve"> z 2006 r</w:t>
      </w:r>
      <w:r w:rsidR="004405C8" w:rsidRPr="00830ADC">
        <w:rPr>
          <w:rFonts w:ascii="Times New Roman" w:eastAsia="Calibri" w:hAnsi="Times New Roman" w:cs="Times New Roman"/>
          <w:color w:val="000000" w:themeColor="text1"/>
          <w:sz w:val="24"/>
          <w:szCs w:val="24"/>
        </w:rPr>
        <w:t>. Brak jest jednak instrumentów prawnych do przywrócenia tego stanu</w:t>
      </w:r>
      <w:r w:rsidR="00A0136B" w:rsidRPr="00830ADC">
        <w:rPr>
          <w:rFonts w:ascii="Times New Roman" w:eastAsia="Calibri" w:hAnsi="Times New Roman" w:cs="Times New Roman"/>
          <w:color w:val="000000" w:themeColor="text1"/>
          <w:sz w:val="24"/>
          <w:szCs w:val="24"/>
        </w:rPr>
        <w:t>, jak również brak jest faktycznych technicznych możliwości w tym zakresie</w:t>
      </w:r>
      <w:r w:rsidR="004405C8" w:rsidRPr="00830ADC">
        <w:rPr>
          <w:rFonts w:ascii="Times New Roman" w:eastAsia="Calibri" w:hAnsi="Times New Roman" w:cs="Times New Roman"/>
          <w:color w:val="000000" w:themeColor="text1"/>
          <w:sz w:val="24"/>
          <w:szCs w:val="24"/>
        </w:rPr>
        <w:t>.</w:t>
      </w:r>
      <w:r w:rsidR="009556D6" w:rsidRPr="00830ADC">
        <w:rPr>
          <w:rFonts w:ascii="Times New Roman" w:eastAsia="Calibri" w:hAnsi="Times New Roman" w:cs="Times New Roman"/>
          <w:color w:val="000000" w:themeColor="text1"/>
          <w:sz w:val="24"/>
          <w:szCs w:val="24"/>
        </w:rPr>
        <w:t xml:space="preserve"> W ewidencji gruntów i budynków został wprowadzony stan zgodny z operatem scaleniowym. Te dane stanowiły następnie podstawę do ujawnienia </w:t>
      </w:r>
      <w:r w:rsidR="00631B26" w:rsidRPr="00830ADC">
        <w:rPr>
          <w:rFonts w:ascii="Times New Roman" w:eastAsia="Calibri" w:hAnsi="Times New Roman" w:cs="Times New Roman"/>
          <w:color w:val="000000" w:themeColor="text1"/>
          <w:sz w:val="24"/>
          <w:szCs w:val="24"/>
        </w:rPr>
        <w:t xml:space="preserve">stanu </w:t>
      </w:r>
      <w:r w:rsidR="009556D6" w:rsidRPr="00830ADC">
        <w:rPr>
          <w:rFonts w:ascii="Times New Roman" w:eastAsia="Calibri" w:hAnsi="Times New Roman" w:cs="Times New Roman"/>
          <w:color w:val="000000" w:themeColor="text1"/>
          <w:sz w:val="24"/>
          <w:szCs w:val="24"/>
        </w:rPr>
        <w:t>w księgach wieczystych dla nieruchomości objętych postępowaniem scaleniowym. Jednocześnie</w:t>
      </w:r>
      <w:r w:rsidR="002F5D5D" w:rsidRPr="00830ADC">
        <w:rPr>
          <w:rFonts w:ascii="Times New Roman" w:eastAsia="Calibri" w:hAnsi="Times New Roman" w:cs="Times New Roman"/>
          <w:color w:val="000000" w:themeColor="text1"/>
          <w:sz w:val="24"/>
          <w:szCs w:val="24"/>
        </w:rPr>
        <w:t xml:space="preserve"> wcześniej prowadzone księgi wieczyste zostały zamknięte w związku ze zmianami w ewidencji gruntów i budynków dokonanymi w wyniku wykonania wyżej wymienionej decyzji scaleniowej (przyjęcie operatu scaleniowego do zasobu kartograficznego).</w:t>
      </w:r>
      <w:r w:rsidR="0006236F" w:rsidRPr="00830ADC">
        <w:rPr>
          <w:rFonts w:ascii="Times New Roman" w:eastAsia="Calibri" w:hAnsi="Times New Roman" w:cs="Times New Roman"/>
          <w:color w:val="000000" w:themeColor="text1"/>
          <w:sz w:val="24"/>
          <w:szCs w:val="24"/>
        </w:rPr>
        <w:t xml:space="preserve"> Dodatkowo w trakcie całego postępowania, najpierw administracyjnego, a później sądowego, dokonywany był obrót nieruchomościami według ich </w:t>
      </w:r>
      <w:r w:rsidR="0006236F" w:rsidRPr="00830ADC">
        <w:rPr>
          <w:rFonts w:ascii="Times New Roman" w:eastAsia="Calibri" w:hAnsi="Times New Roman" w:cs="Times New Roman"/>
          <w:color w:val="000000" w:themeColor="text1"/>
          <w:sz w:val="24"/>
          <w:szCs w:val="24"/>
        </w:rPr>
        <w:lastRenderedPageBreak/>
        <w:t>opisu wynikającego z ewidencji gruntów i budynków, a w więc według stanu wynikającego z uchylonej decyzji scaleniowej.</w:t>
      </w:r>
      <w:r w:rsidR="002F5D5D" w:rsidRPr="00830ADC">
        <w:rPr>
          <w:rFonts w:ascii="Times New Roman" w:eastAsia="Calibri" w:hAnsi="Times New Roman" w:cs="Times New Roman"/>
          <w:color w:val="000000" w:themeColor="text1"/>
          <w:sz w:val="24"/>
          <w:szCs w:val="24"/>
        </w:rPr>
        <w:t xml:space="preserve"> </w:t>
      </w:r>
      <w:r w:rsidR="00BC3479" w:rsidRPr="00830ADC">
        <w:rPr>
          <w:rFonts w:ascii="Times New Roman" w:eastAsia="Calibri" w:hAnsi="Times New Roman" w:cs="Times New Roman"/>
          <w:color w:val="000000" w:themeColor="text1"/>
          <w:sz w:val="24"/>
          <w:szCs w:val="24"/>
        </w:rPr>
        <w:t>P</w:t>
      </w:r>
      <w:r w:rsidR="004405C8" w:rsidRPr="00830ADC">
        <w:rPr>
          <w:rFonts w:ascii="Times New Roman" w:eastAsia="Calibri" w:hAnsi="Times New Roman" w:cs="Times New Roman"/>
          <w:color w:val="000000" w:themeColor="text1"/>
          <w:sz w:val="24"/>
          <w:szCs w:val="24"/>
        </w:rPr>
        <w:t>rzywrócenie stanu pierwotnego i ponowienie czynności scaleniowych nie doprowadzi do usunięcia chaosu prawnego powstałego na skutek wydania powyższych decyzji scaleniowych</w:t>
      </w:r>
      <w:r w:rsidR="00BC3479" w:rsidRPr="00830ADC">
        <w:rPr>
          <w:rFonts w:ascii="Times New Roman" w:eastAsia="Calibri" w:hAnsi="Times New Roman" w:cs="Times New Roman"/>
          <w:color w:val="000000" w:themeColor="text1"/>
          <w:sz w:val="24"/>
          <w:szCs w:val="24"/>
        </w:rPr>
        <w:t>, gdyż proste</w:t>
      </w:r>
      <w:r w:rsidR="004405C8" w:rsidRPr="00830ADC">
        <w:rPr>
          <w:rFonts w:ascii="Times New Roman" w:eastAsia="Calibri" w:hAnsi="Times New Roman" w:cs="Times New Roman"/>
          <w:color w:val="000000" w:themeColor="text1"/>
          <w:sz w:val="24"/>
          <w:szCs w:val="24"/>
        </w:rPr>
        <w:t xml:space="preserve"> </w:t>
      </w:r>
      <w:r w:rsidR="0006236F" w:rsidRPr="00830ADC">
        <w:rPr>
          <w:rFonts w:ascii="Times New Roman" w:eastAsia="Calibri" w:hAnsi="Times New Roman" w:cs="Times New Roman"/>
          <w:color w:val="000000" w:themeColor="text1"/>
          <w:sz w:val="24"/>
          <w:szCs w:val="24"/>
        </w:rPr>
        <w:t>„</w:t>
      </w:r>
      <w:r w:rsidR="00BC3479" w:rsidRPr="00830ADC">
        <w:rPr>
          <w:rFonts w:ascii="Times New Roman" w:eastAsia="Calibri" w:hAnsi="Times New Roman" w:cs="Times New Roman"/>
          <w:color w:val="000000" w:themeColor="text1"/>
          <w:sz w:val="24"/>
          <w:szCs w:val="24"/>
        </w:rPr>
        <w:t>o</w:t>
      </w:r>
      <w:r w:rsidR="0006236F" w:rsidRPr="00830ADC">
        <w:rPr>
          <w:rFonts w:ascii="Times New Roman" w:eastAsia="Calibri" w:hAnsi="Times New Roman" w:cs="Times New Roman"/>
          <w:color w:val="000000" w:themeColor="text1"/>
          <w:sz w:val="24"/>
          <w:szCs w:val="24"/>
        </w:rPr>
        <w:t>dtworzenie” stanu sprzed wszczęcia</w:t>
      </w:r>
      <w:r w:rsidR="00BC3479" w:rsidRPr="00830ADC">
        <w:rPr>
          <w:rFonts w:ascii="Times New Roman" w:eastAsia="Calibri" w:hAnsi="Times New Roman" w:cs="Times New Roman"/>
          <w:color w:val="000000" w:themeColor="text1"/>
          <w:sz w:val="24"/>
          <w:szCs w:val="24"/>
        </w:rPr>
        <w:t xml:space="preserve"> postę</w:t>
      </w:r>
      <w:r w:rsidR="0006236F" w:rsidRPr="00830ADC">
        <w:rPr>
          <w:rFonts w:ascii="Times New Roman" w:eastAsia="Calibri" w:hAnsi="Times New Roman" w:cs="Times New Roman"/>
          <w:color w:val="000000" w:themeColor="text1"/>
          <w:sz w:val="24"/>
          <w:szCs w:val="24"/>
        </w:rPr>
        <w:t xml:space="preserve">powania scaleniowego </w:t>
      </w:r>
      <w:r w:rsidR="00BF2D62" w:rsidRPr="00830ADC">
        <w:rPr>
          <w:rFonts w:ascii="Times New Roman" w:eastAsia="Calibri" w:hAnsi="Times New Roman" w:cs="Times New Roman"/>
          <w:color w:val="000000" w:themeColor="text1"/>
          <w:sz w:val="24"/>
          <w:szCs w:val="24"/>
        </w:rPr>
        <w:t xml:space="preserve">musiałoby dotyczyć wszystkich działek gruntów, a więc ingerowałoby w </w:t>
      </w:r>
      <w:r w:rsidR="009201A2">
        <w:rPr>
          <w:rFonts w:ascii="Times New Roman" w:eastAsia="Calibri" w:hAnsi="Times New Roman" w:cs="Times New Roman"/>
          <w:color w:val="000000" w:themeColor="text1"/>
          <w:sz w:val="24"/>
          <w:szCs w:val="24"/>
        </w:rPr>
        <w:t>konfigurację</w:t>
      </w:r>
      <w:r w:rsidR="00BF2D62" w:rsidRPr="00830ADC">
        <w:rPr>
          <w:rFonts w:ascii="Times New Roman" w:eastAsia="Calibri" w:hAnsi="Times New Roman" w:cs="Times New Roman"/>
          <w:color w:val="000000" w:themeColor="text1"/>
          <w:sz w:val="24"/>
          <w:szCs w:val="24"/>
        </w:rPr>
        <w:t xml:space="preserve"> tych działek, które były przedmiotem obrotu cywilnoprawnego po wydaniu uchylonej decyzji scaleniowej. Podjęcie jednostkowych działań prawnych w celu ostatecznego uregulowania stanu tych gruntów nie </w:t>
      </w:r>
      <w:r w:rsidR="00705B37" w:rsidRPr="00830ADC">
        <w:rPr>
          <w:rFonts w:ascii="Times New Roman" w:eastAsia="Calibri" w:hAnsi="Times New Roman" w:cs="Times New Roman"/>
          <w:color w:val="000000" w:themeColor="text1"/>
          <w:sz w:val="24"/>
          <w:szCs w:val="24"/>
        </w:rPr>
        <w:t xml:space="preserve">jest </w:t>
      </w:r>
      <w:r w:rsidR="00BF2D62" w:rsidRPr="00830ADC">
        <w:rPr>
          <w:rFonts w:ascii="Times New Roman" w:eastAsia="Calibri" w:hAnsi="Times New Roman" w:cs="Times New Roman"/>
          <w:color w:val="000000" w:themeColor="text1"/>
          <w:sz w:val="24"/>
          <w:szCs w:val="24"/>
        </w:rPr>
        <w:t>możliwe, gdyż podjęcie czynności wobec jednej nieruchomości wywiera wpływ na stan prawny kolejnej nieruchomości.</w:t>
      </w:r>
      <w:r w:rsidR="008443E7" w:rsidRPr="00830ADC">
        <w:rPr>
          <w:rFonts w:ascii="Times New Roman" w:eastAsia="Calibri" w:hAnsi="Times New Roman" w:cs="Times New Roman"/>
          <w:color w:val="000000" w:themeColor="text1"/>
          <w:sz w:val="24"/>
          <w:szCs w:val="24"/>
        </w:rPr>
        <w:t xml:space="preserve"> W praktyce oznaczałoby to otwarcie zawiłych, długotrwałych i kosztownych postępowań o niepewnych wynikach.</w:t>
      </w:r>
      <w:r w:rsidR="00BF2D62" w:rsidRPr="00830ADC">
        <w:rPr>
          <w:rFonts w:ascii="Times New Roman" w:eastAsia="Calibri" w:hAnsi="Times New Roman" w:cs="Times New Roman"/>
          <w:color w:val="000000" w:themeColor="text1"/>
          <w:sz w:val="24"/>
          <w:szCs w:val="24"/>
        </w:rPr>
        <w:t xml:space="preserve"> W tym aspekcie skutki decyzji administracyjnej zatwierdzającej projekt scalania</w:t>
      </w:r>
      <w:r w:rsidR="00705B37" w:rsidRPr="00830ADC">
        <w:rPr>
          <w:rFonts w:ascii="Times New Roman" w:eastAsia="Calibri" w:hAnsi="Times New Roman" w:cs="Times New Roman"/>
          <w:color w:val="000000" w:themeColor="text1"/>
          <w:sz w:val="24"/>
          <w:szCs w:val="24"/>
        </w:rPr>
        <w:t xml:space="preserve"> gruntów</w:t>
      </w:r>
      <w:r w:rsidR="00BF2D62" w:rsidRPr="00830ADC">
        <w:rPr>
          <w:rFonts w:ascii="Times New Roman" w:eastAsia="Calibri" w:hAnsi="Times New Roman" w:cs="Times New Roman"/>
          <w:color w:val="000000" w:themeColor="text1"/>
          <w:sz w:val="24"/>
          <w:szCs w:val="24"/>
        </w:rPr>
        <w:t xml:space="preserve"> w</w:t>
      </w:r>
      <w:r w:rsidR="00705B37" w:rsidRPr="00830ADC">
        <w:rPr>
          <w:rFonts w:ascii="Times New Roman" w:eastAsia="Calibri" w:hAnsi="Times New Roman" w:cs="Times New Roman"/>
          <w:color w:val="000000" w:themeColor="text1"/>
          <w:sz w:val="24"/>
          <w:szCs w:val="24"/>
        </w:rPr>
        <w:t xml:space="preserve"> Lipnicy W</w:t>
      </w:r>
      <w:r w:rsidR="00BF2D62" w:rsidRPr="00830ADC">
        <w:rPr>
          <w:rFonts w:ascii="Times New Roman" w:eastAsia="Calibri" w:hAnsi="Times New Roman" w:cs="Times New Roman"/>
          <w:color w:val="000000" w:themeColor="text1"/>
          <w:sz w:val="24"/>
          <w:szCs w:val="24"/>
        </w:rPr>
        <w:t xml:space="preserve">ielkiej są nieodwracalne. </w:t>
      </w:r>
      <w:r w:rsidR="00830ADC" w:rsidRPr="006938EE">
        <w:rPr>
          <w:rFonts w:ascii="Times New Roman" w:hAnsi="Times New Roman" w:cs="Times New Roman"/>
          <w:sz w:val="24"/>
          <w:szCs w:val="24"/>
        </w:rPr>
        <w:t>Nieodwracalność skutku prawnego polega tu na tym, że decyzja ta wywarła pośrednio skutki na gruncie prawa cywilnego, gdyż stała się podstawą do dokonania - nieodwracalnych dla organu administracji - czynności prawa cywilnego (wspomniany obrót nieruchomościami). Organy administracji obecnie, działając w granicach swojej właściwości i kompetencji, nie mają instrumentów prawnych „odwrócenia” skutków tych czynności i wynikłych z nich przekształceń własnościowych w odniesieniu do gruntów objętych postępowaniem scaleniowym.</w:t>
      </w:r>
      <w:r w:rsidR="00830ADC" w:rsidRPr="00830ADC">
        <w:rPr>
          <w:rFonts w:ascii="Times New Roman" w:hAnsi="Times New Roman" w:cs="Times New Roman"/>
          <w:sz w:val="24"/>
          <w:szCs w:val="24"/>
        </w:rPr>
        <w:t xml:space="preserve"> </w:t>
      </w:r>
    </w:p>
    <w:p w14:paraId="736EC591" w14:textId="2F3F4915" w:rsidR="00805F03" w:rsidRPr="00830ADC" w:rsidRDefault="00BF2D62" w:rsidP="006938EE">
      <w:pPr>
        <w:pStyle w:val="Akapitzlist"/>
        <w:spacing w:line="360" w:lineRule="auto"/>
        <w:ind w:left="0" w:firstLine="708"/>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t xml:space="preserve">Podkreślić </w:t>
      </w:r>
      <w:r w:rsidR="00805F03" w:rsidRPr="00830ADC">
        <w:rPr>
          <w:rFonts w:ascii="Times New Roman" w:eastAsia="Calibri" w:hAnsi="Times New Roman" w:cs="Times New Roman"/>
          <w:color w:val="000000" w:themeColor="text1"/>
          <w:sz w:val="24"/>
          <w:szCs w:val="24"/>
        </w:rPr>
        <w:t>tutaj należy wyjątkowość postępowania scaleniowego, na którym zasadza się istota projektowanej ustawy, pod względem jego rozległości przedmiotowej, jak i podmiotowej, a także skomplikowanego stanu własnościowego działek objętych scalaniem przed rozpoczęciem samego procesu scalania wynikającego z zaszłości historycznych. Postępowaniem tym objęto bowiem 49280 działek o średniej powierzchni 0.09 ha</w:t>
      </w:r>
      <w:r w:rsidR="00E00EFF" w:rsidRPr="00830ADC">
        <w:rPr>
          <w:rFonts w:ascii="Times New Roman" w:eastAsia="Calibri" w:hAnsi="Times New Roman" w:cs="Times New Roman"/>
          <w:color w:val="000000" w:themeColor="text1"/>
          <w:sz w:val="24"/>
          <w:szCs w:val="24"/>
        </w:rPr>
        <w:t xml:space="preserve">. </w:t>
      </w:r>
      <w:r w:rsidR="004A07F8" w:rsidRPr="00830ADC">
        <w:rPr>
          <w:rFonts w:ascii="Times New Roman" w:eastAsia="Calibri" w:hAnsi="Times New Roman" w:cs="Times New Roman"/>
          <w:color w:val="000000" w:themeColor="text1"/>
          <w:sz w:val="24"/>
          <w:szCs w:val="24"/>
        </w:rPr>
        <w:t xml:space="preserve">70% działek nie miało dostępu do drogi publicznej. </w:t>
      </w:r>
      <w:r w:rsidR="00E00EFF" w:rsidRPr="00830ADC">
        <w:rPr>
          <w:rFonts w:ascii="Times New Roman" w:eastAsia="Calibri" w:hAnsi="Times New Roman" w:cs="Times New Roman"/>
          <w:color w:val="000000" w:themeColor="text1"/>
          <w:sz w:val="24"/>
          <w:szCs w:val="24"/>
        </w:rPr>
        <w:t>W wyniku scalania liczbę działek ograniczono do 20431, a średnia powierzchnia działki wzrosła do 0,21 ha. W tej liczbie mieści się też 97</w:t>
      </w:r>
      <w:r w:rsidR="003F1849">
        <w:rPr>
          <w:rFonts w:ascii="Times New Roman" w:eastAsia="Calibri" w:hAnsi="Times New Roman" w:cs="Times New Roman"/>
          <w:color w:val="000000" w:themeColor="text1"/>
          <w:sz w:val="24"/>
          <w:szCs w:val="24"/>
        </w:rPr>
        <w:t>50 działek stanowiących niezmie</w:t>
      </w:r>
      <w:r w:rsidR="00E00EFF" w:rsidRPr="00830ADC">
        <w:rPr>
          <w:rFonts w:ascii="Times New Roman" w:eastAsia="Calibri" w:hAnsi="Times New Roman" w:cs="Times New Roman"/>
          <w:color w:val="000000" w:themeColor="text1"/>
          <w:sz w:val="24"/>
          <w:szCs w:val="24"/>
        </w:rPr>
        <w:t xml:space="preserve">nniki, głównie lasy. </w:t>
      </w:r>
      <w:r w:rsidR="004A07F8" w:rsidRPr="00830ADC">
        <w:rPr>
          <w:rFonts w:ascii="Times New Roman" w:eastAsia="Calibri" w:hAnsi="Times New Roman" w:cs="Times New Roman"/>
          <w:color w:val="000000" w:themeColor="text1"/>
          <w:sz w:val="24"/>
          <w:szCs w:val="24"/>
        </w:rPr>
        <w:t>Łączny obszar scalania</w:t>
      </w:r>
      <w:r w:rsidR="00B419BB" w:rsidRPr="00830ADC">
        <w:rPr>
          <w:rFonts w:ascii="Times New Roman" w:eastAsia="Calibri" w:hAnsi="Times New Roman" w:cs="Times New Roman"/>
          <w:color w:val="000000" w:themeColor="text1"/>
          <w:sz w:val="24"/>
          <w:szCs w:val="24"/>
        </w:rPr>
        <w:t>,</w:t>
      </w:r>
      <w:r w:rsidR="004A07F8" w:rsidRPr="00830ADC">
        <w:rPr>
          <w:rFonts w:ascii="Times New Roman" w:eastAsia="Calibri" w:hAnsi="Times New Roman" w:cs="Times New Roman"/>
          <w:color w:val="000000" w:themeColor="text1"/>
          <w:sz w:val="24"/>
          <w:szCs w:val="24"/>
        </w:rPr>
        <w:t xml:space="preserve"> wraz z prywatnymi lasami</w:t>
      </w:r>
      <w:r w:rsidR="00B419BB" w:rsidRPr="00830ADC">
        <w:rPr>
          <w:rFonts w:ascii="Times New Roman" w:eastAsia="Calibri" w:hAnsi="Times New Roman" w:cs="Times New Roman"/>
          <w:color w:val="000000" w:themeColor="text1"/>
          <w:sz w:val="24"/>
          <w:szCs w:val="24"/>
        </w:rPr>
        <w:t>,</w:t>
      </w:r>
      <w:r w:rsidR="004A07F8" w:rsidRPr="00830ADC">
        <w:rPr>
          <w:rFonts w:ascii="Times New Roman" w:eastAsia="Calibri" w:hAnsi="Times New Roman" w:cs="Times New Roman"/>
          <w:color w:val="000000" w:themeColor="text1"/>
          <w:sz w:val="24"/>
          <w:szCs w:val="24"/>
        </w:rPr>
        <w:t xml:space="preserve"> objął powierzchnię 4536 ha należącą do 2282 właścicieli.</w:t>
      </w:r>
    </w:p>
    <w:p w14:paraId="7F7F5121" w14:textId="69DC3085" w:rsidR="002F5D5D" w:rsidRPr="00830ADC" w:rsidRDefault="00710C45" w:rsidP="007213D2">
      <w:pPr>
        <w:spacing w:after="0" w:line="360" w:lineRule="auto"/>
        <w:ind w:right="113" w:firstLine="708"/>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t xml:space="preserve">Konsekwencją przeciągającego się </w:t>
      </w:r>
      <w:r w:rsidR="008D219B" w:rsidRPr="00830ADC">
        <w:rPr>
          <w:rFonts w:ascii="Times New Roman" w:eastAsia="Calibri" w:hAnsi="Times New Roman" w:cs="Times New Roman"/>
          <w:color w:val="000000" w:themeColor="text1"/>
          <w:sz w:val="24"/>
          <w:szCs w:val="24"/>
        </w:rPr>
        <w:t>ponad 30 lat</w:t>
      </w:r>
      <w:r w:rsidRPr="00830ADC">
        <w:rPr>
          <w:rFonts w:ascii="Times New Roman" w:eastAsia="Calibri" w:hAnsi="Times New Roman" w:cs="Times New Roman"/>
          <w:color w:val="000000" w:themeColor="text1"/>
          <w:sz w:val="24"/>
          <w:szCs w:val="24"/>
        </w:rPr>
        <w:t xml:space="preserve"> i</w:t>
      </w:r>
      <w:r w:rsidR="008D219B" w:rsidRPr="00830ADC">
        <w:rPr>
          <w:rFonts w:ascii="Times New Roman" w:eastAsia="Calibri" w:hAnsi="Times New Roman" w:cs="Times New Roman"/>
          <w:color w:val="000000" w:themeColor="text1"/>
          <w:sz w:val="24"/>
          <w:szCs w:val="24"/>
        </w:rPr>
        <w:t xml:space="preserve"> wciąż</w:t>
      </w:r>
      <w:r w:rsidRPr="00830ADC">
        <w:rPr>
          <w:rFonts w:ascii="Times New Roman" w:eastAsia="Calibri" w:hAnsi="Times New Roman" w:cs="Times New Roman"/>
          <w:color w:val="000000" w:themeColor="text1"/>
          <w:sz w:val="24"/>
          <w:szCs w:val="24"/>
        </w:rPr>
        <w:t xml:space="preserve"> niedokończonego postępowania scaleniowego jest niezadowolenie społeczne wywołane niepewnością stron co do stanu prawnego nieruchomości.</w:t>
      </w:r>
      <w:r w:rsidR="002F5D5D" w:rsidRPr="00830ADC">
        <w:rPr>
          <w:rFonts w:ascii="Times New Roman" w:eastAsia="Calibri" w:hAnsi="Times New Roman" w:cs="Times New Roman"/>
          <w:color w:val="000000" w:themeColor="text1"/>
          <w:sz w:val="24"/>
          <w:szCs w:val="24"/>
        </w:rPr>
        <w:t xml:space="preserve"> </w:t>
      </w:r>
      <w:r w:rsidRPr="00830ADC">
        <w:rPr>
          <w:rFonts w:ascii="Times New Roman" w:eastAsia="Calibri" w:hAnsi="Times New Roman" w:cs="Times New Roman"/>
          <w:color w:val="000000" w:themeColor="text1"/>
          <w:sz w:val="24"/>
          <w:szCs w:val="24"/>
        </w:rPr>
        <w:t xml:space="preserve">Należy uwypuklić kluczowe znaczenie szybkiego zakończenia postępowania umożliwiające wyeliminowane stanu niepewności prawnej, przy racjonalizacji ponoszonych przez </w:t>
      </w:r>
      <w:r w:rsidR="002F5D5D" w:rsidRPr="00830ADC">
        <w:rPr>
          <w:rFonts w:ascii="Times New Roman" w:eastAsia="Calibri" w:hAnsi="Times New Roman" w:cs="Times New Roman"/>
          <w:color w:val="000000" w:themeColor="text1"/>
          <w:sz w:val="24"/>
          <w:szCs w:val="24"/>
        </w:rPr>
        <w:t>p</w:t>
      </w:r>
      <w:r w:rsidRPr="00830ADC">
        <w:rPr>
          <w:rFonts w:ascii="Times New Roman" w:eastAsia="Calibri" w:hAnsi="Times New Roman" w:cs="Times New Roman"/>
          <w:color w:val="000000" w:themeColor="text1"/>
          <w:sz w:val="24"/>
          <w:szCs w:val="24"/>
        </w:rPr>
        <w:t xml:space="preserve">aństwo kosztów. </w:t>
      </w:r>
    </w:p>
    <w:p w14:paraId="52585C6B" w14:textId="6039E761" w:rsidR="00710C45" w:rsidRPr="00830ADC" w:rsidRDefault="002F5D5D" w:rsidP="0077121B">
      <w:pPr>
        <w:spacing w:after="0" w:line="360" w:lineRule="auto"/>
        <w:ind w:left="113" w:right="113" w:firstLine="595"/>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lastRenderedPageBreak/>
        <w:t>P</w:t>
      </w:r>
      <w:r w:rsidR="00710C45" w:rsidRPr="00830ADC">
        <w:rPr>
          <w:rFonts w:ascii="Times New Roman" w:eastAsia="Calibri" w:hAnsi="Times New Roman" w:cs="Times New Roman"/>
          <w:color w:val="000000" w:themeColor="text1"/>
          <w:sz w:val="24"/>
          <w:szCs w:val="24"/>
        </w:rPr>
        <w:t>rojekt</w:t>
      </w:r>
      <w:r w:rsidRPr="00830ADC">
        <w:rPr>
          <w:rFonts w:ascii="Times New Roman" w:eastAsia="Calibri" w:hAnsi="Times New Roman" w:cs="Times New Roman"/>
          <w:color w:val="000000" w:themeColor="text1"/>
          <w:sz w:val="24"/>
          <w:szCs w:val="24"/>
        </w:rPr>
        <w:t>owana</w:t>
      </w:r>
      <w:r w:rsidR="00710C45" w:rsidRPr="00830ADC">
        <w:rPr>
          <w:rFonts w:ascii="Times New Roman" w:eastAsia="Calibri" w:hAnsi="Times New Roman" w:cs="Times New Roman"/>
          <w:color w:val="000000" w:themeColor="text1"/>
          <w:sz w:val="24"/>
          <w:szCs w:val="24"/>
        </w:rPr>
        <w:t xml:space="preserve"> ustaw</w:t>
      </w:r>
      <w:r w:rsidRPr="00830ADC">
        <w:rPr>
          <w:rFonts w:ascii="Times New Roman" w:eastAsia="Calibri" w:hAnsi="Times New Roman" w:cs="Times New Roman"/>
          <w:color w:val="000000" w:themeColor="text1"/>
          <w:sz w:val="24"/>
          <w:szCs w:val="24"/>
        </w:rPr>
        <w:t xml:space="preserve">a </w:t>
      </w:r>
      <w:r w:rsidR="00C25F58" w:rsidRPr="00830ADC">
        <w:rPr>
          <w:rFonts w:ascii="Times New Roman" w:eastAsia="Calibri" w:hAnsi="Times New Roman" w:cs="Times New Roman"/>
          <w:color w:val="000000" w:themeColor="text1"/>
          <w:sz w:val="24"/>
          <w:szCs w:val="24"/>
        </w:rPr>
        <w:t xml:space="preserve">pozwoli na </w:t>
      </w:r>
      <w:r w:rsidR="00E00EFF" w:rsidRPr="00830ADC">
        <w:rPr>
          <w:rFonts w:ascii="Times New Roman" w:eastAsia="Calibri" w:hAnsi="Times New Roman" w:cs="Times New Roman"/>
          <w:color w:val="000000" w:themeColor="text1"/>
          <w:sz w:val="24"/>
          <w:szCs w:val="24"/>
        </w:rPr>
        <w:t>wyeliminowanie</w:t>
      </w:r>
      <w:r w:rsidR="00C25F58" w:rsidRPr="00830ADC">
        <w:rPr>
          <w:rFonts w:ascii="Times New Roman" w:eastAsia="Calibri" w:hAnsi="Times New Roman" w:cs="Times New Roman"/>
          <w:color w:val="000000" w:themeColor="text1"/>
          <w:sz w:val="24"/>
          <w:szCs w:val="24"/>
        </w:rPr>
        <w:t xml:space="preserve"> stanu niepewności prawnej w przedstawionej powyżej sytuacji, jak również w innych przypadkach tak skompl</w:t>
      </w:r>
      <w:r w:rsidR="006938EE">
        <w:rPr>
          <w:rFonts w:ascii="Times New Roman" w:eastAsia="Calibri" w:hAnsi="Times New Roman" w:cs="Times New Roman"/>
          <w:color w:val="000000" w:themeColor="text1"/>
          <w:sz w:val="24"/>
          <w:szCs w:val="24"/>
        </w:rPr>
        <w:t>ik</w:t>
      </w:r>
      <w:r w:rsidR="00C25F58" w:rsidRPr="00830ADC">
        <w:rPr>
          <w:rFonts w:ascii="Times New Roman" w:eastAsia="Calibri" w:hAnsi="Times New Roman" w:cs="Times New Roman"/>
          <w:color w:val="000000" w:themeColor="text1"/>
          <w:sz w:val="24"/>
          <w:szCs w:val="24"/>
        </w:rPr>
        <w:t>owanych i rozległych postępowań scaleniowych, w których dotychczas stosowane środki prawne okazały się niewystarczające, prowadząc do ich przewlekłego trwania i niezwykłego skomplikowania stanu prawnego oraz zróżnicowania stanu faktycznego. Osiągnięcie powyższego efektu kompleksowego</w:t>
      </w:r>
      <w:r w:rsidR="00E00EFF" w:rsidRPr="00830ADC">
        <w:rPr>
          <w:rFonts w:ascii="Times New Roman" w:eastAsia="Calibri" w:hAnsi="Times New Roman" w:cs="Times New Roman"/>
          <w:color w:val="000000" w:themeColor="text1"/>
          <w:sz w:val="24"/>
          <w:szCs w:val="24"/>
        </w:rPr>
        <w:t xml:space="preserve"> i przejrzystego</w:t>
      </w:r>
      <w:r w:rsidR="00C25F58" w:rsidRPr="00830ADC">
        <w:rPr>
          <w:rFonts w:ascii="Times New Roman" w:eastAsia="Calibri" w:hAnsi="Times New Roman" w:cs="Times New Roman"/>
          <w:color w:val="000000" w:themeColor="text1"/>
          <w:sz w:val="24"/>
          <w:szCs w:val="24"/>
        </w:rPr>
        <w:t xml:space="preserve"> rozwiązania wskazanych sytuacji będzie możliwe jedynie dzięki wprowadzeniu w życie projektowanej ustawy.</w:t>
      </w:r>
      <w:r w:rsidR="00E00EFF" w:rsidRPr="00830ADC">
        <w:rPr>
          <w:rFonts w:ascii="Times New Roman" w:eastAsia="Calibri" w:hAnsi="Times New Roman" w:cs="Times New Roman"/>
          <w:color w:val="000000" w:themeColor="text1"/>
          <w:sz w:val="24"/>
          <w:szCs w:val="24"/>
        </w:rPr>
        <w:t xml:space="preserve"> Interwencję legislacyjną uzasadnia skomplikowanie prawne i faktyczne oraz liczba podmiotów, na prawa których wpływ wywierają postępowania scaleniowe.   </w:t>
      </w:r>
    </w:p>
    <w:p w14:paraId="22DE5FA5" w14:textId="6B87D640" w:rsidR="002452E2" w:rsidRPr="00830ADC" w:rsidRDefault="007129FC" w:rsidP="00710C45">
      <w:pPr>
        <w:spacing w:after="0" w:line="360" w:lineRule="auto"/>
        <w:ind w:left="113" w:right="113" w:firstLine="595"/>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t>Projektowana ustawa określi zadania organów administracji publicznej związane z potwierdzeniem stanu prawnego nieruchomości objętych postępowaniem scaleniowym</w:t>
      </w:r>
      <w:r w:rsidR="005B5758" w:rsidRPr="00830ADC">
        <w:rPr>
          <w:rFonts w:ascii="Times New Roman" w:eastAsia="Calibri" w:hAnsi="Times New Roman" w:cs="Times New Roman"/>
          <w:color w:val="000000" w:themeColor="text1"/>
          <w:sz w:val="24"/>
          <w:szCs w:val="24"/>
        </w:rPr>
        <w:t>,</w:t>
      </w:r>
      <w:r w:rsidRPr="00830ADC">
        <w:rPr>
          <w:rFonts w:ascii="Times New Roman" w:eastAsia="Calibri" w:hAnsi="Times New Roman" w:cs="Times New Roman"/>
          <w:color w:val="000000" w:themeColor="text1"/>
          <w:sz w:val="24"/>
          <w:szCs w:val="24"/>
        </w:rPr>
        <w:t xml:space="preserve"> wszczętym na podstawie przepisów ustawy z dnia 26 marca 1982 r. o scalaniu i wymianie gruntów, na wniosek właścicieli gospodarstw rolnych lub właścicieli gruntów wsi, w stosunku do których postępowanie scaleniowe nie zostało zakończone i nie toczą się postępowania cywilne lub administracyjne mające na celu zakończenie postępowania scaleniowego albo przywrócenie stanu sprzed sporządzenia projektu scalenia gruntów, lub dla których istnieją przeszkody uniemożliwiające odtworzenie stanu sprzed sporządzenia projektu scalenia gruntów</w:t>
      </w:r>
      <w:r w:rsidR="00006156" w:rsidRPr="00830ADC">
        <w:rPr>
          <w:rFonts w:ascii="Times New Roman" w:eastAsia="Calibri" w:hAnsi="Times New Roman" w:cs="Times New Roman"/>
          <w:color w:val="000000" w:themeColor="text1"/>
          <w:sz w:val="24"/>
          <w:szCs w:val="24"/>
        </w:rPr>
        <w:t>.</w:t>
      </w:r>
      <w:r w:rsidR="00AC10D4" w:rsidRPr="00830ADC">
        <w:rPr>
          <w:rFonts w:ascii="Times New Roman" w:eastAsia="Calibri" w:hAnsi="Times New Roman" w:cs="Times New Roman"/>
          <w:color w:val="000000" w:themeColor="text1"/>
          <w:sz w:val="24"/>
          <w:szCs w:val="24"/>
        </w:rPr>
        <w:t xml:space="preserve"> Nieruchomości te zostały określone w załączniku do projektowanej ustawy przez odesłanie do decyzji scaleniowej ich dotyczącej.</w:t>
      </w:r>
    </w:p>
    <w:p w14:paraId="48081090" w14:textId="51B36892" w:rsidR="00AC10D4" w:rsidRPr="00830ADC" w:rsidRDefault="00006156" w:rsidP="001922D6">
      <w:pPr>
        <w:spacing w:after="0" w:line="360" w:lineRule="auto"/>
        <w:ind w:left="113" w:right="113" w:firstLine="595"/>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t>Zgodnie z art. 2 projektowanej ustawy, na podstawie decyzji o zatwierdzeniu projektu scalania gr</w:t>
      </w:r>
      <w:r w:rsidR="00A55AA7" w:rsidRPr="00830ADC">
        <w:rPr>
          <w:rFonts w:ascii="Times New Roman" w:eastAsia="Calibri" w:hAnsi="Times New Roman" w:cs="Times New Roman"/>
          <w:color w:val="000000" w:themeColor="text1"/>
          <w:sz w:val="24"/>
          <w:szCs w:val="24"/>
        </w:rPr>
        <w:t>untów oraz operatu scaleniowego, zostanie potwierdzony stan nieruchomości</w:t>
      </w:r>
      <w:r w:rsidR="00C25F58" w:rsidRPr="00830ADC">
        <w:rPr>
          <w:rFonts w:ascii="Times New Roman" w:eastAsia="Calibri" w:hAnsi="Times New Roman" w:cs="Times New Roman"/>
          <w:color w:val="000000" w:themeColor="text1"/>
          <w:sz w:val="24"/>
          <w:szCs w:val="24"/>
        </w:rPr>
        <w:t>, który jest</w:t>
      </w:r>
      <w:r w:rsidR="00A55AA7" w:rsidRPr="00830ADC">
        <w:rPr>
          <w:rFonts w:ascii="Times New Roman" w:eastAsia="Calibri" w:hAnsi="Times New Roman" w:cs="Times New Roman"/>
          <w:color w:val="000000" w:themeColor="text1"/>
          <w:sz w:val="24"/>
          <w:szCs w:val="24"/>
        </w:rPr>
        <w:t xml:space="preserve"> wykazany w ewidencji gruntów i budynków oraz ujawniony w księgach wieczystych. Jeżeli dla którejś z </w:t>
      </w:r>
      <w:r w:rsidR="000E1509" w:rsidRPr="00830ADC">
        <w:rPr>
          <w:rFonts w:ascii="Times New Roman" w:eastAsia="Calibri" w:hAnsi="Times New Roman" w:cs="Times New Roman"/>
          <w:color w:val="000000" w:themeColor="text1"/>
          <w:sz w:val="24"/>
          <w:szCs w:val="24"/>
        </w:rPr>
        <w:t>takich</w:t>
      </w:r>
      <w:r w:rsidR="00A55AA7" w:rsidRPr="00830ADC">
        <w:rPr>
          <w:rFonts w:ascii="Times New Roman" w:eastAsia="Calibri" w:hAnsi="Times New Roman" w:cs="Times New Roman"/>
          <w:color w:val="000000" w:themeColor="text1"/>
          <w:sz w:val="24"/>
          <w:szCs w:val="24"/>
        </w:rPr>
        <w:t xml:space="preserve"> nieruchomości nie został </w:t>
      </w:r>
      <w:r w:rsidR="000E1509" w:rsidRPr="00830ADC">
        <w:rPr>
          <w:rFonts w:ascii="Times New Roman" w:eastAsia="Calibri" w:hAnsi="Times New Roman" w:cs="Times New Roman"/>
          <w:color w:val="000000" w:themeColor="text1"/>
          <w:sz w:val="24"/>
          <w:szCs w:val="24"/>
        </w:rPr>
        <w:t xml:space="preserve">wcześniej </w:t>
      </w:r>
      <w:r w:rsidR="00A55AA7" w:rsidRPr="00830ADC">
        <w:rPr>
          <w:rFonts w:ascii="Times New Roman" w:eastAsia="Calibri" w:hAnsi="Times New Roman" w:cs="Times New Roman"/>
          <w:color w:val="000000" w:themeColor="text1"/>
          <w:sz w:val="24"/>
          <w:szCs w:val="24"/>
        </w:rPr>
        <w:t>ujawniony w księgach wieczystych stan prawny wynikający z decyzji o zatwierdzeniu projektu scalania gruntów</w:t>
      </w:r>
      <w:r w:rsidR="000E1509" w:rsidRPr="00830ADC">
        <w:rPr>
          <w:rFonts w:ascii="Times New Roman" w:eastAsia="Calibri" w:hAnsi="Times New Roman" w:cs="Times New Roman"/>
          <w:color w:val="000000" w:themeColor="text1"/>
          <w:sz w:val="24"/>
          <w:szCs w:val="24"/>
        </w:rPr>
        <w:t>,</w:t>
      </w:r>
      <w:r w:rsidR="00A55AA7" w:rsidRPr="00830ADC">
        <w:rPr>
          <w:rFonts w:ascii="Times New Roman" w:eastAsia="Calibri" w:hAnsi="Times New Roman" w:cs="Times New Roman"/>
          <w:color w:val="000000" w:themeColor="text1"/>
          <w:sz w:val="24"/>
          <w:szCs w:val="24"/>
        </w:rPr>
        <w:t xml:space="preserve"> to decyzja ta będzie stanowić podstawę do ujawnienia tego stanu. </w:t>
      </w:r>
    </w:p>
    <w:p w14:paraId="7870330F" w14:textId="382BF505" w:rsidR="001922D6" w:rsidRPr="00830ADC" w:rsidRDefault="000E1509" w:rsidP="001922D6">
      <w:pPr>
        <w:spacing w:after="0" w:line="360" w:lineRule="auto"/>
        <w:ind w:left="113" w:right="113" w:firstLine="595"/>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t>Należy zaznaczyć, że p</w:t>
      </w:r>
      <w:r w:rsidR="00A55AA7" w:rsidRPr="00830ADC">
        <w:rPr>
          <w:rFonts w:ascii="Times New Roman" w:eastAsia="Calibri" w:hAnsi="Times New Roman" w:cs="Times New Roman"/>
          <w:color w:val="000000" w:themeColor="text1"/>
          <w:sz w:val="24"/>
          <w:szCs w:val="24"/>
        </w:rPr>
        <w:t>owyższe uregulowania nie</w:t>
      </w:r>
      <w:r w:rsidRPr="00830ADC">
        <w:rPr>
          <w:rFonts w:ascii="Times New Roman" w:eastAsia="Calibri" w:hAnsi="Times New Roman" w:cs="Times New Roman"/>
          <w:color w:val="000000" w:themeColor="text1"/>
          <w:sz w:val="24"/>
          <w:szCs w:val="24"/>
        </w:rPr>
        <w:t xml:space="preserve"> będą</w:t>
      </w:r>
      <w:r w:rsidR="00A55AA7" w:rsidRPr="00830ADC">
        <w:rPr>
          <w:rFonts w:ascii="Times New Roman" w:eastAsia="Calibri" w:hAnsi="Times New Roman" w:cs="Times New Roman"/>
          <w:color w:val="000000" w:themeColor="text1"/>
          <w:sz w:val="24"/>
          <w:szCs w:val="24"/>
        </w:rPr>
        <w:t xml:space="preserve"> narusza</w:t>
      </w:r>
      <w:r w:rsidRPr="00830ADC">
        <w:rPr>
          <w:rFonts w:ascii="Times New Roman" w:eastAsia="Calibri" w:hAnsi="Times New Roman" w:cs="Times New Roman"/>
          <w:color w:val="000000" w:themeColor="text1"/>
          <w:sz w:val="24"/>
          <w:szCs w:val="24"/>
        </w:rPr>
        <w:t>ć</w:t>
      </w:r>
      <w:r w:rsidR="00A55AA7" w:rsidRPr="00830ADC">
        <w:rPr>
          <w:rFonts w:ascii="Times New Roman" w:eastAsia="Calibri" w:hAnsi="Times New Roman" w:cs="Times New Roman"/>
          <w:color w:val="000000" w:themeColor="text1"/>
          <w:sz w:val="24"/>
          <w:szCs w:val="24"/>
        </w:rPr>
        <w:t xml:space="preserve"> </w:t>
      </w:r>
      <w:r w:rsidRPr="00830ADC">
        <w:rPr>
          <w:rFonts w:ascii="Times New Roman" w:eastAsia="Calibri" w:hAnsi="Times New Roman" w:cs="Times New Roman"/>
          <w:color w:val="000000" w:themeColor="text1"/>
          <w:sz w:val="24"/>
          <w:szCs w:val="24"/>
        </w:rPr>
        <w:t xml:space="preserve">ewentualnych </w:t>
      </w:r>
      <w:r w:rsidR="00A55AA7" w:rsidRPr="00830ADC">
        <w:rPr>
          <w:rFonts w:ascii="Times New Roman" w:eastAsia="Calibri" w:hAnsi="Times New Roman" w:cs="Times New Roman"/>
          <w:color w:val="000000" w:themeColor="text1"/>
          <w:sz w:val="24"/>
          <w:szCs w:val="24"/>
        </w:rPr>
        <w:t>wpisów dokonanych w księgach wieczystych oraz zmian dokonanych w ewidencji gruntów i budynków na podstawie innej niż decyzja o zatwierdzeniu projektu scalenia gruntów i operat scaleniowy dotyczące danych nieruchomości</w:t>
      </w:r>
      <w:r w:rsidRPr="00830ADC">
        <w:rPr>
          <w:rFonts w:ascii="Times New Roman" w:eastAsia="Calibri" w:hAnsi="Times New Roman" w:cs="Times New Roman"/>
          <w:color w:val="000000" w:themeColor="text1"/>
          <w:sz w:val="24"/>
          <w:szCs w:val="24"/>
        </w:rPr>
        <w:t xml:space="preserve"> (obrót nieruchomościami, ewentualne obciążenia)</w:t>
      </w:r>
      <w:r w:rsidR="00A55AA7" w:rsidRPr="00830ADC">
        <w:rPr>
          <w:rFonts w:ascii="Times New Roman" w:eastAsia="Calibri" w:hAnsi="Times New Roman" w:cs="Times New Roman"/>
          <w:color w:val="000000" w:themeColor="text1"/>
          <w:sz w:val="24"/>
          <w:szCs w:val="24"/>
        </w:rPr>
        <w:t>.</w:t>
      </w:r>
      <w:r w:rsidR="00564CCF" w:rsidRPr="00830ADC">
        <w:rPr>
          <w:rFonts w:ascii="Times New Roman" w:eastAsia="Calibri" w:hAnsi="Times New Roman" w:cs="Times New Roman"/>
          <w:color w:val="000000" w:themeColor="text1"/>
          <w:sz w:val="24"/>
          <w:szCs w:val="24"/>
        </w:rPr>
        <w:t xml:space="preserve"> Projektowana ustawa odnosi się bowiem wyłącznie do możliwości potwierdzenia zaistniałego stanu faktycznego, który na przestrzeni lat stanowił podstawę zaistnienia określonych skutków prawnych. Jest to związane z tym, że decyzja scaleniowa nie ingeruje w prawo własności, w tym sensie, że jakkolwiek zmienia przedmiot tego </w:t>
      </w:r>
      <w:r w:rsidR="00564CCF" w:rsidRPr="00830ADC">
        <w:rPr>
          <w:rFonts w:ascii="Times New Roman" w:eastAsia="Calibri" w:hAnsi="Times New Roman" w:cs="Times New Roman"/>
          <w:color w:val="000000" w:themeColor="text1"/>
          <w:sz w:val="24"/>
          <w:szCs w:val="24"/>
        </w:rPr>
        <w:lastRenderedPageBreak/>
        <w:t>prawa, bo tworzy nowe nieruchomości, to nie narusza zakresu tego prawa</w:t>
      </w:r>
      <w:r w:rsidR="0077121B" w:rsidRPr="00830ADC">
        <w:rPr>
          <w:rFonts w:ascii="Times New Roman" w:eastAsia="Calibri" w:hAnsi="Times New Roman" w:cs="Times New Roman"/>
          <w:color w:val="000000" w:themeColor="text1"/>
          <w:sz w:val="24"/>
          <w:szCs w:val="24"/>
        </w:rPr>
        <w:t>, bo osoba wskazana w decyzji jako właściciel „nowej” działki staje się tym właścicielem tylko, jeżeli była właścicielem działek, w zamian za które została wydzielona nowa działka.</w:t>
      </w:r>
      <w:r w:rsidR="00A55AA7" w:rsidRPr="00830ADC">
        <w:rPr>
          <w:rFonts w:ascii="Times New Roman" w:eastAsia="Calibri" w:hAnsi="Times New Roman" w:cs="Times New Roman"/>
          <w:color w:val="000000" w:themeColor="text1"/>
          <w:sz w:val="24"/>
          <w:szCs w:val="24"/>
        </w:rPr>
        <w:t xml:space="preserve"> </w:t>
      </w:r>
      <w:r w:rsidR="001922D6" w:rsidRPr="00830ADC">
        <w:rPr>
          <w:rFonts w:ascii="Times New Roman" w:eastAsia="Calibri" w:hAnsi="Times New Roman" w:cs="Times New Roman"/>
          <w:color w:val="000000" w:themeColor="text1"/>
          <w:sz w:val="24"/>
          <w:szCs w:val="24"/>
        </w:rPr>
        <w:t>Decyzja</w:t>
      </w:r>
      <w:r w:rsidR="0077121B" w:rsidRPr="00830ADC">
        <w:rPr>
          <w:rFonts w:ascii="Times New Roman" w:eastAsia="Calibri" w:hAnsi="Times New Roman" w:cs="Times New Roman"/>
          <w:color w:val="000000" w:themeColor="text1"/>
          <w:sz w:val="24"/>
          <w:szCs w:val="24"/>
        </w:rPr>
        <w:t xml:space="preserve"> scaleniowa</w:t>
      </w:r>
      <w:r w:rsidR="00AC10D4" w:rsidRPr="00830ADC">
        <w:rPr>
          <w:rFonts w:ascii="Times New Roman" w:eastAsia="Calibri" w:hAnsi="Times New Roman" w:cs="Times New Roman"/>
          <w:color w:val="000000" w:themeColor="text1"/>
          <w:sz w:val="24"/>
          <w:szCs w:val="24"/>
        </w:rPr>
        <w:t>,</w:t>
      </w:r>
      <w:r w:rsidR="001922D6" w:rsidRPr="00830ADC">
        <w:rPr>
          <w:rFonts w:ascii="Times New Roman" w:eastAsia="Calibri" w:hAnsi="Times New Roman" w:cs="Times New Roman"/>
          <w:color w:val="000000" w:themeColor="text1"/>
          <w:sz w:val="24"/>
          <w:szCs w:val="24"/>
        </w:rPr>
        <w:t xml:space="preserve"> o której mowa</w:t>
      </w:r>
      <w:r w:rsidRPr="00830ADC">
        <w:rPr>
          <w:rFonts w:ascii="Times New Roman" w:eastAsia="Calibri" w:hAnsi="Times New Roman" w:cs="Times New Roman"/>
          <w:color w:val="000000" w:themeColor="text1"/>
          <w:sz w:val="24"/>
          <w:szCs w:val="24"/>
        </w:rPr>
        <w:t>,</w:t>
      </w:r>
      <w:r w:rsidR="001922D6" w:rsidRPr="00830ADC">
        <w:rPr>
          <w:rFonts w:ascii="Times New Roman" w:eastAsia="Calibri" w:hAnsi="Times New Roman" w:cs="Times New Roman"/>
          <w:color w:val="000000" w:themeColor="text1"/>
          <w:sz w:val="24"/>
          <w:szCs w:val="24"/>
        </w:rPr>
        <w:t xml:space="preserve"> zostanie podana do wiadomości publicznej przez jej zamieszczenie w Biuletynie Informacji Publicznej na stronie podmiotowej urzędu obsługującego wójta </w:t>
      </w:r>
      <w:r w:rsidRPr="00830ADC">
        <w:rPr>
          <w:rFonts w:ascii="Times New Roman" w:eastAsia="Calibri" w:hAnsi="Times New Roman" w:cs="Times New Roman"/>
          <w:color w:val="000000" w:themeColor="text1"/>
          <w:sz w:val="24"/>
          <w:szCs w:val="24"/>
        </w:rPr>
        <w:t xml:space="preserve">właściwego </w:t>
      </w:r>
      <w:r w:rsidR="0035242E">
        <w:rPr>
          <w:rFonts w:ascii="Times New Roman" w:eastAsia="Calibri" w:hAnsi="Times New Roman" w:cs="Times New Roman"/>
          <w:color w:val="000000" w:themeColor="text1"/>
          <w:sz w:val="24"/>
          <w:szCs w:val="24"/>
        </w:rPr>
        <w:t xml:space="preserve">ze względu na miejsce położenia nieruchomości, </w:t>
      </w:r>
      <w:r w:rsidR="001922D6" w:rsidRPr="00830ADC">
        <w:rPr>
          <w:rFonts w:ascii="Times New Roman" w:eastAsia="Calibri" w:hAnsi="Times New Roman" w:cs="Times New Roman"/>
          <w:color w:val="000000" w:themeColor="text1"/>
          <w:sz w:val="24"/>
          <w:szCs w:val="24"/>
        </w:rPr>
        <w:t>przez okres 6 miesięcy.</w:t>
      </w:r>
      <w:r w:rsidR="00564CCF" w:rsidRPr="00830ADC">
        <w:rPr>
          <w:rFonts w:ascii="Times New Roman" w:eastAsia="Calibri" w:hAnsi="Times New Roman" w:cs="Times New Roman"/>
          <w:color w:val="000000" w:themeColor="text1"/>
          <w:sz w:val="24"/>
          <w:szCs w:val="24"/>
        </w:rPr>
        <w:t xml:space="preserve"> Zapewni to możliwość powszechnego zapoznania się z jej warunkami, natomiast nie zastępuje obowiązujących w stosunku do takiej decyzji warunków jej ogłoszenia stronom postępowania wynikającym z przepisów o scalaniu i wymianie gruntów.</w:t>
      </w:r>
      <w:r w:rsidR="001922D6" w:rsidRPr="00830ADC">
        <w:rPr>
          <w:rFonts w:ascii="Times New Roman" w:eastAsia="Calibri" w:hAnsi="Times New Roman" w:cs="Times New Roman"/>
          <w:color w:val="000000" w:themeColor="text1"/>
          <w:sz w:val="24"/>
          <w:szCs w:val="24"/>
        </w:rPr>
        <w:t xml:space="preserve"> Ponadto </w:t>
      </w:r>
      <w:r w:rsidR="00AC10D4" w:rsidRPr="00830ADC">
        <w:rPr>
          <w:rFonts w:ascii="Times New Roman" w:eastAsia="Calibri" w:hAnsi="Times New Roman" w:cs="Times New Roman"/>
          <w:color w:val="000000" w:themeColor="text1"/>
          <w:sz w:val="24"/>
          <w:szCs w:val="24"/>
        </w:rPr>
        <w:t>w</w:t>
      </w:r>
      <w:r w:rsidR="001922D6" w:rsidRPr="00830ADC">
        <w:rPr>
          <w:rFonts w:ascii="Times New Roman" w:eastAsia="Calibri" w:hAnsi="Times New Roman" w:cs="Times New Roman"/>
          <w:color w:val="000000" w:themeColor="text1"/>
          <w:sz w:val="24"/>
          <w:szCs w:val="24"/>
        </w:rPr>
        <w:t xml:space="preserve">ójt będzie uprawniony do wydania, na wniosek właściciela nieruchomości, zaświadczenia potwierdzającego stan prawny nieruchomości. </w:t>
      </w:r>
      <w:r w:rsidR="00564CCF" w:rsidRPr="00830ADC">
        <w:rPr>
          <w:rFonts w:ascii="Times New Roman" w:eastAsia="Calibri" w:hAnsi="Times New Roman" w:cs="Times New Roman"/>
          <w:color w:val="000000" w:themeColor="text1"/>
          <w:sz w:val="24"/>
          <w:szCs w:val="24"/>
        </w:rPr>
        <w:t>Zaświadczenie to ma, w myśl projektowanej ustawy, wyłącznie charakter deklaratoryjny, dlatego też nie jest celowe</w:t>
      </w:r>
      <w:r w:rsidR="0077121B" w:rsidRPr="00830ADC">
        <w:rPr>
          <w:rFonts w:ascii="Times New Roman" w:eastAsia="Calibri" w:hAnsi="Times New Roman" w:cs="Times New Roman"/>
          <w:color w:val="000000" w:themeColor="text1"/>
          <w:sz w:val="24"/>
          <w:szCs w:val="24"/>
        </w:rPr>
        <w:t xml:space="preserve"> jego obligatoryjne wydawanie, co jest korzystne z punktu widzenia ekonomiki postępowania i ograniczania jego kosztów. </w:t>
      </w:r>
    </w:p>
    <w:p w14:paraId="24E90EB6" w14:textId="1095EE8E" w:rsidR="004405C8" w:rsidRPr="00830ADC" w:rsidRDefault="00CC54EB" w:rsidP="001922D6">
      <w:pPr>
        <w:spacing w:after="0" w:line="360" w:lineRule="auto"/>
        <w:ind w:left="113" w:right="113" w:firstLine="595"/>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t>Wejście w życie projektowanej ustawy</w:t>
      </w:r>
      <w:r w:rsidR="004405C8" w:rsidRPr="00830ADC">
        <w:rPr>
          <w:rFonts w:ascii="Times New Roman" w:eastAsia="Calibri" w:hAnsi="Times New Roman" w:cs="Times New Roman"/>
          <w:color w:val="000000" w:themeColor="text1"/>
          <w:sz w:val="24"/>
          <w:szCs w:val="24"/>
        </w:rPr>
        <w:t>, a tym samym usunięcie skutków wadliwych decyzji i przeciągających się postępowań scaleniowych jest długo oczekiwanym przez uczestników postępowań krokiem. B</w:t>
      </w:r>
      <w:r w:rsidRPr="00830ADC">
        <w:rPr>
          <w:rFonts w:ascii="Times New Roman" w:eastAsia="Calibri" w:hAnsi="Times New Roman" w:cs="Times New Roman"/>
          <w:color w:val="000000" w:themeColor="text1"/>
          <w:sz w:val="24"/>
          <w:szCs w:val="24"/>
        </w:rPr>
        <w:t xml:space="preserve">ędzie </w:t>
      </w:r>
      <w:r w:rsidR="004405C8" w:rsidRPr="00830ADC">
        <w:rPr>
          <w:rFonts w:ascii="Times New Roman" w:eastAsia="Calibri" w:hAnsi="Times New Roman" w:cs="Times New Roman"/>
          <w:color w:val="000000" w:themeColor="text1"/>
          <w:sz w:val="24"/>
          <w:szCs w:val="24"/>
        </w:rPr>
        <w:t xml:space="preserve">to </w:t>
      </w:r>
      <w:r w:rsidRPr="00830ADC">
        <w:rPr>
          <w:rFonts w:ascii="Times New Roman" w:eastAsia="Calibri" w:hAnsi="Times New Roman" w:cs="Times New Roman"/>
          <w:color w:val="000000" w:themeColor="text1"/>
          <w:sz w:val="24"/>
          <w:szCs w:val="24"/>
        </w:rPr>
        <w:t xml:space="preserve">skutkowało przyspieszeniem </w:t>
      </w:r>
      <w:r w:rsidR="00397499" w:rsidRPr="00830ADC">
        <w:rPr>
          <w:rFonts w:ascii="Times New Roman" w:eastAsia="Calibri" w:hAnsi="Times New Roman" w:cs="Times New Roman"/>
          <w:color w:val="000000" w:themeColor="text1"/>
          <w:sz w:val="24"/>
          <w:szCs w:val="24"/>
        </w:rPr>
        <w:t xml:space="preserve">zakończenia </w:t>
      </w:r>
      <w:r w:rsidR="004405C8" w:rsidRPr="00830ADC">
        <w:rPr>
          <w:rFonts w:ascii="Times New Roman" w:eastAsia="Calibri" w:hAnsi="Times New Roman" w:cs="Times New Roman"/>
          <w:color w:val="000000" w:themeColor="text1"/>
          <w:sz w:val="24"/>
          <w:szCs w:val="24"/>
        </w:rPr>
        <w:t>procesów scaleniowych i tym samym u</w:t>
      </w:r>
      <w:r w:rsidR="00397499" w:rsidRPr="00830ADC">
        <w:rPr>
          <w:rFonts w:ascii="Times New Roman" w:eastAsia="Calibri" w:hAnsi="Times New Roman" w:cs="Times New Roman"/>
          <w:color w:val="000000" w:themeColor="text1"/>
          <w:sz w:val="24"/>
          <w:szCs w:val="24"/>
        </w:rPr>
        <w:t>regulowanie</w:t>
      </w:r>
      <w:r w:rsidR="004405C8" w:rsidRPr="00830ADC">
        <w:rPr>
          <w:rFonts w:ascii="Times New Roman" w:eastAsia="Calibri" w:hAnsi="Times New Roman" w:cs="Times New Roman"/>
          <w:color w:val="000000" w:themeColor="text1"/>
          <w:sz w:val="24"/>
          <w:szCs w:val="24"/>
        </w:rPr>
        <w:t>m</w:t>
      </w:r>
      <w:r w:rsidR="00397499" w:rsidRPr="00830ADC">
        <w:rPr>
          <w:rFonts w:ascii="Times New Roman" w:eastAsia="Calibri" w:hAnsi="Times New Roman" w:cs="Times New Roman"/>
          <w:color w:val="000000" w:themeColor="text1"/>
          <w:sz w:val="24"/>
          <w:szCs w:val="24"/>
        </w:rPr>
        <w:t xml:space="preserve"> stanu prawnego nieruchomości objętych scaleniem wszczętym </w:t>
      </w:r>
      <w:r w:rsidR="00832B44" w:rsidRPr="00830ADC">
        <w:rPr>
          <w:rFonts w:ascii="Times New Roman" w:eastAsia="Calibri" w:hAnsi="Times New Roman" w:cs="Times New Roman"/>
          <w:color w:val="000000" w:themeColor="text1"/>
          <w:sz w:val="24"/>
          <w:szCs w:val="24"/>
        </w:rPr>
        <w:t>przed laty</w:t>
      </w:r>
      <w:r w:rsidR="0077121B" w:rsidRPr="00830ADC">
        <w:rPr>
          <w:rFonts w:ascii="Times New Roman" w:eastAsia="Calibri" w:hAnsi="Times New Roman" w:cs="Times New Roman"/>
          <w:color w:val="000000" w:themeColor="text1"/>
          <w:sz w:val="24"/>
          <w:szCs w:val="24"/>
        </w:rPr>
        <w:t>,</w:t>
      </w:r>
      <w:r w:rsidR="00397499" w:rsidRPr="00830ADC">
        <w:rPr>
          <w:rFonts w:ascii="Times New Roman" w:eastAsia="Calibri" w:hAnsi="Times New Roman" w:cs="Times New Roman"/>
          <w:color w:val="000000" w:themeColor="text1"/>
          <w:sz w:val="24"/>
          <w:szCs w:val="24"/>
        </w:rPr>
        <w:t xml:space="preserve"> </w:t>
      </w:r>
      <w:r w:rsidR="004405C8" w:rsidRPr="00830ADC">
        <w:rPr>
          <w:rFonts w:ascii="Times New Roman" w:eastAsia="Calibri" w:hAnsi="Times New Roman" w:cs="Times New Roman"/>
          <w:color w:val="000000" w:themeColor="text1"/>
          <w:sz w:val="24"/>
          <w:szCs w:val="24"/>
        </w:rPr>
        <w:t xml:space="preserve">co z kolei </w:t>
      </w:r>
      <w:r w:rsidR="00397499" w:rsidRPr="00830ADC">
        <w:rPr>
          <w:rFonts w:ascii="Times New Roman" w:eastAsia="Calibri" w:hAnsi="Times New Roman" w:cs="Times New Roman"/>
          <w:color w:val="000000" w:themeColor="text1"/>
          <w:sz w:val="24"/>
          <w:szCs w:val="24"/>
        </w:rPr>
        <w:t xml:space="preserve">wyeliminuje stan niepewności prawnej </w:t>
      </w:r>
      <w:r w:rsidR="0077121B" w:rsidRPr="00830ADC">
        <w:rPr>
          <w:rFonts w:ascii="Times New Roman" w:eastAsia="Calibri" w:hAnsi="Times New Roman" w:cs="Times New Roman"/>
          <w:color w:val="000000" w:themeColor="text1"/>
          <w:sz w:val="24"/>
          <w:szCs w:val="24"/>
        </w:rPr>
        <w:t>w odniesieniu do takich nieruchomości</w:t>
      </w:r>
      <w:r w:rsidR="00397499" w:rsidRPr="00830ADC">
        <w:rPr>
          <w:rFonts w:ascii="Times New Roman" w:eastAsia="Calibri" w:hAnsi="Times New Roman" w:cs="Times New Roman"/>
          <w:color w:val="000000" w:themeColor="text1"/>
          <w:sz w:val="24"/>
          <w:szCs w:val="24"/>
        </w:rPr>
        <w:t>. Będzie to miało zasadnicze przełożenie na nastroje społeczne</w:t>
      </w:r>
      <w:r w:rsidR="005B5758" w:rsidRPr="00830ADC">
        <w:rPr>
          <w:rFonts w:ascii="Times New Roman" w:eastAsia="Calibri" w:hAnsi="Times New Roman" w:cs="Times New Roman"/>
          <w:color w:val="000000" w:themeColor="text1"/>
          <w:sz w:val="24"/>
          <w:szCs w:val="24"/>
        </w:rPr>
        <w:t>,</w:t>
      </w:r>
      <w:r w:rsidR="00397499" w:rsidRPr="00830ADC">
        <w:rPr>
          <w:rFonts w:ascii="Times New Roman" w:eastAsia="Calibri" w:hAnsi="Times New Roman" w:cs="Times New Roman"/>
          <w:color w:val="000000" w:themeColor="text1"/>
          <w:sz w:val="24"/>
          <w:szCs w:val="24"/>
        </w:rPr>
        <w:t xml:space="preserve"> powodując ich uspokojenie</w:t>
      </w:r>
      <w:r w:rsidRPr="00830ADC">
        <w:rPr>
          <w:rFonts w:ascii="Times New Roman" w:eastAsia="Calibri" w:hAnsi="Times New Roman" w:cs="Times New Roman"/>
          <w:color w:val="000000" w:themeColor="text1"/>
          <w:sz w:val="24"/>
          <w:szCs w:val="24"/>
        </w:rPr>
        <w:t xml:space="preserve">. W dużej mierze wpłynie </w:t>
      </w:r>
      <w:r w:rsidR="0077121B" w:rsidRPr="00830ADC">
        <w:rPr>
          <w:rFonts w:ascii="Times New Roman" w:eastAsia="Calibri" w:hAnsi="Times New Roman" w:cs="Times New Roman"/>
          <w:color w:val="000000" w:themeColor="text1"/>
          <w:sz w:val="24"/>
          <w:szCs w:val="24"/>
        </w:rPr>
        <w:t xml:space="preserve">również </w:t>
      </w:r>
      <w:r w:rsidRPr="00830ADC">
        <w:rPr>
          <w:rFonts w:ascii="Times New Roman" w:eastAsia="Calibri" w:hAnsi="Times New Roman" w:cs="Times New Roman"/>
          <w:color w:val="000000" w:themeColor="text1"/>
          <w:sz w:val="24"/>
          <w:szCs w:val="24"/>
        </w:rPr>
        <w:t xml:space="preserve">pozytywnie na postrzeganie przez obywateli systemu prawa i ich zaufania do organów administracji publicznej. Ponadto rozwiązanie </w:t>
      </w:r>
      <w:r w:rsidR="005A5D09" w:rsidRPr="00830ADC">
        <w:rPr>
          <w:rFonts w:ascii="Times New Roman" w:eastAsia="Calibri" w:hAnsi="Times New Roman" w:cs="Times New Roman"/>
          <w:color w:val="000000" w:themeColor="text1"/>
          <w:sz w:val="24"/>
          <w:szCs w:val="24"/>
        </w:rPr>
        <w:t xml:space="preserve">powyższej </w:t>
      </w:r>
      <w:r w:rsidRPr="00830ADC">
        <w:rPr>
          <w:rFonts w:ascii="Times New Roman" w:eastAsia="Calibri" w:hAnsi="Times New Roman" w:cs="Times New Roman"/>
          <w:color w:val="000000" w:themeColor="text1"/>
          <w:sz w:val="24"/>
          <w:szCs w:val="24"/>
        </w:rPr>
        <w:t>sytuacji przyniesie możliwe</w:t>
      </w:r>
      <w:r w:rsidR="00397499" w:rsidRPr="00830ADC">
        <w:rPr>
          <w:rFonts w:ascii="Times New Roman" w:eastAsia="Calibri" w:hAnsi="Times New Roman" w:cs="Times New Roman"/>
          <w:color w:val="000000" w:themeColor="text1"/>
          <w:sz w:val="24"/>
          <w:szCs w:val="24"/>
        </w:rPr>
        <w:t xml:space="preserve"> pozytywne</w:t>
      </w:r>
      <w:r w:rsidRPr="00830ADC">
        <w:rPr>
          <w:rFonts w:ascii="Times New Roman" w:eastAsia="Calibri" w:hAnsi="Times New Roman" w:cs="Times New Roman"/>
          <w:color w:val="000000" w:themeColor="text1"/>
          <w:sz w:val="24"/>
          <w:szCs w:val="24"/>
        </w:rPr>
        <w:t xml:space="preserve"> korzyści inwestycyjne</w:t>
      </w:r>
      <w:r w:rsidR="00397499" w:rsidRPr="00830ADC">
        <w:rPr>
          <w:rFonts w:ascii="Times New Roman" w:eastAsia="Calibri" w:hAnsi="Times New Roman" w:cs="Times New Roman"/>
          <w:color w:val="000000" w:themeColor="text1"/>
          <w:sz w:val="24"/>
          <w:szCs w:val="24"/>
        </w:rPr>
        <w:t xml:space="preserve"> i gospodarcze</w:t>
      </w:r>
      <w:r w:rsidRPr="00830ADC">
        <w:rPr>
          <w:rFonts w:ascii="Times New Roman" w:eastAsia="Calibri" w:hAnsi="Times New Roman" w:cs="Times New Roman"/>
          <w:color w:val="000000" w:themeColor="text1"/>
          <w:sz w:val="24"/>
          <w:szCs w:val="24"/>
        </w:rPr>
        <w:t xml:space="preserve"> </w:t>
      </w:r>
      <w:r w:rsidR="00832B44" w:rsidRPr="00830ADC">
        <w:rPr>
          <w:rFonts w:ascii="Times New Roman" w:eastAsia="Calibri" w:hAnsi="Times New Roman" w:cs="Times New Roman"/>
          <w:color w:val="000000" w:themeColor="text1"/>
          <w:sz w:val="24"/>
          <w:szCs w:val="24"/>
        </w:rPr>
        <w:t>w poszczególnych regionach</w:t>
      </w:r>
      <w:r w:rsidRPr="00830ADC">
        <w:rPr>
          <w:rFonts w:ascii="Times New Roman" w:eastAsia="Calibri" w:hAnsi="Times New Roman" w:cs="Times New Roman"/>
          <w:color w:val="000000" w:themeColor="text1"/>
          <w:sz w:val="24"/>
          <w:szCs w:val="24"/>
        </w:rPr>
        <w:t>.</w:t>
      </w:r>
      <w:r w:rsidR="0077121B" w:rsidRPr="00830ADC">
        <w:rPr>
          <w:rFonts w:ascii="Times New Roman" w:eastAsia="Calibri" w:hAnsi="Times New Roman" w:cs="Times New Roman"/>
          <w:color w:val="000000" w:themeColor="text1"/>
          <w:sz w:val="24"/>
          <w:szCs w:val="24"/>
        </w:rPr>
        <w:t xml:space="preserve"> Należy bowiem podkreślić, że </w:t>
      </w:r>
      <w:r w:rsidR="007E4570" w:rsidRPr="00830ADC">
        <w:rPr>
          <w:rFonts w:ascii="Times New Roman" w:eastAsia="Calibri" w:hAnsi="Times New Roman" w:cs="Times New Roman"/>
          <w:color w:val="000000" w:themeColor="text1"/>
          <w:sz w:val="24"/>
          <w:szCs w:val="24"/>
        </w:rPr>
        <w:t>konsekwencje wynikające z takiego przebiegu postępowania scaleniowego, jak przedstawiono powyżej</w:t>
      </w:r>
      <w:r w:rsidR="005A5D09" w:rsidRPr="00830ADC">
        <w:rPr>
          <w:rFonts w:ascii="Times New Roman" w:eastAsia="Calibri" w:hAnsi="Times New Roman" w:cs="Times New Roman"/>
          <w:color w:val="000000" w:themeColor="text1"/>
          <w:sz w:val="24"/>
          <w:szCs w:val="24"/>
        </w:rPr>
        <w:t>,</w:t>
      </w:r>
      <w:r w:rsidR="007E4570" w:rsidRPr="00830ADC">
        <w:rPr>
          <w:rFonts w:ascii="Times New Roman" w:eastAsia="Calibri" w:hAnsi="Times New Roman" w:cs="Times New Roman"/>
          <w:color w:val="000000" w:themeColor="text1"/>
          <w:sz w:val="24"/>
          <w:szCs w:val="24"/>
        </w:rPr>
        <w:t xml:space="preserve"> dotyczą obszaru praktycznie całej wsi, a więc są rozległe</w:t>
      </w:r>
      <w:r w:rsidR="00E270D5" w:rsidRPr="00830ADC">
        <w:rPr>
          <w:rFonts w:ascii="Times New Roman" w:eastAsia="Calibri" w:hAnsi="Times New Roman" w:cs="Times New Roman"/>
          <w:color w:val="000000" w:themeColor="text1"/>
          <w:sz w:val="24"/>
          <w:szCs w:val="24"/>
        </w:rPr>
        <w:t xml:space="preserve"> terytorialnie i dotyczą szerokiego kręgu podmiotów. </w:t>
      </w:r>
      <w:r w:rsidR="007E4570" w:rsidRPr="00830ADC">
        <w:rPr>
          <w:rFonts w:ascii="Times New Roman" w:eastAsia="Calibri" w:hAnsi="Times New Roman" w:cs="Times New Roman"/>
          <w:color w:val="000000" w:themeColor="text1"/>
          <w:sz w:val="24"/>
          <w:szCs w:val="24"/>
        </w:rPr>
        <w:t xml:space="preserve"> </w:t>
      </w:r>
    </w:p>
    <w:p w14:paraId="2A676122" w14:textId="4955F0AA" w:rsidR="003F00DF" w:rsidRPr="003F00DF" w:rsidRDefault="00CC54EB" w:rsidP="003F00DF">
      <w:pPr>
        <w:pStyle w:val="ARTartustawynprozporzdzenia"/>
      </w:pPr>
      <w:r w:rsidRPr="00830ADC">
        <w:rPr>
          <w:rFonts w:ascii="Times New Roman" w:eastAsia="Calibri" w:hAnsi="Times New Roman" w:cs="Times New Roman"/>
          <w:color w:val="000000" w:themeColor="text1"/>
          <w:szCs w:val="24"/>
        </w:rPr>
        <w:t xml:space="preserve">Projektowana ustawa </w:t>
      </w:r>
      <w:r w:rsidR="00546649" w:rsidRPr="00830ADC">
        <w:rPr>
          <w:rFonts w:ascii="Times New Roman" w:eastAsia="Calibri" w:hAnsi="Times New Roman" w:cs="Times New Roman"/>
          <w:color w:val="000000" w:themeColor="text1"/>
          <w:szCs w:val="24"/>
        </w:rPr>
        <w:t>przewiduje, że osobom poszkodo</w:t>
      </w:r>
      <w:r w:rsidR="00E270D5" w:rsidRPr="00830ADC">
        <w:rPr>
          <w:rFonts w:ascii="Times New Roman" w:eastAsia="Calibri" w:hAnsi="Times New Roman" w:cs="Times New Roman"/>
          <w:color w:val="000000" w:themeColor="text1"/>
          <w:szCs w:val="24"/>
        </w:rPr>
        <w:t>w</w:t>
      </w:r>
      <w:r w:rsidR="00546649" w:rsidRPr="00830ADC">
        <w:rPr>
          <w:rFonts w:ascii="Times New Roman" w:eastAsia="Calibri" w:hAnsi="Times New Roman" w:cs="Times New Roman"/>
          <w:color w:val="000000" w:themeColor="text1"/>
          <w:szCs w:val="24"/>
        </w:rPr>
        <w:t>a</w:t>
      </w:r>
      <w:r w:rsidR="00E270D5" w:rsidRPr="00830ADC">
        <w:rPr>
          <w:rFonts w:ascii="Times New Roman" w:eastAsia="Calibri" w:hAnsi="Times New Roman" w:cs="Times New Roman"/>
          <w:color w:val="000000" w:themeColor="text1"/>
          <w:szCs w:val="24"/>
        </w:rPr>
        <w:t>nym wskutek wykonania wskazanej decyzji scaleniowej przy</w:t>
      </w:r>
      <w:r w:rsidR="005A5D09" w:rsidRPr="00830ADC">
        <w:rPr>
          <w:rFonts w:ascii="Times New Roman" w:eastAsia="Calibri" w:hAnsi="Times New Roman" w:cs="Times New Roman"/>
          <w:color w:val="000000" w:themeColor="text1"/>
          <w:szCs w:val="24"/>
        </w:rPr>
        <w:t>s</w:t>
      </w:r>
      <w:r w:rsidR="00E270D5" w:rsidRPr="00830ADC">
        <w:rPr>
          <w:rFonts w:ascii="Times New Roman" w:eastAsia="Calibri" w:hAnsi="Times New Roman" w:cs="Times New Roman"/>
          <w:color w:val="000000" w:themeColor="text1"/>
          <w:szCs w:val="24"/>
        </w:rPr>
        <w:t>ług</w:t>
      </w:r>
      <w:r w:rsidR="00205DDD" w:rsidRPr="00830ADC">
        <w:rPr>
          <w:rFonts w:ascii="Times New Roman" w:eastAsia="Calibri" w:hAnsi="Times New Roman" w:cs="Times New Roman"/>
          <w:color w:val="000000" w:themeColor="text1"/>
          <w:szCs w:val="24"/>
        </w:rPr>
        <w:t>uj</w:t>
      </w:r>
      <w:r w:rsidR="00E270D5" w:rsidRPr="00830ADC">
        <w:rPr>
          <w:rFonts w:ascii="Times New Roman" w:eastAsia="Calibri" w:hAnsi="Times New Roman" w:cs="Times New Roman"/>
          <w:color w:val="000000" w:themeColor="text1"/>
          <w:szCs w:val="24"/>
        </w:rPr>
        <w:t xml:space="preserve">e odszkodowanie na zasadach ogólnych, zgodnie z przepisami Kodeksu cywilnego. Rozwiązanie takie zapewnia osobom poszkodowanym możliwość dochodzenia swoich roszczeń, a jednocześnie pozwala na ostateczne zakończenie postępowania scaleniowego na gruncie administracyjnym. W związku z powyższym wejście w życie projektowanej ustawy może </w:t>
      </w:r>
      <w:r w:rsidRPr="00830ADC">
        <w:rPr>
          <w:rFonts w:ascii="Times New Roman" w:eastAsia="Calibri" w:hAnsi="Times New Roman" w:cs="Times New Roman"/>
          <w:color w:val="000000" w:themeColor="text1"/>
          <w:szCs w:val="24"/>
        </w:rPr>
        <w:t>wywoła</w:t>
      </w:r>
      <w:r w:rsidR="00E270D5" w:rsidRPr="00830ADC">
        <w:rPr>
          <w:rFonts w:ascii="Times New Roman" w:eastAsia="Calibri" w:hAnsi="Times New Roman" w:cs="Times New Roman"/>
          <w:color w:val="000000" w:themeColor="text1"/>
          <w:szCs w:val="24"/>
        </w:rPr>
        <w:t>ć</w:t>
      </w:r>
      <w:r w:rsidRPr="00830ADC">
        <w:rPr>
          <w:rFonts w:ascii="Times New Roman" w:eastAsia="Calibri" w:hAnsi="Times New Roman" w:cs="Times New Roman"/>
          <w:color w:val="000000" w:themeColor="text1"/>
          <w:szCs w:val="24"/>
        </w:rPr>
        <w:t xml:space="preserve"> skutki finansowe dla Skarbu Państwa w </w:t>
      </w:r>
      <w:r w:rsidRPr="00830ADC">
        <w:rPr>
          <w:rFonts w:ascii="Times New Roman" w:eastAsia="Calibri" w:hAnsi="Times New Roman" w:cs="Times New Roman"/>
          <w:color w:val="000000" w:themeColor="text1"/>
          <w:szCs w:val="24"/>
        </w:rPr>
        <w:lastRenderedPageBreak/>
        <w:t>zakresie możliwych postępo</w:t>
      </w:r>
      <w:r w:rsidR="00397499" w:rsidRPr="00830ADC">
        <w:rPr>
          <w:rFonts w:ascii="Times New Roman" w:eastAsia="Calibri" w:hAnsi="Times New Roman" w:cs="Times New Roman"/>
          <w:color w:val="000000" w:themeColor="text1"/>
          <w:szCs w:val="24"/>
        </w:rPr>
        <w:t>wań odszkodowawczych</w:t>
      </w:r>
      <w:r w:rsidR="00E270D5" w:rsidRPr="00830ADC">
        <w:rPr>
          <w:rFonts w:ascii="Times New Roman" w:eastAsia="Calibri" w:hAnsi="Times New Roman" w:cs="Times New Roman"/>
          <w:color w:val="000000" w:themeColor="text1"/>
          <w:szCs w:val="24"/>
        </w:rPr>
        <w:t xml:space="preserve">. Brak jest jednak obecnie wystarczających danych pozwalających na oszacowanie takich potencjalnych kosztów.  </w:t>
      </w:r>
      <w:r w:rsidR="003F00DF" w:rsidRPr="003F00DF">
        <w:t xml:space="preserve">Wejście w życie proponowanych zmian nie spowoduje skutków finansowych dla budżetów jednostek samorządu terytorialnego. </w:t>
      </w:r>
    </w:p>
    <w:p w14:paraId="64CE61EE" w14:textId="5B062706" w:rsidR="004405C8" w:rsidRPr="00830ADC" w:rsidRDefault="004405C8" w:rsidP="004405C8">
      <w:pPr>
        <w:spacing w:after="0" w:line="360" w:lineRule="auto"/>
        <w:ind w:right="113" w:firstLine="708"/>
        <w:jc w:val="both"/>
        <w:rPr>
          <w:rFonts w:ascii="Times New Roman" w:eastAsia="Calibri" w:hAnsi="Times New Roman" w:cs="Times New Roman"/>
          <w:color w:val="000000" w:themeColor="text1"/>
          <w:sz w:val="24"/>
          <w:szCs w:val="24"/>
        </w:rPr>
      </w:pPr>
    </w:p>
    <w:p w14:paraId="5C8FDCCC" w14:textId="77777777" w:rsidR="00CC54EB" w:rsidRPr="00830ADC" w:rsidRDefault="00397499" w:rsidP="004405C8">
      <w:pPr>
        <w:spacing w:after="0" w:line="360" w:lineRule="auto"/>
        <w:ind w:right="113" w:firstLine="708"/>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t xml:space="preserve"> </w:t>
      </w:r>
    </w:p>
    <w:p w14:paraId="74CDF934" w14:textId="7F86CA67" w:rsidR="00CC54EB" w:rsidRPr="00830ADC" w:rsidRDefault="00CC54EB" w:rsidP="00973020">
      <w:pPr>
        <w:spacing w:after="0" w:line="360" w:lineRule="auto"/>
        <w:ind w:right="113" w:firstLine="708"/>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t xml:space="preserve">Projekt </w:t>
      </w:r>
      <w:r w:rsidR="00154394" w:rsidRPr="00830ADC">
        <w:rPr>
          <w:rFonts w:ascii="Times New Roman" w:eastAsia="Calibri" w:hAnsi="Times New Roman" w:cs="Times New Roman"/>
          <w:color w:val="000000" w:themeColor="text1"/>
          <w:sz w:val="24"/>
          <w:szCs w:val="24"/>
        </w:rPr>
        <w:t>ustawy</w:t>
      </w:r>
      <w:r w:rsidRPr="00830ADC">
        <w:rPr>
          <w:rFonts w:ascii="Times New Roman" w:eastAsia="Calibri" w:hAnsi="Times New Roman" w:cs="Times New Roman"/>
          <w:color w:val="000000" w:themeColor="text1"/>
          <w:sz w:val="24"/>
          <w:szCs w:val="24"/>
        </w:rPr>
        <w:t xml:space="preserve"> </w:t>
      </w:r>
      <w:r w:rsidR="002363A9" w:rsidRPr="00830ADC">
        <w:rPr>
          <w:rFonts w:ascii="Times New Roman" w:eastAsia="Calibri" w:hAnsi="Times New Roman" w:cs="Times New Roman"/>
          <w:color w:val="000000" w:themeColor="text1"/>
          <w:sz w:val="24"/>
          <w:szCs w:val="24"/>
        </w:rPr>
        <w:t>nie zawiera norm krajowych, przepisów technicznych oraz przepisów dotyczących usług, w rozumieniu</w:t>
      </w:r>
      <w:r w:rsidR="002363A9" w:rsidRPr="00830ADC">
        <w:rPr>
          <w:rFonts w:ascii="Times New Roman" w:hAnsi="Times New Roman" w:cs="Times New Roman"/>
          <w:sz w:val="24"/>
          <w:szCs w:val="24"/>
        </w:rPr>
        <w:t xml:space="preserve">  </w:t>
      </w:r>
      <w:r w:rsidRPr="00830ADC">
        <w:rPr>
          <w:rFonts w:ascii="Times New Roman" w:eastAsia="Calibri" w:hAnsi="Times New Roman" w:cs="Times New Roman"/>
          <w:color w:val="000000" w:themeColor="text1"/>
          <w:sz w:val="24"/>
          <w:szCs w:val="24"/>
        </w:rPr>
        <w:t>przepis</w:t>
      </w:r>
      <w:r w:rsidR="002363A9" w:rsidRPr="00830ADC">
        <w:rPr>
          <w:rFonts w:ascii="Times New Roman" w:eastAsia="Calibri" w:hAnsi="Times New Roman" w:cs="Times New Roman"/>
          <w:color w:val="000000" w:themeColor="text1"/>
          <w:sz w:val="24"/>
          <w:szCs w:val="24"/>
        </w:rPr>
        <w:t>ów</w:t>
      </w:r>
      <w:r w:rsidRPr="00830ADC">
        <w:rPr>
          <w:rFonts w:ascii="Times New Roman" w:eastAsia="Calibri" w:hAnsi="Times New Roman" w:cs="Times New Roman"/>
          <w:color w:val="000000" w:themeColor="text1"/>
          <w:sz w:val="24"/>
          <w:szCs w:val="24"/>
        </w:rPr>
        <w:t xml:space="preserve"> rozporządzenia Rady Ministrów z dnia 23 grudnia 2002 r. w sprawie sposobu funkcjonowania krajowego systemu notyfikacji norm i aktów prawnych (Dz. U. poz. 2039, z późn. zm.)</w:t>
      </w:r>
      <w:r w:rsidR="002363A9" w:rsidRPr="00830ADC">
        <w:rPr>
          <w:rFonts w:ascii="Times New Roman" w:eastAsia="Calibri" w:hAnsi="Times New Roman" w:cs="Times New Roman"/>
          <w:color w:val="000000" w:themeColor="text1"/>
          <w:sz w:val="24"/>
          <w:szCs w:val="24"/>
        </w:rPr>
        <w:t>, w związku z tym nie będzie podlegał obowiązkowi notyfikacji</w:t>
      </w:r>
      <w:r w:rsidRPr="00830ADC">
        <w:rPr>
          <w:rFonts w:ascii="Times New Roman" w:eastAsia="Calibri" w:hAnsi="Times New Roman" w:cs="Times New Roman"/>
          <w:color w:val="000000" w:themeColor="text1"/>
          <w:sz w:val="24"/>
          <w:szCs w:val="24"/>
        </w:rPr>
        <w:t>.</w:t>
      </w:r>
    </w:p>
    <w:p w14:paraId="1CDE2486" w14:textId="77777777" w:rsidR="002363A9" w:rsidRPr="00830ADC" w:rsidRDefault="002363A9" w:rsidP="00CC54EB">
      <w:pPr>
        <w:spacing w:after="0" w:line="360" w:lineRule="auto"/>
        <w:ind w:left="113" w:right="113" w:firstLine="595"/>
        <w:jc w:val="both"/>
        <w:rPr>
          <w:rFonts w:ascii="Times New Roman" w:eastAsia="Calibri" w:hAnsi="Times New Roman" w:cs="Times New Roman"/>
          <w:color w:val="000000" w:themeColor="text1"/>
          <w:sz w:val="24"/>
          <w:szCs w:val="24"/>
        </w:rPr>
      </w:pPr>
    </w:p>
    <w:p w14:paraId="112BDA10" w14:textId="757B955F" w:rsidR="00CC54EB" w:rsidRPr="00830ADC" w:rsidRDefault="00CC54EB" w:rsidP="00973020">
      <w:pPr>
        <w:spacing w:after="0" w:line="360" w:lineRule="auto"/>
        <w:ind w:right="113" w:firstLine="510"/>
        <w:jc w:val="both"/>
        <w:rPr>
          <w:rFonts w:ascii="Times New Roman" w:eastAsia="Calibri" w:hAnsi="Times New Roman" w:cs="Times New Roman"/>
          <w:color w:val="000000" w:themeColor="text1"/>
          <w:sz w:val="24"/>
          <w:szCs w:val="24"/>
        </w:rPr>
      </w:pPr>
      <w:r w:rsidRPr="00830ADC">
        <w:rPr>
          <w:rFonts w:ascii="Times New Roman" w:eastAsia="Calibri" w:hAnsi="Times New Roman" w:cs="Times New Roman"/>
          <w:color w:val="000000" w:themeColor="text1"/>
          <w:sz w:val="24"/>
          <w:szCs w:val="24"/>
        </w:rPr>
        <w:t xml:space="preserve">Projekt </w:t>
      </w:r>
      <w:r w:rsidR="00154394" w:rsidRPr="00830ADC">
        <w:rPr>
          <w:rFonts w:ascii="Times New Roman" w:eastAsia="Calibri" w:hAnsi="Times New Roman" w:cs="Times New Roman"/>
          <w:color w:val="000000" w:themeColor="text1"/>
          <w:sz w:val="24"/>
          <w:szCs w:val="24"/>
        </w:rPr>
        <w:t xml:space="preserve">ustawy </w:t>
      </w:r>
      <w:r w:rsidR="00FF742A" w:rsidRPr="00830ADC">
        <w:rPr>
          <w:rFonts w:ascii="Times New Roman" w:eastAsia="Calibri" w:hAnsi="Times New Roman" w:cs="Times New Roman"/>
          <w:color w:val="000000" w:themeColor="text1"/>
          <w:sz w:val="24"/>
          <w:szCs w:val="24"/>
        </w:rPr>
        <w:t xml:space="preserve">nie jest objęty zakresem prawa </w:t>
      </w:r>
      <w:r w:rsidRPr="00830ADC">
        <w:rPr>
          <w:rFonts w:ascii="Times New Roman" w:eastAsia="Calibri" w:hAnsi="Times New Roman" w:cs="Times New Roman"/>
          <w:color w:val="000000" w:themeColor="text1"/>
          <w:sz w:val="24"/>
          <w:szCs w:val="24"/>
        </w:rPr>
        <w:t>Unii Europejskiej.</w:t>
      </w:r>
    </w:p>
    <w:p w14:paraId="5A593FD3" w14:textId="2F4A17DB" w:rsidR="002363A9" w:rsidRPr="00830ADC" w:rsidRDefault="002363A9" w:rsidP="002363A9">
      <w:pPr>
        <w:pStyle w:val="NIEARTTEKSTtekstnieartykuowanynppodstprawnarozplubpreambua"/>
        <w:rPr>
          <w:rFonts w:ascii="Times New Roman" w:eastAsia="Calibri" w:hAnsi="Times New Roman" w:cs="Times New Roman"/>
          <w:bCs w:val="0"/>
          <w:color w:val="000000" w:themeColor="text1"/>
          <w:szCs w:val="24"/>
          <w:lang w:eastAsia="en-US"/>
        </w:rPr>
      </w:pPr>
      <w:r w:rsidRPr="00830ADC">
        <w:rPr>
          <w:rFonts w:ascii="Times New Roman" w:eastAsia="Calibri" w:hAnsi="Times New Roman" w:cs="Times New Roman"/>
          <w:bCs w:val="0"/>
          <w:color w:val="000000" w:themeColor="text1"/>
          <w:szCs w:val="24"/>
          <w:lang w:eastAsia="en-US"/>
        </w:rPr>
        <w:t>Projekt ustawy nie podlega obowiązkowi przedstawienia właściwym organom i instytucjom Unii Europejskiej, w tym Europejskiemu Bankowi Centralnemu.</w:t>
      </w:r>
    </w:p>
    <w:p w14:paraId="11C2AAD8" w14:textId="77777777" w:rsidR="00CC54EB" w:rsidRPr="00830ADC" w:rsidRDefault="00CC54EB" w:rsidP="00E00EFF">
      <w:pPr>
        <w:spacing w:after="0" w:line="360" w:lineRule="auto"/>
        <w:ind w:left="113" w:right="113" w:firstLine="595"/>
        <w:jc w:val="both"/>
        <w:rPr>
          <w:rFonts w:ascii="Times New Roman" w:eastAsia="Calibri" w:hAnsi="Times New Roman" w:cs="Times New Roman"/>
          <w:color w:val="000000" w:themeColor="text1"/>
          <w:sz w:val="24"/>
          <w:szCs w:val="24"/>
        </w:rPr>
      </w:pPr>
    </w:p>
    <w:sectPr w:rsidR="00CC54EB" w:rsidRPr="00830AD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696926" w14:textId="77777777" w:rsidR="00AC3401" w:rsidRDefault="00AC3401" w:rsidP="009201A2">
      <w:pPr>
        <w:spacing w:after="0" w:line="240" w:lineRule="auto"/>
      </w:pPr>
      <w:r>
        <w:separator/>
      </w:r>
    </w:p>
  </w:endnote>
  <w:endnote w:type="continuationSeparator" w:id="0">
    <w:p w14:paraId="00670698" w14:textId="77777777" w:rsidR="00AC3401" w:rsidRDefault="00AC3401" w:rsidP="00920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703043"/>
      <w:docPartObj>
        <w:docPartGallery w:val="Page Numbers (Bottom of Page)"/>
        <w:docPartUnique/>
      </w:docPartObj>
    </w:sdtPr>
    <w:sdtEndPr/>
    <w:sdtContent>
      <w:p w14:paraId="57827136" w14:textId="176EC38D" w:rsidR="009201A2" w:rsidRDefault="009201A2">
        <w:pPr>
          <w:pStyle w:val="Stopka"/>
          <w:jc w:val="right"/>
        </w:pPr>
        <w:r>
          <w:fldChar w:fldCharType="begin"/>
        </w:r>
        <w:r>
          <w:instrText>PAGE   \* MERGEFORMAT</w:instrText>
        </w:r>
        <w:r>
          <w:fldChar w:fldCharType="separate"/>
        </w:r>
        <w:r w:rsidR="00124BC0">
          <w:rPr>
            <w:noProof/>
          </w:rPr>
          <w:t>1</w:t>
        </w:r>
        <w:r>
          <w:fldChar w:fldCharType="end"/>
        </w:r>
      </w:p>
    </w:sdtContent>
  </w:sdt>
  <w:p w14:paraId="66FF23E6" w14:textId="77777777" w:rsidR="009201A2" w:rsidRDefault="009201A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7B2F1" w14:textId="77777777" w:rsidR="00AC3401" w:rsidRDefault="00AC3401" w:rsidP="009201A2">
      <w:pPr>
        <w:spacing w:after="0" w:line="240" w:lineRule="auto"/>
      </w:pPr>
      <w:r>
        <w:separator/>
      </w:r>
    </w:p>
  </w:footnote>
  <w:footnote w:type="continuationSeparator" w:id="0">
    <w:p w14:paraId="663FDB09" w14:textId="77777777" w:rsidR="00AC3401" w:rsidRDefault="00AC3401" w:rsidP="009201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EB4045"/>
    <w:multiLevelType w:val="hybridMultilevel"/>
    <w:tmpl w:val="B81A4422"/>
    <w:lvl w:ilvl="0" w:tplc="3BB2696E">
      <w:start w:val="1"/>
      <w:numFmt w:val="decimal"/>
      <w:lvlText w:val="%1)"/>
      <w:lvlJc w:val="left"/>
      <w:pPr>
        <w:ind w:left="1068" w:hanging="360"/>
      </w:pPr>
      <w:rPr>
        <w:rFonts w:hint="default"/>
        <w:i/>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3AB4"/>
    <w:rsid w:val="00006156"/>
    <w:rsid w:val="0006236F"/>
    <w:rsid w:val="00066522"/>
    <w:rsid w:val="00076A95"/>
    <w:rsid w:val="000E1509"/>
    <w:rsid w:val="00124BC0"/>
    <w:rsid w:val="0013780E"/>
    <w:rsid w:val="00142DE2"/>
    <w:rsid w:val="00154394"/>
    <w:rsid w:val="001905F4"/>
    <w:rsid w:val="001922D6"/>
    <w:rsid w:val="001D2FA5"/>
    <w:rsid w:val="00203E2E"/>
    <w:rsid w:val="00205DDD"/>
    <w:rsid w:val="00223985"/>
    <w:rsid w:val="00235A2A"/>
    <w:rsid w:val="002363A9"/>
    <w:rsid w:val="002452E2"/>
    <w:rsid w:val="002F5D5D"/>
    <w:rsid w:val="0035242E"/>
    <w:rsid w:val="00397499"/>
    <w:rsid w:val="003F00DF"/>
    <w:rsid w:val="003F1849"/>
    <w:rsid w:val="004405C8"/>
    <w:rsid w:val="00483AB4"/>
    <w:rsid w:val="004A07F8"/>
    <w:rsid w:val="0051490B"/>
    <w:rsid w:val="005437C8"/>
    <w:rsid w:val="00546649"/>
    <w:rsid w:val="00564CCF"/>
    <w:rsid w:val="005A5D09"/>
    <w:rsid w:val="005B5758"/>
    <w:rsid w:val="00631B26"/>
    <w:rsid w:val="00676C98"/>
    <w:rsid w:val="006938EE"/>
    <w:rsid w:val="006B3DCA"/>
    <w:rsid w:val="00705B37"/>
    <w:rsid w:val="00710C45"/>
    <w:rsid w:val="007129FC"/>
    <w:rsid w:val="007213D2"/>
    <w:rsid w:val="00731550"/>
    <w:rsid w:val="0077121B"/>
    <w:rsid w:val="00793D53"/>
    <w:rsid w:val="007E4570"/>
    <w:rsid w:val="007F19D8"/>
    <w:rsid w:val="00805F03"/>
    <w:rsid w:val="00830ADC"/>
    <w:rsid w:val="00832B44"/>
    <w:rsid w:val="0084152D"/>
    <w:rsid w:val="008443E7"/>
    <w:rsid w:val="00861151"/>
    <w:rsid w:val="008D219B"/>
    <w:rsid w:val="009201A2"/>
    <w:rsid w:val="009556D6"/>
    <w:rsid w:val="00973020"/>
    <w:rsid w:val="009922BA"/>
    <w:rsid w:val="00A0136B"/>
    <w:rsid w:val="00A1023F"/>
    <w:rsid w:val="00A55AA7"/>
    <w:rsid w:val="00A8175D"/>
    <w:rsid w:val="00AA4985"/>
    <w:rsid w:val="00AC10D4"/>
    <w:rsid w:val="00AC3401"/>
    <w:rsid w:val="00AE392B"/>
    <w:rsid w:val="00AE7B14"/>
    <w:rsid w:val="00B419BB"/>
    <w:rsid w:val="00BA6A91"/>
    <w:rsid w:val="00BC10BD"/>
    <w:rsid w:val="00BC3479"/>
    <w:rsid w:val="00BF2D62"/>
    <w:rsid w:val="00C01DC7"/>
    <w:rsid w:val="00C25F58"/>
    <w:rsid w:val="00CC54EB"/>
    <w:rsid w:val="00E00EFF"/>
    <w:rsid w:val="00E270D5"/>
    <w:rsid w:val="00EC13B6"/>
    <w:rsid w:val="00F13B28"/>
    <w:rsid w:val="00F17EF4"/>
    <w:rsid w:val="00FF74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3C4C1"/>
  <w15:docId w15:val="{3059E9AF-6171-4C41-985E-97D857776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1550"/>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32B44"/>
    <w:pPr>
      <w:ind w:left="720"/>
      <w:contextualSpacing/>
    </w:pPr>
  </w:style>
  <w:style w:type="paragraph" w:styleId="Tekstdymka">
    <w:name w:val="Balloon Text"/>
    <w:basedOn w:val="Normalny"/>
    <w:link w:val="TekstdymkaZnak"/>
    <w:uiPriority w:val="99"/>
    <w:semiHidden/>
    <w:unhideWhenUsed/>
    <w:rsid w:val="002F5D5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F5D5D"/>
    <w:rPr>
      <w:rFonts w:ascii="Tahoma" w:hAnsi="Tahoma" w:cs="Tahoma"/>
      <w:sz w:val="16"/>
      <w:szCs w:val="16"/>
    </w:rPr>
  </w:style>
  <w:style w:type="paragraph" w:customStyle="1" w:styleId="NIEARTTEKSTtekstnieartykuowanynppodstprawnarozplubpreambua">
    <w:name w:val="NIEART_TEKST – tekst nieartykułowany (np. podst. prawna rozp. lub preambuła)"/>
    <w:basedOn w:val="Normalny"/>
    <w:next w:val="Normalny"/>
    <w:uiPriority w:val="7"/>
    <w:qFormat/>
    <w:rsid w:val="00066522"/>
    <w:pPr>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142DE2"/>
    <w:rPr>
      <w:sz w:val="16"/>
      <w:szCs w:val="16"/>
    </w:rPr>
  </w:style>
  <w:style w:type="paragraph" w:styleId="Tekstkomentarza">
    <w:name w:val="annotation text"/>
    <w:basedOn w:val="Normalny"/>
    <w:link w:val="TekstkomentarzaZnak"/>
    <w:uiPriority w:val="99"/>
    <w:semiHidden/>
    <w:unhideWhenUsed/>
    <w:rsid w:val="00142DE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42DE2"/>
    <w:rPr>
      <w:sz w:val="20"/>
      <w:szCs w:val="20"/>
    </w:rPr>
  </w:style>
  <w:style w:type="paragraph" w:styleId="Tematkomentarza">
    <w:name w:val="annotation subject"/>
    <w:basedOn w:val="Tekstkomentarza"/>
    <w:next w:val="Tekstkomentarza"/>
    <w:link w:val="TematkomentarzaZnak"/>
    <w:uiPriority w:val="99"/>
    <w:semiHidden/>
    <w:unhideWhenUsed/>
    <w:rsid w:val="00142DE2"/>
    <w:rPr>
      <w:b/>
      <w:bCs/>
    </w:rPr>
  </w:style>
  <w:style w:type="character" w:customStyle="1" w:styleId="TematkomentarzaZnak">
    <w:name w:val="Temat komentarza Znak"/>
    <w:basedOn w:val="TekstkomentarzaZnak"/>
    <w:link w:val="Tematkomentarza"/>
    <w:uiPriority w:val="99"/>
    <w:semiHidden/>
    <w:rsid w:val="00142DE2"/>
    <w:rPr>
      <w:b/>
      <w:bCs/>
      <w:sz w:val="20"/>
      <w:szCs w:val="20"/>
    </w:rPr>
  </w:style>
  <w:style w:type="paragraph" w:styleId="Nagwek">
    <w:name w:val="header"/>
    <w:basedOn w:val="Normalny"/>
    <w:link w:val="NagwekZnak"/>
    <w:uiPriority w:val="99"/>
    <w:unhideWhenUsed/>
    <w:rsid w:val="009201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01A2"/>
  </w:style>
  <w:style w:type="paragraph" w:styleId="Stopka">
    <w:name w:val="footer"/>
    <w:basedOn w:val="Normalny"/>
    <w:link w:val="StopkaZnak"/>
    <w:uiPriority w:val="99"/>
    <w:unhideWhenUsed/>
    <w:rsid w:val="009201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01A2"/>
  </w:style>
  <w:style w:type="paragraph" w:customStyle="1" w:styleId="ARTartustawynprozporzdzenia">
    <w:name w:val="ART(§) – art. ustawy (§ np. rozporządzenia)"/>
    <w:uiPriority w:val="11"/>
    <w:qFormat/>
    <w:rsid w:val="003F00DF"/>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2039</Words>
  <Characters>12239</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Mateusz Grabiński</cp:lastModifiedBy>
  <cp:revision>9</cp:revision>
  <dcterms:created xsi:type="dcterms:W3CDTF">2021-05-14T13:01:00Z</dcterms:created>
  <dcterms:modified xsi:type="dcterms:W3CDTF">2021-12-07T10:57:00Z</dcterms:modified>
</cp:coreProperties>
</file>