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5F8E2D" w14:textId="77777777" w:rsidR="00224ACF" w:rsidRPr="00224ACF" w:rsidRDefault="00224ACF" w:rsidP="00224ACF">
      <w:pPr>
        <w:pStyle w:val="NormalnyWeb"/>
        <w:spacing w:before="240" w:beforeAutospacing="0" w:after="240" w:afterAutospacing="0" w:line="360" w:lineRule="auto"/>
        <w:jc w:val="center"/>
        <w:rPr>
          <w:rFonts w:ascii="Tahoma" w:hAnsi="Tahoma" w:cs="Tahoma"/>
        </w:rPr>
      </w:pPr>
      <w:bookmarkStart w:id="0" w:name="_GoBack"/>
      <w:bookmarkEnd w:id="0"/>
      <w:r w:rsidRPr="00224ACF">
        <w:rPr>
          <w:rFonts w:ascii="Tahoma" w:hAnsi="Tahoma" w:cs="Tahoma"/>
          <w:b/>
          <w:bCs/>
          <w:color w:val="000000"/>
        </w:rPr>
        <w:t>Uzasadnienie</w:t>
      </w:r>
    </w:p>
    <w:p w14:paraId="71DE31DB" w14:textId="77777777" w:rsidR="00224ACF" w:rsidRPr="00224ACF" w:rsidRDefault="00224ACF" w:rsidP="00224ACF">
      <w:pPr>
        <w:pStyle w:val="NormalnyWeb"/>
        <w:spacing w:before="240" w:beforeAutospacing="0" w:after="240" w:afterAutospacing="0" w:line="360" w:lineRule="auto"/>
        <w:jc w:val="center"/>
        <w:rPr>
          <w:rFonts w:ascii="Tahoma" w:hAnsi="Tahoma" w:cs="Tahoma"/>
        </w:rPr>
      </w:pPr>
      <w:r w:rsidRPr="00224ACF">
        <w:rPr>
          <w:rFonts w:ascii="Tahoma" w:hAnsi="Tahoma" w:cs="Tahoma"/>
          <w:color w:val="000000"/>
        </w:rPr>
        <w:t> </w:t>
      </w:r>
    </w:p>
    <w:p w14:paraId="742B92C5" w14:textId="77777777" w:rsidR="00224ACF" w:rsidRPr="00224ACF" w:rsidRDefault="00224ACF" w:rsidP="00224ACF">
      <w:pPr>
        <w:pStyle w:val="NormalnyWeb"/>
        <w:spacing w:before="240" w:beforeAutospacing="0" w:after="240" w:afterAutospacing="0" w:line="360" w:lineRule="auto"/>
        <w:rPr>
          <w:rFonts w:ascii="Tahoma" w:hAnsi="Tahoma" w:cs="Tahoma"/>
        </w:rPr>
      </w:pPr>
      <w:r w:rsidRPr="00224ACF">
        <w:rPr>
          <w:rFonts w:ascii="Tahoma" w:hAnsi="Tahoma" w:cs="Tahoma"/>
          <w:b/>
          <w:bCs/>
          <w:color w:val="000000"/>
        </w:rPr>
        <w:t>1. Cel i potrzeba wydania ustawy, rzeczywisty stan w dziedzinie, która ma zostać unormowana</w:t>
      </w:r>
    </w:p>
    <w:p w14:paraId="16C7DC6C" w14:textId="7A3C7175"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Zgodnie z założeniami Strategii Cyberbezpieczeństwa Rzeczypospolitej Polskiej na lata 2019–2024 rozwój społeczny i gospodarczy w coraz większym stopniu zależny jest od szybkiego i nieograniczonego dostępu do informacji oraz jej wykorzystania w zarządzaniu, produkcji, sektorze usług oraz administracji publicznej. Oznacza to, że liczba potencjalnych zagrożeń rośnie i tylko odpowiednie mechanizmy prewencyjne mogą skutecznie przeciwdziałać zagrożeniom w cyberświecie.</w:t>
      </w:r>
    </w:p>
    <w:p w14:paraId="0C5FD6BB" w14:textId="21042A05"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Warto podkreślić, że jeszcze nigdy w historii tak niewyobrażalna liczba danych nie była tak łatwo dostępna dla wszystkich potencjalnych zainteresowanych. Kilkadziesiąt lat temu wrażliwymi danymi dysponowali tylko urzędnicy, lekarze czy prawnicy, a utrzymanie tajemnicy zawodowej było wpisane w zakres obowiązków na wskazanego zawodu. Tymczasem obecnie nasze poufne dane są zapisane w bazach danych różnych instytucji, z których coraz częściej wyciekają do internetu, a następnie są przedmiotem nielegalnego handlu.</w:t>
      </w:r>
    </w:p>
    <w:p w14:paraId="53BD7FF3" w14:textId="44D8174A"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Większość społeczeństwa uważa, że rozwój cyfrowych usług, dostępu do Internetu czy przetwarzania danych, zwiększa indywidualne poczucie bezpieczeństwa, przede wszystkim dzięki masowemu dostępowi do wiedzy czy informacji. Niestety, opierając się na faktach i prostej analizie, można stwierdzić, że ten powszechny dostęp do danych stanowi najpoważniejsze zagrożenie bezpieczeństwa wynikające z rozwoju technologicznego. Niemniej jednak tak właśnie przedstawia się nasze poczucie bezpieczeństwa w erze cyfrowej. Ma ono dwa różne wymiary i niestety środki zaradcze często nie nadążają za działaniami przestępczymi – zwykle tworzone są dopiero wtedy, gdy cyberwłamania czy cyberoszustwa stają się powszechne.</w:t>
      </w:r>
    </w:p>
    <w:p w14:paraId="27E27A13"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 xml:space="preserve">Bardzo istotną kwestią jest zatem uwzględnianie bezpieczeństwa informacji i danych już na etapie projektowania systemów i procedur. Niezwykle istotną sprawą jest także  odpowiednie przeszkolenie osób odpowiadających za przechowywanie </w:t>
      </w:r>
      <w:r w:rsidRPr="00224ACF">
        <w:rPr>
          <w:rFonts w:ascii="Tahoma" w:hAnsi="Tahoma" w:cs="Tahoma"/>
          <w:color w:val="000000"/>
        </w:rPr>
        <w:lastRenderedPageBreak/>
        <w:t>danych oraz skuteczne egzekwowanie odpowiedzialności za uchybienia w tej dziedzinie. Propozycja powołania Agencji Cyberbezpieczeństwa jest zatem wyjściem naprzeciw nowoczesnym trendom technologicznym. To stworzenie instytucji realizującej zadania edukacyjne, prewencyjne i operacyjne.  </w:t>
      </w:r>
    </w:p>
    <w:p w14:paraId="3671FADA"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Ochrona systemów informacyjnych oraz przetwarzanych w nich informacji jest wyzwaniem dla wszystkich podmiotów tworzących krajowy system cyberbezpieczeństwa. Stworzenie takiej instytucji jak AC, która zbierała będzie wszystkie informacje z całego obszaru administracji publicznej i jednocześnie z sektora prywatnego, pozwoli na szybka analizę danych oraz wdrażanie procedur operacyjnych, które w czasie rzeczywistym będą stawiały czoło zagrożeniom.</w:t>
      </w:r>
    </w:p>
    <w:p w14:paraId="4DB14FC4"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Początek trzeciej dekady XXI w. z jednej strony proces globalizacji, a z drugiej nowe doświadczenia cywilizacyjne związane z pandemią. W czasie pandemii COVID-19 przyspieszył proces cyfryzacji i dlatego zintegrowane działania dotyczące zapewnienia cyberbezpieczeństwa powinny stać się kluczowym elementem zapewnienia sprawnego funkcjonowania państwa. Obecnie każde znaczące zakłócenie funkcjonowania cyberprzestrzeni ma wpływ na bezpieczeństwo obrotu gospodarczego, poczucie bezpieczeństwa obywateli, sprawność funkcjonowania administracji publicznej, przebieg procesów produkcyjnych i usługowych, a w rezultacie na ogólnie pojmowane bezpieczeństwo państwa. W związku z powyższym celem priorytetowym powinno być powoływanie takich instytucji, które mogą skutecznie realizować zadania w tym obszarze.</w:t>
      </w:r>
    </w:p>
    <w:p w14:paraId="264DF27D"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Agencja Cyberbezpieczeństwa jako podmiot umiejscowiony w nadzorze Prezesa Rady Ministrów oraz ściśle współpracujący z innymi podmiotami stanowiła będzie kluczową instytucję cywilnej ochrony interesów RP w cyberprzestrzeni.</w:t>
      </w:r>
    </w:p>
    <w:p w14:paraId="1E199508" w14:textId="77777777"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 </w:t>
      </w:r>
    </w:p>
    <w:p w14:paraId="4F23931B" w14:textId="30C559FA" w:rsidR="00224ACF" w:rsidRPr="00224ACF" w:rsidRDefault="00224ACF" w:rsidP="00224ACF">
      <w:pPr>
        <w:pStyle w:val="NormalnyWeb"/>
        <w:spacing w:before="0" w:beforeAutospacing="0" w:after="0" w:afterAutospacing="0" w:line="360" w:lineRule="auto"/>
        <w:jc w:val="both"/>
        <w:rPr>
          <w:rFonts w:ascii="Tahoma" w:hAnsi="Tahoma" w:cs="Tahoma"/>
          <w:b/>
        </w:rPr>
      </w:pPr>
      <w:r w:rsidRPr="00224ACF">
        <w:rPr>
          <w:rFonts w:ascii="Tahoma" w:hAnsi="Tahoma" w:cs="Tahoma"/>
          <w:b/>
          <w:color w:val="000000"/>
        </w:rPr>
        <w:t>2. Różnice między dotychczasowym a projektowanym stanem prawnym</w:t>
      </w:r>
    </w:p>
    <w:p w14:paraId="22CF6141"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b/>
          <w:bCs/>
          <w:color w:val="000000"/>
        </w:rPr>
        <w:t> </w:t>
      </w:r>
    </w:p>
    <w:p w14:paraId="08D2CA6A"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W art</w:t>
      </w:r>
      <w:r w:rsidRPr="00AA5B98">
        <w:rPr>
          <w:rFonts w:ascii="Tahoma" w:hAnsi="Tahoma" w:cs="Tahoma"/>
          <w:color w:val="000000"/>
        </w:rPr>
        <w:t xml:space="preserve">. 2 wprowadza się kilka definicji ustawowych. Projektodawca zdecydował się nie wprowadzać nowego zbioru definicji ze względu na katalog znajdujący się w przepisach obowiązujących - art. 2 ustawy z dnia 5 lipca 2018 r.  o krajowym systemie cyberbezpieczeństwa. Proponuje się definicję danych na potrzeby ustawy jako dane </w:t>
      </w:r>
      <w:r w:rsidRPr="00AA5B98">
        <w:rPr>
          <w:rFonts w:ascii="Tahoma" w:hAnsi="Tahoma" w:cs="Tahoma"/>
          <w:color w:val="000000"/>
        </w:rPr>
        <w:lastRenderedPageBreak/>
        <w:t>wytwarzane i dostarczane w postaci cyfrowej. Ponadto określa się właściwości sprzętu elektronicznego - urządzenie umożliwiające przechowywanie lub przetwarzanie danych, którego prawidłowe działanie uzależnione jest od dopływu prądu elektrycznego, obecności pól elektromagnetycznych lub połączenia z innym urządzeniem.</w:t>
      </w:r>
    </w:p>
    <w:p w14:paraId="19AC0925"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bCs/>
          <w:color w:val="000000"/>
        </w:rPr>
        <w:t xml:space="preserve">W art. 3. </w:t>
      </w:r>
      <w:r w:rsidRPr="00AA5B98">
        <w:rPr>
          <w:rFonts w:ascii="Tahoma" w:hAnsi="Tahoma" w:cs="Tahoma"/>
          <w:color w:val="000000"/>
        </w:rPr>
        <w:t>Tworzy się Agencję Cyberbezpieczeństwa (AC), a w art. 4 określa się jej zadania: (1) koordynacja krajowego systemu cyberbezpieczeństwa; (2) rozpoznawanie, zapobieganie i wykrywanie zagrożeń godzących w bezpieczeństwo istotnych z punktu widzenia ciągłości funkcjonowania państwa systemów teleinformatycznych organów administracji publicznej lub systemu sieci teleinformatycznych objętych jednolitym wykazem obiektów, instalacji, urządzeń i usług wchodzących w skład infrastruktury krytycznej, a także systemów teleinformatycznych właścicieli i posiadaczy obiektów, instalacji lub urządzeń infrastruktury krytycznej, o których mowa w art. 5b ust. 7 pkt 1 ustawy z dnia 26 kwietnia 2007 r. o zarządzaniu kryzysowym; (3) prowadzenie działań prewencyjno-edukacyjnych związanych z cyberbezpieczeństwem w sektorze publicznym i prywatnym; (</w:t>
      </w:r>
      <w:r w:rsidRPr="00AA5B98">
        <w:rPr>
          <w:rFonts w:ascii="Tahoma" w:hAnsi="Tahoma" w:cs="Tahoma"/>
          <w:color w:val="1B1B1B"/>
          <w:shd w:val="clear" w:color="auto" w:fill="FFFFFF"/>
        </w:rPr>
        <w:t>4) budowanie świadomości i kompetencji społecznych w zakresie cyberbezpieczeństwa; (</w:t>
      </w:r>
      <w:r w:rsidRPr="00AA5B98">
        <w:rPr>
          <w:rFonts w:ascii="Tahoma" w:hAnsi="Tahoma" w:cs="Tahoma"/>
          <w:color w:val="000000"/>
        </w:rPr>
        <w:t>5) p</w:t>
      </w:r>
      <w:r w:rsidRPr="00AA5B98">
        <w:rPr>
          <w:rFonts w:ascii="Tahoma" w:hAnsi="Tahoma" w:cs="Tahoma"/>
          <w:color w:val="1B1B1B"/>
          <w:shd w:val="clear" w:color="auto" w:fill="FFFFFF"/>
        </w:rPr>
        <w:t>odnoszenie poziomu odporności systemów informatyczno-informacyjnych administracji publicznej i sektora prywatnego; (</w:t>
      </w:r>
      <w:r w:rsidRPr="00AA5B98">
        <w:rPr>
          <w:rFonts w:ascii="Tahoma" w:hAnsi="Tahoma" w:cs="Tahoma"/>
          <w:color w:val="000000"/>
        </w:rPr>
        <w:t>6) podejmowanie działań kryptologicznych i ochraniających cybernetyczne zasoby państwa; (7) reagowanie na incydenty związane z bezpieczeństwem cybernetycznym i współpraca operacyjna z innymi służbami specjalnymi w celu likwidacji zagrożeń; (</w:t>
      </w:r>
      <w:r w:rsidRPr="00AA5B98">
        <w:rPr>
          <w:rFonts w:ascii="Tahoma" w:hAnsi="Tahoma" w:cs="Tahoma"/>
          <w:color w:val="1B1B1B"/>
          <w:shd w:val="clear" w:color="auto" w:fill="FFFFFF"/>
        </w:rPr>
        <w:t>8) koordynowanie i rozwijanie krajowego systemu cyberbezpieczeństwa; (</w:t>
      </w:r>
      <w:r w:rsidRPr="00AA5B98">
        <w:rPr>
          <w:rFonts w:ascii="Tahoma" w:hAnsi="Tahoma" w:cs="Tahoma"/>
          <w:color w:val="000000"/>
        </w:rPr>
        <w:t>9) wspieranie jednostek nauki i szkolnictwa wyższego w zakresie bezpieczeństwa w cyberprzestrzeni; (10) monitorowanie rozwoju nowoczesnych technologii i ich wpływu na życie człowieka; (11) ocena i zarządzanie ryzykiem cyfrowym; (12) wymiana informacji dotyczących zagrożeń cybernetycznych z właściwymi instytucjami podmiotami Unii Europejskiej, Organizacji Paktu Północnoatlantyckiego, Organizacji Narodów Zjednoczonych oraz Organizacji Bezpieczeństwa i Współpracy w Europie.</w:t>
      </w:r>
    </w:p>
    <w:p w14:paraId="77E7929A"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Finansowanie AC zostało określone w art. 5. Zgodnie z przepisem, jego działalność będzie finansowana z odrębnej</w:t>
      </w:r>
      <w:r w:rsidRPr="00AA5B98">
        <w:rPr>
          <w:rFonts w:ascii="Tahoma" w:hAnsi="Tahoma" w:cs="Tahoma"/>
          <w:bCs/>
          <w:color w:val="000000"/>
        </w:rPr>
        <w:t xml:space="preserve"> c</w:t>
      </w:r>
      <w:r w:rsidRPr="00AA5B98">
        <w:rPr>
          <w:rFonts w:ascii="Tahoma" w:hAnsi="Tahoma" w:cs="Tahoma"/>
          <w:color w:val="000000"/>
        </w:rPr>
        <w:t xml:space="preserve">zęści budżetu państwa. Dysponentem </w:t>
      </w:r>
      <w:r w:rsidRPr="00AA5B98">
        <w:rPr>
          <w:rFonts w:ascii="Tahoma" w:hAnsi="Tahoma" w:cs="Tahoma"/>
          <w:color w:val="000000"/>
        </w:rPr>
        <w:lastRenderedPageBreak/>
        <w:t>części zgodnie z przepisami o finansach publicznych, będzie Szef AC Koszty realizacji zadań AC, w zakresie których – ze względu na wyłączenie ich jawności – nie mogą być stosowane przepisy o finansach publicznych, rachunkowości i zamówieniach publicznych, będą finansowane z utworzonego na ten cel funduszu operacyjnego. Zostanie zatem zastosowana procedura analogiczna jak w przypadku innych służb. Fundusz operacyjny nie może przekraczać 20% rocznego budżetu AC, a Szef AC określi w drodze zarządzenia szczegółowe zasady tworzenia i gospodarowania nim.</w:t>
      </w:r>
    </w:p>
    <w:p w14:paraId="09F006B3" w14:textId="4EA335EC"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Następne przepisy regulują relacje AC z innymi podmiotami. Szef AC w zakresie wykonywania swoich zadań koordynuje działania podmiotów krajowego systemu cyberbezpieczeństwa: (1) operatorów usług kluczowych; (2) dostawców usług cyfrowych; (3) CSIRT MON; (4) CSIRT NASK; (5) CSIRT GOV; (6) sektorowych zespołów cyberbezpieczeństwa; (7) jednostek sektora finansów publicznych, o których mowa w art. 9 pkt 1</w:t>
      </w:r>
      <w:r w:rsidRPr="00AA5B98">
        <w:rPr>
          <w:rFonts w:ascii="Tahoma" w:hAnsi="Tahoma" w:cs="Tahoma"/>
          <w:bCs/>
          <w:color w:val="000000"/>
        </w:rPr>
        <w:t>-</w:t>
      </w:r>
      <w:r w:rsidRPr="00AA5B98">
        <w:rPr>
          <w:rFonts w:ascii="Tahoma" w:hAnsi="Tahoma" w:cs="Tahoma"/>
          <w:color w:val="000000"/>
        </w:rPr>
        <w:t>6, 8, 9,</w:t>
      </w:r>
      <w:hyperlink r:id="rId8" w:anchor="/document/17569559?unitId=art(9)pkt(11)&amp;cm=DOCUMENT" w:history="1">
        <w:r w:rsidRPr="00AA5B98">
          <w:rPr>
            <w:rStyle w:val="Hipercze"/>
            <w:rFonts w:ascii="Tahoma" w:hAnsi="Tahoma" w:cs="Tahoma"/>
            <w:color w:val="000000"/>
          </w:rPr>
          <w:t xml:space="preserve"> </w:t>
        </w:r>
      </w:hyperlink>
      <w:r w:rsidRPr="00AA5B98">
        <w:rPr>
          <w:rFonts w:ascii="Tahoma" w:hAnsi="Tahoma" w:cs="Tahoma"/>
          <w:color w:val="000000"/>
        </w:rPr>
        <w:t>11 i 12 ustawy z dnia 27 sierpnia 2009 r. o finansach publicznych (8) instytutów badawczych; (9) Narodowego Banku Polskiego; (10) Banku Gospodarstwa Krajowego; (11) Urzędu Dozoru Technicznego; (12) Polskiej Agencji Żeglugi Powietrznej; (13) Polskiego Centrum Akredytacji; (14) Narodowego Funduszu Ochrony Środowiska i Gospodarki Wodnej oraz wojewódzkich funduszów ochrony środowiska i gospodarki wodnej; (15) spółek prawa handlowego wykonujących zadania o charakterze użyteczności publicznej w rozumieniu art. 1 ust. 2 ustawy z dnia 20 grudnia 1996 r. o gospodarce komunalnej; (16) podmiotów świadczących usługi z zakresu cyberbezpieczeństwa; (17) organów właściwych do spraw cyberbezpieczeństwa; (18) Pojedynczego Punktu Kontaktowego do spraw cyberbezpieczeństwa. Ponadto w ramach swojej działalności AC będzie współpracować z innymi podmiotami, o których mowa w art. 7 ust. 8 ustawy z dnia 5 lipca 2018 r. o krajowym systemie cyberbezpieczeństwa, tj. z (1) organami właściwymi do spraw cyberbezpieczeństwa; (2) Policją; (3) Żandarmerią Wojskową; (4) Strażą Graniczną; (5) Centralnym Biurem Antykorupcyjnym; (6) Agencją Bezpieczeństwa Wewnętrznego oraz Agencją Wywiadu; (7) Służbą Kontrwywiadu Wojskowego oraz Służbą Wywiadu Wojskowego; (8) sądami; (9) prokuraturą; (10) organami Krajowej Administracji Skarbowej; (11) dyrektorem Rządowego Centrum Bezpieczeństwa; (12) Służbą Ochrony Państwa.</w:t>
      </w:r>
    </w:p>
    <w:p w14:paraId="583DB21B"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lastRenderedPageBreak/>
        <w:t>W art. 7 uregulowano obowiązki innych podmiotów w przedmiocie ustawy. Organy administracji rządowej, organy samorządu terytorialnego, instytucje państwowe oraz przedsiębiorcy wykorzystujący środki publiczne są obowiązani, w zakresie swojego działania, do współdziałania z AC. Współdziałanie z AC będzie wiązało się z (1) wdrażaniem zaleceń Szefa AC dotyczących podniesienia poziomu bezpieczeństwa systemów teleinformatycznych w celu zapewnienia ich integralności, poufności, rozliczalności i dostępności; (2) stosowaniem  oprogramowania spełniającego standardy AC; (3) umożliwieniem przeprowadzenia kontroli bezpieczeństwa systemów teleinformatycznych, zabezpieczeń danych i sprzętu elektronicznego; (4) umożliwieniem pracownikom uczestniczenia w szkoleniach AC. W przypadku niewykonywania wybranych obowiązków Szef AC będzie mógł wystąpić z wnioskiem do organu sprawującego nadzór nad podmiotem z informacją o niewykonaniu obowiązków lub z wnioskiem o podjęcie działań mających na celu ich wykonanie (w przypadku podmiotu sektora administracji publicznej. Wobec pozostałych podmiotów zostanie zastosowany przepis karny z możliwą karą grzywny. </w:t>
      </w:r>
    </w:p>
    <w:p w14:paraId="51E68EAC"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 Zgodnie z art. 8 na czele AC stoi Szef AC powoływany przez Prezesa Rady Ministrów, po zasięgnięciu opinii Sejmowej Komisji do Spraw Służb Specjalnych oraz właściwej komisji sejmowej do spraw cyfryzacji. Na wniosek Szefa AC Prezes Rady Ministrów powołuje zastępcę Szefa AC po zasięgnięciu opinii Sejmowej Komisji do  Spraw Służb Specjalnych oraz właściwej komisji sejmowej do spraw cyfryzacji. Wymagania wobec Szefa AC i jego zastępcy są jednakowe: (1) posiadanie wyłączne obywatelstwa polskiego; (2) pełnia praw publicznych; (3) rękojmia należytego wykonywania zadań; (4) wymagania określone w przepisach o ochronie informacji niejawnych w zakresie dostępu do informacji niejawnych o klauzuli tajności „ściśle tajne”; (5) przynajmniej 5-letnie doświadczenie w zakresie cyberbezpieczeństwa. Szef AC może zostać odwołany w przypadku (1) rezygnacji; (2) zrzeczenia się obywatelstwa polskiego lub nabycia obywatelstwa innego państwa; (3) skazania prawomocnym wyrokiem sądu za popełnione przestępstwo lub przestępstwo skarbowe; (4) utraty predyspozycji niezbędnych do zajmowania stanowiska; (5) niewykonywania obowiązków z powodu choroby trwającej nieprzerwanie ponad miesiąc. W przypadku zwolnienia stanowiska Szefa AC lub czasowej niemożności sprawowania przez niego </w:t>
      </w:r>
      <w:r w:rsidRPr="00AA5B98">
        <w:rPr>
          <w:rFonts w:ascii="Tahoma" w:hAnsi="Tahoma" w:cs="Tahoma"/>
          <w:color w:val="000000"/>
        </w:rPr>
        <w:lastRenderedPageBreak/>
        <w:t>funkcji, Prezes Rady Ministrów może powierzyć pełnienie obowiązków Szefa jego zastępcy na czas nie dłuższy niż miesiąc. </w:t>
      </w:r>
    </w:p>
    <w:p w14:paraId="14FC46A9"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Do zadań Szefa AC należy (1) kierowanie pracą AC; (2) reprezentowanie AC w stosunkach prawnych z innymi podmiotami; (3) zarządzanie mieniem AC; (4) przedstawianie rocznej informacji o stanie cyberbezpieczeństwa państwa; (5) wykonywanie innych zadań określonych w ustawie. Szef AC może upoważnić zastępcę Szefa AC do wykonywania powierzonych mu zadań, z wyjątkiem kierowania pracą AC i przedstawiania rocznej informacji o stanie cyberbezpieczeństwa państwa.</w:t>
      </w:r>
    </w:p>
    <w:p w14:paraId="2D2F83A2"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Statut AC jest nadawany przez Prezesa Rady Ministrów w drodze zarządzenia. Regulaminy organizacyjne są nadawane przez Szefa AC, który może również tworzyć zespoły o charakterze stałym lub doraźnym, określając ich nazwę, skład osobowy oraz szczegółowy zakres i tryb działania.</w:t>
      </w:r>
    </w:p>
    <w:p w14:paraId="12D9A736"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Do AC w ramach art. 13 włącza się Zespół Reagowania na Incydenty Bezpieczeństwa Komputerowego działający na poziomie krajowym (CSIRT GOV).</w:t>
      </w:r>
    </w:p>
    <w:p w14:paraId="42F06F6D"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Na podstawie art. 14 Szef AC raz w tygodniu publikuje na stronie internetowej AC raport o stanie cyberbezpieczeństwa, zawierający ogólną ocenę bezpieczeństwa cyfrowego; komunikaty o ostrzeżeniach przed atakami; bieżące zalecenia w zakresie cyberbezpieczeństwa.</w:t>
      </w:r>
    </w:p>
    <w:p w14:paraId="1CEF73E7"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Szef AC będzie przekazywać Prezesowi Rady Ministrów informację o bieżącym stanie cyberbezpieczeństwa. Szczegółowy zakres informacji oraz tryb jej przekazywania określi Prezes Rady Ministrów w drodze zarządzenia.</w:t>
      </w:r>
    </w:p>
    <w:p w14:paraId="293E2D73" w14:textId="77777777" w:rsidR="00224ACF" w:rsidRPr="00AA5B98" w:rsidRDefault="00224ACF" w:rsidP="00224ACF">
      <w:pPr>
        <w:pStyle w:val="NormalnyWeb"/>
        <w:spacing w:before="0" w:beforeAutospacing="0" w:after="0" w:afterAutospacing="0" w:line="360" w:lineRule="auto"/>
        <w:jc w:val="both"/>
        <w:rPr>
          <w:rFonts w:ascii="Tahoma" w:hAnsi="Tahoma" w:cs="Tahoma"/>
        </w:rPr>
      </w:pPr>
      <w:r w:rsidRPr="00AA5B98">
        <w:rPr>
          <w:rFonts w:ascii="Tahoma" w:hAnsi="Tahoma" w:cs="Tahoma"/>
          <w:color w:val="000000"/>
        </w:rPr>
        <w:t>       AC przeprowadzać będzie szkolenia z zakresu cyberbezpieczeństwa. Szkolenia obowiązkowe dla organów administracji rządowej, organów samorządu terytorialnego, instytucji państwowych oraz przedsiębiorców wykorzystujących środki publiczne są nieodpłatne. Opłata za uczestnictwo w szkoleniu dla pracowników pozostałych podmiotów od osoby wynosi nie więcej niż 1/10 minimalnego miesięcznego wynagrodzenia za pracę, ustalanego na podstawie przepisów odrębnych. Wpływy z opłaty stanowią dochód AC.</w:t>
      </w:r>
    </w:p>
    <w:p w14:paraId="51626806"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Szef AC publikuje standardy oprogramowania i zarządzania bezpieczeństwem informacji, tworzone są na podstawie norm międzynarodowych oraz bieżących zaleceń Szefa AC dotyczących podniesienia poziomu bezpieczeństwa systemów </w:t>
      </w:r>
      <w:r w:rsidRPr="00AA5B98">
        <w:rPr>
          <w:rFonts w:ascii="Tahoma" w:hAnsi="Tahoma" w:cs="Tahoma"/>
          <w:color w:val="000000"/>
        </w:rPr>
        <w:lastRenderedPageBreak/>
        <w:t>teleinformatycznych w celu zapewnienia ich integralności, poufności, rozliczalności i dostępności.</w:t>
      </w:r>
    </w:p>
    <w:p w14:paraId="473D8073"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Szef AC na podstawie analizy zdarzeń naruszających bezpieczeństwo systemów teleinformatycznych wydaje organom administracji rządowej, organom samorządu terytorialnego, instytucjom państwowym oraz przedsiębiorcom wykorzystujących środki publiczne zalecenia dotyczące podniesienia poziomu bezpieczeństwa systemów teleinformatycznych w celu zapewnienia ich integralności, poufności, rozliczalności i dostępności. Wskazane podmioty mogą wnieść do Szefa AC zastrzeżenia do zaleceń z uwagi na negatywny wpływ rekomendowanych działań na funkcjonalność systemu lub powstanie nowych podatności w terminie 7 dni od dnia otrzymania zaleceń. Szef AC odnosi się do zastrzeżeń niezwłocznie, jednak nie później niż w terminie 14 dni od dnia ich otrzymania i podtrzymuje lub zmienia zalecenia. Podmioty, które otrzymały zalecenia, w terminie miesiąca od dnia ich otrzymania informują Szefa AC o sposobie i zakresie ich wykonania. Niewykonanie zaleceń przez podmiot sektora administracji publicznej stanowi podstawę do wystąpienia przez Szefa AC do organu sprawującego nadzór nad podmiotem z informacją o niewykonaniu zaleceń lub z wnioskiem o podjęcie działań mających na celu ich wykonanie. W przypadku pozostałych podmiotów, które nie wykonały zaleceń, stosuje się przepis karny.</w:t>
      </w:r>
    </w:p>
    <w:p w14:paraId="1D75A68D"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AC może przeprowadzać w organach administracji rządowej, organach samorządu terytorialnego, instytucjach państwowym oraz przedsiębiorstwach wykorzystujących środki kontrolę bezpieczeństwa systemów teleinformatycznych, zabezpieczeń danych i sprzętu elektronicznego. Kontrole bezpieczeństwa są przeprowadzane zgodnie z rocznym planem przeprowadzania kontroli bezpieczeństwa, opracowywanym w terminie do 30 listopada każdego roku. Szefa AC uzgadnia plan z ministrem właściwym do spraw informatyzacji. Szef AC po sporządzeniu listy informuje właściwe podmioty o wpisaniu ich do planu. W uzasadnionych przypadkach kontrola bezpieczeństwa może zostać przeprowadzona z pominięciem planu.</w:t>
      </w:r>
    </w:p>
    <w:p w14:paraId="458342D8"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Kontrola bezpieczeństwa polega na przeprowadzeniu testów bezpieczeństwa systemu teleinformatycznego w celu identyfikacji podatności, przez które rozumie się słabość zasobu lub zabezpieczenia systemu teleinformatycznego, która może zostać </w:t>
      </w:r>
      <w:r w:rsidRPr="00AA5B98">
        <w:rPr>
          <w:rFonts w:ascii="Tahoma" w:hAnsi="Tahoma" w:cs="Tahoma"/>
          <w:color w:val="000000"/>
        </w:rPr>
        <w:lastRenderedPageBreak/>
        <w:t>wykorzystana przez zagrożenie, wpływających na integralność, poufność, rozliczalność i dostępność tego systemu.</w:t>
      </w:r>
    </w:p>
    <w:p w14:paraId="57A82738"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Kontrola bezpieczeństwa powinna być prowadzona z uwzględnieniem zasady minimalizacji zakłócenia pracy systemu teleinformatycznego lub ograniczenia jego dostępności i nie może prowadzić do nieodwracalnego zniszczenia danych przetwarzanych w systemie teleinformatycznym podlegającym tej ocenie. W celu minimalizacji negatywnych następstw kontroli bezpieczeństwa AC uzgadnia z podmiotem ramowe warunki przeprowadzania tej kontroli, w szczególności datę rozpoczęcia, harmonogram oraz zakres i rodzaj przeprowadzanych w ramach kontroli bezpieczeństwa testów bezpieczeństwa.</w:t>
      </w:r>
    </w:p>
    <w:p w14:paraId="68F56582"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Tak jak obecnie w podobnych procedurach AC będzie mogło wytwarzać lub pozyskiwać urządzenia lub programy komputerowe, o których mowa w art. 269b Kodeksu karnego, oraz ich używać w celu określenia podatności ocenianego systemu na możliwość popełnienia przestępstw, o których mowa w art. 165 § 1 pkt 4, art. 267 § 3, art. 268a § 1 albo § 2 w związku z § 1, art. 269 § 2 albo art. 269a Kodeksu karnego. AC w czasie kontroli bezpieczeństwa może uzyskać dostęp do informacji dla niej nieprzeznaczonej, przełamując albo omijając elektroniczne, magnetyczne, informatyczne lub inne szczególne jej zabezpieczenie, lub może uzyskać dostęp do całości lub części systemu teleinformatycznego. Informacje uzyskane przez AC w wyniku przeprowadzania kontroli bezpieczeństwa stanowią tajemnicę prawnie chronioną i nie mogą być wykorzystane do realizacji innych zadań ustawowych AC oraz podlegają one niezwłocznemu, komisyjnemu i protokolarnemu zniszczeniu.</w:t>
      </w:r>
    </w:p>
    <w:p w14:paraId="29442816"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Po przeprowadzeniu kontroli bezpieczeństwa AC sporządza i przekazuje podmiotowi, którego system podlegał kontroli bezpieczeństwa, raport zawierający podsumowanie przeprowadzonych czynności, wskazanie wykrytych podatności systemu teleinformatycznego oraz zalecenia pokontrolne. Jeżeli wykryta podatność może wystąpić w innych systemach teleinformatycznych, AC informuje niezwłocznie Prezesa Rady Ministrów o wykrytej podatności oraz o możliwości jej wystąpienia w innych systemach teleinformatycznych. </w:t>
      </w:r>
    </w:p>
    <w:p w14:paraId="36C29122"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Zgodnie z art. 22 w celu zapobiegania, przeciwdziałania oraz zwalczania zdarzeń o charakterze terrorystycznym dotyczących podmiotów krajowego systemu </w:t>
      </w:r>
      <w:r w:rsidRPr="00AA5B98">
        <w:rPr>
          <w:rFonts w:ascii="Tahoma" w:hAnsi="Tahoma" w:cs="Tahoma"/>
          <w:color w:val="000000"/>
        </w:rPr>
        <w:lastRenderedPageBreak/>
        <w:t>cyberbezpieczeństwa lub danych w nich przetwarzanych oraz zapobiegania i wykrywania przestępstw o charakterze terrorystycznym w tym obszarze oraz ścigania ich sprawców, AC wdraża w tych podmiotach, zgodnie z planem rocznym, system wczesnego ostrzegania o zagrożeniach występujących w sieci Internet. Koszty wdrożenia i utrzymania systemu ostrzegania pokrywa AC. AC, w drodze porozumienia, uzgadnia z podmiotem techniczne aspekty uczestnictwa w systemie ostrzegania oraz model konfiguracji systemu.</w:t>
      </w:r>
    </w:p>
    <w:p w14:paraId="6146A795"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W przypadku powzięcia informacji o wystąpieniu zdarzenia o charakterze terrorystycznym żądać od podmiotów krajowego systemu cyberbezpieczeństwa przedstawienia informacji o budowie, funkcjonowaniu oraz zasadach eksploatacji posiadanych systemów teleinformatycznych, w tym informacji obejmujących hasła komputerowe, kody dostępu i inne dane umożliwiające dostęp do systemu oraz ich używanie, w celu zapobiegania, reagowania na zdarzenia o charakterze terrorystycznym, a także zapobiegania i wykrywania przestępstw o charakterze terrorystycznym w tym obszarze oraz ścigania ich sprawców. Informacje i dane podlegają ochronie przewidzianej w przepisach o ochronie informacji niejawnych i mogą być udostępniane jedynie funkcjonariuszom AC prowadzącym w danym postępowaniu czynności operacyjno-rozpoznawcze i ich przełożonym, uprawnionym do sprawowania nadzoru nad tymi czynnościami.</w:t>
      </w:r>
    </w:p>
    <w:p w14:paraId="6E97DDFC"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W celu zapobiegania, przeciwdziałania i wykrywania przestępstw o charakterze terrorystycznym oraz ścigania ich sprawców sąd, na pisemny wniosek Szefa AC, złożony po uzyskaniu pisemnej zgody Prokuratora Generalnego, w drodze postanowienia, może zarządzić zablokowanie przez usługodawcę świadczącego usługi drogą elektroniczną dostępności w systemie teleinformatycznym określonych danych informatycznych mających związek ze zdarzeniem o charakterze terrorystycznym lub określonych usług teleinformatycznych służących lub wykorzystywanych do spowodowania zdarzenia o charakterze terrorystycznym. Postanowienie wydaje Sąd Okręgowy w Warszawie.</w:t>
      </w:r>
    </w:p>
    <w:p w14:paraId="532C0B1A"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W przypadkach niecierpiących zwłoki, jeżeli mogłaby ona spowodować zdarzenie o charakterze terrorystycznym, Szef AC, po uzyskaniu pisemnej zgody Prokuratora Generalnego, może zarządzić blokadę dostępności, zwracając się </w:t>
      </w:r>
      <w:r w:rsidRPr="00AA5B98">
        <w:rPr>
          <w:rFonts w:ascii="Tahoma" w:hAnsi="Tahoma" w:cs="Tahoma"/>
          <w:color w:val="000000"/>
        </w:rPr>
        <w:lastRenderedPageBreak/>
        <w:t>jednocześnie do sądu z wnioskiem o wydanie postanowienia w tej sprawie. Usługodawca świadczący usługi drogą elektroniczną jest obowiązany do natychmiastowego dokonania czynności określonych w postanowieniu sądu lub przekazanym mu żądaniu Szefa AC. Blokadę dostępności zarządza się na okres nie dłuższy niż 30 dni. Sąd może na pisemny wniosek Szefa AC, złożony po uzyskaniu pisemnej zgody Prokuratora Generalnego, wydać postanowienie o jednorazowym przedłużeniu blokady dostępności na okres nie dłuższy niż 3 miesiące, jeżeli nie ustały przyczyny jej zarządzenia.</w:t>
      </w:r>
    </w:p>
    <w:p w14:paraId="5BB2B657"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Blokady dostępności zaprzestaje się w przypadku:(1)    nieudzielenia przez sąd w terminie 5 dni od złożenia wniosku zgody na zarządzenie przez Szefa AC blokady dostępności; (2) nieudzielenia przez sąd zgody na przedłużenie blokady dostępności; (3) upływu okresu, na który blokada dostępności została wprowadzona.</w:t>
      </w:r>
    </w:p>
    <w:p w14:paraId="720A15E6"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Szef AC prowadzi rejestr zdarzeń naruszających bezpieczeństwo systemów teleinformatycznych. Rejestr zawiera w szczególności opis stwierdzonego zdarzenia naruszającego bezpieczeństwo systemu oraz sposób działania podmiotu powodującego naruszenie bezpieczeństwa oraz opis szkód w systemie powstałych lub mogących powstać wskutek zdarzenia naruszającego bezpieczeństwo systemu. Dane przekazuje Szefowi AC administrator systemu teleinformatycznego, o którym mowa po wykryciu zdarzenia naruszającego bezpieczeństwo tego systemu. Dane z rejestru są udostępniane Prezesowi Rady Ministrów.</w:t>
      </w:r>
    </w:p>
    <w:p w14:paraId="07F700C9"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Szef AC przedstawia Sejmowej Komisji do Spraw Służb Specjalnych oraz właściwej komisji sejmowej do spraw cyfryzacji roczną informację o stanie cyberbezpieczeństwa państwa.</w:t>
      </w:r>
    </w:p>
    <w:p w14:paraId="29E5C59C"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 xml:space="preserve">W ramach AC zatrudnieni są pracownicy i funkcjonariusze. Funkcjonariusze AC pełną służbę w ramach CSIRT GOV. Funkcjonariuszom AC przysługują uprawnienia funkcjonariuszy, o których mowa w ustawie z dnia 24 maja 2002 r. o Agencji Bezpieczeństwa Wewnętrznego oraz Agencji Wywiadu. Pracownikiem lub funkcjonariuszem AC może być obywatel polski o nieposzlakowanej opinii, który nie był skazany prawomocnym wyrokiem sądu za przestępstwo lub przestępstwo skarbowe, korzystający z pełni praw publicznych, posiadający wykształcenie wyższe oraz zdolność fizyczną i psychiczną do pracy lub służby w formacjach podległych </w:t>
      </w:r>
      <w:r w:rsidRPr="00AA5B98">
        <w:rPr>
          <w:rFonts w:ascii="Tahoma" w:hAnsi="Tahoma" w:cs="Tahoma"/>
          <w:color w:val="000000"/>
        </w:rPr>
        <w:lastRenderedPageBreak/>
        <w:t>szczególnej dyscyplinie służbowej, której gotów jest się podporządkować, a także dający rękojmię zachowania tajemnicy stosownie do wymogów określonych w przepisach o ochronie informacji niejawnych. Przyjęcie kandydata do pracy lub służby w AC następuje po przeprowadzeniu postępowania kwalifikacyjnego mającego na celu ustalenie, czy kandydat spełnia warunki zatrudnienia.</w:t>
      </w:r>
    </w:p>
    <w:p w14:paraId="6EDABA0D"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Postępowanie kwalifikacyjne rozpoczyna się od złożenia podania o zatrudnienie, kwestionariusza osobowego kandydata, a także dokumentów stwierdzających wymagane wykształcenie i kwalifikacje zawodowe oraz zawierających dane o uprzednim zatrudnieniu. Następnie kandydaci wypełniają test wiedzy i umiejętności z zakresu informatyki i nowoczesnych technologii teleinformatycznych oraz znajomości języka obcego z tego obszaru. Po wypełnieniu testu przechodzą badanie psychologiczne i uczestniczą w rozmowie kwalifikacyjnej. Po rozmowie komisja na podstawie wcześniejszych procedur ustala zdolność fizyczną i psychiczną do pracy lub służby w AC; sprawdza w ewidencjach, rejestrach i kartotekach prawdziwość danych zawartych w kwestionariuszu osobowym kandydata i przeprowadza wraz z innymi służbami postępowanie sprawdzające określone w przepisach o ochronie informacji niejawnych.</w:t>
      </w:r>
    </w:p>
    <w:p w14:paraId="6F84AD47" w14:textId="4C2B357B" w:rsidR="00224ACF" w:rsidRPr="00AA5B98" w:rsidRDefault="00224ACF" w:rsidP="00AA5B98">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Podczas przeprowadzania postępowania kandydaci nie mogą korzystać z pomocy innych osób; posługiwać się urządzeniami służącymi do przekazu, odbioru lub zapisu informacji lub korzystania z pomocniczych materiałów, niedopuszczonych do ich wykorzystania; zakłócania przebiegu etapów postępowania kwalifikacyjnego.</w:t>
      </w:r>
      <w:r w:rsidR="00AA5B98" w:rsidRPr="00AA5B98">
        <w:rPr>
          <w:rFonts w:ascii="Tahoma" w:hAnsi="Tahoma" w:cs="Tahoma"/>
        </w:rPr>
        <w:t xml:space="preserve"> </w:t>
      </w:r>
      <w:r w:rsidRPr="00AA5B98">
        <w:rPr>
          <w:rFonts w:ascii="Tahoma" w:hAnsi="Tahoma" w:cs="Tahoma"/>
          <w:color w:val="000000"/>
        </w:rPr>
        <w:t>Kandydaci z najwyższymi wynikami postępowania mają szansę na pełnienie służby w CSIRT GOV.</w:t>
      </w:r>
    </w:p>
    <w:p w14:paraId="4FF86DC9"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Art. 32-33 stanowią przepisy karne związane z niewykonywaniem zaleceń i obowiązków opisanych wyżej. Zgodnie z nimi za popełnienia takiego zaniechanie grozi grzywna. Funkcjonariusz AC, który wbrew przepisom ustawy wykorzystuje informacje uzyskane podczas lub w związku z pełnieniem obowiązków służbowych do celów niezwiązanych ze pełnieniem obowiązków służbowych podlega karze pozbawienia wolności od 6 miesięcy do lat 8. W postaci kwalifikowanej działania w celu osiągnięcia korzyści osobistej lub majątkowej kara pozbawienia wolności może wynosić od lat 2 do lat 12.</w:t>
      </w:r>
    </w:p>
    <w:p w14:paraId="08988E91" w14:textId="77777777" w:rsidR="00224ACF" w:rsidRPr="00AA5B98"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lastRenderedPageBreak/>
        <w:t>W przepisach zmieniających dokonuje się nowelizacji ustawy z dnia 24 maja 2002 r. o Agencji Bezpieczeństwa Wewnętrznego oraz Agencji Wywiadu; ustawy z dnia 26 kwietnia 2007 r. o zarządzaniu kryzysowym (Dz. U. z 2020 r. poz. 1856, z 2021 r. poz. 159) oraz ustawy z dnia 5 lipca 2018 r. o krajowym systemie cyberbezpieczeństwa. W zakresie zmiany z dnia 24 maja 2002 r. o Agencji Bezpieczeństwa Wewnętrznego oraz Agencji Wywiadu przenosi się funkcjonowanie CSIRT GOV spod Agencji Bezpieczeństwa Wewnętrznego pod kierownictwo AC. </w:t>
      </w:r>
    </w:p>
    <w:p w14:paraId="5FA1FC48"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AA5B98">
        <w:rPr>
          <w:rFonts w:ascii="Tahoma" w:hAnsi="Tahoma" w:cs="Tahoma"/>
          <w:color w:val="000000"/>
        </w:rPr>
        <w:t>Jak uregulowano w przepisach przejściowych, Szef ABW przekaże Szefowi AC w terminie 6 miesięcy od dnia wejścia w życie ustawy zarządzanie CSIRT GOV. W tym momencie Szef AC stanie się dysponentem majątku CSIRT GOV oraz stroną stosunków prawnych zespołu. Wszyscy pracownicy i funkcjonariusze ABW</w:t>
      </w:r>
      <w:r w:rsidRPr="00224ACF">
        <w:rPr>
          <w:rFonts w:ascii="Tahoma" w:hAnsi="Tahoma" w:cs="Tahoma"/>
          <w:color w:val="000000"/>
        </w:rPr>
        <w:t xml:space="preserve"> zatrudnieni w ramach CSIRT GOV, po upływie terminu, o którym mowa w ust. 1, stają się pracownikami i funkcjonariuszami AC.</w:t>
      </w:r>
    </w:p>
    <w:p w14:paraId="64584B6B" w14:textId="7E1F5593" w:rsidR="00224ACF" w:rsidRDefault="00224ACF" w:rsidP="00224ACF">
      <w:pPr>
        <w:pStyle w:val="NormalnyWeb"/>
        <w:spacing w:before="0" w:beforeAutospacing="0" w:after="0" w:afterAutospacing="0" w:line="360" w:lineRule="auto"/>
        <w:jc w:val="both"/>
        <w:rPr>
          <w:rFonts w:ascii="Tahoma" w:hAnsi="Tahoma" w:cs="Tahoma"/>
          <w:color w:val="000000"/>
        </w:rPr>
      </w:pPr>
      <w:r w:rsidRPr="00224ACF">
        <w:rPr>
          <w:rFonts w:ascii="Tahoma" w:hAnsi="Tahoma" w:cs="Tahoma"/>
          <w:color w:val="000000"/>
        </w:rPr>
        <w:t>         Proponuje się wejście ustawy w życie z dniem 1 stycznia 2022 r.</w:t>
      </w:r>
    </w:p>
    <w:p w14:paraId="1322E5C3" w14:textId="77777777" w:rsidR="00224ACF" w:rsidRPr="00224ACF" w:rsidRDefault="00224ACF" w:rsidP="00224ACF">
      <w:pPr>
        <w:pStyle w:val="NormalnyWeb"/>
        <w:spacing w:before="0" w:beforeAutospacing="0" w:after="0" w:afterAutospacing="0" w:line="360" w:lineRule="auto"/>
        <w:jc w:val="both"/>
        <w:rPr>
          <w:rFonts w:ascii="Tahoma" w:hAnsi="Tahoma" w:cs="Tahoma"/>
        </w:rPr>
      </w:pPr>
    </w:p>
    <w:p w14:paraId="2A522BFA" w14:textId="77777777" w:rsidR="00224ACF" w:rsidRPr="00224ACF" w:rsidRDefault="00224ACF" w:rsidP="00224ACF">
      <w:pPr>
        <w:pStyle w:val="Nagwek1"/>
        <w:spacing w:before="0" w:after="0" w:line="360" w:lineRule="auto"/>
        <w:jc w:val="both"/>
        <w:rPr>
          <w:rFonts w:ascii="Tahoma" w:hAnsi="Tahoma" w:cs="Tahoma"/>
          <w:b/>
          <w:sz w:val="24"/>
          <w:szCs w:val="24"/>
        </w:rPr>
      </w:pPr>
      <w:r w:rsidRPr="00224ACF">
        <w:rPr>
          <w:rFonts w:ascii="Tahoma" w:hAnsi="Tahoma" w:cs="Tahoma"/>
          <w:b/>
          <w:color w:val="000000"/>
          <w:sz w:val="24"/>
          <w:szCs w:val="24"/>
        </w:rPr>
        <w:t>3. Przewidywane skutki społeczne, gospodarcze, finansowe i prawne</w:t>
      </w:r>
    </w:p>
    <w:p w14:paraId="2D6DE313" w14:textId="77777777" w:rsidR="00224ACF" w:rsidRPr="00224ACF" w:rsidRDefault="00224ACF" w:rsidP="00224ACF">
      <w:pPr>
        <w:spacing w:line="360" w:lineRule="auto"/>
        <w:rPr>
          <w:rFonts w:ascii="Tahoma" w:hAnsi="Tahoma" w:cs="Tahoma"/>
          <w:sz w:val="24"/>
          <w:szCs w:val="24"/>
        </w:rPr>
      </w:pPr>
    </w:p>
    <w:p w14:paraId="6BAD0DCA"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Działanie Agencji Cyberbezpieczeństwa pozwoli na szybką analizę danych oraz wdrażanie procedur operacyjnych, które w czasie rzeczywistym będą stawiały czoło zagrożeniom. Przedsiębiorcy będą mieli zapewnione lepsze zabezpieczenie swoich działalności gospodarczych, a obywatele - swoich danych osobowych. Dzięki koordynacji systemu w ramach Agencji Cyberbezpieczeństwa reakcje na ataki będzie szybsza i sprawniejsza niż obecnie. To z kolei może zachęcić nowe inwestorów zagranicznych. Wprowadzenie proponowanej ustawy stworzy szansę na większą stabilność dla prowadzenia działalności gospodarczej i szybszy wzrost gospodarczy w następnych latach. To także lepsze zabezpieczenie infrastruktury krytycznej.</w:t>
      </w:r>
    </w:p>
    <w:p w14:paraId="68F6FFEF"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Innym ważnym skutkiem społecznym będą szkolenia z zakresu cyberbezpieczeństwa, które z czasem mogą zbudować świadomość społeczną na temat bezpieczeństwa cyfrowego. </w:t>
      </w:r>
    </w:p>
    <w:p w14:paraId="66C54FE9"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 xml:space="preserve">Z punktu widzenia systemu prawnego krajowy system bezpieczeństwa zyska instytucję koordynującą. Wszystkie działania operacyjne podejmowane przez CSIRT </w:t>
      </w:r>
      <w:r w:rsidRPr="00224ACF">
        <w:rPr>
          <w:rFonts w:ascii="Tahoma" w:hAnsi="Tahoma" w:cs="Tahoma"/>
          <w:color w:val="000000"/>
        </w:rPr>
        <w:lastRenderedPageBreak/>
        <w:t>GOV są dzisiaj implementowane na podstawie ustawy o Agencji Bezpieczeństwa Wewnętrznego i Agencji Wywiadu. Nie ma zatem niebezpieczeństwa  braku przygotowania infrastrukturalnego lub systemowego - proponowane procedury już funkcjonują, tylko w ramach innych podmiotów. </w:t>
      </w:r>
    </w:p>
    <w:p w14:paraId="3A97808D"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    Maksymalne wydatki związane z wykonaniem proponowanej ustawy zostały określone w art 39:</w:t>
      </w:r>
    </w:p>
    <w:p w14:paraId="612B7212"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1) w 2022 r. – 117.000 tys. zł;</w:t>
      </w:r>
    </w:p>
    <w:p w14:paraId="5AC3F601"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2) w 2023 r. – 264.000 tys. zł;</w:t>
      </w:r>
    </w:p>
    <w:p w14:paraId="2AC1598F"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3) w 2024 r. – 527.000 tys. zł;</w:t>
      </w:r>
    </w:p>
    <w:p w14:paraId="56958A94"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4) w 2025 r. – 765.000 tys. zł;</w:t>
      </w:r>
    </w:p>
    <w:p w14:paraId="41F2427B"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5) w 2026 r. – 434.000 tys. zł;</w:t>
      </w:r>
    </w:p>
    <w:p w14:paraId="05ED460C"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6) w 2027 r. – 444.000 tys. zł;</w:t>
      </w:r>
    </w:p>
    <w:p w14:paraId="7AA4FA45"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7) w 2028 r. – 454.000 tys. zł;</w:t>
      </w:r>
    </w:p>
    <w:p w14:paraId="262226F3"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8) w 2029 r. – 464.000 tys. zł;</w:t>
      </w:r>
    </w:p>
    <w:p w14:paraId="073CF1C0"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9) w 2030 r. – 475.000 tys. zł;</w:t>
      </w:r>
    </w:p>
    <w:p w14:paraId="48131270" w14:textId="77777777" w:rsidR="00224ACF" w:rsidRPr="00224ACF" w:rsidRDefault="00224ACF" w:rsidP="00224ACF">
      <w:pPr>
        <w:pStyle w:val="NormalnyWeb"/>
        <w:spacing w:before="0" w:beforeAutospacing="0" w:after="0" w:afterAutospacing="0" w:line="360" w:lineRule="auto"/>
        <w:rPr>
          <w:rFonts w:ascii="Tahoma" w:hAnsi="Tahoma" w:cs="Tahoma"/>
        </w:rPr>
      </w:pPr>
      <w:r w:rsidRPr="00224ACF">
        <w:rPr>
          <w:rFonts w:ascii="Tahoma" w:hAnsi="Tahoma" w:cs="Tahoma"/>
          <w:color w:val="000000"/>
        </w:rPr>
        <w:t>10) w 2031 r. – 486.000 tys. zł.</w:t>
      </w:r>
    </w:p>
    <w:p w14:paraId="1EB73BAA"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color w:val="000000"/>
        </w:rPr>
        <w:t>Wydatki związane będą z wydatkami bieżącymi (wynagrodzenia, koszty bieżące funkcjonowania) oraz w szczególności w pierwszych latach z inwestycjami. Inwestycje mają zbudować potencjał infrastrukturalny Agencji Cyberbezpieczeństwa i są konieczne do prawidłowego wykonywania powierzonych jej zadań. </w:t>
      </w:r>
    </w:p>
    <w:p w14:paraId="7678AE97"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b/>
          <w:bCs/>
          <w:color w:val="000000"/>
        </w:rPr>
        <w:t> </w:t>
      </w:r>
    </w:p>
    <w:p w14:paraId="0ECEBBCA" w14:textId="31B555BF" w:rsidR="00224ACF" w:rsidRDefault="00224ACF" w:rsidP="00224ACF">
      <w:pPr>
        <w:pStyle w:val="NormalnyWeb"/>
        <w:spacing w:before="0" w:beforeAutospacing="0" w:after="0" w:afterAutospacing="0" w:line="360" w:lineRule="auto"/>
        <w:ind w:firstLine="720"/>
        <w:jc w:val="both"/>
        <w:rPr>
          <w:rFonts w:ascii="Tahoma" w:hAnsi="Tahoma" w:cs="Tahoma"/>
          <w:b/>
          <w:bCs/>
          <w:color w:val="000000"/>
        </w:rPr>
      </w:pPr>
      <w:r w:rsidRPr="00224ACF">
        <w:rPr>
          <w:rFonts w:ascii="Tahoma" w:hAnsi="Tahoma" w:cs="Tahoma"/>
          <w:b/>
          <w:bCs/>
          <w:color w:val="000000"/>
        </w:rPr>
        <w:t>4. Źródła finansowania</w:t>
      </w:r>
    </w:p>
    <w:p w14:paraId="14A752A9"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p>
    <w:p w14:paraId="2C06DB46"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Zgodnie z art. 5 wydatki wskazane powyżej finansowane będą z odrębnej części budżetu państwa. Koszty realizacji zadań AC, w zakresie których – ze względu na wyłączenie ich jawności – nie mogą być stosowane przepisy o finansach publicznych, rachunkowości i zamówieniach publicznych, są finansowane z utworzonego na ten cel funduszu operacyjnego. Fundusz operacyjny nie będzie przekraczać 20% rocznego budżetu AC.</w:t>
      </w:r>
    </w:p>
    <w:p w14:paraId="1E16CA53"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 </w:t>
      </w:r>
    </w:p>
    <w:p w14:paraId="6B5C86F9" w14:textId="77777777" w:rsidR="00224ACF" w:rsidRPr="00224ACF" w:rsidRDefault="00224ACF" w:rsidP="00224ACF">
      <w:pPr>
        <w:pStyle w:val="Nagwek1"/>
        <w:spacing w:before="0" w:after="0" w:line="360" w:lineRule="auto"/>
        <w:ind w:firstLine="720"/>
        <w:jc w:val="both"/>
        <w:rPr>
          <w:rFonts w:ascii="Tahoma" w:hAnsi="Tahoma" w:cs="Tahoma"/>
          <w:sz w:val="24"/>
          <w:szCs w:val="24"/>
        </w:rPr>
      </w:pPr>
      <w:r w:rsidRPr="00224ACF">
        <w:rPr>
          <w:rFonts w:ascii="Tahoma" w:hAnsi="Tahoma" w:cs="Tahoma"/>
          <w:b/>
          <w:bCs/>
          <w:color w:val="000000"/>
          <w:sz w:val="24"/>
          <w:szCs w:val="24"/>
        </w:rPr>
        <w:lastRenderedPageBreak/>
        <w:t>5. Założenia podstawowych aktów wykonawczych</w:t>
      </w:r>
    </w:p>
    <w:p w14:paraId="57B300D5" w14:textId="77777777" w:rsidR="00224ACF" w:rsidRPr="00224ACF" w:rsidRDefault="00224ACF" w:rsidP="00224ACF">
      <w:pPr>
        <w:spacing w:line="360" w:lineRule="auto"/>
        <w:rPr>
          <w:rFonts w:ascii="Tahoma" w:hAnsi="Tahoma" w:cs="Tahoma"/>
          <w:sz w:val="24"/>
          <w:szCs w:val="24"/>
        </w:rPr>
      </w:pPr>
    </w:p>
    <w:p w14:paraId="0933C752"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Art. 21 ust. 2. Rozporządzenie Prezesa Rady Ministrów sposób niszczenia materiałów z kontroli bezpieczeństwa Agencji Cyberbezpieczeństwa.</w:t>
      </w:r>
    </w:p>
    <w:p w14:paraId="22724366" w14:textId="1789137A"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Prezes Rady Ministrów wskaże, że informacje uzyskane przez Agencję Cyberbezpieczeństwa w wyniku przeprowadzania kontroli bezpieczeństwa stanowią tajemnicę prawnie chronioną i nie mogą być wykorzystane do realizacji innych zadań ustawowych Agencji Cyberbezpieczeństwa oraz podlegają one niezwłocznemu, komisyjnemu i protokolarnemu zniszczeniu. Prezes Rady Ministrów określi procedure zniszczenia, sposób ustalania składu komisji, w której będą przedstawiciele podmiotu, którego dane są niszczone, oraz wzór protokołu zniszczenia, mając na uwadze rodzaj materiałów podlegających zniszczeniu.</w:t>
      </w:r>
    </w:p>
    <w:p w14:paraId="00BCF8AE" w14:textId="77777777" w:rsidR="00224ACF" w:rsidRPr="00224ACF" w:rsidRDefault="00224ACF" w:rsidP="00224ACF">
      <w:pPr>
        <w:pStyle w:val="NormalnyWeb"/>
        <w:spacing w:before="0" w:beforeAutospacing="0" w:after="0" w:afterAutospacing="0" w:line="360" w:lineRule="auto"/>
        <w:jc w:val="both"/>
        <w:rPr>
          <w:rFonts w:ascii="Tahoma" w:hAnsi="Tahoma" w:cs="Tahoma"/>
        </w:rPr>
      </w:pPr>
    </w:p>
    <w:p w14:paraId="149052C9"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Art. 21 ust. 3. Rozporządzenie Rady Ministrów w sprawie określenia trybu i warunków przeprowadzania kontroli bezpieczeństwa Agencji Cyberbezpieczeństwa</w:t>
      </w:r>
    </w:p>
    <w:p w14:paraId="08EA917C" w14:textId="77777777"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Rada Ministrów określi czynności niezbędne do przeprowadzenia kontroli bezpieczeństwa. w szczególności zobowiąże Agencję Cyberbezpieczeństwa do uzgodnienia z podmiotem kontrolowanym ramowych warunki przeprowadzenia kontroli, w szczególności datę rozpoczęcia, harmonogram oraz zakres i rodzaj przeprowadzanych w ramach kontroli bezpieczeństwa testów bezpieczeństwa. Rada Ministrów w szczególności weźmie pod uwagę minimalizację zakłócenia pracy systemu teleinformatycznego lub ograniczenia jego dostępności.</w:t>
      </w:r>
    </w:p>
    <w:p w14:paraId="7FC49B5E" w14:textId="19FC8E44"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color w:val="000000"/>
        </w:rPr>
        <w:t> </w:t>
      </w:r>
    </w:p>
    <w:p w14:paraId="348967C0"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Art. 22 ust. 9. Rozporządzenie Prezesa Rady Ministrów warunki i tryb prowadzenia, koordynacji i wdrażania systemu ostrzegania w zakresie cyberbezpieczeństwa</w:t>
      </w:r>
    </w:p>
    <w:p w14:paraId="165DFB4E" w14:textId="07D4F789" w:rsid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color w:val="000000"/>
        </w:rPr>
        <w:t xml:space="preserve">Prezes Rady Ministrów określi warunki i tryb prowadzenia, koordynacji i wdrażania systemu ostrzegania, w szczególności określi czynności niezbędne do jego uruchomienia i utrzymania oraz wzór porozumienia między Agencją Cyberbezpieczeństwa a podmiotem objętym systemem w sprawie technicznych </w:t>
      </w:r>
      <w:r w:rsidRPr="00224ACF">
        <w:rPr>
          <w:rFonts w:ascii="Tahoma" w:hAnsi="Tahoma" w:cs="Tahoma"/>
          <w:color w:val="000000"/>
        </w:rPr>
        <w:lastRenderedPageBreak/>
        <w:t>aspektów uczestnictwa w systemie ostrzegania oraz modelu konfiguracji systemu. Prezes Rady Ministrów będzie kierował się potrzebą zapewnienia bezpieczeństwa systemów teleinformatycznych istotnych z punktu widzenia ciągłości funkcjonowania państwa.</w:t>
      </w:r>
    </w:p>
    <w:p w14:paraId="1028F9B2" w14:textId="77777777" w:rsidR="00224ACF" w:rsidRPr="00224ACF" w:rsidRDefault="00224ACF" w:rsidP="00224ACF">
      <w:pPr>
        <w:pStyle w:val="NormalnyWeb"/>
        <w:spacing w:before="0" w:beforeAutospacing="0" w:after="0" w:afterAutospacing="0" w:line="360" w:lineRule="auto"/>
        <w:jc w:val="both"/>
        <w:rPr>
          <w:rFonts w:ascii="Tahoma" w:hAnsi="Tahoma" w:cs="Tahoma"/>
        </w:rPr>
      </w:pPr>
    </w:p>
    <w:p w14:paraId="2E7EAEE9"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Art. 24 ust. 14. Rozporządzenie Prezesa Rady Ministrów sposób dokumentowania blokady dostępności oraz przechowywania i przekazywania dokumentów</w:t>
      </w:r>
    </w:p>
    <w:p w14:paraId="4D08F6BD"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Prezes Rady Ministrów określi sposób dokumentowania blokady dostępności oraz przechowywania i przekazywania postanowień, pisemnych zgód, zarządzeń i wniosków. Prezes Rady Ministrów uwzględni w szczególności potrzebę zapewnienia niejawnego charakteru podejmowanych czynności i uzyskanych materiałów, a także przejrzystość procedury dla zainteresowanych stron. </w:t>
      </w:r>
    </w:p>
    <w:p w14:paraId="6BEE7F2F" w14:textId="77777777" w:rsidR="00224ACF" w:rsidRPr="00224ACF" w:rsidRDefault="00224ACF" w:rsidP="00224ACF">
      <w:pPr>
        <w:spacing w:line="360" w:lineRule="auto"/>
        <w:rPr>
          <w:rFonts w:ascii="Tahoma" w:hAnsi="Tahoma" w:cs="Tahoma"/>
          <w:sz w:val="24"/>
          <w:szCs w:val="24"/>
        </w:rPr>
      </w:pPr>
    </w:p>
    <w:p w14:paraId="379215B3"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 </w:t>
      </w:r>
    </w:p>
    <w:p w14:paraId="7A5755F5"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6. Wpływ na działalność mikroprzedsiębiorców oraz małych i średnich przedsiębiorców</w:t>
      </w:r>
    </w:p>
    <w:p w14:paraId="0389815B"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b/>
          <w:bCs/>
          <w:color w:val="000000"/>
        </w:rPr>
        <w:t> </w:t>
      </w:r>
    </w:p>
    <w:p w14:paraId="4D344285"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Proponowana ustawa pozytywnie wpłynie na działalność mikroprzedsiębiorców oraz małych i średnich przedsiębiorców poprzez zwiększenie poziom cyberbezpieczeństwa systemów teleinformatycznych oraz podniesienie kompetencji pracowników w zakresie cyberbezpieczeństwa.</w:t>
      </w:r>
    </w:p>
    <w:p w14:paraId="4516E293" w14:textId="0AA75212"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b/>
          <w:bCs/>
          <w:color w:val="000000"/>
        </w:rPr>
        <w:t>  </w:t>
      </w:r>
    </w:p>
    <w:p w14:paraId="19FEEDD5" w14:textId="77777777" w:rsidR="00224ACF" w:rsidRPr="00224ACF" w:rsidRDefault="00224ACF" w:rsidP="00224ACF">
      <w:pPr>
        <w:pStyle w:val="NormalnyWeb"/>
        <w:spacing w:before="0" w:beforeAutospacing="0" w:after="0" w:afterAutospacing="0" w:line="360" w:lineRule="auto"/>
        <w:jc w:val="both"/>
        <w:rPr>
          <w:rFonts w:ascii="Tahoma" w:hAnsi="Tahoma" w:cs="Tahoma"/>
        </w:rPr>
      </w:pPr>
      <w:r w:rsidRPr="00224ACF">
        <w:rPr>
          <w:rFonts w:ascii="Tahoma" w:hAnsi="Tahoma" w:cs="Tahoma"/>
          <w:b/>
          <w:bCs/>
          <w:color w:val="000000"/>
        </w:rPr>
        <w:t>7. Oświadczenie o zgodności projektu ustawy z prawem Unii Europejskiej albo oświadczenie, że przedmiot projektowanej regulacji nie jest objęty prawem Unii Europejskiej</w:t>
      </w:r>
    </w:p>
    <w:p w14:paraId="63F6C258"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b/>
          <w:bCs/>
          <w:color w:val="000000"/>
        </w:rPr>
        <w:t> </w:t>
      </w:r>
    </w:p>
    <w:p w14:paraId="66610760" w14:textId="6E84D8F0" w:rsidR="00133D4D" w:rsidRDefault="00224ACF" w:rsidP="00133D4D">
      <w:pPr>
        <w:shd w:val="clear" w:color="auto" w:fill="FFFFFF"/>
        <w:spacing w:line="360" w:lineRule="auto"/>
        <w:ind w:firstLine="700"/>
        <w:jc w:val="both"/>
        <w:rPr>
          <w:b/>
          <w:sz w:val="24"/>
          <w:szCs w:val="24"/>
        </w:rPr>
      </w:pPr>
      <w:r w:rsidRPr="00224ACF">
        <w:rPr>
          <w:rFonts w:ascii="Tahoma" w:hAnsi="Tahoma" w:cs="Tahoma"/>
          <w:color w:val="000000"/>
        </w:rPr>
        <w:t>Projektowana ustawa jest zgodna z prawem Unii Europejskiej.</w:t>
      </w:r>
      <w:r w:rsidR="00133D4D">
        <w:rPr>
          <w:sz w:val="24"/>
          <w:szCs w:val="24"/>
        </w:rPr>
        <w:t xml:space="preserve"> Projekt ustawy nie wymaga przedstawienia właściwym organom i instytucjom Unii Europejskiej w tym Europejskiemu Bankowi Centralnemu, w celu uzyskania opinii, dokonania powiadomienia, konsultacji lub uzgodnienia.</w:t>
      </w:r>
    </w:p>
    <w:p w14:paraId="48116104" w14:textId="4810F063" w:rsidR="00224ACF" w:rsidRPr="00224ACF" w:rsidRDefault="00224ACF" w:rsidP="00133D4D">
      <w:pPr>
        <w:pStyle w:val="NormalnyWeb"/>
        <w:spacing w:before="0" w:beforeAutospacing="0" w:after="0" w:afterAutospacing="0" w:line="360" w:lineRule="auto"/>
        <w:jc w:val="both"/>
        <w:rPr>
          <w:rFonts w:ascii="Tahoma" w:hAnsi="Tahoma" w:cs="Tahoma"/>
        </w:rPr>
      </w:pPr>
    </w:p>
    <w:p w14:paraId="1DBF3F97" w14:textId="6134C6AA" w:rsidR="00224ACF" w:rsidRDefault="00224ACF" w:rsidP="00224ACF">
      <w:pPr>
        <w:pStyle w:val="NormalnyWeb"/>
        <w:spacing w:before="0" w:beforeAutospacing="0" w:after="0" w:afterAutospacing="0" w:line="360" w:lineRule="auto"/>
        <w:jc w:val="both"/>
        <w:rPr>
          <w:rFonts w:ascii="Tahoma" w:hAnsi="Tahoma" w:cs="Tahoma"/>
          <w:b/>
          <w:bCs/>
          <w:color w:val="000000"/>
        </w:rPr>
      </w:pPr>
      <w:r>
        <w:rPr>
          <w:rFonts w:ascii="Tahoma" w:hAnsi="Tahoma" w:cs="Tahoma"/>
          <w:b/>
          <w:bCs/>
          <w:color w:val="000000"/>
        </w:rPr>
        <w:lastRenderedPageBreak/>
        <w:t>8</w:t>
      </w:r>
      <w:r w:rsidRPr="00224ACF">
        <w:rPr>
          <w:rFonts w:ascii="Tahoma" w:hAnsi="Tahoma" w:cs="Tahoma"/>
          <w:b/>
          <w:bCs/>
          <w:color w:val="000000"/>
        </w:rPr>
        <w:t>. Oświadczenie o zgodności projektu ustawy</w:t>
      </w:r>
      <w:r>
        <w:rPr>
          <w:rFonts w:ascii="Tahoma" w:hAnsi="Tahoma" w:cs="Tahoma"/>
          <w:b/>
          <w:bCs/>
          <w:color w:val="000000"/>
        </w:rPr>
        <w:t xml:space="preserve"> z Konstytucją RP</w:t>
      </w:r>
    </w:p>
    <w:p w14:paraId="40B64FAF" w14:textId="6F6ABDE8" w:rsidR="00224ACF" w:rsidRPr="00224ACF" w:rsidRDefault="00224ACF" w:rsidP="00224ACF">
      <w:pPr>
        <w:pStyle w:val="NormalnyWeb"/>
        <w:spacing w:before="0" w:beforeAutospacing="0" w:after="0" w:afterAutospacing="0" w:line="360" w:lineRule="auto"/>
        <w:jc w:val="both"/>
        <w:rPr>
          <w:rFonts w:ascii="Tahoma" w:hAnsi="Tahoma" w:cs="Tahoma"/>
          <w:bCs/>
          <w:color w:val="000000"/>
        </w:rPr>
      </w:pPr>
    </w:p>
    <w:p w14:paraId="6D044D69" w14:textId="2CA8E482" w:rsidR="00224ACF" w:rsidRPr="00224ACF" w:rsidRDefault="00224ACF" w:rsidP="00224ACF">
      <w:pPr>
        <w:pStyle w:val="NormalnyWeb"/>
        <w:spacing w:before="0" w:beforeAutospacing="0" w:after="0" w:afterAutospacing="0" w:line="360" w:lineRule="auto"/>
        <w:ind w:firstLine="720"/>
        <w:jc w:val="both"/>
        <w:rPr>
          <w:rFonts w:ascii="Tahoma" w:hAnsi="Tahoma" w:cs="Tahoma"/>
          <w:color w:val="000000"/>
        </w:rPr>
      </w:pPr>
      <w:r w:rsidRPr="00224ACF">
        <w:rPr>
          <w:rFonts w:ascii="Tahoma" w:hAnsi="Tahoma" w:cs="Tahoma"/>
          <w:bCs/>
          <w:color w:val="000000"/>
        </w:rPr>
        <w:t>W ocenie wnioskodawcy proponowany projekt jest zgodny z Konstytucją RP.</w:t>
      </w:r>
    </w:p>
    <w:p w14:paraId="37B7A347" w14:textId="77777777" w:rsidR="00224ACF" w:rsidRPr="00224ACF" w:rsidRDefault="00224ACF" w:rsidP="00224ACF">
      <w:pPr>
        <w:pStyle w:val="NormalnyWeb"/>
        <w:spacing w:before="0" w:beforeAutospacing="0" w:after="0" w:afterAutospacing="0" w:line="360" w:lineRule="auto"/>
        <w:jc w:val="both"/>
        <w:rPr>
          <w:rFonts w:ascii="Tahoma" w:hAnsi="Tahoma" w:cs="Tahoma"/>
        </w:rPr>
      </w:pPr>
    </w:p>
    <w:p w14:paraId="24DEC744" w14:textId="0EB22ED1" w:rsidR="00224ACF" w:rsidRPr="00224ACF" w:rsidRDefault="00224ACF" w:rsidP="00224ACF">
      <w:pPr>
        <w:pStyle w:val="NormalnyWeb"/>
        <w:spacing w:before="0" w:beforeAutospacing="0" w:after="0" w:afterAutospacing="0" w:line="360" w:lineRule="auto"/>
        <w:jc w:val="both"/>
        <w:rPr>
          <w:rFonts w:ascii="Tahoma" w:hAnsi="Tahoma" w:cs="Tahoma"/>
        </w:rPr>
      </w:pPr>
      <w:r>
        <w:rPr>
          <w:rFonts w:ascii="Tahoma" w:hAnsi="Tahoma" w:cs="Tahoma"/>
          <w:b/>
          <w:bCs/>
          <w:color w:val="000000"/>
        </w:rPr>
        <w:t>9</w:t>
      </w:r>
      <w:r w:rsidRPr="00224ACF">
        <w:rPr>
          <w:rFonts w:ascii="Tahoma" w:hAnsi="Tahoma" w:cs="Tahoma"/>
          <w:b/>
          <w:bCs/>
          <w:color w:val="000000"/>
        </w:rPr>
        <w:t>. Konsultacje społeczne</w:t>
      </w:r>
    </w:p>
    <w:p w14:paraId="118F4D27"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 </w:t>
      </w:r>
    </w:p>
    <w:p w14:paraId="418F95A7" w14:textId="77777777" w:rsidR="00224ACF" w:rsidRPr="00224ACF" w:rsidRDefault="00224ACF" w:rsidP="00224ACF">
      <w:pPr>
        <w:pStyle w:val="NormalnyWeb"/>
        <w:spacing w:before="0" w:beforeAutospacing="0" w:after="0" w:afterAutospacing="0" w:line="360" w:lineRule="auto"/>
        <w:ind w:firstLine="720"/>
        <w:jc w:val="both"/>
        <w:rPr>
          <w:rFonts w:ascii="Tahoma" w:hAnsi="Tahoma" w:cs="Tahoma"/>
        </w:rPr>
      </w:pPr>
      <w:r w:rsidRPr="00224ACF">
        <w:rPr>
          <w:rFonts w:ascii="Tahoma" w:hAnsi="Tahoma" w:cs="Tahoma"/>
          <w:color w:val="000000"/>
        </w:rPr>
        <w:t>Projekt nie był poddany konsultacjom społecznym.</w:t>
      </w:r>
    </w:p>
    <w:p w14:paraId="3433FC70" w14:textId="77777777" w:rsidR="00983AC0" w:rsidRDefault="00983AC0" w:rsidP="00224ACF">
      <w:pPr>
        <w:rPr>
          <w:rFonts w:ascii="Tahoma" w:hAnsi="Tahoma" w:cs="Tahoma"/>
          <w:b/>
          <w:sz w:val="24"/>
          <w:szCs w:val="24"/>
        </w:rPr>
      </w:pPr>
    </w:p>
    <w:sectPr w:rsidR="00983AC0" w:rsidSect="00FA0F1C">
      <w:footerReference w:type="default" r:id="rId9"/>
      <w:pgSz w:w="11909" w:h="16834"/>
      <w:pgMar w:top="1560" w:right="1440" w:bottom="1560" w:left="1440"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2C0318" w14:textId="77777777" w:rsidR="00D54085" w:rsidRDefault="00D54085" w:rsidP="00E627DD">
      <w:pPr>
        <w:spacing w:line="240" w:lineRule="auto"/>
      </w:pPr>
      <w:r>
        <w:separator/>
      </w:r>
    </w:p>
  </w:endnote>
  <w:endnote w:type="continuationSeparator" w:id="0">
    <w:p w14:paraId="6A08DF5F" w14:textId="77777777" w:rsidR="00D54085" w:rsidRDefault="00D54085" w:rsidP="00E627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47E49A" w14:textId="54F131A5" w:rsidR="00E627DD" w:rsidRPr="00E627DD" w:rsidRDefault="00E627DD" w:rsidP="00E627DD">
    <w:pPr>
      <w:pStyle w:val="Stopka"/>
      <w:tabs>
        <w:tab w:val="clear" w:pos="4536"/>
        <w:tab w:val="center" w:pos="4514"/>
        <w:tab w:val="left" w:pos="5610"/>
      </w:tabs>
      <w:rPr>
        <w:rFonts w:ascii="Tahoma" w:hAnsi="Tahoma" w:cs="Tahoma"/>
      </w:rPr>
    </w:pPr>
    <w:r w:rsidRPr="00E627DD">
      <w:rPr>
        <w:rFonts w:ascii="Tahoma" w:hAnsi="Tahoma" w:cs="Tahoma"/>
      </w:rPr>
      <w:tab/>
    </w:r>
    <w:sdt>
      <w:sdtPr>
        <w:rPr>
          <w:rFonts w:ascii="Tahoma" w:hAnsi="Tahoma" w:cs="Tahoma"/>
        </w:rPr>
        <w:id w:val="1359462772"/>
        <w:docPartObj>
          <w:docPartGallery w:val="Page Numbers (Bottom of Page)"/>
          <w:docPartUnique/>
        </w:docPartObj>
      </w:sdtPr>
      <w:sdtEndPr/>
      <w:sdtContent>
        <w:r w:rsidRPr="00E627DD">
          <w:rPr>
            <w:rFonts w:ascii="Tahoma" w:hAnsi="Tahoma" w:cs="Tahoma"/>
          </w:rPr>
          <w:fldChar w:fldCharType="begin"/>
        </w:r>
        <w:r w:rsidRPr="00E627DD">
          <w:rPr>
            <w:rFonts w:ascii="Tahoma" w:hAnsi="Tahoma" w:cs="Tahoma"/>
          </w:rPr>
          <w:instrText>PAGE   \* MERGEFORMAT</w:instrText>
        </w:r>
        <w:r w:rsidRPr="00E627DD">
          <w:rPr>
            <w:rFonts w:ascii="Tahoma" w:hAnsi="Tahoma" w:cs="Tahoma"/>
          </w:rPr>
          <w:fldChar w:fldCharType="separate"/>
        </w:r>
        <w:r w:rsidR="00735455" w:rsidRPr="00735455">
          <w:rPr>
            <w:rFonts w:ascii="Tahoma" w:hAnsi="Tahoma" w:cs="Tahoma"/>
            <w:noProof/>
            <w:lang w:val="pl-PL"/>
          </w:rPr>
          <w:t>16</w:t>
        </w:r>
        <w:r w:rsidRPr="00E627DD">
          <w:rPr>
            <w:rFonts w:ascii="Tahoma" w:hAnsi="Tahoma" w:cs="Tahoma"/>
          </w:rPr>
          <w:fldChar w:fldCharType="end"/>
        </w:r>
      </w:sdtContent>
    </w:sdt>
    <w:r w:rsidRPr="00E627DD">
      <w:rPr>
        <w:rFonts w:ascii="Tahoma" w:hAnsi="Tahoma" w:cs="Tahoma"/>
      </w:rPr>
      <w:tab/>
    </w:r>
  </w:p>
  <w:p w14:paraId="51FFC699" w14:textId="77777777" w:rsidR="00E627DD" w:rsidRPr="00E627DD" w:rsidRDefault="00E627DD">
    <w:pPr>
      <w:pStyle w:val="Stopka"/>
      <w:rPr>
        <w:rFonts w:ascii="Tahoma" w:hAnsi="Tahoma" w:cs="Tahom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87F60" w14:textId="77777777" w:rsidR="00D54085" w:rsidRDefault="00D54085" w:rsidP="00E627DD">
      <w:pPr>
        <w:spacing w:line="240" w:lineRule="auto"/>
      </w:pPr>
      <w:r>
        <w:separator/>
      </w:r>
    </w:p>
  </w:footnote>
  <w:footnote w:type="continuationSeparator" w:id="0">
    <w:p w14:paraId="0A484C13" w14:textId="77777777" w:rsidR="00D54085" w:rsidRDefault="00D54085" w:rsidP="00E627D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1470C"/>
    <w:multiLevelType w:val="multilevel"/>
    <w:tmpl w:val="C2F00CAA"/>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 w15:restartNumberingAfterBreak="0">
    <w:nsid w:val="102A405D"/>
    <w:multiLevelType w:val="multilevel"/>
    <w:tmpl w:val="D340B8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59D4B98"/>
    <w:multiLevelType w:val="multilevel"/>
    <w:tmpl w:val="9EA00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5A93908"/>
    <w:multiLevelType w:val="multilevel"/>
    <w:tmpl w:val="48F8EA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B6C3413"/>
    <w:multiLevelType w:val="multilevel"/>
    <w:tmpl w:val="EE62B8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3810865"/>
    <w:multiLevelType w:val="multilevel"/>
    <w:tmpl w:val="5AE221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3947C53"/>
    <w:multiLevelType w:val="multilevel"/>
    <w:tmpl w:val="B71ADD4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B6D562B"/>
    <w:multiLevelType w:val="multilevel"/>
    <w:tmpl w:val="DD36F3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5F153BE"/>
    <w:multiLevelType w:val="multilevel"/>
    <w:tmpl w:val="C9EE33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6587D08"/>
    <w:multiLevelType w:val="multilevel"/>
    <w:tmpl w:val="C8E6D19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672257D5"/>
    <w:multiLevelType w:val="multilevel"/>
    <w:tmpl w:val="A0EE63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33F0C87"/>
    <w:multiLevelType w:val="multilevel"/>
    <w:tmpl w:val="98B87A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6590814"/>
    <w:multiLevelType w:val="multilevel"/>
    <w:tmpl w:val="51D030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2"/>
  </w:num>
  <w:num w:numId="3">
    <w:abstractNumId w:val="5"/>
  </w:num>
  <w:num w:numId="4">
    <w:abstractNumId w:val="7"/>
  </w:num>
  <w:num w:numId="5">
    <w:abstractNumId w:val="8"/>
  </w:num>
  <w:num w:numId="6">
    <w:abstractNumId w:val="11"/>
  </w:num>
  <w:num w:numId="7">
    <w:abstractNumId w:val="10"/>
  </w:num>
  <w:num w:numId="8">
    <w:abstractNumId w:val="0"/>
  </w:num>
  <w:num w:numId="9">
    <w:abstractNumId w:val="1"/>
  </w:num>
  <w:num w:numId="10">
    <w:abstractNumId w:val="4"/>
  </w:num>
  <w:num w:numId="11">
    <w:abstractNumId w:val="3"/>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4D"/>
    <w:rsid w:val="00133D4D"/>
    <w:rsid w:val="00224ACF"/>
    <w:rsid w:val="00735455"/>
    <w:rsid w:val="00796C38"/>
    <w:rsid w:val="00844FD6"/>
    <w:rsid w:val="00870A50"/>
    <w:rsid w:val="00983AC0"/>
    <w:rsid w:val="009A7A2A"/>
    <w:rsid w:val="00AA227D"/>
    <w:rsid w:val="00AA5B98"/>
    <w:rsid w:val="00B23980"/>
    <w:rsid w:val="00B96C0B"/>
    <w:rsid w:val="00D54085"/>
    <w:rsid w:val="00E627DD"/>
    <w:rsid w:val="00F9684D"/>
    <w:rsid w:val="00FA0F1C"/>
    <w:rsid w:val="00FB30F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225D3"/>
  <w15:docId w15:val="{91D84BA5-119C-4532-A74B-D518A12EC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tyle>
  <w:style w:type="paragraph" w:styleId="Nagwek1">
    <w:name w:val="heading 1"/>
    <w:basedOn w:val="Normalny"/>
    <w:next w:val="Normalny"/>
    <w:pPr>
      <w:keepNext/>
      <w:keepLines/>
      <w:spacing w:before="400" w:after="120"/>
      <w:outlineLvl w:val="0"/>
    </w:pPr>
    <w:rPr>
      <w:sz w:val="40"/>
      <w:szCs w:val="40"/>
    </w:rPr>
  </w:style>
  <w:style w:type="paragraph" w:styleId="Nagwek2">
    <w:name w:val="heading 2"/>
    <w:basedOn w:val="Normalny"/>
    <w:next w:val="Normalny"/>
    <w:pPr>
      <w:keepNext/>
      <w:keepLines/>
      <w:spacing w:before="360" w:after="120"/>
      <w:outlineLvl w:val="1"/>
    </w:pPr>
    <w:rPr>
      <w:sz w:val="32"/>
      <w:szCs w:val="32"/>
    </w:rPr>
  </w:style>
  <w:style w:type="paragraph" w:styleId="Nagwek3">
    <w:name w:val="heading 3"/>
    <w:basedOn w:val="Normalny"/>
    <w:next w:val="Normalny"/>
    <w:pPr>
      <w:keepNext/>
      <w:keepLines/>
      <w:spacing w:before="320" w:after="80"/>
      <w:outlineLvl w:val="2"/>
    </w:pPr>
    <w:rPr>
      <w:color w:val="434343"/>
      <w:sz w:val="28"/>
      <w:szCs w:val="28"/>
    </w:rPr>
  </w:style>
  <w:style w:type="paragraph" w:styleId="Nagwek4">
    <w:name w:val="heading 4"/>
    <w:basedOn w:val="Normalny"/>
    <w:next w:val="Normalny"/>
    <w:pPr>
      <w:keepNext/>
      <w:keepLines/>
      <w:spacing w:before="280" w:after="80"/>
      <w:outlineLvl w:val="3"/>
    </w:pPr>
    <w:rPr>
      <w:color w:val="666666"/>
      <w:sz w:val="24"/>
      <w:szCs w:val="24"/>
    </w:rPr>
  </w:style>
  <w:style w:type="paragraph" w:styleId="Nagwek5">
    <w:name w:val="heading 5"/>
    <w:basedOn w:val="Normalny"/>
    <w:next w:val="Normalny"/>
    <w:pPr>
      <w:keepNext/>
      <w:keepLines/>
      <w:spacing w:before="240" w:after="80"/>
      <w:outlineLvl w:val="4"/>
    </w:pPr>
    <w:rPr>
      <w:color w:val="666666"/>
    </w:rPr>
  </w:style>
  <w:style w:type="paragraph" w:styleId="Nagwek6">
    <w:name w:val="heading 6"/>
    <w:basedOn w:val="Normalny"/>
    <w:next w:val="Normalny"/>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after="60"/>
    </w:pPr>
    <w:rPr>
      <w:sz w:val="52"/>
      <w:szCs w:val="52"/>
    </w:rPr>
  </w:style>
  <w:style w:type="paragraph" w:styleId="Podtytu">
    <w:name w:val="Subtitle"/>
    <w:basedOn w:val="Normalny"/>
    <w:next w:val="Normalny"/>
    <w:pPr>
      <w:keepNext/>
      <w:keepLines/>
      <w:spacing w:after="320"/>
    </w:pPr>
    <w:rPr>
      <w:color w:val="666666"/>
      <w:sz w:val="30"/>
      <w:szCs w:val="30"/>
    </w:rPr>
  </w:style>
  <w:style w:type="paragraph" w:styleId="Akapitzlist">
    <w:name w:val="List Paragraph"/>
    <w:basedOn w:val="Normalny"/>
    <w:uiPriority w:val="34"/>
    <w:qFormat/>
    <w:rsid w:val="00983AC0"/>
    <w:pPr>
      <w:ind w:left="720"/>
      <w:contextualSpacing/>
    </w:pPr>
  </w:style>
  <w:style w:type="paragraph" w:styleId="NormalnyWeb">
    <w:name w:val="Normal (Web)"/>
    <w:basedOn w:val="Normalny"/>
    <w:uiPriority w:val="99"/>
    <w:unhideWhenUsed/>
    <w:rsid w:val="00983AC0"/>
    <w:pPr>
      <w:spacing w:before="100" w:beforeAutospacing="1" w:after="100" w:afterAutospacing="1" w:line="240" w:lineRule="auto"/>
    </w:pPr>
    <w:rPr>
      <w:rFonts w:ascii="Times New Roman" w:eastAsia="Times New Roman" w:hAnsi="Times New Roman" w:cs="Times New Roman"/>
      <w:sz w:val="24"/>
      <w:szCs w:val="24"/>
      <w:lang w:val="pl-PL"/>
    </w:rPr>
  </w:style>
  <w:style w:type="paragraph" w:styleId="Nagwek">
    <w:name w:val="header"/>
    <w:basedOn w:val="Normalny"/>
    <w:link w:val="NagwekZnak"/>
    <w:uiPriority w:val="99"/>
    <w:unhideWhenUsed/>
    <w:rsid w:val="00E627DD"/>
    <w:pPr>
      <w:tabs>
        <w:tab w:val="center" w:pos="4536"/>
        <w:tab w:val="right" w:pos="9072"/>
      </w:tabs>
      <w:spacing w:line="240" w:lineRule="auto"/>
    </w:pPr>
  </w:style>
  <w:style w:type="character" w:customStyle="1" w:styleId="NagwekZnak">
    <w:name w:val="Nagłówek Znak"/>
    <w:basedOn w:val="Domylnaczcionkaakapitu"/>
    <w:link w:val="Nagwek"/>
    <w:uiPriority w:val="99"/>
    <w:rsid w:val="00E627DD"/>
  </w:style>
  <w:style w:type="paragraph" w:styleId="Stopka">
    <w:name w:val="footer"/>
    <w:basedOn w:val="Normalny"/>
    <w:link w:val="StopkaZnak"/>
    <w:uiPriority w:val="99"/>
    <w:unhideWhenUsed/>
    <w:rsid w:val="00E627DD"/>
    <w:pPr>
      <w:tabs>
        <w:tab w:val="center" w:pos="4536"/>
        <w:tab w:val="right" w:pos="9072"/>
      </w:tabs>
      <w:spacing w:line="240" w:lineRule="auto"/>
    </w:pPr>
  </w:style>
  <w:style w:type="character" w:customStyle="1" w:styleId="StopkaZnak">
    <w:name w:val="Stopka Znak"/>
    <w:basedOn w:val="Domylnaczcionkaakapitu"/>
    <w:link w:val="Stopka"/>
    <w:uiPriority w:val="99"/>
    <w:rsid w:val="00E627DD"/>
  </w:style>
  <w:style w:type="character" w:styleId="Hipercze">
    <w:name w:val="Hyperlink"/>
    <w:basedOn w:val="Domylnaczcionkaakapitu"/>
    <w:uiPriority w:val="99"/>
    <w:semiHidden/>
    <w:unhideWhenUsed/>
    <w:rsid w:val="00224ACF"/>
    <w:rPr>
      <w:color w:val="0000FF"/>
      <w:u w:val="single"/>
    </w:rPr>
  </w:style>
  <w:style w:type="paragraph" w:styleId="Tekstprzypisudolnego">
    <w:name w:val="footnote text"/>
    <w:basedOn w:val="Normalny"/>
    <w:link w:val="TekstprzypisudolnegoZnak"/>
    <w:uiPriority w:val="99"/>
    <w:unhideWhenUsed/>
    <w:rsid w:val="009A7A2A"/>
    <w:pPr>
      <w:spacing w:line="240" w:lineRule="auto"/>
    </w:pPr>
    <w:rPr>
      <w:sz w:val="20"/>
      <w:szCs w:val="20"/>
    </w:rPr>
  </w:style>
  <w:style w:type="character" w:customStyle="1" w:styleId="TekstprzypisudolnegoZnak">
    <w:name w:val="Tekst przypisu dolnego Znak"/>
    <w:basedOn w:val="Domylnaczcionkaakapitu"/>
    <w:link w:val="Tekstprzypisudolnego"/>
    <w:uiPriority w:val="99"/>
    <w:rsid w:val="009A7A2A"/>
    <w:rPr>
      <w:sz w:val="20"/>
      <w:szCs w:val="20"/>
    </w:rPr>
  </w:style>
  <w:style w:type="character" w:styleId="Odwoanieprzypisudolnego">
    <w:name w:val="footnote reference"/>
    <w:basedOn w:val="Domylnaczcionkaakapitu"/>
    <w:uiPriority w:val="99"/>
    <w:semiHidden/>
    <w:unhideWhenUsed/>
    <w:rsid w:val="009A7A2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069309">
      <w:bodyDiv w:val="1"/>
      <w:marLeft w:val="0"/>
      <w:marRight w:val="0"/>
      <w:marTop w:val="0"/>
      <w:marBottom w:val="0"/>
      <w:divBdr>
        <w:top w:val="none" w:sz="0" w:space="0" w:color="auto"/>
        <w:left w:val="none" w:sz="0" w:space="0" w:color="auto"/>
        <w:bottom w:val="none" w:sz="0" w:space="0" w:color="auto"/>
        <w:right w:val="none" w:sz="0" w:space="0" w:color="auto"/>
      </w:divBdr>
    </w:div>
    <w:div w:id="17457624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10.10.74.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39858-8085-4F4C-A083-4F93E78AD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4564</Words>
  <Characters>27384</Characters>
  <Application>Microsoft Office Word</Application>
  <DocSecurity>0</DocSecurity>
  <Lines>228</Lines>
  <Paragraphs>63</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31885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Dariusz Standerski</dc:creator>
  <cp:lastModifiedBy>Grzegorz Molesztak</cp:lastModifiedBy>
  <cp:revision>3</cp:revision>
  <cp:lastPrinted>2021-08-05T07:50:00Z</cp:lastPrinted>
  <dcterms:created xsi:type="dcterms:W3CDTF">2021-10-08T05:59:00Z</dcterms:created>
  <dcterms:modified xsi:type="dcterms:W3CDTF">2022-02-23T11:50:00Z</dcterms:modified>
</cp:coreProperties>
</file>