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599" w:rsidRDefault="00C32599" w:rsidP="00A428F6">
      <w:pPr>
        <w:pStyle w:val="OZNRODZAKTUtznustawalubrozporzdzenieiorganwydajcy"/>
      </w:pPr>
      <w:bookmarkStart w:id="0" w:name="_GoBack"/>
      <w:bookmarkEnd w:id="0"/>
      <w:r w:rsidRPr="00A428F6">
        <w:t>UZASADNIENIE</w:t>
      </w:r>
    </w:p>
    <w:p w:rsidR="00C32599" w:rsidRPr="003B7AE0" w:rsidRDefault="00C32599" w:rsidP="003B7AE0">
      <w:pPr>
        <w:pStyle w:val="DATAAKTUdatauchwalenialubwydaniaaktu"/>
      </w:pPr>
    </w:p>
    <w:p w:rsidR="00C32599" w:rsidRPr="007E12E8" w:rsidRDefault="00C32599" w:rsidP="00A44B5F">
      <w:pPr>
        <w:pStyle w:val="PKTpunkt"/>
        <w:rPr>
          <w:rStyle w:val="Ppogrubienie"/>
        </w:rPr>
      </w:pPr>
      <w:r w:rsidRPr="007E12E8">
        <w:rPr>
          <w:rStyle w:val="Ppogrubienie"/>
        </w:rPr>
        <w:t>1.</w:t>
      </w:r>
      <w:r w:rsidRPr="007E12E8">
        <w:rPr>
          <w:rStyle w:val="Ppogrubienie"/>
        </w:rPr>
        <w:tab/>
        <w:t>Cel projektowanej ustawy</w:t>
      </w:r>
    </w:p>
    <w:p w:rsidR="00C32599" w:rsidRDefault="00C32599" w:rsidP="00A44B5F">
      <w:pPr>
        <w:pStyle w:val="NIEARTTEKSTtekstnieartykuowanynppreambua"/>
        <w:rPr>
          <w:rFonts w:eastAsia="Times New Roman"/>
          <w:bdr w:val="none" w:sz="0" w:space="0" w:color="auto" w:frame="1"/>
        </w:rPr>
      </w:pPr>
      <w:r>
        <w:rPr>
          <w:rFonts w:eastAsia="Times New Roman"/>
          <w:bdr w:val="none" w:sz="0" w:space="0" w:color="auto" w:frame="1"/>
        </w:rPr>
        <w:t xml:space="preserve">Projekt ustawy stanowi realizację postulatu zawartego w petycji indywidualnej wniesionej do Senatu Rzeczypospolitej Polskiej w dniu 26 sierpnia 2020 r. (P10-88/20). Autor petycji wystąpił z propozycją rozszerzenia regulacji art. 69 ustawy z dnia 30 sierpnia 2002 r. – Prawo o postępowaniu przed sądami administracyjnymi (Ppsa) o możliwość doręczeń w postępowaniu administracyjnym na adres skrytki pocztowej. Wskazał on, że skoro aktualnie instytucję doręczenia na adres skrytki pocztowej przewiduje ustawa z dnia 17 listopada 1964 r. – Kodeks postępowania cywilnego (Kpc), ustawa z dnia 6 czerwca </w:t>
      </w:r>
      <w:r>
        <w:rPr>
          <w:rFonts w:eastAsia="Times New Roman"/>
          <w:bdr w:val="none" w:sz="0" w:space="0" w:color="auto" w:frame="1"/>
        </w:rPr>
        <w:br/>
        <w:t>1997 r. – Kodeks postępowania karnego (Kpk) i ustawa z dnia 24 sierpnia 2001 r. – Kodeks postępowania w sprawach o wykroczenia (Kpw),</w:t>
      </w:r>
      <w:r w:rsidRPr="00BD3990">
        <w:t xml:space="preserve"> </w:t>
      </w:r>
      <w:r>
        <w:t>a jej stosowanie nie spowodowało problemów nawet w tak ważnych sprawach jak proces karny, to powinna ona być również przewidziana w postępowaniu przed sądami administracyjnymi</w:t>
      </w:r>
      <w:r>
        <w:rPr>
          <w:rFonts w:eastAsia="Times New Roman"/>
          <w:bdr w:val="none" w:sz="0" w:space="0" w:color="auto" w:frame="1"/>
        </w:rPr>
        <w:t xml:space="preserve">. </w:t>
      </w:r>
    </w:p>
    <w:p w:rsidR="00C32599" w:rsidRDefault="00C32599" w:rsidP="00A44B5F">
      <w:pPr>
        <w:pStyle w:val="NIEARTTEKSTtekstnieartykuowanynppreambua"/>
        <w:rPr>
          <w:rFonts w:eastAsia="Times New Roman"/>
          <w:bdr w:val="none" w:sz="0" w:space="0" w:color="auto" w:frame="1"/>
        </w:rPr>
      </w:pPr>
      <w:r>
        <w:rPr>
          <w:rFonts w:eastAsia="Times New Roman"/>
          <w:bdr w:val="none" w:sz="0" w:space="0" w:color="auto" w:frame="1"/>
        </w:rPr>
        <w:t xml:space="preserve">Zgodnie z art. 135 </w:t>
      </w:r>
      <w:r>
        <w:rPr>
          <w:rFonts w:eastAsia="Times New Roman" w:cs="Times"/>
          <w:bdr w:val="none" w:sz="0" w:space="0" w:color="auto" w:frame="1"/>
        </w:rPr>
        <w:t>§</w:t>
      </w:r>
      <w:r>
        <w:rPr>
          <w:rFonts w:eastAsia="Times New Roman"/>
          <w:bdr w:val="none" w:sz="0" w:space="0" w:color="auto" w:frame="1"/>
        </w:rPr>
        <w:t xml:space="preserve"> 2 Kpc „</w:t>
      </w:r>
      <w:r>
        <w:rPr>
          <w:rFonts w:eastAsia="Times New Roman" w:cs="Times"/>
          <w:bdr w:val="none" w:sz="0" w:space="0" w:color="auto" w:frame="1"/>
        </w:rPr>
        <w:t>§</w:t>
      </w:r>
      <w:r>
        <w:rPr>
          <w:rFonts w:eastAsia="Times New Roman"/>
          <w:bdr w:val="none" w:sz="0" w:space="0" w:color="auto" w:frame="1"/>
        </w:rPr>
        <w:t xml:space="preserve"> 2. Na wniosek strony doręczenie może być dokonane na wskazany przez nią adres skrytki pocztowej. W tym wypadku pismo sądowe przesłane za pośrednictwem operatora pocztowego w rozumieniu ustawy z dnia 23 listopada </w:t>
      </w:r>
      <w:r>
        <w:rPr>
          <w:rFonts w:eastAsia="Times New Roman"/>
          <w:bdr w:val="none" w:sz="0" w:space="0" w:color="auto" w:frame="1"/>
        </w:rPr>
        <w:br/>
        <w:t xml:space="preserve">2012 r. – Prawo pocztowe składa się w placówce pocztowej tego operatora, umieszczając zawiadomienie o tym w skrytce pocztowej adresata.”. </w:t>
      </w:r>
    </w:p>
    <w:p w:rsidR="00C32599" w:rsidRDefault="00C32599" w:rsidP="00A44B5F">
      <w:pPr>
        <w:pStyle w:val="NIEARTTEKSTtekstnieartykuowanynppreambua"/>
        <w:rPr>
          <w:rFonts w:eastAsia="Times New Roman"/>
          <w:bdr w:val="none" w:sz="0" w:space="0" w:color="auto" w:frame="1"/>
        </w:rPr>
      </w:pPr>
      <w:r>
        <w:rPr>
          <w:rFonts w:eastAsia="Times New Roman"/>
          <w:bdr w:val="none" w:sz="0" w:space="0" w:color="auto" w:frame="1"/>
        </w:rPr>
        <w:t xml:space="preserve">Zgodnie z art. 132 </w:t>
      </w:r>
      <w:r>
        <w:rPr>
          <w:rFonts w:eastAsia="Times New Roman" w:cs="Times"/>
          <w:bdr w:val="none" w:sz="0" w:space="0" w:color="auto" w:frame="1"/>
        </w:rPr>
        <w:t>§</w:t>
      </w:r>
      <w:r>
        <w:rPr>
          <w:rFonts w:eastAsia="Times New Roman"/>
          <w:bdr w:val="none" w:sz="0" w:space="0" w:color="auto" w:frame="1"/>
        </w:rPr>
        <w:t xml:space="preserve"> 1a Kpk „</w:t>
      </w:r>
      <w:r>
        <w:rPr>
          <w:rFonts w:eastAsia="Times New Roman" w:cs="Times"/>
          <w:bdr w:val="none" w:sz="0" w:space="0" w:color="auto" w:frame="1"/>
        </w:rPr>
        <w:t>§</w:t>
      </w:r>
      <w:r>
        <w:rPr>
          <w:rFonts w:eastAsia="Times New Roman"/>
          <w:bdr w:val="none" w:sz="0" w:space="0" w:color="auto" w:frame="1"/>
        </w:rPr>
        <w:t xml:space="preserve">1a. Na wniosek adresata doręczenie może być dokonane na wskazany przez niego adres skrytki pocztowej. W tym wypadku pismo przesłane za pośrednictwem operatora pocztowego, o którym mowa w art. 131 </w:t>
      </w:r>
      <w:r>
        <w:rPr>
          <w:rFonts w:eastAsia="Times New Roman" w:cs="Times"/>
          <w:bdr w:val="none" w:sz="0" w:space="0" w:color="auto" w:frame="1"/>
        </w:rPr>
        <w:t>§</w:t>
      </w:r>
      <w:r>
        <w:rPr>
          <w:rFonts w:eastAsia="Times New Roman"/>
          <w:bdr w:val="none" w:sz="0" w:space="0" w:color="auto" w:frame="1"/>
        </w:rPr>
        <w:t xml:space="preserve"> 1 pkt 1, składa się w placówce pocztowej tego operatora, umieszczając zawiadomienie o tym w skrytce pocztowej adresata.”. </w:t>
      </w:r>
    </w:p>
    <w:p w:rsidR="00C32599" w:rsidRDefault="00C32599" w:rsidP="00A44B5F">
      <w:pPr>
        <w:pStyle w:val="NIEARTTEKSTtekstnieartykuowanynppreambua"/>
        <w:rPr>
          <w:rFonts w:eastAsia="Times New Roman"/>
          <w:bdr w:val="none" w:sz="0" w:space="0" w:color="auto" w:frame="1"/>
        </w:rPr>
      </w:pPr>
      <w:r>
        <w:rPr>
          <w:rFonts w:eastAsia="Times New Roman"/>
          <w:bdr w:val="none" w:sz="0" w:space="0" w:color="auto" w:frame="1"/>
        </w:rPr>
        <w:t xml:space="preserve">Przepis art. 38 </w:t>
      </w:r>
      <w:r>
        <w:rPr>
          <w:rFonts w:eastAsia="Times New Roman" w:cs="Times"/>
          <w:bdr w:val="none" w:sz="0" w:space="0" w:color="auto" w:frame="1"/>
        </w:rPr>
        <w:t>§</w:t>
      </w:r>
      <w:r>
        <w:rPr>
          <w:rFonts w:eastAsia="Times New Roman"/>
          <w:bdr w:val="none" w:sz="0" w:space="0" w:color="auto" w:frame="1"/>
        </w:rPr>
        <w:t xml:space="preserve"> 1 Kpw przewiduje natomiast, że do czynności procesowych prowadzonych w postępowaniu w sprawach o wykroczenia stosuje się odpowiednio przepisy ww. art. 132 Kpk.</w:t>
      </w:r>
    </w:p>
    <w:p w:rsidR="00C32599" w:rsidRDefault="00C32599" w:rsidP="003D6F62">
      <w:pPr>
        <w:pStyle w:val="NIEARTTEKSTtekstnieartykuowanynppreambua"/>
      </w:pPr>
      <w:r>
        <w:t>Niezależnie od powyższego za przyjęciem proponowanego rozwiązania, podobnie jak w przypadku procesu cywilnego i karnego, przemawia również:</w:t>
      </w:r>
    </w:p>
    <w:p w:rsidR="00C32599" w:rsidRDefault="00C32599" w:rsidP="00C32599">
      <w:pPr>
        <w:pStyle w:val="PKTpunkt"/>
        <w:numPr>
          <w:ilvl w:val="0"/>
          <w:numId w:val="47"/>
        </w:numPr>
        <w:suppressAutoHyphens w:val="0"/>
        <w:autoSpaceDE/>
        <w:autoSpaceDN/>
        <w:adjustRightInd/>
      </w:pPr>
      <w:r>
        <w:t>ułatwienie dostępu do sądu osobom, które z różnych przyczyn nie mogą odbierać korespondencji w miejscu zamieszkania, w tym osobom bezdomnym;</w:t>
      </w:r>
    </w:p>
    <w:p w:rsidR="00C32599" w:rsidRDefault="00C32599" w:rsidP="00C32599">
      <w:pPr>
        <w:pStyle w:val="PKTpunkt"/>
        <w:numPr>
          <w:ilvl w:val="0"/>
          <w:numId w:val="47"/>
        </w:numPr>
        <w:suppressAutoHyphens w:val="0"/>
        <w:autoSpaceDE/>
        <w:autoSpaceDN/>
        <w:adjustRightInd/>
      </w:pPr>
      <w:r>
        <w:lastRenderedPageBreak/>
        <w:t>aspekt praktyczny, uwzględniający fakt, że niejednokrotnie korzystanie ze skrytki pocztowej jest dla adresata wygodniejsze.</w:t>
      </w:r>
    </w:p>
    <w:p w:rsidR="00C32599" w:rsidRDefault="00C32599" w:rsidP="003D6F62">
      <w:pPr>
        <w:pStyle w:val="NIEARTTEKSTtekstnieartykuowanynppreambua"/>
      </w:pPr>
    </w:p>
    <w:p w:rsidR="00C32599" w:rsidRDefault="00C32599" w:rsidP="00A44B5F">
      <w:pPr>
        <w:pStyle w:val="PKTpunkt"/>
        <w:rPr>
          <w:b/>
        </w:rPr>
      </w:pPr>
      <w:r w:rsidRPr="00134C1B">
        <w:rPr>
          <w:b/>
        </w:rPr>
        <w:t>2.</w:t>
      </w:r>
      <w:r w:rsidRPr="00134C1B">
        <w:rPr>
          <w:b/>
        </w:rPr>
        <w:tab/>
        <w:t>Różnice między obowiązującym a projektowanym stanem prawnym</w:t>
      </w:r>
    </w:p>
    <w:p w:rsidR="00C32599" w:rsidRDefault="00C32599" w:rsidP="00A44B5F">
      <w:pPr>
        <w:pStyle w:val="NIEARTTEKSTtekstnieartykuowanynppreambua"/>
      </w:pPr>
      <w:r>
        <w:t>Obecnie w postępowaniu przed sądami administracyjnymi nie występuje możliwość doręczenia pisma na wniosek adresata na adres skrytki pocztowej. Zgodnie z wyrażoną w art. 69 Ppsa zasadą doręczania pism bezpośrednio adresatowi do rąk własnych (doręczania właściwego) doręczenia dokonuje się w mieszkaniu, w miejscu pracy lub tam, gdzie się adresata zastanie. Adresatem jest w tym przypadku osoba fizyczna, do której sąd kieruje pismo. W zależności od okoliczności może nią być strona, uczestnik postępowania, ich przedstawiciel ustawowy, pełnomocnik, kurator, czy osoba upoważniona do odbioru pisma. Doręczeń dokonuje się w szczególności w miejscu zamieszkania, a w razie niemożności doręczenia pisma w miejscu zamieszkania, doręcza się je w miejscu pracy, do rąk własnych (postanowienie SN z 27 stycznia 1998 r., III CKN 620/97, OSNC 1998/9, poz. 146). Gdy i to jest niemożliwe – wszędzie tam, gdzie się adresata zastanie. Doręczenie pisma w miejscu gdzie się adresata zastanie jest jednak dokonywane przez pracowników sądu albo przez inne upoważnione przez sąd osoby. Doręczyciel nie jest przy tym obowiązany do poszukiwania miejsca pracy adresata, jeżeli nie zostało ono wskazane w adresie podanym przez sąd. Doręcza on pismo do miejsca wybranego i wskazanego przez sąd.</w:t>
      </w:r>
    </w:p>
    <w:p w:rsidR="00C32599" w:rsidRDefault="00C32599" w:rsidP="008759B9">
      <w:pPr>
        <w:pStyle w:val="NIEARTTEKSTtekstnieartykuowanynppreambua"/>
        <w:rPr>
          <w:rFonts w:eastAsia="Times New Roman"/>
          <w:bdr w:val="none" w:sz="0" w:space="0" w:color="auto" w:frame="1"/>
        </w:rPr>
      </w:pPr>
      <w:r>
        <w:rPr>
          <w:rFonts w:eastAsia="Times New Roman"/>
          <w:bdr w:val="none" w:sz="0" w:space="0" w:color="auto" w:frame="1"/>
        </w:rPr>
        <w:t xml:space="preserve">Zgodnie z proponowanym art. 69 </w:t>
      </w:r>
      <w:r>
        <w:rPr>
          <w:rFonts w:eastAsia="Times New Roman" w:cs="Times"/>
          <w:bdr w:val="none" w:sz="0" w:space="0" w:color="auto" w:frame="1"/>
        </w:rPr>
        <w:t>§</w:t>
      </w:r>
      <w:r>
        <w:rPr>
          <w:rFonts w:eastAsia="Times New Roman"/>
          <w:bdr w:val="none" w:sz="0" w:space="0" w:color="auto" w:frame="1"/>
        </w:rPr>
        <w:t xml:space="preserve"> 2 Ppsa na wniosek adresata doręczenie może być dokonane na wskazany przez niego adres skrytki pocztowej. W takim przypadku pismo przesłane za pośrednictwem operatora pocztowego w rozumieniu ustawy z dnia 23 listopada 2012 r. – Prawo pocztowe składa się w placówce pocztowej tego operatora, pozostawiając zawiadomienie o tym w skrytce pocztowej adresata. Zawiadomienie sporządza placówka pocztowa operatora.</w:t>
      </w:r>
    </w:p>
    <w:p w:rsidR="00C32599" w:rsidRDefault="00C32599" w:rsidP="008759B9">
      <w:pPr>
        <w:pStyle w:val="NIEARTTEKSTtekstnieartykuowanynppreambua"/>
      </w:pPr>
      <w:r>
        <w:t xml:space="preserve">W konsekwencji wprowadzenia do Ppsa instytucji doręczania na adres skrytki pocztowej dokonano również odpowiednich zmian w obrębie art. 73 Ppsa. W </w:t>
      </w:r>
      <w:r>
        <w:rPr>
          <w:rFonts w:cs="Times"/>
        </w:rPr>
        <w:t>§</w:t>
      </w:r>
      <w:r>
        <w:t xml:space="preserve"> 1 tego artykułu skorygowano odesłanie do przywołanych w nim przepisów zastępując wyrazy „art. 65–72” wyrazami „art. 65–68, art. 69 </w:t>
      </w:r>
      <w:r>
        <w:rPr>
          <w:rFonts w:cs="Times"/>
        </w:rPr>
        <w:t>§</w:t>
      </w:r>
      <w:r>
        <w:t xml:space="preserve"> 1 oraz art. 70–72”. Ponadto w artykule tym dodano </w:t>
      </w:r>
      <w:r>
        <w:rPr>
          <w:rFonts w:cs="Times"/>
        </w:rPr>
        <w:t>§</w:t>
      </w:r>
      <w:r>
        <w:t xml:space="preserve"> 5 nakazujący, w przypadku niepodjęcia pisma w terminie, o którym mowa w proponowanym art. 69 </w:t>
      </w:r>
      <w:r>
        <w:rPr>
          <w:rFonts w:cs="Times"/>
        </w:rPr>
        <w:t>§</w:t>
      </w:r>
      <w:r>
        <w:t xml:space="preserve"> 2 Ppsa, odpowiednie stosowanie przepisów </w:t>
      </w:r>
      <w:r>
        <w:rPr>
          <w:rFonts w:cs="Times"/>
        </w:rPr>
        <w:t>§</w:t>
      </w:r>
      <w:r>
        <w:t xml:space="preserve"> 3 i 4 ww. art. 73. </w:t>
      </w:r>
      <w:r>
        <w:lastRenderedPageBreak/>
        <w:t xml:space="preserve">Przepis </w:t>
      </w:r>
      <w:r>
        <w:rPr>
          <w:rFonts w:cs="Times"/>
        </w:rPr>
        <w:t>§</w:t>
      </w:r>
      <w:r>
        <w:t xml:space="preserve"> 5 rozstrzyga tym samym, że doręczenie na adres skrytki pocztowej nie wyklucza powtórnego zawiadomienia po upływie 7 dni, a w ostateczności przyjęcia fikcji doręczenia.</w:t>
      </w:r>
    </w:p>
    <w:p w:rsidR="00C32599" w:rsidRDefault="00C32599" w:rsidP="00DC5CA1">
      <w:pPr>
        <w:pStyle w:val="NIEARTTEKSTtekstnieartykuowanynppreambua"/>
        <w:rPr>
          <w:rFonts w:eastAsia="Times New Roman"/>
          <w:bdr w:val="none" w:sz="0" w:space="0" w:color="auto" w:frame="1"/>
        </w:rPr>
      </w:pPr>
      <w:r>
        <w:rPr>
          <w:rFonts w:eastAsia="Times New Roman"/>
          <w:bdr w:val="none" w:sz="0" w:space="0" w:color="auto" w:frame="1"/>
        </w:rPr>
        <w:t xml:space="preserve">Zgodnie z art. 2 projektowanej ustawy wchodzi ona w życie po upływie 14 dni od dnia ogłoszenia, zapewniając minimalne </w:t>
      </w:r>
      <w:r w:rsidRPr="00DC5CA1">
        <w:rPr>
          <w:rStyle w:val="Kkursywa"/>
        </w:rPr>
        <w:t>vacatio legis</w:t>
      </w:r>
      <w:r>
        <w:rPr>
          <w:rFonts w:eastAsia="Times New Roman"/>
          <w:bdr w:val="none" w:sz="0" w:space="0" w:color="auto" w:frame="1"/>
        </w:rPr>
        <w:t xml:space="preserve"> zgodnie z przepisami art. 4 ust. 1 ustawy z dnia 20 lipca 2000 r. o ogłaszaniu aktów normatywnych i niektórych innych aktów prawnych.</w:t>
      </w:r>
    </w:p>
    <w:p w:rsidR="00C32599" w:rsidRPr="00DC5CA1" w:rsidRDefault="00C32599" w:rsidP="00DC5CA1"/>
    <w:p w:rsidR="00C32599" w:rsidRDefault="00C32599" w:rsidP="00A44B5F">
      <w:pPr>
        <w:pStyle w:val="PKTpunkt"/>
        <w:rPr>
          <w:b/>
        </w:rPr>
      </w:pPr>
      <w:r>
        <w:rPr>
          <w:b/>
        </w:rPr>
        <w:t>3</w:t>
      </w:r>
      <w:r w:rsidRPr="000C0DC5">
        <w:rPr>
          <w:b/>
        </w:rPr>
        <w:t>.</w:t>
      </w:r>
      <w:r w:rsidRPr="000C0DC5">
        <w:rPr>
          <w:b/>
        </w:rPr>
        <w:tab/>
      </w:r>
      <w:r>
        <w:rPr>
          <w:b/>
        </w:rPr>
        <w:t>Skutki i wyniki konsultacji</w:t>
      </w:r>
    </w:p>
    <w:p w:rsidR="00C32599" w:rsidRPr="0015124C" w:rsidRDefault="00C32599" w:rsidP="0015124C">
      <w:pPr>
        <w:pStyle w:val="NIEARTTEKSTtekstnieartykuowanynppreambua"/>
        <w:rPr>
          <w:bCs w:val="0"/>
          <w:bdr w:val="none" w:sz="0" w:space="0" w:color="auto" w:frame="1"/>
        </w:rPr>
      </w:pPr>
      <w:r w:rsidRPr="00E83EEC">
        <w:t>Oczekiwane skutki społeczne, gospodarcze i finansowe oraz wynik</w:t>
      </w:r>
      <w:r>
        <w:t>i</w:t>
      </w:r>
      <w:r w:rsidRPr="00E83EEC">
        <w:t xml:space="preserve"> konsultacji </w:t>
      </w:r>
      <w:r>
        <w:t xml:space="preserve">zostały </w:t>
      </w:r>
      <w:r w:rsidRPr="00E83EEC">
        <w:t>przedstawi</w:t>
      </w:r>
      <w:r>
        <w:t>one w ocenie skutków regulacji</w:t>
      </w:r>
      <w:r w:rsidRPr="00E83EEC">
        <w:t>.</w:t>
      </w:r>
      <w:r>
        <w:t xml:space="preserve"> </w:t>
      </w:r>
      <w:r w:rsidRPr="00502743">
        <w:t xml:space="preserve">Nadesłane w ramach konsultacji opinie i uwagi </w:t>
      </w:r>
      <w:r>
        <w:t xml:space="preserve">zostały </w:t>
      </w:r>
      <w:r w:rsidRPr="00502743">
        <w:t>zamieszczone na senackiej stronie interne</w:t>
      </w:r>
      <w:r>
        <w:t>towej.</w:t>
      </w:r>
    </w:p>
    <w:p w:rsidR="00C32599" w:rsidRDefault="00C32599" w:rsidP="00A44B5F">
      <w:pPr>
        <w:pStyle w:val="PKTpunkt"/>
        <w:rPr>
          <w:b/>
        </w:rPr>
      </w:pPr>
    </w:p>
    <w:p w:rsidR="00C32599" w:rsidRPr="000C0DC5" w:rsidRDefault="00C32599" w:rsidP="00A44B5F">
      <w:pPr>
        <w:pStyle w:val="PKTpunkt"/>
        <w:rPr>
          <w:b/>
        </w:rPr>
      </w:pPr>
      <w:r>
        <w:rPr>
          <w:b/>
        </w:rPr>
        <w:t>4.</w:t>
      </w:r>
      <w:r>
        <w:rPr>
          <w:b/>
        </w:rPr>
        <w:tab/>
      </w:r>
      <w:r w:rsidRPr="000C0DC5">
        <w:rPr>
          <w:b/>
        </w:rPr>
        <w:t>Oświadczenie o zgodności z prawem Unii Europejskiej</w:t>
      </w:r>
    </w:p>
    <w:p w:rsidR="00C32599" w:rsidRPr="000F1940" w:rsidRDefault="00C32599" w:rsidP="000F1940">
      <w:pPr>
        <w:pStyle w:val="NIEARTTEKSTtekstnieartykuowanynppreambua"/>
        <w:rPr>
          <w:rFonts w:eastAsia="Times New Roman"/>
          <w:bdr w:val="none" w:sz="0" w:space="0" w:color="auto" w:frame="1"/>
        </w:rPr>
      </w:pPr>
      <w:r>
        <w:rPr>
          <w:rFonts w:eastAsia="Times New Roman"/>
          <w:bdr w:val="none" w:sz="0" w:space="0" w:color="auto" w:frame="1"/>
        </w:rPr>
        <w:t>Projekt ustawy nie zawiera przepisów objętych regulacją prawa Unii Europejskiej.</w:t>
      </w:r>
    </w:p>
    <w:p w:rsidR="00CC11AE" w:rsidRPr="00CC11AE" w:rsidRDefault="00CC11AE" w:rsidP="00CC11AE">
      <w:pPr>
        <w:widowControl/>
        <w:suppressAutoHyphens/>
        <w:spacing w:before="120"/>
        <w:ind w:firstLine="510"/>
        <w:rPr>
          <w:rFonts w:ascii="Times" w:hAnsi="Times"/>
        </w:rPr>
      </w:pPr>
    </w:p>
    <w:p w:rsidR="00C70646" w:rsidRPr="00621566" w:rsidRDefault="00C70646" w:rsidP="00C70646"/>
    <w:p w:rsidR="00C70646" w:rsidRPr="001B342E" w:rsidRDefault="00C70646" w:rsidP="00C70646"/>
    <w:sectPr w:rsidR="00C70646" w:rsidRPr="001B342E" w:rsidSect="00C32599">
      <w:headerReference w:type="first" r:id="rId7"/>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680" w:rsidRDefault="005E5680">
      <w:r>
        <w:separator/>
      </w:r>
    </w:p>
  </w:endnote>
  <w:endnote w:type="continuationSeparator" w:id="0">
    <w:p w:rsidR="005E5680" w:rsidRDefault="005E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680" w:rsidRDefault="005E5680">
      <w:r>
        <w:separator/>
      </w:r>
    </w:p>
  </w:footnote>
  <w:footnote w:type="continuationSeparator" w:id="0">
    <w:p w:rsidR="005E5680" w:rsidRDefault="005E56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599" w:rsidRDefault="00C32599" w:rsidP="00C32599">
    <w:pPr>
      <w:pStyle w:val="Nagwek"/>
      <w:tabs>
        <w:tab w:val="clear" w:pos="4536"/>
        <w:tab w:val="clear" w:pos="9072"/>
        <w:tab w:val="left" w:pos="552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B5A0A4A"/>
    <w:multiLevelType w:val="hybridMultilevel"/>
    <w:tmpl w:val="296687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5"/>
  </w:num>
  <w:num w:numId="12">
    <w:abstractNumId w:val="11"/>
  </w:num>
  <w:num w:numId="13">
    <w:abstractNumId w:val="17"/>
  </w:num>
  <w:num w:numId="14">
    <w:abstractNumId w:val="28"/>
  </w:num>
  <w:num w:numId="15">
    <w:abstractNumId w:val="15"/>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7"/>
  </w:num>
  <w:num w:numId="29">
    <w:abstractNumId w:val="39"/>
  </w:num>
  <w:num w:numId="30">
    <w:abstractNumId w:val="35"/>
  </w:num>
  <w:num w:numId="31">
    <w:abstractNumId w:val="21"/>
  </w:num>
  <w:num w:numId="32">
    <w:abstractNumId w:val="12"/>
  </w:num>
  <w:num w:numId="33">
    <w:abstractNumId w:val="33"/>
  </w:num>
  <w:num w:numId="34">
    <w:abstractNumId w:val="22"/>
  </w:num>
  <w:num w:numId="35">
    <w:abstractNumId w:val="19"/>
  </w:num>
  <w:num w:numId="36">
    <w:abstractNumId w:val="24"/>
  </w:num>
  <w:num w:numId="37">
    <w:abstractNumId w:val="29"/>
  </w:num>
  <w:num w:numId="38">
    <w:abstractNumId w:val="26"/>
  </w:num>
  <w:num w:numId="39">
    <w:abstractNumId w:val="14"/>
  </w:num>
  <w:num w:numId="40">
    <w:abstractNumId w:val="32"/>
  </w:num>
  <w:num w:numId="41">
    <w:abstractNumId w:val="30"/>
  </w:num>
  <w:num w:numId="42">
    <w:abstractNumId w:val="23"/>
  </w:num>
  <w:num w:numId="43">
    <w:abstractNumId w:val="37"/>
  </w:num>
  <w:num w:numId="44">
    <w:abstractNumId w:val="13"/>
  </w:num>
  <w:num w:numId="45">
    <w:abstractNumId w:val="31"/>
  </w:num>
  <w:num w:numId="46">
    <w:abstractNumId w:val="10"/>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1AE"/>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C28A5"/>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5680"/>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94037"/>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32599"/>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11AE"/>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CDD0D22-8CA7-494C-AC02-A0C0B39A9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3"/>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Ppogrubienie">
    <w:name w:val="_P_ – pogrubienie"/>
    <w:basedOn w:val="Domylnaczcionkaakapitu"/>
    <w:uiPriority w:val="1"/>
    <w:qFormat/>
    <w:rsid w:val="00C32599"/>
    <w:rPr>
      <w:b/>
    </w:rPr>
  </w:style>
  <w:style w:type="character" w:customStyle="1" w:styleId="Kkursywa">
    <w:name w:val="_K_ – kursywa"/>
    <w:basedOn w:val="Domylnaczcionkaakapitu"/>
    <w:uiPriority w:val="1"/>
    <w:qFormat/>
    <w:rsid w:val="00C32599"/>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9</TotalTime>
  <Pages>3</Pages>
  <Words>768</Words>
  <Characters>4611</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5369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Adam O.</dc:creator>
  <cp:lastModifiedBy>Grzegorz Molesztak</cp:lastModifiedBy>
  <cp:revision>4</cp:revision>
  <cp:lastPrinted>2012-07-23T08:40:00Z</cp:lastPrinted>
  <dcterms:created xsi:type="dcterms:W3CDTF">2022-02-16T12:06:00Z</dcterms:created>
  <dcterms:modified xsi:type="dcterms:W3CDTF">2022-03-08T10:20:00Z</dcterms:modified>
</cp:coreProperties>
</file>