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A14" w:rsidRDefault="004E4A14" w:rsidP="00894575">
      <w:pPr>
        <w:pStyle w:val="OZNRODZAKTUtznustawalubrozporzdzenieiorganwydajcy"/>
      </w:pPr>
      <w:bookmarkStart w:id="0" w:name="_GoBack"/>
      <w:bookmarkEnd w:id="0"/>
      <w:r w:rsidRPr="009477BA">
        <w:t xml:space="preserve">UZASADNIENIE </w:t>
      </w:r>
    </w:p>
    <w:p w:rsidR="004E4A14" w:rsidRDefault="004E4A14" w:rsidP="00D6283F">
      <w:pPr>
        <w:pStyle w:val="DATAAKTUdatauchwalenialubwydaniaaktu"/>
      </w:pPr>
    </w:p>
    <w:p w:rsidR="004E4A14" w:rsidRPr="00E07B56" w:rsidRDefault="004E4A14" w:rsidP="00E07B56">
      <w:pPr>
        <w:pStyle w:val="ROZDZODDZPRZEDMprzedmiotregulacjirozdziauluboddziau"/>
        <w:jc w:val="both"/>
        <w:rPr>
          <w:rStyle w:val="Ppogrubienie"/>
        </w:rPr>
      </w:pPr>
      <w:r w:rsidRPr="00E07B56">
        <w:rPr>
          <w:rStyle w:val="Ppogrubienie"/>
        </w:rPr>
        <w:t>1. Cel projektowanej ustawy</w:t>
      </w:r>
    </w:p>
    <w:p w:rsidR="004E4A14" w:rsidRDefault="004E4A14" w:rsidP="00D6283F">
      <w:pPr>
        <w:pStyle w:val="ARTartustawynprozporzdzenia"/>
      </w:pPr>
      <w:r w:rsidRPr="00D6283F">
        <w:t xml:space="preserve">Celem nowelizacji jest </w:t>
      </w:r>
      <w:r>
        <w:t xml:space="preserve">wprowadzenie rozwiązań prawnych stanowiących </w:t>
      </w:r>
      <w:r w:rsidRPr="00441652">
        <w:rPr>
          <w:lang w:eastAsia="en-US"/>
        </w:rPr>
        <w:t xml:space="preserve">wsparcie </w:t>
      </w:r>
      <w:r>
        <w:t xml:space="preserve">dla </w:t>
      </w:r>
      <w:r w:rsidRPr="00441652">
        <w:rPr>
          <w:lang w:eastAsia="en-US"/>
        </w:rPr>
        <w:t xml:space="preserve">ofiar przestępstw wypadków drogowych </w:t>
      </w:r>
      <w:r>
        <w:t xml:space="preserve">oraz ich </w:t>
      </w:r>
      <w:r w:rsidRPr="00441652">
        <w:rPr>
          <w:lang w:eastAsia="en-US"/>
        </w:rPr>
        <w:t>osób najbliższych</w:t>
      </w:r>
      <w:r>
        <w:t>.</w:t>
      </w:r>
      <w:r w:rsidRPr="00441652">
        <w:rPr>
          <w:lang w:eastAsia="en-US"/>
        </w:rPr>
        <w:t xml:space="preserve"> </w:t>
      </w:r>
    </w:p>
    <w:p w:rsidR="004E4A14" w:rsidRDefault="004E4A14" w:rsidP="00D6283F">
      <w:pPr>
        <w:pStyle w:val="ARTartustawynprozporzdzenia"/>
      </w:pPr>
      <w:r>
        <w:t xml:space="preserve">Istotą projektu są następujące założenia: </w:t>
      </w:r>
    </w:p>
    <w:p w:rsidR="004E4A14" w:rsidRDefault="004E4A14" w:rsidP="009F6AC4">
      <w:pPr>
        <w:pStyle w:val="PKTpunkt"/>
      </w:pPr>
      <w:r>
        <w:t>–</w:t>
      </w:r>
      <w:r>
        <w:tab/>
        <w:t>przyspieszenie procedury wypłaty świadczeń odszkodowawczych przez zakłady ubezpieczeń,</w:t>
      </w:r>
    </w:p>
    <w:p w:rsidR="004E4A14" w:rsidRDefault="004E4A14" w:rsidP="009F6AC4">
      <w:pPr>
        <w:pStyle w:val="PKTpunkt"/>
      </w:pPr>
      <w:r>
        <w:t>–</w:t>
      </w:r>
      <w:r>
        <w:tab/>
        <w:t>wprowadzenie opłaty stałej</w:t>
      </w:r>
      <w:r w:rsidRPr="009F6AC4">
        <w:t xml:space="preserve"> od pozwów o odszkodowanie za uszkodzenie ciała lub wywołanie rozstroju zdrowia, o zadośćuczynienie pieniężne za doznaną krzywdę oraz o</w:t>
      </w:r>
      <w:r>
        <w:t> </w:t>
      </w:r>
      <w:r w:rsidRPr="009F6AC4">
        <w:t>rentę</w:t>
      </w:r>
      <w:r>
        <w:t xml:space="preserve">, </w:t>
      </w:r>
      <w:r w:rsidRPr="002B64D2">
        <w:t>które są następstwem przestępstwa przeciwko bezpieczeństwu w komunikacji, przy wartości przedmiotu sporu lub wartości przedmiotu zaskarżenia wynoszącej ponad 20 000 złotych</w:t>
      </w:r>
      <w:r>
        <w:t>,</w:t>
      </w:r>
      <w:r w:rsidRPr="002B64D2">
        <w:t xml:space="preserve"> </w:t>
      </w:r>
      <w:r>
        <w:t>zamiast dotychczasowej opłaty stosunkowej,</w:t>
      </w:r>
    </w:p>
    <w:p w:rsidR="004E4A14" w:rsidRDefault="004E4A14" w:rsidP="00224ACF">
      <w:pPr>
        <w:pStyle w:val="PKTpunkt"/>
      </w:pPr>
      <w:r>
        <w:t>–</w:t>
      </w:r>
      <w:r>
        <w:tab/>
        <w:t xml:space="preserve">przesądzenie, że </w:t>
      </w:r>
      <w:r w:rsidRPr="00224ACF">
        <w:t>w wypadku wstąpienia do sprawy osoby prawnej lub jednostki organizacyjnej niebędącej osobą prawną, na której rzecz prokurator wytoczył powództwo lub zgłosił wniosek o wszczęcie postępowania, pobiera się od tej osoby lub jednostki opłatę należną</w:t>
      </w:r>
      <w:r>
        <w:t xml:space="preserve"> od takiego pozwu lub wniosku – w</w:t>
      </w:r>
      <w:r w:rsidRPr="00224ACF">
        <w:t xml:space="preserve"> konsekwencji więc opłata taka nie będz</w:t>
      </w:r>
      <w:r>
        <w:t>ie pobierana od osób fizycznych,</w:t>
      </w:r>
    </w:p>
    <w:p w:rsidR="004E4A14" w:rsidRDefault="004E4A14" w:rsidP="00224ACF">
      <w:pPr>
        <w:pStyle w:val="PKTpunkt"/>
      </w:pPr>
      <w:r>
        <w:t>–</w:t>
      </w:r>
      <w:r>
        <w:tab/>
        <w:t>wprowadzenie zasady, w świetle której opłaty sądowe nie będą</w:t>
      </w:r>
      <w:r w:rsidRPr="00224ACF">
        <w:t xml:space="preserve"> pobierane od pisma zawierającego oświadczenie o rozszerzeniu powództwa lub o jego zmianie w sprawach o roszczenia odszkodowawcze, które są następstwem przestępstwa przeciwko bezpieczeństwu w komunikacji, przy wartości przedmiotu sporu lub wartości przedmiotu zaskarżenia wynoszącej ponad 20 000 zł</w:t>
      </w:r>
      <w:r>
        <w:t>,</w:t>
      </w:r>
    </w:p>
    <w:p w:rsidR="004E4A14" w:rsidRPr="0083644C" w:rsidRDefault="004E4A14" w:rsidP="0083644C">
      <w:pPr>
        <w:pStyle w:val="PKTpunkt"/>
      </w:pPr>
      <w:r>
        <w:t>–</w:t>
      </w:r>
      <w:r>
        <w:tab/>
      </w:r>
      <w:r w:rsidRPr="0083644C">
        <w:t>zwolnienie od opłat dla osoby fizycznej żądającej zmiany wysokości lub czasu trwania renty na podstawie art. 907 § 2 Kodeksu cywilnego.</w:t>
      </w:r>
    </w:p>
    <w:p w:rsidR="004E4A14" w:rsidRPr="00EC4A7D" w:rsidRDefault="004E4A14" w:rsidP="00EC4A7D">
      <w:pPr>
        <w:pStyle w:val="ARTartustawynprozporzdzenia"/>
      </w:pPr>
      <w:r>
        <w:t>W art. 1 projektu uchyla się</w:t>
      </w:r>
      <w:r w:rsidRPr="00EC4A7D">
        <w:t xml:space="preserve"> art. 14 ust. 2 ustawy z dnia 22 maja 2003 r. o</w:t>
      </w:r>
      <w:r>
        <w:t> </w:t>
      </w:r>
      <w:r w:rsidRPr="00EC4A7D">
        <w:t xml:space="preserve">ubezpieczeniach obowiązkowych, Ubezpieczeniowym Funduszu Gwarancyjnym i Polskim Biurze Ubezpieczycieli Komunikacyjnych, w takim zakresie, w którym uprawniał zakład ubezpieczeń do zwłoki z wypłatą świadczenia, jeśli ustalenie odpowiedzialności zakładu albo wysokości odszkodowania zależało od toczącego się postępowania karnego lub cywilnego. </w:t>
      </w:r>
    </w:p>
    <w:p w:rsidR="004E4A14" w:rsidRDefault="004E4A14" w:rsidP="00EC4A7D">
      <w:pPr>
        <w:pStyle w:val="ARTartustawynprozporzdzenia"/>
      </w:pPr>
      <w:r w:rsidRPr="00EC4A7D">
        <w:lastRenderedPageBreak/>
        <w:t xml:space="preserve">Art. 14 ust. 2 ustawy o ubezpieczeniach obowiązkowych, Ubezpieczeniowym Funduszu Gwarancyjnym i Polskim Biurze Ubezpieczycieli Komunikacyjnych w dotychczasowym brzmieniu prowadził do tego, iż zakłady ubezpieczeń biernie oczekiwały na zakończenie postępowań sądowych, trwających bardzo często kilka a nawet kilkanaście lat. </w:t>
      </w:r>
    </w:p>
    <w:p w:rsidR="004E4A14" w:rsidRPr="00EC4A7D" w:rsidRDefault="004E4A14" w:rsidP="00EC4A7D">
      <w:pPr>
        <w:pStyle w:val="ARTartustawynprozporzdzenia"/>
      </w:pPr>
      <w:r w:rsidRPr="00EC4A7D">
        <w:t xml:space="preserve">Czyniły to wbrew wyraźnej dyspozycji art. 817 Kodeksu cywilnego, w myśl którego ubezpieczyciel obowiązany jest spełnić świadczenie w terminie trzydziestu dni, licząc od daty otrzymania zawiadomienia o wypadku. </w:t>
      </w:r>
    </w:p>
    <w:p w:rsidR="004E4A14" w:rsidRPr="00EC4A7D" w:rsidRDefault="004E4A14" w:rsidP="00EC4A7D">
      <w:pPr>
        <w:pStyle w:val="ARTartustawynprozporzdzenia"/>
      </w:pPr>
      <w:r w:rsidRPr="00EC4A7D">
        <w:t>Na nadrzędny dla kwestii wypłaty odszkodowania charakter art. 817 Kodeksu cywilnego wskazuje orzecznictwo Sądu Najwyższego. Sąd Najwyższy przyjmuje bowiem, że zakład ubezpieczeń odpowiadający za sprawcę wypadku komunikacyjnego z tytułu odpowiedzialności cywilnej, dopuszcza się zwłoki, jeżeli nie spełnia świadczenia w terminie 30 dni, licząc od dnia zawiadomienia o wypadku.</w:t>
      </w:r>
    </w:p>
    <w:p w:rsidR="004E4A14" w:rsidRPr="00EC4A7D" w:rsidRDefault="004E4A14" w:rsidP="00EC4A7D">
      <w:pPr>
        <w:pStyle w:val="ARTartustawynprozporzdzenia"/>
      </w:pPr>
      <w:r>
        <w:t>W art. 2 w pkt 1 projektu</w:t>
      </w:r>
      <w:r w:rsidRPr="00EC4A7D">
        <w:t xml:space="preserve"> wprowadza</w:t>
      </w:r>
      <w:r>
        <w:t xml:space="preserve"> się</w:t>
      </w:r>
      <w:r w:rsidRPr="00EC4A7D">
        <w:t xml:space="preserve"> opłatę stałą tysiąca złotych od pozwów o</w:t>
      </w:r>
      <w:r>
        <w:t> </w:t>
      </w:r>
      <w:r w:rsidRPr="00EC4A7D">
        <w:t xml:space="preserve">odszkodowanie za uszkodzenie ciała </w:t>
      </w:r>
      <w:r>
        <w:t>lub wywołanie rozstroju zdrowia oraz</w:t>
      </w:r>
      <w:r w:rsidRPr="00EC4A7D">
        <w:t xml:space="preserve"> o zadośćuczynienie pieniężne za doznaną krzywdę</w:t>
      </w:r>
      <w:r>
        <w:t>,</w:t>
      </w:r>
      <w:r w:rsidRPr="000A5C5F">
        <w:rPr>
          <w:rFonts w:ascii="Times New Roman" w:hAnsi="Times New Roman"/>
        </w:rPr>
        <w:t xml:space="preserve"> </w:t>
      </w:r>
      <w:r w:rsidRPr="000A5C5F">
        <w:t>które są następstwem przestępstwa przeciwko bezpieczeństwu w komunikacji</w:t>
      </w:r>
      <w:r>
        <w:t>,</w:t>
      </w:r>
      <w:r w:rsidRPr="000A5C5F">
        <w:rPr>
          <w:rFonts w:ascii="Times New Roman" w:hAnsi="Times New Roman"/>
        </w:rPr>
        <w:t xml:space="preserve"> </w:t>
      </w:r>
      <w:r w:rsidRPr="000A5C5F">
        <w:t>przy wartości przedmiotu sporu lub wartości przedmiotu zaskarżenia wynoszącej ponad 20 000 złotych</w:t>
      </w:r>
      <w:r w:rsidRPr="00EC4A7D">
        <w:t>.</w:t>
      </w:r>
      <w:r>
        <w:t xml:space="preserve"> J</w:t>
      </w:r>
      <w:r w:rsidRPr="00EC4A7D">
        <w:t>edną z najpoważniejszych barier, które utrudniają albo uniemożliwiają ofiarom wypadków komunikacyjnych dostęp do sądu, są wysokie opłaty sądowe, w przypadku poważnych wypadków komunikacyjnych liczone w</w:t>
      </w:r>
      <w:r>
        <w:t> </w:t>
      </w:r>
      <w:r w:rsidRPr="00EC4A7D">
        <w:t xml:space="preserve">dziesiątkach tysięcy złotych. </w:t>
      </w:r>
    </w:p>
    <w:p w:rsidR="004E4A14" w:rsidRPr="00EC4A7D" w:rsidRDefault="004E4A14" w:rsidP="00EC4A7D">
      <w:pPr>
        <w:pStyle w:val="ARTartustawynprozporzdzenia"/>
      </w:pPr>
      <w:r>
        <w:t xml:space="preserve">Art. 2 pkt 2 projektu zwalnia </w:t>
      </w:r>
      <w:r w:rsidRPr="00EC4A7D">
        <w:t>od opłaty osoby</w:t>
      </w:r>
      <w:r>
        <w:t xml:space="preserve"> fizyczne</w:t>
      </w:r>
      <w:r w:rsidRPr="00EC4A7D">
        <w:t xml:space="preserve"> wstępujące do sprawy, jeśli to prokurator wytoczył powództwo lub zgłosił wniosek o wszczęcie p</w:t>
      </w:r>
      <w:r>
        <w:t>ostępowania. N</w:t>
      </w:r>
      <w:r w:rsidRPr="00EC4A7D">
        <w:t>ie ma uzasadnienia, aby pobierać opłatę od oso</w:t>
      </w:r>
      <w:r>
        <w:t>by fizycznej, która nie zainicjowała postę</w:t>
      </w:r>
      <w:r w:rsidRPr="00EC4A7D">
        <w:t>powania sądowego.</w:t>
      </w:r>
    </w:p>
    <w:p w:rsidR="004E4A14" w:rsidRPr="00C062C9" w:rsidRDefault="004E4A14" w:rsidP="00C062C9">
      <w:pPr>
        <w:pStyle w:val="ARTartustawynprozporzdzenia"/>
      </w:pPr>
      <w:r>
        <w:rPr>
          <w:bCs/>
        </w:rPr>
        <w:t>W art. 2 w pkt 3 projektu zaproponowano, w ślad za rozwiązaniem zawartym w pkt 1</w:t>
      </w:r>
      <w:r w:rsidRPr="00C062C9">
        <w:rPr>
          <w:bCs/>
        </w:rPr>
        <w:t xml:space="preserve">, aby opłaty sądowe nie były pobierane od </w:t>
      </w:r>
      <w:r w:rsidRPr="00C062C9">
        <w:t>pisma zawierającego oświadczenie o rozszerzeniu powództwa lub o jego zmianie w sprawach o roszczenia odszkodowawcze, które są następstwem przestępstwa przeciwko bezpieczeństwu w komunikacji, przy wartości przedmiotu sporu lub wartości przedmiotu zaskarżenia wynoszącej ponad 20 000 zł.</w:t>
      </w:r>
    </w:p>
    <w:p w:rsidR="004E4A14" w:rsidRDefault="004E4A14" w:rsidP="00C062C9">
      <w:pPr>
        <w:pStyle w:val="ARTartustawynprozporzdzenia"/>
      </w:pPr>
      <w:r>
        <w:t>Art. 2 pkt 4</w:t>
      </w:r>
      <w:r w:rsidRPr="00C062C9">
        <w:t xml:space="preserve"> wprowadza </w:t>
      </w:r>
      <w:r>
        <w:t>zwolnienie od kosztów sądowych</w:t>
      </w:r>
      <w:r w:rsidRPr="00C062C9">
        <w:t xml:space="preserve"> dla osoby fizycznej żądającej </w:t>
      </w:r>
      <w:r>
        <w:t xml:space="preserve">przyznania renty tymczasowej (art. 444 § 3 Kodeksu cywilnego) oraz </w:t>
      </w:r>
      <w:r w:rsidRPr="00C062C9">
        <w:t xml:space="preserve">zmiany wysokości lub </w:t>
      </w:r>
      <w:r w:rsidRPr="00C062C9">
        <w:lastRenderedPageBreak/>
        <w:t>czasu trwania renty na podstawie art. 907 § 2 Kodeksu cywilnego.</w:t>
      </w:r>
      <w:r>
        <w:t xml:space="preserve"> Dotychczas te dwa żądania nie są objęte zwolnieniem, mimo że obejmuje ono pozostałe rodzaje roszczeń o rentę.</w:t>
      </w:r>
    </w:p>
    <w:p w:rsidR="004E4A14" w:rsidRPr="00C062C9" w:rsidRDefault="004E4A14" w:rsidP="00C062C9">
      <w:pPr>
        <w:pStyle w:val="ARTartustawynprozporzdzenia"/>
        <w:rPr>
          <w:bCs/>
        </w:rPr>
      </w:pPr>
    </w:p>
    <w:p w:rsidR="004E4A14" w:rsidRPr="00E07B56" w:rsidRDefault="004E4A14" w:rsidP="00EF76F9">
      <w:pPr>
        <w:pStyle w:val="ROZDZODDZPRZEDMprzedmiotregulacjirozdziauluboddziau"/>
        <w:jc w:val="both"/>
        <w:rPr>
          <w:rStyle w:val="Ppogrubienie"/>
        </w:rPr>
      </w:pPr>
      <w:r w:rsidRPr="00E07B56">
        <w:rPr>
          <w:rStyle w:val="Ppogrubienie"/>
        </w:rPr>
        <w:t>2. Skutki i wyniki konsultacji</w:t>
      </w:r>
    </w:p>
    <w:p w:rsidR="004E4A14" w:rsidRDefault="004E4A14" w:rsidP="00E07B56">
      <w:pPr>
        <w:pStyle w:val="ARTartustawynprozporzdzenia"/>
      </w:pPr>
      <w:r w:rsidRPr="005A5544">
        <w:t>Oczekiwane skutki społeczne, gospodarcze i finansowe</w:t>
      </w:r>
      <w:r>
        <w:t xml:space="preserve"> oraz wyniki konsultacji są</w:t>
      </w:r>
      <w:r w:rsidRPr="005A5544">
        <w:t xml:space="preserve"> przedstawione w Ocenie Skutków Regulacji. Nadesłane w ramach ko</w:t>
      </w:r>
      <w:r>
        <w:t>nsultacji opinie i uwagi zamieszczono</w:t>
      </w:r>
      <w:r w:rsidRPr="005A5544">
        <w:t xml:space="preserve"> na senackiej stronie internetowej.</w:t>
      </w:r>
    </w:p>
    <w:p w:rsidR="004E4A14" w:rsidRDefault="004E4A14" w:rsidP="00403F25"/>
    <w:p w:rsidR="004E4A14" w:rsidRPr="009477BA" w:rsidRDefault="004E4A14" w:rsidP="00EF76F9">
      <w:pPr>
        <w:pStyle w:val="ROZDZODDZPRZEDMprzedmiotregulacjirozdziauluboddziau"/>
        <w:jc w:val="both"/>
      </w:pPr>
      <w:r>
        <w:t>3. Oświadczenie o zgodności</w:t>
      </w:r>
      <w:r w:rsidRPr="009477BA">
        <w:t xml:space="preserve"> z </w:t>
      </w:r>
      <w:r>
        <w:t>p</w:t>
      </w:r>
      <w:r w:rsidRPr="009477BA">
        <w:t>rawem Unii Europejskiej</w:t>
      </w:r>
    </w:p>
    <w:p w:rsidR="004E4A14" w:rsidRPr="009477BA" w:rsidRDefault="004E4A14" w:rsidP="00894575">
      <w:pPr>
        <w:pStyle w:val="NIEARTTEKSTtekstnieartykuowanynppodstprawnarozplubpreambua"/>
      </w:pPr>
      <w:r w:rsidRPr="009477BA">
        <w:t>Projekt</w:t>
      </w:r>
      <w:r>
        <w:t xml:space="preserve"> ustawy jest zgodny z prawem</w:t>
      </w:r>
      <w:r w:rsidRPr="009477BA">
        <w:t xml:space="preserve"> Unii Europejskiej.</w:t>
      </w:r>
    </w:p>
    <w:p w:rsidR="00C70646" w:rsidRPr="001B342E" w:rsidRDefault="00C70646" w:rsidP="00C70646"/>
    <w:sectPr w:rsidR="00C70646" w:rsidRPr="001B342E" w:rsidSect="007806EA">
      <w:headerReference w:type="default" r:id="rId7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184C" w:rsidRDefault="003F184C">
      <w:r>
        <w:separator/>
      </w:r>
    </w:p>
  </w:endnote>
  <w:endnote w:type="continuationSeparator" w:id="0">
    <w:p w:rsidR="003F184C" w:rsidRDefault="003F1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184C" w:rsidRDefault="003F184C">
      <w:r>
        <w:separator/>
      </w:r>
    </w:p>
  </w:footnote>
  <w:footnote w:type="continuationSeparator" w:id="0">
    <w:p w:rsidR="003F184C" w:rsidRDefault="003F18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4E4A14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D060C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1AE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060C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8670D"/>
    <w:rsid w:val="0029405D"/>
    <w:rsid w:val="00295A6F"/>
    <w:rsid w:val="002A20C4"/>
    <w:rsid w:val="002A465A"/>
    <w:rsid w:val="002A570F"/>
    <w:rsid w:val="002A7358"/>
    <w:rsid w:val="002A7902"/>
    <w:rsid w:val="002B0F6B"/>
    <w:rsid w:val="002B23B8"/>
    <w:rsid w:val="002B68A6"/>
    <w:rsid w:val="002C28A5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184C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E4A14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A7CCD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11AE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9366CEA-4372-41B3-9FC4-53755D3DB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44A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10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4E4A14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4E4A14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14</TotalTime>
  <Pages>3</Pages>
  <Words>700</Words>
  <Characters>4202</Characters>
  <Application>Microsoft Office Word</Application>
  <DocSecurity>0</DocSecurity>
  <Lines>35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4893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Adam O.</dc:creator>
  <cp:lastModifiedBy>Grzegorz Molesztak</cp:lastModifiedBy>
  <cp:revision>6</cp:revision>
  <cp:lastPrinted>2012-07-23T08:40:00Z</cp:lastPrinted>
  <dcterms:created xsi:type="dcterms:W3CDTF">2022-02-16T12:22:00Z</dcterms:created>
  <dcterms:modified xsi:type="dcterms:W3CDTF">2022-03-08T10:47:00Z</dcterms:modified>
</cp:coreProperties>
</file>