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96249B" w14:textId="77777777" w:rsidR="004706D4" w:rsidRPr="00C31644" w:rsidRDefault="004706D4" w:rsidP="008650BC">
      <w:pPr>
        <w:keepNext/>
        <w:suppressAutoHyphens/>
        <w:spacing w:before="120" w:after="12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0" w:name="_GoBack"/>
      <w:bookmarkEnd w:id="0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UZASADNIENIE</w:t>
      </w:r>
    </w:p>
    <w:p w14:paraId="3A071CC2" w14:textId="6A009D9B" w:rsidR="008B2201" w:rsidRPr="00C31644" w:rsidRDefault="00246484" w:rsidP="008B2201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dniu 24 lutego 2022 r. doszło do ataku wojsk Federacji Rosyjskiej na terytorium Ukrainy. W wyniku tych zdarzeń w kierunku terytorium Rzeczypospolitej Polskiej </w:t>
      </w:r>
      <w:r w:rsidR="005B124B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masowo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zaczęli</w:t>
      </w:r>
      <w:r w:rsidR="005B124B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kierować się obywatele Ukrainy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poszukujący schronienia. Z uwagi na </w:t>
      </w:r>
      <w:r w:rsidR="005B124B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powyższe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konieczne stało się pilne opracowanie rozwiązań prawnych skierowanych do opisanej wyżej grupy cudzoziemców, jak również dla obywateli Ukrainy, którzy przebywali już na terenie RP, a w następstwie konfliktu zbrojnego także znaleźli się w trudnej sytuacji życiowej</w:t>
      </w:r>
      <w:r w:rsidR="00B258EA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np. z uwagi na niemożność odnowienia ważności dokumentów. Konieczne jest wprowadzenie regulacji ułatwiających przemieszczanie się obywateli Ukrainy przybywających z terytorium Ukrainy w związku z konfliktem zbrojnym na terytorium tego państwa oraz ułatwiających transport pomocy humanitarnej dla Ukrainy.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tym kontekście należy podkreślić, że jako „osoby przemieszczające się z terytorium Ukrainy na terytorium Rzeczypospolitej Polskiej w związku z konfliktem zbrojnym na terytorium Ukrainy” rozumie się nie tylko osoby właśnie przekraczające polsko-ukraińską granicę państwową</w:t>
      </w:r>
      <w:r w:rsidR="003E11BA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ale również osoby, które odbywają przemieszcz</w:t>
      </w:r>
      <w:r w:rsidR="003E11BA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się z Ukrainy, uciekając przed niebezpieczeństwami wojny. Osoby takie mogą znajdować się w podróży od kilku dni i n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 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rzykład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odpoczywać w Polsce kilka dni, po czym kontynuować podróż do innych państw europejskich. </w:t>
      </w:r>
      <w:r w:rsidR="005E23F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Projektowane 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przepis</w:t>
      </w:r>
      <w:r w:rsidR="005E23F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ustawy dotyczą właśnie tak szeroko pojętego kręgu osób.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 ustawy o szczególnych re</w:t>
      </w:r>
      <w:r w:rsidR="00227D2D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gulacjach w zakresie transportu i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gospodarki morskiej w związku z konfliktem zbrojnym na terytorium Ukrainy</w:t>
      </w:r>
      <w:r w:rsidR="000828BC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 na celu pilne stworzenie szczególn</w:t>
      </w:r>
      <w:r w:rsidR="005B124B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regulacji prawn</w:t>
      </w:r>
      <w:r w:rsidR="005B124B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zakresie wyżej wskazanych obszarów działania państwa, zapewniając</w:t>
      </w:r>
      <w:r w:rsidR="005B124B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doraźną podstawę prawną do udzielania pomocy obywatelom Ukrainy dotkniętych skutkami agresji Federacji Rosyjskiej i </w:t>
      </w:r>
      <w:r w:rsidR="000828BC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wsparcia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podmiotów zaangażowanych w taką pomoc.</w:t>
      </w:r>
    </w:p>
    <w:p w14:paraId="3DE71F22" w14:textId="77777777" w:rsidR="008B2201" w:rsidRPr="00C31644" w:rsidRDefault="008B2201" w:rsidP="008B2201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 ustawy reguluje</w:t>
      </w:r>
      <w:r w:rsidR="005E23F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szczególne regulacje dotyczące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66A24154" w14:textId="720D0175" w:rsidR="008B2201" w:rsidRPr="00C31644" w:rsidRDefault="008B2201" w:rsidP="008B2201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przewozów kolejowych wykonywanych w związku z konfliktem zbrojnym na terytorium Ukrainy;</w:t>
      </w:r>
    </w:p>
    <w:p w14:paraId="79B11585" w14:textId="77FDD8AA" w:rsidR="008B2201" w:rsidRPr="00C31644" w:rsidRDefault="008B2201" w:rsidP="008B2201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dokumentów stosowanych w transporcie i ruchu drogowym w związku z konfliktem zbrojnym na terytorium Ukrainy;</w:t>
      </w:r>
    </w:p>
    <w:p w14:paraId="19937FA3" w14:textId="606DF900" w:rsidR="008B2201" w:rsidRPr="00C31644" w:rsidRDefault="008B2201" w:rsidP="008B2201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3)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odnawiania przez administrację Rzeczypospolitej Polskiej dyplomów kwalifikacyjnych marynarzy wydanych przez administra</w:t>
      </w:r>
      <w:r w:rsidR="00B41895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cję Ukrainy.</w:t>
      </w:r>
    </w:p>
    <w:p w14:paraId="4A944E7B" w14:textId="34AB3FEA" w:rsidR="00B20264" w:rsidRPr="00C31644" w:rsidRDefault="00A241F2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Art. 2 projektu reguluje kwestie związane z czasem pracy obsady pociągu. Aktualnie do istotnych problemów w obsłudze tego typu pociągów należy zaliczyć niewynikający z rozkładu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jazdy pociągu wydłużony czas odprawy granicznej na granicy polsko-ukraińskiej oraz dynamiczną, trudną do przewidzenia sytuację związaną z dalszym rozlokowywaniem osób przybywających z terytorium Ukrainy do różnych miejsc na terytorium RP w zależności od stale tworzonego scenariusza rozlokowania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tych osób. Powoduje to, </w:t>
      </w:r>
      <w:r w:rsidR="005E23F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że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pociągi 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przewożące osoby opuszczające terytorium Ukrainy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doznają znacznych opóźnień, a maszynistom obsługującym te połączenia kończy się dopuszczalny na mocy przepisów Kodeksu pracy czas pracy. Proponowany przepis ma za zadanie dopuścić wydłużenie czasu pracy obsady pociągu, o której mowa </w:t>
      </w:r>
      <w:r w:rsidR="005E23F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przepisach wydanych na podstawie art. 17 ust. 7 ustawy z dnia 28 marca 2003 r. o transporcie kolejowym (Dz. U. z 2021 r. poz. 1984), tj.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§ 21 ust. 1 rozporządzenia Ministra Infrastruktury z dnia 18 lipca 2005 r. w sprawie ogólnych warunków prowadzenia ruchu kolejowego i sygnalizacji (Dz.U. z 2015 r. poz. 360 i 1476, z 2016 r. poz. 1849 oraz z 2019 r. poz. 964 i 2352), oraz innych pracowników niezbędnych do obsługi tych pociągów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o których mowa w art. 22d ustawy z dnia 28 marca 2003 r.</w:t>
      </w:r>
      <w:r w:rsidR="00677BF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 transporcie kolejowym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16 godzin, przy założeniu jednak, że maksymalnie 9 godzin z tego czasu może być poświęcone prowadzeniu pojazdu kolejowego. </w:t>
      </w:r>
    </w:p>
    <w:p w14:paraId="36939C5A" w14:textId="28BFD079" w:rsidR="00B20264" w:rsidRPr="00C31644" w:rsidRDefault="00B20264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związku z powyższym proponuje się również ograniczenie nieprzerwanego odpoczynku, o którym mowa w art. 132 § 1 </w:t>
      </w:r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ustawy z dnia 26 czerwca 1974 r. –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Kodeks pracy</w:t>
      </w:r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U. z 2020 r. poz. 1320, z </w:t>
      </w:r>
      <w:proofErr w:type="spellStart"/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zm.)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do nie mniej niż 8 godzin, i nieprzerwanego odpoczynku, o którym mowa w art. 133 § 1 tej ustawy, do nie mniej niż 32 godzin, obejmującego co najmniej 8 godzin nieprzerwanego odpoczynku dobowego.</w:t>
      </w:r>
    </w:p>
    <w:p w14:paraId="57E1F01A" w14:textId="54EDDB6D" w:rsidR="00B20264" w:rsidRPr="00C31644" w:rsidRDefault="00B20264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Ze względu na możliwość wydłużenia dobowego czasu pracy pracowników kolejowych w związku z okolicznością opisaną powyżej i tym samy skrócenia czasu przewidzianego na przerwę w pracy, projekt ustawy przewiduje zrekompensowanie powstałej różnicy między przysługującą pracownikowi przerwą w pracy a faktycznym jej wykorzystaniem, tak aby zachować tygodniowe rozliczenie czasu pracy zgodnie z art. 133 § 1 </w:t>
      </w:r>
      <w:r w:rsidR="00C511F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Kodeksu </w:t>
      </w:r>
      <w:r w:rsidR="00DF01D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pracy,</w:t>
      </w:r>
      <w:r w:rsidR="00C511F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który reguluje kwestię minimalnego nieprzerwanego odpoczynku tygodniowego.</w:t>
      </w:r>
    </w:p>
    <w:p w14:paraId="11C4F342" w14:textId="4407BFEF" w:rsidR="00227E28" w:rsidRPr="00C31644" w:rsidRDefault="00A241F2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Aby zapewnić, że </w:t>
      </w:r>
      <w:r w:rsidR="00227E2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art. 2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77BF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projektu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nie będzie nadużywany poza powyższymi przypadkami, jego zastosowanie </w:t>
      </w:r>
      <w:r w:rsidR="00227E2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jest ograniczone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wyłącznie do pracowników obsługujących pociągi przeznaczone do przewozu osób, które przemieszczają się z terytorium Ukrainy na terytorium Rzeczypospolitej Polskiej w wyniku </w:t>
      </w:r>
      <w:r w:rsidR="005519AD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konfliktu zbrojnego na Ukrainie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Warte podkreślenia jest, że przepis znajdzie zastosowanie również do pociągów jadących z głębi Polski w kierunku granicy, gdyż sprawny powrót tych pociągów na granicę jest warunkiem zapewnienia efektywnego przewozu obywateli Ukrainy w głąb kraju. </w:t>
      </w:r>
      <w:r w:rsidR="009E57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Należy również podkreślić, że </w:t>
      </w:r>
      <w:r w:rsidR="009E57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wydłużenie czasu pracy maszynistów nie będzie wymagało zmiany układów zbiorowych pracy u przewoźników kolejowych, a wystarczającym mechanizmem będzie stosowanie pracy w godzinach nadliczbowych. Nie przewiduje się sytuacji, że z góry maszynista będzie miał zaplanowaną 16 godzinną służbę. Służby maszynistów będą planowane tak jak do tej pory, tj. służby nie dłuższe niż 12 godzin, a ewentualne zastosowanie projektowanego przepisu przewiduje się w sytuacjach nadzwyczajnych, których nie dało się przewidzieć, np. konieczność wydłużonego postoju pociągu z powodu przedłużającej się odprawy granicznej. Projektowany przepis pozwoli w takiej sytuacji wyruszyć pociągiem w trasę zamiast konieczności poszukiwania innego maszynisty, a w przypadku jego nieznalezienia konieczności odwołania kursu pociągu.</w:t>
      </w:r>
    </w:p>
    <w:p w14:paraId="4BB4EE56" w14:textId="2F61B7EB" w:rsidR="00B20264" w:rsidRPr="00C31644" w:rsidRDefault="00B20264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Rozwiązanie zawarte w art. 3 </w:t>
      </w:r>
      <w:r w:rsidR="00A241F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ust. 1 </w:t>
      </w:r>
      <w:r w:rsidR="00677BF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projektu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umożliwi</w:t>
      </w:r>
      <w:r w:rsidR="00DF01D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przypadku niedoboru maszynistów ze znajomością szlaku w odniesieniu do konkretnych odcinków linii kolejowych, uruchomienie bez zbędnej zwłoki pociągów pasażerskich przeznaczonych do przewozu osób, które przemieszczają się z terytorium Ukrainy na terytorium Rzeczypospolitej Polskiej w wyniku konfliktu zbrojnego na Ukrainie. Aktualnie sytuacja osób opuszczających terytorium Ukrainy rozwija się bardzo dynamicznie, przy stałym wzroście </w:t>
      </w:r>
      <w:r w:rsidR="005E699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liczby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tych osób, dlatego też strategia umożliwiająca natychmiastową możliwość rozlokowania tych ludzi z obszaru przygranicznego na obszarze całego kraju musi przewidywać wykorzystanie maszynistów nieposiadających znajomości szlaku, ponieważ ilość wykorzystywanych maszynistów ze znajomością szlaku ze względu na obowiązek odbycia przez nich przerwy w pracy jest znacznie ograniczona. W takim przypadku maksymalna dopuszczalna prędkość </w:t>
      </w:r>
      <w:r w:rsidR="005E23F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jazdy pojazdu kolejowego lub pociągu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wyniesie 60 km/h</w:t>
      </w:r>
      <w:r w:rsidR="009E5767" w:rsidRPr="00C31644">
        <w:rPr>
          <w:sz w:val="24"/>
          <w:szCs w:val="24"/>
        </w:rPr>
        <w:t xml:space="preserve"> </w:t>
      </w:r>
      <w:r w:rsidR="009E5767" w:rsidRPr="00C31644">
        <w:rPr>
          <w:rFonts w:ascii="Times New Roman" w:hAnsi="Times New Roman" w:cs="Times New Roman"/>
          <w:sz w:val="24"/>
          <w:szCs w:val="24"/>
        </w:rPr>
        <w:t>ze względu</w:t>
      </w:r>
      <w:r w:rsidR="009E5767" w:rsidRPr="00C31644">
        <w:rPr>
          <w:sz w:val="24"/>
          <w:szCs w:val="24"/>
        </w:rPr>
        <w:t xml:space="preserve"> </w:t>
      </w:r>
      <w:r w:rsidR="009E57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konieczność szybszego przemieszczania ludności cywilnej</w:t>
      </w:r>
      <w:r w:rsidR="001F4F9A" w:rsidRPr="00C31644">
        <w:rPr>
          <w:sz w:val="24"/>
          <w:szCs w:val="24"/>
        </w:rPr>
        <w:t xml:space="preserve"> </w:t>
      </w:r>
      <w:r w:rsidR="001F4F9A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(ale będzie znacznie niższa niż pełna prędkość rozkładowa (najczęściej 120-160 km/h))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Z uwagi na wzrastającą liczbę osób opuszczających terytorium Ukrainy istnieje potrzeba uruchamiania dodatkowych pociągów 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przewożących osoby opuszczające terytorium Ukrainy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Wobec ograniczonej liczby maszynistów posiadających znajomość wszystkich odcinków linii kolejowych wchodzących w skład tras takich pociągów, istnieje konieczność stworzenia warunków umożliwiających wykorzystanie również maszynistów nieposiadających pełnej znajomości szlaku</w:t>
      </w:r>
      <w:r w:rsidR="009E5767" w:rsidRPr="00C31644">
        <w:rPr>
          <w:sz w:val="24"/>
          <w:szCs w:val="24"/>
        </w:rPr>
        <w:t xml:space="preserve"> </w:t>
      </w:r>
      <w:r w:rsidR="009E57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sposób nie powodujący zbyt dużego zmniejszenia przepustowości linii kolejowych wskutek jazdy ze zmniejszoną prędkością wynikającą z braku znajomości szlaku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Jest to także uzasadnione koniecznością rotacji maszynistów w celu zapewnienia przestrzegania limitów dotyczących świadczenia pracy w godzinach nadliczbowych.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Należy wskazać, że zastosowane w projektowan</w:t>
      </w:r>
      <w:r w:rsidR="00677BF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ym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77BF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przepisie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rozwiązanie zostało uzgodnione z 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Urzędem Transportu Kolejowego</w:t>
      </w:r>
      <w:r w:rsidR="00DF01D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tj. krajową władzą bezpieczeństwa w zakresie kolejnictwa. Podobnie jak w przypadku art. 2 </w:t>
      </w:r>
      <w:r w:rsidR="00677BF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projektu 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zastosowanie tego przepisu jest ograniczone wyłącznie do określonej puli pracowników, tj. do pracowników obsługujących pociągi przeznaczone do przewozu osób, które przemieszczają się z terytorium Ukrainy na terytorium Rzeczypospolitej Polskiej w wyniku konfliktu zbrojnego na Ukrainie, natomiast w przypadku wszystkich pozostałych pociągów zastosowanie mają przepisy </w:t>
      </w:r>
      <w:r w:rsidR="00677BF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rozporządzenia 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Ministra Infrastruktury z dnia 18 lipca 2005 r. w sprawie ogólnych warunków prowadzenia ruchu kolejowego i sygnalizacji wskazujące prędkość ograniczoną do 40 km/h</w:t>
      </w:r>
      <w:r w:rsidR="009E5767" w:rsidRPr="00C31644">
        <w:rPr>
          <w:sz w:val="24"/>
          <w:szCs w:val="24"/>
        </w:rPr>
        <w:t xml:space="preserve"> </w:t>
      </w:r>
      <w:r w:rsidR="009E57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jazdy bez znajomości szlaku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A241F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Analogiczne rozwiązanie w odniesieniu do kierowników</w:t>
      </w:r>
      <w:r w:rsidR="00A241F2" w:rsidRPr="00C31644">
        <w:rPr>
          <w:rFonts w:ascii="Times New Roman" w:hAnsi="Times New Roman" w:cs="Times New Roman"/>
          <w:sz w:val="24"/>
          <w:szCs w:val="24"/>
        </w:rPr>
        <w:t xml:space="preserve"> pociągu przewiduje art. 3 ust. 2 projektu, który </w:t>
      </w:r>
      <w:r w:rsidR="00677BF1" w:rsidRPr="00C31644">
        <w:rPr>
          <w:rFonts w:ascii="Times New Roman" w:hAnsi="Times New Roman" w:cs="Times New Roman"/>
          <w:sz w:val="24"/>
          <w:szCs w:val="24"/>
        </w:rPr>
        <w:t>stanowi</w:t>
      </w:r>
      <w:r w:rsidR="00A241F2" w:rsidRPr="00C31644">
        <w:rPr>
          <w:rFonts w:ascii="Times New Roman" w:hAnsi="Times New Roman" w:cs="Times New Roman"/>
          <w:sz w:val="24"/>
          <w:szCs w:val="24"/>
        </w:rPr>
        <w:t xml:space="preserve">, że do obsługi takich pociągów </w:t>
      </w:r>
      <w:r w:rsidR="00A241F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może zostać wyznaczony kierownik pociągu, który nie posiada znajomości obsługiwanego odcinka linii kolejowej.</w:t>
      </w:r>
    </w:p>
    <w:p w14:paraId="209325B3" w14:textId="52D98B63" w:rsidR="00185371" w:rsidRPr="00C31644" w:rsidRDefault="00185371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Wprowadzenie szczególnych regulacji, o których mowa w art. 2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‒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 projektu, nie jest ograniczone czasowo lecz przedmiotowo – będą one stosowane, jeżeli będzie zachodziła konieczność obsługi pociągów przeznaczonych do przewozu osób, które przemieszczają się z terytorium Ukrainy na terytorium Rzeczypospolitej Polskiej w wyniku konfliktu zbrojnego na Ukrainie.</w:t>
      </w:r>
    </w:p>
    <w:p w14:paraId="77283E64" w14:textId="7EC526B5" w:rsidR="00B20264" w:rsidRPr="00C31644" w:rsidRDefault="00B20264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Jednocześnie w art. </w:t>
      </w:r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="00C511F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</w:t>
      </w:r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zamieszczono przepis </w:t>
      </w:r>
      <w:r w:rsidR="001A192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dostosowujący </w:t>
      </w:r>
      <w:r w:rsidR="00A241F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stanowiący, że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przewoźnicy kolejowi i zarządcy infrastruktury powinni dostosować swoje przepisy wewnętrzne do w</w:t>
      </w:r>
      <w:r w:rsidR="0051154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ymagań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określonych w projektowany</w:t>
      </w:r>
      <w:r w:rsidR="005E699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ch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art. </w:t>
      </w:r>
      <w:r w:rsidR="00DA0BA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 i 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art. </w:t>
      </w:r>
      <w:r w:rsidR="005E699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projektu ustawy</w:t>
      </w:r>
      <w:r w:rsidR="00A241F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niezwłocznie po </w:t>
      </w:r>
      <w:r w:rsidR="0056552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ogłoszeniu</w:t>
      </w:r>
      <w:r w:rsidR="00A241F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ustawy</w:t>
      </w:r>
      <w:r w:rsidR="005E699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15AAA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tym przypadku pod pojęciem przepisów wewnętrznych rozumie się wyłącznie instrukcje techniczne – tj. instrukcję prowadzenia ruchu kolejowego w odniesieniu do zarządcy infrastruktury oraz instrukcje dla maszynisty w odniesieniu do przewoźnika. Przepis ten nie dotyczy więc dokumentów innych niż o charakterze techniczno-ruchowym. 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Wprowadzenie zmian w przepisach wewnętrznych zarządców infrastruktury i przewoźników nie jest procesem nacechowanym wysokim stopniem złożoności. Ponadto w ujęciu ilościowym zakres zmian jest niewielki. Przepis ten jest podyktowany koniecznością niezwłocznego dostosowania się do bardzo dynamicznej sytuacji związanej z pomocą osobom opuszczającym 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terytorium </w:t>
      </w:r>
      <w:r w:rsidR="007009C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Ukrainy, których liczba stale rośnie.</w:t>
      </w:r>
    </w:p>
    <w:p w14:paraId="5DEE8AC5" w14:textId="6C6AF479" w:rsidR="009E5767" w:rsidRPr="00C31644" w:rsidRDefault="006D1F2A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Przepis a</w:t>
      </w:r>
      <w:r w:rsidR="00BC1C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rt. 4 projektu ma na celu dopuszczenie do prowadzenia pociągów pasażerskich</w:t>
      </w:r>
      <w:r w:rsidR="00227E2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przewożących osoby</w:t>
      </w:r>
      <w:r w:rsidR="00BC1C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przemieszczając</w:t>
      </w:r>
      <w:r w:rsidR="00227E2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="00BC1C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się z terytorium Ukrainy na terytorium Rzeczypospolitej Polskiej w wyniku konfliktu zbrojnego na Ukrainie przez maszynistę posiadającego uprawnienia ograniczone wyłącznie do prowadzenia pociągów towarowych tym </w:t>
      </w:r>
      <w:r w:rsidR="00BC1C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samym typem pojazdu, na który maszynista ma autoryzację na prowadzenie pociągów towarowych. Rozwiązanie to ma umożliwić korzystanie z maszynistów zatrudnionych przy przewozach towarowych, posiadających odpowiednią znajomość </w:t>
      </w:r>
      <w:r w:rsidR="009E57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danego typu </w:t>
      </w:r>
      <w:r w:rsidR="00BC1C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taboru do prowadzenia pociągów pasażerskich. Podobnie jak inne proponowane przepisy również i ten jest ograniczony wyłącznie do określonych rodzajów pociągów, tj. przeznaczonych do przewozu osób, które przemieszczają się z terytorium Ukrainy na terytorium Rzeczypospolitej Polskiej w wyniku konfliktu zbrojnego na Ukrainie. </w:t>
      </w:r>
    </w:p>
    <w:p w14:paraId="234E9EEE" w14:textId="3435FF8B" w:rsidR="00227E28" w:rsidRPr="00C31644" w:rsidRDefault="009E5767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Rozwiązania proponowane w projektowanych art. 3 i 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art.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 nie stoją w sprzeczności z rozporządzeniem wykonawczym Komisji (UE) 2019/773 z dnia 16 maja 2019 r. w sprawie technicznej specyfikacji interoperacyjności w zakresie podsystemu „Ruch kolejowy” systemu kolei w Unii Europejskiej i uchylające decyzję 2012/757/UE Dz. Urz. UE  L 139I, z 27.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5.2019, s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tr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5) ani innymi aktami prawa wspólnotowego.</w:t>
      </w:r>
      <w:r w:rsidR="001F4F9A" w:rsidRPr="00C31644">
        <w:rPr>
          <w:sz w:val="24"/>
          <w:szCs w:val="24"/>
        </w:rPr>
        <w:t xml:space="preserve"> </w:t>
      </w:r>
      <w:r w:rsidR="001F4F9A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Maszynista prowadzący pociągi przewożące osoby opuszczające Ukrainę będzie musiał posiadać świadectwo maszynisty, co więcej pociągi te będzie mógł prowadzić tylko tym samym typem pojazdu kolejowego, na który ma autoryzację w świadectwie maszynisty do prowadzenia pociągów towarowych. Proponowane rozwiązanie nie obniża poziomu bezpieczeństwa kolejowego, gdyż pociągi pasażerskie są dużo lżejsze od pociągów towarowych (kilkaset ton w porównaniu do kilku tysięcy ton w przypadku pociągów towarowych) w związku z tym droga hamowania pociągów pasażerskich jest dużo krótsza niż towarowych.</w:t>
      </w:r>
    </w:p>
    <w:p w14:paraId="1A33D180" w14:textId="16993EAE" w:rsidR="00AD3063" w:rsidRPr="00C31644" w:rsidRDefault="00B20264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Rozwiązanie </w:t>
      </w:r>
      <w:r w:rsidR="005E699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przewidziane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art. 5 </w:t>
      </w:r>
      <w:r w:rsidR="00227E2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projektu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 na celu zapewnienie efektywnego przewozu pomocy humanitarnej w związku z konfliktem zbrojnym na Ukrainie. Celowym jest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by pomoc ta była realizowana w sposób płynny. Mając na uwadze, że organizacja pomocy humanitarnej w ilości odpowiadającej potrzebom jest procesem wieloetapowym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konieczne jest wprowadzenie przepisów, które w odniesieniu do kolejowego transportu towarowego w sposób maksymalny zapewnią jej płynność i szybkość dostarczenia. W związku z powyższym proponuje się wprowadzenie zwolnienia z opłat za </w:t>
      </w:r>
      <w:r w:rsidR="000A246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usługi wykonane w ramach minimalnego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dostęp</w:t>
      </w:r>
      <w:r w:rsidR="000A246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infrastruktury kolejowej pobieranej od przewoźników za przew</w:t>
      </w:r>
      <w:r w:rsidR="000A246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ozy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0A246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towarowe z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pomoc</w:t>
      </w:r>
      <w:r w:rsidR="000A246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ą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humanitarn</w:t>
      </w:r>
      <w:r w:rsidR="000A246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ą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Powyższe zwolnienie powodować będzie po stronie zarządców infrastruktury kolejowej utratę przychodów z tytułu opłat za udostępnienie infrastruktury kolejowej. Konieczne jest zatem również wprowadzenie mechanizmu </w:t>
      </w:r>
      <w:r w:rsidR="00924A6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umożliwiającego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zarządcom infrastruktury kolejowej </w:t>
      </w:r>
      <w:r w:rsidR="00924A6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uzyskanie rekompensaty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tytułu niepobierania opłat za udostępnianie infrastruktury kolejowej w zakresie przewozu pomocy humanitarnej</w:t>
      </w:r>
      <w:r w:rsidR="008B72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postaci środków z Funduszu Pomocy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o</w:t>
      </w:r>
      <w:r w:rsidR="007B1DC8" w:rsidRPr="00C31644">
        <w:rPr>
          <w:sz w:val="24"/>
          <w:szCs w:val="24"/>
        </w:rPr>
        <w:t xml:space="preserve">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którym mowa w ustawie </w:t>
      </w:r>
      <w:r w:rsidR="00F26AEE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DA0BA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12 </w:t>
      </w:r>
      <w:r w:rsidR="00F26AEE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marca 2022 r.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 pomocy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obywatelom Ukrainy w związku z konfliktem zbrojnym na terytorium tego państwa</w:t>
      </w:r>
      <w:r w:rsidR="00DA0BA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U. poz. 583).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Proponowane rozwiązania wesprą organizatorów pomocy humanitarnej transportowanej koleją, w szczególności przez obniżenie kosztu transportu pomocy. Jednocześnie rozwiązanie to będzie wyrazem solidarności z ofiarodawcami. Proponowane rozwiązanie stanowić będzie również zachętę do organizowania transportu pomocy humanitarnej za pomocą kolei.</w:t>
      </w:r>
    </w:p>
    <w:p w14:paraId="50F8E873" w14:textId="5E56E934" w:rsidR="00B20264" w:rsidRPr="00C31644" w:rsidRDefault="00523699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Ś</w:t>
      </w:r>
      <w:r w:rsidR="00AD306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rodki finansowe przeznaczone na rekompensowanie zarządcy infrastruktury kolejowej niepobierania opłat będą ograniczone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jak wszystkie limity wydatków publicznych. J</w:t>
      </w:r>
      <w:r w:rsidR="00AD306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ednocześnie trudno w chwili projektowania przepisów ocenić jak długo finansowanie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zwolnienia z opłat za korzystanie z infrastruktury kolejowej </w:t>
      </w:r>
      <w:r w:rsidR="00AD306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będzie potrzebne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Dlatego też </w:t>
      </w:r>
      <w:r w:rsidR="00AD306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zdecydowano się na fakultatywny charakter przepisu – tak aby nie tworzyć po stronie zarządcy roszczenia o wyrównanie niepobranych opłat również w odniesieniu do kwot wykraczających poza uzgodniony limit. Nie oznacza to jednak arbitralności zarówno w zakresie niepobierania opłat przez zarządcę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AD306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jak i w odniesieniu do wypłat realizowanych na rzecz zarządcy przez ministra.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Zarządca nie </w:t>
      </w:r>
      <w:r w:rsidR="00B258EA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będzie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pobierał opłat od przewoźników, a pobrane zwróci tak długo jak minister będzie to zwolnienie rekompensował. Kryterium finansowania rekompensaty będzie wyłącznie chronologiczne, do wyczerpania środków – nie będzie ono więc nikogo dyskryminowało.</w:t>
      </w:r>
    </w:p>
    <w:p w14:paraId="77FA7285" w14:textId="5FEEE89F" w:rsidR="002808A8" w:rsidRPr="00C31644" w:rsidRDefault="00B20264" w:rsidP="002A14A6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Biorąc pod uwagę bezprecedensowy charakter zagrożenia działaniami wojennymi na terenie Ukrainy oraz istotny wpływ tej sytuacji na funkcjonowanie kolejowych przewozów pasażerskich, wymagającej zaangażowania potencjału przewozowego 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rzewoźników kolejowych do przewozu osób poszkodowanych działaniami wojennymi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proponuje się wprowadzenie zasad dotyczących rozliczenia kosztów związanych ze świadczeniami dodatkowych usług przewozowych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takich jak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uruchamianie dodatkowych pociągów pasażerskich nieuwzględnionych w </w:t>
      </w:r>
      <w:r w:rsidR="00BD5E9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rocznym rozkładzie jazdy pociągów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 dołączanie 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dodatkowych wagonów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albo zespołów trakcyjnych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pociągu pasażerskiego stałego kursowania.</w:t>
      </w:r>
      <w:r w:rsidR="008B72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Art. 6 </w:t>
      </w:r>
      <w:r w:rsidR="008B72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projektu 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przewiduje uruchomienie dodatkowych pociągów 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(zarówno składów wagonowych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jak i zestawionych z zespołów trakcyjnych) 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celu zapewnienia przewozu osobom poszkodowanym działaniami wojennymi na terenie Ukrainy</w:t>
      </w:r>
      <w:r w:rsidR="008B72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Przewóz ten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odbywa się zgodnie z procedurami określonymi przez </w:t>
      </w:r>
      <w:r w:rsidR="00523699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zarządcę infrastruktury kolejowej 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(dalej PKP PLK). Dodatkowe pociągi zosta</w:t>
      </w:r>
      <w:r w:rsidR="008B72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ną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odpowiednio oznaczone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tak aby możliwa była ich identyfikacja w Systemie Ewidencji Pracy Eksploatacyjnej (SEPE) prowadzonym przez PKP PLK.</w:t>
      </w:r>
      <w:r w:rsidR="00DA36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808A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Praca eksploatacyjna (wyrażona odpowiednio w </w:t>
      </w:r>
      <w:proofErr w:type="spellStart"/>
      <w:r w:rsidR="00FE4DE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pociągokilometrach</w:t>
      </w:r>
      <w:proofErr w:type="spellEnd"/>
      <w:r w:rsidR="002808A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proofErr w:type="spellStart"/>
      <w:r w:rsidR="002808A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pojazdokilometrach</w:t>
      </w:r>
      <w:proofErr w:type="spellEnd"/>
      <w:r w:rsidR="002808A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albo wagonokilometrach)</w:t>
      </w:r>
      <w:r w:rsidR="00DA36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o której mowa w art. 6,</w:t>
      </w:r>
      <w:r w:rsidR="002808A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stanowi miarę przemieszczenia się pojazdu kolejowego (jednego pociągu, pojazdu albo wagonu) na dystansie jednego kilometra.</w:t>
      </w:r>
    </w:p>
    <w:p w14:paraId="5E0843FD" w14:textId="0566B2EE" w:rsidR="002A14A6" w:rsidRPr="00C31644" w:rsidRDefault="002A14A6" w:rsidP="002A14A6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ustalenia wysokości wsparcia dla przewoźnika kolejowego przyjmuje się stawkę ryczałtową w przeliczeniu na 1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pociągokilometr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wykonanej pracy eksploatacyjnej w wysokości 68 zł </w:t>
      </w:r>
      <w:r w:rsidR="00BC1C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netto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pociągokilometr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W sytuacji gdy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rzewoźnik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kolejowy</w:t>
      </w:r>
      <w:r w:rsidR="002808A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wykorzystuje elektryczne lub spalinowe zespoły trakcyjne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stosuje się stawk</w:t>
      </w:r>
      <w:r w:rsidR="00912F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ę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ryczałtową</w:t>
      </w:r>
      <w:r w:rsidR="005337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równ</w:t>
      </w:r>
      <w:r w:rsidR="00BC1C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ą</w:t>
      </w:r>
      <w:r w:rsidR="005337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16 zł</w:t>
      </w:r>
      <w:r w:rsidR="00BC1C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netto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przeliczeniu na jeden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pojazdokilometr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wykonanej pracy eksploatacyjnej. Stawka ryczałtowa uwzględnia koszty dostępu do linii kolejowych, koszty energii trakcyjnej/paliwa trakcyjnego,</w:t>
      </w:r>
      <w:r w:rsidR="005337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koszty utrzymania taboru (lokomotywy, wagony, elektryczne i spalinowe zespoły trakcyjne) w należytym stanie technicznym, amortyzacji, remontów, ubezpieczeń itp., koszty obsługi konduktorskiej i koszty drużyn trakcyjnych, koszty obsługi podróżnych (tj. koszty poczęstunku, koszty sprzedaży, koszty informacji podróżnych) i koszty funkcjonowania stacji zwrotnych.</w:t>
      </w:r>
      <w:r w:rsidR="008B72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Wysokość kwoty wsparcia dla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rzewoźnika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kolejowego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Funduszu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Pomocy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stanowi iloczyn pracy eksploatacyjnej wykonanej w okresie rozliczeniowym wyrażonej w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pociągokilometrach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</w:t>
      </w:r>
      <w:r w:rsidR="005337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albo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pojazdokilometrach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i stawki ryczałtowej w przeliczeniu na jeden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pociągokilometr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</w:t>
      </w:r>
      <w:r w:rsidR="005337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albo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pojazdokilometr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14:paraId="7707E373" w14:textId="4FEB0563" w:rsidR="00B20264" w:rsidRPr="00C31644" w:rsidRDefault="00B20264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Zasady określone w tym przepisie nie będą miały zastosowania do pociągów sfinansowanych przez Szefa Kancelarii Prezesa Rady Ministrów na podstawie uchwały nr 31/2022 Rady Ministrów z dnia 25 lutego 2022 r. w sprawie ustanowienia programu pomocy dla osób rannych i poszkodowanych z powodu konfliktu zbrojnego na terytorium Ukrainy – „Bezpieczny Transport”</w:t>
      </w:r>
      <w:r w:rsidR="00DA36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04ADAF03" w14:textId="063A9843" w:rsidR="0074529F" w:rsidRPr="00C31644" w:rsidRDefault="00B20264" w:rsidP="00533778">
      <w:pPr>
        <w:keepNext/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Dla zapewnienia jak największego potencjału przewozowego oraz maksymalnego wykorzystania możliwości przewozowych określonych w </w:t>
      </w:r>
      <w:r w:rsidR="00AE026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rocznym rozkładzie jazdy p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ociągów 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art. 6 projektu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dopuszcza 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także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włączanie do pociągów stałego 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kursowania dodatkowych wagonów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albo zespołów trakcyjnych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Decyzję o potrzebie włączenia dodatkowych wagonów 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albo zespołów trakcyjnych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podejmuje operacyjnie Dyspozytor Taborowy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rzewoźnika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kolejowego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 uwzględnieniu dostępności taboru, przy zachowaniu obow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iązujących norm bezpieczeństwa.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Fakt włączenia 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dodatkowych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wagonów 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albo zespołów trakcyjnych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pociągów stałego kursowania jest </w:t>
      </w:r>
      <w:r w:rsidR="00DF01D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rejestrowany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przez </w:t>
      </w:r>
      <w:r w:rsidR="008B72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rzewoźnika</w:t>
      </w:r>
      <w:r w:rsidR="008B72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kolejowego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Rejestr zawiera co najmniej numer pociągu</w:t>
      </w:r>
      <w:r w:rsidR="00924A6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którego wagon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/zespół trakcyjny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został włączony, datę włączenia, relację i odległość przejazdu włączonego 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pojazdu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liczbę dodatkowych 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pojazdów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wykonaną pracę eksploatacyjną wyrażoną 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odpowiednio w </w:t>
      </w:r>
      <w:proofErr w:type="spellStart"/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pojazdokilometrach</w:t>
      </w:r>
      <w:proofErr w:type="spellEnd"/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albo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wagonokilometrach.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ustalenia wysokości wsparcia dla </w:t>
      </w:r>
      <w:r w:rsidR="008B72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rzewoźnika </w:t>
      </w:r>
      <w:r w:rsidR="008B72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kolejowego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Funduszu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Pomocy</w:t>
      </w:r>
      <w:r w:rsidR="00CB667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uwagi na włączanie dodatkowych wagonów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/pojazdów trakcyjnych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przyjmuje się stawkę ryczałtową za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161FBFDD" w14:textId="10EFE808" w:rsidR="0074529F" w:rsidRPr="00C31644" w:rsidRDefault="008E2100" w:rsidP="002E236F">
      <w:pPr>
        <w:pStyle w:val="Akapitzlist"/>
        <w:keepNext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‒</w:t>
      </w:r>
      <w:r w:rsidR="002C3B09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jeden </w:t>
      </w:r>
      <w:proofErr w:type="spellStart"/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pojazdokilometr</w:t>
      </w:r>
      <w:proofErr w:type="spellEnd"/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pracy eksploatacyjnej wykonanej przez włączony zespół trakcyjny w wysokości 16 zł </w:t>
      </w:r>
      <w:r w:rsidR="00BC1C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netto </w:t>
      </w:r>
      <w:r w:rsidR="0074529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 dodatkowy </w:t>
      </w:r>
      <w:r w:rsidR="005337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zespół trakcyjny albo</w:t>
      </w:r>
    </w:p>
    <w:p w14:paraId="5B10367C" w14:textId="040ABF18" w:rsidR="0074529F" w:rsidRPr="00C31644" w:rsidRDefault="008E2100" w:rsidP="002E236F">
      <w:pPr>
        <w:pStyle w:val="Akapitzlist"/>
        <w:keepNext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‒</w:t>
      </w:r>
      <w:r w:rsidR="002C3B09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2026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jeden wagonokilometr pracy eksploatacyjnej wykonanej przez włączony wagon/wagony w wysokości 5 zł </w:t>
      </w:r>
      <w:r w:rsidR="00BC1C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netto </w:t>
      </w:r>
      <w:r w:rsidR="00B2026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 dodatkowy wagon</w:t>
      </w:r>
      <w:r w:rsidR="00DA36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337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włączon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="0053377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 pociągu stałego kursowania.</w:t>
      </w:r>
    </w:p>
    <w:p w14:paraId="111099EC" w14:textId="2B51AB60" w:rsidR="00C511F0" w:rsidRPr="00C31644" w:rsidRDefault="00B20264" w:rsidP="00533778">
      <w:pPr>
        <w:keepNext/>
        <w:suppressAutoHyphens/>
        <w:spacing w:after="0" w:line="360" w:lineRule="auto"/>
        <w:contextualSpacing/>
        <w:jc w:val="both"/>
        <w:rPr>
          <w:sz w:val="24"/>
          <w:szCs w:val="24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Stawka ryczałtowa za wagonokilometr uwzględnia te same koszty co stawka za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pojazdokilometr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stosowana odnośnie do uru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chamiania dodatkowych pociągów.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Wysokość kwoty wsparcia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rzewoźnika z Funduszu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Pomocy</w:t>
      </w:r>
      <w:r w:rsidR="00CB667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stanowi iloczyn pracy eksploatacyjnej wykonanej w okresie rozliczeniowym wyrażonej w wagonokilometrach i zryczałtowanej stawki jednostkowej w przeli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czeniu na jeden wagonokilometr.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Wypłata wsparcia z tytułu włączania wagonów następuje w tym samym trybie co wypłata wsparcia z tytułu uru</w:t>
      </w:r>
      <w:r w:rsidR="002A14A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chamiania dodatkowych pociągów. </w:t>
      </w:r>
      <w:r w:rsidR="00BC1C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Wsparcie, o którym mowa w art. 6, nie obej</w:t>
      </w:r>
      <w:r w:rsidR="00DA36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muje podatku od towarów i usług</w:t>
      </w:r>
      <w:r w:rsidR="00BC1C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C511F0" w:rsidRPr="00C31644">
        <w:rPr>
          <w:sz w:val="24"/>
          <w:szCs w:val="24"/>
        </w:rPr>
        <w:t xml:space="preserve"> </w:t>
      </w:r>
    </w:p>
    <w:p w14:paraId="18070B8A" w14:textId="7728496E" w:rsidR="00B20264" w:rsidRPr="00C31644" w:rsidRDefault="00C511F0" w:rsidP="00533778">
      <w:pPr>
        <w:keepNext/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Koszty</w:t>
      </w:r>
      <w:r w:rsidR="00B258EA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jakie uwzględniają stawki</w:t>
      </w:r>
      <w:r w:rsidR="00B258EA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zostały wskazane w sposób ograniczający – przez nieuwzględnienie kosztów ogólnozakładowych i kosztów zarządu</w:t>
      </w:r>
      <w:r w:rsidR="00B258EA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wyeliminowano różnice między przewoźnikami regionalnymi oraz tymi operującymi zwykle na terenie więcej niż jednego województwa. Stawkę 68 zł za 1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pociągokilometr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wskazano jako odpowiadającą kosztom uśrednionego pociągu składającego się z 10 wagonów w zakresie wskazanych w ustawie kosztów. Ustalono, że do dnia 11 marca br. pociągi zestawione z wagonów, wykorzystane do przewozu uchodźców w pociągach nieujętych w rocznym rozkładzie jazdy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składały się średnio z 10 wagonów. Analogicznie ustalono stawkę 5 zł za 1 wagonokilometr. Stawka 16 zł za 1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pojazdokilometr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została zaproponowana przez stronę samorządową podczas spotkania konsultacyjnego (wcześniejsza wersja projektu nie zawierała tej stawki). Na spotkaniu tym zaakceptowane zostały również pozostałe dwie stawki.</w:t>
      </w:r>
    </w:p>
    <w:p w14:paraId="61527476" w14:textId="15A6BD63" w:rsidR="00B20264" w:rsidRPr="00C31644" w:rsidRDefault="006D1F2A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Przepis art.</w:t>
      </w:r>
      <w:r w:rsidR="00B0035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projektu przewiduje, że zarządca infrastruktury kolejowej, który w okresie 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od </w:t>
      </w:r>
      <w:r w:rsidR="00B0035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dnia 24 lutego 2022 r. do dnia 31 grudnia 2022 r. remontował albo przystosował infrastrukturę kolejową do obsługi osób przemieszczających się z terytorium Ukrainy na terytorium Rzeczypospolitej Polskiej w związku z konfliktem zbrojnym na terytorium Ukrainy lub </w:t>
      </w:r>
      <w:r w:rsidR="00B0035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prowadził ruch na infrastrukturze kolejowej obsługującej takie osoby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B0035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może otrzymać środki z Funduszu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Pomocy </w:t>
      </w:r>
      <w:r w:rsidR="00B0035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finansowanie kosztów poniesionych z tego tytułu.</w:t>
      </w:r>
    </w:p>
    <w:p w14:paraId="334AD013" w14:textId="2ACD5DD9" w:rsidR="008018E0" w:rsidRPr="00C31644" w:rsidRDefault="006D1F2A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Przepis a</w:t>
      </w:r>
      <w:r w:rsidR="00B0035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rt. 8 projektu zakłada możliwość </w:t>
      </w:r>
      <w:r w:rsidR="00DA36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zmiany </w:t>
      </w:r>
      <w:r w:rsidR="00B0035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="00B2026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mow</w:t>
      </w:r>
      <w:r w:rsidR="00B0035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="00B2026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 świadczenie usług w zakresie publicznego transportu zbiorowego zawart</w:t>
      </w:r>
      <w:r w:rsidR="00B0035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ej</w:t>
      </w:r>
      <w:r w:rsidR="00B2026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przez organizatora publicznego transportu zbiorowego w transporcie kolejowym w celu zapewnienia finansowania przychodów utraconych </w:t>
      </w:r>
      <w:r w:rsidR="008018E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lub dodatkowych kosztów poniesionych </w:t>
      </w:r>
      <w:r w:rsidR="00B0035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związku z przewozem</w:t>
      </w:r>
      <w:r w:rsidR="00B2026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osób, które </w:t>
      </w:r>
      <w:r w:rsidR="00DA36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przemieszczają się </w:t>
      </w:r>
      <w:r w:rsidR="00CD40E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 </w:t>
      </w:r>
      <w:r w:rsidR="00B2026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terytorium Ukrainy na terytorium Rzeczypospolitej Polskiej w związku z konfliktem zbrojnym na terytorium Ukrainy. Zmiany w umowach o świadczenie usług publicznych 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są </w:t>
      </w:r>
      <w:r w:rsidR="00B2026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wprowadzane do dnia 31 grudnia 2022 r.</w:t>
      </w:r>
      <w:r w:rsidR="00CD40E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do końca obowiązywania rocznych umów dotyczących okresu, w którym w największym stopniu </w:t>
      </w:r>
      <w:r w:rsidR="00C16CD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konflikt zbrojny na terytorium Ukrainy</w:t>
      </w:r>
      <w:r w:rsidR="00CD40E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mógł negatywnie wpłynąć na równowagę finansową umowy rocznej. </w:t>
      </w:r>
    </w:p>
    <w:p w14:paraId="581D3062" w14:textId="77777777" w:rsidR="00E01846" w:rsidRPr="00C31644" w:rsidRDefault="00E01846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podstawie niniejszego przepisu minister właściwy do spraw transportu będzie mógł wykorzystać środki Funduszu Pomocy na zwiększenie limitu rekompensaty (w rozumieniu art. 4 ust. 1 pkt 15 ustawy z dnia 16 grudnia 2010 r. o publicznym transporcie zbiorowym (Dz.U. z 2021 r. poz. 1371 i 2445)) w umowie o świadczenie usług w zakresie publicznego transportu zbiorowego, którą na podstawie ww. ustawy podpisał ten minister albo marszałek województwa w zakresie transportu kolejowego.</w:t>
      </w:r>
    </w:p>
    <w:p w14:paraId="72D60461" w14:textId="10B7CA01" w:rsidR="00E01846" w:rsidRPr="00C31644" w:rsidRDefault="00E01846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Wsparcie będzie przyznawane albo operatorowi, z którym umowę podpisał minister (tj. PKP Intercity S.A.)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albo marszałkom województw na rzecz operatorów, z którymi ww. umowy podpisali marszałkowie. Wsparcie będzie przydzielane w sposób niedyskryminujący a środki alokowane na sfinansowanie dyspozycji art. 8 będą przydzielane poszczególnym beneficjentom mając na uwadze wysokość zwię</w:t>
      </w:r>
      <w:r w:rsidR="00CD40E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kszenia deficytu umowy w odniesieniu do jej wymiar</w:t>
      </w:r>
      <w:r w:rsidR="00C16CD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="00CD40E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finansowego z uwzględnieniem pracy eksploatacyjnej, której dotyczy umowa.</w:t>
      </w:r>
    </w:p>
    <w:p w14:paraId="0B6ABEA2" w14:textId="23961CA9" w:rsidR="00D849E5" w:rsidRPr="00C31644" w:rsidRDefault="00D849E5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Ponadto należy podkreślić wzajemną rozłączną relację wsparcia zdefiniowanego w art. 6 i 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art.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8. 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Przepis art.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 dotyczy wsparcia ze środków centralnych organizatorów publicznego transportu zbiorowego w transporcie kolejowym szczebla krajowego i regionalnego. Natomiast art. 6 dotyczy finansowania przewozów realizowanych poza umowami o świadczenie usług publicznych.</w:t>
      </w:r>
    </w:p>
    <w:p w14:paraId="1772E2D8" w14:textId="50D6362B" w:rsidR="008018E0" w:rsidRPr="00C31644" w:rsidRDefault="008018E0" w:rsidP="00B20264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Wszystkie przepisy dotyczące wsparcia finansowego mają fakultatywny charakter. Jest to spowodowane wyłącznie tym, że nie ma gwarancji, 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że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środki alok</w:t>
      </w:r>
      <w:r w:rsidR="00D5225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owane z Funduszu Pomocy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wystarczą na sfinansowanie wszystkich prawidłowo zgłoszonych wniosków o wsparcie.</w:t>
      </w:r>
      <w:r w:rsidR="00904B32" w:rsidRPr="00C31644">
        <w:rPr>
          <w:sz w:val="24"/>
          <w:szCs w:val="24"/>
        </w:rPr>
        <w:t xml:space="preserve"> </w:t>
      </w:r>
      <w:r w:rsidR="00904B3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Środki </w:t>
      </w:r>
      <w:r w:rsidR="00904B3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te będą wypłacane do wysokości środków zarezerwowanych na ten cel w planie Funduszu</w:t>
      </w:r>
      <w:r w:rsidR="00DA36C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co przewiduje art. 9 projektu</w:t>
      </w:r>
      <w:r w:rsidR="00904B3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04E4206A" w14:textId="24B093FF" w:rsidR="00CD40E4" w:rsidRPr="00C31644" w:rsidRDefault="008E2100" w:rsidP="00CD40E4">
      <w:pPr>
        <w:keepNext/>
        <w:suppressAutoHyphens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Przepis art. </w:t>
      </w:r>
      <w:r w:rsidR="00CD40E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9 podkreśla zasadę finansowania wsparcia dla podmiotów sektora transportu kolejowego wyłącznie w ramach limitu, którym na finansowanie przepisów art. 5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‒</w:t>
      </w:r>
      <w:r w:rsidR="00CD40E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8 ustawy będzie dysponował minister właściwy do spraw transportu. Przepis ten podkreśla również niedyskryminacyjny charakter wsparcia, który zostanie zapewniony przez podział ogólnej kwoty wsparcia finansowego na </w:t>
      </w:r>
      <w:proofErr w:type="spellStart"/>
      <w:r w:rsidR="00185EF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subkwoty</w:t>
      </w:r>
      <w:proofErr w:type="spellEnd"/>
      <w:r w:rsidR="00185EF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przeznaczone na finansowanie poszczególnych rozwiązań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zawartych w projektowanej regulacji</w:t>
      </w:r>
      <w:r w:rsidR="00CD40E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3EBC3ED3" w14:textId="252A5157" w:rsidR="00CD40E4" w:rsidRPr="00C31644" w:rsidRDefault="00CD40E4" w:rsidP="00CD40E4">
      <w:pPr>
        <w:pStyle w:val="Akapitzlist"/>
        <w:keepNext/>
        <w:numPr>
          <w:ilvl w:val="0"/>
          <w:numId w:val="3"/>
        </w:num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uwzględnienie wszystkich wniosków zarządcy infrastruktury składanych na podstawie art. 5 do wyczerpania limitu,</w:t>
      </w:r>
    </w:p>
    <w:p w14:paraId="56C306F5" w14:textId="77777777" w:rsidR="00185EF8" w:rsidRPr="00C31644" w:rsidRDefault="00185EF8" w:rsidP="00CD40E4">
      <w:pPr>
        <w:pStyle w:val="Akapitzlist"/>
        <w:keepNext/>
        <w:numPr>
          <w:ilvl w:val="0"/>
          <w:numId w:val="3"/>
        </w:num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analogiczne realizowanie, z wykorzystaniem formuły ryczałtowej, wszystkich wniosków składanych przez przewoźników na podstawie art. 6,</w:t>
      </w:r>
    </w:p>
    <w:p w14:paraId="12EECAD6" w14:textId="77777777" w:rsidR="00CD40E4" w:rsidRPr="00C31644" w:rsidRDefault="00185EF8" w:rsidP="00CD40E4">
      <w:pPr>
        <w:pStyle w:val="Akapitzlist"/>
        <w:keepNext/>
        <w:numPr>
          <w:ilvl w:val="0"/>
          <w:numId w:val="3"/>
        </w:num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wspieranie zarządcy infrastruktury,</w:t>
      </w:r>
    </w:p>
    <w:p w14:paraId="6DE82172" w14:textId="77777777" w:rsidR="00185EF8" w:rsidRPr="00C31644" w:rsidRDefault="00185EF8" w:rsidP="00CD40E4">
      <w:pPr>
        <w:pStyle w:val="Akapitzlist"/>
        <w:keepNext/>
        <w:numPr>
          <w:ilvl w:val="0"/>
          <w:numId w:val="3"/>
        </w:num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przekazywanie wsparcia operatorowi międzywojewódzkiemu oraz organizatorom wojewódzkim na rzecz operatorów wojewódzkich w formule umowy o świadczenie usług w zakresie publicznego transportu zbiorowego wraz z podziałem tego wsparcia w</w:t>
      </w:r>
      <w:r w:rsidRPr="00C31644">
        <w:rPr>
          <w:sz w:val="24"/>
          <w:szCs w:val="24"/>
        </w:rPr>
        <w:t> 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sposób uwzględniający wysokość zwiększenia deficytu oraz wymiaru umowy.</w:t>
      </w:r>
    </w:p>
    <w:p w14:paraId="7D580AF8" w14:textId="77777777" w:rsidR="00185EF8" w:rsidRPr="00C31644" w:rsidRDefault="00185EF8" w:rsidP="00185EF8">
      <w:pPr>
        <w:keepNext/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Jednocześnie minister będzie informował beneficjentów wsparcia o poziomie wykorzystania dostępnego limitu, aby umożliwić przedsiębiorcom prowadzenie maksymalnie racjonalnej gospodarki.</w:t>
      </w:r>
    </w:p>
    <w:p w14:paraId="6F504736" w14:textId="30BA9A25" w:rsidR="00E837AC" w:rsidRPr="00C31644" w:rsidRDefault="008E2100" w:rsidP="001366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Przepis a</w:t>
      </w:r>
      <w:r w:rsidR="00E837AC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rt. 10 </w:t>
      </w:r>
      <w:r w:rsidR="006D1F2A" w:rsidRPr="00C31644">
        <w:rPr>
          <w:rFonts w:ascii="Times New Roman" w:hAnsi="Times New Roman" w:cs="Times New Roman"/>
          <w:iCs/>
          <w:sz w:val="24"/>
          <w:szCs w:val="24"/>
        </w:rPr>
        <w:t>stanowi, że zwolnienie z pobierania opłat, o których mowa w art. 5 ust. 1, oraz finansowanie, o którym mowa w art. 6 ust. 1 projektu ustawy, stanowi pomoc publiczną podlegającą notyfikacji Komisji Europejskiej i może być udzielone zgodnie z postanowieniami zawartymi w decyzji Komisji Europejskiej wydanej w wyniku notyfikacji.</w:t>
      </w:r>
      <w:r w:rsidR="0056552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Finansowanie, o którym mowa w przepisach ustawy, będzie przekazywane przez ministra właściwego do spraw transportu zgodnie z art. 14 ust. 10 ustawy</w:t>
      </w:r>
      <w:r w:rsidR="00565522" w:rsidRPr="00C31644">
        <w:rPr>
          <w:sz w:val="24"/>
          <w:szCs w:val="24"/>
        </w:rPr>
        <w:t xml:space="preserve"> </w:t>
      </w:r>
      <w:r w:rsidR="0056552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dnia 12 marca 2022 r. o pomocy obywatelom Ukrainy w związku z konfliktem zbrojnym na terytorium tego państwa.</w:t>
      </w:r>
    </w:p>
    <w:p w14:paraId="702DA625" w14:textId="22BA7642" w:rsidR="00C715EA" w:rsidRPr="00C31644" w:rsidRDefault="00C715EA" w:rsidP="00C715EA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celu ograniczenia zbędnych formalności administracyjnych związanych z koniecznością uzyskania świadectw kierowców dla obywateli Ukrainy wykonujących międzynarodowy transport drogowy rzeczy u polskich przewoźników drogowych, zgodnie z art. 11 projektu, wszystkie świadectwa kierowców, które utraciły albo utracą ważność od dnia 24 lutego 2022 r. zachowują ważność do dnia 31 grudnia 2022 r. Przepis ten dotyczy już wydanych świadectw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kierowców, tj. przed dniem 24 lutego 2022 r. Główny Inspektor Transportu Drogowego będzie wydawał świadectwa kierowców dla obywateli Ukrainy na wniosek przedsiębiorcy z datą ważności do dnia 31 grudnia 2022 r., co pozwoli na ich uznawanie przez służby kontrolne państw członkowskich. Wniosek powinien zawierać  oznaczenie przedsiębiorcy, jego siedzibę i adres,  numer świadectwa kierowcy oraz oświadczenie przedsiębiorcy, że warunki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jakich zostały wcześniej wydane dokumenty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 uległy zmianie. Tym samym wyłączono stosowanie art. 32b ust. 5 ustawy z dnia 6 września 2001 r. o transporcie drogowym (Dz. U. z 2022 r. poz. 180, z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zm.) oraz art. 9 ust. 1  pkt 2 ustawy z dnia 14 października 2021 r. o zmianie ustawy o transporcie drogowym oraz niektórych innych ustaw (Dz.U. z 2021 r. poz. 1997).      </w:t>
      </w:r>
    </w:p>
    <w:p w14:paraId="1662A762" w14:textId="77777777" w:rsidR="00C715EA" w:rsidRPr="00C31644" w:rsidRDefault="00C715EA" w:rsidP="00927BED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art. 12 projektu wprowadzono czasowe ułatwienia związane z wykonywaniem międzynarodowych przewozów autobusowych w związku z rosyjską agresją militarną na Ukrainę i prowadzonymi działaniami wojennymi na terytorium tego kraju. W przypadku wykonywania międzynarodowego przewozu osób w relacji Ukraina – Polska, realizowanego w oparciu o zezwolenie na międzynarodowy zarobkowy przewóz drogowy osób wydane na podstawie art. 18 ust. 1 pkt 2 lit. a i ust. 2 ustawy z dnia 6 września 2001 r. o transporcie drogowym, przewóz taki na terytorium Rzeczypospolitej Polskiej może odbywać się z odstępstwami od warunków określonych w tym zezwoleniu. Przewóz na terytorium Rzeczpospolitej Polskiej wykonywany z odstępstwami od warunków określonych w zezwoleniu będzie uznawany za zgodny z warunkami tego zezwolenia. Wprowadzone odstępstwa na terytorium RP polegają na braku obowiązku  stosowania się przez przewoźnika drogowego  do rozkładu jazdy, trasy przejazdu oraz przystanków ujętych w rozkładzie jazdy stanowiących załącznik do wydanego zezwolenia na międzynarodowe przewozy regularne osób. Powyższe rozwiązanie w zakresie ułatwień dla przedsiębiorców świadczących przewozy osób jest konieczne w związku ze szczególną sytuacją będącą wynikiem konfliktu zbrojnego na terytorium Ukrainy i ma na celu ułatwienie przewozu  uchodźców z Ukrainy do określonych miejsc docelowych.</w:t>
      </w:r>
    </w:p>
    <w:p w14:paraId="0C23B879" w14:textId="01B83B43" w:rsidR="00927BED" w:rsidRPr="00C31644" w:rsidRDefault="00927BED" w:rsidP="00927BED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Rozwiązanie przewidziane w art. </w:t>
      </w:r>
      <w:r w:rsidR="00E837AC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13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znosi obowiązek wymiany prawa jazdy wydane</w:t>
      </w:r>
      <w:r w:rsidR="00DF01D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go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przez Ukrainę na polskie prawo jazdy po 6 miesiącach od 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dnia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uzyskania prawa stałego lub czasowego pobytu, dając Ukraińcom swobodę poruszania się. W połączeniu z przepisem art. 15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zzzw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ustawy z dnia 2 marca 2020 r. o szczególnych rozwiązaniach związanych z zapobieganiem, przeciwdziałaniem i zwalczaniem COVID-19, innych chorób zakaźnych oraz wywołanych nimi sytuacji kryzysowych</w:t>
      </w:r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U. z 2021 r. poz. 2095, z </w:t>
      </w:r>
      <w:proofErr w:type="spellStart"/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zm.)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0063D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który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okresie pandemii i 60 dni po niej uznaje nieważne prawa jazdy (te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którym wygasł termin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ważności) za ważne, oraz z nowymi przepisami umożliwiającymi osobom, które nie mogą wymienić prawa jazdy na prawo jazdy polskie uzyskanie karty kwalifikacji kierowcy, zapewni uznawalność dokumentów i możliwość świadczenia pracy w charakterze kierowcy zawodowego. Ponadto za ważne uznaje się także, w tym okresie, prawa jazdy wydane przez Ukrainę, których termin ważności upłynął.</w:t>
      </w:r>
    </w:p>
    <w:p w14:paraId="5168A411" w14:textId="61D21B2C" w:rsidR="00022089" w:rsidRPr="00C31644" w:rsidRDefault="008E2100" w:rsidP="00BC766F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Przepis a</w:t>
      </w:r>
      <w:r w:rsidR="00022089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rt. </w:t>
      </w:r>
      <w:r w:rsidR="00E837AC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14 </w:t>
      </w:r>
      <w:r w:rsidR="00022089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projektu wyłącza do dnia 31 grudnia 2022 r. stosowanie przepisów art. 71 ust. 5a oraz art. 129 ust. 2 pkt 2a ustawy z dnia 20 czerwca 1997 r. – Prawo o ruchu drogowym</w:t>
      </w:r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U. z 2021 r. poz. 450, z </w:t>
      </w:r>
      <w:proofErr w:type="spellStart"/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zm.)</w:t>
      </w:r>
      <w:r w:rsidR="00022089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odnoszących się do wymogu oraz kontroli posiadania przez kierującego pojazdem zarejestrowanym za granicą dodatkowego dokumentu potwierdzającego prawo do używania pojazdu, jeżeli prawo to nie wynika z dowodu rejestracyjnego. Wobec zaistniałej sytuacji może być utrudnione spełnienie przez kierujących pojazdami przyjeżdżającymi z Ukrainy obowiązku posiadania i uzyskania takiego dokumentu. Przepis wyłączający będzie dotyczył tylko tych pojazdów, które przekroczyły granicę Rzeczypospolitej Polskiej z Ukrainą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od </w:t>
      </w:r>
      <w:r w:rsidR="00022089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dni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022089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24 lutego 2022 r.</w:t>
      </w:r>
    </w:p>
    <w:p w14:paraId="366AFD2A" w14:textId="6DD44851" w:rsidR="00CF2948" w:rsidRPr="00C31644" w:rsidRDefault="007B1DC8" w:rsidP="008B2201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Art</w:t>
      </w:r>
      <w:r w:rsidR="0024648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  <w:r w:rsidR="00E837AC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15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projektu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ma umożliwić odnowienie dokumentów kwalifikacyjnych marynarzy wydanych przez </w:t>
      </w:r>
      <w:r w:rsidR="00CF294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właściwy organ administracji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Ukrainy na podstawie posiadanej praktyki pływania na zasadach określonych w przepisach wydanych na podstawie ustawy z dnia 18 sierpnia 2011 r. o bezpieczeństwie morskim </w:t>
      </w:r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(Dz. U. z 2022 r. poz. 515)</w:t>
      </w:r>
      <w:r w:rsidR="008E2100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obowiązujących tak jak dla dokumentów wydanych przez </w:t>
      </w:r>
      <w:r w:rsidR="001874C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właściwe organy polskiej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administracj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morsk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iej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Dokumenty takie byłyby odnawiane na podstawie praktyki pływania (kryteria określone w Konwencji STCW) jednorazowo na okres 2 lat. Proponowane rozwiązanie umożliwiałoby odnowienie dyplomu, który utracił ważność lub niedługo 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ją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utraci, a marynarz mógłby dalej pełnić służbę na statku o polskiej przynależności lub pod obcą banderą. Takie rozwiązanie ułatwi utrzymanie pracy przez obywateli Ukrainy oraz osoby dotknięte zaistniałą sytuacją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posiadające dyplomy ukraińskie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stałego dochodu rodzin potrzebujących pomocy na terytorium Ukrainy</w:t>
      </w:r>
      <w:r w:rsidR="00246484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lub Rzeczypospolitej Polskiej.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Proponowane rozwiązanie ma być tymczasowe i dotyczyć dyplomów kwalifikacyjnych, które utraciły ważność od </w:t>
      </w:r>
      <w:r w:rsidR="001874C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dnia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24 lutego 2022 r.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obowiązywać do końca roku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tj. </w:t>
      </w:r>
      <w:r w:rsidR="001874C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dnia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31 grudnia 2022 r. Jednorazowe odnowienie dokumentu miałoby zostać dokonane na 2 lata, w okresie którym najprawdopodobniej administracja morska Ukrainy powróci do normalnego funkcjonowania. Wtedy marynarz będzie mógł ponownie odnowić dokument na Ukrainie albo dostosować się do ogólnych warunków określonych w ustawie </w:t>
      </w:r>
      <w:r w:rsidR="00DA0BA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18 sierpnia 2011 r.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bezpieczeństwie morskim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tj. ukończyć odpowiednie szkolenie i zdać egzamin w Rzecz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pospolitej Polskiej.</w:t>
      </w:r>
      <w:r w:rsidR="00CF294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F294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Regulacja </w:t>
      </w:r>
      <w:r w:rsidR="001874C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zawarta </w:t>
      </w:r>
      <w:r w:rsidR="00CF294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art. 13 ust. 1 dotyczy odnawiania dyplomów wydanych w oparciu o Prawidła II/1, II/2, III/1, III/2, III/3 i III/6 Międzynarodowej konwencji o wymaganiach w zakresie wyszkolenia marynarzy, wydawania im świadectw oraz pełnienia wacht. Pozostałe świadectwa wydawane na podstawie Konwencji STCW dotyczą krótkich przeszkoleń (kilkudniowych), które to świadectwa mogą zostać wydane przez polską administrację 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morską </w:t>
      </w:r>
      <w:r w:rsidR="00CF294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 odbyciu szkoleń w polskich ośrodkach szkoleniowych (mor</w:t>
      </w:r>
      <w:r w:rsidR="001874C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skich jednostkach edukacyjnych)</w:t>
      </w:r>
      <w:r w:rsidR="00CF294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przypadkach</w:t>
      </w:r>
      <w:r w:rsidR="001874C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CF294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gdy posiadane przez marynarzy ukraińskich świadectwa utraciły lub 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="00CF294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tracą ważność. Nie jest konieczne określanie właściwości dyrektora urzędu morskiego 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‒</w:t>
      </w:r>
      <w:r w:rsidR="00CF294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wniosek może być złożony do dowolnego dyrektora urzędu morskiego w Gdyni albo Szczecinie.</w:t>
      </w:r>
    </w:p>
    <w:p w14:paraId="417EF7B2" w14:textId="3C3EDDD4" w:rsidR="008B2201" w:rsidRPr="00C31644" w:rsidRDefault="00246484" w:rsidP="008B2201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Projektowany a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rt. </w:t>
      </w:r>
      <w:r w:rsidR="00E837AC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16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wskazuje, że do marynarzy i rybaków nie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stosuje się art. </w:t>
      </w:r>
      <w:r w:rsidR="00F26AEE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11 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ust. 2 ustawy</w:t>
      </w:r>
      <w:r w:rsidR="00F26AEE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dnia </w:t>
      </w:r>
      <w:r w:rsidR="0067754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12 </w:t>
      </w:r>
      <w:r w:rsidR="00F26AEE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marca 2022 r.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 pomocy obywatelom Ukrainy w związku z konfliktem zbroj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nym na terytorium tego państwa</w:t>
      </w:r>
      <w:r w:rsidR="002B288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</w:t>
      </w:r>
      <w:r w:rsidR="00DA0BA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Dz. U. </w:t>
      </w:r>
      <w:r w:rsidR="002B288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poz. 583)</w:t>
      </w:r>
      <w:r w:rsidR="007B1DC8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który stanowi, że wyjazd obywatela Ukrainy z terytorium Rzeczypospolitej Polskiej na okres powyżej 1 miesiąca pozbawia go uprawnienia, o którym mowa w art. 2 ust. 1 ww. ustawy </w:t>
      </w:r>
      <w:r w:rsidR="00F26AEE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2B288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12 </w:t>
      </w:r>
      <w:r w:rsidR="00F26AEE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marca 2022 r.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pomocy obywatelom Ukrainy w związku z konfliktem zbrojnym na terytorium tego państwa</w:t>
      </w:r>
      <w:r w:rsidR="002B288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tj. pobytu uznawanego za legalny. Należy bowiem zauważyć, że ukraińscy mary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narze i rybacy, którym zgodnie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przepisami ustawy z dnia 5 sierpnia 2015 r. o pracy na morzu (Dz. U. z 2020 r. poz. 1353</w:t>
      </w:r>
      <w:r w:rsidR="002B288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z 2021 r. poz. 1653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została wydana książeczka żeglarska i którzy podjęli pracę na statku, pozbawieni zostaliby uprawnienia do pobytu uznawanego za legalny i koniecznym byłoby </w:t>
      </w: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ponowne rozpoczęcie procedur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tym zakresie. Należy zaznaczyć, że marynarskie umowy o prac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ę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są zawierane na ogół na okres dłuższy niż miesiąc</w:t>
      </w:r>
      <w:r w:rsidR="001B1667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np. na okres 6 miesięczny. Dlatego </w:t>
      </w:r>
      <w:r w:rsidR="00DF01D3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jest zasadne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wzięcie pod uwagę specyfiki pracy na morzu i ułatwienie formalności marynarzom i rybakom, którzy planują pozostać na terytorium Rzeczypospolitej Polskiej i posiadać w Polsce centrum życia społeczno-gospodarczego.</w:t>
      </w:r>
    </w:p>
    <w:p w14:paraId="3EF12D6C" w14:textId="4A3CCD48" w:rsidR="008B2201" w:rsidRPr="00C31644" w:rsidRDefault="00DA0BA1" w:rsidP="008B2201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Projektowana u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stawa wejdzie w życie z dniem ogłoszenia z mocą od dnia 24 lutego 2022 r., tj. od dnia, w którym został zaobserwowany przez władze polskie masowy napływ cudzoziemców bezp</w:t>
      </w:r>
      <w:r w:rsidR="00E7294D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ośrednio z terytorium Ukrainy.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Mając na uwadze art. 5 ustawy z dnia 20 lipca 2000 r. o ogłaszaniu aktów normatywnych i niektórych innych aktów prawnych (Dz. U. z </w:t>
      </w:r>
      <w:r w:rsidR="00AE0266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2019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 poz. 1461), należy wskazać, że zasady demokratycznego państwa prawnego nie stoją na przeszkodzie nadaniu przedmiotowej ustawie wstecznej mocy obowiązującej. Celem ustawy jest bowiem uregulowanie niektór</w:t>
      </w:r>
      <w:r w:rsidR="00E7294D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 spraw w zakresie transportu</w:t>
      </w:r>
      <w:r w:rsidR="00A2047E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</w:t>
      </w:r>
      <w:r w:rsidR="00E7294D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gospodarki morskiej w </w:t>
      </w:r>
      <w:r w:rsidR="00E7294D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celu ułatwienia pomocy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obywatel</w:t>
      </w:r>
      <w:r w:rsidR="00E7294D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om Ukrainy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którzy ze względu na działania wojenne podjęte ze 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strony Federacji Rosyjskiej zosta</w:t>
      </w:r>
      <w:r w:rsidR="00E7294D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li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zmusz</w:t>
      </w:r>
      <w:r w:rsidR="00E7294D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eni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opuścić kraj, który zamieszkiwa</w:t>
      </w:r>
      <w:r w:rsidR="00E7294D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li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i poszukiwać pomocy w państwach sąsiadujących z Ukrainą. </w:t>
      </w:r>
      <w:r w:rsidR="00A93E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Jak najszybsze wejście w ż</w:t>
      </w:r>
      <w:r w:rsidR="00EA163A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ycie projektowanych regulacji </w:t>
      </w:r>
      <w:r w:rsidR="00A93EDF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jest uzasadnione ważnym interesem państwa polegającym na pilnym rozwiązaniu narastającego kryzysu humanitarnego i pomocy uchodźcom przybyłym na terytorium Rzeczypospolitej Polskiej.</w:t>
      </w:r>
    </w:p>
    <w:p w14:paraId="45686632" w14:textId="77777777" w:rsidR="008B2201" w:rsidRPr="00C31644" w:rsidRDefault="008B2201" w:rsidP="008B2201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 ustawy jest zgodny z prawem Unii Europejskiej.</w:t>
      </w:r>
    </w:p>
    <w:p w14:paraId="51255D76" w14:textId="77777777" w:rsidR="008B2201" w:rsidRPr="00C31644" w:rsidRDefault="008B2201" w:rsidP="008B2201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 ustawy nie zawiera przepisów technicznych, a zatem nie podlega notyfikacji, zgodnie z trybem przewidzianym w przepisach rozporządzenia Rady Ministrów z dnia 23 grudnia 2002 r. w sprawie sposobu funkcjonowania krajowego systemu notyfikacji norm i aktów prawnych (Dz. U. poz. 2039, z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zm.).</w:t>
      </w:r>
    </w:p>
    <w:p w14:paraId="2CE43920" w14:textId="3F8D8992" w:rsidR="008B2201" w:rsidRPr="00C31644" w:rsidRDefault="006D1F2A" w:rsidP="008B2201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 ustawy w zakresie przepisów dotyczących zwolnienia z pobierania opłat, o których mowa w art. 5 ust. 1 projektu, oraz finansowania, o którym mowa w art. 6 ust. 1 projektu, będzie wymagał przedstawienia Komisji Europejskiej w celu notyfikacji pomocy publicznej. Finasowanie w tym zakresie będzie mogło być udzielane zgodnie z postanowieniami zawartymi w decyzji Komisji Europejskiej wydanej w wyniku </w:t>
      </w:r>
      <w:proofErr w:type="spellStart"/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notyfikacji.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</w:t>
      </w:r>
      <w:proofErr w:type="spellEnd"/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zosta</w:t>
      </w:r>
      <w:r w:rsidR="00771BDC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ł</w:t>
      </w:r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udostępniony w Biuletynie Informacji Publicznej na stronie internetowej Rządowego Centrum Legislacji w zakładce Rządowy Proces Legislacyjny zgodnie z § 52 uchwały nr 190 Rady Ministrów z dnia 29 października 2013 r. – Regulamin pracy Rady Ministrów (M.P. z 2016 r. poz. 1006, z </w:t>
      </w:r>
      <w:proofErr w:type="spellStart"/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="008B2201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zm.) oraz stosownie do wymogów art. 5 ustawy z dnia 7 lipca 2005 r. o działalności lobbingowej w procesie stanowienia prawa (Dz. U. z 2017 r. poz. 248). </w:t>
      </w:r>
      <w:r w:rsidR="00771BDC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65522"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toku procesu legislacyjnego nie odnotowano zgłoszeń zainteresowaniem pracami nad projektem w trybie ustawy z dnia 7 lipca 2005 r. o działalności lobbingowej w procesie stanowienia prawa.</w:t>
      </w:r>
    </w:p>
    <w:p w14:paraId="4A704A81" w14:textId="77777777" w:rsidR="00B20C8D" w:rsidRPr="00C31644" w:rsidRDefault="008B2201" w:rsidP="008B2201">
      <w:pPr>
        <w:keepNext/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3164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 nie podlega dokonaniu oceny OSR przez koordynatora OSR w trybie § 32 uchwały nr 190 Rady Ministrów z dnia 29 października 2013 r. – Regulamin pracy Rady Ministrów.</w:t>
      </w:r>
    </w:p>
    <w:sectPr w:rsidR="00B20C8D" w:rsidRPr="00C3164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92B8A" w14:textId="77777777" w:rsidR="002C198E" w:rsidRDefault="002C198E" w:rsidP="004F2DB8">
      <w:pPr>
        <w:spacing w:after="0" w:line="240" w:lineRule="auto"/>
      </w:pPr>
      <w:r>
        <w:separator/>
      </w:r>
    </w:p>
  </w:endnote>
  <w:endnote w:type="continuationSeparator" w:id="0">
    <w:p w14:paraId="0028389D" w14:textId="77777777" w:rsidR="002C198E" w:rsidRDefault="002C198E" w:rsidP="004F2DB8">
      <w:pPr>
        <w:spacing w:after="0" w:line="240" w:lineRule="auto"/>
      </w:pPr>
      <w:r>
        <w:continuationSeparator/>
      </w:r>
    </w:p>
  </w:endnote>
  <w:endnote w:type="continuationNotice" w:id="1">
    <w:p w14:paraId="6E9576FF" w14:textId="77777777" w:rsidR="002C198E" w:rsidRDefault="002C19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2990230"/>
      <w:docPartObj>
        <w:docPartGallery w:val="Page Numbers (Bottom of Page)"/>
        <w:docPartUnique/>
      </w:docPartObj>
    </w:sdtPr>
    <w:sdtEndPr/>
    <w:sdtContent>
      <w:p w14:paraId="6BEAE59E" w14:textId="772B08A7" w:rsidR="00C23B78" w:rsidRDefault="00C23B7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65C">
          <w:rPr>
            <w:noProof/>
          </w:rPr>
          <w:t>10</w:t>
        </w:r>
        <w:r>
          <w:fldChar w:fldCharType="end"/>
        </w:r>
      </w:p>
    </w:sdtContent>
  </w:sdt>
  <w:p w14:paraId="2D77E1AD" w14:textId="77777777" w:rsidR="00C23B78" w:rsidRDefault="00C23B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B7FFA" w14:textId="77777777" w:rsidR="002C198E" w:rsidRDefault="002C198E" w:rsidP="004F2DB8">
      <w:pPr>
        <w:spacing w:after="0" w:line="240" w:lineRule="auto"/>
      </w:pPr>
      <w:r>
        <w:separator/>
      </w:r>
    </w:p>
  </w:footnote>
  <w:footnote w:type="continuationSeparator" w:id="0">
    <w:p w14:paraId="079277DC" w14:textId="77777777" w:rsidR="002C198E" w:rsidRDefault="002C198E" w:rsidP="004F2DB8">
      <w:pPr>
        <w:spacing w:after="0" w:line="240" w:lineRule="auto"/>
      </w:pPr>
      <w:r>
        <w:continuationSeparator/>
      </w:r>
    </w:p>
  </w:footnote>
  <w:footnote w:type="continuationNotice" w:id="1">
    <w:p w14:paraId="1C466761" w14:textId="77777777" w:rsidR="002C198E" w:rsidRDefault="002C19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C6787"/>
    <w:multiLevelType w:val="hybridMultilevel"/>
    <w:tmpl w:val="003EBAFC"/>
    <w:lvl w:ilvl="0" w:tplc="0C22C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26D52"/>
    <w:multiLevelType w:val="hybridMultilevel"/>
    <w:tmpl w:val="0696FCD4"/>
    <w:lvl w:ilvl="0" w:tplc="D7C2BF64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49" w:hanging="360"/>
      </w:pPr>
    </w:lvl>
    <w:lvl w:ilvl="2" w:tplc="0415001B" w:tentative="1">
      <w:start w:val="1"/>
      <w:numFmt w:val="lowerRoman"/>
      <w:lvlText w:val="%3."/>
      <w:lvlJc w:val="right"/>
      <w:pPr>
        <w:ind w:left="1769" w:hanging="180"/>
      </w:pPr>
    </w:lvl>
    <w:lvl w:ilvl="3" w:tplc="0415000F" w:tentative="1">
      <w:start w:val="1"/>
      <w:numFmt w:val="decimal"/>
      <w:lvlText w:val="%4."/>
      <w:lvlJc w:val="left"/>
      <w:pPr>
        <w:ind w:left="2489" w:hanging="360"/>
      </w:pPr>
    </w:lvl>
    <w:lvl w:ilvl="4" w:tplc="04150019" w:tentative="1">
      <w:start w:val="1"/>
      <w:numFmt w:val="lowerLetter"/>
      <w:lvlText w:val="%5."/>
      <w:lvlJc w:val="left"/>
      <w:pPr>
        <w:ind w:left="3209" w:hanging="360"/>
      </w:pPr>
    </w:lvl>
    <w:lvl w:ilvl="5" w:tplc="0415001B" w:tentative="1">
      <w:start w:val="1"/>
      <w:numFmt w:val="lowerRoman"/>
      <w:lvlText w:val="%6."/>
      <w:lvlJc w:val="right"/>
      <w:pPr>
        <w:ind w:left="3929" w:hanging="180"/>
      </w:pPr>
    </w:lvl>
    <w:lvl w:ilvl="6" w:tplc="0415000F" w:tentative="1">
      <w:start w:val="1"/>
      <w:numFmt w:val="decimal"/>
      <w:lvlText w:val="%7."/>
      <w:lvlJc w:val="left"/>
      <w:pPr>
        <w:ind w:left="4649" w:hanging="360"/>
      </w:pPr>
    </w:lvl>
    <w:lvl w:ilvl="7" w:tplc="04150019" w:tentative="1">
      <w:start w:val="1"/>
      <w:numFmt w:val="lowerLetter"/>
      <w:lvlText w:val="%8."/>
      <w:lvlJc w:val="left"/>
      <w:pPr>
        <w:ind w:left="5369" w:hanging="360"/>
      </w:pPr>
    </w:lvl>
    <w:lvl w:ilvl="8" w:tplc="0415001B" w:tentative="1">
      <w:start w:val="1"/>
      <w:numFmt w:val="lowerRoman"/>
      <w:lvlText w:val="%9."/>
      <w:lvlJc w:val="right"/>
      <w:pPr>
        <w:ind w:left="6089" w:hanging="180"/>
      </w:pPr>
    </w:lvl>
  </w:abstractNum>
  <w:abstractNum w:abstractNumId="2" w15:restartNumberingAfterBreak="0">
    <w:nsid w:val="31444A37"/>
    <w:multiLevelType w:val="hybridMultilevel"/>
    <w:tmpl w:val="B6320B38"/>
    <w:lvl w:ilvl="0" w:tplc="E54C38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4C"/>
    <w:rsid w:val="000034BA"/>
    <w:rsid w:val="000063D2"/>
    <w:rsid w:val="00020FFE"/>
    <w:rsid w:val="00021654"/>
    <w:rsid w:val="00022089"/>
    <w:rsid w:val="00023302"/>
    <w:rsid w:val="000259DC"/>
    <w:rsid w:val="00026C84"/>
    <w:rsid w:val="00030C3E"/>
    <w:rsid w:val="00036718"/>
    <w:rsid w:val="0004142A"/>
    <w:rsid w:val="00051BE1"/>
    <w:rsid w:val="00056D2C"/>
    <w:rsid w:val="000828BC"/>
    <w:rsid w:val="000845EF"/>
    <w:rsid w:val="00084C4E"/>
    <w:rsid w:val="00087869"/>
    <w:rsid w:val="000970BB"/>
    <w:rsid w:val="000A2466"/>
    <w:rsid w:val="000D161F"/>
    <w:rsid w:val="00102D85"/>
    <w:rsid w:val="00121855"/>
    <w:rsid w:val="0012502C"/>
    <w:rsid w:val="00127B0C"/>
    <w:rsid w:val="001335CF"/>
    <w:rsid w:val="001366DB"/>
    <w:rsid w:val="00142AB0"/>
    <w:rsid w:val="00176008"/>
    <w:rsid w:val="00185371"/>
    <w:rsid w:val="00185EF8"/>
    <w:rsid w:val="001874C1"/>
    <w:rsid w:val="001A1923"/>
    <w:rsid w:val="001A4EA4"/>
    <w:rsid w:val="001B0B0B"/>
    <w:rsid w:val="001B1667"/>
    <w:rsid w:val="001B2550"/>
    <w:rsid w:val="001D6B66"/>
    <w:rsid w:val="001E3DD3"/>
    <w:rsid w:val="001F4F9A"/>
    <w:rsid w:val="001F7832"/>
    <w:rsid w:val="002049F9"/>
    <w:rsid w:val="00215FB4"/>
    <w:rsid w:val="00223C33"/>
    <w:rsid w:val="002271AF"/>
    <w:rsid w:val="00227D2D"/>
    <w:rsid w:val="00227E28"/>
    <w:rsid w:val="00231CA2"/>
    <w:rsid w:val="0023541B"/>
    <w:rsid w:val="0023747F"/>
    <w:rsid w:val="00237817"/>
    <w:rsid w:val="002447C2"/>
    <w:rsid w:val="00246484"/>
    <w:rsid w:val="002562AE"/>
    <w:rsid w:val="00261EF7"/>
    <w:rsid w:val="0026604D"/>
    <w:rsid w:val="002808A8"/>
    <w:rsid w:val="002808C0"/>
    <w:rsid w:val="00286A0D"/>
    <w:rsid w:val="00291F66"/>
    <w:rsid w:val="00296033"/>
    <w:rsid w:val="002960E8"/>
    <w:rsid w:val="002A13D0"/>
    <w:rsid w:val="002A14A6"/>
    <w:rsid w:val="002A5042"/>
    <w:rsid w:val="002A67A5"/>
    <w:rsid w:val="002B2886"/>
    <w:rsid w:val="002C198E"/>
    <w:rsid w:val="002C2BD3"/>
    <w:rsid w:val="002C3B09"/>
    <w:rsid w:val="002C5E50"/>
    <w:rsid w:val="002C7CCB"/>
    <w:rsid w:val="002D02F4"/>
    <w:rsid w:val="002E236F"/>
    <w:rsid w:val="002E73FB"/>
    <w:rsid w:val="002F16E4"/>
    <w:rsid w:val="002F4F71"/>
    <w:rsid w:val="00310559"/>
    <w:rsid w:val="00311130"/>
    <w:rsid w:val="00311A0E"/>
    <w:rsid w:val="0031690B"/>
    <w:rsid w:val="00317D33"/>
    <w:rsid w:val="00320C2B"/>
    <w:rsid w:val="003277DD"/>
    <w:rsid w:val="00327896"/>
    <w:rsid w:val="00330A5F"/>
    <w:rsid w:val="003314BD"/>
    <w:rsid w:val="00332D89"/>
    <w:rsid w:val="00332F49"/>
    <w:rsid w:val="00334A31"/>
    <w:rsid w:val="00340E98"/>
    <w:rsid w:val="003445CC"/>
    <w:rsid w:val="00345B26"/>
    <w:rsid w:val="003571D5"/>
    <w:rsid w:val="00372F20"/>
    <w:rsid w:val="0037369E"/>
    <w:rsid w:val="00377627"/>
    <w:rsid w:val="0038629A"/>
    <w:rsid w:val="003A6947"/>
    <w:rsid w:val="003B027F"/>
    <w:rsid w:val="003B1213"/>
    <w:rsid w:val="003C2FD6"/>
    <w:rsid w:val="003C60EA"/>
    <w:rsid w:val="003D4EC8"/>
    <w:rsid w:val="003E11BA"/>
    <w:rsid w:val="003E3F66"/>
    <w:rsid w:val="003E46D4"/>
    <w:rsid w:val="003E7E0A"/>
    <w:rsid w:val="003F410C"/>
    <w:rsid w:val="00405703"/>
    <w:rsid w:val="004068B6"/>
    <w:rsid w:val="00406FA4"/>
    <w:rsid w:val="004165E1"/>
    <w:rsid w:val="004231D6"/>
    <w:rsid w:val="00426584"/>
    <w:rsid w:val="004369D0"/>
    <w:rsid w:val="0044730D"/>
    <w:rsid w:val="004545DF"/>
    <w:rsid w:val="00455677"/>
    <w:rsid w:val="00457911"/>
    <w:rsid w:val="00466451"/>
    <w:rsid w:val="004706D4"/>
    <w:rsid w:val="00486DCB"/>
    <w:rsid w:val="004A7821"/>
    <w:rsid w:val="004B0A54"/>
    <w:rsid w:val="004B2AFE"/>
    <w:rsid w:val="004B4FB1"/>
    <w:rsid w:val="004C6F0E"/>
    <w:rsid w:val="004F2DB8"/>
    <w:rsid w:val="00503E57"/>
    <w:rsid w:val="005105CE"/>
    <w:rsid w:val="00510DBA"/>
    <w:rsid w:val="00511547"/>
    <w:rsid w:val="00523699"/>
    <w:rsid w:val="00533778"/>
    <w:rsid w:val="0053577F"/>
    <w:rsid w:val="00537E1A"/>
    <w:rsid w:val="005453AE"/>
    <w:rsid w:val="005469F0"/>
    <w:rsid w:val="005471C0"/>
    <w:rsid w:val="005519AD"/>
    <w:rsid w:val="00553A81"/>
    <w:rsid w:val="0055763F"/>
    <w:rsid w:val="00561079"/>
    <w:rsid w:val="00565522"/>
    <w:rsid w:val="005665DE"/>
    <w:rsid w:val="00573521"/>
    <w:rsid w:val="00582E9D"/>
    <w:rsid w:val="00586E3D"/>
    <w:rsid w:val="005A0F44"/>
    <w:rsid w:val="005B124B"/>
    <w:rsid w:val="005C7FD1"/>
    <w:rsid w:val="005D0CE5"/>
    <w:rsid w:val="005D458A"/>
    <w:rsid w:val="005D4D2B"/>
    <w:rsid w:val="005D4E74"/>
    <w:rsid w:val="005E23F7"/>
    <w:rsid w:val="005E6993"/>
    <w:rsid w:val="005E7408"/>
    <w:rsid w:val="005F5B89"/>
    <w:rsid w:val="00600998"/>
    <w:rsid w:val="00605698"/>
    <w:rsid w:val="00605A34"/>
    <w:rsid w:val="00615846"/>
    <w:rsid w:val="006354AA"/>
    <w:rsid w:val="00635770"/>
    <w:rsid w:val="006674BD"/>
    <w:rsid w:val="006733F3"/>
    <w:rsid w:val="00675F41"/>
    <w:rsid w:val="00677546"/>
    <w:rsid w:val="00677BF1"/>
    <w:rsid w:val="00680EAC"/>
    <w:rsid w:val="0068515D"/>
    <w:rsid w:val="006868EF"/>
    <w:rsid w:val="006919B8"/>
    <w:rsid w:val="00691F40"/>
    <w:rsid w:val="006B4C0D"/>
    <w:rsid w:val="006D1F2A"/>
    <w:rsid w:val="006E6912"/>
    <w:rsid w:val="006E7F1F"/>
    <w:rsid w:val="006F2E79"/>
    <w:rsid w:val="006F3009"/>
    <w:rsid w:val="006F47CB"/>
    <w:rsid w:val="00700692"/>
    <w:rsid w:val="007009CF"/>
    <w:rsid w:val="00702A6E"/>
    <w:rsid w:val="00707CFA"/>
    <w:rsid w:val="00715A37"/>
    <w:rsid w:val="0072409C"/>
    <w:rsid w:val="00726966"/>
    <w:rsid w:val="00732A2F"/>
    <w:rsid w:val="00732AC1"/>
    <w:rsid w:val="00732B3F"/>
    <w:rsid w:val="00741B6D"/>
    <w:rsid w:val="00744808"/>
    <w:rsid w:val="0074529F"/>
    <w:rsid w:val="00747CBF"/>
    <w:rsid w:val="007555A3"/>
    <w:rsid w:val="0076042A"/>
    <w:rsid w:val="00766A0D"/>
    <w:rsid w:val="007717C6"/>
    <w:rsid w:val="00771BDC"/>
    <w:rsid w:val="0077256D"/>
    <w:rsid w:val="007730AC"/>
    <w:rsid w:val="00783F49"/>
    <w:rsid w:val="0078492E"/>
    <w:rsid w:val="00794D5D"/>
    <w:rsid w:val="007A0166"/>
    <w:rsid w:val="007B1DC8"/>
    <w:rsid w:val="007D26D9"/>
    <w:rsid w:val="007E1077"/>
    <w:rsid w:val="007F4B67"/>
    <w:rsid w:val="007F5024"/>
    <w:rsid w:val="008018E0"/>
    <w:rsid w:val="00806AEB"/>
    <w:rsid w:val="00811D7B"/>
    <w:rsid w:val="008214C2"/>
    <w:rsid w:val="008318AA"/>
    <w:rsid w:val="008329E3"/>
    <w:rsid w:val="00833F50"/>
    <w:rsid w:val="00843EE9"/>
    <w:rsid w:val="0084597B"/>
    <w:rsid w:val="00857748"/>
    <w:rsid w:val="008650BC"/>
    <w:rsid w:val="00874214"/>
    <w:rsid w:val="00880E75"/>
    <w:rsid w:val="00890F65"/>
    <w:rsid w:val="00896262"/>
    <w:rsid w:val="008A1E7F"/>
    <w:rsid w:val="008A2BEF"/>
    <w:rsid w:val="008B2201"/>
    <w:rsid w:val="008B7278"/>
    <w:rsid w:val="008C265D"/>
    <w:rsid w:val="008C7F0C"/>
    <w:rsid w:val="008E04A9"/>
    <w:rsid w:val="008E0E82"/>
    <w:rsid w:val="008E2100"/>
    <w:rsid w:val="008F2160"/>
    <w:rsid w:val="00900D4C"/>
    <w:rsid w:val="00904B32"/>
    <w:rsid w:val="00911CB3"/>
    <w:rsid w:val="00912FC7"/>
    <w:rsid w:val="00916631"/>
    <w:rsid w:val="009216E3"/>
    <w:rsid w:val="0092387C"/>
    <w:rsid w:val="00924A60"/>
    <w:rsid w:val="00926C4D"/>
    <w:rsid w:val="00927BED"/>
    <w:rsid w:val="00937037"/>
    <w:rsid w:val="00943229"/>
    <w:rsid w:val="009433F3"/>
    <w:rsid w:val="00947A82"/>
    <w:rsid w:val="00962718"/>
    <w:rsid w:val="00982107"/>
    <w:rsid w:val="00983CA3"/>
    <w:rsid w:val="00994AEE"/>
    <w:rsid w:val="009A0E53"/>
    <w:rsid w:val="009D2397"/>
    <w:rsid w:val="009E21E5"/>
    <w:rsid w:val="009E5767"/>
    <w:rsid w:val="009F36BF"/>
    <w:rsid w:val="00A03811"/>
    <w:rsid w:val="00A2047E"/>
    <w:rsid w:val="00A21EA7"/>
    <w:rsid w:val="00A241F2"/>
    <w:rsid w:val="00A50893"/>
    <w:rsid w:val="00A73767"/>
    <w:rsid w:val="00A76342"/>
    <w:rsid w:val="00A854BE"/>
    <w:rsid w:val="00A93EDF"/>
    <w:rsid w:val="00AA3C8C"/>
    <w:rsid w:val="00AB1FCF"/>
    <w:rsid w:val="00AD3063"/>
    <w:rsid w:val="00AE0266"/>
    <w:rsid w:val="00AE6895"/>
    <w:rsid w:val="00AE6C74"/>
    <w:rsid w:val="00B0035F"/>
    <w:rsid w:val="00B01567"/>
    <w:rsid w:val="00B1250C"/>
    <w:rsid w:val="00B20264"/>
    <w:rsid w:val="00B20C8D"/>
    <w:rsid w:val="00B250F3"/>
    <w:rsid w:val="00B258EA"/>
    <w:rsid w:val="00B32EDB"/>
    <w:rsid w:val="00B4048E"/>
    <w:rsid w:val="00B41895"/>
    <w:rsid w:val="00B77F0D"/>
    <w:rsid w:val="00BA140C"/>
    <w:rsid w:val="00BA7CE2"/>
    <w:rsid w:val="00BB079E"/>
    <w:rsid w:val="00BB3CB2"/>
    <w:rsid w:val="00BB493F"/>
    <w:rsid w:val="00BC1CDF"/>
    <w:rsid w:val="00BC66C6"/>
    <w:rsid w:val="00BC766F"/>
    <w:rsid w:val="00BD4F5E"/>
    <w:rsid w:val="00BD57CB"/>
    <w:rsid w:val="00BD5E93"/>
    <w:rsid w:val="00BD60C4"/>
    <w:rsid w:val="00BF4843"/>
    <w:rsid w:val="00C04BAD"/>
    <w:rsid w:val="00C04D47"/>
    <w:rsid w:val="00C06E44"/>
    <w:rsid w:val="00C13BBE"/>
    <w:rsid w:val="00C15AAA"/>
    <w:rsid w:val="00C15C45"/>
    <w:rsid w:val="00C16CD3"/>
    <w:rsid w:val="00C20756"/>
    <w:rsid w:val="00C215B4"/>
    <w:rsid w:val="00C23B78"/>
    <w:rsid w:val="00C259AF"/>
    <w:rsid w:val="00C27178"/>
    <w:rsid w:val="00C30996"/>
    <w:rsid w:val="00C31310"/>
    <w:rsid w:val="00C31644"/>
    <w:rsid w:val="00C4365C"/>
    <w:rsid w:val="00C511F0"/>
    <w:rsid w:val="00C523A9"/>
    <w:rsid w:val="00C60C50"/>
    <w:rsid w:val="00C624FF"/>
    <w:rsid w:val="00C70F56"/>
    <w:rsid w:val="00C715EA"/>
    <w:rsid w:val="00C759ED"/>
    <w:rsid w:val="00C82FF3"/>
    <w:rsid w:val="00C84F9D"/>
    <w:rsid w:val="00CA4E29"/>
    <w:rsid w:val="00CB2534"/>
    <w:rsid w:val="00CB6677"/>
    <w:rsid w:val="00CD1B6B"/>
    <w:rsid w:val="00CD40E4"/>
    <w:rsid w:val="00CD6E08"/>
    <w:rsid w:val="00CD7961"/>
    <w:rsid w:val="00CE682E"/>
    <w:rsid w:val="00CF2948"/>
    <w:rsid w:val="00CF3EA8"/>
    <w:rsid w:val="00D010B2"/>
    <w:rsid w:val="00D03F7A"/>
    <w:rsid w:val="00D07BAF"/>
    <w:rsid w:val="00D07CEB"/>
    <w:rsid w:val="00D233BF"/>
    <w:rsid w:val="00D23AD0"/>
    <w:rsid w:val="00D52257"/>
    <w:rsid w:val="00D554F6"/>
    <w:rsid w:val="00D5634F"/>
    <w:rsid w:val="00D64A3E"/>
    <w:rsid w:val="00D65A0F"/>
    <w:rsid w:val="00D675EC"/>
    <w:rsid w:val="00D709AB"/>
    <w:rsid w:val="00D849E5"/>
    <w:rsid w:val="00D86C55"/>
    <w:rsid w:val="00D93990"/>
    <w:rsid w:val="00DA0BA1"/>
    <w:rsid w:val="00DA36C7"/>
    <w:rsid w:val="00DB1004"/>
    <w:rsid w:val="00DC3179"/>
    <w:rsid w:val="00DD3961"/>
    <w:rsid w:val="00DE48A3"/>
    <w:rsid w:val="00DE7687"/>
    <w:rsid w:val="00DF00ED"/>
    <w:rsid w:val="00DF01D3"/>
    <w:rsid w:val="00DF41B9"/>
    <w:rsid w:val="00E01846"/>
    <w:rsid w:val="00E113D0"/>
    <w:rsid w:val="00E31A0A"/>
    <w:rsid w:val="00E34F5E"/>
    <w:rsid w:val="00E4186D"/>
    <w:rsid w:val="00E46819"/>
    <w:rsid w:val="00E478CC"/>
    <w:rsid w:val="00E56B4B"/>
    <w:rsid w:val="00E62180"/>
    <w:rsid w:val="00E62443"/>
    <w:rsid w:val="00E63ABD"/>
    <w:rsid w:val="00E71210"/>
    <w:rsid w:val="00E7237A"/>
    <w:rsid w:val="00E7294D"/>
    <w:rsid w:val="00E72A0F"/>
    <w:rsid w:val="00E837AC"/>
    <w:rsid w:val="00E84C44"/>
    <w:rsid w:val="00EA163A"/>
    <w:rsid w:val="00EA54DA"/>
    <w:rsid w:val="00EA5D9D"/>
    <w:rsid w:val="00EC2543"/>
    <w:rsid w:val="00ED777E"/>
    <w:rsid w:val="00EF4283"/>
    <w:rsid w:val="00EF655E"/>
    <w:rsid w:val="00F042BA"/>
    <w:rsid w:val="00F10833"/>
    <w:rsid w:val="00F2640C"/>
    <w:rsid w:val="00F26AEE"/>
    <w:rsid w:val="00F37B03"/>
    <w:rsid w:val="00F37F05"/>
    <w:rsid w:val="00F43ECD"/>
    <w:rsid w:val="00F632EB"/>
    <w:rsid w:val="00F7348C"/>
    <w:rsid w:val="00F752BB"/>
    <w:rsid w:val="00F81FBF"/>
    <w:rsid w:val="00F838C2"/>
    <w:rsid w:val="00F86399"/>
    <w:rsid w:val="00F86EC7"/>
    <w:rsid w:val="00F92F2A"/>
    <w:rsid w:val="00FA05E0"/>
    <w:rsid w:val="00FC4010"/>
    <w:rsid w:val="00FD04F8"/>
    <w:rsid w:val="00FE1181"/>
    <w:rsid w:val="00FE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93E4C"/>
  <w15:docId w15:val="{FA4EC1E5-78C3-4CDB-B43B-4D997C49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4706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06D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06D4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6D4"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uiPriority w:val="99"/>
    <w:semiHidden/>
    <w:rsid w:val="004F2DB8"/>
    <w:rPr>
      <w:rFonts w:cs="Times New Roman"/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4F2DB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DNONIKtreodnonika">
    <w:name w:val="ODNOŚNIK – treść odnośnika"/>
    <w:uiPriority w:val="24"/>
    <w:qFormat/>
    <w:rsid w:val="004F2DB8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4F2DB8"/>
    <w:rPr>
      <w:b w:val="0"/>
      <w:i w:val="0"/>
      <w:vanish w:val="0"/>
      <w:spacing w:val="0"/>
      <w:vertAlign w:val="superscript"/>
    </w:rPr>
  </w:style>
  <w:style w:type="paragraph" w:customStyle="1" w:styleId="USTustnpkodeksu">
    <w:name w:val="UST(§) – ust. (§ np. kodeksu)"/>
    <w:basedOn w:val="Normalny"/>
    <w:uiPriority w:val="12"/>
    <w:qFormat/>
    <w:rsid w:val="004F2DB8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4F2DB8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4F2DB8"/>
    <w:pPr>
      <w:ind w:left="986" w:hanging="476"/>
    </w:pPr>
  </w:style>
  <w:style w:type="character" w:customStyle="1" w:styleId="Ppogrubienie">
    <w:name w:val="_P_ – pogrubienie"/>
    <w:basedOn w:val="Domylnaczcionkaakapitu"/>
    <w:uiPriority w:val="1"/>
    <w:qFormat/>
    <w:rsid w:val="004F2DB8"/>
    <w:rPr>
      <w:b/>
    </w:rPr>
  </w:style>
  <w:style w:type="paragraph" w:styleId="Nagwek">
    <w:name w:val="header"/>
    <w:basedOn w:val="Normalny"/>
    <w:link w:val="NagwekZnak"/>
    <w:uiPriority w:val="99"/>
    <w:unhideWhenUsed/>
    <w:rsid w:val="00C2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3B78"/>
  </w:style>
  <w:style w:type="paragraph" w:styleId="Stopka">
    <w:name w:val="footer"/>
    <w:basedOn w:val="Normalny"/>
    <w:link w:val="StopkaZnak"/>
    <w:uiPriority w:val="99"/>
    <w:unhideWhenUsed/>
    <w:rsid w:val="00C2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B7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691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691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E691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650BC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45CC"/>
    <w:pPr>
      <w:widowControl/>
      <w:suppressAutoHyphens w:val="0"/>
      <w:autoSpaceDE/>
      <w:autoSpaceDN/>
      <w:spacing w:after="160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45CC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customStyle="1" w:styleId="Default">
    <w:name w:val="Default"/>
    <w:rsid w:val="00DF41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45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77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06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6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9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1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1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3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2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1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3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93061-CA48-4415-85EF-04763315F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5180</Words>
  <Characters>31080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Porzycka Magdalena</dc:creator>
  <cp:lastModifiedBy>Kołakowska Iwona</cp:lastModifiedBy>
  <cp:revision>3</cp:revision>
  <dcterms:created xsi:type="dcterms:W3CDTF">2022-03-18T16:59:00Z</dcterms:created>
  <dcterms:modified xsi:type="dcterms:W3CDTF">2022-03-18T17:02:00Z</dcterms:modified>
</cp:coreProperties>
</file>