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EE9" w:rsidRPr="007A036A" w:rsidRDefault="007B0EE9" w:rsidP="007B0EE9">
      <w:pPr>
        <w:pStyle w:val="TYTTABELItytutabeli"/>
        <w:rPr>
          <w:rFonts w:ascii="Times New Roman" w:hAnsi="Times New Roman" w:cs="Times New Roman"/>
          <w:b w:val="0"/>
        </w:rPr>
      </w:pPr>
      <w:r w:rsidRPr="007A036A">
        <w:rPr>
          <w:rFonts w:ascii="Times New Roman" w:hAnsi="Times New Roman" w:cs="Times New Roman"/>
          <w:b w:val="0"/>
        </w:rPr>
        <w:t>uzasadnienie</w:t>
      </w:r>
    </w:p>
    <w:p w:rsidR="007B0EE9" w:rsidRPr="007A036A" w:rsidRDefault="007B0EE9" w:rsidP="007A036A">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t xml:space="preserve">Celem projektowanej ustawy jest rozwiązanie najpilniejszych problemów wynikających ze stosowania niektórych przepisów ustawy z </w:t>
      </w:r>
      <w:r w:rsidR="00CB2427">
        <w:rPr>
          <w:rFonts w:ascii="Times New Roman" w:hAnsi="Times New Roman" w:cs="Times New Roman"/>
        </w:rPr>
        <w:t>dnia 20 lipca 2018 r. – Prawo o </w:t>
      </w:r>
      <w:r w:rsidRPr="007A036A">
        <w:rPr>
          <w:rFonts w:ascii="Times New Roman" w:hAnsi="Times New Roman" w:cs="Times New Roman"/>
        </w:rPr>
        <w:t>szkolnictwie wyższym i</w:t>
      </w:r>
      <w:r>
        <w:rPr>
          <w:rFonts w:ascii="Times New Roman" w:hAnsi="Times New Roman" w:cs="Times New Roman"/>
        </w:rPr>
        <w:t xml:space="preserve"> </w:t>
      </w:r>
      <w:r w:rsidRPr="007A036A">
        <w:rPr>
          <w:rFonts w:ascii="Times New Roman" w:hAnsi="Times New Roman" w:cs="Times New Roman"/>
        </w:rPr>
        <w:t xml:space="preserve">nauce (Dz. U. z 2021 r. poz. 478, z </w:t>
      </w:r>
      <w:proofErr w:type="spellStart"/>
      <w:r w:rsidRPr="007A036A">
        <w:rPr>
          <w:rFonts w:ascii="Times New Roman" w:hAnsi="Times New Roman" w:cs="Times New Roman"/>
        </w:rPr>
        <w:t>późn</w:t>
      </w:r>
      <w:proofErr w:type="spellEnd"/>
      <w:r w:rsidRPr="007A036A">
        <w:rPr>
          <w:rFonts w:ascii="Times New Roman" w:hAnsi="Times New Roman" w:cs="Times New Roman"/>
        </w:rPr>
        <w:t>. zm.), zwanej dalej „ustawą”, jak również złagodzenie skutków pierwszej ewaluacji jakości działalności naukowej, zwanej dalej „ewaluacją”, która zostanie przeprowadzona na podstawie ustawy w 2022 r. Wprowadzane zmiany dotyczą ustawy oraz ustawy z</w:t>
      </w:r>
      <w:r>
        <w:rPr>
          <w:rFonts w:ascii="Times New Roman" w:hAnsi="Times New Roman" w:cs="Times New Roman"/>
        </w:rPr>
        <w:t xml:space="preserve"> </w:t>
      </w:r>
      <w:r w:rsidR="00CB2427">
        <w:rPr>
          <w:rFonts w:ascii="Times New Roman" w:hAnsi="Times New Roman" w:cs="Times New Roman"/>
        </w:rPr>
        <w:t>dnia 3 lipca 2018 </w:t>
      </w:r>
      <w:r w:rsidRPr="007A036A">
        <w:rPr>
          <w:rFonts w:ascii="Times New Roman" w:hAnsi="Times New Roman" w:cs="Times New Roman"/>
        </w:rPr>
        <w:t>r. – Przepisy wprowadzające ustawę – Prawo o szkolnictwie wyższym i nauce (Dz.</w:t>
      </w:r>
      <w:r>
        <w:rPr>
          <w:rFonts w:ascii="Times New Roman" w:hAnsi="Times New Roman" w:cs="Times New Roman"/>
        </w:rPr>
        <w:t xml:space="preserve"> </w:t>
      </w:r>
      <w:r w:rsidR="00CB2427">
        <w:rPr>
          <w:rFonts w:ascii="Times New Roman" w:hAnsi="Times New Roman" w:cs="Times New Roman"/>
        </w:rPr>
        <w:t>U. poz. </w:t>
      </w:r>
      <w:r w:rsidRPr="007A036A">
        <w:rPr>
          <w:rFonts w:ascii="Times New Roman" w:hAnsi="Times New Roman" w:cs="Times New Roman"/>
        </w:rPr>
        <w:t xml:space="preserve">1669, z </w:t>
      </w:r>
      <w:proofErr w:type="spellStart"/>
      <w:r w:rsidRPr="007A036A">
        <w:rPr>
          <w:rFonts w:ascii="Times New Roman" w:hAnsi="Times New Roman" w:cs="Times New Roman"/>
        </w:rPr>
        <w:t>późn</w:t>
      </w:r>
      <w:proofErr w:type="spellEnd"/>
      <w:r w:rsidRPr="007A036A">
        <w:rPr>
          <w:rFonts w:ascii="Times New Roman" w:hAnsi="Times New Roman" w:cs="Times New Roman"/>
        </w:rPr>
        <w:t>. zm.), zwanej dalej „przepisami wprowadzającymi”.</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W przypadku ustawy projektowane przepisy obejmują następujące zagadnienia:</w:t>
      </w:r>
    </w:p>
    <w:p w:rsidR="007B0EE9" w:rsidRPr="007A036A" w:rsidRDefault="007B0EE9" w:rsidP="007A036A">
      <w:pPr>
        <w:pStyle w:val="PKTpunkt"/>
        <w:ind w:left="284" w:hanging="284"/>
        <w:rPr>
          <w:rFonts w:ascii="Times New Roman" w:hAnsi="Times New Roman" w:cs="Times New Roman"/>
        </w:rPr>
      </w:pPr>
      <w:r w:rsidRPr="007A036A">
        <w:rPr>
          <w:rFonts w:ascii="Times New Roman" w:hAnsi="Times New Roman" w:cs="Times New Roman"/>
        </w:rPr>
        <w:t>1)</w:t>
      </w:r>
      <w:r w:rsidRPr="007A036A">
        <w:rPr>
          <w:rFonts w:ascii="Times New Roman" w:hAnsi="Times New Roman" w:cs="Times New Roman"/>
        </w:rPr>
        <w:tab/>
        <w:t>konsekwencje braku zgody doktoranta na przeniesieni</w:t>
      </w:r>
      <w:r w:rsidR="00CB2427">
        <w:rPr>
          <w:rFonts w:ascii="Times New Roman" w:hAnsi="Times New Roman" w:cs="Times New Roman"/>
        </w:rPr>
        <w:t>e do innej szkoły doktorskiej w </w:t>
      </w:r>
      <w:r w:rsidRPr="007A036A">
        <w:rPr>
          <w:rFonts w:ascii="Times New Roman" w:hAnsi="Times New Roman" w:cs="Times New Roman"/>
        </w:rPr>
        <w:t>przypadku zaprzestania kształcenia w szkole doktorskiej w danej dyscyplinie naukowej albo artystycznej, zwanej dalej „dyscypliną”;</w:t>
      </w:r>
    </w:p>
    <w:p w:rsidR="007B0EE9" w:rsidRPr="007A036A" w:rsidRDefault="007B0EE9" w:rsidP="007A036A">
      <w:pPr>
        <w:pStyle w:val="PKTpunkt"/>
        <w:ind w:left="284" w:hanging="284"/>
        <w:rPr>
          <w:rFonts w:ascii="Times New Roman" w:hAnsi="Times New Roman" w:cs="Times New Roman"/>
        </w:rPr>
      </w:pPr>
      <w:r w:rsidRPr="007A036A">
        <w:rPr>
          <w:rFonts w:ascii="Times New Roman" w:hAnsi="Times New Roman" w:cs="Times New Roman"/>
        </w:rPr>
        <w:t>2)</w:t>
      </w:r>
      <w:r w:rsidRPr="007A036A">
        <w:rPr>
          <w:rFonts w:ascii="Times New Roman" w:hAnsi="Times New Roman" w:cs="Times New Roman"/>
        </w:rPr>
        <w:tab/>
        <w:t>sposób kontynuacji postępowań o nadanie s</w:t>
      </w:r>
      <w:r w:rsidR="00CB2427">
        <w:rPr>
          <w:rFonts w:ascii="Times New Roman" w:hAnsi="Times New Roman" w:cs="Times New Roman"/>
        </w:rPr>
        <w:t>topnia doktora habilitowanego w </w:t>
      </w:r>
      <w:r w:rsidRPr="007A036A">
        <w:rPr>
          <w:rFonts w:ascii="Times New Roman" w:hAnsi="Times New Roman" w:cs="Times New Roman"/>
        </w:rPr>
        <w:t>przypadku utraty przez podmiot habilitujący uprawnień do nadawania tego stopnia;</w:t>
      </w:r>
    </w:p>
    <w:p w:rsidR="007B0EE9" w:rsidRPr="007A036A" w:rsidRDefault="007B0EE9" w:rsidP="007A036A">
      <w:pPr>
        <w:pStyle w:val="PKTpunkt"/>
        <w:ind w:left="284" w:hanging="284"/>
        <w:rPr>
          <w:rFonts w:ascii="Times New Roman" w:hAnsi="Times New Roman" w:cs="Times New Roman"/>
        </w:rPr>
      </w:pPr>
      <w:r w:rsidRPr="007A036A">
        <w:rPr>
          <w:rFonts w:ascii="Times New Roman" w:hAnsi="Times New Roman" w:cs="Times New Roman"/>
        </w:rPr>
        <w:t>3)</w:t>
      </w:r>
      <w:r w:rsidRPr="007A036A">
        <w:rPr>
          <w:rFonts w:ascii="Times New Roman" w:hAnsi="Times New Roman" w:cs="Times New Roman"/>
        </w:rPr>
        <w:tab/>
        <w:t>możliwości nałożenia na uczelnię albo inny podmiot prowadzący szkołę doktorską administracyjnej kary pieniężnej w przypadku naru</w:t>
      </w:r>
      <w:r w:rsidR="00CB2427">
        <w:rPr>
          <w:rFonts w:ascii="Times New Roman" w:hAnsi="Times New Roman" w:cs="Times New Roman"/>
        </w:rPr>
        <w:t>szenia obowiązku wynikającego z </w:t>
      </w:r>
      <w:r w:rsidRPr="007A036A">
        <w:rPr>
          <w:rFonts w:ascii="Times New Roman" w:hAnsi="Times New Roman" w:cs="Times New Roman"/>
        </w:rPr>
        <w:t>art. 206 ust. 1 i 2.</w:t>
      </w:r>
    </w:p>
    <w:p w:rsidR="007B0EE9" w:rsidRPr="007A036A" w:rsidRDefault="007B0EE9" w:rsidP="007B0EE9">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t>Przepisy art. 206 ustawy określają konsekwencje zaprzestania kształcenia w szkole doktorskiej w danej dyscyplinie. W takim przypadku podmiot prowadzący tę szkołę powinien zapewnić doktorantom przygotowującym w tej dyscyplinie rozprawy doktorskie możliwość kontynuowania kształcenia w innej szkole doktorskiej w tej dyscyplinie. Oczywiście przeniesienie takie powinno mieć miejsce wyłącznie, o ile doktorant wyrazi na nie zgodę. Nie zawsze będzie ono bowiem dla niego z</w:t>
      </w:r>
      <w:r>
        <w:rPr>
          <w:rFonts w:ascii="Times New Roman" w:hAnsi="Times New Roman" w:cs="Times New Roman"/>
        </w:rPr>
        <w:t xml:space="preserve"> </w:t>
      </w:r>
      <w:r w:rsidRPr="007A036A">
        <w:rPr>
          <w:rFonts w:ascii="Times New Roman" w:hAnsi="Times New Roman" w:cs="Times New Roman"/>
        </w:rPr>
        <w:t>różnych względów korzystne. Aktualnie art. 206 ustawy nie precyzuje jednak konsekwencji braku zgody doktoranta na kontynuację kształcenia w innej szkole doktorskiej. W projekcie proponuje się w</w:t>
      </w:r>
      <w:r>
        <w:rPr>
          <w:rFonts w:ascii="Times New Roman" w:hAnsi="Times New Roman" w:cs="Times New Roman"/>
        </w:rPr>
        <w:t xml:space="preserve"> </w:t>
      </w:r>
      <w:r w:rsidRPr="007A036A">
        <w:rPr>
          <w:rFonts w:ascii="Times New Roman" w:hAnsi="Times New Roman" w:cs="Times New Roman"/>
        </w:rPr>
        <w:t xml:space="preserve">związku z tym wprowadzenie </w:t>
      </w:r>
      <w:r w:rsidRPr="007A036A">
        <w:rPr>
          <w:rStyle w:val="Kkursywa"/>
          <w:rFonts w:ascii="Times New Roman" w:hAnsi="Times New Roman" w:cs="Times New Roman"/>
        </w:rPr>
        <w:t xml:space="preserve">expressis verbis </w:t>
      </w:r>
      <w:r w:rsidRPr="007A036A">
        <w:rPr>
          <w:rFonts w:ascii="Times New Roman" w:hAnsi="Times New Roman" w:cs="Times New Roman"/>
        </w:rPr>
        <w:t>warunku uzyskania zgody doktoranta na przeniesienie do innej szkoły doktorskiej i konsekwencji niewyrażenia takiej zgody</w:t>
      </w:r>
      <w:r w:rsidR="00706B4D">
        <w:rPr>
          <w:rFonts w:ascii="Times New Roman" w:hAnsi="Times New Roman" w:cs="Times New Roman"/>
        </w:rPr>
        <w:t>,</w:t>
      </w:r>
      <w:r w:rsidRPr="007A036A">
        <w:rPr>
          <w:rFonts w:ascii="Times New Roman" w:hAnsi="Times New Roman" w:cs="Times New Roman"/>
        </w:rPr>
        <w:t xml:space="preserve"> tożsamych jak w</w:t>
      </w:r>
      <w:r>
        <w:rPr>
          <w:rFonts w:ascii="Times New Roman" w:hAnsi="Times New Roman" w:cs="Times New Roman"/>
        </w:rPr>
        <w:t xml:space="preserve"> </w:t>
      </w:r>
      <w:r w:rsidRPr="007A036A">
        <w:rPr>
          <w:rFonts w:ascii="Times New Roman" w:hAnsi="Times New Roman" w:cs="Times New Roman"/>
        </w:rPr>
        <w:t>przypadku braku możliwości podjęcia przez doktoranta kształcenia w innej szkole doktorskiej w</w:t>
      </w:r>
      <w:r>
        <w:rPr>
          <w:rFonts w:ascii="Times New Roman" w:hAnsi="Times New Roman" w:cs="Times New Roman"/>
        </w:rPr>
        <w:t xml:space="preserve"> </w:t>
      </w:r>
      <w:r w:rsidRPr="007A036A">
        <w:rPr>
          <w:rFonts w:ascii="Times New Roman" w:hAnsi="Times New Roman" w:cs="Times New Roman"/>
        </w:rPr>
        <w:t xml:space="preserve">danej dyscyplinie (z powodu braku szkoły doktorskiej prowadzącej kształcenie w danej dyscyplinie albo </w:t>
      </w:r>
      <w:r w:rsidR="00CB2427">
        <w:rPr>
          <w:rFonts w:ascii="Times New Roman" w:hAnsi="Times New Roman" w:cs="Times New Roman"/>
          <w:lang w:eastAsia="zh-CN"/>
        </w:rPr>
        <w:t>braku możliwości, w </w:t>
      </w:r>
      <w:r w:rsidRPr="007A036A">
        <w:rPr>
          <w:rFonts w:ascii="Times New Roman" w:hAnsi="Times New Roman" w:cs="Times New Roman"/>
          <w:lang w:eastAsia="zh-CN"/>
        </w:rPr>
        <w:t>szczególności ze względów organizacyjnych lub kadrowych, przyjęcia doktoranta</w:t>
      </w:r>
      <w:r w:rsidRPr="007A036A">
        <w:rPr>
          <w:rFonts w:ascii="Times New Roman" w:hAnsi="Times New Roman" w:cs="Times New Roman"/>
        </w:rPr>
        <w:t xml:space="preserve"> </w:t>
      </w:r>
      <w:r w:rsidRPr="007A036A">
        <w:rPr>
          <w:rFonts w:ascii="Times New Roman" w:hAnsi="Times New Roman" w:cs="Times New Roman"/>
          <w:lang w:eastAsia="zh-CN"/>
        </w:rPr>
        <w:t xml:space="preserve">do </w:t>
      </w:r>
      <w:r w:rsidRPr="007A036A">
        <w:rPr>
          <w:rFonts w:ascii="Times New Roman" w:hAnsi="Times New Roman" w:cs="Times New Roman"/>
          <w:lang w:eastAsia="zh-CN"/>
        </w:rPr>
        <w:lastRenderedPageBreak/>
        <w:t>innej szko</w:t>
      </w:r>
      <w:r w:rsidRPr="007A036A">
        <w:rPr>
          <w:rFonts w:ascii="Times New Roman" w:hAnsi="Times New Roman" w:cs="Times New Roman"/>
        </w:rPr>
        <w:t>ły doktorskiej</w:t>
      </w:r>
      <w:r w:rsidRPr="007A036A">
        <w:rPr>
          <w:rFonts w:ascii="Times New Roman" w:hAnsi="Times New Roman" w:cs="Times New Roman"/>
          <w:lang w:eastAsia="zh-CN"/>
        </w:rPr>
        <w:t xml:space="preserve"> prowadzącej kształcenie w danej dyscyplinie</w:t>
      </w:r>
      <w:r w:rsidRPr="007A036A">
        <w:rPr>
          <w:rFonts w:ascii="Times New Roman" w:hAnsi="Times New Roman" w:cs="Times New Roman"/>
        </w:rPr>
        <w:t>), tj. obowiązku pokrycia przez podmiot prowadzący szkołę doktorską osobie, która utraciła możliwość ukończenia kształcenia, kosztów postępowania w sp</w:t>
      </w:r>
      <w:r w:rsidR="00CB2427">
        <w:rPr>
          <w:rFonts w:ascii="Times New Roman" w:hAnsi="Times New Roman" w:cs="Times New Roman"/>
        </w:rPr>
        <w:t>rawie nadania stopnia doktora w </w:t>
      </w:r>
      <w:r w:rsidRPr="007A036A">
        <w:rPr>
          <w:rFonts w:ascii="Times New Roman" w:hAnsi="Times New Roman" w:cs="Times New Roman"/>
        </w:rPr>
        <w:t>trybie eksternistycznym.</w:t>
      </w:r>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t>Kolejna zmiana w ustawie dotyczy wypełnienia luki prawnej w zakresie określenia sposobu kontynuacji postępowań w sprawie nadania s</w:t>
      </w:r>
      <w:r w:rsidR="00CB2427">
        <w:rPr>
          <w:rFonts w:ascii="Times New Roman" w:hAnsi="Times New Roman" w:cs="Times New Roman"/>
        </w:rPr>
        <w:t>topnia doktora habilitowanego w </w:t>
      </w:r>
      <w:r w:rsidRPr="007A036A">
        <w:rPr>
          <w:rFonts w:ascii="Times New Roman" w:hAnsi="Times New Roman" w:cs="Times New Roman"/>
        </w:rPr>
        <w:t>przypadku utraty przez podmiot habilitujący uprawnienia do nadawania tego stopnia. Sposób ten będzie zależał od momentu, w którym nastąpi utrata uprawnienia. Jeżeli nastąpi ona jeszcze przed powołaniem komisji habilitacyjnej, wówczas postępowanie zostanie przekazane do prowadzenia podmiotowi wyznaczonemu przez Radę Doskonałości Naukowej. W przypadku utraty uprawnienia po powołaniu komisji habilitacyjnej komisja ta będzie kontynuowała swoje prace, a podjęta przez nią uchwała wraz z pozostałą dokumentacją postępowania w sprawie nadania stopnia doktora habilitowanego zostanie przekazana podmiotowi wyznaczonemu przez Radę Doskonałości Naukowej. Podmiot ten, na podstawie o</w:t>
      </w:r>
      <w:r w:rsidR="00CB2427">
        <w:rPr>
          <w:rFonts w:ascii="Times New Roman" w:hAnsi="Times New Roman" w:cs="Times New Roman"/>
        </w:rPr>
        <w:t>trzymanej uchwały, zadecyduje o </w:t>
      </w:r>
      <w:r w:rsidRPr="007A036A">
        <w:rPr>
          <w:rFonts w:ascii="Times New Roman" w:hAnsi="Times New Roman" w:cs="Times New Roman"/>
        </w:rPr>
        <w:t>nadaniu albo o odmowie nadania stopnia doktora habilitowanego.</w:t>
      </w:r>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t>Ostatnia zmiana w ustawie dotyczy dodania w art. 431 ust. 1 pkt 2 lit. a i ust. 2 pkt 1 odesłania do art. 206 ust. 1 i 2, a tym samym możliwości nałożenia na uczelnię albo inny podmiot prowadzący szkołę doktorską administracyjnej kary pieniężnej w przypadku naruszenia obowiązku wynikającego z art. 206 ust. 1 i 2. Będzie to rozwiązanie analogiczne do rozwiązania dotyczącego nałożenia na uczelnię kary pieniężnej z tytułu niewypełnienia obowiązku zapewnienia studentom możliwości kontynuowania studiów w przypadku zaprzestania ich prowadzenia, określonego w art. 82 ustawy. Da ono ministrowi właściwemu do spraw szkolnictwa wyższego i nauki dodatkowy instrument kontroli realizacji przez podmioty prowadzące szkoły doktorskie praw doktorantów, stanowiąc o ich lepszym zabezpieczeniu.</w:t>
      </w:r>
    </w:p>
    <w:p w:rsidR="007B0EE9" w:rsidRPr="007A036A" w:rsidRDefault="007B0EE9" w:rsidP="007B0EE9">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t>Zmiany proponowane w przepisach wprowadzających służą zapobiegnięciu restrykcyjnym skutkom pierwszej ewaluacji, która rozpoc</w:t>
      </w:r>
      <w:r w:rsidR="00CB2427">
        <w:rPr>
          <w:rFonts w:ascii="Times New Roman" w:hAnsi="Times New Roman" w:cs="Times New Roman"/>
        </w:rPr>
        <w:t>zęła się w dniu 1 stycznia 2022 </w:t>
      </w:r>
      <w:r w:rsidRPr="007A036A">
        <w:rPr>
          <w:rFonts w:ascii="Times New Roman" w:hAnsi="Times New Roman" w:cs="Times New Roman"/>
        </w:rPr>
        <w:t xml:space="preserve">r. na zasadach określonych w ustawie. Propozycje wychodzą również naprzeciw postulatowi Krajowej Reprezentacji Doktorantów dotyczącemu wydłużenia o kolejny rok (tj. do dnia 31 grudnia 2023 r.) terminu ostatecznego zakończenia przewodów doktorskich wszczętych na podstawie ustawy z dnia 14 marca 2003 r. o stopniach </w:t>
      </w:r>
      <w:r w:rsidRPr="007A036A">
        <w:rPr>
          <w:rFonts w:ascii="Times New Roman" w:hAnsi="Times New Roman" w:cs="Times New Roman"/>
        </w:rPr>
        <w:lastRenderedPageBreak/>
        <w:t>naukowych i tytule naukowym oraz o stopniach i tytule w</w:t>
      </w:r>
      <w:r w:rsidR="00CB2427">
        <w:rPr>
          <w:rFonts w:ascii="Times New Roman" w:hAnsi="Times New Roman" w:cs="Times New Roman"/>
        </w:rPr>
        <w:t xml:space="preserve"> zakresie sztuki (Dz. U. z 2017 </w:t>
      </w:r>
      <w:r w:rsidRPr="007A036A">
        <w:rPr>
          <w:rFonts w:ascii="Times New Roman" w:hAnsi="Times New Roman" w:cs="Times New Roman"/>
        </w:rPr>
        <w:t>r. poz. 1789). Przychylono się do argumentacji wnioskodawców, zgodnie z którą w związku z</w:t>
      </w:r>
      <w:r>
        <w:rPr>
          <w:rFonts w:ascii="Times New Roman" w:hAnsi="Times New Roman" w:cs="Times New Roman"/>
        </w:rPr>
        <w:t xml:space="preserve"> </w:t>
      </w:r>
      <w:r w:rsidRPr="007A036A">
        <w:rPr>
          <w:rFonts w:ascii="Times New Roman" w:hAnsi="Times New Roman" w:cs="Times New Roman"/>
        </w:rPr>
        <w:t>panującą sytuacją pandemiczną wystąpiły liczne przeszkody w prowadzeniu działalności naukowej, m.in. został ograniczony dostęp do infrastruktury badawczej, laboratoriów, bibliotek i archiwów, nastąpiły utrudnienia w zakresie prowadzenia badań naukowych opartych na kontakcie bezpośrednim oraz w organizacji spotkań zespołów badawczych w formule stacjonarnej, a także pojawiły się utrudnienia w mobilności krajowej i międzynarodowej (w tym w odbywaniu kwerend). Powyższe okoliczności wydłużają proces przygotowywania rozpraw doktorskich. Równocześnie doprecyzowano przepis, wskazując, że zamknięcie albo umorzenie postępowania awansowego wszczętego na podstawie przepisów dotychczasowych nastąpi jedynie w odniesieniu do postępowań, które w terminach wskazanych w tym przepi</w:t>
      </w:r>
      <w:r w:rsidR="00CB2427">
        <w:rPr>
          <w:rFonts w:ascii="Times New Roman" w:hAnsi="Times New Roman" w:cs="Times New Roman"/>
        </w:rPr>
        <w:t>sie, tj. w dniu 31 grudnia 2022 </w:t>
      </w:r>
      <w:r w:rsidRPr="007A036A">
        <w:rPr>
          <w:rFonts w:ascii="Times New Roman" w:hAnsi="Times New Roman" w:cs="Times New Roman"/>
        </w:rPr>
        <w:t>r. w przypadku postępowań habilitacyjnych i postępowań o nadanie tytułu profesora oraz w dniu 31 grudnia 2023 r. w przypadku przewodów doktorskich, będą niezakończone w pierwszej instancji. Pozwoli to na zapobieżenie ewentualnej negatywnej konsekwencji zakończenia tych postępowań w postaci pozbawienia osoby ubiegającej się o nadanie stopnia naukowego, stopnia w zakresie sztuki albo tytułu profesora prawa do kontroli decyzji odmawiającej nada</w:t>
      </w:r>
      <w:r w:rsidR="00CB2427">
        <w:rPr>
          <w:rFonts w:ascii="Times New Roman" w:hAnsi="Times New Roman" w:cs="Times New Roman"/>
        </w:rPr>
        <w:t>nia tego stopnia albo tytułu, w </w:t>
      </w:r>
      <w:r w:rsidRPr="007A036A">
        <w:rPr>
          <w:rFonts w:ascii="Times New Roman" w:hAnsi="Times New Roman" w:cs="Times New Roman"/>
        </w:rPr>
        <w:t>tym także przez sąd administracyjny.</w:t>
      </w:r>
    </w:p>
    <w:p w:rsidR="007B0EE9" w:rsidRPr="007A036A" w:rsidRDefault="007B0EE9" w:rsidP="007B0EE9">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t>Ustawa wprowadza całkowicie nowy model oceny podmiotów prowadzących działalność naukową. Równocześnie od wyników ewaluacji będzie zależał zakres tej działalności prowadzonej przez podmiot, przede wszystkim uprawnienie do nadawania stopni naukowych lub stopni w zakresie sztuki oraz możl</w:t>
      </w:r>
      <w:r w:rsidR="00CB2427">
        <w:rPr>
          <w:rFonts w:ascii="Times New Roman" w:hAnsi="Times New Roman" w:cs="Times New Roman"/>
        </w:rPr>
        <w:t>iwość kształcenia doktorantów w </w:t>
      </w:r>
      <w:r w:rsidRPr="007A036A">
        <w:rPr>
          <w:rFonts w:ascii="Times New Roman" w:hAnsi="Times New Roman" w:cs="Times New Roman"/>
        </w:rPr>
        <w:t>szkołach doktorskich w poszczególnych dyscyplinach. Mając na uwadze powyższe, projektowana ustawa zmierza do złagodzenia skutków pierwszej ewaluacji.</w:t>
      </w:r>
    </w:p>
    <w:p w:rsidR="007B0EE9" w:rsidRPr="007A036A" w:rsidRDefault="007B0EE9" w:rsidP="007A036A">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t>Zgodnie z art. 185 ust. 1 ustawy uprawnienie do nadawania stopnia doktora w danej dyscyplinie zostało ściśle skorelowane z kategorią naukową przyznaną podmiotowi w tej dyscyplinie w ramach ewaluacji, przy czym najniższą kategorią naukową, która pozwala na korzystanie z tego uprawnienia, jest kategoria naukowa B+. Uzyskanie w danej dyscyplinie kategorii naukowej B albo C skutkuje automatycznie utratą uprawnień do nadawania stopnia doktora i koniecznością kontynuowania w</w:t>
      </w:r>
      <w:r>
        <w:rPr>
          <w:rFonts w:ascii="Times New Roman" w:hAnsi="Times New Roman" w:cs="Times New Roman"/>
        </w:rPr>
        <w:t xml:space="preserve"> </w:t>
      </w:r>
      <w:r w:rsidRPr="007A036A">
        <w:rPr>
          <w:rFonts w:ascii="Times New Roman" w:hAnsi="Times New Roman" w:cs="Times New Roman"/>
        </w:rPr>
        <w:t>innym podmiocie spełniającym warunek ustawowy, tj. posiadającym kategorię naukową A+, A albo B+, postępowań wszczętych przed uzyskaniem niekorzystnego wyniku ewaluacji.</w:t>
      </w:r>
    </w:p>
    <w:p w:rsidR="007B0EE9" w:rsidRPr="007A036A" w:rsidRDefault="007B0EE9" w:rsidP="007B0EE9">
      <w:pPr>
        <w:pStyle w:val="NIEARTTEKSTtekstnieartykuowanynppodstprawnarozplubpreambua"/>
        <w:ind w:firstLine="0"/>
        <w:rPr>
          <w:rFonts w:ascii="Times New Roman" w:hAnsi="Times New Roman" w:cs="Times New Roman"/>
        </w:rPr>
      </w:pPr>
      <w:r w:rsidRPr="007A036A">
        <w:rPr>
          <w:rFonts w:ascii="Times New Roman" w:hAnsi="Times New Roman" w:cs="Times New Roman"/>
        </w:rPr>
        <w:lastRenderedPageBreak/>
        <w:t>Do dnia uzyskania wyników pierwszej ewaluacji (tj. do upływu terminu 30 dni od dnia, w którym ostatnia decyzja o przyznaniu kategorii naukowej w ramach pierwszej ewaluacji stanie się ostateczna) podmioty posiadają uprawnienia do nadawania stopnia doktora na podstawie komunikatu Centralnej Komisji do Spraw Stopni i Tytułów z dnia 30 kwietnia 2019 r., wydanego na mocy art. 177 ust. 3 pkt</w:t>
      </w:r>
      <w:r>
        <w:rPr>
          <w:rFonts w:ascii="Times New Roman" w:hAnsi="Times New Roman" w:cs="Times New Roman"/>
        </w:rPr>
        <w:t xml:space="preserve"> </w:t>
      </w:r>
      <w:r w:rsidRPr="007A036A">
        <w:rPr>
          <w:rFonts w:ascii="Times New Roman" w:hAnsi="Times New Roman" w:cs="Times New Roman"/>
        </w:rPr>
        <w:t>2 przepisów wprowadzających.</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Z uwagi na fakt, że proces ewaluacji jest przeprowadzany na nowych zasadach po raz pierwszy i w wielu aspektach ma charakter precedensowy, proponuje się wprowadzenie, jako art. 179a przepisów wprowadzających, rozwiązania legislacyjnego łagodzącego skutki uzyskania kategorii naukowej B w danej dyscyplinie przez podmioty doktoryzujące, polegającego na możliwości dok</w:t>
      </w:r>
      <w:r w:rsidR="00795716">
        <w:rPr>
          <w:rFonts w:ascii="Times New Roman" w:hAnsi="Times New Roman" w:cs="Times New Roman"/>
        </w:rPr>
        <w:t>ończenia przez nie postępowań w </w:t>
      </w:r>
      <w:r w:rsidRPr="007A036A">
        <w:rPr>
          <w:rFonts w:ascii="Times New Roman" w:hAnsi="Times New Roman" w:cs="Times New Roman"/>
        </w:rPr>
        <w:t>sprawie nadania stopnia doktora wszczętych przed dniem przyznania tej kategorii naukowej, przy równoczesnym utrzymaniu zakazu wszczy</w:t>
      </w:r>
      <w:r w:rsidR="00795716">
        <w:rPr>
          <w:rFonts w:ascii="Times New Roman" w:hAnsi="Times New Roman" w:cs="Times New Roman"/>
        </w:rPr>
        <w:t>nania nowych postępowań (do </w:t>
      </w:r>
      <w:r w:rsidRPr="007A036A">
        <w:rPr>
          <w:rFonts w:ascii="Times New Roman" w:hAnsi="Times New Roman" w:cs="Times New Roman"/>
        </w:rPr>
        <w:t>czasu uzyskania kategorii naukowej co najmniej B+ w wyniku drugiej ewaluacji). Rozwiązanie to obejmie również przewody doktorskie prowadzone na podstawie przepisów ustawy z</w:t>
      </w:r>
      <w:r>
        <w:rPr>
          <w:rFonts w:ascii="Times New Roman" w:hAnsi="Times New Roman" w:cs="Times New Roman"/>
        </w:rPr>
        <w:t xml:space="preserve"> </w:t>
      </w:r>
      <w:r w:rsidRPr="007A036A">
        <w:rPr>
          <w:rFonts w:ascii="Times New Roman" w:hAnsi="Times New Roman" w:cs="Times New Roman"/>
        </w:rPr>
        <w:t>dnia 14 marca 2003 r. o stopniach naukowych i tytule naukowym oraz o stopniach i tytule w zakresie sztuki, z tym że ostateczny termin ich zakończenia – w związku z proponowaną w projekcie zmianą art. 179 ust. 4 przepisów wprowadzających – upłynie w dniu 31 grudnia 2023 r.</w:t>
      </w:r>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t>Wydłużenie do dnia 31 grudnia 2023 r. terminu zakończenia przewodów doktorskich wszczętych i prowadzonych na podstawie ustawy z dnia 14 marca 2003 r. o stopniach naukowych i tytule naukowym oraz o stopniach i tytule w zakresie sztuki wymusza również konieczność uregulowania zasad ich kontynuacji w przypadku uzyskania przez podmiot doktoryzujący w następstwie pierwszej ewaluacji kategorii naukowej C w danej dyscyplinie. Proponuje się, aby w takim przypadku przewody doktorskie wszczęte w tym podmiocie mogły być kontynuowane przez podmiot wyznaczony przez Radę Doskonałości Naukowej.</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 xml:space="preserve">Projekt ustawy w dodawanym art. 290a przepisów wprowadzających odnosi się również do kwestii prowadzenia kształcenia w szkołach doktorskich. Zgodnie z art. 198 ust. 3–5 ustawy szkoła doktorska może być prowadzona wyłącznie w dyscyplinach, w których podmiot posiada kategorię naukową nie niższą niż B+. Proponuje się w związku z tym, aby w okresie przejściowym od uzyskania wyników pierwszej ewaluacji do czasu nadania kategorii naukowej w wyniku kolejnej ewaluacji, która zostanie przeprowadzona </w:t>
      </w:r>
      <w:r w:rsidRPr="007A036A">
        <w:rPr>
          <w:rFonts w:ascii="Times New Roman" w:hAnsi="Times New Roman" w:cs="Times New Roman"/>
        </w:rPr>
        <w:lastRenderedPageBreak/>
        <w:t xml:space="preserve">w 2026 r., podmioty, które uzyskają w poszczególnych dyscyplinach kategorię naukową B, mogły nadal kształcić doktorantów w tych dyscyplinach w prowadzonych przez nie szkołach doktorskich. Możliwość ta dotyczyłaby tylko doktorantów, którzy rozpoczęli kształcenie w danej dyscyplinie w danej szkole doktorskiej najpóźniej w roku akademickim, w którym podmiot uzyskał w tej dyscyplinie kategorię naukową B. Do czasu uzyskania wyższej kategorii naukowej podmiot nie mógłby bowiem kształcić w tej dyscyplinie nowych doktorantów. </w:t>
      </w:r>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t xml:space="preserve">Natomiast podmiot, który na skutek uzyskania kategorii naukowej B w co najmniej jednej dyscyplinie, w której jest prowadzone kształcenie w szkole doktorskiej, zaprzestał spełniania warunków, o których mowa w art. 198 ust. </w:t>
      </w:r>
      <w:r w:rsidR="00795716">
        <w:rPr>
          <w:rFonts w:ascii="Times New Roman" w:hAnsi="Times New Roman" w:cs="Times New Roman"/>
        </w:rPr>
        <w:t>3–5 ustawy, nie będzie mógł w </w:t>
      </w:r>
      <w:r w:rsidRPr="007A036A">
        <w:rPr>
          <w:rFonts w:ascii="Times New Roman" w:hAnsi="Times New Roman" w:cs="Times New Roman"/>
        </w:rPr>
        <w:t>ogóle prowadzić rekrutacji do tej szkoły i kształcić nowych doktorantów w żadnej dyscyplinie, nawet w tej, w której uzyskał kategorię naukową A+, A albo B+.</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Jeżeli jednak w wyniku kolejnej ewaluacji podmiot poprawi jakość prowadzonej działalności naukowej i uzyska w danej dyscyplinie albo w danych dyscyplinach kategorię naukową nie niższą niż B+, będzie mógł kontynuować kształcenie doktorantów w tej dyscyplinie albo w tych dyscyplinach, jak również będzie mógł kształcić nowych doktorantów w tym zakresie. O ile natomiast w wyniku uzyskania wyższej kategorii naukowej podmiot zacznie spełniać odpowiedni warunek</w:t>
      </w:r>
      <w:r w:rsidR="00795716">
        <w:rPr>
          <w:rFonts w:ascii="Times New Roman" w:hAnsi="Times New Roman" w:cs="Times New Roman"/>
        </w:rPr>
        <w:t>, o którym mowa w art. 198 ust. </w:t>
      </w:r>
      <w:r w:rsidRPr="007A036A">
        <w:rPr>
          <w:rFonts w:ascii="Times New Roman" w:hAnsi="Times New Roman" w:cs="Times New Roman"/>
        </w:rPr>
        <w:t>3–5 ustawy, szkoła doktorska będzie mogła być przez ten podmiot nadal prowadzona i</w:t>
      </w:r>
      <w:r>
        <w:rPr>
          <w:rFonts w:ascii="Times New Roman" w:hAnsi="Times New Roman" w:cs="Times New Roman"/>
        </w:rPr>
        <w:t xml:space="preserve"> </w:t>
      </w:r>
      <w:r w:rsidRPr="007A036A">
        <w:rPr>
          <w:rFonts w:ascii="Times New Roman" w:hAnsi="Times New Roman" w:cs="Times New Roman"/>
        </w:rPr>
        <w:t>będzie on mógł wznowić rekrutację do tej szkoły. Przepis ma na celu zapewnienie ciągłości kształcenia doktorantów w danej dyscyplinie albo w danych dyscyplinach albo ciągłości prowadzenia danej szkoły doktorskiej w przypadku uzyskania przez podmiot, w wyniku drugiej ewaluacji, kategorii naukowej nie niższej niż B+, skutkującej odzyskaniem uprawnienia do prowadzenia kształcenia w dyscyplinie, co do której utracił tę możliwość w wyniku pierwszej ewaluacji, albo odzyskaniem uprawnienia do prowadzenia szkoły doktorskiej, co do której utracił tę możliwość w</w:t>
      </w:r>
      <w:r>
        <w:rPr>
          <w:rFonts w:ascii="Times New Roman" w:hAnsi="Times New Roman" w:cs="Times New Roman"/>
        </w:rPr>
        <w:t xml:space="preserve"> </w:t>
      </w:r>
      <w:r w:rsidRPr="007A036A">
        <w:rPr>
          <w:rFonts w:ascii="Times New Roman" w:hAnsi="Times New Roman" w:cs="Times New Roman"/>
        </w:rPr>
        <w:t>wyniku pierwszej ewaluacji.</w:t>
      </w:r>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t xml:space="preserve">Proponuje się, aby projektowana ustawa weszła w życie po upływie 14 dni od dnia ogłoszenia. </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Jednocześnie należy wskazać, że nie ma możliwości podjęcia alternatywnych w stosunku do projektowanej ustawy środków umożliwiających</w:t>
      </w:r>
      <w:r w:rsidR="00795716">
        <w:rPr>
          <w:rFonts w:ascii="Times New Roman" w:hAnsi="Times New Roman" w:cs="Times New Roman"/>
        </w:rPr>
        <w:t xml:space="preserve"> osiągnięcie zamierzonego celu.</w:t>
      </w:r>
      <w:bookmarkStart w:id="0" w:name="_GoBack"/>
      <w:bookmarkEnd w:id="0"/>
    </w:p>
    <w:p w:rsidR="007B0EE9" w:rsidRPr="007A036A" w:rsidRDefault="007B0EE9" w:rsidP="007B0EE9">
      <w:pPr>
        <w:pStyle w:val="ARTartustawynprozporzdzenia"/>
        <w:ind w:firstLine="0"/>
        <w:rPr>
          <w:rFonts w:ascii="Times New Roman" w:hAnsi="Times New Roman" w:cs="Times New Roman"/>
        </w:rPr>
      </w:pPr>
      <w:r w:rsidRPr="007A036A">
        <w:rPr>
          <w:rFonts w:ascii="Times New Roman" w:hAnsi="Times New Roman" w:cs="Times New Roman"/>
        </w:rPr>
        <w:lastRenderedPageBreak/>
        <w:t>Projektowana ustawa nie wpływa na działalność</w:t>
      </w:r>
      <w:r w:rsidR="00CB2427">
        <w:rPr>
          <w:rFonts w:ascii="Times New Roman" w:hAnsi="Times New Roman" w:cs="Times New Roman"/>
        </w:rPr>
        <w:t xml:space="preserve"> </w:t>
      </w:r>
      <w:proofErr w:type="spellStart"/>
      <w:r w:rsidR="00CB2427">
        <w:rPr>
          <w:rFonts w:ascii="Times New Roman" w:hAnsi="Times New Roman" w:cs="Times New Roman"/>
        </w:rPr>
        <w:t>mikroprzedsiębiorców</w:t>
      </w:r>
      <w:proofErr w:type="spellEnd"/>
      <w:r w:rsidR="00CB2427">
        <w:rPr>
          <w:rFonts w:ascii="Times New Roman" w:hAnsi="Times New Roman" w:cs="Times New Roman"/>
        </w:rPr>
        <w:t>, małych i </w:t>
      </w:r>
      <w:r w:rsidRPr="007A036A">
        <w:rPr>
          <w:rFonts w:ascii="Times New Roman" w:hAnsi="Times New Roman" w:cs="Times New Roman"/>
        </w:rPr>
        <w:t>średnich przedsiębiorców, a także nie dotyczy majątkowych praw i obowiązków przedsiębiorców lub praw i</w:t>
      </w:r>
      <w:r>
        <w:rPr>
          <w:rFonts w:ascii="Times New Roman" w:hAnsi="Times New Roman" w:cs="Times New Roman"/>
        </w:rPr>
        <w:t xml:space="preserve"> </w:t>
      </w:r>
      <w:r w:rsidRPr="007A036A">
        <w:rPr>
          <w:rFonts w:ascii="Times New Roman" w:hAnsi="Times New Roman" w:cs="Times New Roman"/>
        </w:rPr>
        <w:t>obowiązków przedsiębiorców wobec organów administracji publicznej.</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Projektowana ustawa nie wymaga przedstawienia właściwym organom i instytucjom Unii Europejskiej, w tym Europejskiemu Bankowi Centralnemu, w celu uzyskania opinii, dokonania powiadomienia, konsultacji albo uzgodnienia.</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Projektowana ustawa nie podlega notyfikacji zgodnie z przepisami rozporządzenia Rady Ministrów z dnia 23 grudnia 2002 r. w sprawie sposobu funkcjonowania krajowego systemu notyfikacji norm i aktów prawnych (Dz. U. poz. 2039 oraz z 2004 r. poz. 597).</w:t>
      </w:r>
    </w:p>
    <w:p w:rsidR="007B0EE9" w:rsidRPr="007A036A" w:rsidRDefault="007B0EE9" w:rsidP="007A036A">
      <w:pPr>
        <w:pStyle w:val="ARTartustawynprozporzdzenia"/>
        <w:ind w:firstLine="0"/>
        <w:rPr>
          <w:rFonts w:ascii="Times New Roman" w:hAnsi="Times New Roman" w:cs="Times New Roman"/>
        </w:rPr>
      </w:pPr>
      <w:r w:rsidRPr="007A036A">
        <w:rPr>
          <w:rFonts w:ascii="Times New Roman" w:hAnsi="Times New Roman" w:cs="Times New Roman"/>
        </w:rPr>
        <w:t>Projektowana ustawa jest zgodna z prawem Unii Europejskiej.</w:t>
      </w:r>
    </w:p>
    <w:sectPr w:rsidR="007B0EE9" w:rsidRPr="007A036A" w:rsidSect="007A036A">
      <w:headerReference w:type="default" r:id="rId6"/>
      <w:footerReference w:type="default" r:id="rId7"/>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F2D" w:rsidRDefault="004E6F2D" w:rsidP="007B0EE9">
      <w:pPr>
        <w:spacing w:line="240" w:lineRule="auto"/>
      </w:pPr>
      <w:r>
        <w:separator/>
      </w:r>
    </w:p>
  </w:endnote>
  <w:endnote w:type="continuationSeparator" w:id="0">
    <w:p w:rsidR="004E6F2D" w:rsidRDefault="004E6F2D" w:rsidP="007B0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197275"/>
      <w:docPartObj>
        <w:docPartGallery w:val="Page Numbers (Bottom of Page)"/>
        <w:docPartUnique/>
      </w:docPartObj>
    </w:sdtPr>
    <w:sdtEndPr/>
    <w:sdtContent>
      <w:p w:rsidR="007B0EE9" w:rsidRDefault="007B0EE9" w:rsidP="007A036A">
        <w:pPr>
          <w:pStyle w:val="Stopka"/>
          <w:jc w:val="center"/>
        </w:pPr>
        <w:r>
          <w:fldChar w:fldCharType="begin"/>
        </w:r>
        <w:r>
          <w:instrText>PAGE   \* MERGEFORMAT</w:instrText>
        </w:r>
        <w:r>
          <w:fldChar w:fldCharType="separate"/>
        </w:r>
        <w:r w:rsidR="00795716">
          <w:rPr>
            <w:noProof/>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F2D" w:rsidRDefault="004E6F2D" w:rsidP="007B0EE9">
      <w:pPr>
        <w:spacing w:line="240" w:lineRule="auto"/>
      </w:pPr>
      <w:r>
        <w:separator/>
      </w:r>
    </w:p>
  </w:footnote>
  <w:footnote w:type="continuationSeparator" w:id="0">
    <w:p w:rsidR="004E6F2D" w:rsidRDefault="004E6F2D" w:rsidP="007B0E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0B2A90" w:rsidRDefault="00795716" w:rsidP="00B371CC">
    <w:pPr>
      <w:pStyle w:val="Nagwek"/>
      <w:jc w:val="center"/>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EE9"/>
    <w:rsid w:val="00016364"/>
    <w:rsid w:val="000B2A90"/>
    <w:rsid w:val="00125E8B"/>
    <w:rsid w:val="001A43BD"/>
    <w:rsid w:val="00285B89"/>
    <w:rsid w:val="002A54B3"/>
    <w:rsid w:val="00363FF3"/>
    <w:rsid w:val="00415B06"/>
    <w:rsid w:val="00433F81"/>
    <w:rsid w:val="004D7093"/>
    <w:rsid w:val="004E6F2D"/>
    <w:rsid w:val="005B0E22"/>
    <w:rsid w:val="006307D0"/>
    <w:rsid w:val="00706B4D"/>
    <w:rsid w:val="00741C21"/>
    <w:rsid w:val="0079445C"/>
    <w:rsid w:val="00795716"/>
    <w:rsid w:val="007A036A"/>
    <w:rsid w:val="007B0EE9"/>
    <w:rsid w:val="00834267"/>
    <w:rsid w:val="008C5D6F"/>
    <w:rsid w:val="008E70DC"/>
    <w:rsid w:val="00912741"/>
    <w:rsid w:val="009C1FD7"/>
    <w:rsid w:val="00A00A0C"/>
    <w:rsid w:val="00B7114D"/>
    <w:rsid w:val="00BF08C6"/>
    <w:rsid w:val="00CB2427"/>
    <w:rsid w:val="00D472E2"/>
    <w:rsid w:val="00DB1F60"/>
    <w:rsid w:val="00E3452D"/>
    <w:rsid w:val="00ED47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5852"/>
  <w15:docId w15:val="{FF19B57B-1AD6-4F62-94B2-5657DC51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B0EE9"/>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7B0EE9"/>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7B0EE9"/>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7B0EE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B0EE9"/>
    <w:rPr>
      <w:bCs/>
    </w:rPr>
  </w:style>
  <w:style w:type="paragraph" w:customStyle="1" w:styleId="PKTpunkt">
    <w:name w:val="PKT – punkt"/>
    <w:uiPriority w:val="13"/>
    <w:qFormat/>
    <w:rsid w:val="007B0EE9"/>
    <w:pPr>
      <w:spacing w:after="0" w:line="360" w:lineRule="auto"/>
      <w:ind w:left="510" w:hanging="510"/>
      <w:jc w:val="both"/>
    </w:pPr>
    <w:rPr>
      <w:rFonts w:ascii="Times" w:eastAsiaTheme="minorEastAsia" w:hAnsi="Times" w:cs="Arial"/>
      <w:bCs/>
      <w:sz w:val="24"/>
      <w:szCs w:val="20"/>
      <w:lang w:eastAsia="pl-PL"/>
    </w:rPr>
  </w:style>
  <w:style w:type="paragraph" w:customStyle="1" w:styleId="TYTTABELItytutabeli">
    <w:name w:val="TYT_TABELI – tytuł tabeli"/>
    <w:basedOn w:val="Normalny"/>
    <w:uiPriority w:val="22"/>
    <w:qFormat/>
    <w:rsid w:val="007B0EE9"/>
    <w:pPr>
      <w:keepNext/>
      <w:widowControl/>
      <w:autoSpaceDE/>
      <w:autoSpaceDN/>
      <w:adjustRightInd/>
      <w:spacing w:before="120"/>
      <w:jc w:val="center"/>
    </w:pPr>
    <w:rPr>
      <w:rFonts w:ascii="Times" w:hAnsi="Times"/>
      <w:b/>
      <w:bCs/>
      <w:caps/>
      <w:kern w:val="24"/>
      <w:szCs w:val="24"/>
    </w:rPr>
  </w:style>
  <w:style w:type="character" w:customStyle="1" w:styleId="Kkursywa">
    <w:name w:val="_K_ – kursywa"/>
    <w:basedOn w:val="Domylnaczcionkaakapitu"/>
    <w:uiPriority w:val="1"/>
    <w:qFormat/>
    <w:rsid w:val="007B0EE9"/>
    <w:rPr>
      <w:i/>
    </w:rPr>
  </w:style>
  <w:style w:type="paragraph" w:styleId="Tekstdymka">
    <w:name w:val="Balloon Text"/>
    <w:basedOn w:val="Normalny"/>
    <w:link w:val="TekstdymkaZnak"/>
    <w:uiPriority w:val="99"/>
    <w:semiHidden/>
    <w:unhideWhenUsed/>
    <w:rsid w:val="007B0EE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B0EE9"/>
    <w:rPr>
      <w:rFonts w:ascii="Segoe UI" w:eastAsiaTheme="minorEastAsia" w:hAnsi="Segoe UI" w:cs="Segoe UI"/>
      <w:sz w:val="18"/>
      <w:szCs w:val="18"/>
      <w:lang w:eastAsia="pl-PL"/>
    </w:rPr>
  </w:style>
  <w:style w:type="paragraph" w:styleId="Stopka">
    <w:name w:val="footer"/>
    <w:basedOn w:val="Normalny"/>
    <w:link w:val="StopkaZnak"/>
    <w:uiPriority w:val="99"/>
    <w:unhideWhenUsed/>
    <w:rsid w:val="007B0EE9"/>
    <w:pPr>
      <w:tabs>
        <w:tab w:val="center" w:pos="4536"/>
        <w:tab w:val="right" w:pos="9072"/>
      </w:tabs>
      <w:spacing w:line="240" w:lineRule="auto"/>
    </w:pPr>
  </w:style>
  <w:style w:type="character" w:customStyle="1" w:styleId="StopkaZnak">
    <w:name w:val="Stopka Znak"/>
    <w:basedOn w:val="Domylnaczcionkaakapitu"/>
    <w:link w:val="Stopka"/>
    <w:uiPriority w:val="99"/>
    <w:rsid w:val="007B0EE9"/>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1875</Words>
  <Characters>11253</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Bodych Dominika</dc:creator>
  <cp:lastModifiedBy>Wójcik Aleksandra</cp:lastModifiedBy>
  <cp:revision>3</cp:revision>
  <dcterms:created xsi:type="dcterms:W3CDTF">2022-03-08T16:45:00Z</dcterms:created>
  <dcterms:modified xsi:type="dcterms:W3CDTF">2022-03-08T16:50:00Z</dcterms:modified>
</cp:coreProperties>
</file>