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2DDBDC" w14:textId="77777777" w:rsidR="00966447" w:rsidRPr="004E533B" w:rsidRDefault="00966447" w:rsidP="00966447">
      <w:pPr>
        <w:widowControl/>
        <w:suppressAutoHyphens/>
        <w:spacing w:before="120"/>
        <w:ind w:firstLine="510"/>
        <w:jc w:val="center"/>
        <w:rPr>
          <w:rFonts w:cs="Times New Roman"/>
          <w:bCs/>
          <w:szCs w:val="24"/>
        </w:rPr>
      </w:pPr>
      <w:bookmarkStart w:id="0" w:name="_GoBack"/>
      <w:bookmarkEnd w:id="0"/>
      <w:r w:rsidRPr="004E533B">
        <w:rPr>
          <w:rFonts w:cs="Times New Roman"/>
          <w:bCs/>
          <w:szCs w:val="24"/>
        </w:rPr>
        <w:t>UZASADNIENIE</w:t>
      </w:r>
    </w:p>
    <w:p w14:paraId="155874C5" w14:textId="7CE618A8" w:rsidR="00966447" w:rsidRPr="004E533B" w:rsidRDefault="00966447" w:rsidP="004E533B">
      <w:pPr>
        <w:widowControl/>
        <w:suppressAutoHyphens/>
        <w:spacing w:before="120"/>
        <w:jc w:val="both"/>
        <w:rPr>
          <w:rFonts w:cs="Times New Roman"/>
          <w:bCs/>
          <w:szCs w:val="24"/>
        </w:rPr>
      </w:pPr>
      <w:r w:rsidRPr="004E533B">
        <w:rPr>
          <w:rFonts w:cs="Times New Roman"/>
          <w:bCs/>
          <w:szCs w:val="24"/>
        </w:rPr>
        <w:t xml:space="preserve">Projekt ustawy o zmianie ustawy o ubezpieczeniu społecznym rolników ma przede wszystkim na celu uregulowanie kwestii związanych ze zbiegiem tytułów ubezpieczenia z rolniczego i powszechnego systemu ubezpieczeń społecznych. Nie ulega wątpliwości, że w zakresie ubezpieczenia społecznego rolników obowiązuje jedna z podstawowych zasad, </w:t>
      </w:r>
      <w:r w:rsidR="00A1062B">
        <w:rPr>
          <w:rFonts w:cs="Times New Roman"/>
          <w:bCs/>
          <w:szCs w:val="24"/>
        </w:rPr>
        <w:t>że</w:t>
      </w:r>
      <w:r w:rsidRPr="004E533B">
        <w:rPr>
          <w:rFonts w:cs="Times New Roman"/>
          <w:bCs/>
          <w:szCs w:val="24"/>
        </w:rPr>
        <w:t xml:space="preserve"> w razie posiadania innego tytułu do ubezpieczenia lub podlegania zaopatrzeniu społecznemu obowiązek ubezpieczenia rolniczego jest wyłączony. Zatem podleganie ubezpieczeniu społecznemu z innego tytułu niż prowadzenie działalności rolniczej „wyprzedza</w:t>
      </w:r>
      <w:r>
        <w:rPr>
          <w:rFonts w:cs="Times New Roman"/>
          <w:bCs/>
          <w:szCs w:val="24"/>
        </w:rPr>
        <w:t>”</w:t>
      </w:r>
      <w:r w:rsidRPr="004E533B">
        <w:rPr>
          <w:rFonts w:cs="Times New Roman"/>
          <w:bCs/>
          <w:szCs w:val="24"/>
        </w:rPr>
        <w:t xml:space="preserve"> ubezpieczenie społeczne rolników. Zawsze zatem pierwszeństwo ma nierolniczy tytuł do ubezpieczenia. Ustawodawca przewidział od tej reguły wyłącznie dwa wyjątki </w:t>
      </w:r>
      <w:r>
        <w:rPr>
          <w:rFonts w:cs="Times New Roman"/>
          <w:bCs/>
          <w:szCs w:val="24"/>
        </w:rPr>
        <w:t>–</w:t>
      </w:r>
      <w:r w:rsidRPr="004E533B">
        <w:rPr>
          <w:rFonts w:cs="Times New Roman"/>
          <w:bCs/>
          <w:szCs w:val="24"/>
        </w:rPr>
        <w:t xml:space="preserve"> zawarte w przepisach art. 5a oraz art. 5b ustawy z dnia 20 grudnia 1990 r. o ubezpieczeniu społecznym rolników </w:t>
      </w:r>
      <w:r w:rsidRPr="00966447">
        <w:rPr>
          <w:rFonts w:cs="Times New Roman"/>
          <w:szCs w:val="24"/>
        </w:rPr>
        <w:t>(Dz.</w:t>
      </w:r>
      <w:r>
        <w:rPr>
          <w:rFonts w:cs="Times New Roman"/>
          <w:szCs w:val="24"/>
        </w:rPr>
        <w:t xml:space="preserve"> </w:t>
      </w:r>
      <w:r w:rsidRPr="00966447">
        <w:rPr>
          <w:rFonts w:cs="Times New Roman"/>
          <w:szCs w:val="24"/>
        </w:rPr>
        <w:t xml:space="preserve">U. z 2021 r. poz. 266, z </w:t>
      </w:r>
      <w:proofErr w:type="spellStart"/>
      <w:r w:rsidRPr="00966447">
        <w:rPr>
          <w:rFonts w:cs="Times New Roman"/>
          <w:szCs w:val="24"/>
        </w:rPr>
        <w:t>późn</w:t>
      </w:r>
      <w:proofErr w:type="spellEnd"/>
      <w:r w:rsidRPr="00966447">
        <w:rPr>
          <w:rFonts w:cs="Times New Roman"/>
          <w:szCs w:val="24"/>
        </w:rPr>
        <w:t>. zm.), zwanej dalej „ustawą o ubezpieczeniu społecznym rolników”</w:t>
      </w:r>
      <w:r w:rsidRPr="004E533B">
        <w:rPr>
          <w:rFonts w:cs="Times New Roman"/>
          <w:bCs/>
          <w:szCs w:val="24"/>
        </w:rPr>
        <w:t>.</w:t>
      </w:r>
    </w:p>
    <w:p w14:paraId="7D8467FA" w14:textId="36A83D64" w:rsidR="00966447" w:rsidRPr="004E533B" w:rsidRDefault="00966447" w:rsidP="004E533B">
      <w:pPr>
        <w:widowControl/>
        <w:suppressAutoHyphens/>
        <w:spacing w:before="120"/>
        <w:jc w:val="both"/>
        <w:rPr>
          <w:rFonts w:cs="Times New Roman"/>
          <w:bCs/>
          <w:szCs w:val="24"/>
        </w:rPr>
      </w:pPr>
      <w:r w:rsidRPr="004E533B">
        <w:rPr>
          <w:rFonts w:cs="Times New Roman"/>
          <w:bCs/>
          <w:szCs w:val="24"/>
        </w:rPr>
        <w:t>Zgodnie z treścią przepisu art. 5a ust. 1 ustawy o ubezpieczeniu społecznym rolników, rolnik lub domownik, który podlegając ubezpieczeniu w pełnym zakresie z mocy ustawy nieprzerwanie przez co najmniej 3 lata, rozpocznie prowadzenie pozarolniczej działalności gospodarczej lub rozpocznie współpracę przy prowadzeniu tej działalności, podlega nadal temu ubezpieczeniu w okresie prowadzenia pozarolniczej działalności gospodarczej lub współpracy przy prowadzeniu tej działalności, jeżeli spełnia jednocześnie następujące warunki:</w:t>
      </w:r>
    </w:p>
    <w:p w14:paraId="5B95EDC9" w14:textId="224CEAC8" w:rsidR="00966447" w:rsidRPr="004E533B" w:rsidRDefault="00966447" w:rsidP="004E533B">
      <w:pPr>
        <w:widowControl/>
        <w:suppressAutoHyphens/>
        <w:ind w:left="284" w:hanging="284"/>
        <w:jc w:val="both"/>
        <w:rPr>
          <w:rFonts w:cs="Times New Roman"/>
          <w:bCs/>
          <w:szCs w:val="24"/>
        </w:rPr>
      </w:pPr>
      <w:r w:rsidRPr="004E533B">
        <w:rPr>
          <w:rFonts w:cs="Times New Roman"/>
          <w:bCs/>
          <w:szCs w:val="24"/>
        </w:rPr>
        <w:t>1)</w:t>
      </w:r>
      <w:r>
        <w:rPr>
          <w:rFonts w:cs="Times New Roman"/>
          <w:bCs/>
          <w:szCs w:val="24"/>
        </w:rPr>
        <w:tab/>
      </w:r>
      <w:r w:rsidRPr="004E533B">
        <w:rPr>
          <w:rFonts w:cs="Times New Roman"/>
          <w:bCs/>
          <w:szCs w:val="24"/>
        </w:rPr>
        <w:t xml:space="preserve">złoży w Kasie Rolniczego Ubezpieczenia </w:t>
      </w:r>
      <w:r w:rsidR="00103E6D">
        <w:rPr>
          <w:rFonts w:cs="Times New Roman"/>
          <w:bCs/>
          <w:szCs w:val="24"/>
        </w:rPr>
        <w:t>S</w:t>
      </w:r>
      <w:r w:rsidRPr="004E533B">
        <w:rPr>
          <w:rFonts w:cs="Times New Roman"/>
          <w:bCs/>
          <w:szCs w:val="24"/>
        </w:rPr>
        <w:t>połecznego (</w:t>
      </w:r>
      <w:r w:rsidR="00C86CEA">
        <w:rPr>
          <w:rFonts w:cs="Times New Roman"/>
          <w:bCs/>
          <w:szCs w:val="24"/>
        </w:rPr>
        <w:t>dalej: „</w:t>
      </w:r>
      <w:r w:rsidRPr="004E533B">
        <w:rPr>
          <w:rFonts w:cs="Times New Roman"/>
          <w:bCs/>
          <w:szCs w:val="24"/>
        </w:rPr>
        <w:t>KRUS</w:t>
      </w:r>
      <w:r w:rsidR="00C86CEA">
        <w:rPr>
          <w:rFonts w:cs="Times New Roman"/>
          <w:bCs/>
          <w:szCs w:val="24"/>
        </w:rPr>
        <w:t>”</w:t>
      </w:r>
      <w:r w:rsidRPr="004E533B">
        <w:rPr>
          <w:rFonts w:cs="Times New Roman"/>
          <w:bCs/>
          <w:szCs w:val="24"/>
        </w:rPr>
        <w:t>) oświadczenie o kontynuowaniu tego ubezpieczenia w terminie 14 dni od dnia rozpoczęcia wykonywania pozarolniczej działalności gospodarczej lub współpracy przy tej działalności;</w:t>
      </w:r>
    </w:p>
    <w:p w14:paraId="21D01D8D" w14:textId="0560EBC8" w:rsidR="00966447" w:rsidRPr="004E533B" w:rsidRDefault="00966447" w:rsidP="004E533B">
      <w:pPr>
        <w:widowControl/>
        <w:suppressAutoHyphens/>
        <w:ind w:left="284" w:hanging="284"/>
        <w:jc w:val="both"/>
        <w:rPr>
          <w:rFonts w:cs="Times New Roman"/>
          <w:bCs/>
          <w:szCs w:val="24"/>
        </w:rPr>
      </w:pPr>
      <w:r w:rsidRPr="004E533B">
        <w:rPr>
          <w:rFonts w:cs="Times New Roman"/>
          <w:bCs/>
          <w:szCs w:val="24"/>
        </w:rPr>
        <w:t>2)</w:t>
      </w:r>
      <w:r>
        <w:rPr>
          <w:rFonts w:cs="Times New Roman"/>
          <w:bCs/>
          <w:szCs w:val="24"/>
        </w:rPr>
        <w:tab/>
      </w:r>
      <w:r w:rsidRPr="004E533B">
        <w:rPr>
          <w:rFonts w:cs="Times New Roman"/>
          <w:bCs/>
          <w:szCs w:val="24"/>
        </w:rPr>
        <w:t>jednocześnie nadal prowadzi działalność rolniczą lub stale pracuje w gospodarstwie rolnym, obejmującym obszar użytków rolnych powyżej 1 ha przeliczeniowego, lub w dziale specjalnym;</w:t>
      </w:r>
    </w:p>
    <w:p w14:paraId="480A626B" w14:textId="346930D8" w:rsidR="00966447" w:rsidRPr="004E533B" w:rsidRDefault="00966447" w:rsidP="004E533B">
      <w:pPr>
        <w:widowControl/>
        <w:suppressAutoHyphens/>
        <w:ind w:left="284" w:hanging="284"/>
        <w:jc w:val="both"/>
        <w:rPr>
          <w:rFonts w:cs="Times New Roman"/>
          <w:bCs/>
          <w:szCs w:val="24"/>
        </w:rPr>
      </w:pPr>
      <w:r w:rsidRPr="004E533B">
        <w:rPr>
          <w:rFonts w:cs="Times New Roman"/>
          <w:bCs/>
          <w:szCs w:val="24"/>
        </w:rPr>
        <w:t>3)</w:t>
      </w:r>
      <w:r>
        <w:rPr>
          <w:rFonts w:cs="Times New Roman"/>
          <w:bCs/>
          <w:szCs w:val="24"/>
        </w:rPr>
        <w:tab/>
      </w:r>
      <w:r w:rsidRPr="004E533B">
        <w:rPr>
          <w:rFonts w:cs="Times New Roman"/>
          <w:bCs/>
          <w:szCs w:val="24"/>
        </w:rPr>
        <w:t>nie jest pracownikiem i nie pozostaje w stosunku służbowym;</w:t>
      </w:r>
    </w:p>
    <w:p w14:paraId="516E858D" w14:textId="50DB5766" w:rsidR="00966447" w:rsidRPr="004E533B" w:rsidRDefault="00966447" w:rsidP="004E533B">
      <w:pPr>
        <w:widowControl/>
        <w:suppressAutoHyphens/>
        <w:ind w:left="284" w:hanging="284"/>
        <w:jc w:val="both"/>
        <w:rPr>
          <w:rFonts w:cs="Times New Roman"/>
          <w:bCs/>
          <w:szCs w:val="24"/>
        </w:rPr>
      </w:pPr>
      <w:r w:rsidRPr="004E533B">
        <w:rPr>
          <w:rFonts w:cs="Times New Roman"/>
          <w:bCs/>
          <w:szCs w:val="24"/>
        </w:rPr>
        <w:t>4)</w:t>
      </w:r>
      <w:r>
        <w:rPr>
          <w:rFonts w:cs="Times New Roman"/>
          <w:bCs/>
          <w:szCs w:val="24"/>
        </w:rPr>
        <w:tab/>
      </w:r>
      <w:r w:rsidRPr="004E533B">
        <w:rPr>
          <w:rFonts w:cs="Times New Roman"/>
          <w:bCs/>
          <w:szCs w:val="24"/>
        </w:rPr>
        <w:t>nie ma ustalonego prawa do emerytury lub renty albo do świadczeń z ubezpieczeń społecznych;</w:t>
      </w:r>
    </w:p>
    <w:p w14:paraId="18065488" w14:textId="233BA64C" w:rsidR="00966447" w:rsidRPr="004E533B" w:rsidRDefault="00966447" w:rsidP="004E533B">
      <w:pPr>
        <w:widowControl/>
        <w:suppressAutoHyphens/>
        <w:ind w:left="284" w:hanging="284"/>
        <w:jc w:val="both"/>
        <w:rPr>
          <w:rFonts w:cs="Times New Roman"/>
          <w:bCs/>
          <w:szCs w:val="24"/>
        </w:rPr>
      </w:pPr>
      <w:r w:rsidRPr="004E533B">
        <w:rPr>
          <w:rFonts w:cs="Times New Roman"/>
          <w:bCs/>
          <w:szCs w:val="24"/>
        </w:rPr>
        <w:t>5)</w:t>
      </w:r>
      <w:r>
        <w:rPr>
          <w:rFonts w:cs="Times New Roman"/>
          <w:bCs/>
          <w:szCs w:val="24"/>
        </w:rPr>
        <w:tab/>
      </w:r>
      <w:r w:rsidRPr="004E533B">
        <w:rPr>
          <w:rFonts w:cs="Times New Roman"/>
          <w:bCs/>
          <w:szCs w:val="24"/>
        </w:rPr>
        <w:t>kwota należnego podatku dochodowego za poprzedni rok podatkowy od przychodów z pozarolniczej działalności gospodarczej nie przekracza kwoty 3604 zł za rok 2021.</w:t>
      </w:r>
    </w:p>
    <w:p w14:paraId="45E5A4DF" w14:textId="7BD7B6F8" w:rsidR="00966447" w:rsidRPr="004E533B" w:rsidRDefault="00966447" w:rsidP="004E533B">
      <w:pPr>
        <w:widowControl/>
        <w:suppressAutoHyphens/>
        <w:spacing w:before="120"/>
        <w:jc w:val="both"/>
        <w:rPr>
          <w:rFonts w:cs="Times New Roman"/>
          <w:bCs/>
          <w:szCs w:val="24"/>
        </w:rPr>
      </w:pPr>
      <w:r w:rsidRPr="004E533B">
        <w:rPr>
          <w:rFonts w:cs="Times New Roman"/>
          <w:bCs/>
          <w:szCs w:val="24"/>
        </w:rPr>
        <w:lastRenderedPageBreak/>
        <w:t>W tym miejscu warto dodać, że skutkiem wyłączenia z ubezpieczenia społecznego rolników jest przerwanie 3-letniej ciągłości ubezpieczeniowej, wymaganej na gruncie przepis</w:t>
      </w:r>
      <w:r w:rsidR="0077774A">
        <w:rPr>
          <w:rFonts w:cs="Times New Roman"/>
          <w:bCs/>
          <w:szCs w:val="24"/>
        </w:rPr>
        <w:t>ów</w:t>
      </w:r>
      <w:r w:rsidRPr="004E533B">
        <w:rPr>
          <w:rFonts w:cs="Times New Roman"/>
          <w:bCs/>
          <w:szCs w:val="24"/>
        </w:rPr>
        <w:t xml:space="preserve"> art. 5a ust. 1</w:t>
      </w:r>
      <w:r w:rsidR="003775A6">
        <w:rPr>
          <w:rFonts w:cs="Times New Roman"/>
          <w:bCs/>
          <w:szCs w:val="24"/>
        </w:rPr>
        <w:t>,</w:t>
      </w:r>
      <w:r w:rsidRPr="004E533B">
        <w:rPr>
          <w:rFonts w:cs="Times New Roman"/>
          <w:bCs/>
          <w:szCs w:val="24"/>
        </w:rPr>
        <w:t xml:space="preserve"> niezbędnej dla uznania, że osoba ubezpieczona może podlegać ubezpieczeniu społecznemu rolników w okresie prowadzenia działalności pozarolniczej.</w:t>
      </w:r>
    </w:p>
    <w:p w14:paraId="15F2D316" w14:textId="378E2EAB" w:rsidR="00966447" w:rsidRPr="004E533B" w:rsidRDefault="00966447" w:rsidP="004E533B">
      <w:pPr>
        <w:widowControl/>
        <w:suppressAutoHyphens/>
        <w:spacing w:before="120"/>
        <w:jc w:val="both"/>
        <w:rPr>
          <w:rFonts w:cs="Times New Roman"/>
          <w:bCs/>
          <w:szCs w:val="24"/>
        </w:rPr>
      </w:pPr>
      <w:r w:rsidRPr="004E533B">
        <w:rPr>
          <w:rFonts w:cs="Times New Roman"/>
          <w:bCs/>
          <w:szCs w:val="24"/>
        </w:rPr>
        <w:t xml:space="preserve">Między innymi w celu uniknięcia tego typu incydentalnych przerw w ubezpieczeniu społecznym rolników ustawodawca wprowadził art. 5b w ustawie o ubezpieczeniu społecznym rolników. Zgodnie z art. 5b ust. 1 rolnik lub domownik, który podlegając ubezpieczeniu w pełnym zakresie z mocy ustawy, został objęty innym ubezpieczeniem społecznym z tytułu wykonywania umowy, o której mowa w </w:t>
      </w:r>
      <w:r w:rsidR="00344FB7" w:rsidRPr="004E533B">
        <w:rPr>
          <w:rFonts w:cs="Times New Roman"/>
          <w:bCs/>
          <w:szCs w:val="24"/>
        </w:rPr>
        <w:t>art. 6 ust. 1 pkt 4</w:t>
      </w:r>
      <w:r w:rsidRPr="004E533B">
        <w:rPr>
          <w:rFonts w:cs="Times New Roman"/>
          <w:bCs/>
          <w:szCs w:val="24"/>
        </w:rPr>
        <w:t xml:space="preserve"> ustawy z dnia 13 października 1998 r. o systemie ubezpieczeń społecznych (Dz. U. z 2021 r. </w:t>
      </w:r>
      <w:r w:rsidR="00C86CEA">
        <w:rPr>
          <w:rFonts w:cs="Times New Roman"/>
          <w:bCs/>
          <w:szCs w:val="24"/>
        </w:rPr>
        <w:t>poz. </w:t>
      </w:r>
      <w:r w:rsidRPr="004E533B">
        <w:rPr>
          <w:rFonts w:cs="Times New Roman"/>
          <w:bCs/>
          <w:szCs w:val="24"/>
        </w:rPr>
        <w:t xml:space="preserve">423, z </w:t>
      </w:r>
      <w:proofErr w:type="spellStart"/>
      <w:r w:rsidRPr="004E533B">
        <w:rPr>
          <w:rFonts w:cs="Times New Roman"/>
          <w:bCs/>
          <w:szCs w:val="24"/>
        </w:rPr>
        <w:t>późn</w:t>
      </w:r>
      <w:proofErr w:type="spellEnd"/>
      <w:r w:rsidRPr="004E533B">
        <w:rPr>
          <w:rFonts w:cs="Times New Roman"/>
          <w:bCs/>
          <w:szCs w:val="24"/>
        </w:rPr>
        <w:t xml:space="preserve">. zm.), lub powołania do rady nadzorczej, podlega nadal temu ubezpieczeniu w okresie wykonywania umowy, o której mowa w </w:t>
      </w:r>
      <w:r w:rsidR="00344FB7" w:rsidRPr="004E533B">
        <w:rPr>
          <w:rFonts w:cs="Times New Roman"/>
          <w:bCs/>
          <w:szCs w:val="24"/>
        </w:rPr>
        <w:t>art. 6 ust. 1 pkt 4</w:t>
      </w:r>
      <w:r w:rsidRPr="004E533B">
        <w:rPr>
          <w:rFonts w:cs="Times New Roman"/>
          <w:bCs/>
          <w:szCs w:val="24"/>
        </w:rPr>
        <w:t xml:space="preserve"> ustawy z dnia 13 października 1998 r. o systemie ubezpieczeń społecznych, lub pełnienia funkcji w radzie nadzorczej, pomimo objęcia go z tego tytułu innym ubezpieczeniem społecznym, jeżeli przychód osiągany z tego tytułu w rozliczeniu miesięcznym nie przekracza kwoty równej minimalnemu wynagrodzeniu za pracę, ustalonemu na podstawie odrębnych przepisów. Zaś w ust. 2 art. 5b </w:t>
      </w:r>
      <w:r w:rsidR="00B0626C" w:rsidRPr="004E533B">
        <w:rPr>
          <w:rFonts w:cs="Times New Roman"/>
          <w:bCs/>
          <w:szCs w:val="24"/>
        </w:rPr>
        <w:t xml:space="preserve">zostało </w:t>
      </w:r>
      <w:r w:rsidRPr="004E533B">
        <w:rPr>
          <w:rFonts w:cs="Times New Roman"/>
          <w:bCs/>
          <w:szCs w:val="24"/>
        </w:rPr>
        <w:t>wprowadzone rozwiązanie, zgodnie z którym rolnik lub domownik może w każdym czasie odstąpić od tego podwójnego ubezpieczenia, składając w KRUS oświadczenie o odstąpieniu od ubezpieczenia społecznego rolników, nie wcześniej jednak niż od dnia, w którym to oświadczenie zostało złożone w Kasie. Zatem to od decyzji rolnika lub domownika zależy</w:t>
      </w:r>
      <w:r w:rsidR="003921FD">
        <w:rPr>
          <w:rFonts w:cs="Times New Roman"/>
          <w:bCs/>
          <w:szCs w:val="24"/>
        </w:rPr>
        <w:t>,</w:t>
      </w:r>
      <w:r w:rsidRPr="004E533B">
        <w:rPr>
          <w:rFonts w:cs="Times New Roman"/>
          <w:bCs/>
          <w:szCs w:val="24"/>
        </w:rPr>
        <w:t xml:space="preserve"> czy zależy mu na nieprzerwanym okresie ubezpieczenia w KRUS, co może być w jego interesie, choćby ze względu na wymóg nieprzerwanego ubezpieczenia w celu dalszego podlegania temu ubezpieczeniu po rozpoczęciu prowadzenia pozarolniczej działalności gospodarczej.</w:t>
      </w:r>
    </w:p>
    <w:p w14:paraId="1F989ED4" w14:textId="64A12A30" w:rsidR="00966447" w:rsidRPr="004E533B" w:rsidRDefault="00966447" w:rsidP="004E533B">
      <w:pPr>
        <w:widowControl/>
        <w:suppressAutoHyphens/>
        <w:spacing w:before="120"/>
        <w:jc w:val="both"/>
        <w:rPr>
          <w:rFonts w:cs="Times New Roman"/>
          <w:bCs/>
          <w:szCs w:val="24"/>
        </w:rPr>
      </w:pPr>
      <w:r w:rsidRPr="004E533B">
        <w:rPr>
          <w:rFonts w:cs="Times New Roman"/>
          <w:bCs/>
          <w:szCs w:val="24"/>
        </w:rPr>
        <w:t xml:space="preserve">Należy zaznaczyć, że przepisy dotyczące poszczególnych reżimów ubezpieczeń społecznych są konstruowane w ten sposób, aby poszczególne tytuły ubezpieczeń </w:t>
      </w:r>
      <w:r w:rsidR="003313F8" w:rsidRPr="004E533B">
        <w:rPr>
          <w:rFonts w:cs="Times New Roman"/>
          <w:bCs/>
          <w:szCs w:val="24"/>
        </w:rPr>
        <w:t xml:space="preserve">były </w:t>
      </w:r>
      <w:r w:rsidRPr="004E533B">
        <w:rPr>
          <w:rFonts w:cs="Times New Roman"/>
          <w:bCs/>
          <w:szCs w:val="24"/>
        </w:rPr>
        <w:t>związane z osiąganiem przez daną osobę przychodów, które można określić mianem stałych, czyli chodzi o to, żeby stanowiły one faktyczne źródło przychodu ubezpieczonego.</w:t>
      </w:r>
    </w:p>
    <w:p w14:paraId="3D11E875" w14:textId="15DC6C00" w:rsidR="00966447" w:rsidRPr="004E533B" w:rsidRDefault="00966447" w:rsidP="004E533B">
      <w:pPr>
        <w:widowControl/>
        <w:suppressAutoHyphens/>
        <w:spacing w:before="120"/>
        <w:jc w:val="both"/>
        <w:rPr>
          <w:rFonts w:cs="Times New Roman"/>
          <w:bCs/>
          <w:szCs w:val="24"/>
        </w:rPr>
      </w:pPr>
      <w:r w:rsidRPr="004E533B">
        <w:rPr>
          <w:rFonts w:cs="Times New Roman"/>
          <w:bCs/>
          <w:szCs w:val="24"/>
        </w:rPr>
        <w:t xml:space="preserve">Zatem </w:t>
      </w:r>
      <w:r w:rsidR="00063A50" w:rsidRPr="004E533B">
        <w:rPr>
          <w:rFonts w:cs="Times New Roman"/>
          <w:bCs/>
          <w:szCs w:val="24"/>
        </w:rPr>
        <w:t xml:space="preserve">było </w:t>
      </w:r>
      <w:r w:rsidRPr="004E533B">
        <w:rPr>
          <w:rFonts w:cs="Times New Roman"/>
          <w:bCs/>
          <w:szCs w:val="24"/>
        </w:rPr>
        <w:t xml:space="preserve">uzasadnione wprowadzenie rozwiązań w art. 5b ustawy o ubezpieczeniu społecznym rolników zmierzających do wyeliminowania patologicznych sytuacji na </w:t>
      </w:r>
      <w:r w:rsidRPr="004E533B">
        <w:rPr>
          <w:rFonts w:cs="Times New Roman"/>
          <w:bCs/>
          <w:szCs w:val="24"/>
        </w:rPr>
        <w:lastRenderedPageBreak/>
        <w:t>gruncie zbiegu określonych tytułów do ubezpieczenia powszechnego i rolniczego, gdzie podstawowy tytuł do ubezpieczenia rolniczego ustępował przed tytułem do ubezpieczenia w systemie powszechnym i który często był pochodną krótkotrwałych i niskopłatnych zajęć.</w:t>
      </w:r>
    </w:p>
    <w:p w14:paraId="730FA83E" w14:textId="4427F971" w:rsidR="00966447" w:rsidRPr="004E533B" w:rsidRDefault="00966447" w:rsidP="004E533B">
      <w:pPr>
        <w:widowControl/>
        <w:suppressAutoHyphens/>
        <w:spacing w:before="120"/>
        <w:jc w:val="both"/>
        <w:rPr>
          <w:rFonts w:cs="Times New Roman"/>
          <w:bCs/>
          <w:szCs w:val="24"/>
        </w:rPr>
      </w:pPr>
      <w:r w:rsidRPr="004E533B">
        <w:rPr>
          <w:rFonts w:cs="Times New Roman"/>
          <w:bCs/>
          <w:szCs w:val="24"/>
        </w:rPr>
        <w:t xml:space="preserve">W związku z tym, </w:t>
      </w:r>
      <w:r w:rsidR="0052429E">
        <w:rPr>
          <w:rFonts w:cs="Times New Roman"/>
          <w:bCs/>
          <w:szCs w:val="24"/>
        </w:rPr>
        <w:t>że</w:t>
      </w:r>
      <w:r w:rsidRPr="004E533B">
        <w:rPr>
          <w:rFonts w:cs="Times New Roman"/>
          <w:bCs/>
          <w:szCs w:val="24"/>
        </w:rPr>
        <w:t xml:space="preserve"> tego typu tytułów w systemie powszechnym jest więcej</w:t>
      </w:r>
      <w:r w:rsidR="00ED274B">
        <w:rPr>
          <w:rFonts w:cs="Times New Roman"/>
          <w:bCs/>
          <w:szCs w:val="24"/>
        </w:rPr>
        <w:t>,</w:t>
      </w:r>
      <w:r w:rsidRPr="004E533B">
        <w:rPr>
          <w:rFonts w:cs="Times New Roman"/>
          <w:bCs/>
          <w:szCs w:val="24"/>
        </w:rPr>
        <w:t xml:space="preserve"> dlatego w niniejszym projekcie ustawy zaproponowano, w art. 1 pkt 1, dalsze rozszerzenie zakresu podmiotowego ustawy o ubezpieczeniu społecznym rolników o osoby (rolników i domowników), które równolegle z prowadzeniem działalności rolniczej posiadają tytuł do podlegania ubezpieczeniu w systemie powszechnym, ze względu na:</w:t>
      </w:r>
    </w:p>
    <w:p w14:paraId="3AB64743" w14:textId="3601F17B" w:rsidR="00966447" w:rsidRPr="004E533B" w:rsidRDefault="00966447" w:rsidP="004E533B">
      <w:pPr>
        <w:widowControl/>
        <w:suppressAutoHyphens/>
        <w:ind w:left="284" w:hanging="284"/>
        <w:jc w:val="both"/>
        <w:rPr>
          <w:rFonts w:cs="Times New Roman"/>
          <w:bCs/>
          <w:szCs w:val="24"/>
        </w:rPr>
      </w:pPr>
      <w:r w:rsidRPr="004E533B">
        <w:rPr>
          <w:rFonts w:cs="Times New Roman"/>
          <w:bCs/>
          <w:szCs w:val="24"/>
        </w:rPr>
        <w:t>1)</w:t>
      </w:r>
      <w:r>
        <w:rPr>
          <w:rFonts w:cs="Times New Roman"/>
          <w:bCs/>
          <w:szCs w:val="24"/>
        </w:rPr>
        <w:tab/>
      </w:r>
      <w:r w:rsidRPr="004E533B">
        <w:rPr>
          <w:rFonts w:cs="Times New Roman"/>
          <w:bCs/>
          <w:szCs w:val="24"/>
        </w:rPr>
        <w:t xml:space="preserve">pobieranie świadczenia integracyjnego lub stypendium w okresie odbywania szkolenia, stażu lub przygotowania zawodowego dorosłych, na które zostali skierowani przez powiatowy urząd pracy, o których mowa w </w:t>
      </w:r>
      <w:r w:rsidR="00344FB7" w:rsidRPr="004E533B">
        <w:rPr>
          <w:rFonts w:cs="Times New Roman"/>
          <w:bCs/>
          <w:szCs w:val="24"/>
        </w:rPr>
        <w:t xml:space="preserve">art. 6 ust. 1 pkt </w:t>
      </w:r>
      <w:r w:rsidRPr="004E533B">
        <w:rPr>
          <w:rFonts w:cs="Times New Roman"/>
          <w:bCs/>
          <w:szCs w:val="24"/>
        </w:rPr>
        <w:t>9 ustawy z dnia 13 października 1998 r. o systemie ubezpieczeń społecznych;</w:t>
      </w:r>
    </w:p>
    <w:p w14:paraId="7DD8AF2D" w14:textId="18B7B8E4" w:rsidR="00966447" w:rsidRPr="004E533B" w:rsidRDefault="00966447" w:rsidP="004E533B">
      <w:pPr>
        <w:widowControl/>
        <w:suppressAutoHyphens/>
        <w:ind w:left="284" w:hanging="284"/>
        <w:jc w:val="both"/>
        <w:rPr>
          <w:rFonts w:cs="Times New Roman"/>
          <w:bCs/>
          <w:szCs w:val="24"/>
        </w:rPr>
      </w:pPr>
      <w:r w:rsidRPr="004E533B">
        <w:rPr>
          <w:rFonts w:cs="Times New Roman"/>
          <w:bCs/>
          <w:szCs w:val="24"/>
        </w:rPr>
        <w:t>2)</w:t>
      </w:r>
      <w:r>
        <w:rPr>
          <w:rFonts w:cs="Times New Roman"/>
          <w:bCs/>
          <w:szCs w:val="24"/>
        </w:rPr>
        <w:tab/>
      </w:r>
      <w:r w:rsidRPr="004E533B">
        <w:rPr>
          <w:rFonts w:cs="Times New Roman"/>
          <w:bCs/>
          <w:szCs w:val="24"/>
        </w:rPr>
        <w:t xml:space="preserve">pobieranie stypendium w okresie odbywania szkolenia, stażu lub przygotowania zawodowego dorosłych, na które zostali skierowani przez inne niż powiatowy urząd pracy podmioty kierujące na szkolenie, staż lub przygotowanie zawodowe dorosłych, o którym mowa w </w:t>
      </w:r>
      <w:r w:rsidR="00344FB7" w:rsidRPr="004E533B">
        <w:rPr>
          <w:rFonts w:cs="Times New Roman"/>
          <w:bCs/>
          <w:szCs w:val="24"/>
        </w:rPr>
        <w:t xml:space="preserve">art. 6 ust. 1 pkt </w:t>
      </w:r>
      <w:r w:rsidRPr="004E533B">
        <w:rPr>
          <w:rFonts w:cs="Times New Roman"/>
          <w:bCs/>
          <w:szCs w:val="24"/>
        </w:rPr>
        <w:t>9a ustawy z dnia 13 października 1998 r. o systemie ubezpieczeń społecznych;</w:t>
      </w:r>
    </w:p>
    <w:p w14:paraId="7CC54961" w14:textId="687E0415" w:rsidR="00966447" w:rsidRPr="004E533B" w:rsidRDefault="00966447" w:rsidP="004E533B">
      <w:pPr>
        <w:widowControl/>
        <w:suppressAutoHyphens/>
        <w:ind w:left="284" w:hanging="284"/>
        <w:jc w:val="both"/>
        <w:rPr>
          <w:rFonts w:cs="Times New Roman"/>
          <w:bCs/>
          <w:szCs w:val="24"/>
        </w:rPr>
      </w:pPr>
      <w:r w:rsidRPr="004E533B">
        <w:rPr>
          <w:rFonts w:cs="Times New Roman"/>
          <w:bCs/>
          <w:szCs w:val="24"/>
        </w:rPr>
        <w:t>3)</w:t>
      </w:r>
      <w:r>
        <w:rPr>
          <w:rFonts w:cs="Times New Roman"/>
          <w:bCs/>
          <w:szCs w:val="24"/>
        </w:rPr>
        <w:tab/>
      </w:r>
      <w:r w:rsidRPr="004E533B">
        <w:rPr>
          <w:rFonts w:cs="Times New Roman"/>
          <w:bCs/>
          <w:szCs w:val="24"/>
        </w:rPr>
        <w:t xml:space="preserve">pobieranie stypendium na podstawie przepisów o promocji zatrudnienia i instytucjach rynku pracy w okresie odbywania studiów podyplomowych, o którym mowa w </w:t>
      </w:r>
      <w:r w:rsidR="00344FB7" w:rsidRPr="004E533B">
        <w:rPr>
          <w:rFonts w:cs="Times New Roman"/>
          <w:bCs/>
          <w:szCs w:val="24"/>
        </w:rPr>
        <w:t xml:space="preserve">art. 6 ust. 1 pkt </w:t>
      </w:r>
      <w:r w:rsidRPr="004E533B">
        <w:rPr>
          <w:rFonts w:cs="Times New Roman"/>
          <w:bCs/>
          <w:szCs w:val="24"/>
        </w:rPr>
        <w:t>9b ustawy z dnia 13 października 1998 r. o systemie ubezpieczeń społecznych;</w:t>
      </w:r>
    </w:p>
    <w:p w14:paraId="379D0E24" w14:textId="3A378E1C" w:rsidR="00966447" w:rsidRPr="004E533B" w:rsidRDefault="00966447" w:rsidP="004E533B">
      <w:pPr>
        <w:widowControl/>
        <w:suppressAutoHyphens/>
        <w:ind w:left="284" w:hanging="284"/>
        <w:jc w:val="both"/>
        <w:rPr>
          <w:rFonts w:cs="Times New Roman"/>
          <w:bCs/>
          <w:szCs w:val="24"/>
        </w:rPr>
      </w:pPr>
      <w:r w:rsidRPr="004E533B">
        <w:rPr>
          <w:rFonts w:cs="Times New Roman"/>
          <w:bCs/>
          <w:szCs w:val="24"/>
        </w:rPr>
        <w:t>4)</w:t>
      </w:r>
      <w:r>
        <w:rPr>
          <w:rFonts w:cs="Times New Roman"/>
          <w:bCs/>
          <w:szCs w:val="24"/>
        </w:rPr>
        <w:tab/>
      </w:r>
      <w:r w:rsidRPr="004E533B">
        <w:rPr>
          <w:rFonts w:cs="Times New Roman"/>
          <w:bCs/>
          <w:szCs w:val="24"/>
        </w:rPr>
        <w:t xml:space="preserve">pełnienie czynnej służby wojskowej jako żołnierz niezawodowy, o której mowa w </w:t>
      </w:r>
      <w:r w:rsidR="00344FB7" w:rsidRPr="004E533B">
        <w:rPr>
          <w:rFonts w:cs="Times New Roman"/>
          <w:bCs/>
          <w:szCs w:val="24"/>
        </w:rPr>
        <w:t xml:space="preserve">art. 6 ust. 1 pkt </w:t>
      </w:r>
      <w:r w:rsidRPr="004E533B">
        <w:rPr>
          <w:rFonts w:cs="Times New Roman"/>
          <w:bCs/>
          <w:szCs w:val="24"/>
        </w:rPr>
        <w:t>11 ustawy z dnia 13 października 1998 r. o systemie ubezpieczeń społecznych;</w:t>
      </w:r>
    </w:p>
    <w:p w14:paraId="1F345751" w14:textId="5ABF70BB" w:rsidR="00966447" w:rsidRPr="004E533B" w:rsidRDefault="00966447" w:rsidP="004E533B">
      <w:pPr>
        <w:widowControl/>
        <w:suppressAutoHyphens/>
        <w:ind w:left="284" w:hanging="284"/>
        <w:jc w:val="both"/>
        <w:rPr>
          <w:rFonts w:cs="Times New Roman"/>
          <w:bCs/>
          <w:szCs w:val="24"/>
        </w:rPr>
      </w:pPr>
      <w:r w:rsidRPr="004E533B">
        <w:rPr>
          <w:rFonts w:cs="Times New Roman"/>
          <w:bCs/>
          <w:szCs w:val="24"/>
        </w:rPr>
        <w:t>5)</w:t>
      </w:r>
      <w:r>
        <w:rPr>
          <w:rFonts w:cs="Times New Roman"/>
          <w:bCs/>
          <w:szCs w:val="24"/>
        </w:rPr>
        <w:tab/>
      </w:r>
      <w:r w:rsidRPr="004E533B">
        <w:rPr>
          <w:rFonts w:cs="Times New Roman"/>
          <w:bCs/>
          <w:szCs w:val="24"/>
        </w:rPr>
        <w:t xml:space="preserve">odbywanie służby zastępczej, o której mowa w </w:t>
      </w:r>
      <w:r w:rsidR="00344FB7" w:rsidRPr="004E533B">
        <w:rPr>
          <w:rFonts w:cs="Times New Roman"/>
          <w:bCs/>
          <w:szCs w:val="24"/>
        </w:rPr>
        <w:t xml:space="preserve">art. 6 ust. 1 pkt </w:t>
      </w:r>
      <w:r w:rsidRPr="004E533B">
        <w:rPr>
          <w:rFonts w:cs="Times New Roman"/>
          <w:bCs/>
          <w:szCs w:val="24"/>
        </w:rPr>
        <w:t>12 ustawy z dnia 13 października 1998 r. o systemie ubezpieczeń społecznych.</w:t>
      </w:r>
    </w:p>
    <w:p w14:paraId="360688E8" w14:textId="2941F137" w:rsidR="00966447" w:rsidRPr="004E533B" w:rsidRDefault="00966447" w:rsidP="004E533B">
      <w:pPr>
        <w:widowControl/>
        <w:suppressAutoHyphens/>
        <w:spacing w:before="120"/>
        <w:jc w:val="both"/>
        <w:rPr>
          <w:rFonts w:cs="Times New Roman"/>
          <w:bCs/>
          <w:szCs w:val="24"/>
        </w:rPr>
      </w:pPr>
      <w:r w:rsidRPr="004E533B">
        <w:rPr>
          <w:rFonts w:cs="Times New Roman"/>
          <w:bCs/>
          <w:szCs w:val="24"/>
        </w:rPr>
        <w:t>Należy mieć na względzie, że chociażby okres odbywania szkolenia, stażu lub przygotowania zawodowego dorosłych, na które zostali skierowani przez powiatowy urząd pracy</w:t>
      </w:r>
      <w:r w:rsidR="007B4179">
        <w:rPr>
          <w:rFonts w:cs="Times New Roman"/>
          <w:bCs/>
          <w:szCs w:val="24"/>
        </w:rPr>
        <w:t>,</w:t>
      </w:r>
      <w:r w:rsidRPr="004E533B">
        <w:rPr>
          <w:rFonts w:cs="Times New Roman"/>
          <w:bCs/>
          <w:szCs w:val="24"/>
        </w:rPr>
        <w:t xml:space="preserve"> łączy się nierozerwalnie </w:t>
      </w:r>
      <w:r w:rsidR="00961E4C">
        <w:rPr>
          <w:rFonts w:cs="Times New Roman"/>
          <w:bCs/>
          <w:szCs w:val="24"/>
        </w:rPr>
        <w:t xml:space="preserve">z </w:t>
      </w:r>
      <w:r w:rsidRPr="004E533B">
        <w:rPr>
          <w:rFonts w:cs="Times New Roman"/>
          <w:bCs/>
          <w:szCs w:val="24"/>
        </w:rPr>
        <w:t xml:space="preserve">pobieraniem świadczenia integracyjnego lub stypendium, a to z kolei wpływa na ustanie ubezpieczenia rolniczego, gdyż w tym okresie dana osoba podlega ubezpieczeniu w powszechnym systemie ubezpieczeń społecznych. Często osoby te podejmują szkolenia w celu nabycia nowych kwalifikacji i planują </w:t>
      </w:r>
      <w:r w:rsidRPr="004E533B">
        <w:rPr>
          <w:rFonts w:cs="Times New Roman"/>
          <w:bCs/>
          <w:szCs w:val="24"/>
        </w:rPr>
        <w:lastRenderedPageBreak/>
        <w:t xml:space="preserve">następnie podjąć działalność pozarolniczą. Planują także nadal podlegać ubezpieczeniu społecznemu rolników, gdyż głównym przedmiotem ich działalności, przynajmniej w początkowym okresie, będzie działalność rolnicza. Obowiązujące regulacje uniemożliwiają im to i tym samym prowadzą do wydania rozstrzygnięcia niesprawiedliwego, naruszającego zasadę zaufania obywateli do państwa i stanowionego przez nie prawa. Proponowane rozwiązania mają na celu wyeliminowanie przeszkód do rozpoczynania choćby działalności pozarolniczej, co w konsekwencji zapewne będzie służyło poprawie mobilności zawodowej wśród rolników, gdyż będą mogli zdobywać umiejętności na pozarolniczym rynku pracy. Jest to zgodne z formułowanymi od wielu lat zaleceniami Rady Unii Europejskiej wydawanymi w ramach Semestru Europejskiego w odniesieniu do ubezpieczenia społecznego rolników. Wszystkie proponowane nowe tytuły do podlegania jednocześnie ubezpieczeniu w systemie rolnym i pozarolniczym zmierzają do tego, aby stworzyć gwarancje dla obywateli, że realizując swoje, wynikające z przepisów prawnych, uprawnienie jak choćby służba w terytorialnej służbie wojskowej, nie będą wyłączały często wbrew swojej woli i interesowi z ubezpieczenia społecznego rolników, przy czym trudno jest uznać, aby włączenie wyłącznie do powszechnego systemu ubezpieczeń miało uzasadnione podstawy. </w:t>
      </w:r>
    </w:p>
    <w:p w14:paraId="33BEF4E3" w14:textId="2D97A91F" w:rsidR="00966447" w:rsidRPr="004E533B" w:rsidRDefault="00966447" w:rsidP="004E533B">
      <w:pPr>
        <w:widowControl/>
        <w:suppressAutoHyphens/>
        <w:spacing w:before="120"/>
        <w:jc w:val="both"/>
        <w:rPr>
          <w:rFonts w:cs="Times New Roman"/>
          <w:szCs w:val="24"/>
        </w:rPr>
      </w:pPr>
      <w:r w:rsidRPr="004E533B">
        <w:rPr>
          <w:rFonts w:cs="Times New Roman"/>
          <w:szCs w:val="24"/>
        </w:rPr>
        <w:t>Zaproponowane dodanie art. 5c umożliwi stworzenie katalogu zupełnego wyjątków od zasady, zgodnie z którą ubezpieczenie społeczne rolników ustępuje przed ubezpieczeniem w systemie powszechnym. Oznacza to, że niezależnie od rozmiarów działalności będącej przedmiotem ubezpieczenia w systemie powszechnym ubezpieczenie społeczne rolników ustawało. Wyjątki od tej zasady zostały wprowadzone w obecnie obowiązujący</w:t>
      </w:r>
      <w:r w:rsidR="00602789">
        <w:rPr>
          <w:rFonts w:cs="Times New Roman"/>
          <w:szCs w:val="24"/>
        </w:rPr>
        <w:t>m</w:t>
      </w:r>
      <w:r w:rsidRPr="004E533B">
        <w:rPr>
          <w:rFonts w:cs="Times New Roman"/>
          <w:szCs w:val="24"/>
        </w:rPr>
        <w:t xml:space="preserve"> art. 5a i art. 5b ustawy o ubezpieczeniu społecznym rolników</w:t>
      </w:r>
      <w:r w:rsidR="00BB60F5">
        <w:rPr>
          <w:rFonts w:cs="Times New Roman"/>
          <w:szCs w:val="24"/>
        </w:rPr>
        <w:t>,</w:t>
      </w:r>
      <w:r w:rsidRPr="004E533B">
        <w:rPr>
          <w:rFonts w:cs="Times New Roman"/>
          <w:szCs w:val="24"/>
        </w:rPr>
        <w:t xml:space="preserve"> a planowane dodanie art. 5c domknie ten katalog wyjątków charakteryzujących się wspólną cechą, że głównym źródłem utrzymania jest działalność rolnicza, a działalność pozarolnicza ma charakter marginalny.</w:t>
      </w:r>
    </w:p>
    <w:p w14:paraId="3FC582AE" w14:textId="77777777" w:rsidR="00966447" w:rsidRPr="004E533B" w:rsidRDefault="00966447" w:rsidP="004E533B">
      <w:pPr>
        <w:widowControl/>
        <w:suppressAutoHyphens/>
        <w:spacing w:before="120"/>
        <w:jc w:val="both"/>
        <w:rPr>
          <w:rFonts w:cs="Times New Roman"/>
          <w:szCs w:val="24"/>
        </w:rPr>
      </w:pPr>
      <w:r w:rsidRPr="004E533B">
        <w:rPr>
          <w:rFonts w:cs="Times New Roman"/>
          <w:szCs w:val="24"/>
        </w:rPr>
        <w:t>Zmiana zaproponowana w art. 14 ust. 7 pkt 1 ustawy o ubezpieczeniu społecznym rolników jest konsekwencją potrzeby uaktualnienia nazewnictwa używanego w ustawie, tym samym ma charakter czysto porządkujący. Należy zaznaczyć, że ta zmiana nie ma bezpośredniego związku ze zmianą proponowaną w art. 64 ustawy o ubezpieczeniu społecznym rolników i przewidzianym tam rozszerzeniem zakresu podmiotowego tej ustawy.</w:t>
      </w:r>
    </w:p>
    <w:p w14:paraId="17331B5D" w14:textId="2E3FE3F4" w:rsidR="00966447" w:rsidRPr="004E533B" w:rsidRDefault="00966447" w:rsidP="004E533B">
      <w:pPr>
        <w:widowControl/>
        <w:suppressAutoHyphens/>
        <w:spacing w:before="120"/>
        <w:jc w:val="both"/>
        <w:rPr>
          <w:rFonts w:cs="Times New Roman"/>
          <w:szCs w:val="24"/>
        </w:rPr>
      </w:pPr>
      <w:r w:rsidRPr="004E533B">
        <w:rPr>
          <w:rFonts w:cs="Times New Roman"/>
          <w:szCs w:val="24"/>
        </w:rPr>
        <w:lastRenderedPageBreak/>
        <w:t>W art. 16 ust. 3 została zawarta propozycja, zgodnie z którą tytuł do podlegania ubezpieczeniu emerytalno-rentowemu z mocy ustawy będzie stanowiło również prowadzenie działalności rolniczej przez osoby uprawnione do emerytury rolniczej. Jest to konsekwencja zmiany w art. 28, zgodnie z któr</w:t>
      </w:r>
      <w:r w:rsidR="00B854B1">
        <w:rPr>
          <w:rFonts w:cs="Times New Roman"/>
          <w:szCs w:val="24"/>
        </w:rPr>
        <w:t>ą</w:t>
      </w:r>
      <w:r w:rsidRPr="004E533B">
        <w:rPr>
          <w:rFonts w:cs="Times New Roman"/>
          <w:szCs w:val="24"/>
        </w:rPr>
        <w:t xml:space="preserve"> nie będzie już dochodziło do zawieszania wypłaty części uzupełniającej emerytury rolniczej, jeżeli emeryt nie zaprzestanie prowadzenia działalności rolniczej. W ten sposób będzie nadal istniał czynnik wpływający w umiarkowany sposób na wymianę pokoleń, a z drugiej strony emeryci osiągający dochody z emerytury oraz z działalności rolniczej będą mieć większy udział w finansowaniu systemu ubezpieczenia, który tylko w niewielkim stopniu jest finansowany ze składek ubezpieczonych. </w:t>
      </w:r>
    </w:p>
    <w:p w14:paraId="1EAD8392" w14:textId="6418CB60" w:rsidR="00966447" w:rsidRPr="004E533B" w:rsidRDefault="00966447" w:rsidP="004E533B">
      <w:pPr>
        <w:widowControl/>
        <w:suppressAutoHyphens/>
        <w:spacing w:before="120"/>
        <w:jc w:val="both"/>
        <w:rPr>
          <w:rFonts w:cs="Times New Roman"/>
          <w:bCs/>
          <w:szCs w:val="24"/>
        </w:rPr>
      </w:pPr>
      <w:r w:rsidRPr="004E533B">
        <w:rPr>
          <w:rFonts w:cs="Times New Roman"/>
          <w:bCs/>
          <w:szCs w:val="24"/>
        </w:rPr>
        <w:t xml:space="preserve">Zmiana zaproponowana w art. 21 sprowadza się do przyjęcia mechanizmu analogicznego jak w systemie powszechnym. Zatem i w systemie rolniczym osoby z długim stażem ubezpieczeniowym (co najmniej 25 lat), które stały się całkowicie niezdolne do pracy w gospodarstwie rolnym oraz nie ukończyły wieku emerytalnego, nie powinny być pozbawione prawa do renty rolniczej, nawet jeśli w ostatnim okresie nie podlegały rolniczemu ubezpieczeniu emerytalno-rentowemu. Ponadto świadczenie takie </w:t>
      </w:r>
      <w:r w:rsidR="006B01C5" w:rsidRPr="004E533B">
        <w:rPr>
          <w:rFonts w:cs="Times New Roman"/>
          <w:bCs/>
          <w:szCs w:val="24"/>
        </w:rPr>
        <w:t xml:space="preserve">będzie </w:t>
      </w:r>
      <w:r w:rsidRPr="004E533B">
        <w:rPr>
          <w:rFonts w:cs="Times New Roman"/>
          <w:bCs/>
          <w:szCs w:val="24"/>
        </w:rPr>
        <w:t>wypłacane tylko przez określony czas, do osiągnięcia wieku emerytalnego, ponieważ wówczas osoba uprawniona uzyska prawo do emerytury rolniczej.</w:t>
      </w:r>
    </w:p>
    <w:p w14:paraId="019D4824" w14:textId="7D728FB0" w:rsidR="00966447" w:rsidRPr="004E533B" w:rsidRDefault="00966447" w:rsidP="004E533B">
      <w:pPr>
        <w:widowControl/>
        <w:suppressAutoHyphens/>
        <w:spacing w:before="120"/>
        <w:jc w:val="both"/>
        <w:rPr>
          <w:rFonts w:cs="Times New Roman"/>
          <w:bCs/>
          <w:szCs w:val="24"/>
        </w:rPr>
      </w:pPr>
      <w:r w:rsidRPr="004E533B">
        <w:rPr>
          <w:rFonts w:cs="Times New Roman"/>
          <w:bCs/>
          <w:szCs w:val="24"/>
        </w:rPr>
        <w:t xml:space="preserve">Kolejna zaproponowana zmiana w art. 25 ust. 2b ustawy o ubezpieczeniu społecznym rolników jest konsekwencją tego, że na podstawie przepisów ustawy z dnia 21 listopada 2008 r. o emeryturach kapitałowych (Dz. U. z 2018 r. poz. 926) </w:t>
      </w:r>
      <w:r w:rsidR="002B0288" w:rsidRPr="004E533B">
        <w:rPr>
          <w:rFonts w:cs="Times New Roman"/>
          <w:bCs/>
          <w:szCs w:val="24"/>
        </w:rPr>
        <w:t xml:space="preserve">została </w:t>
      </w:r>
      <w:r w:rsidRPr="004E533B">
        <w:rPr>
          <w:rFonts w:cs="Times New Roman"/>
          <w:bCs/>
          <w:szCs w:val="24"/>
        </w:rPr>
        <w:t xml:space="preserve">wprowadzona zmiana w ustawie o ubezpieczeniu społecznym rolników, dotycząca wyeliminowania możliwości zaliczania do wysokości części składkowej emerytury rolniczej okresów odbywania czynnej służby wojskowej w Wojsku Polskim lub okresów jej równorzędnych albo okresów zastępczych form tej służby przypadających przed dniem 1 stycznia 1999 r. Zmiana w tym zakresie miała na celu wyeliminowanie wszystkich okresów niezwiązanych z okresem działalności rolniczej i w konsekwencji z podleganiem ubezpieczeniu społecznemu rolników. W związku z tym obecnie wysokość i prawo do świadczeń emerytalnych rolniczych zostały uzależnione wyłącznie od okresów ubezpieczenia społecznego rolników. Z kolei wszystkie inne okresy mają wpływ na wysokość świadczeń z powszechnego systemu emerytalnego realizowanych przez </w:t>
      </w:r>
      <w:r w:rsidR="00DA4DFE">
        <w:rPr>
          <w:rFonts w:cs="Times New Roman"/>
          <w:bCs/>
          <w:szCs w:val="24"/>
        </w:rPr>
        <w:t>Zakład Ubezpieczeń Społecznych (dalej: „</w:t>
      </w:r>
      <w:r w:rsidRPr="004E533B">
        <w:rPr>
          <w:rFonts w:cs="Times New Roman"/>
          <w:bCs/>
          <w:szCs w:val="24"/>
        </w:rPr>
        <w:t>ZUS</w:t>
      </w:r>
      <w:r w:rsidR="00DA4DFE">
        <w:rPr>
          <w:rFonts w:cs="Times New Roman"/>
          <w:bCs/>
          <w:szCs w:val="24"/>
        </w:rPr>
        <w:t>”)</w:t>
      </w:r>
      <w:r w:rsidRPr="004E533B">
        <w:rPr>
          <w:rFonts w:cs="Times New Roman"/>
          <w:bCs/>
          <w:szCs w:val="24"/>
        </w:rPr>
        <w:t>. W konsekwencji, zgodnie z przepisami ustawy z dnia 17 grudnia 1998 r. o emeryturach i rentach z F</w:t>
      </w:r>
      <w:r w:rsidR="00DB6C06">
        <w:rPr>
          <w:rFonts w:cs="Times New Roman"/>
          <w:bCs/>
          <w:szCs w:val="24"/>
        </w:rPr>
        <w:t>unduszu</w:t>
      </w:r>
      <w:r w:rsidR="00DB6C06" w:rsidRPr="00DB6C06">
        <w:rPr>
          <w:rFonts w:cs="Times New Roman"/>
          <w:bCs/>
          <w:szCs w:val="24"/>
        </w:rPr>
        <w:t xml:space="preserve"> </w:t>
      </w:r>
      <w:r w:rsidR="00DB6C06">
        <w:rPr>
          <w:rFonts w:cs="Times New Roman"/>
          <w:bCs/>
          <w:szCs w:val="24"/>
        </w:rPr>
        <w:t>U</w:t>
      </w:r>
      <w:r w:rsidR="00DB6C06" w:rsidRPr="004E533B">
        <w:rPr>
          <w:rFonts w:cs="Times New Roman"/>
          <w:bCs/>
          <w:szCs w:val="24"/>
        </w:rPr>
        <w:t xml:space="preserve">bezpieczeń </w:t>
      </w:r>
      <w:r w:rsidR="00DB6C06">
        <w:rPr>
          <w:rFonts w:cs="Times New Roman"/>
          <w:bCs/>
          <w:szCs w:val="24"/>
        </w:rPr>
        <w:lastRenderedPageBreak/>
        <w:t>S</w:t>
      </w:r>
      <w:r w:rsidR="00DB6C06" w:rsidRPr="004E533B">
        <w:rPr>
          <w:rFonts w:cs="Times New Roman"/>
          <w:bCs/>
          <w:szCs w:val="24"/>
        </w:rPr>
        <w:t xml:space="preserve">połecznych </w:t>
      </w:r>
      <w:r w:rsidRPr="004E533B">
        <w:rPr>
          <w:rFonts w:cs="Times New Roman"/>
          <w:bCs/>
          <w:szCs w:val="24"/>
        </w:rPr>
        <w:t xml:space="preserve">(Dz. U. z 2022 r. poz. 504), okresy czynnej służby wojskowej w Wojsku Polskim lub okresy jej równorzędne albo okresy zastępczych form tej służby są zaliczane do okresów składkowych będących podstawą do wyliczenia kapitału początkowego mającego wpływ na wysokość emerytur zgodnie z przepisami ustawy o emeryturach i rentach z </w:t>
      </w:r>
      <w:r w:rsidR="005F04F2" w:rsidRPr="004E533B">
        <w:rPr>
          <w:rFonts w:cs="Times New Roman"/>
          <w:bCs/>
          <w:szCs w:val="24"/>
        </w:rPr>
        <w:t>F</w:t>
      </w:r>
      <w:r w:rsidR="005F04F2">
        <w:rPr>
          <w:rFonts w:cs="Times New Roman"/>
          <w:bCs/>
          <w:szCs w:val="24"/>
        </w:rPr>
        <w:t>unduszu</w:t>
      </w:r>
      <w:r w:rsidR="005F04F2" w:rsidRPr="00DB6C06">
        <w:rPr>
          <w:rFonts w:cs="Times New Roman"/>
          <w:bCs/>
          <w:szCs w:val="24"/>
        </w:rPr>
        <w:t xml:space="preserve"> </w:t>
      </w:r>
      <w:r w:rsidR="005F04F2">
        <w:rPr>
          <w:rFonts w:cs="Times New Roman"/>
          <w:bCs/>
          <w:szCs w:val="24"/>
        </w:rPr>
        <w:t>U</w:t>
      </w:r>
      <w:r w:rsidR="005F04F2" w:rsidRPr="004E533B">
        <w:rPr>
          <w:rFonts w:cs="Times New Roman"/>
          <w:bCs/>
          <w:szCs w:val="24"/>
        </w:rPr>
        <w:t xml:space="preserve">bezpieczeń </w:t>
      </w:r>
      <w:r w:rsidR="005F04F2">
        <w:rPr>
          <w:rFonts w:cs="Times New Roman"/>
          <w:bCs/>
          <w:szCs w:val="24"/>
        </w:rPr>
        <w:t>S</w:t>
      </w:r>
      <w:r w:rsidR="005F04F2" w:rsidRPr="004E533B">
        <w:rPr>
          <w:rFonts w:cs="Times New Roman"/>
          <w:bCs/>
          <w:szCs w:val="24"/>
        </w:rPr>
        <w:t>połecznych</w:t>
      </w:r>
      <w:r w:rsidRPr="004E533B">
        <w:rPr>
          <w:rFonts w:cs="Times New Roman"/>
          <w:bCs/>
          <w:szCs w:val="24"/>
        </w:rPr>
        <w:t>. Jednak problem pojawia się, jeżeli dana osoba nie posiada okresów ubezpieczenia w ZUS. W takim przypadku istnieje uzasadnienie, aby ww. okresy związane z odbytą czynną służbą wojskową przed 1999 r. mogły być doliczane do okresu ubezpieczenia</w:t>
      </w:r>
      <w:r w:rsidR="00923837">
        <w:rPr>
          <w:rFonts w:cs="Times New Roman"/>
          <w:bCs/>
          <w:szCs w:val="24"/>
        </w:rPr>
        <w:t>,</w:t>
      </w:r>
      <w:r w:rsidRPr="004E533B">
        <w:rPr>
          <w:rFonts w:cs="Times New Roman"/>
          <w:bCs/>
          <w:szCs w:val="24"/>
        </w:rPr>
        <w:t xml:space="preserve"> od którego zależy wysokość części składkowej emerytury rolniczej. Jest to zmiana pozytywna, mająca na celu stworzenie mechanizmu, zgodnie z którym wszystkie okresy ubezpieczeniowe będą brane pod uwagę przy ustalaniu wysokości świadczenia emerytalnego rolniczego.</w:t>
      </w:r>
      <w:r>
        <w:rPr>
          <w:rFonts w:cs="Times New Roman"/>
          <w:bCs/>
          <w:szCs w:val="24"/>
        </w:rPr>
        <w:t xml:space="preserve"> </w:t>
      </w:r>
    </w:p>
    <w:p w14:paraId="09E5473A" w14:textId="736A3A29" w:rsidR="00966447" w:rsidRPr="004E533B" w:rsidRDefault="00966447" w:rsidP="004E533B">
      <w:pPr>
        <w:widowControl/>
        <w:suppressAutoHyphens/>
        <w:spacing w:before="120"/>
        <w:jc w:val="both"/>
        <w:rPr>
          <w:rFonts w:cs="Times New Roman"/>
          <w:szCs w:val="24"/>
        </w:rPr>
      </w:pPr>
      <w:r w:rsidRPr="004E533B">
        <w:rPr>
          <w:rFonts w:cs="Times New Roman"/>
          <w:szCs w:val="24"/>
        </w:rPr>
        <w:t>W związku z licznymi postulatami kierowanymi do ministerstwa zarówno ze strony rolników</w:t>
      </w:r>
      <w:r w:rsidR="00BA0BFC">
        <w:rPr>
          <w:rFonts w:cs="Times New Roman"/>
          <w:szCs w:val="24"/>
        </w:rPr>
        <w:t>,</w:t>
      </w:r>
      <w:r w:rsidRPr="004E533B">
        <w:rPr>
          <w:rFonts w:cs="Times New Roman"/>
          <w:szCs w:val="24"/>
        </w:rPr>
        <w:t xml:space="preserve"> jak i organizacji rolniczych odnośnie </w:t>
      </w:r>
      <w:r w:rsidR="00CE7C3B">
        <w:rPr>
          <w:rFonts w:cs="Times New Roman"/>
          <w:szCs w:val="24"/>
        </w:rPr>
        <w:t xml:space="preserve">do </w:t>
      </w:r>
      <w:r w:rsidRPr="004E533B">
        <w:rPr>
          <w:rFonts w:cs="Times New Roman"/>
          <w:szCs w:val="24"/>
        </w:rPr>
        <w:t xml:space="preserve">krzywdzących, zdaniem rolników, rozwiązań zawartych w przepisach o ubezpieczeniu społecznym rolników, dotyczących zawieszania wypłaty emerytur rolniczych w przypadku niezaprzestania prowadzenia działalności rolniczej, w art. 28 </w:t>
      </w:r>
      <w:r w:rsidR="00BA0BFC" w:rsidRPr="004E533B">
        <w:rPr>
          <w:rFonts w:cs="Times New Roman"/>
          <w:szCs w:val="24"/>
        </w:rPr>
        <w:t xml:space="preserve">zostały </w:t>
      </w:r>
      <w:r w:rsidRPr="004E533B">
        <w:rPr>
          <w:rFonts w:cs="Times New Roman"/>
          <w:szCs w:val="24"/>
        </w:rPr>
        <w:t>zaproponowane zmiany</w:t>
      </w:r>
      <w:r>
        <w:rPr>
          <w:rFonts w:cs="Times New Roman"/>
          <w:szCs w:val="24"/>
        </w:rPr>
        <w:t xml:space="preserve"> </w:t>
      </w:r>
      <w:r w:rsidRPr="004E533B">
        <w:rPr>
          <w:rFonts w:cs="Times New Roman"/>
          <w:szCs w:val="24"/>
        </w:rPr>
        <w:t xml:space="preserve">w tym zakresie. Polegają one na tym, </w:t>
      </w:r>
      <w:r w:rsidR="00DD1A7A">
        <w:rPr>
          <w:rFonts w:cs="Times New Roman"/>
          <w:szCs w:val="24"/>
        </w:rPr>
        <w:t>że</w:t>
      </w:r>
      <w:r w:rsidRPr="004E533B">
        <w:rPr>
          <w:rFonts w:cs="Times New Roman"/>
          <w:szCs w:val="24"/>
        </w:rPr>
        <w:t xml:space="preserve"> emeryt nie musi zaprzestawać prowadzenia działalności rolniczej. W takim przypadku emeryt będzie zobowiązany do dalszego opłacania składki na ubezpieczenie emerytalno-rentowe w Kasie Rolniczego Ubezpieczenia Społecznego. Ponadto w art. 28 </w:t>
      </w:r>
      <w:r w:rsidR="00EA4C03" w:rsidRPr="004E533B">
        <w:rPr>
          <w:rFonts w:cs="Times New Roman"/>
          <w:szCs w:val="24"/>
        </w:rPr>
        <w:t xml:space="preserve">została </w:t>
      </w:r>
      <w:r w:rsidRPr="004E533B">
        <w:rPr>
          <w:rFonts w:cs="Times New Roman"/>
          <w:szCs w:val="24"/>
        </w:rPr>
        <w:t xml:space="preserve">zaproponowana zmiana, zgodnie z którą renta rolnicza z tytułu niezdolności do pracy nie będzie zawieszana, jeżeli rencista jest trwale całkowicie niezdolny do pracy w gospodarstwie rolnym. Dodatkowo </w:t>
      </w:r>
      <w:r w:rsidR="00EA4C03" w:rsidRPr="004E533B">
        <w:rPr>
          <w:rFonts w:cs="Times New Roman"/>
          <w:szCs w:val="24"/>
        </w:rPr>
        <w:t xml:space="preserve">została </w:t>
      </w:r>
      <w:r w:rsidRPr="004E533B">
        <w:rPr>
          <w:rFonts w:cs="Times New Roman"/>
          <w:szCs w:val="24"/>
        </w:rPr>
        <w:t>zaproponowana zmiana, zgodnie z którą w przypadku gdy rencista jest uprawniony do renty okresowej, umowa dzierżawy gruntów rolnych, w celu wykazania się zaprzestaniem prowadzenia działalności rolniczej, może być zawarta co najmniej na okres, na jaki zostało przyznane prawo do renty rolniczej. Należy jeszcze uzupełnić, że umowy dzierżawy zawarte stosownie do przepisów dotychczasowych zachowują swoją ważność, skutkiem czego nadal będą stanowiły podstawę przejścia obowiązku podatkowego w podatku rolnym na dzierżawcę. Zmiana proponowana w art. 28 ust. 4 pkt 1 lit. b ustawy o ubezpieczeniu społecznym rolników jest konsekwencją wyroku Sądu Najwyższego z</w:t>
      </w:r>
      <w:r>
        <w:rPr>
          <w:rFonts w:cs="Times New Roman"/>
          <w:szCs w:val="24"/>
        </w:rPr>
        <w:t xml:space="preserve"> </w:t>
      </w:r>
      <w:r w:rsidRPr="004E533B">
        <w:rPr>
          <w:rFonts w:cs="Times New Roman"/>
          <w:szCs w:val="24"/>
        </w:rPr>
        <w:t xml:space="preserve">dnia 18 stycznia 2012 r. (sygn. akt II UK 82/11) i następującej po nim zmiany praktyki w stosowaniu tego przepisu. Do czasu tego wyroku przekazanie władztwa nad gospodarstwem rolnym dzieciom, aby mogło być uznane za podstawę wypłaty pełnego świadczenia </w:t>
      </w:r>
      <w:r w:rsidRPr="004E533B">
        <w:rPr>
          <w:rFonts w:cs="Times New Roman"/>
          <w:szCs w:val="24"/>
        </w:rPr>
        <w:lastRenderedPageBreak/>
        <w:t>emerytalnego, winno nastąpić na mocy umów przekazania własności</w:t>
      </w:r>
      <w:r w:rsidR="0020006C">
        <w:rPr>
          <w:rFonts w:cs="Times New Roman"/>
          <w:szCs w:val="24"/>
        </w:rPr>
        <w:t>,</w:t>
      </w:r>
      <w:r w:rsidRPr="004E533B">
        <w:rPr>
          <w:rFonts w:cs="Times New Roman"/>
          <w:szCs w:val="24"/>
        </w:rPr>
        <w:t xml:space="preserve"> a nie posiadania. Obecnie, w wyniku tego wyroku, dopuszcza się również zawarcie umowy dzierżawy z</w:t>
      </w:r>
      <w:r>
        <w:rPr>
          <w:rFonts w:cs="Times New Roman"/>
          <w:szCs w:val="24"/>
        </w:rPr>
        <w:t xml:space="preserve"> </w:t>
      </w:r>
      <w:r w:rsidRPr="004E533B">
        <w:rPr>
          <w:rFonts w:cs="Times New Roman"/>
          <w:szCs w:val="24"/>
        </w:rPr>
        <w:t>dzieckiem. W związku z tym zdecydowano o uchyleniu dotychczasowej lit. b w art. 28 ust. 4 pkt 1 ustawy o ubezpieczeniu społecznym rolników. Proponowane uchylenie ust. 6 w art. 28 ustawy o ubezpieczeniu społecznym rolników wynika z tego, że w wyniku przedmiotowych zmian okres</w:t>
      </w:r>
      <w:r w:rsidR="005B3DE8">
        <w:rPr>
          <w:rFonts w:cs="Times New Roman"/>
          <w:szCs w:val="24"/>
        </w:rPr>
        <w:t>,</w:t>
      </w:r>
      <w:r w:rsidRPr="004E533B">
        <w:rPr>
          <w:rFonts w:cs="Times New Roman"/>
          <w:szCs w:val="24"/>
        </w:rPr>
        <w:t xml:space="preserve"> przez jaki nie są zawieszane renty rolnicze, o których mowa w tym przepisie</w:t>
      </w:r>
      <w:r w:rsidR="00DF4EE9">
        <w:rPr>
          <w:rFonts w:cs="Times New Roman"/>
          <w:szCs w:val="24"/>
        </w:rPr>
        <w:t>,</w:t>
      </w:r>
      <w:r w:rsidRPr="004E533B">
        <w:rPr>
          <w:rFonts w:cs="Times New Roman"/>
          <w:szCs w:val="24"/>
        </w:rPr>
        <w:t xml:space="preserve"> zawiera się w okresie</w:t>
      </w:r>
      <w:r w:rsidR="00DF4EE9">
        <w:rPr>
          <w:rFonts w:cs="Times New Roman"/>
          <w:szCs w:val="24"/>
        </w:rPr>
        <w:t>,</w:t>
      </w:r>
      <w:r w:rsidRPr="004E533B">
        <w:rPr>
          <w:rFonts w:cs="Times New Roman"/>
          <w:szCs w:val="24"/>
        </w:rPr>
        <w:t xml:space="preserve"> o którym mowa w ust. 5 art. 28 projektowanej ustawy.</w:t>
      </w:r>
      <w:r>
        <w:rPr>
          <w:rFonts w:cs="Times New Roman"/>
          <w:szCs w:val="24"/>
        </w:rPr>
        <w:t xml:space="preserve"> </w:t>
      </w:r>
    </w:p>
    <w:p w14:paraId="3BEA2DC0" w14:textId="57A7710D" w:rsidR="00966447" w:rsidRPr="004E533B" w:rsidRDefault="00966447" w:rsidP="004E533B">
      <w:pPr>
        <w:widowControl/>
        <w:suppressAutoHyphens/>
        <w:spacing w:before="120"/>
        <w:jc w:val="both"/>
        <w:rPr>
          <w:rFonts w:cs="Times New Roman"/>
          <w:bCs/>
          <w:szCs w:val="24"/>
        </w:rPr>
      </w:pPr>
      <w:r w:rsidRPr="004E533B">
        <w:rPr>
          <w:rFonts w:cs="Times New Roman"/>
          <w:bCs/>
          <w:szCs w:val="24"/>
        </w:rPr>
        <w:t>Poza tym w przepisach tego projektu ustawy zostały przygotowane zmiany wynikające z praktyki stosowania tych przepisów przez KRUS i dostrzeżonych przez organ emerytalno-rentowy problemów w ich stosowaniu:</w:t>
      </w:r>
    </w:p>
    <w:p w14:paraId="21E9EE24" w14:textId="091D3AC3" w:rsidR="00966447" w:rsidRPr="00966447" w:rsidRDefault="00966447" w:rsidP="004E533B">
      <w:pPr>
        <w:widowControl/>
        <w:suppressAutoHyphens/>
        <w:ind w:left="284" w:hanging="284"/>
        <w:jc w:val="both"/>
        <w:rPr>
          <w:rFonts w:cs="Times New Roman"/>
          <w:szCs w:val="24"/>
        </w:rPr>
      </w:pPr>
      <w:r>
        <w:rPr>
          <w:rFonts w:cs="Times New Roman"/>
          <w:szCs w:val="24"/>
        </w:rPr>
        <w:t>–</w:t>
      </w:r>
      <w:r>
        <w:rPr>
          <w:rFonts w:cs="Times New Roman"/>
          <w:szCs w:val="24"/>
        </w:rPr>
        <w:tab/>
      </w:r>
      <w:r w:rsidRPr="004E533B">
        <w:rPr>
          <w:rFonts w:cs="Times New Roman"/>
          <w:szCs w:val="24"/>
        </w:rPr>
        <w:t>zmiana w art. 34</w:t>
      </w:r>
      <w:r w:rsidRPr="004E533B">
        <w:rPr>
          <w:rFonts w:eastAsia="Calibri" w:cs="Times New Roman"/>
          <w:szCs w:val="24"/>
          <w:bdr w:val="nil"/>
        </w:rPr>
        <w:t xml:space="preserve"> </w:t>
      </w:r>
      <w:r w:rsidR="006740D9" w:rsidRPr="00966447">
        <w:rPr>
          <w:rFonts w:eastAsia="Calibri" w:cs="Times New Roman"/>
          <w:szCs w:val="24"/>
          <w:bdr w:val="nil"/>
        </w:rPr>
        <w:t xml:space="preserve">jest </w:t>
      </w:r>
      <w:r w:rsidRPr="00966447">
        <w:rPr>
          <w:rFonts w:eastAsia="Calibri" w:cs="Times New Roman"/>
          <w:szCs w:val="24"/>
          <w:bdr w:val="nil"/>
        </w:rPr>
        <w:t>podyktowana uchwałą Sądu Najwyższego z dnia 23 lutego 2022 r. W wyniku tej uchwały osiąganie przychodu w kwocie mieszczącej się w przedziale od 70% do 130% przeciętnego miesięcznego wynagrodzenia za kwartał kalendarzowy, ostatnio ogłoszonego przez Prezesa G</w:t>
      </w:r>
      <w:r w:rsidR="00E16494">
        <w:rPr>
          <w:rFonts w:eastAsia="Calibri" w:cs="Times New Roman"/>
          <w:szCs w:val="24"/>
          <w:bdr w:val="nil"/>
        </w:rPr>
        <w:t>łównego Urzędu Statystycznego</w:t>
      </w:r>
      <w:r w:rsidR="006740D9">
        <w:rPr>
          <w:rFonts w:eastAsia="Calibri" w:cs="Times New Roman"/>
          <w:szCs w:val="24"/>
          <w:bdr w:val="nil"/>
        </w:rPr>
        <w:t>,</w:t>
      </w:r>
      <w:r w:rsidRPr="00966447">
        <w:rPr>
          <w:rFonts w:eastAsia="Calibri" w:cs="Times New Roman"/>
          <w:szCs w:val="24"/>
          <w:bdr w:val="nil"/>
        </w:rPr>
        <w:t xml:space="preserve"> nie powoduje</w:t>
      </w:r>
      <w:r>
        <w:rPr>
          <w:rFonts w:eastAsia="Calibri" w:cs="Times New Roman"/>
          <w:szCs w:val="24"/>
          <w:bdr w:val="nil"/>
        </w:rPr>
        <w:t xml:space="preserve"> </w:t>
      </w:r>
      <w:r w:rsidRPr="00966447">
        <w:rPr>
          <w:rFonts w:eastAsia="Calibri" w:cs="Times New Roman"/>
          <w:szCs w:val="24"/>
          <w:bdr w:val="nil"/>
        </w:rPr>
        <w:t>zmniejszenia rolniczej renty rodzinnej. Jest to niezgodne z dotychczasową praktyką stosowaną przez organ rentowy i w związku z tym zmiana sprowadza się do dodania po każdym wyrazie „zawieszenia” w odpowiedniej formie wyrazu „zmniejszenia”</w:t>
      </w:r>
      <w:r w:rsidR="00560B1D">
        <w:rPr>
          <w:rFonts w:eastAsia="Calibri" w:cs="Times New Roman"/>
          <w:szCs w:val="24"/>
          <w:bdr w:val="nil"/>
        </w:rPr>
        <w:t>,</w:t>
      </w:r>
    </w:p>
    <w:p w14:paraId="26618C88" w14:textId="4163F3E7" w:rsidR="00966447" w:rsidRPr="004E533B" w:rsidRDefault="00966447" w:rsidP="004E533B">
      <w:pPr>
        <w:widowControl/>
        <w:suppressAutoHyphens/>
        <w:ind w:left="284" w:hanging="284"/>
        <w:jc w:val="both"/>
        <w:rPr>
          <w:rFonts w:cs="Times New Roman"/>
          <w:szCs w:val="24"/>
        </w:rPr>
      </w:pPr>
      <w:r>
        <w:rPr>
          <w:rFonts w:cs="Times New Roman"/>
          <w:szCs w:val="24"/>
        </w:rPr>
        <w:t>–</w:t>
      </w:r>
      <w:r>
        <w:rPr>
          <w:rFonts w:cs="Times New Roman"/>
          <w:szCs w:val="24"/>
        </w:rPr>
        <w:tab/>
      </w:r>
      <w:r w:rsidRPr="004E533B">
        <w:rPr>
          <w:rFonts w:cs="Times New Roman"/>
          <w:szCs w:val="24"/>
        </w:rPr>
        <w:t>zmiany proponowane w art. 36 są wynikiem potrzeby dostosowania brzmienia tego przepisu do zmian wprowadzanych w innych przepisach i mają charakter wyłącznie porządkujący</w:t>
      </w:r>
      <w:r w:rsidR="00560B1D">
        <w:rPr>
          <w:rFonts w:cs="Times New Roman"/>
          <w:szCs w:val="24"/>
        </w:rPr>
        <w:t>,</w:t>
      </w:r>
      <w:r w:rsidRPr="004E533B">
        <w:rPr>
          <w:rFonts w:cs="Times New Roman"/>
          <w:szCs w:val="24"/>
        </w:rPr>
        <w:t xml:space="preserve"> </w:t>
      </w:r>
    </w:p>
    <w:p w14:paraId="075912C1" w14:textId="3290AD13" w:rsidR="00966447" w:rsidRPr="004E533B" w:rsidRDefault="00966447" w:rsidP="004E533B">
      <w:pPr>
        <w:widowControl/>
        <w:suppressAutoHyphens/>
        <w:ind w:left="284" w:hanging="284"/>
        <w:jc w:val="both"/>
        <w:rPr>
          <w:rFonts w:cs="Times New Roman"/>
          <w:bCs/>
          <w:szCs w:val="24"/>
          <w:lang w:eastAsia="en-US"/>
        </w:rPr>
      </w:pPr>
      <w:r>
        <w:rPr>
          <w:rFonts w:cs="Times New Roman"/>
          <w:bCs/>
          <w:szCs w:val="24"/>
        </w:rPr>
        <w:t>–</w:t>
      </w:r>
      <w:r>
        <w:rPr>
          <w:rFonts w:cs="Times New Roman"/>
          <w:bCs/>
          <w:szCs w:val="24"/>
        </w:rPr>
        <w:tab/>
      </w:r>
      <w:r w:rsidRPr="004E533B">
        <w:rPr>
          <w:rFonts w:cs="Times New Roman"/>
          <w:bCs/>
          <w:szCs w:val="24"/>
          <w:lang w:eastAsia="en-US"/>
        </w:rPr>
        <w:t xml:space="preserve">zmiany zaproponowane w art. 40a, art. 41a i art. 41b wynikają z potrzeby dostosowania rozwiązań ustawy o ubezpieczeniu społecznym rolników do rozwiązań obowiązujących w systemie powszechnym </w:t>
      </w:r>
      <w:r>
        <w:rPr>
          <w:rFonts w:cs="Times New Roman"/>
          <w:bCs/>
          <w:szCs w:val="24"/>
          <w:lang w:eastAsia="en-US"/>
        </w:rPr>
        <w:t>–</w:t>
      </w:r>
      <w:r w:rsidRPr="004E533B">
        <w:rPr>
          <w:rFonts w:cs="Times New Roman"/>
          <w:bCs/>
          <w:szCs w:val="24"/>
          <w:lang w:eastAsia="en-US"/>
        </w:rPr>
        <w:t xml:space="preserve"> przedmiotowe zmiany mają charakter porządkowy</w:t>
      </w:r>
      <w:r w:rsidR="00560B1D">
        <w:rPr>
          <w:rFonts w:cs="Times New Roman"/>
          <w:bCs/>
          <w:szCs w:val="24"/>
          <w:lang w:eastAsia="en-US"/>
        </w:rPr>
        <w:t>,</w:t>
      </w:r>
    </w:p>
    <w:p w14:paraId="7F312551" w14:textId="734C88AB" w:rsidR="00966447" w:rsidRPr="004E533B" w:rsidRDefault="00966447" w:rsidP="004E533B">
      <w:pPr>
        <w:widowControl/>
        <w:suppressAutoHyphens/>
        <w:ind w:left="284" w:hanging="284"/>
        <w:jc w:val="both"/>
        <w:rPr>
          <w:rFonts w:cs="Times New Roman"/>
          <w:bCs/>
          <w:szCs w:val="24"/>
        </w:rPr>
      </w:pPr>
      <w:r>
        <w:rPr>
          <w:rFonts w:cs="Times New Roman"/>
          <w:bCs/>
          <w:szCs w:val="24"/>
        </w:rPr>
        <w:t>–</w:t>
      </w:r>
      <w:r>
        <w:rPr>
          <w:rFonts w:cs="Times New Roman"/>
          <w:bCs/>
          <w:szCs w:val="24"/>
        </w:rPr>
        <w:tab/>
      </w:r>
      <w:r w:rsidRPr="004E533B">
        <w:rPr>
          <w:rFonts w:cs="Times New Roman"/>
          <w:bCs/>
          <w:szCs w:val="24"/>
          <w:lang w:eastAsia="en-US"/>
        </w:rPr>
        <w:t>zmiana zaproponowana w art. 55 ust. 2a jest konsekwencją zmian wprowadzonych w art. 28</w:t>
      </w:r>
      <w:r w:rsidR="00560B1D">
        <w:rPr>
          <w:rFonts w:cs="Times New Roman"/>
          <w:bCs/>
          <w:szCs w:val="24"/>
          <w:lang w:eastAsia="en-US"/>
        </w:rPr>
        <w:t>,</w:t>
      </w:r>
      <w:r w:rsidRPr="004E533B">
        <w:rPr>
          <w:rFonts w:cs="Times New Roman"/>
          <w:bCs/>
          <w:szCs w:val="24"/>
          <w:lang w:eastAsia="en-US"/>
        </w:rPr>
        <w:t xml:space="preserve"> </w:t>
      </w:r>
    </w:p>
    <w:p w14:paraId="1B717EE7" w14:textId="71DDFEB4" w:rsidR="00966447" w:rsidRPr="004E533B" w:rsidRDefault="00966447" w:rsidP="004E533B">
      <w:pPr>
        <w:widowControl/>
        <w:suppressAutoHyphens/>
        <w:ind w:left="284" w:hanging="284"/>
        <w:jc w:val="both"/>
        <w:rPr>
          <w:rFonts w:cs="Times New Roman"/>
          <w:bCs/>
          <w:szCs w:val="24"/>
        </w:rPr>
      </w:pPr>
      <w:r>
        <w:rPr>
          <w:rFonts w:cs="Times New Roman"/>
          <w:bCs/>
          <w:szCs w:val="24"/>
        </w:rPr>
        <w:t>–</w:t>
      </w:r>
      <w:r>
        <w:rPr>
          <w:rFonts w:cs="Times New Roman"/>
          <w:bCs/>
          <w:szCs w:val="24"/>
        </w:rPr>
        <w:tab/>
      </w:r>
      <w:r w:rsidRPr="004E533B">
        <w:rPr>
          <w:rFonts w:cs="Times New Roman"/>
          <w:bCs/>
          <w:szCs w:val="24"/>
        </w:rPr>
        <w:t>z</w:t>
      </w:r>
      <w:r w:rsidRPr="004E533B">
        <w:rPr>
          <w:rFonts w:cs="Times New Roman"/>
          <w:bCs/>
          <w:szCs w:val="24"/>
          <w:lang w:eastAsia="en-US"/>
        </w:rPr>
        <w:t xml:space="preserve">miana zaproponowana w art. 62a doprecyzowuje kwestię wydawania przez Prezesa </w:t>
      </w:r>
      <w:r w:rsidRPr="004E533B">
        <w:rPr>
          <w:rFonts w:cs="Times New Roman"/>
          <w:bCs/>
          <w:szCs w:val="24"/>
        </w:rPr>
        <w:t>KRUS</w:t>
      </w:r>
      <w:r w:rsidRPr="004E533B">
        <w:rPr>
          <w:rFonts w:cs="Times New Roman"/>
          <w:bCs/>
          <w:szCs w:val="24"/>
          <w:lang w:eastAsia="en-US"/>
        </w:rPr>
        <w:t xml:space="preserve"> interpretacji indywidualnych, o których mowa w art. 34 ustawy z dnia 6 marca 2018 r. – Prawo przedsiębiorców (Dz. U. z 2021 r. poz. 162, z </w:t>
      </w:r>
      <w:proofErr w:type="spellStart"/>
      <w:r w:rsidRPr="004E533B">
        <w:rPr>
          <w:rFonts w:cs="Times New Roman"/>
          <w:bCs/>
          <w:szCs w:val="24"/>
          <w:lang w:eastAsia="en-US"/>
        </w:rPr>
        <w:t>późn</w:t>
      </w:r>
      <w:proofErr w:type="spellEnd"/>
      <w:r w:rsidRPr="004E533B">
        <w:rPr>
          <w:rFonts w:cs="Times New Roman"/>
          <w:bCs/>
          <w:szCs w:val="24"/>
          <w:lang w:eastAsia="en-US"/>
        </w:rPr>
        <w:t xml:space="preserve">. zm.). Przepis ten obecnie reguluje kwestie zamieszczania interpretacji indywidualnych w Biuletynie Informacji Publicznej KRUS, wydanych we wskazanym w tym przepisie zakresie. </w:t>
      </w:r>
      <w:r w:rsidRPr="004E533B">
        <w:rPr>
          <w:rFonts w:cs="Times New Roman"/>
          <w:bCs/>
          <w:szCs w:val="24"/>
          <w:lang w:eastAsia="en-US"/>
        </w:rPr>
        <w:lastRenderedPageBreak/>
        <w:t>Regulacja ta w obecnej formie jest niewystarczająca oraz budząca wątpliwości interpretacyjne</w:t>
      </w:r>
      <w:r w:rsidR="00847EEE">
        <w:rPr>
          <w:rFonts w:cs="Times New Roman"/>
          <w:bCs/>
          <w:szCs w:val="24"/>
          <w:lang w:eastAsia="en-US"/>
        </w:rPr>
        <w:t>, dlatego</w:t>
      </w:r>
      <w:r w:rsidRPr="004E533B">
        <w:rPr>
          <w:rFonts w:cs="Times New Roman"/>
          <w:bCs/>
          <w:szCs w:val="24"/>
          <w:lang w:eastAsia="en-US"/>
        </w:rPr>
        <w:t xml:space="preserve"> właściwym rozwiązaniem jest zaproponowanie jej rozszerzenia i doprecyzowanie jej zakresu podmiotowego. Projektowane przepisy wskazują bowiem jednoznacznie, że interpretacje, na zasadach określonych w ustawie o ubezpieczeniu społecznym rolników, wydaje się rolnikom i domownikom będącym jednocześnie przedsiębiorcami, kontynuującymi podleganie ubezpieczeniu społecznemu rolników w trybie art. 5a ustawy o ubezpieczeniu społecznym rolników.</w:t>
      </w:r>
      <w:r w:rsidRPr="004E533B">
        <w:rPr>
          <w:rFonts w:cs="Times New Roman"/>
          <w:bCs/>
          <w:szCs w:val="24"/>
        </w:rPr>
        <w:t xml:space="preserve"> </w:t>
      </w:r>
      <w:r w:rsidRPr="004E533B">
        <w:rPr>
          <w:rFonts w:cs="Times New Roman"/>
          <w:bCs/>
          <w:szCs w:val="24"/>
          <w:lang w:eastAsia="en-US"/>
        </w:rPr>
        <w:t>Jednocześnie projektowana zmiana art. 62a wskazuje sytuacje, w których nie wydaje się interpretacji indywidualnych. Zaproponowane w projekcie zmiany wprowadzają analogiczne rozwiązania jak te, które funkcjonują w przepisach ustawy z dnia 13 października 1998 r. o systemie ubezpieczeń społecznych. W związku z tym proponuje się dodanie ust. 2 w art. 62a, zgodnie z którym nie wydaje się interpretacji indywidualnych w zakresie tych elementów stanu faktycznego, które w dniu złożenia wniosku o interpretację są przedmiotem toczącego się postępowania wyjaśniającego albo gdy w tym zakresie sprawa została rozstrzygnięta co do jej istoty w decyzji Prezesa KRUS.</w:t>
      </w:r>
      <w:r w:rsidRPr="004E533B">
        <w:rPr>
          <w:rFonts w:cs="Times New Roman"/>
          <w:bCs/>
          <w:szCs w:val="24"/>
        </w:rPr>
        <w:t xml:space="preserve"> </w:t>
      </w:r>
      <w:r w:rsidRPr="004E533B">
        <w:rPr>
          <w:rFonts w:cs="Times New Roman"/>
          <w:bCs/>
          <w:szCs w:val="24"/>
          <w:lang w:eastAsia="en-US"/>
        </w:rPr>
        <w:t>Wprowadza się także odpowiednie zmiany w art. 36 ustawy o ubezpieczeniu społecznym rolników, uwzględniające wydawane przez Prezesa KRUS decyzje w sprawach interpretacji indywidualnych, o których mowa w zmienianym art. 62a. Z kolei zmiana w ust. 3 w art. 36 ustawy o ubezpieczeniu społecznym rolników ma na celu unormowanie kwestii dotyczącej drogi sądowej w przypadku wydanych decyzji w sprawie interpretacji indywidualnej</w:t>
      </w:r>
      <w:r w:rsidRPr="004E533B">
        <w:rPr>
          <w:rFonts w:cs="Times New Roman"/>
          <w:bCs/>
          <w:szCs w:val="24"/>
        </w:rPr>
        <w:t xml:space="preserve">. Proponowana zmiana nie zawęża kręgu podmiotów, które mogą występować z wnioskiem o wydanie interpretacji w sprawach indywidualnych w stosunku do obecnie obowiązującego przepisu art. 62a ustawy o ubezpieczeniu społecznym rolników. Projektowane brzmienie ww. artykułu podtrzymuje dotychczasowe regulacje w zakresie wydawania interpretacji osobom ubezpieczonym, o których mowa w art. 5a ustawy o ubezpieczeniu społecznym rolników, tj. osobom podlegającym temu ubezpieczeniu w pełnym zakresie z mocy ustawy, które oprócz działalności rolniczej w gospodarstwie rolnym prowadzą dodatkowo pozarolniczą działalność gospodarczą podlegającą reżimowi ustawy – Prawo przedsiębiorców. Z przepisów art. 62a ustawy o ubezpieczeniu społecznym rolników, w obecnie obowiązującym brzmieniu, nie wynika, aby Prezes KRUS był zobowiązany do wydawania interpretacji w sprawach indywidualnych w odniesieniu do wszystkich osób ubezpieczonych, które prowadzą działalność rolniczą. </w:t>
      </w:r>
      <w:r w:rsidRPr="004E533B">
        <w:rPr>
          <w:rFonts w:cs="Times New Roman"/>
          <w:bCs/>
          <w:szCs w:val="24"/>
        </w:rPr>
        <w:lastRenderedPageBreak/>
        <w:t xml:space="preserve">Proponowana zmiana ma na celu jedynie doprecyzowanie, </w:t>
      </w:r>
      <w:r w:rsidR="00E812DA">
        <w:rPr>
          <w:rFonts w:cs="Times New Roman"/>
          <w:bCs/>
          <w:szCs w:val="24"/>
        </w:rPr>
        <w:t>że</w:t>
      </w:r>
      <w:r w:rsidRPr="004E533B">
        <w:rPr>
          <w:rFonts w:cs="Times New Roman"/>
          <w:bCs/>
          <w:szCs w:val="24"/>
        </w:rPr>
        <w:t xml:space="preserve"> wydawane interpretacje indywidualne nie będą dotyczyły spraw, które zostały już rozstrzygnięte decyzją lub spraw będących przedmiotem toczącego się postępowania. Analogiczne rozwiązanie zostało wprowadzone w ustawie o systemie ubezpieczeń społecznych realizowanej przez Z</w:t>
      </w:r>
      <w:r w:rsidR="000E5225">
        <w:rPr>
          <w:rFonts w:cs="Times New Roman"/>
          <w:bCs/>
          <w:szCs w:val="24"/>
        </w:rPr>
        <w:t>US</w:t>
      </w:r>
      <w:r w:rsidRPr="004E533B">
        <w:rPr>
          <w:rFonts w:cs="Times New Roman"/>
          <w:bCs/>
          <w:szCs w:val="24"/>
        </w:rPr>
        <w:t>;</w:t>
      </w:r>
    </w:p>
    <w:p w14:paraId="6C1E1BBD" w14:textId="6313C264" w:rsidR="00966447" w:rsidRPr="004E533B" w:rsidRDefault="00966447" w:rsidP="004E533B">
      <w:pPr>
        <w:widowControl/>
        <w:suppressAutoHyphens/>
        <w:ind w:left="284" w:hanging="284"/>
        <w:jc w:val="both"/>
        <w:rPr>
          <w:rFonts w:cs="Times New Roman"/>
          <w:bCs/>
          <w:szCs w:val="24"/>
          <w:lang w:eastAsia="en-US"/>
        </w:rPr>
      </w:pPr>
      <w:r>
        <w:rPr>
          <w:rFonts w:cs="Times New Roman"/>
          <w:bCs/>
          <w:szCs w:val="24"/>
        </w:rPr>
        <w:t>–</w:t>
      </w:r>
      <w:r>
        <w:rPr>
          <w:rFonts w:cs="Times New Roman"/>
          <w:bCs/>
          <w:szCs w:val="24"/>
        </w:rPr>
        <w:tab/>
      </w:r>
      <w:r w:rsidRPr="004E533B">
        <w:rPr>
          <w:rFonts w:cs="Times New Roman"/>
          <w:bCs/>
          <w:szCs w:val="24"/>
          <w:lang w:eastAsia="en-US"/>
        </w:rPr>
        <w:t>proponowana nowelizacja art. 64 systematyzuje zasady rehabilitacji w KRUS przez przeniesienie z aktu wykonawczego do materii ustawowej regulacji dotyczącej warunków kierowania na rehabilitację w KRUS. Proponowane zmiany umożliwią KRUS podejmowanie działań wobec osób:</w:t>
      </w:r>
    </w:p>
    <w:p w14:paraId="5A1B07DC" w14:textId="6C814117" w:rsidR="00966447" w:rsidRPr="004E533B" w:rsidRDefault="00966447" w:rsidP="004E533B">
      <w:pPr>
        <w:widowControl/>
        <w:suppressAutoHyphens/>
        <w:ind w:left="567" w:hanging="283"/>
        <w:jc w:val="both"/>
        <w:rPr>
          <w:rFonts w:cs="Times New Roman"/>
          <w:bCs/>
          <w:szCs w:val="24"/>
          <w:lang w:eastAsia="en-US"/>
        </w:rPr>
      </w:pPr>
      <w:r>
        <w:rPr>
          <w:rFonts w:cs="Times New Roman"/>
          <w:bCs/>
          <w:szCs w:val="24"/>
          <w:lang w:eastAsia="en-US"/>
        </w:rPr>
        <w:t>–</w:t>
      </w:r>
      <w:r>
        <w:rPr>
          <w:rFonts w:cs="Times New Roman"/>
          <w:bCs/>
          <w:szCs w:val="24"/>
          <w:lang w:eastAsia="en-US"/>
        </w:rPr>
        <w:tab/>
      </w:r>
      <w:r w:rsidRPr="004E533B">
        <w:rPr>
          <w:rFonts w:cs="Times New Roman"/>
          <w:bCs/>
          <w:szCs w:val="24"/>
          <w:lang w:eastAsia="en-US"/>
        </w:rPr>
        <w:t>uprawnionych do emerytury rolniczej z ubezpieczenia w celu poprawy ich stanu zdrowia, kondycji psychofizycznej oraz stanu funkcjonalnego i jakości życia, między innymi przez kierowanie ich na rehabilitację leczniczą do zakładów rehabilitacji leczniczej oraz</w:t>
      </w:r>
    </w:p>
    <w:p w14:paraId="5A0979D5" w14:textId="05F84127" w:rsidR="00966447" w:rsidRPr="004E533B" w:rsidRDefault="00966447" w:rsidP="004E533B">
      <w:pPr>
        <w:widowControl/>
        <w:suppressAutoHyphens/>
        <w:ind w:left="567" w:hanging="283"/>
        <w:jc w:val="both"/>
        <w:rPr>
          <w:rFonts w:cs="Times New Roman"/>
          <w:bCs/>
          <w:szCs w:val="24"/>
          <w:lang w:eastAsia="en-US"/>
        </w:rPr>
      </w:pPr>
      <w:r>
        <w:rPr>
          <w:rFonts w:cs="Times New Roman"/>
          <w:bCs/>
          <w:szCs w:val="24"/>
          <w:lang w:eastAsia="en-US"/>
        </w:rPr>
        <w:t>–</w:t>
      </w:r>
      <w:r>
        <w:rPr>
          <w:rFonts w:cs="Times New Roman"/>
          <w:bCs/>
          <w:szCs w:val="24"/>
          <w:lang w:eastAsia="en-US"/>
        </w:rPr>
        <w:tab/>
      </w:r>
      <w:r w:rsidRPr="004E533B">
        <w:rPr>
          <w:rFonts w:cs="Times New Roman"/>
          <w:bCs/>
          <w:szCs w:val="24"/>
          <w:lang w:eastAsia="en-US"/>
        </w:rPr>
        <w:t>ubezpieczonych będących opiekunami osób niepełnosprawnych na turnusy mające na celu poprawę ich kondycji psychofizycznej i jakości życia (zwane dalej „turnusami regeneracyjnymi”) do zakładów rehabilitacji leczniczej.</w:t>
      </w:r>
    </w:p>
    <w:p w14:paraId="3893C456" w14:textId="7B2DD8F9" w:rsidR="00966447" w:rsidRPr="004E533B" w:rsidRDefault="00966447" w:rsidP="004E533B">
      <w:pPr>
        <w:widowControl/>
        <w:suppressAutoHyphens/>
        <w:spacing w:before="120"/>
        <w:jc w:val="both"/>
        <w:rPr>
          <w:rFonts w:cs="Times New Roman"/>
          <w:bCs/>
          <w:szCs w:val="24"/>
        </w:rPr>
      </w:pPr>
      <w:r w:rsidRPr="004E533B">
        <w:rPr>
          <w:rFonts w:cs="Times New Roman"/>
          <w:bCs/>
          <w:szCs w:val="24"/>
        </w:rPr>
        <w:t>KRUS planuje skierować ok</w:t>
      </w:r>
      <w:r w:rsidR="00464F07">
        <w:rPr>
          <w:rFonts w:cs="Times New Roman"/>
          <w:bCs/>
          <w:szCs w:val="24"/>
        </w:rPr>
        <w:t>.</w:t>
      </w:r>
      <w:r w:rsidRPr="004E533B">
        <w:rPr>
          <w:rFonts w:cs="Times New Roman"/>
          <w:bCs/>
          <w:szCs w:val="24"/>
        </w:rPr>
        <w:t xml:space="preserve"> 600 rolników </w:t>
      </w:r>
      <w:r>
        <w:rPr>
          <w:rFonts w:cs="Times New Roman"/>
          <w:bCs/>
          <w:szCs w:val="24"/>
        </w:rPr>
        <w:t>–</w:t>
      </w:r>
      <w:r w:rsidRPr="004E533B">
        <w:rPr>
          <w:rFonts w:cs="Times New Roman"/>
          <w:bCs/>
          <w:szCs w:val="24"/>
        </w:rPr>
        <w:t xml:space="preserve"> seniorów emerytów, tj. rolników, którzy ukończyli aktywność zawodową w gospodarstwie rolnym i pobierających świadczenie emerytalne, na turnusy rehabilitacji leczniczej. K</w:t>
      </w:r>
      <w:r w:rsidR="000214D2">
        <w:rPr>
          <w:rFonts w:cs="Times New Roman"/>
          <w:bCs/>
          <w:szCs w:val="24"/>
        </w:rPr>
        <w:t>RUS</w:t>
      </w:r>
      <w:r w:rsidRPr="004E533B">
        <w:rPr>
          <w:rFonts w:cs="Times New Roman"/>
          <w:bCs/>
          <w:szCs w:val="24"/>
        </w:rPr>
        <w:t xml:space="preserve"> ma możliwość skierowania na rehabilitację leczniczą większej liczby rolników </w:t>
      </w:r>
      <w:r>
        <w:rPr>
          <w:rFonts w:cs="Times New Roman"/>
          <w:bCs/>
          <w:szCs w:val="24"/>
        </w:rPr>
        <w:t>–</w:t>
      </w:r>
      <w:r w:rsidRPr="004E533B">
        <w:rPr>
          <w:rFonts w:cs="Times New Roman"/>
          <w:bCs/>
          <w:szCs w:val="24"/>
        </w:rPr>
        <w:t xml:space="preserve"> seniorów emerytów, należy jednak podkreślić, że jest to uzależnione od zapotrzebowania i posiadanych środków pieniężnych. Do oszacowania kosztu rehabilitacji leczniczej rolników </w:t>
      </w:r>
      <w:r>
        <w:rPr>
          <w:rFonts w:cs="Times New Roman"/>
          <w:bCs/>
          <w:szCs w:val="24"/>
        </w:rPr>
        <w:t>–</w:t>
      </w:r>
      <w:r w:rsidRPr="004E533B">
        <w:rPr>
          <w:rFonts w:cs="Times New Roman"/>
          <w:bCs/>
          <w:szCs w:val="24"/>
        </w:rPr>
        <w:t xml:space="preserve"> seniorów emerytów w 2023 r. przyjęto wysokość stawki odpłatności za osobodzień rehabilitacji leczniczej chorób układu ruchu rolników, realizowanej przez KRUS w 2022 r.</w:t>
      </w:r>
      <w:r w:rsidR="00D37959">
        <w:rPr>
          <w:rFonts w:cs="Times New Roman"/>
          <w:bCs/>
          <w:szCs w:val="24"/>
        </w:rPr>
        <w:t>,</w:t>
      </w:r>
      <w:r w:rsidRPr="004E533B">
        <w:rPr>
          <w:rFonts w:cs="Times New Roman"/>
          <w:bCs/>
          <w:szCs w:val="24"/>
        </w:rPr>
        <w:t xml:space="preserve"> tj. 120,00 zł, którą powiększono o prognozowany przez NBP wskaźnik inflacji w 2022 r., tj. 10,8%, co dało kwotę 133</w:t>
      </w:r>
      <w:r w:rsidR="00D37959">
        <w:rPr>
          <w:rFonts w:cs="Times New Roman"/>
          <w:bCs/>
          <w:szCs w:val="24"/>
        </w:rPr>
        <w:t>,</w:t>
      </w:r>
      <w:r w:rsidRPr="004E533B">
        <w:rPr>
          <w:rFonts w:cs="Times New Roman"/>
          <w:bCs/>
          <w:szCs w:val="24"/>
        </w:rPr>
        <w:t xml:space="preserve">00 zł odpłatności za osobodzień. Koszt rehabilitacji ok. 600 rolników </w:t>
      </w:r>
      <w:r>
        <w:rPr>
          <w:rFonts w:cs="Times New Roman"/>
          <w:bCs/>
          <w:szCs w:val="24"/>
        </w:rPr>
        <w:t>–</w:t>
      </w:r>
      <w:r w:rsidRPr="004E533B">
        <w:rPr>
          <w:rFonts w:cs="Times New Roman"/>
          <w:bCs/>
          <w:szCs w:val="24"/>
        </w:rPr>
        <w:t xml:space="preserve"> seniorów emerytów wyniósłby ok. 1 675 800,00 zł i są to dodatkowe środki pieniężne do pozyskania. W 2024 r. stawka odpłatności za osobodzień została podwyższona o prognozowany wskaźnik inflacji w 2023 r., tj. 9%, co daje stawkę odpłatności za osobodzień w wysokości 145,00 zł. Łączny koszt rehabilitacji rolników </w:t>
      </w:r>
      <w:r w:rsidR="00602A8A">
        <w:rPr>
          <w:rFonts w:cs="Times New Roman"/>
          <w:bCs/>
          <w:szCs w:val="24"/>
        </w:rPr>
        <w:t xml:space="preserve">– </w:t>
      </w:r>
      <w:r w:rsidRPr="004E533B">
        <w:rPr>
          <w:rFonts w:cs="Times New Roman"/>
          <w:bCs/>
          <w:szCs w:val="24"/>
        </w:rPr>
        <w:t xml:space="preserve">seniorów emerytów w 2024 r. wyniósłby ok. 1 827 000,00 zł. W 2025 r. łączny koszt rehabilitacji emerytów seniorów wyniósłby ok. 1 902 600,00 zł, ponieważ stawkę odpłatności za osobodzień podwyższono o prognozowany wskaźnik inflacji w 2024 r., tj. 4,2% do </w:t>
      </w:r>
      <w:r w:rsidRPr="004E533B">
        <w:rPr>
          <w:rFonts w:cs="Times New Roman"/>
          <w:bCs/>
          <w:szCs w:val="24"/>
        </w:rPr>
        <w:lastRenderedPageBreak/>
        <w:t>wysokości 151,00 zł. W związku z brakiem możliwości prognozowania inflacji w latach kolejnych KRUS przyjęła średni wskaźnik inflacji z lat 2017</w:t>
      </w:r>
      <w:r>
        <w:rPr>
          <w:rFonts w:cs="Times New Roman"/>
          <w:bCs/>
          <w:szCs w:val="24"/>
        </w:rPr>
        <w:t>–</w:t>
      </w:r>
      <w:r w:rsidRPr="004E533B">
        <w:rPr>
          <w:rFonts w:cs="Times New Roman"/>
          <w:bCs/>
          <w:szCs w:val="24"/>
        </w:rPr>
        <w:t>2021, czyli pięciu ostatnich lat przed rokiem 2022, w którym wystąpił znaczny wzrost wskaźnika inflacji. W kolejnych latach stawka odpłatności za osobodzień została oszacowana, uwzględniając wskaźnik inflacji 3%, dlatego też w:</w:t>
      </w:r>
    </w:p>
    <w:p w14:paraId="17DFD68F" w14:textId="56516EDA" w:rsidR="00966447" w:rsidRPr="004E533B" w:rsidRDefault="00966447" w:rsidP="004E533B">
      <w:pPr>
        <w:widowControl/>
        <w:suppressAutoHyphens/>
        <w:ind w:left="284" w:hanging="284"/>
        <w:jc w:val="both"/>
        <w:rPr>
          <w:rFonts w:cs="Times New Roman"/>
          <w:bCs/>
          <w:szCs w:val="24"/>
        </w:rPr>
      </w:pPr>
      <w:r>
        <w:rPr>
          <w:rFonts w:cs="Times New Roman"/>
          <w:bCs/>
          <w:szCs w:val="24"/>
        </w:rPr>
        <w:t>–</w:t>
      </w:r>
      <w:r>
        <w:rPr>
          <w:rFonts w:cs="Times New Roman"/>
          <w:bCs/>
          <w:szCs w:val="24"/>
        </w:rPr>
        <w:tab/>
      </w:r>
      <w:r w:rsidRPr="004E533B">
        <w:rPr>
          <w:rFonts w:cs="Times New Roman"/>
          <w:bCs/>
          <w:szCs w:val="24"/>
        </w:rPr>
        <w:t xml:space="preserve">w 2026 r. stawka odpłatności za osobodzień to 156 zł, a łączny koszt rehabilitacji to ok. 1 965 600,00 zł, </w:t>
      </w:r>
    </w:p>
    <w:p w14:paraId="0136F216" w14:textId="4FA1AD28" w:rsidR="00966447" w:rsidRPr="004E533B" w:rsidRDefault="00966447" w:rsidP="004E533B">
      <w:pPr>
        <w:widowControl/>
        <w:suppressAutoHyphens/>
        <w:ind w:left="284" w:hanging="284"/>
        <w:jc w:val="both"/>
        <w:rPr>
          <w:rFonts w:cs="Times New Roman"/>
          <w:bCs/>
          <w:szCs w:val="24"/>
        </w:rPr>
      </w:pPr>
      <w:r>
        <w:rPr>
          <w:rFonts w:cs="Times New Roman"/>
          <w:bCs/>
          <w:szCs w:val="24"/>
        </w:rPr>
        <w:t>–</w:t>
      </w:r>
      <w:r>
        <w:rPr>
          <w:rFonts w:cs="Times New Roman"/>
          <w:bCs/>
          <w:szCs w:val="24"/>
        </w:rPr>
        <w:tab/>
      </w:r>
      <w:r w:rsidRPr="004E533B">
        <w:rPr>
          <w:rFonts w:cs="Times New Roman"/>
          <w:bCs/>
          <w:szCs w:val="24"/>
        </w:rPr>
        <w:t>w 2027 r. stawka odpłatności za osobodzień to 161 zł, a łączny koszt rehabilitacji to ok</w:t>
      </w:r>
      <w:r w:rsidR="00793EBF">
        <w:rPr>
          <w:rFonts w:cs="Times New Roman"/>
          <w:bCs/>
          <w:szCs w:val="24"/>
        </w:rPr>
        <w:t>.</w:t>
      </w:r>
      <w:r w:rsidRPr="004E533B">
        <w:rPr>
          <w:rFonts w:cs="Times New Roman"/>
          <w:bCs/>
          <w:szCs w:val="24"/>
        </w:rPr>
        <w:t xml:space="preserve"> 2 028 600,00 zł,</w:t>
      </w:r>
    </w:p>
    <w:p w14:paraId="33F1EA12" w14:textId="304D7120" w:rsidR="00966447" w:rsidRPr="004E533B" w:rsidRDefault="00966447" w:rsidP="004E533B">
      <w:pPr>
        <w:widowControl/>
        <w:suppressAutoHyphens/>
        <w:ind w:left="284" w:hanging="284"/>
        <w:jc w:val="both"/>
        <w:rPr>
          <w:rFonts w:cs="Times New Roman"/>
          <w:bCs/>
          <w:szCs w:val="24"/>
        </w:rPr>
      </w:pPr>
      <w:r>
        <w:rPr>
          <w:rFonts w:cs="Times New Roman"/>
          <w:bCs/>
          <w:szCs w:val="24"/>
        </w:rPr>
        <w:t>–</w:t>
      </w:r>
      <w:r>
        <w:rPr>
          <w:rFonts w:cs="Times New Roman"/>
          <w:bCs/>
          <w:szCs w:val="24"/>
        </w:rPr>
        <w:tab/>
      </w:r>
      <w:r w:rsidRPr="004E533B">
        <w:rPr>
          <w:rFonts w:cs="Times New Roman"/>
          <w:bCs/>
          <w:szCs w:val="24"/>
        </w:rPr>
        <w:t>w 2028 r. stawka odpłatności za osobodzień to 166 zł, a łączny koszt rehabilitacji to ok. 2 091 600,00 zł,</w:t>
      </w:r>
    </w:p>
    <w:p w14:paraId="62AD713B" w14:textId="4914E58A" w:rsidR="00966447" w:rsidRPr="004E533B" w:rsidRDefault="00966447" w:rsidP="004E533B">
      <w:pPr>
        <w:widowControl/>
        <w:suppressAutoHyphens/>
        <w:ind w:left="284" w:hanging="284"/>
        <w:jc w:val="both"/>
        <w:rPr>
          <w:rFonts w:cs="Times New Roman"/>
          <w:szCs w:val="24"/>
        </w:rPr>
      </w:pPr>
      <w:r>
        <w:rPr>
          <w:rFonts w:cs="Times New Roman"/>
          <w:szCs w:val="24"/>
        </w:rPr>
        <w:t>–</w:t>
      </w:r>
      <w:r>
        <w:rPr>
          <w:rFonts w:cs="Times New Roman"/>
          <w:szCs w:val="24"/>
        </w:rPr>
        <w:tab/>
      </w:r>
      <w:r w:rsidRPr="004E533B">
        <w:rPr>
          <w:rFonts w:cs="Times New Roman"/>
          <w:szCs w:val="24"/>
        </w:rPr>
        <w:t>w 2029 r. stawka odpłatności za osobodzień to 171 zł, a łączny koszt rehabilitacji to ok. 2 154 600,00 zł,</w:t>
      </w:r>
    </w:p>
    <w:p w14:paraId="32DDCEB8" w14:textId="45BAA382" w:rsidR="00966447" w:rsidRPr="004E533B" w:rsidRDefault="00966447" w:rsidP="004E533B">
      <w:pPr>
        <w:widowControl/>
        <w:suppressAutoHyphens/>
        <w:ind w:left="284" w:hanging="284"/>
        <w:jc w:val="both"/>
        <w:rPr>
          <w:rFonts w:cs="Times New Roman"/>
          <w:szCs w:val="24"/>
        </w:rPr>
      </w:pPr>
      <w:r>
        <w:rPr>
          <w:rFonts w:cs="Times New Roman"/>
          <w:szCs w:val="24"/>
        </w:rPr>
        <w:t>–</w:t>
      </w:r>
      <w:r>
        <w:rPr>
          <w:rFonts w:cs="Times New Roman"/>
          <w:szCs w:val="24"/>
        </w:rPr>
        <w:tab/>
      </w:r>
      <w:r w:rsidRPr="004E533B">
        <w:rPr>
          <w:rFonts w:cs="Times New Roman"/>
          <w:szCs w:val="24"/>
        </w:rPr>
        <w:t>w 2030 r. stawka odpłatności za osobodzień to 176 zł, a łączny koszt rehabilitacji to ok. 2 217 600,00 zł,</w:t>
      </w:r>
    </w:p>
    <w:p w14:paraId="025048C2" w14:textId="26763814" w:rsidR="00966447" w:rsidRPr="004E533B" w:rsidRDefault="00966447" w:rsidP="004E533B">
      <w:pPr>
        <w:widowControl/>
        <w:suppressAutoHyphens/>
        <w:ind w:left="284" w:hanging="284"/>
        <w:jc w:val="both"/>
        <w:rPr>
          <w:rFonts w:cs="Times New Roman"/>
          <w:szCs w:val="24"/>
        </w:rPr>
      </w:pPr>
      <w:r>
        <w:rPr>
          <w:rFonts w:cs="Times New Roman"/>
          <w:szCs w:val="24"/>
        </w:rPr>
        <w:t>–</w:t>
      </w:r>
      <w:r>
        <w:rPr>
          <w:rFonts w:cs="Times New Roman"/>
          <w:szCs w:val="24"/>
        </w:rPr>
        <w:tab/>
      </w:r>
      <w:r w:rsidRPr="004E533B">
        <w:rPr>
          <w:rFonts w:cs="Times New Roman"/>
          <w:szCs w:val="24"/>
        </w:rPr>
        <w:t>w 2031 r. stawka odpłatności za osobodzień to 181 zł, a łączny koszt rehabilitacji to ok. 2 280 600,00 zł,</w:t>
      </w:r>
    </w:p>
    <w:p w14:paraId="5D03DAC5" w14:textId="28E9C763" w:rsidR="00966447" w:rsidRPr="004E533B" w:rsidRDefault="00966447" w:rsidP="004E533B">
      <w:pPr>
        <w:widowControl/>
        <w:suppressAutoHyphens/>
        <w:ind w:left="284" w:hanging="284"/>
        <w:jc w:val="both"/>
        <w:rPr>
          <w:rFonts w:cs="Times New Roman"/>
          <w:szCs w:val="24"/>
        </w:rPr>
      </w:pPr>
      <w:r>
        <w:rPr>
          <w:rFonts w:cs="Times New Roman"/>
          <w:szCs w:val="24"/>
        </w:rPr>
        <w:t>–</w:t>
      </w:r>
      <w:r>
        <w:rPr>
          <w:rFonts w:cs="Times New Roman"/>
          <w:szCs w:val="24"/>
        </w:rPr>
        <w:tab/>
      </w:r>
      <w:r w:rsidRPr="004E533B">
        <w:rPr>
          <w:rFonts w:cs="Times New Roman"/>
          <w:szCs w:val="24"/>
        </w:rPr>
        <w:t>w 2032 r. stawka odpłatności za osobodzień to 186 zł, a łączny koszt rehabilitacji to ok. 2 343 600,00 zł.</w:t>
      </w:r>
    </w:p>
    <w:p w14:paraId="77EC9C6B" w14:textId="3EF7962A" w:rsidR="00966447" w:rsidRPr="004E533B" w:rsidRDefault="00966447" w:rsidP="004E533B">
      <w:pPr>
        <w:widowControl/>
        <w:suppressAutoHyphens/>
        <w:spacing w:before="120"/>
        <w:jc w:val="both"/>
        <w:rPr>
          <w:rFonts w:cs="Times New Roman"/>
          <w:bCs/>
          <w:szCs w:val="24"/>
        </w:rPr>
      </w:pPr>
      <w:r w:rsidRPr="004E533B">
        <w:rPr>
          <w:rFonts w:cs="Times New Roman"/>
          <w:bCs/>
          <w:szCs w:val="24"/>
        </w:rPr>
        <w:t>Miesięczna liczba emerytur w IV kwartale 2020 r. wyniosła 840</w:t>
      </w:r>
      <w:r w:rsidR="006805F4">
        <w:rPr>
          <w:rFonts w:cs="Times New Roman"/>
          <w:bCs/>
          <w:szCs w:val="24"/>
        </w:rPr>
        <w:t xml:space="preserve"> </w:t>
      </w:r>
      <w:r w:rsidRPr="004E533B">
        <w:rPr>
          <w:rFonts w:cs="Times New Roman"/>
          <w:bCs/>
          <w:szCs w:val="24"/>
        </w:rPr>
        <w:t>472 (bez rodzicielskich świadczeń uzupełniających, lecz z emeryturami finansowanymi z funduszu emerytalno</w:t>
      </w:r>
      <w:r>
        <w:rPr>
          <w:rFonts w:cs="Times New Roman"/>
          <w:bCs/>
          <w:szCs w:val="24"/>
        </w:rPr>
        <w:noBreakHyphen/>
      </w:r>
      <w:r w:rsidRPr="004E533B">
        <w:rPr>
          <w:rFonts w:cs="Times New Roman"/>
          <w:bCs/>
          <w:szCs w:val="24"/>
        </w:rPr>
        <w:t xml:space="preserve">rentowego, a wypłaconymi przez MON, MSWiA, MS oraz ze świadczeniami rolnymi w wysokości 50% ze względu na uprawnienia do świadczeń pracowniczych zbiegających się ze świadczeniami zagranicznymi). </w:t>
      </w:r>
      <w:r w:rsidRPr="004E533B">
        <w:rPr>
          <w:rFonts w:cs="Times New Roman"/>
          <w:bCs/>
          <w:szCs w:val="24"/>
          <w:lang w:eastAsia="en-US"/>
        </w:rPr>
        <w:t xml:space="preserve">Pobyt na turnusie będzie miał charakter usprawniający. Rolnik </w:t>
      </w:r>
      <w:r>
        <w:rPr>
          <w:rFonts w:cs="Times New Roman"/>
          <w:bCs/>
          <w:szCs w:val="24"/>
          <w:lang w:eastAsia="en-US"/>
        </w:rPr>
        <w:t>–</w:t>
      </w:r>
      <w:r w:rsidRPr="004E533B">
        <w:rPr>
          <w:rFonts w:cs="Times New Roman"/>
          <w:bCs/>
          <w:szCs w:val="24"/>
          <w:lang w:eastAsia="en-US"/>
        </w:rPr>
        <w:t xml:space="preserve"> senior emeryt będzie miał zagwarantowane średnio 3 zabiegi dziennie. Program usprawniający i rodzaj zabiegów będzie określał lekarz w Centrum Rehabilitacji Rolników KRUS. Warunkiem niezbędnym przy kwalifikacji na rehabilitację leczniczą rolników </w:t>
      </w:r>
      <w:r>
        <w:rPr>
          <w:rFonts w:cs="Times New Roman"/>
          <w:bCs/>
          <w:szCs w:val="24"/>
          <w:lang w:eastAsia="en-US"/>
        </w:rPr>
        <w:t>–</w:t>
      </w:r>
      <w:r w:rsidRPr="004E533B">
        <w:rPr>
          <w:rFonts w:cs="Times New Roman"/>
          <w:bCs/>
          <w:szCs w:val="24"/>
          <w:lang w:eastAsia="en-US"/>
        </w:rPr>
        <w:t xml:space="preserve"> seniorów emerytów byłaby samodzielność psychofizyczna (sprawność ruchowa, funkcje poznawcze, stan emocjonalny). Ze świadczenia nie mogłaby skorzystać osoba niesamodzielna, czyli taka, u której z powodu naruszenia funkcji organizmu stwierdza się ograniczenia aktywności powodujące konieczność długotrwałego albo stałego wsparcia innej osoby w celu zaspokojenia podstawowych potrzeb życiowych. Przyjęto, że seniorzy to osoby, u których często jest </w:t>
      </w:r>
      <w:r w:rsidRPr="004E533B">
        <w:rPr>
          <w:rFonts w:cs="Times New Roman"/>
          <w:bCs/>
          <w:szCs w:val="24"/>
          <w:lang w:eastAsia="en-US"/>
        </w:rPr>
        <w:lastRenderedPageBreak/>
        <w:t xml:space="preserve">stosowana przewlekła farmakoterapia oraz występuje </w:t>
      </w:r>
      <w:proofErr w:type="spellStart"/>
      <w:r w:rsidRPr="004E533B">
        <w:rPr>
          <w:rFonts w:cs="Times New Roman"/>
          <w:bCs/>
          <w:szCs w:val="24"/>
          <w:lang w:eastAsia="en-US"/>
        </w:rPr>
        <w:t>wielochorobowość</w:t>
      </w:r>
      <w:proofErr w:type="spellEnd"/>
      <w:r w:rsidRPr="004E533B">
        <w:rPr>
          <w:rFonts w:cs="Times New Roman"/>
          <w:bCs/>
          <w:szCs w:val="24"/>
          <w:lang w:eastAsia="en-US"/>
        </w:rPr>
        <w:t xml:space="preserve"> (najczęściej schorzenia kardiologiczno-pulmonologiczne, układu ruchu, demencyjne). Z tego względu o możliwości skierowania rolnika </w:t>
      </w:r>
      <w:r>
        <w:rPr>
          <w:rFonts w:cs="Times New Roman"/>
          <w:bCs/>
          <w:szCs w:val="24"/>
          <w:lang w:eastAsia="en-US"/>
        </w:rPr>
        <w:t>–</w:t>
      </w:r>
      <w:r w:rsidRPr="004E533B">
        <w:rPr>
          <w:rFonts w:cs="Times New Roman"/>
          <w:bCs/>
          <w:szCs w:val="24"/>
          <w:lang w:eastAsia="en-US"/>
        </w:rPr>
        <w:t xml:space="preserve"> seniora emeryta na turnus rehabilitacyjny będą decydowały kryteria: medyczne, proceduralne oraz formalno-prawne. Kryteria medyczne, czyli wskazania i przeciwwskazania</w:t>
      </w:r>
      <w:r w:rsidR="000122A8">
        <w:rPr>
          <w:rFonts w:cs="Times New Roman"/>
          <w:bCs/>
          <w:szCs w:val="24"/>
          <w:lang w:eastAsia="en-US"/>
        </w:rPr>
        <w:t>,</w:t>
      </w:r>
      <w:r w:rsidRPr="004E533B">
        <w:rPr>
          <w:rFonts w:cs="Times New Roman"/>
          <w:bCs/>
          <w:szCs w:val="24"/>
          <w:lang w:eastAsia="en-US"/>
        </w:rPr>
        <w:t xml:space="preserve"> zostaną opracowane przez KRUS. Do kryteriów formalno-prawnych należy zaliczyć</w:t>
      </w:r>
      <w:r w:rsidR="000122A8">
        <w:rPr>
          <w:rFonts w:cs="Times New Roman"/>
          <w:bCs/>
          <w:szCs w:val="24"/>
          <w:lang w:eastAsia="en-US"/>
        </w:rPr>
        <w:t>:</w:t>
      </w:r>
      <w:r w:rsidRPr="004E533B">
        <w:rPr>
          <w:rFonts w:cs="Times New Roman"/>
          <w:bCs/>
          <w:szCs w:val="24"/>
          <w:lang w:eastAsia="en-US"/>
        </w:rPr>
        <w:t xml:space="preserve"> brak określenia górnej granicy wieku oraz pobieranie przez osobę świadczenia emerytalnego, natomiast do kryteriów proceduralnych należy</w:t>
      </w:r>
      <w:r w:rsidR="000122A8">
        <w:rPr>
          <w:rFonts w:cs="Times New Roman"/>
          <w:bCs/>
          <w:szCs w:val="24"/>
          <w:lang w:eastAsia="en-US"/>
        </w:rPr>
        <w:t>:</w:t>
      </w:r>
      <w:r w:rsidRPr="004E533B">
        <w:rPr>
          <w:rFonts w:cs="Times New Roman"/>
          <w:bCs/>
          <w:szCs w:val="24"/>
          <w:lang w:eastAsia="en-US"/>
        </w:rPr>
        <w:t xml:space="preserve"> wystawienie wniosku przez lekarza POZ lub lekarza specjalistę</w:t>
      </w:r>
      <w:r w:rsidRPr="004E533B">
        <w:rPr>
          <w:rFonts w:cs="Times New Roman"/>
          <w:bCs/>
          <w:szCs w:val="24"/>
        </w:rPr>
        <w:t xml:space="preserve">, złożenie tego wniosku </w:t>
      </w:r>
      <w:r w:rsidRPr="004E533B">
        <w:rPr>
          <w:rFonts w:cs="Times New Roman"/>
          <w:bCs/>
          <w:szCs w:val="24"/>
          <w:lang w:eastAsia="en-US"/>
        </w:rPr>
        <w:t xml:space="preserve">w jednostce organizacyjnej KRUS oraz </w:t>
      </w:r>
      <w:r w:rsidRPr="004E533B">
        <w:rPr>
          <w:rFonts w:cs="Times New Roman"/>
          <w:bCs/>
          <w:szCs w:val="24"/>
        </w:rPr>
        <w:t>weryfikacja medyczna tego wniosku przez lekarza Regionalnego Inspektora Orzecznictwa Lekarskiego.</w:t>
      </w:r>
    </w:p>
    <w:p w14:paraId="4B39B872" w14:textId="582E7FB4" w:rsidR="00966447" w:rsidRPr="004E533B" w:rsidRDefault="00966447" w:rsidP="004E533B">
      <w:pPr>
        <w:widowControl/>
        <w:suppressAutoHyphens/>
        <w:spacing w:before="120"/>
        <w:jc w:val="both"/>
        <w:rPr>
          <w:rFonts w:cs="Times New Roman"/>
          <w:bCs/>
          <w:szCs w:val="24"/>
          <w:lang w:eastAsia="en-US"/>
        </w:rPr>
      </w:pPr>
      <w:r w:rsidRPr="004E533B">
        <w:rPr>
          <w:rFonts w:cs="Times New Roman"/>
          <w:bCs/>
          <w:szCs w:val="24"/>
        </w:rPr>
        <w:t xml:space="preserve">Organizacja turnusów regeneracyjnych dla opiekunów osób niepełnosprawnych ma na celu poprawę ich kondycji psychofizycznej i jakości życia (charakter regeneracyjny). </w:t>
      </w:r>
      <w:r w:rsidRPr="004E533B">
        <w:rPr>
          <w:rFonts w:cs="Times New Roman"/>
          <w:bCs/>
          <w:szCs w:val="24"/>
          <w:lang w:eastAsia="en-US"/>
        </w:rPr>
        <w:t>Opiekunem osoby niepełnosprawnej jest osoba, która podlegała ubezpieczeniu jako rolnik lub domownik i zaprzestała prowadzenia działalności rolniczej lub pracy w gospodarstwie rolnym w związku z nabyciem prawa do świadczenia pielęgnacyjnego lub specjalnego zasiłku opiekuńczego na podstawie ustawy z dnia 28 listopada 2003 r. o świadczeniach rodzinnych</w:t>
      </w:r>
      <w:r w:rsidR="00F635A9">
        <w:rPr>
          <w:rFonts w:cs="Times New Roman"/>
          <w:bCs/>
          <w:szCs w:val="24"/>
          <w:lang w:eastAsia="en-US"/>
        </w:rPr>
        <w:t xml:space="preserve"> (Dz. U. z 2022 r. poz. 615)</w:t>
      </w:r>
      <w:r w:rsidRPr="004E533B">
        <w:rPr>
          <w:rFonts w:cs="Times New Roman"/>
          <w:bCs/>
          <w:szCs w:val="24"/>
          <w:lang w:eastAsia="en-US"/>
        </w:rPr>
        <w:t xml:space="preserve"> albo zasiłku dla opiekuna na podstawie ustawy z dnia 4 kwietnia 2014 r. o ustaleniu i wypłacie zasiłków dla opiekunów (Dz. U. z 2020 r. poz. 1297) przez okres pobierania tego świadczenia albo zasiłku </w:t>
      </w:r>
      <w:r>
        <w:rPr>
          <w:rFonts w:cs="Times New Roman"/>
          <w:bCs/>
          <w:szCs w:val="24"/>
          <w:lang w:eastAsia="en-US"/>
        </w:rPr>
        <w:t>–</w:t>
      </w:r>
      <w:r w:rsidRPr="004E533B">
        <w:rPr>
          <w:rFonts w:cs="Times New Roman"/>
          <w:bCs/>
          <w:szCs w:val="24"/>
          <w:lang w:eastAsia="en-US"/>
        </w:rPr>
        <w:t xml:space="preserve"> do uzyskania 25-letniego okresu ubezpieczenia emerytalno-rentowego, o którym mowa w art. 19 ust. 1 pkt 2.</w:t>
      </w:r>
    </w:p>
    <w:p w14:paraId="0065C5C2" w14:textId="3B48AF3C" w:rsidR="00966447" w:rsidRPr="004E533B" w:rsidRDefault="00966447" w:rsidP="004E533B">
      <w:pPr>
        <w:widowControl/>
        <w:suppressAutoHyphens/>
        <w:spacing w:before="120"/>
        <w:jc w:val="both"/>
        <w:rPr>
          <w:rFonts w:cs="Times New Roman"/>
          <w:bCs/>
          <w:szCs w:val="24"/>
        </w:rPr>
      </w:pPr>
      <w:r w:rsidRPr="004E533B">
        <w:rPr>
          <w:rFonts w:cs="Times New Roman"/>
          <w:bCs/>
          <w:szCs w:val="24"/>
        </w:rPr>
        <w:t>Liczba osób, które podlegają ubezpieczeniu emerytalno-rentowemu na wniosek w okresie przyznania świadczenia pielęgnacyjnego lub specjalnego zasiłku opiekuńczego na podstawie ustawy o świadczeniach rodzinnych albo zasiłku dla opiekuna na podstawie ustawy o ustaleniu i wypłacie zasiłków dla opiekunów, za które wójt, burmistrz, prezydent miasta opłaca składki na to ubezpieczenie, na koniec IV kwartału 2020 r. wyn</w:t>
      </w:r>
      <w:r w:rsidR="00D9134C">
        <w:rPr>
          <w:rFonts w:cs="Times New Roman"/>
          <w:bCs/>
          <w:szCs w:val="24"/>
        </w:rPr>
        <w:t>iosła</w:t>
      </w:r>
      <w:r w:rsidRPr="004E533B">
        <w:rPr>
          <w:rFonts w:cs="Times New Roman"/>
          <w:bCs/>
          <w:szCs w:val="24"/>
        </w:rPr>
        <w:t xml:space="preserve"> 9001 osób. </w:t>
      </w:r>
    </w:p>
    <w:p w14:paraId="5B605CDF" w14:textId="6E7772CD" w:rsidR="00966447" w:rsidRPr="004E533B" w:rsidRDefault="00966447" w:rsidP="004E533B">
      <w:pPr>
        <w:widowControl/>
        <w:suppressAutoHyphens/>
        <w:spacing w:before="120"/>
        <w:jc w:val="both"/>
        <w:rPr>
          <w:rFonts w:cs="Times New Roman"/>
          <w:bCs/>
          <w:szCs w:val="24"/>
        </w:rPr>
      </w:pPr>
      <w:r w:rsidRPr="004E533B">
        <w:rPr>
          <w:rFonts w:cs="Times New Roman"/>
          <w:bCs/>
          <w:szCs w:val="24"/>
        </w:rPr>
        <w:t>KRUS planuje skierować ok</w:t>
      </w:r>
      <w:r w:rsidR="00FE78D5">
        <w:rPr>
          <w:rFonts w:cs="Times New Roman"/>
          <w:bCs/>
          <w:szCs w:val="24"/>
        </w:rPr>
        <w:t>.</w:t>
      </w:r>
      <w:r w:rsidRPr="004E533B">
        <w:rPr>
          <w:rFonts w:cs="Times New Roman"/>
          <w:bCs/>
          <w:szCs w:val="24"/>
        </w:rPr>
        <w:t xml:space="preserve"> 600 opiekunów osób niepełnosprawnych na turnusy regeneracyjne w 2023 r. KRUS ma możliwość skierowania na turnusy regeneracyjne większą liczbę opiekunów osób niepełnosprawnych, należy jednak podkreślić, że jest to uzależnione od zapotrzebowania i posiadanych środków pieniężnych. Do oszacowania kosztu turnusów regeneracyjnych dla opiekunów osób niepełnosprawnych przyjęto </w:t>
      </w:r>
      <w:r w:rsidRPr="004E533B">
        <w:rPr>
          <w:rFonts w:cs="Times New Roman"/>
          <w:bCs/>
          <w:szCs w:val="24"/>
        </w:rPr>
        <w:lastRenderedPageBreak/>
        <w:t>wysokość stawki odpłatności za osobodzień jak w rehabilitacji leczniczej chorób układu ruchu rolników, realizowanej przez KRUS, tj. w 2023 r. przyjęto wysokość stawki odpłatności za osobodzień rehabilitacji leczniczej chorób układu ruchu rolników, realizowanej przez KRUS w 2022 r., tj. 120,00 zł, którą powiększono o prognozowaną przez NBP wysokość inflacji w 2022 r., tj. 10,8%, co dało kwotę 133</w:t>
      </w:r>
      <w:r w:rsidR="005065F7">
        <w:rPr>
          <w:rFonts w:cs="Times New Roman"/>
          <w:bCs/>
          <w:szCs w:val="24"/>
        </w:rPr>
        <w:t>,</w:t>
      </w:r>
      <w:r w:rsidRPr="004E533B">
        <w:rPr>
          <w:rFonts w:cs="Times New Roman"/>
          <w:bCs/>
          <w:szCs w:val="24"/>
        </w:rPr>
        <w:t>00 zł odpłatności za osobodzień. Koszt turnusów regeneracyjnych ok. 600 opiekunów osób niepełnosprawnych wyniósłby ok. 558 600,00 zł i są to dodatkowe środki pieniężne do pozyskania. W 2024 r. stawka odpłatności za osobodzień</w:t>
      </w:r>
      <w:r>
        <w:rPr>
          <w:rFonts w:cs="Times New Roman"/>
          <w:bCs/>
          <w:szCs w:val="24"/>
        </w:rPr>
        <w:t xml:space="preserve"> </w:t>
      </w:r>
      <w:r w:rsidRPr="004E533B">
        <w:rPr>
          <w:rFonts w:cs="Times New Roman"/>
          <w:bCs/>
          <w:szCs w:val="24"/>
        </w:rPr>
        <w:t>została podwyższona o prognozowany wskaźnik inflacji w 2023 r., tj. 9%, co daje stawkę odpłatności za osobodzień w wysokości 145,00 zł. Łączny koszt turnusów regeneracyjnych opiekunów osób niepełnosprawnych w 2024 r. wyniósłby ok. 609 000,00 zł. W 2025 r. łączny koszt turnusów regeneracyjnych opiekunów osób niepełnosprawnych wyniósłby ok. 634 200,00 zł, ponieważ stawkę odpłatności podwyższono o prognozowany wskaźnik inflacji w 2024 r., tj. 4,2%</w:t>
      </w:r>
      <w:r w:rsidR="0035006B">
        <w:rPr>
          <w:rFonts w:cs="Times New Roman"/>
          <w:bCs/>
          <w:szCs w:val="24"/>
        </w:rPr>
        <w:t>,</w:t>
      </w:r>
      <w:r w:rsidRPr="004E533B">
        <w:rPr>
          <w:rFonts w:cs="Times New Roman"/>
          <w:bCs/>
          <w:szCs w:val="24"/>
        </w:rPr>
        <w:t xml:space="preserve"> do wysokości 151,00 zł. </w:t>
      </w:r>
    </w:p>
    <w:p w14:paraId="1AD7B61A" w14:textId="10429C87" w:rsidR="00966447" w:rsidRPr="004E533B" w:rsidRDefault="00966447" w:rsidP="004E533B">
      <w:pPr>
        <w:widowControl/>
        <w:suppressAutoHyphens/>
        <w:spacing w:before="120"/>
        <w:jc w:val="both"/>
        <w:rPr>
          <w:rFonts w:cs="Times New Roman"/>
          <w:bCs/>
          <w:szCs w:val="24"/>
        </w:rPr>
      </w:pPr>
      <w:r w:rsidRPr="004E533B">
        <w:rPr>
          <w:rFonts w:cs="Times New Roman"/>
          <w:bCs/>
          <w:szCs w:val="24"/>
        </w:rPr>
        <w:t>W związku z brakiem możliwości prognozowania inflacji w latach kolejnych KRUS przyjęła średni wskaźnik inflacji z lat 2017</w:t>
      </w:r>
      <w:r>
        <w:rPr>
          <w:rFonts w:cs="Times New Roman"/>
          <w:bCs/>
          <w:szCs w:val="24"/>
        </w:rPr>
        <w:t>–</w:t>
      </w:r>
      <w:r w:rsidRPr="004E533B">
        <w:rPr>
          <w:rFonts w:cs="Times New Roman"/>
          <w:bCs/>
          <w:szCs w:val="24"/>
        </w:rPr>
        <w:t>2021, czyli pięciu ostatnich lat przed rokiem 2022, w którym wystąpił znaczny wzrost wskaźnika inflacji. W kolejnych latach stawka odpłatności za osobodzień została oszacowana</w:t>
      </w:r>
      <w:r w:rsidR="007A5F8B">
        <w:rPr>
          <w:rFonts w:cs="Times New Roman"/>
          <w:bCs/>
          <w:szCs w:val="24"/>
        </w:rPr>
        <w:t>,</w:t>
      </w:r>
      <w:r w:rsidRPr="004E533B">
        <w:rPr>
          <w:rFonts w:cs="Times New Roman"/>
          <w:bCs/>
          <w:szCs w:val="24"/>
        </w:rPr>
        <w:t xml:space="preserve"> uwzględniając wskaźnik inflacji 3%, dlatego też w:</w:t>
      </w:r>
    </w:p>
    <w:p w14:paraId="6071B233" w14:textId="78503956" w:rsidR="00966447" w:rsidRPr="004E533B" w:rsidRDefault="00966447" w:rsidP="004E533B">
      <w:pPr>
        <w:widowControl/>
        <w:suppressAutoHyphens/>
        <w:ind w:left="284" w:hanging="284"/>
        <w:jc w:val="both"/>
        <w:rPr>
          <w:rFonts w:cs="Times New Roman"/>
          <w:bCs/>
          <w:szCs w:val="24"/>
        </w:rPr>
      </w:pPr>
      <w:r>
        <w:rPr>
          <w:rFonts w:cs="Times New Roman"/>
          <w:bCs/>
          <w:szCs w:val="24"/>
        </w:rPr>
        <w:t>–</w:t>
      </w:r>
      <w:r>
        <w:rPr>
          <w:rFonts w:cs="Times New Roman"/>
          <w:bCs/>
          <w:szCs w:val="24"/>
        </w:rPr>
        <w:tab/>
      </w:r>
      <w:r w:rsidRPr="004E533B">
        <w:rPr>
          <w:rFonts w:cs="Times New Roman"/>
          <w:bCs/>
          <w:szCs w:val="24"/>
        </w:rPr>
        <w:t xml:space="preserve">w 2026 r. stawka odpłatności za osobodzień to 156 zł, a łączny koszt rehabilitacji to ok. 655 200,00 zł, </w:t>
      </w:r>
    </w:p>
    <w:p w14:paraId="04CE358F" w14:textId="78EF6CFC" w:rsidR="00966447" w:rsidRPr="004E533B" w:rsidRDefault="00966447" w:rsidP="004E533B">
      <w:pPr>
        <w:widowControl/>
        <w:suppressAutoHyphens/>
        <w:ind w:left="284" w:hanging="284"/>
        <w:jc w:val="both"/>
        <w:rPr>
          <w:rFonts w:cs="Times New Roman"/>
          <w:bCs/>
          <w:szCs w:val="24"/>
        </w:rPr>
      </w:pPr>
      <w:r>
        <w:rPr>
          <w:rFonts w:cs="Times New Roman"/>
          <w:bCs/>
          <w:szCs w:val="24"/>
        </w:rPr>
        <w:t>–</w:t>
      </w:r>
      <w:r>
        <w:rPr>
          <w:rFonts w:cs="Times New Roman"/>
          <w:bCs/>
          <w:szCs w:val="24"/>
        </w:rPr>
        <w:tab/>
      </w:r>
      <w:r w:rsidRPr="004E533B">
        <w:rPr>
          <w:rFonts w:cs="Times New Roman"/>
          <w:bCs/>
          <w:szCs w:val="24"/>
        </w:rPr>
        <w:t>w 2027 r. stawka odpłatności za osobodzień to 161 zł, a łączny koszt rehabilitacji to ok</w:t>
      </w:r>
      <w:r w:rsidR="00B117D2">
        <w:rPr>
          <w:rFonts w:cs="Times New Roman"/>
          <w:bCs/>
          <w:szCs w:val="24"/>
        </w:rPr>
        <w:t>.</w:t>
      </w:r>
      <w:r w:rsidRPr="004E533B">
        <w:rPr>
          <w:rFonts w:cs="Times New Roman"/>
          <w:bCs/>
          <w:szCs w:val="24"/>
        </w:rPr>
        <w:t xml:space="preserve"> 676 200,00 zł,</w:t>
      </w:r>
    </w:p>
    <w:p w14:paraId="75E9590E" w14:textId="3B97206D" w:rsidR="00966447" w:rsidRPr="004E533B" w:rsidRDefault="00966447" w:rsidP="004E533B">
      <w:pPr>
        <w:widowControl/>
        <w:suppressAutoHyphens/>
        <w:ind w:left="284" w:hanging="284"/>
        <w:jc w:val="both"/>
        <w:rPr>
          <w:rFonts w:cs="Times New Roman"/>
          <w:bCs/>
          <w:szCs w:val="24"/>
        </w:rPr>
      </w:pPr>
      <w:r>
        <w:rPr>
          <w:rFonts w:cs="Times New Roman"/>
          <w:bCs/>
          <w:szCs w:val="24"/>
        </w:rPr>
        <w:t>–</w:t>
      </w:r>
      <w:r>
        <w:rPr>
          <w:rFonts w:cs="Times New Roman"/>
          <w:bCs/>
          <w:szCs w:val="24"/>
        </w:rPr>
        <w:tab/>
      </w:r>
      <w:r w:rsidRPr="004E533B">
        <w:rPr>
          <w:rFonts w:cs="Times New Roman"/>
          <w:bCs/>
          <w:szCs w:val="24"/>
        </w:rPr>
        <w:t>w 2028 r. stawka odpłatności za osobodzień to 166 zł, a łączny koszt rehabilitacji to ok. 697 200,00 zł,</w:t>
      </w:r>
    </w:p>
    <w:p w14:paraId="140A7170" w14:textId="4C24CFB6" w:rsidR="00966447" w:rsidRPr="004E533B" w:rsidRDefault="00966447" w:rsidP="004E533B">
      <w:pPr>
        <w:widowControl/>
        <w:suppressAutoHyphens/>
        <w:ind w:left="284" w:hanging="284"/>
        <w:jc w:val="both"/>
        <w:rPr>
          <w:rFonts w:cs="Times New Roman"/>
          <w:szCs w:val="24"/>
        </w:rPr>
      </w:pPr>
      <w:r>
        <w:rPr>
          <w:rFonts w:cs="Times New Roman"/>
          <w:szCs w:val="24"/>
        </w:rPr>
        <w:t>–</w:t>
      </w:r>
      <w:r>
        <w:rPr>
          <w:rFonts w:cs="Times New Roman"/>
          <w:szCs w:val="24"/>
        </w:rPr>
        <w:tab/>
      </w:r>
      <w:r w:rsidRPr="004E533B">
        <w:rPr>
          <w:rFonts w:cs="Times New Roman"/>
          <w:szCs w:val="24"/>
        </w:rPr>
        <w:t>w 2029 r. stawka odpłatności za osobodzień to 171 zł</w:t>
      </w:r>
      <w:r w:rsidR="002B3584">
        <w:rPr>
          <w:rFonts w:cs="Times New Roman"/>
          <w:szCs w:val="24"/>
        </w:rPr>
        <w:t>,</w:t>
      </w:r>
      <w:r w:rsidRPr="004E533B">
        <w:rPr>
          <w:rFonts w:cs="Times New Roman"/>
          <w:szCs w:val="24"/>
        </w:rPr>
        <w:t xml:space="preserve"> a łączny koszt rehabilitacji to ok. 718 200,00 zł,</w:t>
      </w:r>
    </w:p>
    <w:p w14:paraId="6FAE9932" w14:textId="50C69F14" w:rsidR="00966447" w:rsidRPr="004E533B" w:rsidRDefault="00966447" w:rsidP="004E533B">
      <w:pPr>
        <w:widowControl/>
        <w:suppressAutoHyphens/>
        <w:ind w:left="284" w:hanging="284"/>
        <w:jc w:val="both"/>
        <w:rPr>
          <w:rFonts w:cs="Times New Roman"/>
          <w:szCs w:val="24"/>
        </w:rPr>
      </w:pPr>
      <w:r>
        <w:rPr>
          <w:rFonts w:cs="Times New Roman"/>
          <w:szCs w:val="24"/>
        </w:rPr>
        <w:t>–</w:t>
      </w:r>
      <w:r>
        <w:rPr>
          <w:rFonts w:cs="Times New Roman"/>
          <w:szCs w:val="24"/>
        </w:rPr>
        <w:tab/>
      </w:r>
      <w:r w:rsidRPr="004E533B">
        <w:rPr>
          <w:rFonts w:cs="Times New Roman"/>
          <w:szCs w:val="24"/>
        </w:rPr>
        <w:t>w 2030 r. stawka odpłatności za osobodzień to 176 zł, a łączny koszt rehabilitacji to ok. 739 200,00 zł,</w:t>
      </w:r>
    </w:p>
    <w:p w14:paraId="18380642" w14:textId="4E98225C" w:rsidR="00966447" w:rsidRPr="004E533B" w:rsidRDefault="00966447" w:rsidP="004E533B">
      <w:pPr>
        <w:widowControl/>
        <w:suppressAutoHyphens/>
        <w:ind w:left="284" w:hanging="284"/>
        <w:jc w:val="both"/>
        <w:rPr>
          <w:rFonts w:cs="Times New Roman"/>
          <w:szCs w:val="24"/>
        </w:rPr>
      </w:pPr>
      <w:r>
        <w:rPr>
          <w:rFonts w:cs="Times New Roman"/>
          <w:szCs w:val="24"/>
        </w:rPr>
        <w:t>–</w:t>
      </w:r>
      <w:r>
        <w:rPr>
          <w:rFonts w:cs="Times New Roman"/>
          <w:szCs w:val="24"/>
        </w:rPr>
        <w:tab/>
      </w:r>
      <w:r w:rsidRPr="004E533B">
        <w:rPr>
          <w:rFonts w:cs="Times New Roman"/>
          <w:szCs w:val="24"/>
        </w:rPr>
        <w:t>w 2031 r. stawka odpłatności za osobodzień to 181 zł, a łączny koszt rehabilitacji to ok. 760 200,00 zł,</w:t>
      </w:r>
    </w:p>
    <w:p w14:paraId="3854C574" w14:textId="777C12CA" w:rsidR="00966447" w:rsidRPr="004E533B" w:rsidRDefault="00966447" w:rsidP="004E533B">
      <w:pPr>
        <w:widowControl/>
        <w:suppressAutoHyphens/>
        <w:ind w:left="284" w:hanging="284"/>
        <w:jc w:val="both"/>
        <w:rPr>
          <w:rFonts w:cs="Times New Roman"/>
          <w:szCs w:val="24"/>
        </w:rPr>
      </w:pPr>
      <w:r>
        <w:rPr>
          <w:rFonts w:cs="Times New Roman"/>
          <w:szCs w:val="24"/>
        </w:rPr>
        <w:t>–</w:t>
      </w:r>
      <w:r>
        <w:rPr>
          <w:rFonts w:cs="Times New Roman"/>
          <w:szCs w:val="24"/>
        </w:rPr>
        <w:tab/>
      </w:r>
      <w:r w:rsidRPr="004E533B">
        <w:rPr>
          <w:rFonts w:cs="Times New Roman"/>
          <w:szCs w:val="24"/>
        </w:rPr>
        <w:t>w 2032 r. stawka odpłatności za osobodzień to 186 zł, a łączny koszt rehabilitacji to ok. 781 200,00 zł.</w:t>
      </w:r>
    </w:p>
    <w:p w14:paraId="2727C4D0" w14:textId="39ABAED5" w:rsidR="00966447" w:rsidRPr="004E533B" w:rsidRDefault="00966447" w:rsidP="004E533B">
      <w:pPr>
        <w:widowControl/>
        <w:suppressAutoHyphens/>
        <w:spacing w:before="120"/>
        <w:jc w:val="both"/>
        <w:rPr>
          <w:rFonts w:cs="Times New Roman"/>
          <w:bCs/>
          <w:szCs w:val="24"/>
        </w:rPr>
      </w:pPr>
      <w:r w:rsidRPr="004E533B">
        <w:rPr>
          <w:rFonts w:cs="Times New Roman"/>
          <w:bCs/>
          <w:szCs w:val="24"/>
        </w:rPr>
        <w:lastRenderedPageBreak/>
        <w:t xml:space="preserve">Turnus regeneracyjny jest to turnus mający na celu poprawę kondycji psychofizycznej i jakości życia dla opiekunów osób niepełnosprawnych. </w:t>
      </w:r>
      <w:r w:rsidRPr="004E533B">
        <w:rPr>
          <w:rFonts w:cs="Times New Roman"/>
          <w:bCs/>
          <w:szCs w:val="24"/>
          <w:lang w:eastAsia="en-US"/>
        </w:rPr>
        <w:t>Opiekun osoby niepełnosprawnej będzie miał zagwarantowane średnio 4 zabiegi dziennie, a ich rodzaj będzie określał lekarz w Centrum Rehabilitacji Rolników KRUS. Turnusy regeneracyjne będą realizowane w sześciu Centrach Rehabilitacji Rolników KRUS. O skorzystaniu z turnusów regeneracyjnych będą decydowały kryteria medyczne, tj. wskazania i przeciwwskazania korzystania z turnusów regeneracyjnych opracowane przez KRUS</w:t>
      </w:r>
      <w:r w:rsidR="003F6A96">
        <w:rPr>
          <w:rFonts w:cs="Times New Roman"/>
          <w:bCs/>
          <w:szCs w:val="24"/>
          <w:lang w:eastAsia="en-US"/>
        </w:rPr>
        <w:t>,</w:t>
      </w:r>
      <w:r w:rsidRPr="004E533B">
        <w:rPr>
          <w:rFonts w:cs="Times New Roman"/>
          <w:bCs/>
          <w:szCs w:val="24"/>
          <w:lang w:eastAsia="en-US"/>
        </w:rPr>
        <w:t xml:space="preserve"> oraz kryteria proceduralne</w:t>
      </w:r>
      <w:r w:rsidR="003F6A96">
        <w:rPr>
          <w:rFonts w:cs="Times New Roman"/>
          <w:bCs/>
          <w:szCs w:val="24"/>
          <w:lang w:eastAsia="en-US"/>
        </w:rPr>
        <w:t>:</w:t>
      </w:r>
      <w:r w:rsidRPr="004E533B">
        <w:rPr>
          <w:rFonts w:cs="Times New Roman"/>
          <w:bCs/>
          <w:szCs w:val="24"/>
          <w:lang w:eastAsia="en-US"/>
        </w:rPr>
        <w:t xml:space="preserve"> </w:t>
      </w:r>
      <w:r w:rsidRPr="004E533B">
        <w:rPr>
          <w:rFonts w:cs="Times New Roman"/>
          <w:bCs/>
          <w:szCs w:val="24"/>
        </w:rPr>
        <w:t xml:space="preserve">wniosek wystawiany przez lekarza POZ lub lekarza specjalistę, złożenie wniosku </w:t>
      </w:r>
      <w:r w:rsidRPr="004E533B">
        <w:rPr>
          <w:rFonts w:cs="Times New Roman"/>
          <w:bCs/>
          <w:szCs w:val="24"/>
          <w:lang w:eastAsia="en-US"/>
        </w:rPr>
        <w:t xml:space="preserve">w jednostce organizacyjnej KRUS oraz </w:t>
      </w:r>
      <w:r w:rsidRPr="004E533B">
        <w:rPr>
          <w:rFonts w:cs="Times New Roman"/>
          <w:bCs/>
          <w:szCs w:val="24"/>
        </w:rPr>
        <w:t>weryfikacja medyczna wniosku przez lekarza Regionalnego Inspektora Orzecznictwa Lekarskiego.</w:t>
      </w:r>
    </w:p>
    <w:p w14:paraId="3BB638F4" w14:textId="0A5EEFD5" w:rsidR="00966447" w:rsidRPr="004E533B" w:rsidRDefault="00966447" w:rsidP="004E533B">
      <w:pPr>
        <w:widowControl/>
        <w:suppressAutoHyphens/>
        <w:spacing w:before="120"/>
        <w:jc w:val="both"/>
        <w:rPr>
          <w:rFonts w:cs="Times New Roman"/>
          <w:bCs/>
          <w:szCs w:val="24"/>
        </w:rPr>
      </w:pPr>
      <w:r w:rsidRPr="004E533B">
        <w:rPr>
          <w:rFonts w:cs="Times New Roman"/>
          <w:bCs/>
          <w:szCs w:val="24"/>
        </w:rPr>
        <w:t xml:space="preserve">W związku ze zmianą ustawy </w:t>
      </w:r>
      <w:r w:rsidR="000203D8" w:rsidRPr="004E533B">
        <w:rPr>
          <w:rFonts w:cs="Times New Roman"/>
          <w:bCs/>
          <w:szCs w:val="24"/>
        </w:rPr>
        <w:t xml:space="preserve">będzie </w:t>
      </w:r>
      <w:r w:rsidRPr="004E533B">
        <w:rPr>
          <w:rFonts w:cs="Times New Roman"/>
          <w:bCs/>
          <w:szCs w:val="24"/>
        </w:rPr>
        <w:t>konieczne także dokonanie zmiany upoważnienia ustawowego do wydania przez ministra właściwego do spraw rozwoju wsi rozporządzenia w sprawie szczegółowych zasad i tryb kierowania na rehabilitację leczniczą i turnusy regeneracyjne.</w:t>
      </w:r>
    </w:p>
    <w:p w14:paraId="58B3B6DD" w14:textId="216657F6" w:rsidR="00966447" w:rsidRPr="004E533B" w:rsidRDefault="004E6C22" w:rsidP="004E533B">
      <w:pPr>
        <w:widowControl/>
        <w:suppressAutoHyphens/>
        <w:spacing w:before="120"/>
        <w:jc w:val="both"/>
        <w:rPr>
          <w:rFonts w:cs="Times New Roman"/>
          <w:bCs/>
          <w:szCs w:val="24"/>
        </w:rPr>
      </w:pPr>
      <w:r>
        <w:rPr>
          <w:rFonts w:cs="Times New Roman"/>
          <w:bCs/>
          <w:szCs w:val="24"/>
        </w:rPr>
        <w:t>Z</w:t>
      </w:r>
      <w:r w:rsidR="00966447" w:rsidRPr="004E533B">
        <w:rPr>
          <w:rFonts w:cs="Times New Roman"/>
          <w:bCs/>
          <w:szCs w:val="24"/>
        </w:rPr>
        <w:t xml:space="preserve">miana </w:t>
      </w:r>
      <w:r>
        <w:rPr>
          <w:rFonts w:cs="Times New Roman"/>
          <w:bCs/>
          <w:szCs w:val="24"/>
        </w:rPr>
        <w:t>z</w:t>
      </w:r>
      <w:r w:rsidRPr="004E533B">
        <w:rPr>
          <w:rFonts w:cs="Times New Roman"/>
          <w:bCs/>
          <w:szCs w:val="24"/>
        </w:rPr>
        <w:t>aproponowana</w:t>
      </w:r>
      <w:r>
        <w:rPr>
          <w:rFonts w:cs="Times New Roman"/>
          <w:bCs/>
          <w:szCs w:val="24"/>
        </w:rPr>
        <w:t xml:space="preserve"> </w:t>
      </w:r>
      <w:r w:rsidR="00966447" w:rsidRPr="004E533B">
        <w:rPr>
          <w:rFonts w:cs="Times New Roman"/>
          <w:bCs/>
          <w:szCs w:val="24"/>
        </w:rPr>
        <w:t>w art. 77 ust. 1 umożliwi Funduszowi Składkowemu Ubezpieczenia Społecznego Rolników finansowanie wydatków i kosztów związanych z realizacją zadań wynikających z przepisów o szczególnych rozwiązaniach służących realizacji ustawy budżetowej. Ustawy o</w:t>
      </w:r>
      <w:r w:rsidR="00966447">
        <w:rPr>
          <w:rFonts w:cs="Times New Roman"/>
          <w:bCs/>
          <w:szCs w:val="24"/>
        </w:rPr>
        <w:t xml:space="preserve"> </w:t>
      </w:r>
      <w:r w:rsidR="00966447" w:rsidRPr="004E533B">
        <w:rPr>
          <w:rFonts w:cs="Times New Roman"/>
          <w:bCs/>
          <w:szCs w:val="24"/>
        </w:rPr>
        <w:t>szczególnych rozwiązaniach służących realizacji ustawy budżetowej na rok 2021 i 2022 wskazują</w:t>
      </w:r>
      <w:r w:rsidR="0062448F">
        <w:rPr>
          <w:rFonts w:cs="Times New Roman"/>
          <w:bCs/>
          <w:szCs w:val="24"/>
        </w:rPr>
        <w:t>,</w:t>
      </w:r>
      <w:r w:rsidR="00966447" w:rsidRPr="004E533B">
        <w:rPr>
          <w:rFonts w:cs="Times New Roman"/>
          <w:bCs/>
          <w:szCs w:val="24"/>
        </w:rPr>
        <w:t xml:space="preserve"> że w roku 2021 i 2022 środki finansowe z</w:t>
      </w:r>
      <w:r w:rsidR="00966447">
        <w:rPr>
          <w:rFonts w:cs="Times New Roman"/>
          <w:bCs/>
          <w:szCs w:val="24"/>
        </w:rPr>
        <w:t xml:space="preserve"> </w:t>
      </w:r>
      <w:r w:rsidR="00966447" w:rsidRPr="004E533B">
        <w:rPr>
          <w:rFonts w:cs="Times New Roman"/>
          <w:bCs/>
          <w:szCs w:val="24"/>
        </w:rPr>
        <w:t>gospodarowania mieniem Zasobu Własności Rolnej Skarbu Państwa, o których mowa w ustawie z dnia 19</w:t>
      </w:r>
      <w:r w:rsidR="00966447">
        <w:rPr>
          <w:rFonts w:cs="Times New Roman"/>
          <w:bCs/>
          <w:szCs w:val="24"/>
        </w:rPr>
        <w:t xml:space="preserve"> </w:t>
      </w:r>
      <w:r w:rsidR="00966447" w:rsidRPr="004E533B">
        <w:rPr>
          <w:rFonts w:cs="Times New Roman"/>
          <w:bCs/>
          <w:szCs w:val="24"/>
        </w:rPr>
        <w:t>października 1991 r. o</w:t>
      </w:r>
      <w:r w:rsidR="00966447">
        <w:rPr>
          <w:rFonts w:cs="Times New Roman"/>
          <w:bCs/>
          <w:szCs w:val="24"/>
        </w:rPr>
        <w:t xml:space="preserve"> </w:t>
      </w:r>
      <w:r w:rsidR="00966447" w:rsidRPr="004E533B">
        <w:rPr>
          <w:rFonts w:cs="Times New Roman"/>
          <w:bCs/>
          <w:szCs w:val="24"/>
        </w:rPr>
        <w:t>gospodarowaniu nieruchomościami rolnymi Skarbu Państwa, przeznacza się również na</w:t>
      </w:r>
      <w:r w:rsidR="00966447">
        <w:rPr>
          <w:rFonts w:cs="Times New Roman"/>
          <w:bCs/>
          <w:szCs w:val="24"/>
        </w:rPr>
        <w:t xml:space="preserve"> </w:t>
      </w:r>
      <w:r w:rsidR="00966447" w:rsidRPr="004E533B">
        <w:rPr>
          <w:rFonts w:cs="Times New Roman"/>
          <w:bCs/>
          <w:szCs w:val="24"/>
        </w:rPr>
        <w:t>finansowanie zadań określonych w art. 77 ust. 1 pkt 4 ustawy z dnia 20 grudnia 1990 r. o</w:t>
      </w:r>
      <w:r w:rsidR="00966447">
        <w:rPr>
          <w:rFonts w:cs="Times New Roman"/>
          <w:bCs/>
          <w:szCs w:val="24"/>
        </w:rPr>
        <w:t xml:space="preserve"> </w:t>
      </w:r>
      <w:r w:rsidR="00966447" w:rsidRPr="004E533B">
        <w:rPr>
          <w:rFonts w:cs="Times New Roman"/>
          <w:bCs/>
          <w:szCs w:val="24"/>
        </w:rPr>
        <w:t>ubezpieczeniu społecznym rolników. Jednocześnie proponowane rozwiązanie będzie zgodne z wnioskami i zaleceniami Najwyż</w:t>
      </w:r>
      <w:r w:rsidR="0017130B">
        <w:rPr>
          <w:rFonts w:cs="Times New Roman"/>
          <w:bCs/>
          <w:szCs w:val="24"/>
        </w:rPr>
        <w:t>sz</w:t>
      </w:r>
      <w:r w:rsidR="00966447" w:rsidRPr="004E533B">
        <w:rPr>
          <w:rFonts w:cs="Times New Roman"/>
          <w:bCs/>
          <w:szCs w:val="24"/>
        </w:rPr>
        <w:t>ej Izby Kontroli, wynikającymi z przeprowadzonej w 2021 r. kontroli w Funduszu Składkowym Ubezpieczenia Społecznego Rolników, w zakresie dostosowania regulacji prawnych związanych z gospodarowaniem majątkiem Funduszu Składkowego, jak również dotyczących realizacji zadań Funduszu Składkowego wynikających z innych przepisów prawa.</w:t>
      </w:r>
    </w:p>
    <w:p w14:paraId="017B2E68" w14:textId="77777777" w:rsidR="00966447" w:rsidRPr="004E533B" w:rsidRDefault="00966447" w:rsidP="004E533B">
      <w:pPr>
        <w:widowControl/>
        <w:suppressAutoHyphens/>
        <w:spacing w:before="120"/>
        <w:jc w:val="both"/>
        <w:rPr>
          <w:rFonts w:cs="Times New Roman"/>
          <w:bCs/>
          <w:szCs w:val="24"/>
          <w:lang w:eastAsia="en-US"/>
        </w:rPr>
      </w:pPr>
      <w:r w:rsidRPr="004E533B">
        <w:rPr>
          <w:rFonts w:cs="Times New Roman"/>
          <w:bCs/>
          <w:szCs w:val="24"/>
          <w:lang w:eastAsia="en-US"/>
        </w:rPr>
        <w:t xml:space="preserve">Zmiana zaproponowana w art. 80 ust. 1 ustawy o ubezpieczeniu społecznym rolników stanowi niezbędne doprecyzowanie przepisów, ponieważ usuwa z kosztów finansowanych z funduszu prewencji i rehabilitacji rentę rolniczą szkoleniową, która </w:t>
      </w:r>
      <w:r w:rsidRPr="004E533B">
        <w:rPr>
          <w:rFonts w:cs="Times New Roman"/>
          <w:bCs/>
          <w:szCs w:val="24"/>
          <w:lang w:eastAsia="en-US"/>
        </w:rPr>
        <w:lastRenderedPageBreak/>
        <w:t>zgodnie z art. 18 ust. 2 ustawy o ubezpieczeniu społecznym rolników jest świadczeniem z ubezpieczenia emerytalno-rentowego i jako taka jest finansowana z funduszu emerytalno-rentowego. W związku z tym była to zbędna regulacja, jako że finansowanie tych świadczeń jest zapewnione z funduszu emerytalno-rentowego, który jest właściwy dla finansowania wypłaty świadczeń emerytalno-rentowych z ubezpieczenia społecznego rolników.</w:t>
      </w:r>
    </w:p>
    <w:p w14:paraId="6DAFF165" w14:textId="6E494970" w:rsidR="00966447" w:rsidRPr="004E533B" w:rsidRDefault="00966447" w:rsidP="004E533B">
      <w:pPr>
        <w:widowControl/>
        <w:suppressAutoHyphens/>
        <w:spacing w:before="120"/>
        <w:jc w:val="both"/>
        <w:rPr>
          <w:rFonts w:cs="Times New Roman"/>
          <w:bCs/>
          <w:szCs w:val="24"/>
        </w:rPr>
      </w:pPr>
      <w:r w:rsidRPr="004E533B">
        <w:rPr>
          <w:rFonts w:cs="Times New Roman"/>
          <w:bCs/>
          <w:szCs w:val="24"/>
        </w:rPr>
        <w:t xml:space="preserve">Art. 2 </w:t>
      </w:r>
      <w:r w:rsidRPr="00966447">
        <w:rPr>
          <w:rFonts w:cs="Times New Roman"/>
          <w:bCs/>
          <w:szCs w:val="24"/>
        </w:rPr>
        <w:t>projektu ustawy ma na celu uregulowanie kwestii związanych ze</w:t>
      </w:r>
      <w:r w:rsidRPr="00966447">
        <w:rPr>
          <w:rFonts w:eastAsia="Calibri" w:cs="Times New Roman"/>
          <w:bCs/>
          <w:szCs w:val="24"/>
          <w:bdr w:val="nil"/>
        </w:rPr>
        <w:t xml:space="preserve"> skutkami wprowadzenia zmian merytorycznych w art. 21 i art. 25 ustawy zmienianej w art. 1. W związku z tym zaproponowano, że</w:t>
      </w:r>
      <w:r w:rsidRPr="004E533B">
        <w:rPr>
          <w:rFonts w:cs="Times New Roman"/>
          <w:bCs/>
          <w:szCs w:val="24"/>
          <w:lang w:eastAsia="en-US"/>
        </w:rPr>
        <w:t xml:space="preserve"> w sprawach wszczętych i niezakończonych decyzją ostateczną przed dniem wejścia w życie niniejszej ustawy stosuje się przepisy ustawy zmienianej w art. 1 w brzmieniu nadanym niniejszą ustawą.</w:t>
      </w:r>
      <w:r>
        <w:rPr>
          <w:rFonts w:eastAsia="Calibri" w:cs="Times New Roman"/>
          <w:bCs/>
          <w:szCs w:val="24"/>
          <w:bdr w:val="nil"/>
        </w:rPr>
        <w:t xml:space="preserve"> </w:t>
      </w:r>
    </w:p>
    <w:p w14:paraId="11CC9094" w14:textId="0C933C0F" w:rsidR="00966447" w:rsidRPr="004E533B" w:rsidRDefault="00966447" w:rsidP="004E533B">
      <w:pPr>
        <w:widowControl/>
        <w:suppressAutoHyphens/>
        <w:spacing w:before="120"/>
        <w:jc w:val="both"/>
        <w:rPr>
          <w:rFonts w:cs="Times New Roman"/>
          <w:szCs w:val="24"/>
        </w:rPr>
      </w:pPr>
      <w:r w:rsidRPr="004E533B">
        <w:rPr>
          <w:rFonts w:cs="Times New Roman"/>
          <w:szCs w:val="24"/>
        </w:rPr>
        <w:t xml:space="preserve">W art. 3 projektu ustawy </w:t>
      </w:r>
      <w:r w:rsidR="00E77725" w:rsidRPr="00966447">
        <w:rPr>
          <w:rFonts w:eastAsia="Calibri" w:cs="Times New Roman"/>
          <w:szCs w:val="24"/>
          <w:bdr w:val="nil"/>
        </w:rPr>
        <w:t xml:space="preserve">został </w:t>
      </w:r>
      <w:r w:rsidRPr="00966447">
        <w:rPr>
          <w:rFonts w:eastAsia="Calibri" w:cs="Times New Roman"/>
          <w:szCs w:val="24"/>
          <w:bdr w:val="nil"/>
        </w:rPr>
        <w:t>przewidziany przepis przejściowy w związku</w:t>
      </w:r>
      <w:r>
        <w:rPr>
          <w:rFonts w:eastAsia="Calibri" w:cs="Times New Roman"/>
          <w:szCs w:val="24"/>
          <w:bdr w:val="nil"/>
        </w:rPr>
        <w:t xml:space="preserve"> </w:t>
      </w:r>
      <w:r w:rsidRPr="00966447">
        <w:rPr>
          <w:rFonts w:eastAsia="Calibri" w:cs="Times New Roman"/>
          <w:szCs w:val="24"/>
          <w:bdr w:val="nil"/>
        </w:rPr>
        <w:t xml:space="preserve">ze zmianą polegającą na rezygnacji z częściowego zawieszenia wypłaty emerytury rolniczej. Zgodnie z tym przepisem emerytury </w:t>
      </w:r>
      <w:r w:rsidRPr="004E533B">
        <w:rPr>
          <w:rFonts w:cs="Times New Roman"/>
          <w:szCs w:val="24"/>
        </w:rPr>
        <w:t>rolnicze, których wypłata uległa częściowemu zawieszeniu (zgodnie z art. 28 i art. 55 ust. 2 ustawy o ubezpieczeniu społecznym rolników) przed dniem wejścia w życie ustawy ze względu na niezaprzestanie prowadzenia działalności rolniczej, wypłaca się w pełnej wysokości od dnia wejścia w życie ustawy bez wydawania decyzji o wznowieniu zawieszonej wypłaty.</w:t>
      </w:r>
    </w:p>
    <w:p w14:paraId="6FD33788" w14:textId="01A676C9" w:rsidR="00966447" w:rsidRPr="004E533B" w:rsidRDefault="00966447" w:rsidP="004E533B">
      <w:pPr>
        <w:widowControl/>
        <w:suppressAutoHyphens/>
        <w:spacing w:before="120"/>
        <w:jc w:val="both"/>
        <w:rPr>
          <w:rFonts w:cs="Times New Roman"/>
          <w:bCs/>
          <w:szCs w:val="24"/>
        </w:rPr>
      </w:pPr>
      <w:r w:rsidRPr="004E533B">
        <w:rPr>
          <w:rFonts w:cs="Times New Roman"/>
          <w:bCs/>
          <w:szCs w:val="24"/>
        </w:rPr>
        <w:t xml:space="preserve">W art. 4 projektu ustawy zostały zawarte przepisy przejściowe w odniesieniu do rolników i domowników, którzy zostali już wyłączeni z ubezpieczenia społecznego rolników z tytułów wymienionych w projektowanym art. 5c ustawy zmienianej w art. 1, przed dniem wejścia w życie niniejszej ustawy. W związku z powyższym proponuje się wprowadzenie przepisów o charakterze abolicyjnym, umożliwiającym „przywrócenie” do ubezpieczenia społecznego rolników, o ile w terminie 6 miesięcy od dnia wejścia w życie ustawy złożą w KRUS wniosek o przywrócenie ich do tego ubezpieczenia. Przepis ten umożliwi rolnikom i domownikom, którym wydano decyzję o ustaniu ubezpieczenia społecznego rolników w związku z objęciem ich ubezpieczeniami z tytułu pobierania świadczenia integracyjnego lub stypendium w okresie odbywania szkolenia, stażu lub przygotowania zawodowego dorosłych, na które zostali skierowani przez powiatowy urząd pracy, jak również z tytułów, o których mowa w art. 6 ust. 1 pkt 9a, 9b, 11 i 12 ustawy z dnia 13 października 1998 r. o systemie ubezpieczeń społecznych, objęcie jednocześnie ubezpieczeniem społecznym rolników w okresach, w których wydano </w:t>
      </w:r>
      <w:r w:rsidRPr="004E533B">
        <w:rPr>
          <w:rFonts w:cs="Times New Roman"/>
          <w:bCs/>
          <w:szCs w:val="24"/>
        </w:rPr>
        <w:lastRenderedPageBreak/>
        <w:t>decyzję o ustaniu tego ubezpieczenia. Proponuje się, aby możliwość przywrócenia do ubezpieczenia była dobrowolna, po złożeniu stosownego wniosku, o ile były w tym czasie spełnione warunki określone w art. 1 pkt 1 niniejszej ustawy. Dzięki temu niektóre osoby będą mogły uzupełnić brakujący okres do uzyskania prawa do świadczeń emerytalno</w:t>
      </w:r>
      <w:r>
        <w:rPr>
          <w:rFonts w:cs="Times New Roman"/>
          <w:bCs/>
          <w:szCs w:val="24"/>
        </w:rPr>
        <w:noBreakHyphen/>
      </w:r>
      <w:r w:rsidRPr="004E533B">
        <w:rPr>
          <w:rFonts w:cs="Times New Roman"/>
          <w:bCs/>
          <w:szCs w:val="24"/>
        </w:rPr>
        <w:t>rentowych bądź wykazać się nieprzerwanym okresem ubezpieczenia rolniczego wymaganym do podlegania ubezpieczeniu społecznemu rolników podczas prowadzenia jednocześnie działalności rolniczej i pozarolniczej. Działalność</w:t>
      </w:r>
      <w:r w:rsidR="008A777E">
        <w:rPr>
          <w:rFonts w:cs="Times New Roman"/>
          <w:bCs/>
          <w:szCs w:val="24"/>
        </w:rPr>
        <w:t>,</w:t>
      </w:r>
      <w:r w:rsidRPr="004E533B">
        <w:rPr>
          <w:rFonts w:cs="Times New Roman"/>
          <w:bCs/>
          <w:szCs w:val="24"/>
        </w:rPr>
        <w:t xml:space="preserve"> z tytułu której dane osoby zostały ubezpieczone w ZUS i jednocześnie pozbawione możliwości podlegania ubezpieczeniu w KRUS</w:t>
      </w:r>
      <w:r w:rsidR="008A777E">
        <w:rPr>
          <w:rFonts w:cs="Times New Roman"/>
          <w:bCs/>
          <w:szCs w:val="24"/>
        </w:rPr>
        <w:t>,</w:t>
      </w:r>
      <w:r w:rsidRPr="004E533B">
        <w:rPr>
          <w:rFonts w:cs="Times New Roman"/>
          <w:bCs/>
          <w:szCs w:val="24"/>
        </w:rPr>
        <w:t xml:space="preserve"> ma charakter marginalny i odstępstwo od zasady, że ubezpieczenie w ZUS ma pierwszeństwo, zostanie co do zasady zachowane, a projektowane rozwiązania będą miały na celu domknięcie katalogu wyjątków w tym zakresie. Poza tym to rozwiązanie stanowi alternatywę i wszystkie osoby, które spełniają określone warunki mogą z niego skorzystać, a warunkiem jest to, </w:t>
      </w:r>
      <w:r w:rsidR="008A777E">
        <w:rPr>
          <w:rFonts w:cs="Times New Roman"/>
          <w:bCs/>
          <w:szCs w:val="24"/>
        </w:rPr>
        <w:t>że</w:t>
      </w:r>
      <w:r w:rsidRPr="004E533B">
        <w:rPr>
          <w:rFonts w:cs="Times New Roman"/>
          <w:bCs/>
          <w:szCs w:val="24"/>
        </w:rPr>
        <w:t xml:space="preserve"> działalność stanowiąca podstawę wyłączenia z KRUS ma na tyle mało istotne znaczenie, iż nie powinny być podnoszone zarzuty związane z naruszeniem konstytucyjnej zasady równości.</w:t>
      </w:r>
      <w:r>
        <w:rPr>
          <w:rFonts w:cs="Times New Roman"/>
          <w:bCs/>
          <w:szCs w:val="24"/>
        </w:rPr>
        <w:t xml:space="preserve"> </w:t>
      </w:r>
    </w:p>
    <w:p w14:paraId="15065E56" w14:textId="1131B839" w:rsidR="00966447" w:rsidRPr="004E533B" w:rsidRDefault="00966447" w:rsidP="004E533B">
      <w:pPr>
        <w:widowControl/>
        <w:suppressAutoHyphens/>
        <w:spacing w:before="120"/>
        <w:jc w:val="both"/>
        <w:rPr>
          <w:rFonts w:cs="Times New Roman"/>
          <w:szCs w:val="24"/>
        </w:rPr>
      </w:pPr>
      <w:r w:rsidRPr="004E533B">
        <w:rPr>
          <w:rFonts w:cs="Times New Roman"/>
          <w:szCs w:val="24"/>
        </w:rPr>
        <w:t xml:space="preserve">Należy mieć bowiem na względzie, że rozważana zasada pierwszeństwa ubezpieczenia w ZUS i braku możliwości wstecznego opłacania składek nie ma charakteru absolutnego, a w rezultacie są dopuszczalne od niej pewne odstępstwa określone już w art. 5a i art. 5b ustawy o ubezpieczeniu społecznym rolników. Należy uznać, że ograniczenia ustawodawcy odnośnie do dyferencjacji sytuacji prawnej jednostek w wypadku praw i wolności ekonomicznych, socjalnych oraz kulturalnych są zdecydowanie mniejsze niż w wypadku praw i wolności politycznych czy tym bardziej osobistych. W orzecznictwie </w:t>
      </w:r>
      <w:r w:rsidR="008A777E" w:rsidRPr="004E533B">
        <w:rPr>
          <w:rFonts w:cs="Times New Roman"/>
          <w:szCs w:val="24"/>
        </w:rPr>
        <w:t xml:space="preserve">został </w:t>
      </w:r>
      <w:r w:rsidRPr="004E533B">
        <w:rPr>
          <w:rFonts w:cs="Times New Roman"/>
          <w:szCs w:val="24"/>
        </w:rPr>
        <w:t>ugruntowany bowiem pogląd, zgodnie z którym „w sferze polityki ekonomiczno</w:t>
      </w:r>
      <w:r>
        <w:rPr>
          <w:rFonts w:cs="Times New Roman"/>
          <w:szCs w:val="24"/>
        </w:rPr>
        <w:noBreakHyphen/>
      </w:r>
      <w:r w:rsidRPr="004E533B">
        <w:rPr>
          <w:rFonts w:cs="Times New Roman"/>
          <w:szCs w:val="24"/>
        </w:rPr>
        <w:t>społecznej państwa swoboda ustawodawcy jest znacznie większa niż w innych sferach stosunków społecznych. Wiąże się z tym również możliwość dokonywania częstszych zróżnicowań, stanowiących wyjątki od zasady równości określonej w</w:t>
      </w:r>
      <w:r>
        <w:rPr>
          <w:rFonts w:cs="Times New Roman"/>
          <w:szCs w:val="24"/>
        </w:rPr>
        <w:t xml:space="preserve"> </w:t>
      </w:r>
      <w:r w:rsidRPr="004E533B">
        <w:rPr>
          <w:rFonts w:cs="Times New Roman"/>
          <w:szCs w:val="24"/>
        </w:rPr>
        <w:t>art. 32 ust. 1</w:t>
      </w:r>
      <w:r>
        <w:rPr>
          <w:rFonts w:cs="Times New Roman"/>
          <w:szCs w:val="24"/>
        </w:rPr>
        <w:t xml:space="preserve"> </w:t>
      </w:r>
      <w:r w:rsidRPr="004E533B">
        <w:rPr>
          <w:rFonts w:cs="Times New Roman"/>
          <w:szCs w:val="24"/>
        </w:rPr>
        <w:t>Konstytucji” (wyrok TK z 18 stycznia 2011 r., sygn.</w:t>
      </w:r>
      <w:r>
        <w:rPr>
          <w:rFonts w:cs="Times New Roman"/>
          <w:szCs w:val="24"/>
        </w:rPr>
        <w:t xml:space="preserve"> </w:t>
      </w:r>
      <w:r w:rsidRPr="004E533B">
        <w:rPr>
          <w:rFonts w:cs="Times New Roman"/>
          <w:szCs w:val="24"/>
        </w:rPr>
        <w:t>P 44/08; zob. także wyroki TK: z 9 maja 2005 r., sygn.</w:t>
      </w:r>
      <w:r>
        <w:rPr>
          <w:rFonts w:cs="Times New Roman"/>
          <w:szCs w:val="24"/>
        </w:rPr>
        <w:t xml:space="preserve"> </w:t>
      </w:r>
      <w:r w:rsidRPr="004E533B">
        <w:rPr>
          <w:rFonts w:cs="Times New Roman"/>
          <w:szCs w:val="24"/>
        </w:rPr>
        <w:t>SK 14/04, OTK ZU nr 5/A/2005, poz. 47; z 27 marca 2007 r., sygn.</w:t>
      </w:r>
      <w:r>
        <w:rPr>
          <w:rFonts w:cs="Times New Roman"/>
          <w:szCs w:val="24"/>
        </w:rPr>
        <w:t xml:space="preserve"> </w:t>
      </w:r>
      <w:r w:rsidRPr="004E533B">
        <w:rPr>
          <w:rFonts w:cs="Times New Roman"/>
          <w:szCs w:val="24"/>
        </w:rPr>
        <w:t>SK 9/05, OTK ZU nr 3/A/2007, poz. 31; z 19 grudnia 2007 r., sygn.</w:t>
      </w:r>
      <w:r>
        <w:rPr>
          <w:rFonts w:cs="Times New Roman"/>
          <w:szCs w:val="24"/>
        </w:rPr>
        <w:t xml:space="preserve"> </w:t>
      </w:r>
      <w:r w:rsidRPr="004E533B">
        <w:rPr>
          <w:rFonts w:cs="Times New Roman"/>
          <w:szCs w:val="24"/>
        </w:rPr>
        <w:t>K 52/05, OTK ZU nr 11/A/2007, poz. 159; z 26 października 2010 r., sygn.</w:t>
      </w:r>
      <w:r>
        <w:rPr>
          <w:rFonts w:cs="Times New Roman"/>
          <w:szCs w:val="24"/>
        </w:rPr>
        <w:t xml:space="preserve"> </w:t>
      </w:r>
      <w:r w:rsidRPr="004E533B">
        <w:rPr>
          <w:rFonts w:cs="Times New Roman"/>
          <w:szCs w:val="24"/>
        </w:rPr>
        <w:t>K 58/07). Nie ulega zarazem wątpliwości, że projektowana regulacja w</w:t>
      </w:r>
      <w:r>
        <w:rPr>
          <w:rFonts w:cs="Times New Roman"/>
          <w:szCs w:val="24"/>
        </w:rPr>
        <w:t xml:space="preserve"> </w:t>
      </w:r>
      <w:r w:rsidRPr="004E533B">
        <w:rPr>
          <w:rFonts w:cs="Times New Roman"/>
          <w:szCs w:val="24"/>
        </w:rPr>
        <w:t>art. 4</w:t>
      </w:r>
      <w:r>
        <w:rPr>
          <w:rFonts w:cs="Times New Roman"/>
          <w:szCs w:val="24"/>
        </w:rPr>
        <w:t xml:space="preserve"> </w:t>
      </w:r>
      <w:r w:rsidRPr="004E533B">
        <w:rPr>
          <w:rFonts w:cs="Times New Roman"/>
          <w:szCs w:val="24"/>
        </w:rPr>
        <w:t xml:space="preserve">ustawy nowelizującej </w:t>
      </w:r>
      <w:r>
        <w:rPr>
          <w:rFonts w:cs="Times New Roman"/>
          <w:szCs w:val="24"/>
        </w:rPr>
        <w:t>–</w:t>
      </w:r>
      <w:r w:rsidRPr="004E533B">
        <w:rPr>
          <w:rFonts w:cs="Times New Roman"/>
          <w:szCs w:val="24"/>
        </w:rPr>
        <w:t xml:space="preserve"> mimo </w:t>
      </w:r>
      <w:r w:rsidR="00A44BA8">
        <w:rPr>
          <w:rFonts w:cs="Times New Roman"/>
          <w:szCs w:val="24"/>
        </w:rPr>
        <w:t>że</w:t>
      </w:r>
      <w:r w:rsidRPr="004E533B">
        <w:rPr>
          <w:rFonts w:cs="Times New Roman"/>
          <w:szCs w:val="24"/>
        </w:rPr>
        <w:t xml:space="preserve"> przewidziana w niej abolicja dotyczy możliwości opłacania </w:t>
      </w:r>
      <w:r w:rsidRPr="004E533B">
        <w:rPr>
          <w:rFonts w:cs="Times New Roman"/>
          <w:szCs w:val="24"/>
        </w:rPr>
        <w:lastRenderedPageBreak/>
        <w:t>wstecz składek na ubezpieczenia społeczne rolników, stanowi dopełnienie katalogu wyjątków określonych w ustawie i tym samym pozostaje w związku z treścią konstytucyjnego prawa do zabezpieczenia społecznego, będącego prawem socjalnym (art. 67 ust. 1</w:t>
      </w:r>
      <w:r>
        <w:rPr>
          <w:rFonts w:cs="Times New Roman"/>
          <w:szCs w:val="24"/>
        </w:rPr>
        <w:t xml:space="preserve"> </w:t>
      </w:r>
      <w:r w:rsidRPr="004E533B">
        <w:rPr>
          <w:rFonts w:cs="Times New Roman"/>
          <w:szCs w:val="24"/>
        </w:rPr>
        <w:t>Konstytucji RP). Podczas wprowadzania w życie art. 5b ustawy o ubezpieczeniu społecznym rolników projektodawca skorzystał z takiego samego mechanizmu, który nie budził wątpliwości.</w:t>
      </w:r>
    </w:p>
    <w:p w14:paraId="305DBB85" w14:textId="3B75302F" w:rsidR="00966447" w:rsidRPr="00966447" w:rsidRDefault="00966447" w:rsidP="004E533B">
      <w:pPr>
        <w:spacing w:before="120"/>
        <w:jc w:val="both"/>
        <w:rPr>
          <w:rFonts w:eastAsia="Calibri" w:cs="Times New Roman"/>
          <w:b/>
          <w:szCs w:val="24"/>
          <w:bdr w:val="nil"/>
          <w:lang w:eastAsia="en-US"/>
        </w:rPr>
      </w:pPr>
      <w:r w:rsidRPr="00966447">
        <w:rPr>
          <w:rFonts w:cs="Times New Roman"/>
          <w:szCs w:val="24"/>
        </w:rPr>
        <w:t xml:space="preserve">W art. 5 projektu ustawy zaproponowano przepisy przejściowe w związku z </w:t>
      </w:r>
      <w:r w:rsidRPr="00966447">
        <w:rPr>
          <w:rFonts w:eastAsia="Calibri" w:cs="Times New Roman"/>
          <w:szCs w:val="24"/>
          <w:bdr w:val="nil"/>
          <w:lang w:eastAsia="en-US"/>
        </w:rPr>
        <w:t>przyjęciem propozycji, które zwiększają koszty funkcjonowania Funduszu Emerytalno-Rentowego. Ma to na celu zapewnienie finansowania dodatkowych wydatków z Funduszu Emerytalno-Rentowego w 2022 r. Przedmiotowe przepisy zapewnią elastyczność i umożliwią od strony formalnej sfinansowanie dodatkowych wydatków lub kosztów w 2022</w:t>
      </w:r>
      <w:r w:rsidR="008364B5">
        <w:rPr>
          <w:rFonts w:eastAsia="Calibri" w:cs="Times New Roman"/>
          <w:szCs w:val="24"/>
          <w:bdr w:val="nil"/>
          <w:lang w:eastAsia="en-US"/>
        </w:rPr>
        <w:t xml:space="preserve"> r</w:t>
      </w:r>
      <w:r w:rsidRPr="00966447">
        <w:rPr>
          <w:rFonts w:eastAsia="Calibri" w:cs="Times New Roman"/>
          <w:szCs w:val="24"/>
          <w:bdr w:val="nil"/>
          <w:lang w:eastAsia="en-US"/>
        </w:rPr>
        <w:t>.</w:t>
      </w:r>
    </w:p>
    <w:p w14:paraId="16EFB296" w14:textId="77777777" w:rsidR="00966447" w:rsidRPr="00966447" w:rsidRDefault="00966447" w:rsidP="004E533B">
      <w:pPr>
        <w:widowControl/>
        <w:suppressAutoHyphens/>
        <w:spacing w:before="120"/>
        <w:jc w:val="both"/>
        <w:rPr>
          <w:rFonts w:eastAsia="Calibri" w:cs="Times New Roman"/>
          <w:szCs w:val="24"/>
          <w:bdr w:val="nil"/>
          <w:lang w:eastAsia="en-US"/>
        </w:rPr>
      </w:pPr>
      <w:r w:rsidRPr="00966447">
        <w:rPr>
          <w:rFonts w:eastAsia="Calibri" w:cs="Times New Roman"/>
          <w:szCs w:val="24"/>
          <w:bdr w:val="nil"/>
          <w:lang w:eastAsia="en-US"/>
        </w:rPr>
        <w:t>Propozycja zawarta w art. 6 projektu ustawy ma na celu umożliwienie w 2022 r. ministrowi właściwemu do spraw finansów publicznych, na wniosek dysponenta części budżetowej 72 – Kasa Rolniczego Ubezpieczenia Społecznego, dokonywanie przeniesień wydatków budżetowych z części budżetowej 73 – Zakład Ubezpieczeń Społecznych do części budżetowej 72 – Kasa Rolniczego Ubezpieczenia Społecznego.</w:t>
      </w:r>
    </w:p>
    <w:p w14:paraId="04A2F319" w14:textId="77777777" w:rsidR="00966447" w:rsidRPr="00966447" w:rsidRDefault="00966447" w:rsidP="004E533B">
      <w:pPr>
        <w:widowControl/>
        <w:suppressAutoHyphens/>
        <w:spacing w:before="120"/>
        <w:jc w:val="both"/>
        <w:rPr>
          <w:rFonts w:cs="Times New Roman"/>
          <w:szCs w:val="24"/>
        </w:rPr>
      </w:pPr>
      <w:r w:rsidRPr="00966447">
        <w:rPr>
          <w:rFonts w:eastAsia="Calibri" w:cs="Times New Roman"/>
          <w:szCs w:val="24"/>
          <w:bdr w:val="nil"/>
          <w:lang w:eastAsia="en-US"/>
        </w:rPr>
        <w:t>W art. 7 projektu ustawy</w:t>
      </w:r>
      <w:r w:rsidRPr="004E533B">
        <w:rPr>
          <w:rFonts w:eastAsia="Calibri" w:cs="Times New Roman"/>
          <w:szCs w:val="24"/>
          <w:bdr w:val="nil"/>
        </w:rPr>
        <w:t xml:space="preserve"> </w:t>
      </w:r>
      <w:r w:rsidRPr="00966447">
        <w:rPr>
          <w:rFonts w:eastAsia="Calibri" w:cs="Times New Roman"/>
          <w:szCs w:val="24"/>
          <w:bdr w:val="nil"/>
        </w:rPr>
        <w:t>został zaprezentowany maksymalny limit wydatków wyrażony kwotowo dla organu monitorującego wykorzystanie tego limitu oraz stosownych mechanizmów korygujących wynikających z art. 50 ust. 1a, 1b, 4 i 5 ustawy z dnia 27 sierpnia 2009 r. o finansach publicznych (</w:t>
      </w:r>
      <w:r w:rsidRPr="004E533B">
        <w:rPr>
          <w:rFonts w:cs="Times New Roman"/>
          <w:szCs w:val="24"/>
          <w:bdr w:val="none" w:sz="0" w:space="0" w:color="auto" w:frame="1"/>
        </w:rPr>
        <w:t xml:space="preserve">Dz. U. z 2021 r. poz. 305, z </w:t>
      </w:r>
      <w:proofErr w:type="spellStart"/>
      <w:r w:rsidRPr="004E533B">
        <w:rPr>
          <w:rFonts w:cs="Times New Roman"/>
          <w:szCs w:val="24"/>
          <w:bdr w:val="none" w:sz="0" w:space="0" w:color="auto" w:frame="1"/>
        </w:rPr>
        <w:t>późn</w:t>
      </w:r>
      <w:proofErr w:type="spellEnd"/>
      <w:r w:rsidRPr="004E533B">
        <w:rPr>
          <w:rFonts w:cs="Times New Roman"/>
          <w:szCs w:val="24"/>
          <w:bdr w:val="none" w:sz="0" w:space="0" w:color="auto" w:frame="1"/>
        </w:rPr>
        <w:t>. zm</w:t>
      </w:r>
      <w:r w:rsidRPr="00966447">
        <w:rPr>
          <w:rFonts w:eastAsia="Calibri" w:cs="Times New Roman"/>
          <w:szCs w:val="24"/>
          <w:bdr w:val="nil"/>
        </w:rPr>
        <w:t>.).</w:t>
      </w:r>
    </w:p>
    <w:p w14:paraId="7A54A7F2" w14:textId="77777777" w:rsidR="00966447" w:rsidRPr="004E533B" w:rsidRDefault="00966447" w:rsidP="004E533B">
      <w:pPr>
        <w:widowControl/>
        <w:suppressAutoHyphens/>
        <w:spacing w:before="120"/>
        <w:jc w:val="both"/>
        <w:rPr>
          <w:rFonts w:cs="Times New Roman"/>
          <w:bCs/>
          <w:szCs w:val="24"/>
        </w:rPr>
      </w:pPr>
      <w:r w:rsidRPr="004E533B">
        <w:rPr>
          <w:rFonts w:cs="Times New Roman"/>
          <w:bCs/>
          <w:szCs w:val="24"/>
        </w:rPr>
        <w:t xml:space="preserve">Projektowana ustawa wejdzie w życie po upływie 14 dni od dnia ogłoszenia, z wyjątkiem art. 1 pkt 14, który wejdzie w życie z dniem 1 stycznia 2023 r. </w:t>
      </w:r>
    </w:p>
    <w:p w14:paraId="1CBBF304" w14:textId="77777777" w:rsidR="00966447" w:rsidRPr="004E533B" w:rsidRDefault="00966447" w:rsidP="004E533B">
      <w:pPr>
        <w:widowControl/>
        <w:suppressAutoHyphens/>
        <w:spacing w:before="120"/>
        <w:jc w:val="both"/>
        <w:rPr>
          <w:rFonts w:cs="Times New Roman"/>
          <w:bCs/>
          <w:szCs w:val="24"/>
        </w:rPr>
      </w:pPr>
      <w:r w:rsidRPr="004E533B">
        <w:rPr>
          <w:rFonts w:cs="Times New Roman"/>
          <w:bCs/>
          <w:szCs w:val="24"/>
        </w:rPr>
        <w:t>Projekt nie wpłynie na konkurencyjność gospodarki.</w:t>
      </w:r>
    </w:p>
    <w:p w14:paraId="71669CEB" w14:textId="7B0D5B44" w:rsidR="00966447" w:rsidRPr="004E533B" w:rsidRDefault="00966447" w:rsidP="004E533B">
      <w:pPr>
        <w:widowControl/>
        <w:suppressAutoHyphens/>
        <w:spacing w:before="120"/>
        <w:jc w:val="both"/>
        <w:rPr>
          <w:rFonts w:cs="Times New Roman"/>
          <w:bCs/>
          <w:szCs w:val="24"/>
        </w:rPr>
      </w:pPr>
      <w:r w:rsidRPr="004E533B">
        <w:rPr>
          <w:rFonts w:cs="Times New Roman"/>
          <w:bCs/>
          <w:szCs w:val="24"/>
        </w:rPr>
        <w:t>Projektowane przepisy nie będą miały wpływu na sektor mikro</w:t>
      </w:r>
      <w:r w:rsidR="00980D89">
        <w:rPr>
          <w:rFonts w:cs="Times New Roman"/>
          <w:bCs/>
          <w:szCs w:val="24"/>
        </w:rPr>
        <w:t>-</w:t>
      </w:r>
      <w:r w:rsidRPr="004E533B">
        <w:rPr>
          <w:rFonts w:cs="Times New Roman"/>
          <w:bCs/>
          <w:szCs w:val="24"/>
        </w:rPr>
        <w:t>, małych i średnich przedsiębiorstw.</w:t>
      </w:r>
    </w:p>
    <w:p w14:paraId="089ED39E" w14:textId="77777777" w:rsidR="00966447" w:rsidRPr="004E533B" w:rsidRDefault="00966447" w:rsidP="004E533B">
      <w:pPr>
        <w:widowControl/>
        <w:suppressAutoHyphens/>
        <w:spacing w:before="120"/>
        <w:jc w:val="both"/>
        <w:rPr>
          <w:rFonts w:cs="Times New Roman"/>
          <w:bCs/>
          <w:szCs w:val="24"/>
        </w:rPr>
      </w:pPr>
      <w:r w:rsidRPr="004E533B">
        <w:rPr>
          <w:rFonts w:cs="Times New Roman"/>
          <w:bCs/>
          <w:szCs w:val="24"/>
        </w:rPr>
        <w:t>Projektowane przepisy nie będą miały wpływu na sytuację ekonomiczną i społeczną rodziny, a także osób niepełnosprawnych oraz osób starszych.</w:t>
      </w:r>
    </w:p>
    <w:p w14:paraId="50290BC5" w14:textId="77777777" w:rsidR="00966447" w:rsidRPr="004E533B" w:rsidRDefault="00966447" w:rsidP="004E533B">
      <w:pPr>
        <w:widowControl/>
        <w:suppressAutoHyphens/>
        <w:spacing w:before="120"/>
        <w:jc w:val="both"/>
        <w:rPr>
          <w:rFonts w:cs="Times New Roman"/>
          <w:bCs/>
          <w:szCs w:val="24"/>
        </w:rPr>
      </w:pPr>
      <w:r w:rsidRPr="004E533B">
        <w:rPr>
          <w:rFonts w:cs="Times New Roman"/>
          <w:bCs/>
          <w:szCs w:val="24"/>
        </w:rPr>
        <w:t>Projekt jest zgodny z prawem Unii Europejskiej.</w:t>
      </w:r>
    </w:p>
    <w:p w14:paraId="51B56752" w14:textId="19C64DDF" w:rsidR="00966447" w:rsidRPr="004E533B" w:rsidRDefault="00966447" w:rsidP="004E533B">
      <w:pPr>
        <w:widowControl/>
        <w:suppressAutoHyphens/>
        <w:spacing w:before="120"/>
        <w:jc w:val="both"/>
        <w:rPr>
          <w:rFonts w:cs="Times New Roman"/>
          <w:bCs/>
          <w:szCs w:val="24"/>
        </w:rPr>
      </w:pPr>
      <w:r w:rsidRPr="004E533B">
        <w:rPr>
          <w:rFonts w:cs="Times New Roman"/>
          <w:bCs/>
          <w:szCs w:val="24"/>
        </w:rPr>
        <w:t>Zgodnie z art. 5 ustawy z dnia 7 lipca 2005 r. o działalności lobbingowej w procesie stanowienia prawa (Dz. U. z 2017 r. poz. 248) projekt ustawy zosta</w:t>
      </w:r>
      <w:r w:rsidR="008A7985">
        <w:rPr>
          <w:rFonts w:cs="Times New Roman"/>
          <w:bCs/>
          <w:szCs w:val="24"/>
        </w:rPr>
        <w:t>ł</w:t>
      </w:r>
      <w:r w:rsidRPr="004E533B">
        <w:rPr>
          <w:rFonts w:cs="Times New Roman"/>
          <w:bCs/>
          <w:szCs w:val="24"/>
        </w:rPr>
        <w:t xml:space="preserve"> zamieszczony na </w:t>
      </w:r>
      <w:r w:rsidRPr="004E533B">
        <w:rPr>
          <w:rFonts w:cs="Times New Roman"/>
          <w:bCs/>
          <w:szCs w:val="24"/>
        </w:rPr>
        <w:lastRenderedPageBreak/>
        <w:t>stronie internetowej Biuletynu Informacji Publicznej Ministerstwa Rolnictwa i Rozwoju Wsi oraz Rządowego Centrum Legislacji</w:t>
      </w:r>
      <w:r w:rsidR="005F20C9">
        <w:rPr>
          <w:rFonts w:cs="Times New Roman"/>
          <w:bCs/>
          <w:szCs w:val="24"/>
        </w:rPr>
        <w:t xml:space="preserve"> w serwisie  „Rządowy Proces Legislacyjny”</w:t>
      </w:r>
      <w:r w:rsidRPr="004E533B">
        <w:rPr>
          <w:rFonts w:cs="Times New Roman"/>
          <w:bCs/>
          <w:szCs w:val="24"/>
        </w:rPr>
        <w:t>.</w:t>
      </w:r>
    </w:p>
    <w:p w14:paraId="37499E10" w14:textId="4676CF57" w:rsidR="00966447" w:rsidRPr="004E533B" w:rsidRDefault="00966447" w:rsidP="004E533B">
      <w:pPr>
        <w:widowControl/>
        <w:suppressAutoHyphens/>
        <w:spacing w:before="120"/>
        <w:jc w:val="both"/>
        <w:rPr>
          <w:rFonts w:cs="Times New Roman"/>
          <w:bCs/>
          <w:szCs w:val="24"/>
        </w:rPr>
      </w:pPr>
      <w:r w:rsidRPr="004E533B">
        <w:rPr>
          <w:rFonts w:cs="Times New Roman"/>
          <w:bCs/>
          <w:szCs w:val="24"/>
        </w:rPr>
        <w:t>Projekt ustawy nie wymaga przedstawienia organom i i</w:t>
      </w:r>
      <w:r w:rsidR="00E5717A">
        <w:rPr>
          <w:rFonts w:cs="Times New Roman"/>
          <w:bCs/>
          <w:szCs w:val="24"/>
        </w:rPr>
        <w:t>nstytucjom Unii Europejskiej, w </w:t>
      </w:r>
      <w:r w:rsidRPr="004E533B">
        <w:rPr>
          <w:rFonts w:cs="Times New Roman"/>
          <w:bCs/>
          <w:szCs w:val="24"/>
        </w:rPr>
        <w:t>tym Europejskiemu Bankowi Centralnemu</w:t>
      </w:r>
      <w:r w:rsidR="008A7985">
        <w:rPr>
          <w:rFonts w:cs="Times New Roman"/>
          <w:bCs/>
          <w:szCs w:val="24"/>
        </w:rPr>
        <w:t>,</w:t>
      </w:r>
      <w:r w:rsidRPr="004E533B">
        <w:rPr>
          <w:rFonts w:cs="Times New Roman"/>
          <w:bCs/>
          <w:szCs w:val="24"/>
        </w:rPr>
        <w:t xml:space="preserve"> w trybie § 27 ust. 4 uchwały nr 190 Rady Ministrów z dnia 29 października 2013 r. – Regulamin </w:t>
      </w:r>
      <w:r w:rsidR="00E5717A">
        <w:rPr>
          <w:rFonts w:cs="Times New Roman"/>
          <w:bCs/>
          <w:szCs w:val="24"/>
        </w:rPr>
        <w:t>pracy Rady Ministrów (M.P. z </w:t>
      </w:r>
      <w:r w:rsidRPr="004E533B">
        <w:rPr>
          <w:rFonts w:cs="Times New Roman"/>
          <w:bCs/>
          <w:szCs w:val="24"/>
        </w:rPr>
        <w:t>2022 r. poz. 348).</w:t>
      </w:r>
    </w:p>
    <w:p w14:paraId="1E41AD85" w14:textId="77777777" w:rsidR="00966447" w:rsidRPr="004E533B" w:rsidRDefault="00966447" w:rsidP="004E533B">
      <w:pPr>
        <w:widowControl/>
        <w:suppressAutoHyphens/>
        <w:spacing w:before="120"/>
        <w:jc w:val="both"/>
        <w:rPr>
          <w:rFonts w:cs="Times New Roman"/>
          <w:bCs/>
          <w:szCs w:val="24"/>
        </w:rPr>
      </w:pPr>
      <w:r w:rsidRPr="004E533B">
        <w:rPr>
          <w:rFonts w:cs="Times New Roman"/>
          <w:bCs/>
          <w:szCs w:val="24"/>
        </w:rPr>
        <w:t xml:space="preserve">Projekt ustawy nie zawiera przepisów technicznych, w związku z tym nie podlega notyfikacji w rozumieniu przepisów rozporządzenia Rady Ministrów z dnia 23 grudnia 2002 r. w sprawie sposobu funkcjonowania krajowego systemu notyfikacji norm i aktów prawnych (Dz. U. poz. 2039, z </w:t>
      </w:r>
      <w:proofErr w:type="spellStart"/>
      <w:r w:rsidRPr="004E533B">
        <w:rPr>
          <w:rFonts w:cs="Times New Roman"/>
          <w:bCs/>
          <w:szCs w:val="24"/>
        </w:rPr>
        <w:t>późn</w:t>
      </w:r>
      <w:proofErr w:type="spellEnd"/>
      <w:r w:rsidRPr="004E533B">
        <w:rPr>
          <w:rFonts w:cs="Times New Roman"/>
          <w:bCs/>
          <w:szCs w:val="24"/>
        </w:rPr>
        <w:t xml:space="preserve">. zm.). </w:t>
      </w:r>
    </w:p>
    <w:p w14:paraId="58AA9BC2" w14:textId="2D5643DA" w:rsidR="00966447" w:rsidRPr="004E533B" w:rsidRDefault="00966447" w:rsidP="004E533B">
      <w:pPr>
        <w:widowControl/>
        <w:suppressAutoHyphens/>
        <w:spacing w:before="120"/>
        <w:jc w:val="both"/>
        <w:rPr>
          <w:rFonts w:cs="Times New Roman"/>
          <w:bCs/>
          <w:szCs w:val="24"/>
        </w:rPr>
      </w:pPr>
      <w:r w:rsidRPr="004E533B">
        <w:rPr>
          <w:rFonts w:cs="Times New Roman"/>
          <w:bCs/>
          <w:szCs w:val="24"/>
        </w:rPr>
        <w:t>Projekt ustawy został umieszczony w Wykazie prac legislacyjnych i programowych Rady Ministrów</w:t>
      </w:r>
      <w:r w:rsidR="005F626E">
        <w:rPr>
          <w:rFonts w:cs="Times New Roman"/>
          <w:bCs/>
          <w:szCs w:val="24"/>
        </w:rPr>
        <w:t xml:space="preserve"> pod nr UD 273</w:t>
      </w:r>
      <w:r w:rsidRPr="004E533B">
        <w:rPr>
          <w:rFonts w:cs="Times New Roman"/>
          <w:bCs/>
          <w:szCs w:val="24"/>
        </w:rPr>
        <w:t>.</w:t>
      </w:r>
    </w:p>
    <w:sectPr w:rsidR="00966447" w:rsidRPr="004E533B" w:rsidSect="004E533B">
      <w:footerReference w:type="default" r:id="rId6"/>
      <w:pgSz w:w="11906" w:h="16838"/>
      <w:pgMar w:top="1588" w:right="1418" w:bottom="1418" w:left="1985"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F7461E" w14:textId="77777777" w:rsidR="004C7720" w:rsidRDefault="004C7720" w:rsidP="00966447">
      <w:pPr>
        <w:spacing w:line="240" w:lineRule="auto"/>
      </w:pPr>
      <w:r>
        <w:separator/>
      </w:r>
    </w:p>
  </w:endnote>
  <w:endnote w:type="continuationSeparator" w:id="0">
    <w:p w14:paraId="28CFED08" w14:textId="77777777" w:rsidR="004C7720" w:rsidRDefault="004C7720" w:rsidP="009664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7239570"/>
      <w:docPartObj>
        <w:docPartGallery w:val="Page Numbers (Bottom of Page)"/>
        <w:docPartUnique/>
      </w:docPartObj>
    </w:sdtPr>
    <w:sdtEndPr/>
    <w:sdtContent>
      <w:p w14:paraId="6A52691C" w14:textId="730A2125" w:rsidR="00966447" w:rsidRDefault="00966447" w:rsidP="004E533B">
        <w:pPr>
          <w:pStyle w:val="Stopka"/>
          <w:jc w:val="center"/>
        </w:pPr>
        <w:r>
          <w:fldChar w:fldCharType="begin"/>
        </w:r>
        <w:r>
          <w:instrText>PAGE   \* MERGEFORMAT</w:instrText>
        </w:r>
        <w:r>
          <w:fldChar w:fldCharType="separate"/>
        </w:r>
        <w:r w:rsidR="00303D00">
          <w:rPr>
            <w:noProof/>
          </w:rPr>
          <w:t>17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3F8C6F" w14:textId="77777777" w:rsidR="004C7720" w:rsidRDefault="004C7720" w:rsidP="00966447">
      <w:pPr>
        <w:spacing w:line="240" w:lineRule="auto"/>
      </w:pPr>
      <w:r>
        <w:separator/>
      </w:r>
    </w:p>
  </w:footnote>
  <w:footnote w:type="continuationSeparator" w:id="0">
    <w:p w14:paraId="6B8913E5" w14:textId="77777777" w:rsidR="004C7720" w:rsidRDefault="004C7720" w:rsidP="0096644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447"/>
    <w:rsid w:val="000122A8"/>
    <w:rsid w:val="000203D8"/>
    <w:rsid w:val="000214D2"/>
    <w:rsid w:val="00030C52"/>
    <w:rsid w:val="00063A50"/>
    <w:rsid w:val="00077C6A"/>
    <w:rsid w:val="000878A9"/>
    <w:rsid w:val="000E5225"/>
    <w:rsid w:val="000E758E"/>
    <w:rsid w:val="00101BDE"/>
    <w:rsid w:val="00103E6D"/>
    <w:rsid w:val="0013116A"/>
    <w:rsid w:val="00140A21"/>
    <w:rsid w:val="0017130B"/>
    <w:rsid w:val="001A666E"/>
    <w:rsid w:val="0020006C"/>
    <w:rsid w:val="0022609D"/>
    <w:rsid w:val="002B0288"/>
    <w:rsid w:val="002B06D1"/>
    <w:rsid w:val="002B3584"/>
    <w:rsid w:val="00303D00"/>
    <w:rsid w:val="003313F8"/>
    <w:rsid w:val="00337C16"/>
    <w:rsid w:val="00344FB7"/>
    <w:rsid w:val="0035006B"/>
    <w:rsid w:val="003775A6"/>
    <w:rsid w:val="003921FD"/>
    <w:rsid w:val="003F3596"/>
    <w:rsid w:val="003F6A96"/>
    <w:rsid w:val="00415B06"/>
    <w:rsid w:val="004335E5"/>
    <w:rsid w:val="00464F07"/>
    <w:rsid w:val="004665F1"/>
    <w:rsid w:val="00494FE8"/>
    <w:rsid w:val="00496861"/>
    <w:rsid w:val="004C7720"/>
    <w:rsid w:val="004E533B"/>
    <w:rsid w:val="004E6C22"/>
    <w:rsid w:val="00504338"/>
    <w:rsid w:val="005065F7"/>
    <w:rsid w:val="0052429E"/>
    <w:rsid w:val="00554C1B"/>
    <w:rsid w:val="00560B1D"/>
    <w:rsid w:val="005B2D5E"/>
    <w:rsid w:val="005B3DE8"/>
    <w:rsid w:val="005E097A"/>
    <w:rsid w:val="005E1740"/>
    <w:rsid w:val="005F04F2"/>
    <w:rsid w:val="005F20C9"/>
    <w:rsid w:val="005F626E"/>
    <w:rsid w:val="00602789"/>
    <w:rsid w:val="00602A8A"/>
    <w:rsid w:val="0062448F"/>
    <w:rsid w:val="006342ED"/>
    <w:rsid w:val="00666317"/>
    <w:rsid w:val="006740D9"/>
    <w:rsid w:val="006805F4"/>
    <w:rsid w:val="006B01C5"/>
    <w:rsid w:val="006E77E0"/>
    <w:rsid w:val="006F103A"/>
    <w:rsid w:val="007025D5"/>
    <w:rsid w:val="00741C21"/>
    <w:rsid w:val="007612FC"/>
    <w:rsid w:val="0077774A"/>
    <w:rsid w:val="007845BC"/>
    <w:rsid w:val="00786515"/>
    <w:rsid w:val="00793EBF"/>
    <w:rsid w:val="007A114C"/>
    <w:rsid w:val="007A5F8B"/>
    <w:rsid w:val="007B4179"/>
    <w:rsid w:val="007B6FC8"/>
    <w:rsid w:val="007D1FED"/>
    <w:rsid w:val="007D6552"/>
    <w:rsid w:val="008364B5"/>
    <w:rsid w:val="0084171A"/>
    <w:rsid w:val="00842B57"/>
    <w:rsid w:val="00847EEE"/>
    <w:rsid w:val="008A777E"/>
    <w:rsid w:val="008A7985"/>
    <w:rsid w:val="008B7398"/>
    <w:rsid w:val="008B772F"/>
    <w:rsid w:val="008C6CFC"/>
    <w:rsid w:val="008E70DC"/>
    <w:rsid w:val="00923837"/>
    <w:rsid w:val="00936E31"/>
    <w:rsid w:val="009400C4"/>
    <w:rsid w:val="00961E4C"/>
    <w:rsid w:val="00966447"/>
    <w:rsid w:val="00980D89"/>
    <w:rsid w:val="009F19DD"/>
    <w:rsid w:val="00A1032B"/>
    <w:rsid w:val="00A1062B"/>
    <w:rsid w:val="00A44BA8"/>
    <w:rsid w:val="00A46A31"/>
    <w:rsid w:val="00A70742"/>
    <w:rsid w:val="00B0626C"/>
    <w:rsid w:val="00B117D2"/>
    <w:rsid w:val="00B23D32"/>
    <w:rsid w:val="00B33A4F"/>
    <w:rsid w:val="00B347FD"/>
    <w:rsid w:val="00B35D61"/>
    <w:rsid w:val="00B854B1"/>
    <w:rsid w:val="00B95C42"/>
    <w:rsid w:val="00BA0BFC"/>
    <w:rsid w:val="00BB209F"/>
    <w:rsid w:val="00BB60F5"/>
    <w:rsid w:val="00C24935"/>
    <w:rsid w:val="00C32031"/>
    <w:rsid w:val="00C5604C"/>
    <w:rsid w:val="00C82583"/>
    <w:rsid w:val="00C86CEA"/>
    <w:rsid w:val="00CE7C3B"/>
    <w:rsid w:val="00D000E9"/>
    <w:rsid w:val="00D07070"/>
    <w:rsid w:val="00D365D4"/>
    <w:rsid w:val="00D37959"/>
    <w:rsid w:val="00D646E7"/>
    <w:rsid w:val="00D70EFA"/>
    <w:rsid w:val="00D9134C"/>
    <w:rsid w:val="00D97A83"/>
    <w:rsid w:val="00DA4DFE"/>
    <w:rsid w:val="00DB6C06"/>
    <w:rsid w:val="00DC2211"/>
    <w:rsid w:val="00DD1A7A"/>
    <w:rsid w:val="00DD2098"/>
    <w:rsid w:val="00DD7539"/>
    <w:rsid w:val="00DF4ACD"/>
    <w:rsid w:val="00DF4EE9"/>
    <w:rsid w:val="00DF7052"/>
    <w:rsid w:val="00E16494"/>
    <w:rsid w:val="00E33981"/>
    <w:rsid w:val="00E4266D"/>
    <w:rsid w:val="00E5717A"/>
    <w:rsid w:val="00E77725"/>
    <w:rsid w:val="00E812DA"/>
    <w:rsid w:val="00EA4C03"/>
    <w:rsid w:val="00ED274B"/>
    <w:rsid w:val="00EE1DD1"/>
    <w:rsid w:val="00F2023C"/>
    <w:rsid w:val="00F54B68"/>
    <w:rsid w:val="00F635A9"/>
    <w:rsid w:val="00FE78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022C0"/>
  <w15:chartTrackingRefBased/>
  <w15:docId w15:val="{014AA0E8-C5AA-4058-BFAF-60806BF30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66447"/>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966447"/>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66447"/>
    <w:rPr>
      <w:rFonts w:ascii="Segoe UI" w:eastAsiaTheme="minorEastAsia" w:hAnsi="Segoe UI" w:cs="Segoe UI"/>
      <w:sz w:val="18"/>
      <w:szCs w:val="18"/>
      <w:lang w:eastAsia="pl-PL"/>
    </w:rPr>
  </w:style>
  <w:style w:type="paragraph" w:styleId="Nagwek">
    <w:name w:val="header"/>
    <w:basedOn w:val="Normalny"/>
    <w:link w:val="NagwekZnak"/>
    <w:uiPriority w:val="99"/>
    <w:unhideWhenUsed/>
    <w:rsid w:val="00966447"/>
    <w:pPr>
      <w:tabs>
        <w:tab w:val="center" w:pos="4536"/>
        <w:tab w:val="right" w:pos="9072"/>
      </w:tabs>
      <w:spacing w:line="240" w:lineRule="auto"/>
    </w:pPr>
  </w:style>
  <w:style w:type="character" w:customStyle="1" w:styleId="NagwekZnak">
    <w:name w:val="Nagłówek Znak"/>
    <w:basedOn w:val="Domylnaczcionkaakapitu"/>
    <w:link w:val="Nagwek"/>
    <w:uiPriority w:val="99"/>
    <w:rsid w:val="00966447"/>
    <w:rPr>
      <w:rFonts w:ascii="Times New Roman" w:eastAsiaTheme="minorEastAsia" w:hAnsi="Times New Roman" w:cs="Arial"/>
      <w:sz w:val="24"/>
      <w:szCs w:val="20"/>
      <w:lang w:eastAsia="pl-PL"/>
    </w:rPr>
  </w:style>
  <w:style w:type="paragraph" w:styleId="Stopka">
    <w:name w:val="footer"/>
    <w:basedOn w:val="Normalny"/>
    <w:link w:val="StopkaZnak"/>
    <w:uiPriority w:val="99"/>
    <w:unhideWhenUsed/>
    <w:rsid w:val="00966447"/>
    <w:pPr>
      <w:tabs>
        <w:tab w:val="center" w:pos="4536"/>
        <w:tab w:val="right" w:pos="9072"/>
      </w:tabs>
      <w:spacing w:line="240" w:lineRule="auto"/>
    </w:pPr>
  </w:style>
  <w:style w:type="character" w:customStyle="1" w:styleId="StopkaZnak">
    <w:name w:val="Stopka Znak"/>
    <w:basedOn w:val="Domylnaczcionkaakapitu"/>
    <w:link w:val="Stopka"/>
    <w:uiPriority w:val="99"/>
    <w:rsid w:val="00966447"/>
    <w:rPr>
      <w:rFonts w:ascii="Times New Roman" w:eastAsiaTheme="minorEastAsia" w:hAnsi="Times New Roman" w:cs="Arial"/>
      <w:sz w:val="24"/>
      <w:szCs w:val="20"/>
      <w:lang w:eastAsia="pl-PL"/>
    </w:rPr>
  </w:style>
  <w:style w:type="character" w:styleId="Odwoaniedokomentarza">
    <w:name w:val="annotation reference"/>
    <w:basedOn w:val="Domylnaczcionkaakapitu"/>
    <w:uiPriority w:val="99"/>
    <w:semiHidden/>
    <w:unhideWhenUsed/>
    <w:rsid w:val="00344FB7"/>
    <w:rPr>
      <w:sz w:val="16"/>
      <w:szCs w:val="16"/>
    </w:rPr>
  </w:style>
  <w:style w:type="paragraph" w:styleId="Tekstkomentarza">
    <w:name w:val="annotation text"/>
    <w:basedOn w:val="Normalny"/>
    <w:link w:val="TekstkomentarzaZnak"/>
    <w:uiPriority w:val="99"/>
    <w:semiHidden/>
    <w:unhideWhenUsed/>
    <w:rsid w:val="00344FB7"/>
    <w:pPr>
      <w:spacing w:line="240" w:lineRule="auto"/>
    </w:pPr>
    <w:rPr>
      <w:sz w:val="20"/>
    </w:rPr>
  </w:style>
  <w:style w:type="character" w:customStyle="1" w:styleId="TekstkomentarzaZnak">
    <w:name w:val="Tekst komentarza Znak"/>
    <w:basedOn w:val="Domylnaczcionkaakapitu"/>
    <w:link w:val="Tekstkomentarza"/>
    <w:uiPriority w:val="99"/>
    <w:semiHidden/>
    <w:rsid w:val="00344FB7"/>
    <w:rPr>
      <w:rFonts w:ascii="Times New Roman" w:eastAsiaTheme="minorEastAsia"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344FB7"/>
    <w:rPr>
      <w:b/>
      <w:bCs/>
    </w:rPr>
  </w:style>
  <w:style w:type="character" w:customStyle="1" w:styleId="TematkomentarzaZnak">
    <w:name w:val="Temat komentarza Znak"/>
    <w:basedOn w:val="TekstkomentarzaZnak"/>
    <w:link w:val="Tematkomentarza"/>
    <w:uiPriority w:val="99"/>
    <w:semiHidden/>
    <w:rsid w:val="00344FB7"/>
    <w:rPr>
      <w:rFonts w:ascii="Times New Roman" w:eastAsiaTheme="minorEastAsia" w:hAnsi="Times New Roman" w:cs="Arial"/>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5666</Words>
  <Characters>33998</Characters>
  <Application>Microsoft Office Word</Application>
  <DocSecurity>0</DocSecurity>
  <Lines>283</Lines>
  <Paragraphs>79</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39585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Bodych Dominika</dc:creator>
  <cp:keywords/>
  <dc:description/>
  <cp:lastModifiedBy>Wójcik Aleksandra</cp:lastModifiedBy>
  <cp:revision>3</cp:revision>
  <dcterms:created xsi:type="dcterms:W3CDTF">2022-04-22T07:52:00Z</dcterms:created>
  <dcterms:modified xsi:type="dcterms:W3CDTF">2022-04-22T07:54:00Z</dcterms:modified>
</cp:coreProperties>
</file>