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5050A" w14:textId="77777777" w:rsidR="00B96862" w:rsidRPr="00C41BBF" w:rsidRDefault="00B96862" w:rsidP="00C41BBF">
      <w:pPr>
        <w:widowControl w:val="0"/>
        <w:autoSpaceDE w:val="0"/>
        <w:autoSpaceDN w:val="0"/>
        <w:adjustRightInd w:val="0"/>
        <w:spacing w:after="240" w:line="360" w:lineRule="auto"/>
        <w:jc w:val="center"/>
        <w:rPr>
          <w:rFonts w:ascii="Times New Roman" w:eastAsiaTheme="minorEastAsia" w:hAnsi="Times New Roman" w:cs="Times New Roman"/>
          <w:caps/>
          <w:sz w:val="24"/>
          <w:szCs w:val="24"/>
          <w:lang w:eastAsia="pl-PL"/>
        </w:rPr>
      </w:pPr>
      <w:bookmarkStart w:id="0" w:name="_GoBack"/>
      <w:bookmarkEnd w:id="0"/>
      <w:r w:rsidRPr="00C41BBF">
        <w:rPr>
          <w:rFonts w:ascii="Times New Roman" w:eastAsiaTheme="minorEastAsia" w:hAnsi="Times New Roman" w:cs="Times New Roman"/>
          <w:caps/>
          <w:sz w:val="24"/>
          <w:szCs w:val="24"/>
          <w:lang w:eastAsia="pl-PL"/>
        </w:rPr>
        <w:t>Uzasadnienie</w:t>
      </w:r>
    </w:p>
    <w:p w14:paraId="112F0AC8" w14:textId="77777777" w:rsidR="00B96862" w:rsidRPr="00C41BBF" w:rsidRDefault="00B96862" w:rsidP="00C41BBF">
      <w:pPr>
        <w:widowControl w:val="0"/>
        <w:numPr>
          <w:ilvl w:val="0"/>
          <w:numId w:val="18"/>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Część ogólna</w:t>
      </w:r>
    </w:p>
    <w:p w14:paraId="59EB6D3E" w14:textId="6C8A919C" w:rsidR="00240B3A" w:rsidRPr="00C41BBF" w:rsidRDefault="00F95B8F"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Wspieranie dalszego rozwoju gospodarczego Polski, utrzymanie </w:t>
      </w:r>
      <w:r w:rsidR="00240B3A" w:rsidRPr="00C41BBF">
        <w:rPr>
          <w:rFonts w:ascii="Times New Roman" w:eastAsiaTheme="minorEastAsia" w:hAnsi="Times New Roman" w:cs="Times New Roman"/>
          <w:sz w:val="24"/>
          <w:szCs w:val="24"/>
          <w:lang w:eastAsia="pl-PL"/>
        </w:rPr>
        <w:t xml:space="preserve">i wzmocnienie wizerunku </w:t>
      </w:r>
      <w:r w:rsidRPr="00C41BBF">
        <w:rPr>
          <w:rFonts w:ascii="Times New Roman" w:eastAsiaTheme="minorEastAsia" w:hAnsi="Times New Roman" w:cs="Times New Roman"/>
          <w:sz w:val="24"/>
          <w:szCs w:val="24"/>
          <w:lang w:eastAsia="pl-PL"/>
        </w:rPr>
        <w:t>Polski</w:t>
      </w:r>
      <w:r w:rsidR="00240B3A" w:rsidRPr="00C41BBF">
        <w:rPr>
          <w:rFonts w:ascii="Times New Roman" w:eastAsiaTheme="minorEastAsia" w:hAnsi="Times New Roman" w:cs="Times New Roman"/>
          <w:sz w:val="24"/>
          <w:szCs w:val="24"/>
          <w:lang w:eastAsia="pl-PL"/>
        </w:rPr>
        <w:t xml:space="preserve"> jako miejsca atrakcyjnego </w:t>
      </w:r>
      <w:r w:rsidRPr="00C41BBF">
        <w:rPr>
          <w:rFonts w:ascii="Times New Roman" w:eastAsiaTheme="minorEastAsia" w:hAnsi="Times New Roman" w:cs="Times New Roman"/>
          <w:sz w:val="24"/>
          <w:szCs w:val="24"/>
          <w:lang w:eastAsia="pl-PL"/>
        </w:rPr>
        <w:t>d</w:t>
      </w:r>
      <w:r w:rsidR="00240B3A" w:rsidRPr="00C41BBF">
        <w:rPr>
          <w:rFonts w:ascii="Times New Roman" w:eastAsiaTheme="minorEastAsia" w:hAnsi="Times New Roman" w:cs="Times New Roman"/>
          <w:sz w:val="24"/>
          <w:szCs w:val="24"/>
          <w:lang w:eastAsia="pl-PL"/>
        </w:rPr>
        <w:t>la inwestycji jest stałym wyzwaniem wymagającym działań. Jednym z możliwych obszarów działania Państwa w tym zakresie jest obszar prawa daninowego (obszar podatkowy).</w:t>
      </w:r>
    </w:p>
    <w:p w14:paraId="2F0C721B" w14:textId="1B00EEDB" w:rsidR="0083348A" w:rsidRPr="00C41BBF" w:rsidRDefault="0083348A" w:rsidP="00C41BBF">
      <w:pPr>
        <w:pStyle w:val="NormalnyWeb"/>
        <w:spacing w:before="0" w:beforeAutospacing="0" w:after="120" w:afterAutospacing="0" w:line="360" w:lineRule="auto"/>
        <w:jc w:val="both"/>
      </w:pPr>
      <w:r w:rsidRPr="00C41BBF">
        <w:t>Istniejący system podatkowy ukształtowany został w wyniku procesu zainicjowanego na początku lat 90</w:t>
      </w:r>
      <w:r w:rsidR="00D52F75">
        <w:t>.</w:t>
      </w:r>
      <w:r w:rsidRPr="00C41BBF">
        <w:t xml:space="preserve"> XX wieku</w:t>
      </w:r>
      <w:r w:rsidR="00511360" w:rsidRPr="00C41BBF">
        <w:t>.</w:t>
      </w:r>
      <w:r w:rsidRPr="00C41BBF">
        <w:t xml:space="preserve"> Od tego czasu warunki gospodarowania ulegały systematycznym zmianom. Mamy świadomość, że w ich rezultacie ukształtował się skomplikowany i w niektórych aspektach uciążliwy dla podatników system podatkowy. Dlatego też celem tego projektu jest udoskonalenie przepisów dotyczących opodatkowania dochodów osób fizycznych. </w:t>
      </w:r>
    </w:p>
    <w:p w14:paraId="54BD4C55" w14:textId="681399BA" w:rsidR="00B96862" w:rsidRPr="00C41BBF" w:rsidRDefault="0083348A"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Ponadto t</w:t>
      </w:r>
      <w:r w:rsidR="00240B3A" w:rsidRPr="00C41BBF">
        <w:rPr>
          <w:rFonts w:ascii="Times New Roman" w:eastAsiaTheme="minorEastAsia" w:hAnsi="Times New Roman" w:cs="Times New Roman"/>
          <w:sz w:val="24"/>
          <w:szCs w:val="24"/>
          <w:lang w:eastAsia="pl-PL"/>
        </w:rPr>
        <w:t>rwałość, spójność i przejrzystość rozwiązań podatkowych jest niezwykle istotna nie tylko dla podatników podatku dochodowego od osób fizycznych (w tym przedsiębiorców), ale również dla przedsiębiorców będących płatnikami podatku dochodowego od osób fizycznych.</w:t>
      </w:r>
    </w:p>
    <w:p w14:paraId="7D264320" w14:textId="3551BC82"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Rozwiązania przewidziane w niniejszym projekcie stanowią </w:t>
      </w:r>
      <w:r w:rsidR="00240B3A" w:rsidRPr="00C41BBF">
        <w:rPr>
          <w:rFonts w:ascii="Times New Roman" w:eastAsiaTheme="minorEastAsia" w:hAnsi="Times New Roman" w:cs="Times New Roman"/>
          <w:sz w:val="24"/>
          <w:szCs w:val="24"/>
          <w:lang w:eastAsia="pl-PL"/>
        </w:rPr>
        <w:t xml:space="preserve">zdecydowany </w:t>
      </w:r>
      <w:r w:rsidRPr="00C41BBF">
        <w:rPr>
          <w:rFonts w:ascii="Times New Roman" w:eastAsiaTheme="minorEastAsia" w:hAnsi="Times New Roman" w:cs="Times New Roman"/>
          <w:sz w:val="24"/>
          <w:szCs w:val="24"/>
          <w:lang w:eastAsia="pl-PL"/>
        </w:rPr>
        <w:t>krok w ty</w:t>
      </w:r>
      <w:r w:rsidR="0083348A" w:rsidRPr="00C41BBF">
        <w:rPr>
          <w:rFonts w:ascii="Times New Roman" w:eastAsiaTheme="minorEastAsia" w:hAnsi="Times New Roman" w:cs="Times New Roman"/>
          <w:sz w:val="24"/>
          <w:szCs w:val="24"/>
          <w:lang w:eastAsia="pl-PL"/>
        </w:rPr>
        <w:t>ch</w:t>
      </w:r>
      <w:r w:rsidRPr="00C41BBF">
        <w:rPr>
          <w:rFonts w:ascii="Times New Roman" w:eastAsiaTheme="minorEastAsia" w:hAnsi="Times New Roman" w:cs="Times New Roman"/>
          <w:sz w:val="24"/>
          <w:szCs w:val="24"/>
          <w:lang w:eastAsia="pl-PL"/>
        </w:rPr>
        <w:t xml:space="preserve"> kierunk</w:t>
      </w:r>
      <w:r w:rsidR="0083348A" w:rsidRPr="00C41BBF">
        <w:rPr>
          <w:rFonts w:ascii="Times New Roman" w:eastAsiaTheme="minorEastAsia" w:hAnsi="Times New Roman" w:cs="Times New Roman"/>
          <w:sz w:val="24"/>
          <w:szCs w:val="24"/>
          <w:lang w:eastAsia="pl-PL"/>
        </w:rPr>
        <w:t>ach</w:t>
      </w:r>
      <w:r w:rsidRPr="00C41BBF">
        <w:rPr>
          <w:rFonts w:ascii="Times New Roman" w:eastAsiaTheme="minorEastAsia" w:hAnsi="Times New Roman" w:cs="Times New Roman"/>
          <w:sz w:val="24"/>
          <w:szCs w:val="24"/>
          <w:lang w:eastAsia="pl-PL"/>
        </w:rPr>
        <w:t xml:space="preserve">, obejmujący bardzo szeroki zakres adresatów </w:t>
      </w:r>
      <w:r w:rsidR="009A6AB0" w:rsidRPr="00C41BB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podatników podatku dochodowego od osób fizycznych (PIT), niezależnie od źródła osiąganych dochodów. </w:t>
      </w:r>
    </w:p>
    <w:p w14:paraId="3FEA1232" w14:textId="21D97E63"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Głównym celem projektowanych rozwiązań jest ulepszenie </w:t>
      </w:r>
      <w:r w:rsidR="000D68CE" w:rsidRPr="00C41BBF">
        <w:rPr>
          <w:rFonts w:ascii="Times New Roman" w:eastAsiaTheme="minorEastAsia" w:hAnsi="Times New Roman" w:cs="Times New Roman"/>
          <w:sz w:val="24"/>
          <w:szCs w:val="24"/>
          <w:lang w:eastAsia="pl-PL"/>
        </w:rPr>
        <w:t xml:space="preserve">i uproszczenie </w:t>
      </w:r>
      <w:r w:rsidRPr="00C41BBF">
        <w:rPr>
          <w:rFonts w:ascii="Times New Roman" w:eastAsiaTheme="minorEastAsia" w:hAnsi="Times New Roman" w:cs="Times New Roman"/>
          <w:sz w:val="24"/>
          <w:szCs w:val="24"/>
          <w:lang w:eastAsia="pl-PL"/>
        </w:rPr>
        <w:t xml:space="preserve">systemu podatkowego. Nowe regulacje mają </w:t>
      </w:r>
      <w:r w:rsidR="000D68CE" w:rsidRPr="00C41BBF">
        <w:rPr>
          <w:rFonts w:ascii="Times New Roman" w:eastAsiaTheme="minorEastAsia" w:hAnsi="Times New Roman" w:cs="Times New Roman"/>
          <w:sz w:val="24"/>
          <w:szCs w:val="24"/>
          <w:lang w:eastAsia="pl-PL"/>
        </w:rPr>
        <w:t xml:space="preserve">też </w:t>
      </w:r>
      <w:r w:rsidRPr="00C41BBF">
        <w:rPr>
          <w:rFonts w:ascii="Times New Roman" w:eastAsiaTheme="minorEastAsia" w:hAnsi="Times New Roman" w:cs="Times New Roman"/>
          <w:sz w:val="24"/>
          <w:szCs w:val="24"/>
          <w:lang w:eastAsia="pl-PL"/>
        </w:rPr>
        <w:t>zapewnić stabilność systemu na kolejne lata. Chcemy</w:t>
      </w:r>
      <w:r w:rsidR="009A6AB0" w:rsidRPr="00C41BB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aby wprowadzane rozwiązania były proste, zrozumiałe, dzięki czemu chcemy</w:t>
      </w:r>
      <w:r w:rsidR="00D52F75">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w:t>
      </w:r>
      <w:r w:rsidR="000D68CE" w:rsidRPr="00C41BBF">
        <w:rPr>
          <w:rFonts w:ascii="Times New Roman" w:eastAsiaTheme="minorEastAsia" w:hAnsi="Times New Roman" w:cs="Times New Roman"/>
          <w:sz w:val="24"/>
          <w:szCs w:val="24"/>
          <w:lang w:eastAsia="pl-PL"/>
        </w:rPr>
        <w:t>aby system podatkowy był przej</w:t>
      </w:r>
      <w:r w:rsidR="008101FD" w:rsidRPr="00C41BBF">
        <w:rPr>
          <w:rFonts w:ascii="Times New Roman" w:eastAsiaTheme="minorEastAsia" w:hAnsi="Times New Roman" w:cs="Times New Roman"/>
          <w:sz w:val="24"/>
          <w:szCs w:val="24"/>
          <w:lang w:eastAsia="pl-PL"/>
        </w:rPr>
        <w:t>rz</w:t>
      </w:r>
      <w:r w:rsidRPr="00C41BBF">
        <w:rPr>
          <w:rFonts w:ascii="Times New Roman" w:eastAsiaTheme="minorEastAsia" w:hAnsi="Times New Roman" w:cs="Times New Roman"/>
          <w:sz w:val="24"/>
          <w:szCs w:val="24"/>
          <w:lang w:eastAsia="pl-PL"/>
        </w:rPr>
        <w:t>yst</w:t>
      </w:r>
      <w:r w:rsidR="000D68CE" w:rsidRPr="00C41BBF">
        <w:rPr>
          <w:rFonts w:ascii="Times New Roman" w:eastAsiaTheme="minorEastAsia" w:hAnsi="Times New Roman" w:cs="Times New Roman"/>
          <w:sz w:val="24"/>
          <w:szCs w:val="24"/>
          <w:lang w:eastAsia="pl-PL"/>
        </w:rPr>
        <w:t>y</w:t>
      </w:r>
      <w:r w:rsidRPr="00C41BBF">
        <w:rPr>
          <w:rFonts w:ascii="Times New Roman" w:eastAsiaTheme="minorEastAsia" w:hAnsi="Times New Roman" w:cs="Times New Roman"/>
          <w:sz w:val="24"/>
          <w:szCs w:val="24"/>
          <w:lang w:eastAsia="pl-PL"/>
        </w:rPr>
        <w:t>.</w:t>
      </w:r>
    </w:p>
    <w:p w14:paraId="11C8CD7A" w14:textId="395D55AF"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Celowi temu służą następujące rozwiązania przewidziane w projekcie:</w:t>
      </w:r>
    </w:p>
    <w:p w14:paraId="5F7F7578" w14:textId="77777777" w:rsidR="00B96862" w:rsidRPr="00C41BBF" w:rsidRDefault="00B96862" w:rsidP="00C41BBF">
      <w:pPr>
        <w:widowControl w:val="0"/>
        <w:numPr>
          <w:ilvl w:val="0"/>
          <w:numId w:val="17"/>
        </w:numPr>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obniżenie z 17% do 12% stawki podatku obowiązującej w pierwszym przedziale skali podatkowej; </w:t>
      </w:r>
    </w:p>
    <w:p w14:paraId="37CA669E" w14:textId="4BB66ED8" w:rsidR="00B96862" w:rsidRPr="00C41BBF" w:rsidRDefault="00B96862" w:rsidP="00C41BBF">
      <w:pPr>
        <w:widowControl w:val="0"/>
        <w:numPr>
          <w:ilvl w:val="0"/>
          <w:numId w:val="17"/>
        </w:numPr>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wprowadzenie dla przedsiębiorców nierozliczających podatku wg skali podatkowej możliwości odliczania części zapłaconych składek zdrowotnych </w:t>
      </w:r>
      <w:r w:rsidRPr="00C41BBF">
        <w:rPr>
          <w:rFonts w:ascii="Times New Roman" w:eastAsiaTheme="minorEastAsia" w:hAnsi="Times New Roman" w:cs="Times New Roman"/>
          <w:sz w:val="24"/>
          <w:szCs w:val="24"/>
          <w:lang w:eastAsia="pl-PL"/>
        </w:rPr>
        <w:lastRenderedPageBreak/>
        <w:t>związanych z prowadzoną działalnością gospodarczą opodatkowaną jednolitym 19% podatkiem, ryczałtem od przychodów ewidencjonowanych oraz kartą podatkową – przedsiębiorcy rozliczający podatek według skali podatkowej zapłacą niższy podatek dzięki obniżonej stawce podatku;</w:t>
      </w:r>
    </w:p>
    <w:p w14:paraId="30C7398C" w14:textId="3412D98F" w:rsidR="000D68CE" w:rsidRPr="00C41BBF" w:rsidRDefault="000D68CE" w:rsidP="00C41BBF">
      <w:pPr>
        <w:widowControl w:val="0"/>
        <w:numPr>
          <w:ilvl w:val="0"/>
          <w:numId w:val="17"/>
        </w:numPr>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uchylenie ulgi dla klasy średniej. </w:t>
      </w:r>
    </w:p>
    <w:p w14:paraId="6ACF960F" w14:textId="424EFCB7" w:rsidR="00B96862" w:rsidRPr="00C41BBF" w:rsidRDefault="00D95C11" w:rsidP="00C41BBF">
      <w:pPr>
        <w:widowControl w:val="0"/>
        <w:autoSpaceDE w:val="0"/>
        <w:autoSpaceDN w:val="0"/>
        <w:adjustRightInd w:val="0"/>
        <w:spacing w:after="120" w:line="360" w:lineRule="auto"/>
        <w:ind w:left="851"/>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O</w:t>
      </w:r>
      <w:r w:rsidR="00B96862" w:rsidRPr="00C41BBF">
        <w:rPr>
          <w:rFonts w:ascii="Times New Roman" w:eastAsiaTheme="minorEastAsia" w:hAnsi="Times New Roman" w:cs="Times New Roman"/>
          <w:sz w:val="24"/>
          <w:szCs w:val="24"/>
          <w:lang w:eastAsia="pl-PL"/>
        </w:rPr>
        <w:t>bniżenie stawki podatkowej w trakcie roku, a także w rozliczeniu podatku dochodowego za 2022 r. umożliwia uchylenie</w:t>
      </w:r>
      <w:r w:rsidR="000D68CE" w:rsidRPr="00C41BBF">
        <w:rPr>
          <w:rFonts w:ascii="Times New Roman" w:eastAsiaTheme="minorEastAsia" w:hAnsi="Times New Roman" w:cs="Times New Roman"/>
          <w:sz w:val="24"/>
          <w:szCs w:val="24"/>
          <w:lang w:eastAsia="pl-PL"/>
        </w:rPr>
        <w:t>,</w:t>
      </w:r>
      <w:r w:rsidR="00B96862" w:rsidRPr="00C41BBF">
        <w:rPr>
          <w:rFonts w:ascii="Times New Roman" w:eastAsiaTheme="minorEastAsia" w:hAnsi="Times New Roman" w:cs="Times New Roman"/>
          <w:sz w:val="24"/>
          <w:szCs w:val="24"/>
          <w:lang w:eastAsia="pl-PL"/>
        </w:rPr>
        <w:t xml:space="preserve"> postrzeganej</w:t>
      </w:r>
      <w:r w:rsidRPr="00C41BBF">
        <w:rPr>
          <w:rFonts w:ascii="Times New Roman" w:eastAsiaTheme="minorEastAsia" w:hAnsi="Times New Roman" w:cs="Times New Roman"/>
          <w:sz w:val="24"/>
          <w:szCs w:val="24"/>
          <w:lang w:eastAsia="pl-PL"/>
        </w:rPr>
        <w:t xml:space="preserve"> jako niespójnej i komplikującej system podatkowy,</w:t>
      </w:r>
      <w:r w:rsidR="00B96862" w:rsidRPr="00C41BBF">
        <w:rPr>
          <w:rFonts w:ascii="Times New Roman" w:eastAsiaTheme="minorEastAsia" w:hAnsi="Times New Roman" w:cs="Times New Roman"/>
          <w:sz w:val="24"/>
          <w:szCs w:val="24"/>
          <w:lang w:eastAsia="pl-PL"/>
        </w:rPr>
        <w:t xml:space="preserve"> </w:t>
      </w:r>
      <w:r w:rsidR="005B6941" w:rsidRPr="00C41BBF">
        <w:rPr>
          <w:rFonts w:ascii="Times New Roman" w:eastAsiaTheme="minorEastAsia" w:hAnsi="Times New Roman" w:cs="Times New Roman"/>
          <w:sz w:val="24"/>
          <w:szCs w:val="24"/>
          <w:lang w:eastAsia="pl-PL"/>
        </w:rPr>
        <w:t xml:space="preserve">tzw. </w:t>
      </w:r>
      <w:r w:rsidR="00B96862" w:rsidRPr="00C41BBF">
        <w:rPr>
          <w:rFonts w:ascii="Times New Roman" w:eastAsiaTheme="minorEastAsia" w:hAnsi="Times New Roman" w:cs="Times New Roman"/>
          <w:sz w:val="24"/>
          <w:szCs w:val="24"/>
          <w:lang w:eastAsia="pl-PL"/>
        </w:rPr>
        <w:t>ulgi dla klasy średniej.</w:t>
      </w:r>
      <w:r w:rsidR="000D68CE" w:rsidRPr="00C41BBF">
        <w:rPr>
          <w:rFonts w:ascii="Times New Roman" w:eastAsiaTheme="minorEastAsia" w:hAnsi="Times New Roman" w:cs="Times New Roman"/>
          <w:sz w:val="24"/>
          <w:szCs w:val="24"/>
          <w:lang w:eastAsia="pl-PL"/>
        </w:rPr>
        <w:t xml:space="preserve"> </w:t>
      </w:r>
    </w:p>
    <w:p w14:paraId="1A641FE5" w14:textId="5D0DA4CD"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 ma na celu polepszenie sytuacji zarówno pracowników etatowych, których źródłem przychodów jest stosunek pracy, jak również osób osiągających przychody z tytułu umów cywilnoprawnych, kontraktów oraz innych mniej popularnych rodzajów umów. Zawiera on pakiet korzystnych rozwiązań, które realnie wpływają na </w:t>
      </w:r>
      <w:r w:rsidR="000D68CE" w:rsidRPr="00C41BBF">
        <w:rPr>
          <w:rFonts w:ascii="Times New Roman" w:eastAsiaTheme="minorEastAsia" w:hAnsi="Times New Roman" w:cs="Times New Roman"/>
          <w:sz w:val="24"/>
          <w:szCs w:val="24"/>
          <w:lang w:eastAsia="pl-PL"/>
        </w:rPr>
        <w:t>usprawnienie systemu podatkowego i uczynienie go bardziej zrozumiałym dla</w:t>
      </w:r>
      <w:r w:rsidRPr="00C41BBF">
        <w:rPr>
          <w:rFonts w:ascii="Times New Roman" w:eastAsiaTheme="minorEastAsia" w:hAnsi="Times New Roman" w:cs="Times New Roman"/>
          <w:sz w:val="24"/>
          <w:szCs w:val="24"/>
          <w:lang w:eastAsia="pl-PL"/>
        </w:rPr>
        <w:t xml:space="preserve"> podatników podatku dochodowego od osób fizycznych, w tym przedsiębiorców.</w:t>
      </w:r>
    </w:p>
    <w:p w14:paraId="0E285B74" w14:textId="77777777"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Dodatkowym efektem proponowanych zmian (skutkujących zmniejszeniem tzw. klina podatkowego) powinno być zmniejszenie presji płacowej wobec pracodawców, co wpłynie pozytywnie na sytuację wszystkich przedsiębiorstw, również będących podatnikami podatku CIT.</w:t>
      </w:r>
    </w:p>
    <w:p w14:paraId="3D491AA7" w14:textId="15278E5B"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Dodatkowym celem projektowanej ustawy jest zapewnienie spójnego, przejrzystego i sprawiedliwego systemu podatkowego przez doprecyzowanie oraz udoskonalenie obowią</w:t>
      </w:r>
      <w:r w:rsidR="0083348A" w:rsidRPr="00C41BBF">
        <w:rPr>
          <w:rFonts w:ascii="Times New Roman" w:eastAsiaTheme="minorEastAsia" w:hAnsi="Times New Roman" w:cs="Times New Roman"/>
          <w:sz w:val="24"/>
          <w:szCs w:val="24"/>
          <w:lang w:eastAsia="pl-PL"/>
        </w:rPr>
        <w:t>zujących przepisów podatkowych.</w:t>
      </w:r>
    </w:p>
    <w:p w14:paraId="2E48103E" w14:textId="77777777" w:rsidR="0083348A" w:rsidRPr="00C41BBF" w:rsidRDefault="0083348A" w:rsidP="00C41BBF">
      <w:pPr>
        <w:spacing w:after="12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Z orzecznictwa Trybunału Konstytucyjnego wynika, że władzy ustawodawczej przysługuje prawo decyzji w kształtowaniu dochodów i wydatków państwa i że ma ona w tej dziedzinie szeroką swobodę wyboru pomiędzy różnymi konstrukcjami zobowiązań podatkowych. Swoboda przysługująca ustawodawcy rysuje się – zdaniem Trybunału Konstytucyjnego – jeszcze wyraźniej w odniesieniu do kształtowania ulg i zwolnień podatkowych. Trybunał wielokrotnie w swoich orzeczeniach wskazywał, iż w prawie podatkowym decydującą rolę odgrywa zasada sprawiedliwości podatkowej, wyrażająca się między innymi powszechnością i równością opodatkowania. </w:t>
      </w:r>
      <w:r w:rsidRPr="00C41BBF">
        <w:rPr>
          <w:rFonts w:ascii="Times New Roman" w:eastAsia="Times New Roman" w:hAnsi="Times New Roman" w:cs="Times New Roman"/>
          <w:sz w:val="24"/>
          <w:szCs w:val="24"/>
          <w:lang w:eastAsia="pl-PL"/>
        </w:rPr>
        <w:lastRenderedPageBreak/>
        <w:t xml:space="preserve">Ustawodawca ma zatem znaczną swobodę w określaniu w ustawie stanów faktycznych, stanowiących podstawę opodatkowania lub podstawę ulgi podatkowej oraz generalnie swobodę w kształtowaniu poszczególnych konstrukcji prawnopodatkowych. O zakresie i przedmiocie opodatkowania oraz o zakresie i przedmiocie ulg podatkowych nie decydują przesłanki o charakterze prawnym, lecz przesłanki ekonomiczne i społeczne. Powyższe tezy znajdują odzwierciedlenie w wyrokach Trybunału Konstytucyjnego z dnia 29 maja 1996 r. sygn. akt K.22/95 i z dnia 12 stycznia 1995 r. sygn. akt. K.12/94. </w:t>
      </w:r>
    </w:p>
    <w:p w14:paraId="1DA3EC6C" w14:textId="77777777" w:rsidR="0083348A" w:rsidRPr="00C41BBF" w:rsidRDefault="0083348A" w:rsidP="00C41BBF">
      <w:pPr>
        <w:spacing w:after="12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Z orzecznictwa Trybunału Konstytucyjnego wynika zatem, że ustawodawca jest uprawniony do stanowienia prawa odpowiadającego założonym celom politycznym i gospodarczym. Polityka podatkowa powinna być kształtowana w taki sposób, aby ustanowiony system podatkowy zapewniał państwu systematyczne dochody umożliwiające realizację założonych wydatków, a jednocześnie wpływał na gospodarcze i społeczne zachowania podatników. </w:t>
      </w:r>
    </w:p>
    <w:p w14:paraId="38904445" w14:textId="77777777" w:rsidR="00B96862" w:rsidRPr="00C41BBF" w:rsidRDefault="00B96862" w:rsidP="00C41BBF">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 tego względu w proponowanych regulacjach uwzględniono postulaty zmian i sygnały pochodzące od podatników PIT, w tym również od przedsiębiorców, organizacji społecznych, zawodowych, jak i organów państwowych (Rzecznik Praw Obywatelskich, Rzecznik Małych i Średnich Przedsiębiorców). Postulaty te dotyczyły potrzeby uproszczenia systemu podatkowego, wyeliminowania jego mankamentów, a także wprowadzenia pożądanych społecznie rozwiązań, przede wszystkim w zakresie zwolnień przedmiotowych. </w:t>
      </w:r>
    </w:p>
    <w:p w14:paraId="1197EF79" w14:textId="5C7701C2"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Przedkładany projekt jest odpowiedzią na te głosy. W konsekwencji wpisuje się w potrzeby społeczne dotyczące </w:t>
      </w:r>
      <w:r w:rsidR="00D7607C" w:rsidRPr="00C41BBF">
        <w:rPr>
          <w:rFonts w:ascii="Times New Roman" w:eastAsiaTheme="minorEastAsia" w:hAnsi="Times New Roman" w:cs="Times New Roman"/>
          <w:sz w:val="24"/>
          <w:szCs w:val="24"/>
          <w:lang w:eastAsia="pl-PL"/>
        </w:rPr>
        <w:t>prostoty i przejrzystości</w:t>
      </w:r>
      <w:r w:rsidRPr="00C41BBF">
        <w:rPr>
          <w:rFonts w:ascii="Times New Roman" w:eastAsiaTheme="minorEastAsia" w:hAnsi="Times New Roman" w:cs="Times New Roman"/>
          <w:sz w:val="24"/>
          <w:szCs w:val="24"/>
          <w:lang w:eastAsia="pl-PL"/>
        </w:rPr>
        <w:t xml:space="preserve"> systemu podatku </w:t>
      </w:r>
      <w:r w:rsidR="000D68CE" w:rsidRPr="00C41BBF">
        <w:rPr>
          <w:rFonts w:ascii="Times New Roman" w:eastAsiaTheme="minorEastAsia" w:hAnsi="Times New Roman" w:cs="Times New Roman"/>
          <w:sz w:val="24"/>
          <w:szCs w:val="24"/>
          <w:lang w:eastAsia="pl-PL"/>
        </w:rPr>
        <w:t>dochodowego od osób fizycznych</w:t>
      </w:r>
      <w:r w:rsidRPr="00C41BBF">
        <w:rPr>
          <w:rFonts w:ascii="Times New Roman" w:eastAsiaTheme="minorEastAsia" w:hAnsi="Times New Roman" w:cs="Times New Roman"/>
          <w:sz w:val="24"/>
          <w:szCs w:val="24"/>
          <w:lang w:eastAsia="pl-PL"/>
        </w:rPr>
        <w:t>.</w:t>
      </w:r>
    </w:p>
    <w:p w14:paraId="0CCAB7B9" w14:textId="6C0BAB76"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Liczymy, że projekt zostanie wypracowany w konsensusie społecznym. Odzwierciedlenie w jego aktualnym kształcie sygnałów oczekiwań społecznych nie wyklucza kolejnych zmian, które będą służyć realizacji głównego celu tej inicjatywy legislacyjnej</w:t>
      </w:r>
      <w:r w:rsidR="00D52F75">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jakim jest stabilność i przejrzystość systemu podatkowego. </w:t>
      </w:r>
      <w:r w:rsidR="005B6941" w:rsidRPr="00C41BBF">
        <w:rPr>
          <w:rFonts w:ascii="Times New Roman" w:eastAsiaTheme="minorEastAsia" w:hAnsi="Times New Roman" w:cs="Times New Roman"/>
          <w:sz w:val="24"/>
          <w:szCs w:val="24"/>
          <w:lang w:eastAsia="pl-PL"/>
        </w:rPr>
        <w:t xml:space="preserve">Przeprowadzone zostały </w:t>
      </w:r>
      <w:r w:rsidRPr="00C41BBF">
        <w:rPr>
          <w:rFonts w:ascii="Times New Roman" w:eastAsiaTheme="minorEastAsia" w:hAnsi="Times New Roman" w:cs="Times New Roman"/>
          <w:sz w:val="24"/>
          <w:szCs w:val="24"/>
          <w:lang w:eastAsia="pl-PL"/>
        </w:rPr>
        <w:t xml:space="preserve">szerokie </w:t>
      </w:r>
      <w:r w:rsidR="005B6941" w:rsidRPr="00C41BBF">
        <w:rPr>
          <w:rFonts w:ascii="Times New Roman" w:eastAsiaTheme="minorEastAsia" w:hAnsi="Times New Roman" w:cs="Times New Roman"/>
          <w:sz w:val="24"/>
          <w:szCs w:val="24"/>
          <w:lang w:eastAsia="pl-PL"/>
        </w:rPr>
        <w:t>konsultacje</w:t>
      </w:r>
      <w:r w:rsidRPr="00C41BBF">
        <w:rPr>
          <w:rFonts w:ascii="Times New Roman" w:eastAsiaTheme="minorEastAsia" w:hAnsi="Times New Roman" w:cs="Times New Roman"/>
          <w:sz w:val="24"/>
          <w:szCs w:val="24"/>
          <w:lang w:eastAsia="pl-PL"/>
        </w:rPr>
        <w:t>, aby wypracować rozwiązania najkorzystniejsze dla podatników, a także płatników podatku dochodowego.</w:t>
      </w:r>
    </w:p>
    <w:p w14:paraId="57F6E19D" w14:textId="5B845950"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 xml:space="preserve">Wprowadzane zmiany podatkowe podyktowane są zatem przede wszystkim koniecznością dostosowania preferencji podatkowych do jak najszerszego kręgu uprawnionych podmiotów, co będzie sprzyjało urzeczywistnianiu idei sprawiedliwego systemu podatkowego. Ponadto rozciągnięcie zachęt podatkowych na kolejnych adresatów przyczyni się do zmniejszenia kosztów ich zatrudnienia, co w dłuższej perspektywie powinno wspomóc sukcesywny rozwój gospodarczy. </w:t>
      </w:r>
    </w:p>
    <w:p w14:paraId="353A20B9" w14:textId="0DD811AB"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Projektem wprowadzane są </w:t>
      </w:r>
      <w:r w:rsidR="00D52F75" w:rsidRPr="00C41BBF">
        <w:rPr>
          <w:rFonts w:ascii="Times New Roman" w:eastAsiaTheme="minorEastAsia" w:hAnsi="Times New Roman" w:cs="Times New Roman"/>
          <w:sz w:val="24"/>
          <w:szCs w:val="24"/>
          <w:lang w:eastAsia="pl-PL"/>
        </w:rPr>
        <w:t xml:space="preserve">nie tylko </w:t>
      </w:r>
      <w:r w:rsidRPr="00C41BBF">
        <w:rPr>
          <w:rFonts w:ascii="Times New Roman" w:eastAsiaTheme="minorEastAsia" w:hAnsi="Times New Roman" w:cs="Times New Roman"/>
          <w:sz w:val="24"/>
          <w:szCs w:val="24"/>
          <w:lang w:eastAsia="pl-PL"/>
        </w:rPr>
        <w:t>nowe rozwiązania, ale uchylane są te niekorzystnie odbierane przez podatników (tzw. ulga dla klasy średniej, nowa ulga dla osób samotnie wychowujących dzieci</w:t>
      </w:r>
      <w:r w:rsidR="001A197A" w:rsidRPr="00C41BBF">
        <w:rPr>
          <w:rFonts w:ascii="Times New Roman" w:eastAsiaTheme="minorEastAsia" w:hAnsi="Times New Roman" w:cs="Times New Roman"/>
          <w:sz w:val="24"/>
          <w:szCs w:val="24"/>
          <w:lang w:eastAsia="pl-PL"/>
        </w:rPr>
        <w:t>, tzw. „ulga 1500”</w:t>
      </w:r>
      <w:r w:rsidRPr="00C41BBF">
        <w:rPr>
          <w:rFonts w:ascii="Times New Roman" w:eastAsiaTheme="minorEastAsia" w:hAnsi="Times New Roman" w:cs="Times New Roman"/>
          <w:sz w:val="24"/>
          <w:szCs w:val="24"/>
          <w:lang w:eastAsia="pl-PL"/>
        </w:rPr>
        <w:t xml:space="preserve">). W tym zakresie projekt powraca do sprawdzonych już rozwiązań. </w:t>
      </w:r>
    </w:p>
    <w:p w14:paraId="38CC5BEB" w14:textId="63EC126F" w:rsidR="001A197A" w:rsidRPr="00C41BBF" w:rsidRDefault="001A197A"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Modyfikowana jest </w:t>
      </w:r>
      <w:r w:rsidR="002805D3" w:rsidRPr="00C41BBF">
        <w:rPr>
          <w:rFonts w:ascii="Times New Roman" w:eastAsiaTheme="minorEastAsia" w:hAnsi="Times New Roman" w:cs="Times New Roman"/>
          <w:sz w:val="24"/>
          <w:szCs w:val="24"/>
          <w:lang w:eastAsia="pl-PL"/>
        </w:rPr>
        <w:t xml:space="preserve">również ulga na zabytki, postrzegana obecnie jako sprzyjająca </w:t>
      </w:r>
      <w:r w:rsidR="007C2C7B" w:rsidRPr="00C41BBF">
        <w:rPr>
          <w:rFonts w:ascii="Times New Roman" w:eastAsiaTheme="minorEastAsia" w:hAnsi="Times New Roman" w:cs="Times New Roman"/>
          <w:sz w:val="24"/>
          <w:szCs w:val="24"/>
          <w:lang w:eastAsia="pl-PL"/>
        </w:rPr>
        <w:t>optymalizacji</w:t>
      </w:r>
      <w:r w:rsidR="002805D3" w:rsidRPr="00C41BBF">
        <w:rPr>
          <w:rFonts w:ascii="Times New Roman" w:eastAsiaTheme="minorEastAsia" w:hAnsi="Times New Roman" w:cs="Times New Roman"/>
          <w:sz w:val="24"/>
          <w:szCs w:val="24"/>
          <w:lang w:eastAsia="pl-PL"/>
        </w:rPr>
        <w:t xml:space="preserve"> podatkowej.</w:t>
      </w:r>
    </w:p>
    <w:p w14:paraId="12062723"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 zmian o wskazanym powyżej charakterze zaliczyć należy następujące rozwiązania:</w:t>
      </w:r>
    </w:p>
    <w:p w14:paraId="11181999" w14:textId="728C10A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likwidację tzw. ulgi dla klasy średniej,</w:t>
      </w:r>
      <w:r w:rsidR="0094111B" w:rsidRPr="00C41BBF">
        <w:rPr>
          <w:rFonts w:ascii="Times New Roman" w:eastAsiaTheme="minorEastAsia" w:hAnsi="Times New Roman" w:cs="Times New Roman"/>
          <w:sz w:val="24"/>
          <w:szCs w:val="24"/>
          <w:lang w:eastAsia="pl-PL"/>
        </w:rPr>
        <w:t xml:space="preserve"> </w:t>
      </w:r>
    </w:p>
    <w:p w14:paraId="0267B8D4" w14:textId="3A08317E" w:rsidR="007C2C7B" w:rsidRPr="00C41BBF" w:rsidRDefault="007C2C7B"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uszczelnienie ulgi na zabytki, </w:t>
      </w:r>
    </w:p>
    <w:p w14:paraId="649AB8AE" w14:textId="7777777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zmianę zasad stosowania kwoty wolnej od podatku (tj. 1/12 kwoty zmniejszającej podatek),</w:t>
      </w:r>
    </w:p>
    <w:p w14:paraId="1EABCA99" w14:textId="7777777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zwolnienie płatnika z obowiązku poboru zaliczki na podatek, </w:t>
      </w:r>
    </w:p>
    <w:p w14:paraId="3F880BD3" w14:textId="7777777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zmianę wysokości kryterium dochodowego pełnoletniego uczącego się dziecka, od którego zależy prawo rodzica lub opiekuna prawnego do preferencji podatkowych,</w:t>
      </w:r>
    </w:p>
    <w:p w14:paraId="613A78FD" w14:textId="7777777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zmianę katalogu dochodów małoletniego dziecka, które dolicza się do dochodów rodzica, </w:t>
      </w:r>
    </w:p>
    <w:p w14:paraId="1B406BDC" w14:textId="77777777" w:rsidR="00B96862" w:rsidRPr="00C41BBF" w:rsidRDefault="00B96862" w:rsidP="00D52F75">
      <w:pPr>
        <w:widowControl w:val="0"/>
        <w:numPr>
          <w:ilvl w:val="0"/>
          <w:numId w:val="19"/>
        </w:numPr>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color w:val="000000"/>
          <w:sz w:val="24"/>
          <w:szCs w:val="24"/>
          <w:lang w:eastAsia="pl-PL"/>
        </w:rPr>
        <w:t>zmiany w zakresie zwolnień przedmiotowych,</w:t>
      </w:r>
    </w:p>
    <w:p w14:paraId="1176AA9F" w14:textId="77777777" w:rsidR="00B96862" w:rsidRPr="00C41BBF" w:rsidRDefault="00B96862" w:rsidP="00D52F75">
      <w:pPr>
        <w:widowControl w:val="0"/>
        <w:numPr>
          <w:ilvl w:val="0"/>
          <w:numId w:val="19"/>
        </w:numPr>
        <w:suppressAutoHyphens/>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zmiany o charakterze porządkowym,</w:t>
      </w:r>
    </w:p>
    <w:p w14:paraId="107C451F" w14:textId="77777777" w:rsidR="00B96862" w:rsidRPr="00C41BBF" w:rsidRDefault="00B96862" w:rsidP="00D52F75">
      <w:pPr>
        <w:widowControl w:val="0"/>
        <w:numPr>
          <w:ilvl w:val="0"/>
          <w:numId w:val="19"/>
        </w:numPr>
        <w:suppressAutoHyphens/>
        <w:autoSpaceDE w:val="0"/>
        <w:autoSpaceDN w:val="0"/>
        <w:adjustRightInd w:val="0"/>
        <w:spacing w:after="0" w:line="360" w:lineRule="auto"/>
        <w:ind w:left="782"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color w:val="000000"/>
          <w:sz w:val="24"/>
          <w:szCs w:val="24"/>
          <w:lang w:eastAsia="pl-PL"/>
        </w:rPr>
        <w:t>umożliwienie zdefiniowanej grupie podatników przekazywania kwot w wysokości 1% podatku należnego organizacji pożytku publicznego na podstawie wniosku za poprzedni rok podatkowy,</w:t>
      </w:r>
    </w:p>
    <w:p w14:paraId="0A7461F3" w14:textId="77777777" w:rsidR="00B96862" w:rsidRPr="00C41BBF" w:rsidRDefault="00B96862" w:rsidP="00D52F75">
      <w:pPr>
        <w:widowControl w:val="0"/>
        <w:numPr>
          <w:ilvl w:val="0"/>
          <w:numId w:val="19"/>
        </w:numPr>
        <w:suppressAutoHyphens/>
        <w:autoSpaceDE w:val="0"/>
        <w:autoSpaceDN w:val="0"/>
        <w:adjustRightInd w:val="0"/>
        <w:spacing w:after="0" w:line="360" w:lineRule="auto"/>
        <w:ind w:left="782" w:hanging="357"/>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uchylenie </w:t>
      </w:r>
      <w:r w:rsidRPr="00D52F75">
        <w:rPr>
          <w:rFonts w:ascii="Times New Roman" w:eastAsiaTheme="minorEastAsia" w:hAnsi="Times New Roman" w:cs="Times New Roman"/>
          <w:color w:val="000000"/>
          <w:sz w:val="24"/>
          <w:szCs w:val="24"/>
          <w:lang w:eastAsia="pl-PL"/>
        </w:rPr>
        <w:t>mechanizmu</w:t>
      </w:r>
      <w:r w:rsidRPr="00C41BBF">
        <w:rPr>
          <w:rFonts w:ascii="Times New Roman" w:eastAsia="Times New Roman" w:hAnsi="Times New Roman" w:cs="Times New Roman"/>
          <w:sz w:val="24"/>
          <w:szCs w:val="24"/>
          <w:lang w:eastAsia="pl-PL"/>
        </w:rPr>
        <w:t xml:space="preserve"> przedłużenia poboru i wpłaty zaliczek na podatek dochodowy w trakcie 2022 r. </w:t>
      </w:r>
    </w:p>
    <w:p w14:paraId="2DDE56C9" w14:textId="77777777" w:rsidR="00B96862" w:rsidRPr="00C41BBF" w:rsidRDefault="00B96862" w:rsidP="00C41BBF">
      <w:pPr>
        <w:spacing w:before="120" w:after="0" w:line="360" w:lineRule="auto"/>
        <w:jc w:val="both"/>
        <w:rPr>
          <w:rFonts w:ascii="Times New Roman" w:eastAsia="Calibri" w:hAnsi="Times New Roman" w:cs="Times New Roman"/>
          <w:sz w:val="24"/>
          <w:szCs w:val="24"/>
        </w:rPr>
      </w:pPr>
      <w:r w:rsidRPr="00C41BBF">
        <w:rPr>
          <w:rFonts w:ascii="Times New Roman" w:eastAsia="Calibri" w:hAnsi="Times New Roman" w:cs="Times New Roman"/>
          <w:sz w:val="24"/>
          <w:szCs w:val="24"/>
        </w:rPr>
        <w:lastRenderedPageBreak/>
        <w:t>Przedłożony projekt wprowadza zmiany w ustawach z dnia:</w:t>
      </w:r>
    </w:p>
    <w:p w14:paraId="45B416A4"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sz w:val="24"/>
          <w:szCs w:val="24"/>
        </w:rPr>
      </w:pPr>
      <w:r w:rsidRPr="00C41BBF">
        <w:rPr>
          <w:rFonts w:ascii="Times New Roman" w:eastAsia="Calibri" w:hAnsi="Times New Roman" w:cs="Times New Roman"/>
          <w:sz w:val="24"/>
          <w:szCs w:val="24"/>
        </w:rPr>
        <w:t xml:space="preserve">26 lipca 1991 r. o podatku dochodowym od osób fizycznych (Dz. U. z 2021 r. poz. 1128, z późn. zm.), </w:t>
      </w:r>
      <w:r w:rsidRPr="00C41BBF">
        <w:rPr>
          <w:rFonts w:ascii="Times New Roman" w:eastAsia="Calibri" w:hAnsi="Times New Roman" w:cs="Times New Roman"/>
          <w:b/>
          <w:sz w:val="24"/>
          <w:szCs w:val="24"/>
        </w:rPr>
        <w:t>dalej: „ustawa PIT”</w:t>
      </w:r>
      <w:r w:rsidRPr="00D52F75">
        <w:rPr>
          <w:rFonts w:ascii="Times New Roman" w:eastAsia="Calibri" w:hAnsi="Times New Roman" w:cs="Times New Roman"/>
          <w:sz w:val="24"/>
          <w:szCs w:val="24"/>
        </w:rPr>
        <w:t>,</w:t>
      </w:r>
    </w:p>
    <w:p w14:paraId="28D55F35"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sz w:val="24"/>
          <w:szCs w:val="24"/>
        </w:rPr>
      </w:pPr>
      <w:r w:rsidRPr="00C41BBF">
        <w:rPr>
          <w:rFonts w:ascii="Times New Roman" w:eastAsiaTheme="minorEastAsia" w:hAnsi="Times New Roman" w:cs="Times New Roman"/>
          <w:sz w:val="24"/>
          <w:szCs w:val="24"/>
          <w:lang w:eastAsia="pl-PL"/>
        </w:rPr>
        <w:t xml:space="preserve">29 sierpnia 1997 r. – Ordynacja podatkowa (Dz. U. z 2021 r. poz. 1540, </w:t>
      </w:r>
      <w:r w:rsidRPr="00C41BBF">
        <w:rPr>
          <w:rFonts w:ascii="Times New Roman" w:eastAsia="Calibri" w:hAnsi="Times New Roman" w:cs="Times New Roman"/>
          <w:sz w:val="24"/>
          <w:szCs w:val="24"/>
        </w:rPr>
        <w:t>z późn. zm.),</w:t>
      </w:r>
    </w:p>
    <w:p w14:paraId="1CB22EA0"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13 października 1998 r. o systemie ubezpieczeń społecznych (Dz. U. z 2021 r. poz. 423, z późn. zm.),</w:t>
      </w:r>
    </w:p>
    <w:p w14:paraId="7AB376B4"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sz w:val="24"/>
          <w:szCs w:val="24"/>
        </w:rPr>
      </w:pPr>
      <w:r w:rsidRPr="00C41BBF">
        <w:rPr>
          <w:rFonts w:ascii="Times New Roman" w:eastAsiaTheme="minorEastAsia" w:hAnsi="Times New Roman" w:cs="Times New Roman"/>
          <w:sz w:val="24"/>
          <w:szCs w:val="24"/>
          <w:lang w:eastAsia="pl-PL"/>
        </w:rPr>
        <w:t xml:space="preserve">20 listopada 1998 r. o zryczałtowanym podatku dochodowym od niektórych przychodów osiąganych przez osoby fizyczne (Dz. U. z 2021 r. poz. 1993, z późn. zm.), </w:t>
      </w:r>
      <w:r w:rsidRPr="00C41BBF">
        <w:rPr>
          <w:rFonts w:ascii="Times New Roman" w:eastAsiaTheme="minorEastAsia" w:hAnsi="Times New Roman" w:cs="Times New Roman"/>
          <w:b/>
          <w:sz w:val="24"/>
          <w:szCs w:val="24"/>
          <w:lang w:eastAsia="pl-PL"/>
        </w:rPr>
        <w:t>dalej „ustawa o ryczałcie”</w:t>
      </w:r>
      <w:r w:rsidRPr="00D52F75">
        <w:rPr>
          <w:rFonts w:ascii="Times New Roman" w:eastAsiaTheme="minorEastAsia" w:hAnsi="Times New Roman" w:cs="Times New Roman"/>
          <w:sz w:val="24"/>
          <w:szCs w:val="24"/>
          <w:lang w:eastAsia="pl-PL"/>
        </w:rPr>
        <w:t>,</w:t>
      </w:r>
    </w:p>
    <w:p w14:paraId="51DDDBA3"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sz w:val="24"/>
          <w:szCs w:val="24"/>
        </w:rPr>
      </w:pPr>
      <w:r w:rsidRPr="00C41BBF">
        <w:rPr>
          <w:rFonts w:ascii="Times New Roman" w:hAnsi="Times New Roman" w:cs="Times New Roman"/>
          <w:sz w:val="24"/>
          <w:szCs w:val="24"/>
        </w:rPr>
        <w:t>25 czerwca 1999 r. o świadczeniach pieniężnych z ubezpieczenia społecznego w razie choroby i macierzyństwa (Dz. U. z 2021 r. poz. 1133, z późn. zm.),</w:t>
      </w:r>
    </w:p>
    <w:p w14:paraId="473FECFB" w14:textId="77777777"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b/>
          <w:sz w:val="24"/>
          <w:szCs w:val="24"/>
        </w:rPr>
      </w:pPr>
      <w:r w:rsidRPr="00C41BBF">
        <w:rPr>
          <w:rFonts w:ascii="Times New Roman" w:eastAsia="Calibri" w:hAnsi="Times New Roman" w:cs="Times New Roman"/>
          <w:sz w:val="24"/>
          <w:szCs w:val="24"/>
        </w:rPr>
        <w:t xml:space="preserve">24 kwietnia 2003 r. o działalności pożytku publicznego i o wolontariacie (Dz. U. z 2020 r. poz. 1057, z późn. zm.), </w:t>
      </w:r>
      <w:r w:rsidRPr="00C41BBF">
        <w:rPr>
          <w:rFonts w:ascii="Times New Roman" w:eastAsia="Calibri" w:hAnsi="Times New Roman" w:cs="Times New Roman"/>
          <w:b/>
          <w:sz w:val="24"/>
          <w:szCs w:val="24"/>
        </w:rPr>
        <w:t>dalej „ustawa o pożytku publicznym”</w:t>
      </w:r>
      <w:r w:rsidRPr="00C41BBF">
        <w:rPr>
          <w:rFonts w:ascii="Times New Roman" w:eastAsia="Calibri" w:hAnsi="Times New Roman" w:cs="Times New Roman"/>
          <w:sz w:val="24"/>
          <w:szCs w:val="24"/>
        </w:rPr>
        <w:t>,</w:t>
      </w:r>
    </w:p>
    <w:p w14:paraId="0A54909D" w14:textId="508BEFA1" w:rsidR="003301AC" w:rsidRPr="00C41BBF" w:rsidRDefault="003301AC"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b/>
          <w:sz w:val="24"/>
          <w:szCs w:val="24"/>
        </w:rPr>
      </w:pPr>
      <w:r w:rsidRPr="00C41BBF">
        <w:rPr>
          <w:rFonts w:ascii="Times New Roman" w:eastAsia="Calibri" w:hAnsi="Times New Roman" w:cs="Times New Roman"/>
          <w:sz w:val="24"/>
          <w:szCs w:val="24"/>
        </w:rPr>
        <w:t>28 listopada 2003 r. o świadczeniach rodzinnych (Dz. U. z 2022 r. poz. 615),</w:t>
      </w:r>
    </w:p>
    <w:p w14:paraId="2374D785" w14:textId="77777777" w:rsidR="003301AC"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b/>
          <w:sz w:val="24"/>
          <w:szCs w:val="24"/>
        </w:rPr>
      </w:pPr>
      <w:r w:rsidRPr="00C41BBF">
        <w:rPr>
          <w:rFonts w:ascii="Times New Roman" w:eastAsiaTheme="minorEastAsia" w:hAnsi="Times New Roman" w:cs="Times New Roman"/>
          <w:sz w:val="24"/>
          <w:szCs w:val="24"/>
          <w:lang w:eastAsia="pl-PL"/>
        </w:rPr>
        <w:t xml:space="preserve">27 sierpnia 2004 r. o świadczeniach opieki zdrowotnej finansowanych ze środków publicznych (Dz. U. z 2021 r. poz. 1285, z późn. zm.), </w:t>
      </w:r>
      <w:r w:rsidRPr="00C41BBF">
        <w:rPr>
          <w:rFonts w:ascii="Times New Roman" w:eastAsiaTheme="minorEastAsia" w:hAnsi="Times New Roman" w:cs="Times New Roman"/>
          <w:b/>
          <w:sz w:val="24"/>
          <w:szCs w:val="24"/>
          <w:lang w:eastAsia="pl-PL"/>
        </w:rPr>
        <w:t>dalej „ustawa o świadczeniach zdrowotnych”</w:t>
      </w:r>
      <w:r w:rsidRPr="00C41BBF">
        <w:rPr>
          <w:rFonts w:ascii="Times New Roman" w:eastAsiaTheme="minorEastAsia" w:hAnsi="Times New Roman" w:cs="Times New Roman"/>
          <w:sz w:val="24"/>
          <w:szCs w:val="24"/>
          <w:lang w:eastAsia="pl-PL"/>
        </w:rPr>
        <w:t>,</w:t>
      </w:r>
    </w:p>
    <w:p w14:paraId="32988669" w14:textId="352A72E3" w:rsidR="00B96862" w:rsidRPr="00C41BBF" w:rsidRDefault="00B96862" w:rsidP="00C41BBF">
      <w:pPr>
        <w:widowControl w:val="0"/>
        <w:numPr>
          <w:ilvl w:val="0"/>
          <w:numId w:val="11"/>
        </w:numPr>
        <w:autoSpaceDE w:val="0"/>
        <w:autoSpaceDN w:val="0"/>
        <w:adjustRightInd w:val="0"/>
        <w:spacing w:before="120" w:after="0" w:line="360" w:lineRule="auto"/>
        <w:contextualSpacing/>
        <w:jc w:val="both"/>
        <w:rPr>
          <w:rFonts w:ascii="Times New Roman" w:eastAsia="Calibri" w:hAnsi="Times New Roman" w:cs="Times New Roman"/>
          <w:b/>
          <w:sz w:val="24"/>
          <w:szCs w:val="24"/>
        </w:rPr>
      </w:pPr>
      <w:r w:rsidRPr="00C41BBF">
        <w:rPr>
          <w:rFonts w:ascii="Times New Roman" w:eastAsiaTheme="minorEastAsia" w:hAnsi="Times New Roman" w:cs="Times New Roman"/>
          <w:sz w:val="24"/>
          <w:szCs w:val="24"/>
          <w:lang w:eastAsia="pl-PL"/>
        </w:rPr>
        <w:t xml:space="preserve">29 października 2021 r. o zmianie ustawy o podatku dochodowym od osób fizycznych, ustawy o podatku dochodowym od osób prawnych oraz niektórych innych ustaw (Dz. U. poz. 2105, z </w:t>
      </w:r>
      <w:r w:rsidR="00C7756D" w:rsidRPr="00C41BBF">
        <w:rPr>
          <w:rFonts w:ascii="Times New Roman" w:eastAsiaTheme="minorEastAsia" w:hAnsi="Times New Roman" w:cs="Times New Roman"/>
          <w:sz w:val="24"/>
          <w:szCs w:val="24"/>
          <w:lang w:eastAsia="pl-PL"/>
        </w:rPr>
        <w:t>późn</w:t>
      </w:r>
      <w:r w:rsidRPr="00C41BBF">
        <w:rPr>
          <w:rFonts w:ascii="Times New Roman" w:eastAsiaTheme="minorEastAsia" w:hAnsi="Times New Roman" w:cs="Times New Roman"/>
          <w:sz w:val="24"/>
          <w:szCs w:val="24"/>
          <w:lang w:eastAsia="pl-PL"/>
        </w:rPr>
        <w:t xml:space="preserve">. zm.), </w:t>
      </w:r>
      <w:r w:rsidRPr="00C41BBF">
        <w:rPr>
          <w:rFonts w:ascii="Times New Roman" w:eastAsiaTheme="minorEastAsia" w:hAnsi="Times New Roman" w:cs="Times New Roman"/>
          <w:b/>
          <w:sz w:val="24"/>
          <w:szCs w:val="24"/>
          <w:lang w:eastAsia="pl-PL"/>
        </w:rPr>
        <w:t>dalej „ustawa z 29 października 2021 r.”</w:t>
      </w:r>
      <w:r w:rsidRPr="00C41BBF">
        <w:rPr>
          <w:rFonts w:ascii="Times New Roman" w:eastAsiaTheme="minorEastAsia" w:hAnsi="Times New Roman" w:cs="Times New Roman"/>
          <w:sz w:val="24"/>
          <w:szCs w:val="24"/>
          <w:lang w:eastAsia="pl-PL"/>
        </w:rPr>
        <w:t>.</w:t>
      </w:r>
    </w:p>
    <w:p w14:paraId="206937FF" w14:textId="77777777" w:rsidR="00B96862" w:rsidRPr="00C41BBF" w:rsidRDefault="00B96862" w:rsidP="00C41BBF">
      <w:pPr>
        <w:spacing w:before="120" w:after="0" w:line="360" w:lineRule="auto"/>
        <w:jc w:val="both"/>
        <w:rPr>
          <w:rFonts w:ascii="Times New Roman" w:eastAsia="Calibri" w:hAnsi="Times New Roman" w:cs="Times New Roman"/>
          <w:sz w:val="24"/>
          <w:szCs w:val="24"/>
        </w:rPr>
      </w:pPr>
      <w:r w:rsidRPr="00C41BBF">
        <w:rPr>
          <w:rFonts w:ascii="Times New Roman" w:eastAsia="Calibri" w:hAnsi="Times New Roman" w:cs="Times New Roman"/>
          <w:sz w:val="24"/>
          <w:szCs w:val="24"/>
        </w:rPr>
        <w:t>Poniżej przedstawiono szczegółowe omówienie projektowanych regulacji, w ujęciu tematycznym, wskazującym cel wprowadzanych rozwiązań.</w:t>
      </w:r>
    </w:p>
    <w:p w14:paraId="5F2ADC5C" w14:textId="77777777" w:rsidR="003301AC" w:rsidRPr="00C41BBF" w:rsidRDefault="003301AC" w:rsidP="00C41BBF">
      <w:pPr>
        <w:spacing w:before="120" w:after="0" w:line="360" w:lineRule="auto"/>
        <w:jc w:val="both"/>
        <w:rPr>
          <w:rFonts w:ascii="Times New Roman" w:eastAsia="Calibri" w:hAnsi="Times New Roman" w:cs="Times New Roman"/>
          <w:sz w:val="24"/>
          <w:szCs w:val="24"/>
        </w:rPr>
      </w:pPr>
    </w:p>
    <w:p w14:paraId="38ADCB3A" w14:textId="3A012F05"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II. Omówi</w:t>
      </w:r>
      <w:r w:rsidR="008101FD" w:rsidRPr="00C41BBF">
        <w:rPr>
          <w:rFonts w:ascii="Times New Roman" w:eastAsiaTheme="minorEastAsia" w:hAnsi="Times New Roman" w:cs="Times New Roman"/>
          <w:b/>
          <w:color w:val="0070C0"/>
          <w:sz w:val="24"/>
          <w:szCs w:val="24"/>
          <w:lang w:eastAsia="pl-PL"/>
        </w:rPr>
        <w:t>enie poszczególnych rozwiązań.</w:t>
      </w:r>
    </w:p>
    <w:p w14:paraId="7E5A4F27" w14:textId="27EB4AB0"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 PIT (art. 1 projektu ustawy)</w:t>
      </w:r>
    </w:p>
    <w:p w14:paraId="699B7843" w14:textId="77777777" w:rsidR="00B96862" w:rsidRPr="00C41BBF" w:rsidRDefault="00B96862" w:rsidP="00C41BBF">
      <w:pPr>
        <w:widowControl w:val="0"/>
        <w:autoSpaceDE w:val="0"/>
        <w:autoSpaceDN w:val="0"/>
        <w:adjustRightInd w:val="0"/>
        <w:spacing w:before="120" w:after="0" w:line="360" w:lineRule="auto"/>
        <w:ind w:left="720"/>
        <w:contextualSpacing/>
        <w:jc w:val="both"/>
        <w:rPr>
          <w:rFonts w:ascii="Times New Roman" w:eastAsiaTheme="minorEastAsia" w:hAnsi="Times New Roman" w:cs="Times New Roman"/>
          <w:sz w:val="24"/>
          <w:szCs w:val="24"/>
          <w:lang w:eastAsia="pl-PL"/>
        </w:rPr>
      </w:pPr>
    </w:p>
    <w:p w14:paraId="0C618E2A"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Wprowadzenie nowej skali podatkowej – zmiana art. 27 ustawy PIT</w:t>
      </w:r>
    </w:p>
    <w:p w14:paraId="1597A359" w14:textId="388636EC"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W projekcie przewiduje się kolejne obniżenie niższej stawki podatkowej z 17% do 1</w:t>
      </w:r>
      <w:r w:rsidR="0094111B" w:rsidRPr="00C41BBF">
        <w:rPr>
          <w:rFonts w:ascii="Times New Roman" w:eastAsiaTheme="minorEastAsia" w:hAnsi="Times New Roman" w:cs="Times New Roman"/>
          <w:sz w:val="24"/>
          <w:szCs w:val="24"/>
          <w:lang w:eastAsia="pl-PL"/>
        </w:rPr>
        <w:t>2</w:t>
      </w:r>
      <w:r w:rsidRPr="00C41BBF">
        <w:rPr>
          <w:rFonts w:ascii="Times New Roman" w:eastAsiaTheme="minorEastAsia" w:hAnsi="Times New Roman" w:cs="Times New Roman"/>
          <w:sz w:val="24"/>
          <w:szCs w:val="24"/>
          <w:lang w:eastAsia="pl-PL"/>
        </w:rPr>
        <w:t>%. Nowa, niższa stawka podatkowa dotyczyć będzie każdego podatnika (uzyskującego dochody na skali), bez względu na źródło osiąganych przychodów, wysokość przysługujących kosztów uzyskania przychodu, fakt zatrudnienia u kilku pracodawców czy też równoczesnego pobierania emerytury. Z nowej, niższej stawki podatku skorzystają również przedsiębiorcy prowadzący działalność gospodarczą opodat</w:t>
      </w:r>
      <w:r w:rsidR="007C2C7B" w:rsidRPr="00C41BBF">
        <w:rPr>
          <w:rFonts w:ascii="Times New Roman" w:eastAsiaTheme="minorEastAsia" w:hAnsi="Times New Roman" w:cs="Times New Roman"/>
          <w:sz w:val="24"/>
          <w:szCs w:val="24"/>
          <w:lang w:eastAsia="pl-PL"/>
        </w:rPr>
        <w:t>kowaną według skali podatkowej.</w:t>
      </w:r>
    </w:p>
    <w:p w14:paraId="756248BF" w14:textId="4E573810" w:rsidR="00B96862" w:rsidRPr="00C41BBF" w:rsidRDefault="005A786A"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12</w:t>
      </w:r>
      <w:r w:rsidR="00B96862" w:rsidRPr="00C41BBF">
        <w:rPr>
          <w:rFonts w:ascii="Times New Roman" w:eastAsiaTheme="minorEastAsia" w:hAnsi="Times New Roman" w:cs="Times New Roman"/>
          <w:sz w:val="24"/>
          <w:szCs w:val="24"/>
          <w:lang w:eastAsia="pl-PL"/>
        </w:rPr>
        <w:t>% stawka podatku jest jednolicie określona dla każdego z podatników opodatkowujących swoje przychody według sk</w:t>
      </w:r>
      <w:r w:rsidR="007C2C7B" w:rsidRPr="00C41BBF">
        <w:rPr>
          <w:rFonts w:ascii="Times New Roman" w:eastAsiaTheme="minorEastAsia" w:hAnsi="Times New Roman" w:cs="Times New Roman"/>
          <w:sz w:val="24"/>
          <w:szCs w:val="24"/>
          <w:lang w:eastAsia="pl-PL"/>
        </w:rPr>
        <w:t xml:space="preserve">ali podatkowej. Rozwiązanie to </w:t>
      </w:r>
      <w:r w:rsidR="00B96862" w:rsidRPr="00C41BBF">
        <w:rPr>
          <w:rFonts w:ascii="Times New Roman" w:eastAsiaTheme="minorEastAsia" w:hAnsi="Times New Roman" w:cs="Times New Roman"/>
          <w:sz w:val="24"/>
          <w:szCs w:val="24"/>
          <w:lang w:eastAsia="pl-PL"/>
        </w:rPr>
        <w:t>rekompensuj</w:t>
      </w:r>
      <w:r w:rsidR="007C2C7B" w:rsidRPr="00C41BBF">
        <w:rPr>
          <w:rFonts w:ascii="Times New Roman" w:eastAsiaTheme="minorEastAsia" w:hAnsi="Times New Roman" w:cs="Times New Roman"/>
          <w:sz w:val="24"/>
          <w:szCs w:val="24"/>
          <w:lang w:eastAsia="pl-PL"/>
        </w:rPr>
        <w:t>e</w:t>
      </w:r>
      <w:r w:rsidR="00B96862" w:rsidRPr="00C41BBF">
        <w:rPr>
          <w:rFonts w:ascii="Times New Roman" w:eastAsiaTheme="minorEastAsia" w:hAnsi="Times New Roman" w:cs="Times New Roman"/>
          <w:sz w:val="24"/>
          <w:szCs w:val="24"/>
          <w:lang w:eastAsia="pl-PL"/>
        </w:rPr>
        <w:t xml:space="preserve"> uchylaną tzw. ulgę dla klasy średniej. </w:t>
      </w:r>
      <w:r w:rsidR="007C2C7B" w:rsidRPr="00C41BBF">
        <w:rPr>
          <w:rFonts w:ascii="Times New Roman" w:eastAsiaTheme="minorEastAsia" w:hAnsi="Times New Roman" w:cs="Times New Roman"/>
          <w:sz w:val="24"/>
          <w:szCs w:val="24"/>
          <w:lang w:eastAsia="pl-PL"/>
        </w:rPr>
        <w:t xml:space="preserve">Jest to </w:t>
      </w:r>
      <w:r w:rsidR="00B96862" w:rsidRPr="00C41BBF">
        <w:rPr>
          <w:rFonts w:ascii="Times New Roman" w:eastAsiaTheme="minorEastAsia" w:hAnsi="Times New Roman" w:cs="Times New Roman"/>
          <w:sz w:val="24"/>
          <w:szCs w:val="24"/>
          <w:lang w:eastAsia="pl-PL"/>
        </w:rPr>
        <w:t>rozwiązani</w:t>
      </w:r>
      <w:r w:rsidR="007C2C7B" w:rsidRPr="00C41BBF">
        <w:rPr>
          <w:rFonts w:ascii="Times New Roman" w:eastAsiaTheme="minorEastAsia" w:hAnsi="Times New Roman" w:cs="Times New Roman"/>
          <w:sz w:val="24"/>
          <w:szCs w:val="24"/>
          <w:lang w:eastAsia="pl-PL"/>
        </w:rPr>
        <w:t>e</w:t>
      </w:r>
      <w:r w:rsidR="00B96862" w:rsidRPr="00C41BBF">
        <w:rPr>
          <w:rFonts w:ascii="Times New Roman" w:eastAsiaTheme="minorEastAsia" w:hAnsi="Times New Roman" w:cs="Times New Roman"/>
          <w:sz w:val="24"/>
          <w:szCs w:val="24"/>
          <w:lang w:eastAsia="pl-PL"/>
        </w:rPr>
        <w:t xml:space="preserve"> jednakowe dla wszystkich i proste w stosowaniu. W przypadku podatników, dla których uchylenie tzw. ulgi dla klasy średniej mogłoby nie być jednak korzystnym rozwiązaniem, przewidziano uprawnienie do pomniejszenia zobowiązania podatkowego o wysokość ubytku, spowodowanego zmianą systemu. Tym samym w żadnym przypadku uchylenie tzw. ulgi dla klasy średniej nie będzie wiązało się z pogorszeniem sytuacji podatników uprzednio do niej uprawnionych.</w:t>
      </w:r>
    </w:p>
    <w:p w14:paraId="568DC929" w14:textId="0FF5C804"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Ponadto niniejszy projekt przewiduje także inne korzystne rozwiązania wynikające z uwzględnienia postulatów społecznych, tj. przywrócenie możliwości preferencyjnego opodatkowania dochodów samotnych rodziców czy też możliwość uwzględniania </w:t>
      </w:r>
      <w:r w:rsidR="008101FD" w:rsidRPr="00C41BBF">
        <w:rPr>
          <w:rFonts w:ascii="Times New Roman" w:eastAsiaTheme="minorEastAsia" w:hAnsi="Times New Roman" w:cs="Times New Roman"/>
          <w:sz w:val="24"/>
          <w:szCs w:val="24"/>
          <w:lang w:eastAsia="pl-PL"/>
        </w:rPr>
        <w:t xml:space="preserve">przez niektórych podatników </w:t>
      </w:r>
      <w:r w:rsidRPr="00C41BBF">
        <w:rPr>
          <w:rFonts w:ascii="Times New Roman" w:eastAsiaTheme="minorEastAsia" w:hAnsi="Times New Roman" w:cs="Times New Roman"/>
          <w:sz w:val="24"/>
          <w:szCs w:val="24"/>
          <w:lang w:eastAsia="pl-PL"/>
        </w:rPr>
        <w:t>składki zdrowotnej w rozliczeniu podatkowym.</w:t>
      </w:r>
      <w:r w:rsidR="008101FD" w:rsidRPr="00C41BBF">
        <w:rPr>
          <w:rFonts w:ascii="Times New Roman" w:eastAsiaTheme="minorEastAsia" w:hAnsi="Times New Roman" w:cs="Times New Roman"/>
          <w:sz w:val="24"/>
          <w:szCs w:val="24"/>
          <w:lang w:eastAsia="pl-PL"/>
        </w:rPr>
        <w:t xml:space="preserve"> Będzie to dotyczyło podatników rozliczających się poza skal</w:t>
      </w:r>
      <w:r w:rsidR="007C2C7B" w:rsidRPr="00C41BBF">
        <w:rPr>
          <w:rFonts w:ascii="Times New Roman" w:eastAsiaTheme="minorEastAsia" w:hAnsi="Times New Roman" w:cs="Times New Roman"/>
          <w:sz w:val="24"/>
          <w:szCs w:val="24"/>
          <w:lang w:eastAsia="pl-PL"/>
        </w:rPr>
        <w:t>ą</w:t>
      </w:r>
      <w:r w:rsidR="008101FD" w:rsidRPr="00C41BBF">
        <w:rPr>
          <w:rFonts w:ascii="Times New Roman" w:eastAsiaTheme="minorEastAsia" w:hAnsi="Times New Roman" w:cs="Times New Roman"/>
          <w:sz w:val="24"/>
          <w:szCs w:val="24"/>
          <w:lang w:eastAsia="pl-PL"/>
        </w:rPr>
        <w:t xml:space="preserve"> podatkową, a zatem tych podatników, którzy nie skorzystają z obniżenia stawki podatkowej do 12%.</w:t>
      </w:r>
    </w:p>
    <w:p w14:paraId="186B1AD0" w14:textId="03375C2B"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Do rozliczenia dochodu będzie miała zastosowanie następująca </w:t>
      </w:r>
      <w:r w:rsidR="00C7756D" w:rsidRPr="00C41BBF">
        <w:rPr>
          <w:rFonts w:ascii="Times New Roman" w:eastAsiaTheme="minorEastAsia" w:hAnsi="Times New Roman" w:cs="Times New Roman"/>
          <w:sz w:val="24"/>
          <w:szCs w:val="24"/>
          <w:lang w:eastAsia="pl-PL"/>
        </w:rPr>
        <w:t xml:space="preserve">nowa </w:t>
      </w:r>
      <w:r w:rsidRPr="00C41BBF">
        <w:rPr>
          <w:rFonts w:ascii="Times New Roman" w:eastAsiaTheme="minorEastAsia" w:hAnsi="Times New Roman" w:cs="Times New Roman"/>
          <w:sz w:val="24"/>
          <w:szCs w:val="24"/>
          <w:lang w:eastAsia="pl-PL"/>
        </w:rPr>
        <w:t>skala podatkowa:</w:t>
      </w:r>
    </w:p>
    <w:p w14:paraId="5FF06D22" w14:textId="77777777" w:rsidR="00B96862" w:rsidRPr="00C41BBF" w:rsidRDefault="00B96862" w:rsidP="00C41BBF">
      <w:pPr>
        <w:suppressAutoHyphens/>
        <w:autoSpaceDE w:val="0"/>
        <w:autoSpaceDN w:val="0"/>
        <w:adjustRightInd w:val="0"/>
        <w:spacing w:before="120" w:after="0" w:line="360" w:lineRule="auto"/>
        <w:ind w:left="987" w:firstLine="510"/>
        <w:jc w:val="both"/>
        <w:rPr>
          <w:rFonts w:ascii="Times New Roman" w:eastAsiaTheme="minorEastAsia" w:hAnsi="Times New Roman" w:cs="Times New Roman"/>
          <w:bCs/>
          <w:sz w:val="24"/>
          <w:szCs w:val="24"/>
          <w:lang w:eastAsia="pl-PL"/>
        </w:rPr>
      </w:pPr>
    </w:p>
    <w:tbl>
      <w:tblPr>
        <w:tblW w:w="494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62"/>
        <w:gridCol w:w="1890"/>
        <w:gridCol w:w="5254"/>
      </w:tblGrid>
      <w:tr w:rsidR="00B96862" w:rsidRPr="00C41BBF" w14:paraId="0D361CD6" w14:textId="77777777" w:rsidTr="00B07555">
        <w:trPr>
          <w:trHeight w:val="889"/>
          <w:tblCellSpacing w:w="0" w:type="dxa"/>
        </w:trPr>
        <w:tc>
          <w:tcPr>
            <w:tcW w:w="2115" w:type="pct"/>
            <w:gridSpan w:val="2"/>
            <w:tcBorders>
              <w:top w:val="outset" w:sz="6" w:space="0" w:color="auto"/>
              <w:left w:val="outset" w:sz="6" w:space="0" w:color="auto"/>
              <w:bottom w:val="outset" w:sz="6" w:space="0" w:color="auto"/>
              <w:right w:val="outset" w:sz="6" w:space="0" w:color="auto"/>
            </w:tcBorders>
            <w:vAlign w:val="center"/>
            <w:hideMark/>
          </w:tcPr>
          <w:p w14:paraId="2597ADCF"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Podstawa obliczenia podatku w złotych</w:t>
            </w:r>
          </w:p>
        </w:tc>
        <w:tc>
          <w:tcPr>
            <w:tcW w:w="2885" w:type="pct"/>
            <w:vMerge w:val="restart"/>
            <w:tcBorders>
              <w:top w:val="outset" w:sz="6" w:space="0" w:color="auto"/>
              <w:left w:val="outset" w:sz="6" w:space="0" w:color="auto"/>
              <w:right w:val="outset" w:sz="6" w:space="0" w:color="auto"/>
            </w:tcBorders>
          </w:tcPr>
          <w:p w14:paraId="46F3ACB9"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Podatek wynosi</w:t>
            </w:r>
          </w:p>
        </w:tc>
      </w:tr>
      <w:tr w:rsidR="00B96862" w:rsidRPr="00C41BBF" w14:paraId="74A21742" w14:textId="77777777" w:rsidTr="00B07555">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6FFCF93C"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Ponad</w:t>
            </w:r>
          </w:p>
        </w:tc>
        <w:tc>
          <w:tcPr>
            <w:tcW w:w="1038" w:type="pct"/>
            <w:tcBorders>
              <w:top w:val="outset" w:sz="6" w:space="0" w:color="auto"/>
              <w:left w:val="outset" w:sz="6" w:space="0" w:color="auto"/>
              <w:bottom w:val="outset" w:sz="6" w:space="0" w:color="auto"/>
              <w:right w:val="outset" w:sz="6" w:space="0" w:color="auto"/>
            </w:tcBorders>
            <w:vAlign w:val="center"/>
            <w:hideMark/>
          </w:tcPr>
          <w:p w14:paraId="56F2552D"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w:t>
            </w:r>
          </w:p>
        </w:tc>
        <w:tc>
          <w:tcPr>
            <w:tcW w:w="2885" w:type="pct"/>
            <w:vMerge/>
            <w:tcBorders>
              <w:left w:val="outset" w:sz="6" w:space="0" w:color="auto"/>
              <w:bottom w:val="outset" w:sz="6" w:space="0" w:color="auto"/>
              <w:right w:val="outset" w:sz="6" w:space="0" w:color="auto"/>
            </w:tcBorders>
          </w:tcPr>
          <w:p w14:paraId="29BA8C38"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p>
        </w:tc>
      </w:tr>
      <w:tr w:rsidR="00B96862" w:rsidRPr="00C41BBF" w14:paraId="425A3292" w14:textId="77777777" w:rsidTr="00B07555">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tcPr>
          <w:p w14:paraId="096333CB"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p>
        </w:tc>
        <w:tc>
          <w:tcPr>
            <w:tcW w:w="1038" w:type="pct"/>
            <w:tcBorders>
              <w:top w:val="outset" w:sz="6" w:space="0" w:color="auto"/>
              <w:left w:val="outset" w:sz="6" w:space="0" w:color="auto"/>
              <w:bottom w:val="outset" w:sz="6" w:space="0" w:color="auto"/>
              <w:right w:val="outset" w:sz="6" w:space="0" w:color="auto"/>
            </w:tcBorders>
            <w:vAlign w:val="center"/>
          </w:tcPr>
          <w:p w14:paraId="3DC6AD1E"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120 000</w:t>
            </w:r>
          </w:p>
        </w:tc>
        <w:tc>
          <w:tcPr>
            <w:tcW w:w="2885" w:type="pct"/>
            <w:tcBorders>
              <w:top w:val="single" w:sz="4" w:space="0" w:color="auto"/>
              <w:left w:val="outset" w:sz="6" w:space="0" w:color="auto"/>
              <w:bottom w:val="outset" w:sz="6" w:space="0" w:color="auto"/>
              <w:right w:val="outset" w:sz="6" w:space="0" w:color="auto"/>
            </w:tcBorders>
          </w:tcPr>
          <w:p w14:paraId="09EC1E7C" w14:textId="6306F17B"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12% minus kwota zmniejszająca podatek 3600 zł</w:t>
            </w:r>
          </w:p>
        </w:tc>
      </w:tr>
      <w:tr w:rsidR="00B96862" w:rsidRPr="00C41BBF" w14:paraId="1E59A206" w14:textId="77777777" w:rsidTr="00B07555">
        <w:trPr>
          <w:trHeight w:val="455"/>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1952D55F"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120 000</w:t>
            </w:r>
          </w:p>
        </w:tc>
        <w:tc>
          <w:tcPr>
            <w:tcW w:w="1038" w:type="pct"/>
            <w:tcBorders>
              <w:top w:val="outset" w:sz="6" w:space="0" w:color="auto"/>
              <w:left w:val="outset" w:sz="6" w:space="0" w:color="auto"/>
              <w:bottom w:val="outset" w:sz="6" w:space="0" w:color="auto"/>
              <w:right w:val="outset" w:sz="6" w:space="0" w:color="auto"/>
            </w:tcBorders>
            <w:vAlign w:val="center"/>
            <w:hideMark/>
          </w:tcPr>
          <w:p w14:paraId="19D0582F"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p>
        </w:tc>
        <w:tc>
          <w:tcPr>
            <w:tcW w:w="2885" w:type="pct"/>
            <w:tcBorders>
              <w:top w:val="outset" w:sz="6" w:space="0" w:color="auto"/>
              <w:left w:val="outset" w:sz="6" w:space="0" w:color="auto"/>
              <w:bottom w:val="outset" w:sz="6" w:space="0" w:color="auto"/>
              <w:right w:val="outset" w:sz="6" w:space="0" w:color="auto"/>
            </w:tcBorders>
          </w:tcPr>
          <w:p w14:paraId="68D3BF2A" w14:textId="77777777" w:rsidR="00B96862" w:rsidRPr="00C41BBF" w:rsidRDefault="00B96862" w:rsidP="00C41BBF">
            <w:pPr>
              <w:widowControl w:val="0"/>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iCs/>
                <w:sz w:val="24"/>
                <w:szCs w:val="24"/>
              </w:rPr>
              <w:t>10 800</w:t>
            </w:r>
            <w:r w:rsidRPr="00C41BBF">
              <w:rPr>
                <w:rFonts w:ascii="Times New Roman" w:hAnsi="Times New Roman" w:cs="Times New Roman"/>
                <w:i/>
                <w:iCs/>
                <w:sz w:val="24"/>
                <w:szCs w:val="24"/>
              </w:rPr>
              <w:t xml:space="preserve"> </w:t>
            </w:r>
            <w:r w:rsidRPr="00C41BBF">
              <w:rPr>
                <w:rFonts w:ascii="Times New Roman" w:eastAsiaTheme="minorEastAsia" w:hAnsi="Times New Roman" w:cs="Times New Roman"/>
                <w:sz w:val="24"/>
                <w:szCs w:val="24"/>
                <w:lang w:eastAsia="pl-PL"/>
              </w:rPr>
              <w:t>zł + 32% nadwyżki ponad 120 000 zł</w:t>
            </w:r>
          </w:p>
        </w:tc>
        <w:bookmarkStart w:id="1" w:name="highlightHit_1"/>
        <w:bookmarkEnd w:id="1"/>
      </w:tr>
    </w:tbl>
    <w:p w14:paraId="6FA98C01" w14:textId="77777777" w:rsidR="00B96862" w:rsidRPr="00C41BBF" w:rsidRDefault="00B96862"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lang w:eastAsia="pl-PL"/>
        </w:rPr>
        <w:lastRenderedPageBreak/>
        <w:t xml:space="preserve">Skala ta oznacza zatem </w:t>
      </w:r>
      <w:r w:rsidRPr="00C41BBF">
        <w:rPr>
          <w:rFonts w:ascii="Times New Roman" w:eastAsiaTheme="minorEastAsia" w:hAnsi="Times New Roman" w:cs="Times New Roman"/>
          <w:sz w:val="24"/>
          <w:szCs w:val="24"/>
        </w:rPr>
        <w:t>obniżenie stawki podatku dochodowego od osób fizycznych w pierwszym przedziale skali podatkowej z 17% do 12%.</w:t>
      </w:r>
    </w:p>
    <w:p w14:paraId="566CFBAC" w14:textId="1C6AE616" w:rsidR="00B96862" w:rsidRPr="00C41BBF" w:rsidRDefault="00B96862"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Tak znaczne obniżenie stawki podatkowej oznacza niższe zobowiązanie podatkowe dla każdego z podatników opodatkowujących dochody wg skali podatkowej. Po wejściu w życie zmiany podatek od dochodów w wysokości 120 000 zł (tj. na poziomie granicy przedziału skali podatkowej) wyniesie 10 800 zł, zamiast dotychczasowej kwoty 15 300 zł. Stąd podatnicy uzyskujący dochody co najmniej na tym poziomie, na nowej konstrukcji skali podatkowej z obniżoną stawką, zyskają w skali roku 4</w:t>
      </w:r>
      <w:r w:rsidR="00552D80" w:rsidRPr="00C41BBF">
        <w:rPr>
          <w:rFonts w:ascii="Times New Roman" w:eastAsiaTheme="minorEastAsia" w:hAnsi="Times New Roman" w:cs="Times New Roman"/>
          <w:sz w:val="24"/>
          <w:szCs w:val="24"/>
        </w:rPr>
        <w:t>5</w:t>
      </w:r>
      <w:r w:rsidRPr="00C41BBF">
        <w:rPr>
          <w:rFonts w:ascii="Times New Roman" w:eastAsiaTheme="minorEastAsia" w:hAnsi="Times New Roman" w:cs="Times New Roman"/>
          <w:sz w:val="24"/>
          <w:szCs w:val="24"/>
        </w:rPr>
        <w:t>00 zł. Niższy podatek będzie pobierany zaraz po wejściu w życie ustawy, już na etapie poboru zaliczek na podatek przy zastosowaniu 12% stawki. Natomiast ostateczny zysk tej zmiany będzie odczuwalny przy rozliczeniu podatku dochodowego, dodać i podkreślić należy, że już za rok bieżący.</w:t>
      </w:r>
    </w:p>
    <w:p w14:paraId="2DFFD252" w14:textId="4C098AC5" w:rsidR="00B96862" w:rsidRPr="00C41BBF" w:rsidRDefault="00B96862"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Utrzymanie kwoty wolnej na poziomie 30 000 zł oznacza nową kwotę zmniejszając</w:t>
      </w:r>
      <w:r w:rsidR="007C2C7B" w:rsidRPr="00C41BBF">
        <w:rPr>
          <w:rFonts w:ascii="Times New Roman" w:eastAsiaTheme="minorEastAsia" w:hAnsi="Times New Roman" w:cs="Times New Roman"/>
          <w:sz w:val="24"/>
          <w:szCs w:val="24"/>
        </w:rPr>
        <w:t>ą</w:t>
      </w:r>
      <w:r w:rsidRPr="00C41BBF">
        <w:rPr>
          <w:rFonts w:ascii="Times New Roman" w:eastAsiaTheme="minorEastAsia" w:hAnsi="Times New Roman" w:cs="Times New Roman"/>
          <w:sz w:val="24"/>
          <w:szCs w:val="24"/>
        </w:rPr>
        <w:t xml:space="preserve"> podatek, skoro obniżeniu ulega niższa stawka podatkowa do 12%. Nowa kwota zmniejszająca podatek (przekładająca się na kwotę wolną od podatku w wysokości 30 000 zł) wynosi 3600 zł (30 000</w:t>
      </w:r>
      <w:r w:rsidR="00DE012B" w:rsidRPr="00C41BBF">
        <w:rPr>
          <w:rFonts w:ascii="Times New Roman" w:eastAsiaTheme="minorEastAsia" w:hAnsi="Times New Roman" w:cs="Times New Roman"/>
          <w:sz w:val="24"/>
          <w:szCs w:val="24"/>
        </w:rPr>
        <w:t xml:space="preserve"> </w:t>
      </w:r>
      <w:r w:rsidRPr="00C41BBF">
        <w:rPr>
          <w:rFonts w:ascii="Times New Roman" w:eastAsiaTheme="minorEastAsia" w:hAnsi="Times New Roman" w:cs="Times New Roman"/>
          <w:sz w:val="24"/>
          <w:szCs w:val="24"/>
        </w:rPr>
        <w:t>zł x 12% = 3 600 zł)</w:t>
      </w:r>
      <w:r w:rsidR="00C7756D" w:rsidRPr="00C41BBF">
        <w:rPr>
          <w:rFonts w:ascii="Times New Roman" w:eastAsiaTheme="minorEastAsia" w:hAnsi="Times New Roman" w:cs="Times New Roman"/>
          <w:sz w:val="24"/>
          <w:szCs w:val="24"/>
        </w:rPr>
        <w:t>.</w:t>
      </w:r>
    </w:p>
    <w:p w14:paraId="4A346FA7" w14:textId="79675407" w:rsidR="00B96862" w:rsidRPr="00C41BBF" w:rsidRDefault="00B96862"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Konsekwencją innej kwoty zmniejszającej podatek wynoszącej 3600 zł jest też odpowiadająca jej kwota zmniejszająca miesięczne zaliczki na podatek wynosząca 300 zł (1/12 z kwoty zmniejszającej podatek 3600 zł = 300 zł).</w:t>
      </w:r>
    </w:p>
    <w:p w14:paraId="304EAA0B" w14:textId="7818BFD4" w:rsidR="00995B5A" w:rsidRPr="00C41BBF" w:rsidRDefault="003301AC" w:rsidP="00C41BBF">
      <w:pPr>
        <w:spacing w:before="120" w:after="0" w:line="360" w:lineRule="auto"/>
        <w:jc w:val="both"/>
        <w:rPr>
          <w:rFonts w:ascii="Times New Roman" w:eastAsiaTheme="minorEastAsia" w:hAnsi="Times New Roman" w:cs="Times New Roman"/>
          <w:b/>
          <w:color w:val="0070C0"/>
          <w:sz w:val="24"/>
          <w:szCs w:val="24"/>
        </w:rPr>
      </w:pPr>
      <w:r w:rsidRPr="00C41BBF">
        <w:rPr>
          <w:rFonts w:ascii="Times New Roman" w:eastAsiaTheme="minorEastAsia" w:hAnsi="Times New Roman" w:cs="Times New Roman"/>
          <w:b/>
          <w:color w:val="0070C0"/>
          <w:sz w:val="24"/>
          <w:szCs w:val="24"/>
        </w:rPr>
        <w:t>W</w:t>
      </w:r>
      <w:r w:rsidR="00995B5A" w:rsidRPr="00C41BBF">
        <w:rPr>
          <w:rFonts w:ascii="Times New Roman" w:eastAsiaTheme="minorEastAsia" w:hAnsi="Times New Roman" w:cs="Times New Roman"/>
          <w:b/>
          <w:color w:val="0070C0"/>
          <w:sz w:val="24"/>
          <w:szCs w:val="24"/>
        </w:rPr>
        <w:t>ybór skali podatkowej przez podatników opodatkowanych w 2022</w:t>
      </w:r>
      <w:r w:rsidR="00C7756D" w:rsidRPr="00C41BBF">
        <w:rPr>
          <w:rFonts w:ascii="Times New Roman" w:eastAsiaTheme="minorEastAsia" w:hAnsi="Times New Roman" w:cs="Times New Roman"/>
          <w:b/>
          <w:color w:val="0070C0"/>
          <w:sz w:val="24"/>
          <w:szCs w:val="24"/>
        </w:rPr>
        <w:t> </w:t>
      </w:r>
      <w:r w:rsidR="00995B5A" w:rsidRPr="00C41BBF">
        <w:rPr>
          <w:rFonts w:ascii="Times New Roman" w:eastAsiaTheme="minorEastAsia" w:hAnsi="Times New Roman" w:cs="Times New Roman"/>
          <w:b/>
          <w:color w:val="0070C0"/>
          <w:sz w:val="24"/>
          <w:szCs w:val="24"/>
        </w:rPr>
        <w:t>r. podatkiem liniowym lub ryczałtem od przychodów ewidencjonowanych</w:t>
      </w:r>
      <w:r w:rsidRPr="00C41BBF">
        <w:rPr>
          <w:rFonts w:ascii="Times New Roman" w:eastAsiaTheme="minorEastAsia" w:hAnsi="Times New Roman" w:cs="Times New Roman"/>
          <w:b/>
          <w:color w:val="0070C0"/>
          <w:sz w:val="24"/>
          <w:szCs w:val="24"/>
        </w:rPr>
        <w:t xml:space="preserve"> (przepisy przejściowe)</w:t>
      </w:r>
    </w:p>
    <w:p w14:paraId="54DE26EF"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W związku ze zmianą skali podatkowej, która ma dotyczyć opodatkowania dochodów osiągniętych w 2022 r., projekt umożliwia podatnikom, którzy w 2022 r. opodatkowują swoje dochody podatkiem liniowym lub ryczałtem od przychodów ewidencjonowanych, wybór skali podatkowej.</w:t>
      </w:r>
    </w:p>
    <w:p w14:paraId="69888ED7" w14:textId="77777777" w:rsidR="00995B5A" w:rsidRPr="00C41BBF" w:rsidRDefault="00995B5A" w:rsidP="00C41BBF">
      <w:pPr>
        <w:spacing w:before="120" w:after="0" w:line="360" w:lineRule="auto"/>
        <w:jc w:val="both"/>
        <w:rPr>
          <w:rFonts w:ascii="Times New Roman" w:eastAsiaTheme="minorEastAsia" w:hAnsi="Times New Roman" w:cs="Times New Roman"/>
          <w:color w:val="0070C0"/>
          <w:sz w:val="24"/>
          <w:szCs w:val="24"/>
        </w:rPr>
      </w:pPr>
      <w:r w:rsidRPr="00C41BBF">
        <w:rPr>
          <w:rFonts w:ascii="Times New Roman" w:eastAsiaTheme="minorEastAsia" w:hAnsi="Times New Roman" w:cs="Times New Roman"/>
          <w:color w:val="0070C0"/>
          <w:sz w:val="24"/>
          <w:szCs w:val="24"/>
        </w:rPr>
        <w:t>Podatek liniowy</w:t>
      </w:r>
    </w:p>
    <w:p w14:paraId="36DCBD26" w14:textId="68842764"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lastRenderedPageBreak/>
        <w:t xml:space="preserve">Podatnicy osiągający w 2022 r. dochody z pozarolniczej działalności gospodarczej lub działów specjalnych produkcji rolnej, które opodatkowane są podatkiem liniowym, będą mogli po zakończeniu 2022 r. dokonać wyboru skali podatkowej dla opodatkowania tych dochodów. Wyboru tego podatnicy dokonają w zeznaniu rocznym PIT-36 składanym za 2022 r. W zeznaniu tym podatnicy wykażą dochody, które w trakcie 2022 r. opodatkowywali podatkiem liniowym. Zatem w okresie od 1 stycznia do </w:t>
      </w:r>
      <w:r w:rsidR="003301AC" w:rsidRPr="00C41BBF">
        <w:rPr>
          <w:rFonts w:ascii="Times New Roman" w:eastAsiaTheme="minorEastAsia" w:hAnsi="Times New Roman" w:cs="Times New Roman"/>
          <w:sz w:val="24"/>
          <w:szCs w:val="24"/>
        </w:rPr>
        <w:t>2 maja</w:t>
      </w:r>
      <w:r w:rsidRPr="00C41BBF">
        <w:rPr>
          <w:rFonts w:ascii="Times New Roman" w:eastAsiaTheme="minorEastAsia" w:hAnsi="Times New Roman" w:cs="Times New Roman"/>
          <w:sz w:val="24"/>
          <w:szCs w:val="24"/>
        </w:rPr>
        <w:t xml:space="preserve"> 2023 r.</w:t>
      </w:r>
      <w:r w:rsidR="00D51803" w:rsidRPr="00C41BBF">
        <w:rPr>
          <w:rFonts w:ascii="Times New Roman" w:eastAsiaTheme="minorEastAsia" w:hAnsi="Times New Roman" w:cs="Times New Roman"/>
          <w:sz w:val="24"/>
          <w:szCs w:val="24"/>
        </w:rPr>
        <w:t xml:space="preserve"> (30 kwietnia w 2023 r. to niedziela)</w:t>
      </w:r>
      <w:r w:rsidRPr="00C41BBF">
        <w:rPr>
          <w:rFonts w:ascii="Times New Roman" w:eastAsiaTheme="minorEastAsia" w:hAnsi="Times New Roman" w:cs="Times New Roman"/>
          <w:sz w:val="24"/>
          <w:szCs w:val="24"/>
        </w:rPr>
        <w:t xml:space="preserve">, podatnicy będą mogli podjąć decyzję co do formy opodatkowania tych dochodów. Jeśli jednak podatnik złoży w ustawowym terminie PIT-36L, nie będzie mógł już zmienić tej decyzji i wybrać skali podatkowej. </w:t>
      </w:r>
    </w:p>
    <w:p w14:paraId="4D513BFC"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Możliwość wyboru skali podatkowej po zakończeniu roku podatkowego oznacza, że podatnicy obowiązani będą obliczać i wpłacać zaliczki należne od dochodów osiągniętych w 2022 r. na dotychczasowych zasadach.</w:t>
      </w:r>
    </w:p>
    <w:p w14:paraId="407722F1"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Zaliczki te podatnicy wykażą w zeznaniu PIT-36 bez konieczności przeliczania ich według zasad obowiązujących przy opodatkowaniu według skali podatkowej. </w:t>
      </w:r>
    </w:p>
    <w:p w14:paraId="35843CB6"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Decyzja co do wyboru skali podatkowej dla opodatkowania dochodów osiągniętych w 2022 r. dotyczyć będzie tylko tego roku. Jeśli więc podatnik na początku 2022 r. (lub w latach poprzednich) wybrał opodatkowanie podatkiem liniowym, to zgodnie z obowiązującymi przepisami (art. 9a ust. 2b ustawy PIT), ta forma opodatkowania dotyczy również lat następnych, w tym 2023 r. Zasady tej nie zmienia wybór skali podatkowej dla opodatkowania dochodów osiągniętych w 2022 r. </w:t>
      </w:r>
    </w:p>
    <w:p w14:paraId="2D19DEB2" w14:textId="0C0F77A6"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Zatem podatnik, który również w 2023 r. nie będzie chciał stosować podatku liniowego, będzie musiał w ustawowym terminie (art. 9a ust. 2 i 2b ustawy PIT) zawiadomić właściwego naczelnika urzędu skarbowego o rezygnacji z tego sposobu opodatkowania albo złożyć w terminie i na zasadach określonych w ustawie o ryczałcie sporządzone na piśmie oświadczenie o wyborze opodatkowania w formie ryczałtu od przychodów ewidencjonowanych. </w:t>
      </w:r>
    </w:p>
    <w:p w14:paraId="54811E91" w14:textId="77777777" w:rsidR="00995B5A" w:rsidRPr="00C41BBF" w:rsidRDefault="00995B5A" w:rsidP="00C41BBF">
      <w:pPr>
        <w:spacing w:before="120" w:after="0" w:line="360" w:lineRule="auto"/>
        <w:jc w:val="both"/>
        <w:rPr>
          <w:rFonts w:ascii="Times New Roman" w:eastAsiaTheme="minorEastAsia" w:hAnsi="Times New Roman" w:cs="Times New Roman"/>
          <w:color w:val="0070C0"/>
          <w:sz w:val="24"/>
          <w:szCs w:val="24"/>
        </w:rPr>
      </w:pPr>
      <w:r w:rsidRPr="00C41BBF">
        <w:rPr>
          <w:rFonts w:ascii="Times New Roman" w:eastAsiaTheme="minorEastAsia" w:hAnsi="Times New Roman" w:cs="Times New Roman"/>
          <w:color w:val="0070C0"/>
          <w:sz w:val="24"/>
          <w:szCs w:val="24"/>
        </w:rPr>
        <w:t xml:space="preserve">Ryczałt od przychodów ewidencjonowanych </w:t>
      </w:r>
    </w:p>
    <w:p w14:paraId="787E7A96" w14:textId="30E81F70"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lastRenderedPageBreak/>
        <w:t>1.</w:t>
      </w:r>
      <w:r w:rsidRPr="00C41BBF">
        <w:rPr>
          <w:rFonts w:ascii="Times New Roman" w:eastAsiaTheme="minorEastAsia" w:hAnsi="Times New Roman" w:cs="Times New Roman"/>
          <w:sz w:val="24"/>
          <w:szCs w:val="24"/>
        </w:rPr>
        <w:tab/>
        <w:t>Podatnicy osiągający w 2022 r. przychody z pozarolniczej działalności gospodarczej lub ze sprzedaży przetworzonych produktów roślinnych i zwierzęcych pochodzących z własnych upraw, hodowli lub chowu, które opodatkowane są ryczałtem od przychodów ewidencjonowanych, będą mogli po zakończeniu 2022 r. dokonać wyboru skali podatkowej dla opodatkowania tych przychodów. Wyboru tego podatnicy dokonają w zeznaniu rocznym PIT-36 składanym za 2022 r. W zeznaniu tym podatnicy wykażą dochody, które w trakcie 2022</w:t>
      </w:r>
      <w:r w:rsidR="00531C0C" w:rsidRPr="00C41BBF">
        <w:rPr>
          <w:rFonts w:ascii="Times New Roman" w:eastAsiaTheme="minorEastAsia" w:hAnsi="Times New Roman" w:cs="Times New Roman"/>
          <w:sz w:val="24"/>
          <w:szCs w:val="24"/>
        </w:rPr>
        <w:t> </w:t>
      </w:r>
      <w:r w:rsidRPr="00C41BBF">
        <w:rPr>
          <w:rFonts w:ascii="Times New Roman" w:eastAsiaTheme="minorEastAsia" w:hAnsi="Times New Roman" w:cs="Times New Roman"/>
          <w:sz w:val="24"/>
          <w:szCs w:val="24"/>
        </w:rPr>
        <w:t xml:space="preserve">r. opodatkowywali ryczałtem od przychodów ewidencjonowanych. </w:t>
      </w:r>
    </w:p>
    <w:p w14:paraId="2731CB7F" w14:textId="486DCC62"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Możliwość wyboru skali podatkowej po zakończeniu roku podatkowego oznacza, że podatnicy obowiązani będą obliczać i wpłacać miesięcznie albo kwartalnie należny ryczałt od przychodów ewidencjonowanych na dotychczasowych zasadach. Ryczałt należny za grudzień lub ostatni kwartał 2022 r. podatnicy obowiązani będą wpłacić do końca lutego 2023 r. </w:t>
      </w:r>
    </w:p>
    <w:p w14:paraId="3C589C7B" w14:textId="3746A478"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Zatem w okresie od 1 stycznia do</w:t>
      </w:r>
      <w:r w:rsidR="00D51803" w:rsidRPr="00C41BBF">
        <w:rPr>
          <w:rFonts w:ascii="Times New Roman" w:eastAsiaTheme="minorEastAsia" w:hAnsi="Times New Roman" w:cs="Times New Roman"/>
          <w:sz w:val="24"/>
          <w:szCs w:val="24"/>
        </w:rPr>
        <w:t xml:space="preserve"> 2 maja 2023 r. (30 kwietnia w 2023 r. to niedziela) </w:t>
      </w:r>
      <w:r w:rsidRPr="00C41BBF">
        <w:rPr>
          <w:rFonts w:ascii="Times New Roman" w:eastAsiaTheme="minorEastAsia" w:hAnsi="Times New Roman" w:cs="Times New Roman"/>
          <w:sz w:val="24"/>
          <w:szCs w:val="24"/>
        </w:rPr>
        <w:t>podatnicy będą mogli podjąć decyzję co do formy opodatkowania tych dochodów (przychodów). Jeśli jednak podatnik złoży w ustawowym terminie PIT-28, w którym wykaże przychody opodatkowane ryczałtem od przychodów ewidencjonowanych, to nie będzie mógł już zmienić tej decyzji i wybrać skali podatkowej dla opodatkowania tych samych przychodów.</w:t>
      </w:r>
    </w:p>
    <w:p w14:paraId="2E77F041" w14:textId="2C205368"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Podatnicy, którzy dokonają wyboru skali podatkowej w zeznaniu PIT-36</w:t>
      </w:r>
      <w:r w:rsidR="00531C0C" w:rsidRPr="00C41BBF">
        <w:rPr>
          <w:rFonts w:ascii="Times New Roman" w:eastAsiaTheme="minorEastAsia" w:hAnsi="Times New Roman" w:cs="Times New Roman"/>
          <w:sz w:val="24"/>
          <w:szCs w:val="24"/>
        </w:rPr>
        <w:t>,</w:t>
      </w:r>
      <w:r w:rsidRPr="00C41BBF">
        <w:rPr>
          <w:rFonts w:ascii="Times New Roman" w:eastAsiaTheme="minorEastAsia" w:hAnsi="Times New Roman" w:cs="Times New Roman"/>
          <w:sz w:val="24"/>
          <w:szCs w:val="24"/>
        </w:rPr>
        <w:t xml:space="preserve"> należny i wpłacony ryczałt od przychodów ewidencjonowanych za poszczególne miesiące albo kwartały 2022 r. wykażą jako zaliczki miesięczne albo kwartalne. Podatnicy nie będą więc obowiązani do wyliczania należnych w 2022 r. zaliczek według zasad obowiązujących przy opodatkowaniu według skali podatkowej.</w:t>
      </w:r>
    </w:p>
    <w:p w14:paraId="4A48B1B9" w14:textId="7C58ED09"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W zeznaniu PIT-36 podatnicy wykażą dochód z pozarolniczej działalności gospodarczej obliczony zgodnie z art. 24 ust. 2</w:t>
      </w:r>
      <w:r w:rsidR="009B19F8">
        <w:rPr>
          <w:rFonts w:ascii="Times New Roman" w:eastAsiaTheme="minorEastAsia" w:hAnsi="Times New Roman" w:cs="Times New Roman"/>
          <w:sz w:val="24"/>
          <w:szCs w:val="24"/>
        </w:rPr>
        <w:t>–</w:t>
      </w:r>
      <w:r w:rsidRPr="00C41BBF">
        <w:rPr>
          <w:rFonts w:ascii="Times New Roman" w:eastAsiaTheme="minorEastAsia" w:hAnsi="Times New Roman" w:cs="Times New Roman"/>
          <w:sz w:val="24"/>
          <w:szCs w:val="24"/>
        </w:rPr>
        <w:t xml:space="preserve">2b ustawy PIT, czyli na zasadach obowiązujących podatników prowadzących podatkową księgę przychodów i rozchodów. W tym celu, podatnicy obowiązani będą zaprowadzić i uzupełnić podatkową księgę </w:t>
      </w:r>
      <w:r w:rsidRPr="00C41BBF">
        <w:rPr>
          <w:rFonts w:ascii="Times New Roman" w:eastAsiaTheme="minorEastAsia" w:hAnsi="Times New Roman" w:cs="Times New Roman"/>
          <w:sz w:val="24"/>
          <w:szCs w:val="24"/>
        </w:rPr>
        <w:lastRenderedPageBreak/>
        <w:t xml:space="preserve">przychodów i rozchodów, w której wykażą osiągnięte w 2022 r. dochody z działalności gospodarczej. W księdze tej obowiązani będą również wpisać wartość remanentu na dzień 1 stycznia i 31 grudnia 2022 r. </w:t>
      </w:r>
    </w:p>
    <w:p w14:paraId="61D6E451" w14:textId="6F2C7F04"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Decyzja co do wyboru skali podatkowej dla opodatkowania dochodów osiągniętych w 2022 r. dotyczyć będzie tylko tego roku. Jeśli więc podatnik na początku 2022 r. (lub w latach poprzednich) wybrał opodatkowanie w formie ryczałtu od przychodów ewidencjonowanych, to zgodnie z obowiązującymi przepisami (art. 9 ust. 1b ustawy o ryczałcie) ta forma opodatkowania dotyczy również lat następnych, w tym 2023 r. Zasady tej nie zmienia wybór skali podatkowej dla opodatkowania dochodów osiągniętych w 2022 r. </w:t>
      </w:r>
    </w:p>
    <w:p w14:paraId="0C01D6AA" w14:textId="1911AC2D"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Zatem podatnik, który również w 2023 r. nie będzie chciał stosować opodatkowania w formie ryczałtu od przychodów ewidencjonowanych, będzie musiał w ustawowym terminie (art. 9 ust. 1 i 1b ustawy o ryczałcie) złożyć oświadczenie na piśmie właściwemu naczelnikowi urzędu skarbowego o rezygnacji z tej formy opodatkowania albo oświadczenie o wyborze opodatkowania dochodów z pozarolniczej działalności gospodarczej na zasadach określonych w </w:t>
      </w:r>
      <w:r w:rsidR="00531C0C" w:rsidRPr="00C41BBF">
        <w:rPr>
          <w:rFonts w:ascii="Times New Roman" w:hAnsi="Times New Roman" w:cs="Times New Roman"/>
          <w:sz w:val="24"/>
          <w:szCs w:val="24"/>
        </w:rPr>
        <w:t>art. 30c</w:t>
      </w:r>
      <w:r w:rsidRPr="00C41BBF">
        <w:rPr>
          <w:rFonts w:ascii="Times New Roman" w:eastAsiaTheme="minorEastAsia" w:hAnsi="Times New Roman" w:cs="Times New Roman"/>
          <w:sz w:val="24"/>
          <w:szCs w:val="24"/>
        </w:rPr>
        <w:t xml:space="preserve"> ustawy PIT. </w:t>
      </w:r>
    </w:p>
    <w:p w14:paraId="3D94E610" w14:textId="7C9C3403" w:rsidR="00995B5A" w:rsidRPr="00C41BBF" w:rsidRDefault="00995B5A" w:rsidP="00C41BBF">
      <w:pPr>
        <w:spacing w:before="120" w:after="0" w:line="360" w:lineRule="auto"/>
        <w:jc w:val="both"/>
        <w:rPr>
          <w:rFonts w:ascii="Times New Roman" w:eastAsiaTheme="minorEastAsia" w:hAnsi="Times New Roman" w:cs="Times New Roman"/>
          <w:bCs/>
          <w:sz w:val="24"/>
          <w:szCs w:val="24"/>
        </w:rPr>
      </w:pPr>
      <w:r w:rsidRPr="00C41BBF">
        <w:rPr>
          <w:rFonts w:ascii="Times New Roman" w:eastAsiaTheme="minorEastAsia" w:hAnsi="Times New Roman" w:cs="Times New Roman"/>
          <w:sz w:val="24"/>
          <w:szCs w:val="24"/>
        </w:rPr>
        <w:t>2.</w:t>
      </w:r>
      <w:r w:rsidRPr="00C41BBF">
        <w:rPr>
          <w:rFonts w:ascii="Times New Roman" w:eastAsiaTheme="minorEastAsia" w:hAnsi="Times New Roman" w:cs="Times New Roman"/>
          <w:b/>
          <w:sz w:val="24"/>
          <w:szCs w:val="24"/>
        </w:rPr>
        <w:tab/>
      </w:r>
      <w:r w:rsidRPr="00C41BBF">
        <w:rPr>
          <w:rFonts w:ascii="Times New Roman" w:eastAsiaTheme="minorEastAsia" w:hAnsi="Times New Roman" w:cs="Times New Roman"/>
          <w:sz w:val="24"/>
          <w:szCs w:val="24"/>
        </w:rPr>
        <w:t>Podatnicy osiągający w 2022 r. przychody z pozarolniczej działalności gospodarczej lub ze sprzedaży przetworzonych produktów roślinnych i zwierzęcych pochodzących z własnych upraw, hodowli lub chowu, które przed 1 lipca 2022 r. opodatkowane są ryczałtem od przychodów ewidencjonowanych, będą mogli w terminie do 2</w:t>
      </w:r>
      <w:r w:rsidR="009D3A35" w:rsidRPr="00C41BBF">
        <w:rPr>
          <w:rFonts w:ascii="Times New Roman" w:eastAsiaTheme="minorEastAsia" w:hAnsi="Times New Roman" w:cs="Times New Roman"/>
          <w:sz w:val="24"/>
          <w:szCs w:val="24"/>
        </w:rPr>
        <w:t>2</w:t>
      </w:r>
      <w:r w:rsidRPr="00C41BBF">
        <w:rPr>
          <w:rFonts w:ascii="Times New Roman" w:eastAsiaTheme="minorEastAsia" w:hAnsi="Times New Roman" w:cs="Times New Roman"/>
          <w:sz w:val="24"/>
          <w:szCs w:val="24"/>
        </w:rPr>
        <w:t xml:space="preserve"> sierpnia 2022 r. złożyć oświadczenie </w:t>
      </w:r>
      <w:r w:rsidRPr="00C41BBF">
        <w:rPr>
          <w:rFonts w:ascii="Times New Roman" w:eastAsiaTheme="minorEastAsia" w:hAnsi="Times New Roman" w:cs="Times New Roman"/>
          <w:bCs/>
          <w:sz w:val="24"/>
          <w:szCs w:val="24"/>
        </w:rPr>
        <w:t xml:space="preserve">o rezygnacji z opodatkowania przychodów osiągniętych w okresie od dnia 1 lipca do dnia 31 grudnia 2022 r. ryczałtem od przychodów ewidencjonowanych. </w:t>
      </w:r>
    </w:p>
    <w:p w14:paraId="144AD765"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 xml:space="preserve">Podatnicy, którzy złożą takie oświadczenie, po zakończeniu roku obowiązani będą złożyć dwa zeznania roczne, tj. PIT-28, w którym wykażą przychody osiągnięte od 1 stycznia do 30 czerwca 2022 r., oraz PIT-36, w którym wykażą dochody osiągnięte w okresie od 1 lipca do 31 grudnia 2022 r. </w:t>
      </w:r>
    </w:p>
    <w:p w14:paraId="16360088" w14:textId="77777777" w:rsidR="00995B5A" w:rsidRPr="00C41BBF" w:rsidRDefault="00995B5A" w:rsidP="00C41BBF">
      <w:pPr>
        <w:spacing w:before="120" w:after="0" w:line="360" w:lineRule="auto"/>
        <w:jc w:val="both"/>
        <w:rPr>
          <w:rFonts w:ascii="Times New Roman" w:eastAsiaTheme="minorEastAsia" w:hAnsi="Times New Roman" w:cs="Times New Roman"/>
          <w:sz w:val="24"/>
          <w:szCs w:val="24"/>
        </w:rPr>
      </w:pPr>
      <w:r w:rsidRPr="00C41BBF">
        <w:rPr>
          <w:rFonts w:ascii="Times New Roman" w:eastAsiaTheme="minorEastAsia" w:hAnsi="Times New Roman" w:cs="Times New Roman"/>
          <w:sz w:val="24"/>
          <w:szCs w:val="24"/>
        </w:rPr>
        <w:t>3.</w:t>
      </w:r>
      <w:r w:rsidRPr="00C41BBF">
        <w:rPr>
          <w:rFonts w:ascii="Times New Roman" w:eastAsiaTheme="minorEastAsia" w:hAnsi="Times New Roman" w:cs="Times New Roman"/>
          <w:sz w:val="24"/>
          <w:szCs w:val="24"/>
        </w:rPr>
        <w:tab/>
        <w:t xml:space="preserve">Podatnicy osiągający w 2022 r. przychody z tzw. najmu prywatnego, którzy opłacali w trakcie roku ryczałt od przychodów ewidencjonowanych z tego tytułu, </w:t>
      </w:r>
      <w:r w:rsidRPr="00C41BBF">
        <w:rPr>
          <w:rFonts w:ascii="Times New Roman" w:eastAsiaTheme="minorEastAsia" w:hAnsi="Times New Roman" w:cs="Times New Roman"/>
          <w:sz w:val="24"/>
          <w:szCs w:val="24"/>
        </w:rPr>
        <w:lastRenderedPageBreak/>
        <w:t>będą mogli po zakończeniu roku wybrać opodatkowanie według skali podatkowej. Wyboru tego podatnicy dokonają w zeznaniu rocznym PIT-36.</w:t>
      </w:r>
    </w:p>
    <w:p w14:paraId="58AC27AB" w14:textId="77777777" w:rsidR="00B96862" w:rsidRPr="00C41BBF" w:rsidRDefault="00B96862" w:rsidP="00C41BBF">
      <w:pPr>
        <w:spacing w:before="120" w:after="0" w:line="360" w:lineRule="auto"/>
        <w:jc w:val="both"/>
        <w:rPr>
          <w:rFonts w:ascii="Times New Roman" w:eastAsiaTheme="minorEastAsia" w:hAnsi="Times New Roman" w:cs="Times New Roman"/>
          <w:sz w:val="24"/>
          <w:szCs w:val="24"/>
        </w:rPr>
      </w:pPr>
    </w:p>
    <w:p w14:paraId="5F7AA855" w14:textId="124141E5"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b/>
          <w:color w:val="0070C0"/>
          <w:sz w:val="24"/>
          <w:szCs w:val="24"/>
          <w:lang w:eastAsia="pl-PL"/>
        </w:rPr>
        <w:t>Wprowadzenie limitowanego odliczenia z tytułu zapłaconej przez podatnika skła</w:t>
      </w:r>
      <w:r w:rsidR="004917C9" w:rsidRPr="00C41BBF">
        <w:rPr>
          <w:rFonts w:ascii="Times New Roman" w:eastAsiaTheme="minorEastAsia" w:hAnsi="Times New Roman" w:cs="Times New Roman"/>
          <w:b/>
          <w:color w:val="0070C0"/>
          <w:sz w:val="24"/>
          <w:szCs w:val="24"/>
          <w:lang w:eastAsia="pl-PL"/>
        </w:rPr>
        <w:t>dki na ubezpieczenie zdrowotne</w:t>
      </w:r>
      <w:r w:rsidR="009D1102">
        <w:rPr>
          <w:rFonts w:ascii="Times New Roman" w:eastAsiaTheme="minorEastAsia" w:hAnsi="Times New Roman" w:cs="Times New Roman"/>
          <w:b/>
          <w:color w:val="0070C0"/>
          <w:sz w:val="24"/>
          <w:szCs w:val="24"/>
          <w:lang w:eastAsia="pl-PL"/>
        </w:rPr>
        <w:t xml:space="preserve"> </w:t>
      </w:r>
    </w:p>
    <w:p w14:paraId="7F989D37" w14:textId="62916FF1" w:rsidR="00B96862" w:rsidRPr="00C41BBF" w:rsidRDefault="00B96862" w:rsidP="00C41BBF">
      <w:pPr>
        <w:spacing w:before="120" w:after="0" w:line="360" w:lineRule="auto"/>
        <w:jc w:val="both"/>
        <w:rPr>
          <w:rFonts w:ascii="Times New Roman" w:eastAsiaTheme="minorEastAsia" w:hAnsi="Times New Roman" w:cs="Times New Roman"/>
          <w:color w:val="000000"/>
          <w:spacing w:val="-2"/>
          <w:sz w:val="24"/>
          <w:szCs w:val="24"/>
          <w:lang w:eastAsia="pl-PL"/>
        </w:rPr>
      </w:pPr>
      <w:r w:rsidRPr="00C41BBF">
        <w:rPr>
          <w:rFonts w:ascii="Times New Roman" w:eastAsiaTheme="minorEastAsia" w:hAnsi="Times New Roman" w:cs="Times New Roman"/>
          <w:color w:val="000000"/>
          <w:spacing w:val="-2"/>
          <w:sz w:val="24"/>
          <w:szCs w:val="24"/>
          <w:lang w:eastAsia="pl-PL"/>
        </w:rPr>
        <w:t xml:space="preserve">Od 1 stycznia 2022 r. uchylono prawo do pomniejszania podatku dochodowego o kwotę stanowiącą 7,75% podstawy wymiaru składki na ubezpieczenie zdrowotne. Brak tego odliczenia został </w:t>
      </w:r>
      <w:r w:rsidR="005C6BFD" w:rsidRPr="00C41BBF">
        <w:rPr>
          <w:rFonts w:ascii="Times New Roman" w:eastAsiaTheme="minorEastAsia" w:hAnsi="Times New Roman" w:cs="Times New Roman"/>
          <w:color w:val="000000"/>
          <w:spacing w:val="-2"/>
          <w:sz w:val="24"/>
          <w:szCs w:val="24"/>
          <w:lang w:eastAsia="pl-PL"/>
        </w:rPr>
        <w:t>z</w:t>
      </w:r>
      <w:r w:rsidRPr="00C41BBF">
        <w:rPr>
          <w:rFonts w:ascii="Times New Roman" w:eastAsiaTheme="minorEastAsia" w:hAnsi="Times New Roman" w:cs="Times New Roman"/>
          <w:color w:val="000000"/>
          <w:spacing w:val="-2"/>
          <w:sz w:val="24"/>
          <w:szCs w:val="24"/>
          <w:lang w:eastAsia="pl-PL"/>
        </w:rPr>
        <w:t>równoważon</w:t>
      </w:r>
      <w:r w:rsidR="00B45722" w:rsidRPr="00C41BBF">
        <w:rPr>
          <w:rFonts w:ascii="Times New Roman" w:eastAsiaTheme="minorEastAsia" w:hAnsi="Times New Roman" w:cs="Times New Roman"/>
          <w:color w:val="000000"/>
          <w:spacing w:val="-2"/>
          <w:sz w:val="24"/>
          <w:szCs w:val="24"/>
          <w:lang w:eastAsia="pl-PL"/>
        </w:rPr>
        <w:t>y</w:t>
      </w:r>
      <w:r w:rsidRPr="00C41BBF">
        <w:rPr>
          <w:rFonts w:ascii="Times New Roman" w:eastAsiaTheme="minorEastAsia" w:hAnsi="Times New Roman" w:cs="Times New Roman"/>
          <w:color w:val="000000"/>
          <w:spacing w:val="-2"/>
          <w:sz w:val="24"/>
          <w:szCs w:val="24"/>
          <w:lang w:eastAsia="pl-PL"/>
        </w:rPr>
        <w:t xml:space="preserve"> podwyższeniem kwoty wolnej od podatku do 30 000 zł oraz progu dochodów w skali podatkowej do 120 000 zł, a także nowym odliczeniem od dochodu zwanym ulgą dla klasy średniej. </w:t>
      </w:r>
    </w:p>
    <w:p w14:paraId="1CD44D1B" w14:textId="77777777" w:rsidR="00B96862" w:rsidRPr="00C41BBF" w:rsidRDefault="00B96862" w:rsidP="00C41BBF">
      <w:pPr>
        <w:spacing w:before="120" w:after="0" w:line="360" w:lineRule="auto"/>
        <w:jc w:val="both"/>
        <w:rPr>
          <w:rFonts w:ascii="Times New Roman" w:eastAsia="Times New Roman" w:hAnsi="Times New Roman" w:cs="Times New Roman"/>
          <w:sz w:val="24"/>
          <w:szCs w:val="24"/>
        </w:rPr>
      </w:pPr>
      <w:r w:rsidRPr="00C41BBF">
        <w:rPr>
          <w:rFonts w:ascii="Times New Roman" w:eastAsiaTheme="minorEastAsia" w:hAnsi="Times New Roman" w:cs="Times New Roman"/>
          <w:color w:val="000000"/>
          <w:spacing w:val="-2"/>
          <w:sz w:val="24"/>
          <w:szCs w:val="24"/>
          <w:lang w:eastAsia="pl-PL"/>
        </w:rPr>
        <w:t>Projekt dodatkowo rekompensuje te zmiany obniżeniem stawki podatku określonej w skali podatkowej z 17% do 12%. Z rozwiązań tych skorzystają także przedsiębiorcy rozliczający się według skali podatkowej.</w:t>
      </w:r>
    </w:p>
    <w:p w14:paraId="179EBDAF" w14:textId="5606E73B" w:rsidR="00B96862" w:rsidRPr="00C41BBF" w:rsidRDefault="00B96862" w:rsidP="00C41BBF">
      <w:pPr>
        <w:spacing w:before="120" w:after="0" w:line="360" w:lineRule="auto"/>
        <w:jc w:val="both"/>
        <w:rPr>
          <w:rFonts w:ascii="Times New Roman" w:eastAsia="Times New Roman" w:hAnsi="Times New Roman" w:cs="Times New Roman"/>
          <w:sz w:val="24"/>
          <w:szCs w:val="24"/>
        </w:rPr>
      </w:pPr>
      <w:r w:rsidRPr="00C41BBF">
        <w:rPr>
          <w:rFonts w:ascii="Times New Roman" w:eastAsia="Times New Roman" w:hAnsi="Times New Roman" w:cs="Times New Roman"/>
          <w:sz w:val="24"/>
          <w:szCs w:val="24"/>
        </w:rPr>
        <w:t xml:space="preserve">W związku z tym, dla przedsiębiorców rozliczających się według jednolitej, 19% stawki podatku proponuje się wprowadzenie odliczenia od </w:t>
      </w:r>
      <w:r w:rsidR="005C6BFD" w:rsidRPr="00C41BBF">
        <w:rPr>
          <w:rFonts w:ascii="Times New Roman" w:eastAsia="Times New Roman" w:hAnsi="Times New Roman" w:cs="Times New Roman"/>
          <w:sz w:val="24"/>
          <w:szCs w:val="24"/>
        </w:rPr>
        <w:t xml:space="preserve">dochodu </w:t>
      </w:r>
      <w:r w:rsidRPr="00C41BBF">
        <w:rPr>
          <w:rFonts w:ascii="Times New Roman" w:eastAsia="Times New Roman" w:hAnsi="Times New Roman" w:cs="Times New Roman"/>
          <w:sz w:val="24"/>
          <w:szCs w:val="24"/>
        </w:rPr>
        <w:t>lub zaliczenia do kosztów uzyskania przychodów z działalności gospodarczej – zapłaconej przez podatnika składki na ubezpieczenie zdrowotne związanej z działalnością opodatkowaną w tej formie.</w:t>
      </w:r>
    </w:p>
    <w:p w14:paraId="27EAB3DD" w14:textId="19304179" w:rsidR="00B96862" w:rsidRPr="00C41BBF" w:rsidRDefault="00B96862" w:rsidP="00C41BBF">
      <w:pPr>
        <w:spacing w:before="120" w:after="0" w:line="360" w:lineRule="auto"/>
        <w:jc w:val="both"/>
        <w:rPr>
          <w:rFonts w:ascii="Times New Roman" w:hAnsi="Times New Roman" w:cs="Times New Roman"/>
          <w:color w:val="000000"/>
          <w:sz w:val="24"/>
          <w:szCs w:val="24"/>
          <w:shd w:val="clear" w:color="auto" w:fill="FFFFFF"/>
        </w:rPr>
      </w:pPr>
      <w:r w:rsidRPr="00C41BBF">
        <w:rPr>
          <w:rFonts w:ascii="Times New Roman" w:eastAsia="Times New Roman" w:hAnsi="Times New Roman" w:cs="Times New Roman"/>
          <w:sz w:val="24"/>
          <w:szCs w:val="24"/>
        </w:rPr>
        <w:t xml:space="preserve">Wysokość rocznego odliczenia składek będzie limitowana. Limit będzie </w:t>
      </w:r>
      <w:r w:rsidR="009D05C8" w:rsidRPr="00C41BBF">
        <w:rPr>
          <w:rFonts w:ascii="Times New Roman" w:eastAsia="Times New Roman" w:hAnsi="Times New Roman" w:cs="Times New Roman"/>
          <w:sz w:val="24"/>
          <w:szCs w:val="24"/>
        </w:rPr>
        <w:t>wynosił</w:t>
      </w:r>
      <w:r w:rsidRPr="00C41BBF">
        <w:rPr>
          <w:rFonts w:ascii="Times New Roman" w:eastAsia="Times New Roman" w:hAnsi="Times New Roman" w:cs="Times New Roman"/>
          <w:sz w:val="24"/>
          <w:szCs w:val="24"/>
        </w:rPr>
        <w:t xml:space="preserve"> </w:t>
      </w:r>
      <w:r w:rsidR="00873BE7" w:rsidRPr="00C41BBF">
        <w:rPr>
          <w:rFonts w:ascii="Times New Roman" w:hAnsi="Times New Roman" w:cs="Times New Roman"/>
          <w:color w:val="000000"/>
          <w:sz w:val="24"/>
          <w:szCs w:val="24"/>
          <w:shd w:val="clear" w:color="auto" w:fill="FFFFFF"/>
        </w:rPr>
        <w:t>87</w:t>
      </w:r>
      <w:r w:rsidRPr="00C41BBF">
        <w:rPr>
          <w:rFonts w:ascii="Times New Roman" w:hAnsi="Times New Roman" w:cs="Times New Roman"/>
          <w:color w:val="000000"/>
          <w:sz w:val="24"/>
          <w:szCs w:val="24"/>
          <w:shd w:val="clear" w:color="auto" w:fill="FFFFFF"/>
        </w:rPr>
        <w:t>00 zł.</w:t>
      </w:r>
    </w:p>
    <w:p w14:paraId="7202FDD9" w14:textId="61E194B4"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Wysokość tej kwoty będzie podlegała corocznie podwyższeniu o wskaźnik odpowiadający ilorazowi rocznej podstawy wymiaru składek na ubezpieczenia emerytalne i rentowe ogłoszonej w roku poprzednim na podstawie art. 19 ust. 10 ustawy z dnia 13 października 1998 r. o systemie ubezpieczeń społecznych oraz rocznej podstawy wymiaru tych składek ogłoszonej dwa lata wstecz, po zaokrągleniu do pełnych 100 złotych w górę. </w:t>
      </w:r>
    </w:p>
    <w:p w14:paraId="77D1627E" w14:textId="77777777"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Ponadto minister finansów zostanie zobowiązany do ogłaszania, do końca roku podatkowego, w drodze obwieszczenia, w Dzienniku Urzędowym Rzeczypospolitej Polskiej „Monitor Polski” wysokości tak zwaloryzowanej kwoty.</w:t>
      </w:r>
    </w:p>
    <w:p w14:paraId="76DEC3B8" w14:textId="777C09BF" w:rsidR="00B96862" w:rsidRPr="00C41BBF" w:rsidRDefault="00995B5A"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 xml:space="preserve">Oprócz podatników prowadzących działalność gospodarczą opodatkowaną tzw. podatkiem liniowym (19%), prawo do odliczenia części zapłaconych składek zdrowotnych przysługiwać będzie podatnikom, którzy opodatkowują przychody z działalności gospodarczej ryczałtem od przychodów ewidencjonowanych. Ponadto w projekcie ustawy przewiduje się również odliczenie </w:t>
      </w:r>
      <w:r w:rsidR="001B17BB" w:rsidRPr="00C41BBF">
        <w:rPr>
          <w:rFonts w:ascii="Times New Roman" w:eastAsiaTheme="minorEastAsia" w:hAnsi="Times New Roman" w:cs="Times New Roman"/>
          <w:sz w:val="24"/>
          <w:szCs w:val="24"/>
          <w:lang w:eastAsia="pl-PL"/>
        </w:rPr>
        <w:t>19</w:t>
      </w:r>
      <w:r w:rsidRPr="00C41BBF">
        <w:rPr>
          <w:rFonts w:ascii="Times New Roman" w:eastAsiaTheme="minorEastAsia" w:hAnsi="Times New Roman" w:cs="Times New Roman"/>
          <w:sz w:val="24"/>
          <w:szCs w:val="24"/>
          <w:lang w:eastAsia="pl-PL"/>
        </w:rPr>
        <w:t xml:space="preserve">% zapłaconej składki zdrowotnej od karty podatkowej. </w:t>
      </w:r>
      <w:r w:rsidR="005C6BFD" w:rsidRPr="00C41BBF">
        <w:rPr>
          <w:rFonts w:ascii="Times New Roman" w:eastAsiaTheme="minorEastAsia" w:hAnsi="Times New Roman" w:cs="Times New Roman"/>
          <w:sz w:val="24"/>
          <w:szCs w:val="24"/>
          <w:lang w:eastAsia="pl-PL"/>
        </w:rPr>
        <w:t>Odliczenie składki zdrowotnej od dochodu nie obejmuje podatników opłacających podatek dochodowy na ogólnych zasadach według skali podatkowej. Wynika to z faktu, że w skali podatkowej zastosowano inną preferencję, tj. obniżenie z 17% do 12% stawkę podatku.</w:t>
      </w:r>
      <w:r w:rsidR="009D1102">
        <w:rPr>
          <w:rFonts w:ascii="Times New Roman" w:eastAsiaTheme="minorEastAsia" w:hAnsi="Times New Roman" w:cs="Times New Roman"/>
          <w:sz w:val="24"/>
          <w:szCs w:val="24"/>
          <w:lang w:eastAsia="pl-PL"/>
        </w:rPr>
        <w:t xml:space="preserve"> </w:t>
      </w:r>
      <w:r w:rsidR="00EE1B9F" w:rsidRPr="00C41BBF">
        <w:rPr>
          <w:rFonts w:ascii="Times New Roman" w:eastAsiaTheme="minorEastAsia" w:hAnsi="Times New Roman" w:cs="Times New Roman"/>
          <w:sz w:val="24"/>
          <w:szCs w:val="24"/>
          <w:lang w:eastAsia="pl-PL"/>
        </w:rPr>
        <w:t xml:space="preserve">Częściowe odliczenie składki zdrowotnej stanowi </w:t>
      </w:r>
      <w:r w:rsidR="00EE1B9F" w:rsidRPr="00C41BBF">
        <w:rPr>
          <w:rFonts w:ascii="Times New Roman" w:hAnsi="Times New Roman" w:cs="Times New Roman"/>
          <w:bCs/>
          <w:sz w:val="24"/>
          <w:szCs w:val="24"/>
        </w:rPr>
        <w:t>rekompensatę za brak możliwości korzystania z obniżonej stawki podatku w skali podatkowej z 17% do 12%. Z tego względu możliwość takiego odliczenia składki zdrowotnej w podatku dochodowym obejmuje przedsiębiorców opłacających tzw. podatek liniowy, ryczałt od przychodów ewidencjonowanych albo kartę podatkową.</w:t>
      </w:r>
    </w:p>
    <w:p w14:paraId="5B07744F" w14:textId="30B762DB" w:rsidR="00B96862" w:rsidRPr="00C41BBF" w:rsidRDefault="00B96862" w:rsidP="00C41BBF">
      <w:pPr>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 xml:space="preserve">Likwidacja tzw. ulgi dla klasy średniej – uchylenie </w:t>
      </w:r>
      <w:r w:rsidR="007C2C7B" w:rsidRPr="00C41BBF">
        <w:rPr>
          <w:rFonts w:ascii="Times New Roman" w:eastAsiaTheme="minorEastAsia" w:hAnsi="Times New Roman" w:cs="Times New Roman"/>
          <w:b/>
          <w:color w:val="0070C0"/>
          <w:sz w:val="24"/>
          <w:szCs w:val="24"/>
          <w:lang w:eastAsia="pl-PL"/>
        </w:rPr>
        <w:t xml:space="preserve">w </w:t>
      </w:r>
      <w:r w:rsidR="008D395E" w:rsidRPr="00C41BBF">
        <w:rPr>
          <w:rFonts w:ascii="Times New Roman" w:eastAsiaTheme="minorEastAsia" w:hAnsi="Times New Roman" w:cs="Times New Roman"/>
          <w:b/>
          <w:color w:val="0070C0"/>
          <w:sz w:val="24"/>
          <w:szCs w:val="24"/>
          <w:lang w:eastAsia="pl-PL"/>
        </w:rPr>
        <w:t xml:space="preserve">ustawie PIT </w:t>
      </w:r>
      <w:r w:rsidR="007C2C7B" w:rsidRPr="00C41BBF">
        <w:rPr>
          <w:rFonts w:ascii="Times New Roman" w:eastAsiaTheme="minorEastAsia" w:hAnsi="Times New Roman" w:cs="Times New Roman"/>
          <w:b/>
          <w:color w:val="0070C0"/>
          <w:sz w:val="24"/>
          <w:szCs w:val="24"/>
          <w:lang w:eastAsia="pl-PL"/>
        </w:rPr>
        <w:t xml:space="preserve">art. 26 </w:t>
      </w:r>
      <w:r w:rsidRPr="00C41BBF">
        <w:rPr>
          <w:rFonts w:ascii="Times New Roman" w:eastAsiaTheme="minorEastAsia" w:hAnsi="Times New Roman" w:cs="Times New Roman"/>
          <w:b/>
          <w:color w:val="0070C0"/>
          <w:sz w:val="24"/>
          <w:szCs w:val="24"/>
          <w:lang w:eastAsia="pl-PL"/>
        </w:rPr>
        <w:t>ust. 2aa i ust. 4a</w:t>
      </w:r>
      <w:r w:rsidR="009B19F8">
        <w:rPr>
          <w:rFonts w:ascii="Times New Roman" w:eastAsiaTheme="minorEastAsia" w:hAnsi="Times New Roman" w:cs="Times New Roman"/>
          <w:sz w:val="24"/>
          <w:szCs w:val="24"/>
        </w:rPr>
        <w:t>–</w:t>
      </w:r>
      <w:r w:rsidRPr="00C41BBF">
        <w:rPr>
          <w:rFonts w:ascii="Times New Roman" w:eastAsiaTheme="minorEastAsia" w:hAnsi="Times New Roman" w:cs="Times New Roman"/>
          <w:b/>
          <w:color w:val="0070C0"/>
          <w:sz w:val="24"/>
          <w:szCs w:val="24"/>
          <w:lang w:eastAsia="pl-PL"/>
        </w:rPr>
        <w:t xml:space="preserve">4c </w:t>
      </w:r>
    </w:p>
    <w:p w14:paraId="4805EE50" w14:textId="77777777"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sz w:val="24"/>
          <w:szCs w:val="24"/>
        </w:rPr>
        <w:t xml:space="preserve">Od 1 stycznia 2022 r. w ustawie PIT obowiązuje odliczenie od podstawy opodatkowania zwane potocznie ulgą dla klasy średniej. Ulga ta polega na odliczeniu od dochodu kwoty, która jest ustalana indywidualnie w oparciu o wysokość uzyskanych przychodów. Odliczenie nie dotyczy wszystkich podatników, a jedynie tych, którzy uzyskali przychody z pracy na etacie oraz z pozarolniczej działalności gospodarczej w łącznej wysokości od 68 412 zł do 133 692 zł rocznie. </w:t>
      </w:r>
      <w:r w:rsidRPr="00C41BBF">
        <w:rPr>
          <w:rFonts w:ascii="Times New Roman" w:eastAsiaTheme="minorEastAsia" w:hAnsi="Times New Roman" w:cs="Times New Roman"/>
          <w:sz w:val="24"/>
          <w:szCs w:val="24"/>
          <w:lang w:eastAsia="pl-PL"/>
        </w:rPr>
        <w:t>Rozwiązanie to dotyczy przychodów podlegających opodatkowaniu na ogólnych zasadach przy zastosowaniu skali podatkowej, z tym że w przypadku przychodów z pozarolniczej działalności gospodarczej kwota ta dotyczy przychodów pomniejszonych o koszty uzyskania przychodów z tytułu prowadzenia tej działalności, z wyłączeniem z tych kosztów składek na ubezpieczenia społeczne.</w:t>
      </w:r>
    </w:p>
    <w:p w14:paraId="26945752" w14:textId="2612A82A"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 uwagi na zakres podmiotowy ulgi dla klasy średniej oraz skomplikowany algorytm, w oparciu o który ulga ta jest obliczana (już obecnie na etapie zaliczek na podatek na podatek)</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preferencja ta od początku budziła kontrowersje. Z omawianego odliczenia </w:t>
      </w:r>
      <w:r w:rsidRPr="00C41BBF">
        <w:rPr>
          <w:rFonts w:ascii="Times New Roman" w:eastAsiaTheme="minorEastAsia" w:hAnsi="Times New Roman" w:cs="Times New Roman"/>
          <w:sz w:val="24"/>
          <w:szCs w:val="24"/>
          <w:lang w:eastAsia="pl-PL"/>
        </w:rPr>
        <w:lastRenderedPageBreak/>
        <w:t>nie mogą skorzystać przykładowo emeryci, osoby uzyskujące przychody z działalności wykonywanej osobiście (np. zleceniobiorcy) czy osoby uzyskujące opodatkowane według skali podatkowej przychody z praw majątkowych.</w:t>
      </w:r>
    </w:p>
    <w:p w14:paraId="23E6999E" w14:textId="77777777"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 kolei rozszerzenie tej preferencji na kolejne grupy podatników byłoby możliwe wyłącznie poprzez wprowadzenie kolejnych skomplikowanych algorytmów. Dlatego proponuje się likwidację tego odliczenia. Nie oznacza to, że ustawa pogarsza, wbrew konstytucyjnym kanonom, sytuację podatkową podatników w trakcie roku podatkowego.</w:t>
      </w:r>
    </w:p>
    <w:p w14:paraId="73FBC04B" w14:textId="6D86FDD1"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Celowo propozycja ta omawiana jest po opisanej na wstępie zmianie polegającej na obniżeniu stawki podatkowej do 12%</w:t>
      </w:r>
      <w:r w:rsidR="008D395E" w:rsidRPr="00C41BBF">
        <w:rPr>
          <w:rFonts w:ascii="Times New Roman" w:eastAsiaTheme="minorEastAsia" w:hAnsi="Times New Roman" w:cs="Times New Roman"/>
          <w:sz w:val="24"/>
          <w:szCs w:val="24"/>
          <w:lang w:eastAsia="pl-PL"/>
        </w:rPr>
        <w:t>, o</w:t>
      </w:r>
      <w:r w:rsidRPr="00C41BBF">
        <w:rPr>
          <w:rFonts w:ascii="Times New Roman" w:eastAsiaTheme="minorEastAsia" w:hAnsi="Times New Roman" w:cs="Times New Roman"/>
          <w:sz w:val="24"/>
          <w:szCs w:val="24"/>
          <w:lang w:eastAsia="pl-PL"/>
        </w:rPr>
        <w:t xml:space="preserve">mówione </w:t>
      </w:r>
      <w:r w:rsidR="008D395E" w:rsidRPr="00C41BBF">
        <w:rPr>
          <w:rFonts w:ascii="Times New Roman" w:eastAsiaTheme="minorEastAsia" w:hAnsi="Times New Roman" w:cs="Times New Roman"/>
          <w:sz w:val="24"/>
          <w:szCs w:val="24"/>
          <w:lang w:eastAsia="pl-PL"/>
        </w:rPr>
        <w:t xml:space="preserve">bowiem już </w:t>
      </w:r>
      <w:r w:rsidRPr="00C41BBF">
        <w:rPr>
          <w:rFonts w:ascii="Times New Roman" w:eastAsiaTheme="minorEastAsia" w:hAnsi="Times New Roman" w:cs="Times New Roman"/>
          <w:sz w:val="24"/>
          <w:szCs w:val="24"/>
          <w:lang w:eastAsia="pl-PL"/>
        </w:rPr>
        <w:t>rozwiązanie zrekompensuje li</w:t>
      </w:r>
      <w:r w:rsidR="008D395E" w:rsidRPr="00C41BBF">
        <w:rPr>
          <w:rFonts w:ascii="Times New Roman" w:eastAsiaTheme="minorEastAsia" w:hAnsi="Times New Roman" w:cs="Times New Roman"/>
          <w:sz w:val="24"/>
          <w:szCs w:val="24"/>
          <w:lang w:eastAsia="pl-PL"/>
        </w:rPr>
        <w:t>kwidację omawianego odliczenia.</w:t>
      </w:r>
    </w:p>
    <w:p w14:paraId="1C0CF895"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Ponadto z obniżenia stawki podatkowej skorzystają na takich samych zasadach wszyscy podatnicy, którzy uzyskują dochody opodatkowane z zastosowaniem skali podatkowej. Nowe rozwiązanie nie różnicuje zatem podatników. </w:t>
      </w:r>
    </w:p>
    <w:p w14:paraId="38A91F02" w14:textId="43C5390C" w:rsidR="00B96862" w:rsidRPr="00C41BBF" w:rsidRDefault="00A11689"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Jak już wspomniano</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p</w:t>
      </w:r>
      <w:r w:rsidR="00B96862" w:rsidRPr="00C41BBF">
        <w:rPr>
          <w:rFonts w:ascii="Times New Roman" w:eastAsiaTheme="minorEastAsia" w:hAnsi="Times New Roman" w:cs="Times New Roman"/>
          <w:sz w:val="24"/>
          <w:szCs w:val="24"/>
          <w:lang w:eastAsia="pl-PL"/>
        </w:rPr>
        <w:t>rojektowana ustawa zawiera także zabezpieczenie, które spowoduje, że podatnicy, którzy stracą na likwidacji tej ulgi (mimo obniżenia stawki)</w:t>
      </w:r>
      <w:r w:rsidR="009B19F8">
        <w:rPr>
          <w:rFonts w:ascii="Times New Roman" w:eastAsiaTheme="minorEastAsia" w:hAnsi="Times New Roman" w:cs="Times New Roman"/>
          <w:sz w:val="24"/>
          <w:szCs w:val="24"/>
          <w:lang w:eastAsia="pl-PL"/>
        </w:rPr>
        <w:t>,</w:t>
      </w:r>
      <w:r w:rsidR="00B96862" w:rsidRPr="00C41BBF">
        <w:rPr>
          <w:rFonts w:ascii="Times New Roman" w:eastAsiaTheme="minorEastAsia" w:hAnsi="Times New Roman" w:cs="Times New Roman"/>
          <w:sz w:val="24"/>
          <w:szCs w:val="24"/>
          <w:lang w:eastAsia="pl-PL"/>
        </w:rPr>
        <w:t xml:space="preserve"> otrzymają </w:t>
      </w:r>
      <w:r w:rsidR="00530553" w:rsidRPr="00C41BBF">
        <w:rPr>
          <w:rFonts w:ascii="Times New Roman" w:eastAsiaTheme="minorEastAsia" w:hAnsi="Times New Roman" w:cs="Times New Roman"/>
          <w:sz w:val="24"/>
          <w:szCs w:val="24"/>
          <w:lang w:eastAsia="pl-PL"/>
        </w:rPr>
        <w:t>zwrot różnicy</w:t>
      </w:r>
      <w:r w:rsidR="00B96862" w:rsidRPr="00C41BBF">
        <w:rPr>
          <w:rFonts w:ascii="Times New Roman" w:eastAsiaTheme="minorEastAsia" w:hAnsi="Times New Roman" w:cs="Times New Roman"/>
          <w:sz w:val="24"/>
          <w:szCs w:val="24"/>
          <w:lang w:eastAsia="pl-PL"/>
        </w:rPr>
        <w:t>, czyli kwotę zmniejszającą zobowiązanie</w:t>
      </w:r>
      <w:r w:rsidR="00E7736C" w:rsidRPr="00C41BBF">
        <w:rPr>
          <w:rFonts w:ascii="Times New Roman" w:eastAsiaTheme="minorEastAsia" w:hAnsi="Times New Roman" w:cs="Times New Roman"/>
          <w:sz w:val="24"/>
          <w:szCs w:val="24"/>
          <w:lang w:eastAsia="pl-PL"/>
        </w:rPr>
        <w:t>, tak</w:t>
      </w:r>
      <w:r w:rsidR="00B96862" w:rsidRPr="00C41BBF">
        <w:rPr>
          <w:rFonts w:ascii="Times New Roman" w:eastAsiaTheme="minorEastAsia" w:hAnsi="Times New Roman" w:cs="Times New Roman"/>
          <w:sz w:val="24"/>
          <w:szCs w:val="24"/>
          <w:lang w:eastAsia="pl-PL"/>
        </w:rPr>
        <w:t xml:space="preserve"> aby nowe rozwiązanie nie spowodowało pogorszenia ich prawnopodatkowej sytuacji</w:t>
      </w:r>
      <w:r w:rsidR="00EC073D" w:rsidRPr="00C41BBF">
        <w:rPr>
          <w:rFonts w:ascii="Times New Roman" w:eastAsiaTheme="minorEastAsia" w:hAnsi="Times New Roman" w:cs="Times New Roman"/>
          <w:sz w:val="24"/>
          <w:szCs w:val="24"/>
          <w:lang w:eastAsia="pl-PL"/>
        </w:rPr>
        <w:t xml:space="preserve"> (przepisy przejściowe)</w:t>
      </w:r>
      <w:r w:rsidR="00B96862" w:rsidRPr="00C41BBF">
        <w:rPr>
          <w:rFonts w:ascii="Times New Roman" w:eastAsiaTheme="minorEastAsia" w:hAnsi="Times New Roman" w:cs="Times New Roman"/>
          <w:sz w:val="24"/>
          <w:szCs w:val="24"/>
          <w:lang w:eastAsia="pl-PL"/>
        </w:rPr>
        <w:t>.</w:t>
      </w:r>
    </w:p>
    <w:p w14:paraId="62B962EF" w14:textId="34CA26E1"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Jeśli podatek należny za 2022 r. wynikający z zeznania będzie wyższy od hipotetycznego podatku należnego za 2022 r., właściwy naczelnik urzędu skarbowego zwróci podatnikowi kwotę tej różnicy. „Hipotetyczny podatek należny za 2022 r.” nie stanowi podatku należnego za 2022 r., ponieważ podatek ten będzie zawsze obliczany zgodnie z przepisami</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obowiązującymi od 1 lipca 2022 r. Hipotetyczny podatek należny będzie obliczony według przepisów obowiązujących w PIT przed 1 lipca 2022 r. Hipotetyczny podatek należny umożliwia ustalenie</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czy podatnik nie stracił na zmianach wprowadzonych w trakcie roku podatkowego</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i stanowi podstawę do dokonania „zwrotu kwoty różnicy” w celu zapewnienia zgodności przepisów obowią</w:t>
      </w:r>
      <w:r w:rsidRPr="00C41BBF">
        <w:rPr>
          <w:rFonts w:ascii="Times New Roman" w:eastAsiaTheme="minorEastAsia" w:hAnsi="Times New Roman" w:cs="Times New Roman"/>
          <w:sz w:val="24"/>
          <w:szCs w:val="24"/>
          <w:lang w:eastAsia="pl-PL"/>
        </w:rPr>
        <w:lastRenderedPageBreak/>
        <w:t xml:space="preserve">zujących od 1 lipca 2022 r. z zasadami demokratycznego państwa prawnego (zakazem wprowadzania zmian niekorzystnych dla podatników w trakcie roku podatkowego). </w:t>
      </w:r>
    </w:p>
    <w:p w14:paraId="7D15616F" w14:textId="77777777"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„Zwrot kwoty różnicy” to czynność materialno-techniczna organu podatkowego skutkująca zmniejszeniem zobowiązania podatkowego podatnika w PIT za 2022 r. Czynność ta będzie dokonywana z urzędu, bez wniosku podatnika, w trybie bezdecyzyjnym.</w:t>
      </w:r>
    </w:p>
    <w:p w14:paraId="3847CDC5" w14:textId="30FEFB29"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„Kwotę różnicy” traktuje się na równi z nadpłatą co oznacza, że:</w:t>
      </w:r>
    </w:p>
    <w:p w14:paraId="35ADCE84" w14:textId="77777777" w:rsidR="00EC073D" w:rsidRPr="00C41BBF" w:rsidRDefault="00EC073D" w:rsidP="00C41BBF">
      <w:pPr>
        <w:numPr>
          <w:ilvl w:val="1"/>
          <w:numId w:val="33"/>
        </w:numPr>
        <w:spacing w:before="120" w:after="0" w:line="360" w:lineRule="auto"/>
        <w:ind w:left="924"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powstaje z dniem złożenia zeznania rocznego (art. 73 § 2 pkt 1 Ordynacji podatkowej),</w:t>
      </w:r>
    </w:p>
    <w:p w14:paraId="67D87086" w14:textId="77777777" w:rsidR="00EC073D" w:rsidRPr="00C41BBF" w:rsidRDefault="00EC073D" w:rsidP="00C41BBF">
      <w:pPr>
        <w:numPr>
          <w:ilvl w:val="1"/>
          <w:numId w:val="33"/>
        </w:numPr>
        <w:spacing w:before="120" w:after="0" w:line="360" w:lineRule="auto"/>
        <w:ind w:left="924"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podlega zwrotowi w terminach określonych w art. 77 § 1 Ordynacji podatkowej, tj.:</w:t>
      </w:r>
    </w:p>
    <w:p w14:paraId="7561A4F6" w14:textId="77777777" w:rsidR="00EC073D" w:rsidRPr="00C41BBF" w:rsidRDefault="00EC073D" w:rsidP="00C41BBF">
      <w:pPr>
        <w:numPr>
          <w:ilvl w:val="2"/>
          <w:numId w:val="33"/>
        </w:numPr>
        <w:spacing w:before="120" w:after="0" w:line="360" w:lineRule="auto"/>
        <w:ind w:left="1134"/>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3 miesięcy do dnia złożenia zeznania albo 45 dni od dnia złożenia zeznania za pomocą środków komunikacji elektronicznej,</w:t>
      </w:r>
    </w:p>
    <w:p w14:paraId="3E025ADE" w14:textId="77777777" w:rsidR="00EC073D" w:rsidRPr="00C41BBF" w:rsidRDefault="00EC073D" w:rsidP="00C41BBF">
      <w:pPr>
        <w:numPr>
          <w:ilvl w:val="2"/>
          <w:numId w:val="33"/>
        </w:numPr>
        <w:spacing w:before="120" w:after="0" w:line="360" w:lineRule="auto"/>
        <w:ind w:left="1134"/>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30 dni od dnia wydania decyzji, </w:t>
      </w:r>
    </w:p>
    <w:p w14:paraId="7B64C6E5" w14:textId="77777777" w:rsidR="00EC073D" w:rsidRPr="00C41BBF" w:rsidRDefault="00EC073D" w:rsidP="00C41BBF">
      <w:pPr>
        <w:numPr>
          <w:ilvl w:val="1"/>
          <w:numId w:val="33"/>
        </w:numPr>
        <w:spacing w:before="120" w:after="0" w:line="360" w:lineRule="auto"/>
        <w:ind w:left="924" w:hanging="357"/>
        <w:jc w:val="both"/>
        <w:rPr>
          <w:rFonts w:ascii="Times New Roman" w:eastAsiaTheme="minorEastAsia" w:hAnsi="Times New Roman" w:cs="Times New Roman"/>
          <w:b/>
          <w:sz w:val="24"/>
          <w:szCs w:val="24"/>
          <w:lang w:eastAsia="pl-PL"/>
        </w:rPr>
      </w:pPr>
      <w:r w:rsidRPr="00C41BBF">
        <w:rPr>
          <w:rFonts w:ascii="Times New Roman" w:eastAsiaTheme="minorEastAsia" w:hAnsi="Times New Roman" w:cs="Times New Roman"/>
          <w:sz w:val="24"/>
          <w:szCs w:val="24"/>
          <w:lang w:eastAsia="pl-PL"/>
        </w:rPr>
        <w:t xml:space="preserve">sposób zwrotu tej kwoty jest identyczny jak sposób zwrotu nadpłaty – art. 77b Ordynacji podatkowej; co do zasady kwota różnicy będzie zwracana na rachunek bankowy lub rachunek w spółdzielczej kasie oszczędnościowo-kredytowej podatnika. </w:t>
      </w:r>
    </w:p>
    <w:p w14:paraId="642F2DA2" w14:textId="4C80B960"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Każdy podatnik, u którego wystąpi kwota różnicy do zwrotu, otrzyma od właściwego naczelnika urzędu skarbowego informację o wystąpieniu kwoty różnicy w terminie 21 dni od dnia złożenia zeznania. Informacja ta nie będzie podlegać zaskarżeniu.</w:t>
      </w:r>
    </w:p>
    <w:p w14:paraId="00F6962B" w14:textId="1EF8C17A"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Podatnik, który uznał, że nie otrzymał należnej kwoty zwrotu różnicy albo otrzymał zwrot w kwocie niższej od należnej</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może złożyć do naczelnika urzędu skarbowego wniosek o „zwrot kwoty różnicy”. Jeśli wniosek będzie zasadny</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organ podatkowy dokona „zwrotu kwoty różnicy” w trybie bezdecyzyjnym. W przypadku niezasadności wniosku organ podatkowy wyda decyzję o odmowie zwrotu, która będzie zaskarżalna na ogólnych zasadach. </w:t>
      </w:r>
    </w:p>
    <w:p w14:paraId="0EEB9BD5" w14:textId="2ACA27FC"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Podatnik, który otrzymał zwrot kwoty różnicy nienależnie</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jest obowiązany do zwrotu tej kwoty w terminie 30 dni. W przypadku niedokonania zwrotu w tym terminie organ podatkowy wyda decyzję, w której określi obowiązek zwrotu w terminie 30 dni od dnia doręczenia tej decyzji. Po upływie tego terminu kwotę podlegającą zwrotowi traktuje się jak zaległość podatkową (art. 52 § 3 Ordynacji podatkowej).</w:t>
      </w:r>
      <w:r w:rsidR="009D1102">
        <w:rPr>
          <w:rFonts w:ascii="Times New Roman" w:eastAsiaTheme="minorEastAsia" w:hAnsi="Times New Roman" w:cs="Times New Roman"/>
          <w:sz w:val="24"/>
          <w:szCs w:val="24"/>
          <w:lang w:eastAsia="pl-PL"/>
        </w:rPr>
        <w:t xml:space="preserve"> </w:t>
      </w:r>
    </w:p>
    <w:p w14:paraId="7FC5F44C" w14:textId="3978D7CB" w:rsidR="00EC073D" w:rsidRPr="00C41BBF" w:rsidRDefault="00EC073D"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Analogiczne zasady postępowania będą stosowane w przypadku złożenia korekty zeznania i wydania decyzji określającej wysokość zobowiązania podatkowego w innej wysokości niż wynikająca z zeznania</w:t>
      </w:r>
      <w:r w:rsidR="00CF7E6D" w:rsidRPr="00C41BBF">
        <w:rPr>
          <w:rFonts w:ascii="Times New Roman" w:eastAsiaTheme="minorEastAsia" w:hAnsi="Times New Roman" w:cs="Times New Roman"/>
          <w:sz w:val="24"/>
          <w:szCs w:val="24"/>
          <w:lang w:eastAsia="pl-PL"/>
        </w:rPr>
        <w:t xml:space="preserve"> albo korekty</w:t>
      </w:r>
      <w:r w:rsidRPr="00C41BBF">
        <w:rPr>
          <w:rFonts w:ascii="Times New Roman" w:eastAsiaTheme="minorEastAsia" w:hAnsi="Times New Roman" w:cs="Times New Roman"/>
          <w:sz w:val="24"/>
          <w:szCs w:val="24"/>
          <w:lang w:eastAsia="pl-PL"/>
        </w:rPr>
        <w:t>.</w:t>
      </w:r>
    </w:p>
    <w:p w14:paraId="00EE3B0D" w14:textId="77777777" w:rsidR="00CE5793" w:rsidRPr="00C41BBF" w:rsidRDefault="00CE5793" w:rsidP="00C41BBF">
      <w:pPr>
        <w:spacing w:before="120" w:after="0" w:line="360" w:lineRule="auto"/>
        <w:jc w:val="both"/>
        <w:rPr>
          <w:rFonts w:ascii="Times New Roman" w:eastAsiaTheme="minorEastAsia" w:hAnsi="Times New Roman" w:cs="Times New Roman"/>
          <w:sz w:val="24"/>
          <w:szCs w:val="24"/>
          <w:lang w:eastAsia="pl-PL"/>
        </w:rPr>
      </w:pPr>
    </w:p>
    <w:p w14:paraId="488A7001" w14:textId="6255986E" w:rsidR="00B96862" w:rsidRPr="00C41BBF" w:rsidRDefault="00625BE0" w:rsidP="00C41BBF">
      <w:pPr>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 xml:space="preserve">Uszczelnienie </w:t>
      </w:r>
      <w:r w:rsidR="008D395E" w:rsidRPr="00C41BBF">
        <w:rPr>
          <w:rFonts w:ascii="Times New Roman" w:eastAsiaTheme="minorEastAsia" w:hAnsi="Times New Roman" w:cs="Times New Roman"/>
          <w:b/>
          <w:color w:val="0070C0"/>
          <w:sz w:val="24"/>
          <w:szCs w:val="24"/>
          <w:lang w:eastAsia="pl-PL"/>
        </w:rPr>
        <w:t xml:space="preserve">przepisów normujących </w:t>
      </w:r>
      <w:r w:rsidR="00B96862" w:rsidRPr="00C41BBF">
        <w:rPr>
          <w:rFonts w:ascii="Times New Roman" w:eastAsiaTheme="minorEastAsia" w:hAnsi="Times New Roman" w:cs="Times New Roman"/>
          <w:b/>
          <w:color w:val="0070C0"/>
          <w:sz w:val="24"/>
          <w:szCs w:val="24"/>
          <w:lang w:eastAsia="pl-PL"/>
        </w:rPr>
        <w:t>ulg</w:t>
      </w:r>
      <w:r w:rsidR="008D395E" w:rsidRPr="00C41BBF">
        <w:rPr>
          <w:rFonts w:ascii="Times New Roman" w:eastAsiaTheme="minorEastAsia" w:hAnsi="Times New Roman" w:cs="Times New Roman"/>
          <w:b/>
          <w:color w:val="0070C0"/>
          <w:sz w:val="24"/>
          <w:szCs w:val="24"/>
          <w:lang w:eastAsia="pl-PL"/>
        </w:rPr>
        <w:t>ę</w:t>
      </w:r>
      <w:r w:rsidR="00B96862" w:rsidRPr="00C41BBF">
        <w:rPr>
          <w:rFonts w:ascii="Times New Roman" w:eastAsiaTheme="minorEastAsia" w:hAnsi="Times New Roman" w:cs="Times New Roman"/>
          <w:b/>
          <w:color w:val="0070C0"/>
          <w:sz w:val="24"/>
          <w:szCs w:val="24"/>
          <w:lang w:eastAsia="pl-PL"/>
        </w:rPr>
        <w:t xml:space="preserve"> na zabytki – </w:t>
      </w:r>
      <w:r w:rsidR="008D395E" w:rsidRPr="00C41BBF">
        <w:rPr>
          <w:rFonts w:ascii="Times New Roman" w:eastAsiaTheme="minorEastAsia" w:hAnsi="Times New Roman" w:cs="Times New Roman"/>
          <w:b/>
          <w:color w:val="0070C0"/>
          <w:sz w:val="24"/>
          <w:szCs w:val="24"/>
          <w:lang w:eastAsia="pl-PL"/>
        </w:rPr>
        <w:t>zmiany w</w:t>
      </w:r>
      <w:r w:rsidR="00B96862" w:rsidRPr="00C41BBF">
        <w:rPr>
          <w:rFonts w:ascii="Times New Roman" w:eastAsiaTheme="minorEastAsia" w:hAnsi="Times New Roman" w:cs="Times New Roman"/>
          <w:b/>
          <w:color w:val="0070C0"/>
          <w:sz w:val="24"/>
          <w:szCs w:val="24"/>
          <w:lang w:eastAsia="pl-PL"/>
        </w:rPr>
        <w:t xml:space="preserve"> art. 26hb ustawy PIT </w:t>
      </w:r>
    </w:p>
    <w:p w14:paraId="2818E7DF" w14:textId="77777777" w:rsidR="00E84CD5"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eastAsiaTheme="minorEastAsia" w:hAnsi="Times New Roman" w:cs="Times New Roman"/>
          <w:sz w:val="24"/>
          <w:szCs w:val="24"/>
          <w:lang w:eastAsia="pl-PL"/>
        </w:rPr>
        <w:t>Uwzględniając powszechne w przestrzeni publicznej uwagi na temat braku uzasadnienia dla odliczania od podstawy opodatkowania wydatków ponoszonych przez zazwyczaj bardzo zamożnych podatników na zakup zabytkowych obi</w:t>
      </w:r>
      <w:r w:rsidR="008D395E" w:rsidRPr="00C41BBF">
        <w:rPr>
          <w:rFonts w:ascii="Times New Roman" w:eastAsiaTheme="minorEastAsia" w:hAnsi="Times New Roman" w:cs="Times New Roman"/>
          <w:sz w:val="24"/>
          <w:szCs w:val="24"/>
          <w:lang w:eastAsia="pl-PL"/>
        </w:rPr>
        <w:t>ektów, proponujemy uchylenie tego tytułu odliczenia</w:t>
      </w:r>
      <w:r w:rsidRPr="00C41BBF">
        <w:rPr>
          <w:rFonts w:ascii="Times New Roman" w:eastAsiaTheme="minorEastAsia" w:hAnsi="Times New Roman" w:cs="Times New Roman"/>
          <w:sz w:val="24"/>
          <w:szCs w:val="24"/>
          <w:lang w:eastAsia="pl-PL"/>
        </w:rPr>
        <w:t>.</w:t>
      </w:r>
      <w:r w:rsidR="00E84CD5" w:rsidRPr="00C41BBF">
        <w:rPr>
          <w:rFonts w:ascii="Times New Roman" w:eastAsiaTheme="minorEastAsia" w:hAnsi="Times New Roman" w:cs="Times New Roman"/>
          <w:sz w:val="24"/>
          <w:szCs w:val="24"/>
          <w:lang w:eastAsia="pl-PL"/>
        </w:rPr>
        <w:t xml:space="preserve"> Poniesione od 1 stycznia 2023 r. wydatki na</w:t>
      </w:r>
      <w:r w:rsidR="00E84CD5" w:rsidRPr="00C41BBF">
        <w:rPr>
          <w:rFonts w:ascii="Times New Roman" w:hAnsi="Times New Roman" w:cs="Times New Roman"/>
          <w:sz w:val="24"/>
          <w:szCs w:val="24"/>
        </w:rPr>
        <w:t xml:space="preserve"> odpłatne nabycie zabytku nieruchomego wpisanego do rejestru zabytków lub udziału w takim zabytku nie będą stanowiły podstawy dla pomniejszenia dochodu do opodatkowania (uchylenie pkt 3 w art. 26hb ust. 1 ustawy PIT).</w:t>
      </w:r>
    </w:p>
    <w:p w14:paraId="3087FE72" w14:textId="69D0EF61" w:rsidR="00CE5793" w:rsidRPr="00C41BBF" w:rsidRDefault="00E84CD5" w:rsidP="00C41BBF">
      <w:pPr>
        <w:pStyle w:val="divpoint"/>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Zatem </w:t>
      </w:r>
      <w:r w:rsidR="00CE5793" w:rsidRPr="00C41BBF">
        <w:rPr>
          <w:rFonts w:ascii="Times New Roman" w:hAnsi="Times New Roman" w:cs="Times New Roman"/>
          <w:sz w:val="24"/>
          <w:szCs w:val="24"/>
        </w:rPr>
        <w:t>od dnia 1 stycznia 2023 r. podstawą odliczenia w ramach tzw. „ulgi na zabytki” będą wydatki:</w:t>
      </w:r>
    </w:p>
    <w:p w14:paraId="53A0CA55" w14:textId="13DF1E64" w:rsidR="00CE5793" w:rsidRPr="00C41BBF" w:rsidRDefault="00CE5793" w:rsidP="00C41BBF">
      <w:pPr>
        <w:pStyle w:val="divpoint"/>
        <w:numPr>
          <w:ilvl w:val="0"/>
          <w:numId w:val="31"/>
        </w:numPr>
        <w:spacing w:line="360" w:lineRule="auto"/>
        <w:jc w:val="both"/>
        <w:rPr>
          <w:rFonts w:ascii="Times New Roman" w:hAnsi="Times New Roman" w:cs="Times New Roman"/>
          <w:sz w:val="24"/>
          <w:szCs w:val="24"/>
        </w:rPr>
      </w:pPr>
      <w:r w:rsidRPr="00C41BBF">
        <w:rPr>
          <w:rFonts w:ascii="Times New Roman" w:hAnsi="Times New Roman" w:cs="Times New Roman"/>
          <w:color w:val="auto"/>
          <w:sz w:val="24"/>
          <w:szCs w:val="24"/>
        </w:rPr>
        <w:t>poniesione w roku podatkowym na wpłaty na fundusz remontowy wspólnoty mieszkaniowej lub spółdzielni mieszkaniowej utworzony, zgodnie z odrębnymi przepisami, dla zabytku nieruchomego wpisanego do rejestru zabytków lub</w:t>
      </w:r>
      <w:r w:rsidRPr="00C41BBF">
        <w:rPr>
          <w:rFonts w:ascii="Times New Roman" w:hAnsi="Times New Roman" w:cs="Times New Roman"/>
          <w:sz w:val="24"/>
          <w:szCs w:val="24"/>
        </w:rPr>
        <w:t xml:space="preserve"> znajdującego się w ewidencji zabytków,</w:t>
      </w:r>
    </w:p>
    <w:p w14:paraId="58262DD4" w14:textId="568CDB6C" w:rsidR="00CE5793" w:rsidRPr="00C41BBF" w:rsidRDefault="00CE5793" w:rsidP="00C41BBF">
      <w:pPr>
        <w:pStyle w:val="Akapitzlist"/>
        <w:widowControl w:val="0"/>
        <w:numPr>
          <w:ilvl w:val="0"/>
          <w:numId w:val="31"/>
        </w:numPr>
        <w:autoSpaceDE w:val="0"/>
        <w:autoSpaceDN w:val="0"/>
        <w:adjustRightInd w:val="0"/>
        <w:spacing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na prace konserwatorskie, restauratorskie lub roboty budowlane w zabytku nieruchomym wpisanym do rejestru zabytków lub znajdującym się ewidencji zabytków.</w:t>
      </w:r>
    </w:p>
    <w:p w14:paraId="326DE0A3" w14:textId="649D7921" w:rsidR="00E84CD5" w:rsidRPr="00C41BBF" w:rsidRDefault="00CE5793"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Kolejną modyfikacją przyczyniającą się do realizacji celu odliczenia jest umożliwienie odliczenia wydatków na</w:t>
      </w:r>
      <w:r w:rsidRPr="00C41BBF">
        <w:rPr>
          <w:rFonts w:ascii="Times New Roman" w:eastAsiaTheme="minorEastAsia" w:hAnsi="Times New Roman" w:cs="Times New Roman"/>
          <w:color w:val="000000"/>
          <w:sz w:val="24"/>
          <w:szCs w:val="24"/>
          <w:lang w:eastAsia="pl-PL"/>
        </w:rPr>
        <w:t xml:space="preserve"> prace konserwatorskie, restauratorskie lub roboty bu</w:t>
      </w:r>
      <w:r w:rsidRPr="00C41BBF">
        <w:rPr>
          <w:rFonts w:ascii="Times New Roman" w:eastAsiaTheme="minorEastAsia" w:hAnsi="Times New Roman" w:cs="Times New Roman"/>
          <w:color w:val="000000"/>
          <w:sz w:val="24"/>
          <w:szCs w:val="24"/>
          <w:lang w:eastAsia="pl-PL"/>
        </w:rPr>
        <w:lastRenderedPageBreak/>
        <w:t xml:space="preserve">dowlane w zabytku nieruchomym dopiero po ich zakończeniu. Warunkiem odliczenia będzie bowiem uzyskanie </w:t>
      </w:r>
      <w:r w:rsidR="00E84CD5" w:rsidRPr="00C41BBF">
        <w:rPr>
          <w:rFonts w:ascii="Times New Roman" w:hAnsi="Times New Roman" w:cs="Times New Roman"/>
          <w:sz w:val="24"/>
          <w:szCs w:val="24"/>
        </w:rPr>
        <w:t>zaświadczeni</w:t>
      </w:r>
      <w:r w:rsidRPr="00C41BBF">
        <w:rPr>
          <w:rFonts w:ascii="Times New Roman" w:hAnsi="Times New Roman" w:cs="Times New Roman"/>
          <w:sz w:val="24"/>
          <w:szCs w:val="24"/>
        </w:rPr>
        <w:t>a</w:t>
      </w:r>
      <w:r w:rsidR="00E84CD5" w:rsidRPr="00C41BBF">
        <w:rPr>
          <w:rFonts w:ascii="Times New Roman" w:hAnsi="Times New Roman" w:cs="Times New Roman"/>
          <w:sz w:val="24"/>
          <w:szCs w:val="24"/>
        </w:rPr>
        <w:t xml:space="preserve"> wojewódzkiego konserwatora zabytków, potwierdzające</w:t>
      </w:r>
      <w:r w:rsidRPr="00C41BBF">
        <w:rPr>
          <w:rFonts w:ascii="Times New Roman" w:hAnsi="Times New Roman" w:cs="Times New Roman"/>
          <w:sz w:val="24"/>
          <w:szCs w:val="24"/>
        </w:rPr>
        <w:t>go</w:t>
      </w:r>
      <w:r w:rsidR="00E84CD5" w:rsidRPr="00C41BBF">
        <w:rPr>
          <w:rFonts w:ascii="Times New Roman" w:hAnsi="Times New Roman" w:cs="Times New Roman"/>
          <w:sz w:val="24"/>
          <w:szCs w:val="24"/>
        </w:rPr>
        <w:t xml:space="preserve"> wykonanie prac konserwatorskich, restauratorskich lub robót budowlanych w zabytku nieruchomym wpisanym do rejestru zabytków, znajdującego się w wojewódzkiej lub gminnej ewidencji zabytków</w:t>
      </w:r>
      <w:r w:rsidRPr="00C41BBF">
        <w:rPr>
          <w:rFonts w:ascii="Times New Roman" w:hAnsi="Times New Roman" w:cs="Times New Roman"/>
          <w:sz w:val="24"/>
          <w:szCs w:val="24"/>
        </w:rPr>
        <w:t xml:space="preserve"> (zmiana pkt 2 w art. 26hb ust. 2 ustawy PIT</w:t>
      </w:r>
      <w:r w:rsidR="00625BE0" w:rsidRPr="00C41BBF">
        <w:rPr>
          <w:rFonts w:ascii="Times New Roman" w:hAnsi="Times New Roman" w:cs="Times New Roman"/>
          <w:sz w:val="24"/>
          <w:szCs w:val="24"/>
        </w:rPr>
        <w:t>)</w:t>
      </w:r>
      <w:r w:rsidRPr="00C41BBF">
        <w:rPr>
          <w:rFonts w:ascii="Times New Roman" w:hAnsi="Times New Roman" w:cs="Times New Roman"/>
          <w:sz w:val="24"/>
          <w:szCs w:val="24"/>
        </w:rPr>
        <w:t>.</w:t>
      </w:r>
    </w:p>
    <w:p w14:paraId="01F7BE4B" w14:textId="7C2D43AD"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sz w:val="24"/>
          <w:szCs w:val="24"/>
        </w:rPr>
        <w:t xml:space="preserve">Projektowana ustawa zachowuje prawa nabyte do odliczenia wydatków określonych w art. 26hb </w:t>
      </w:r>
      <w:r w:rsidR="00E84CD5" w:rsidRPr="00C41BBF">
        <w:rPr>
          <w:rFonts w:ascii="Times New Roman" w:hAnsi="Times New Roman" w:cs="Times New Roman"/>
          <w:sz w:val="24"/>
          <w:szCs w:val="24"/>
        </w:rPr>
        <w:t>ust. 1 pkt 2</w:t>
      </w:r>
      <w:r w:rsidR="00CE5793" w:rsidRPr="00C41BBF">
        <w:rPr>
          <w:rFonts w:ascii="Times New Roman" w:hAnsi="Times New Roman" w:cs="Times New Roman"/>
          <w:sz w:val="24"/>
          <w:szCs w:val="24"/>
        </w:rPr>
        <w:t xml:space="preserve"> (</w:t>
      </w:r>
      <w:r w:rsidR="00CE5793" w:rsidRPr="00C41BBF">
        <w:rPr>
          <w:rFonts w:ascii="Times New Roman" w:eastAsiaTheme="minorEastAsia" w:hAnsi="Times New Roman" w:cs="Times New Roman"/>
          <w:color w:val="000000"/>
          <w:sz w:val="24"/>
          <w:szCs w:val="24"/>
          <w:lang w:eastAsia="pl-PL"/>
        </w:rPr>
        <w:t>na prace konserwatorskie, restauratorskie lub roboty budowlane w zabytku nieruchomym)</w:t>
      </w:r>
      <w:r w:rsidR="00E84CD5" w:rsidRPr="00C41BBF">
        <w:rPr>
          <w:rFonts w:ascii="Times New Roman" w:hAnsi="Times New Roman" w:cs="Times New Roman"/>
          <w:sz w:val="24"/>
          <w:szCs w:val="24"/>
        </w:rPr>
        <w:t xml:space="preserve"> i </w:t>
      </w:r>
      <w:r w:rsidR="00CE5793" w:rsidRPr="00C41BBF">
        <w:rPr>
          <w:rFonts w:ascii="Times New Roman" w:hAnsi="Times New Roman" w:cs="Times New Roman"/>
          <w:sz w:val="24"/>
          <w:szCs w:val="24"/>
        </w:rPr>
        <w:t xml:space="preserve">pkt </w:t>
      </w:r>
      <w:r w:rsidR="00E84CD5" w:rsidRPr="00C41BBF">
        <w:rPr>
          <w:rFonts w:ascii="Times New Roman" w:hAnsi="Times New Roman" w:cs="Times New Roman"/>
          <w:sz w:val="24"/>
          <w:szCs w:val="24"/>
        </w:rPr>
        <w:t xml:space="preserve">3 (na nabycie </w:t>
      </w:r>
      <w:r w:rsidR="00CE5793" w:rsidRPr="00C41BBF">
        <w:rPr>
          <w:rFonts w:ascii="Times New Roman" w:hAnsi="Times New Roman" w:cs="Times New Roman"/>
          <w:sz w:val="24"/>
          <w:szCs w:val="24"/>
        </w:rPr>
        <w:t>zabytku nieruchomego)</w:t>
      </w:r>
      <w:r w:rsidR="00E84CD5" w:rsidRPr="00C41BBF">
        <w:rPr>
          <w:rFonts w:ascii="Times New Roman" w:hAnsi="Times New Roman" w:cs="Times New Roman"/>
          <w:sz w:val="24"/>
          <w:szCs w:val="24"/>
        </w:rPr>
        <w:t xml:space="preserve"> </w:t>
      </w:r>
      <w:r w:rsidRPr="00C41BBF">
        <w:rPr>
          <w:rFonts w:ascii="Times New Roman" w:hAnsi="Times New Roman" w:cs="Times New Roman"/>
          <w:sz w:val="24"/>
          <w:szCs w:val="24"/>
        </w:rPr>
        <w:t>ustawy PIT</w:t>
      </w:r>
      <w:r w:rsidR="001F09AC" w:rsidRPr="00C41BBF">
        <w:rPr>
          <w:rFonts w:ascii="Times New Roman" w:hAnsi="Times New Roman" w:cs="Times New Roman"/>
          <w:sz w:val="24"/>
          <w:szCs w:val="24"/>
        </w:rPr>
        <w:t>,</w:t>
      </w:r>
      <w:r w:rsidRPr="00C41BBF">
        <w:rPr>
          <w:rFonts w:ascii="Times New Roman" w:hAnsi="Times New Roman" w:cs="Times New Roman"/>
          <w:sz w:val="24"/>
          <w:szCs w:val="24"/>
        </w:rPr>
        <w:t xml:space="preserve"> </w:t>
      </w:r>
      <w:r w:rsidR="00E84CD5" w:rsidRPr="00C41BBF">
        <w:rPr>
          <w:rFonts w:ascii="Times New Roman" w:hAnsi="Times New Roman" w:cs="Times New Roman"/>
          <w:sz w:val="24"/>
          <w:szCs w:val="24"/>
        </w:rPr>
        <w:t>w dotychczasowym brzmieniu</w:t>
      </w:r>
      <w:r w:rsidR="001F09AC" w:rsidRPr="00C41BBF">
        <w:rPr>
          <w:rFonts w:ascii="Times New Roman" w:hAnsi="Times New Roman" w:cs="Times New Roman"/>
          <w:sz w:val="24"/>
          <w:szCs w:val="24"/>
        </w:rPr>
        <w:t>,</w:t>
      </w:r>
      <w:r w:rsidR="00E84CD5" w:rsidRPr="00C41BBF">
        <w:rPr>
          <w:rFonts w:ascii="Times New Roman" w:hAnsi="Times New Roman" w:cs="Times New Roman"/>
          <w:sz w:val="24"/>
          <w:szCs w:val="24"/>
        </w:rPr>
        <w:t xml:space="preserve"> </w:t>
      </w:r>
      <w:r w:rsidRPr="00C41BBF">
        <w:rPr>
          <w:rFonts w:ascii="Times New Roman" w:hAnsi="Times New Roman" w:cs="Times New Roman"/>
          <w:sz w:val="24"/>
          <w:szCs w:val="24"/>
        </w:rPr>
        <w:t xml:space="preserve">do wydatków poniesionych do </w:t>
      </w:r>
      <w:r w:rsidR="008D395E" w:rsidRPr="00C41BBF">
        <w:rPr>
          <w:rFonts w:ascii="Times New Roman" w:hAnsi="Times New Roman" w:cs="Times New Roman"/>
          <w:sz w:val="24"/>
          <w:szCs w:val="24"/>
        </w:rPr>
        <w:t>końca</w:t>
      </w:r>
      <w:r w:rsidRPr="00C41BBF">
        <w:rPr>
          <w:rFonts w:ascii="Times New Roman" w:hAnsi="Times New Roman" w:cs="Times New Roman"/>
          <w:sz w:val="24"/>
          <w:szCs w:val="24"/>
        </w:rPr>
        <w:t xml:space="preserve"> 2022 r. (art. </w:t>
      </w:r>
      <w:r w:rsidR="00625BE0" w:rsidRPr="00C41BBF">
        <w:rPr>
          <w:rFonts w:ascii="Times New Roman" w:hAnsi="Times New Roman" w:cs="Times New Roman"/>
          <w:sz w:val="24"/>
          <w:szCs w:val="24"/>
        </w:rPr>
        <w:t>1</w:t>
      </w:r>
      <w:r w:rsidR="00D1303E" w:rsidRPr="00C41BBF">
        <w:rPr>
          <w:rFonts w:ascii="Times New Roman" w:hAnsi="Times New Roman" w:cs="Times New Roman"/>
          <w:sz w:val="24"/>
          <w:szCs w:val="24"/>
        </w:rPr>
        <w:t>6</w:t>
      </w:r>
      <w:r w:rsidR="00625BE0" w:rsidRPr="00C41BBF">
        <w:rPr>
          <w:rFonts w:ascii="Times New Roman" w:hAnsi="Times New Roman" w:cs="Times New Roman"/>
          <w:sz w:val="24"/>
          <w:szCs w:val="24"/>
        </w:rPr>
        <w:t xml:space="preserve"> </w:t>
      </w:r>
      <w:r w:rsidRPr="00C41BBF">
        <w:rPr>
          <w:rFonts w:ascii="Times New Roman" w:hAnsi="Times New Roman" w:cs="Times New Roman"/>
          <w:sz w:val="24"/>
          <w:szCs w:val="24"/>
        </w:rPr>
        <w:t>projektowanej ustawy).</w:t>
      </w:r>
    </w:p>
    <w:p w14:paraId="184BF440"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p>
    <w:p w14:paraId="34E60D26"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 xml:space="preserve">Zmiana zasad stosowania przez płatników kwoty wolnej od podatku (tj. 1/12 kwoty zmniejszającej podatek) – wprowadzony art. 31b do ustawy PIT </w:t>
      </w:r>
    </w:p>
    <w:p w14:paraId="789349BC"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Płatnicy przy poborze zaliczek na podatek stosują kwotę wolną od podatku. Czynią to, pomniejszając obliczoną zaliczkę na podatek o 1/12 kwoty zmniejszającej podatek (obecnie o 425 zł, po zmianie o 300 zł – różnica w zmianie wysokości tej kwoty wynika z wprowadzenia niższej 12% stawki podatkowej w pierwszym przedziale skali podatkowej).</w:t>
      </w:r>
    </w:p>
    <w:p w14:paraId="4580B6D2"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Zmniejszenie zaliczki o 1/12 kwoty płatnicy stosują z mocy ustawy (z urzędu) na podstawie przepisów ustawy PIT lub na wniosek (oświadczenie) podatnika składany płatnikowi.</w:t>
      </w:r>
    </w:p>
    <w:p w14:paraId="75F26423"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 mocy ustawy PIT 1/12 kwoty zmniejszającej zaliczkę stosują z urzędu:</w:t>
      </w:r>
    </w:p>
    <w:p w14:paraId="6EF8885A" w14:textId="77777777" w:rsidR="00B96862" w:rsidRPr="00C41BBF" w:rsidRDefault="00B96862" w:rsidP="00C41BBF">
      <w:pPr>
        <w:widowControl w:val="0"/>
        <w:numPr>
          <w:ilvl w:val="0"/>
          <w:numId w:val="14"/>
        </w:num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rolnicze spółdzielnie produkcyjne oraz inne spółdzielnie zajmujące się produkcją rolną, przy obliczaniu zaliczek na podatek dochodowy od dokonywanych na rzecz członków spółdzielni lub ich domowników wypłat z tytułu dniówek obrachunkowych, udziału w dochodzie podzielnym spółdzielni, a także od uzyskiwanych od spółdzielni przez te osoby zasiłków pieniężnych z ubezpieczenia społecznego (art. 33 ust. 2 ustawy PIT),</w:t>
      </w:r>
    </w:p>
    <w:p w14:paraId="4F93C56D" w14:textId="77777777" w:rsidR="00B96862" w:rsidRPr="00C41BBF" w:rsidRDefault="00B96862" w:rsidP="00C41BBF">
      <w:pPr>
        <w:widowControl w:val="0"/>
        <w:numPr>
          <w:ilvl w:val="0"/>
          <w:numId w:val="14"/>
        </w:num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organy rentowe od pobieranych zaliczek od wypłacanych bezpośrednio przez te organy emerytur i rent, świadczeń przedemerytalnych i zasiłków przedemerytalnych, nauczycielskich świadczeń kompensacyjnych, zasiłków pieniężnych z ubezpieczenia społecznego, rent strukturalnych, rent socjalnych oraz od rodzicielskich świadczeń uzupełniających (art. 34 ust. 2 ustawy PIT),</w:t>
      </w:r>
    </w:p>
    <w:p w14:paraId="7309D39E" w14:textId="77777777" w:rsidR="00B96862" w:rsidRPr="00C41BBF" w:rsidRDefault="00B96862" w:rsidP="00C41BBF">
      <w:pPr>
        <w:widowControl w:val="0"/>
        <w:numPr>
          <w:ilvl w:val="0"/>
          <w:numId w:val="14"/>
        </w:numPr>
        <w:autoSpaceDE w:val="0"/>
        <w:autoSpaceDN w:val="0"/>
        <w:adjustRightInd w:val="0"/>
        <w:spacing w:before="120" w:after="0" w:line="360" w:lineRule="auto"/>
        <w:ind w:left="714"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color w:val="000000"/>
          <w:sz w:val="24"/>
          <w:szCs w:val="24"/>
          <w:lang w:eastAsia="pl-PL"/>
        </w:rPr>
        <w:t xml:space="preserve">organy zatrudnienia od zaliczek obliczanych od świadczeń wypłacanych z Funduszu Pracy </w:t>
      </w:r>
      <w:r w:rsidRPr="00C41BBF">
        <w:rPr>
          <w:rFonts w:ascii="Times New Roman" w:eastAsiaTheme="minorEastAsia" w:hAnsi="Times New Roman" w:cs="Times New Roman"/>
          <w:sz w:val="24"/>
          <w:szCs w:val="24"/>
          <w:lang w:eastAsia="pl-PL"/>
        </w:rPr>
        <w:t>(art. 35 ust. 1 pkt 3 ustawy PIT),</w:t>
      </w:r>
    </w:p>
    <w:p w14:paraId="5B083940" w14:textId="77777777" w:rsidR="00B96862" w:rsidRPr="00C41BBF" w:rsidRDefault="00B96862" w:rsidP="00C41BBF">
      <w:pPr>
        <w:widowControl w:val="0"/>
        <w:numPr>
          <w:ilvl w:val="0"/>
          <w:numId w:val="14"/>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wojewódzkie urzędy pracy od zaliczek pobieranych od świadczeń wypłacanych z Funduszu Gwarantowanych Świadczeń Pracowniczych (art. 35 ust. 1 pkt 3a ustawy PIT),</w:t>
      </w:r>
    </w:p>
    <w:p w14:paraId="658938F8" w14:textId="077A8AF9" w:rsidR="00B96862" w:rsidRPr="00C41BBF" w:rsidRDefault="00B96862" w:rsidP="009B19F8">
      <w:pPr>
        <w:pStyle w:val="divparagraph"/>
        <w:numPr>
          <w:ilvl w:val="0"/>
          <w:numId w:val="14"/>
        </w:numPr>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organ egzekucyjny lub podmiot niebędący następcą prawnym zakładu pracy, przejmujący jego zobowiązania wynikające ze stosunku służbowego, stosunku pracy, pracy nakładczej oraz spółdzielczego stosunku pracy dokonujący za zakład pracy świadczeń, o których mowa w art. 12 ust. 1 ustawy PIT</w:t>
      </w:r>
      <w:r w:rsidR="009B19F8">
        <w:rPr>
          <w:rFonts w:ascii="Times New Roman" w:hAnsi="Times New Roman" w:cs="Times New Roman"/>
          <w:sz w:val="24"/>
          <w:szCs w:val="24"/>
        </w:rPr>
        <w:t xml:space="preserve"> </w:t>
      </w:r>
      <w:r w:rsidRPr="00C41BBF">
        <w:rPr>
          <w:rFonts w:ascii="Times New Roman" w:hAnsi="Times New Roman" w:cs="Times New Roman"/>
          <w:sz w:val="24"/>
          <w:szCs w:val="24"/>
        </w:rPr>
        <w:t>(art. 42e ust. 3 ustawy PIT).</w:t>
      </w:r>
    </w:p>
    <w:p w14:paraId="5C5B7170"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 wniosek samych podatników 1/12 kwoty zmniejszającej zaliczkę stosują następujący płatnicy:</w:t>
      </w:r>
    </w:p>
    <w:p w14:paraId="3B1BAC61" w14:textId="6317F545" w:rsidR="00B96862" w:rsidRPr="00C41BBF" w:rsidRDefault="00B96862" w:rsidP="00C41BBF">
      <w:pPr>
        <w:widowControl w:val="0"/>
        <w:numPr>
          <w:ilvl w:val="0"/>
          <w:numId w:val="15"/>
        </w:numPr>
        <w:autoSpaceDE w:val="0"/>
        <w:autoSpaceDN w:val="0"/>
        <w:adjustRightInd w:val="0"/>
        <w:spacing w:before="120" w:after="0" w:line="360" w:lineRule="auto"/>
        <w:ind w:left="714" w:hanging="357"/>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pracodawcy przy obliczaniu zaliczek na podatek dochodowy od przychodów ze stosunku służbowego, stosunku pracy, pracy nakładczej lub spółdzielczego stosunku pracy, zasiłków pieniężnych z ubezpieczenia społecznego wypłacanych przez pracodawców, a w spółdzielniach pracy od zaliczek pobieranych od wypłat z tytułu udziału w nadwyżce bilansowej </w:t>
      </w:r>
      <w:r w:rsidRPr="00C41BBF">
        <w:rPr>
          <w:rFonts w:ascii="Times New Roman" w:hAnsi="Times New Roman" w:cs="Times New Roman"/>
          <w:sz w:val="24"/>
          <w:szCs w:val="24"/>
        </w:rPr>
        <w:t>(art. 32 ust. 3 ustawy PIT)</w:t>
      </w:r>
      <w:r w:rsidRPr="00C41BBF">
        <w:rPr>
          <w:rFonts w:ascii="Times New Roman" w:eastAsiaTheme="minorEastAsia" w:hAnsi="Times New Roman" w:cs="Times New Roman"/>
          <w:sz w:val="24"/>
          <w:szCs w:val="24"/>
          <w:lang w:eastAsia="pl-PL"/>
        </w:rPr>
        <w:t>,</w:t>
      </w:r>
    </w:p>
    <w:p w14:paraId="2FB0E526" w14:textId="77777777" w:rsidR="00B96862" w:rsidRPr="00C41BBF" w:rsidRDefault="00B96862" w:rsidP="00C41BBF">
      <w:pPr>
        <w:widowControl w:val="0"/>
        <w:numPr>
          <w:ilvl w:val="0"/>
          <w:numId w:val="15"/>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osoby prawne i ich jednostki organizacyjne od zaliczek pobieranych od wypłacanych zagranicznych emerytur i rent </w:t>
      </w:r>
      <w:r w:rsidRPr="00C41BBF">
        <w:rPr>
          <w:rFonts w:ascii="Times New Roman" w:eastAsiaTheme="minorEastAsia" w:hAnsi="Times New Roman" w:cs="Times New Roman"/>
          <w:sz w:val="24"/>
          <w:szCs w:val="24"/>
          <w:lang w:eastAsia="pl-PL"/>
        </w:rPr>
        <w:t>(art. 35 ust. 1 pkt 1 ustawy PIT),</w:t>
      </w:r>
    </w:p>
    <w:p w14:paraId="3053A977" w14:textId="77777777" w:rsidR="00B96862" w:rsidRPr="00C41BBF" w:rsidRDefault="00B96862" w:rsidP="00C41BBF">
      <w:pPr>
        <w:widowControl w:val="0"/>
        <w:numPr>
          <w:ilvl w:val="0"/>
          <w:numId w:val="15"/>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uczelnie, federacje podmiotów systemu szkolnictwa wyższego i nauki, instytuty naukowe Polskiej Akademii Nauk, instytuty badawcze, międzynarodowe instytuty naukowe utworzone na podstawie odrębnych ustaw działające na terytorium Rzeczypospolitej Polskiej, zakłady pracy oraz inne jednostki organizacyjne od zaliczek na podatek dochodowy obliczanych od wypłacanych </w:t>
      </w:r>
      <w:r w:rsidRPr="00C41BBF">
        <w:rPr>
          <w:rFonts w:ascii="Times New Roman" w:eastAsiaTheme="minorEastAsia" w:hAnsi="Times New Roman" w:cs="Times New Roman"/>
          <w:color w:val="000000"/>
          <w:sz w:val="24"/>
          <w:szCs w:val="24"/>
          <w:lang w:eastAsia="pl-PL"/>
        </w:rPr>
        <w:lastRenderedPageBreak/>
        <w:t xml:space="preserve">stypendiów </w:t>
      </w:r>
      <w:r w:rsidRPr="00C41BBF">
        <w:rPr>
          <w:rFonts w:ascii="Times New Roman" w:eastAsiaTheme="minorEastAsia" w:hAnsi="Times New Roman" w:cs="Times New Roman"/>
          <w:sz w:val="24"/>
          <w:szCs w:val="24"/>
          <w:lang w:eastAsia="pl-PL"/>
        </w:rPr>
        <w:t>(art. 35 ust. 1 pkt 2 ustawy PIT),</w:t>
      </w:r>
    </w:p>
    <w:p w14:paraId="1498F8B9" w14:textId="77777777" w:rsidR="00B96862" w:rsidRPr="00C41BBF" w:rsidRDefault="00B96862" w:rsidP="00C41BBF">
      <w:pPr>
        <w:widowControl w:val="0"/>
        <w:numPr>
          <w:ilvl w:val="0"/>
          <w:numId w:val="15"/>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areszty śledcze oraz zakłady karne od zaliczek pobieranych od należności za pracę przypadającej tymczasowo aresztowanym oraz skazanym </w:t>
      </w:r>
      <w:r w:rsidRPr="00C41BBF">
        <w:rPr>
          <w:rFonts w:ascii="Times New Roman" w:eastAsiaTheme="minorEastAsia" w:hAnsi="Times New Roman" w:cs="Times New Roman"/>
          <w:sz w:val="24"/>
          <w:szCs w:val="24"/>
          <w:lang w:eastAsia="pl-PL"/>
        </w:rPr>
        <w:t>(art. 35 ust. 1 pkt 4 ustawy PIT),</w:t>
      </w:r>
    </w:p>
    <w:p w14:paraId="4B8A976A" w14:textId="4A42547D" w:rsidR="00B96862" w:rsidRPr="00C41BBF" w:rsidRDefault="00B96862" w:rsidP="00C41BBF">
      <w:pPr>
        <w:widowControl w:val="0"/>
        <w:numPr>
          <w:ilvl w:val="0"/>
          <w:numId w:val="15"/>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centrum integracji społecznej od zaliczek obliczanych od świadczeń integracyjnych i motywacyjnej premii integracyjnej, przyznanych na podstawie ustawy z dnia 13 czerwca 2003 r. o zatrudnieniu socjalnym (Dz. U. z 2020 r. poz. 176) </w:t>
      </w:r>
      <w:r w:rsidR="009B19F8">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art. 35 ust. 1 pkt 7 ustawy PIT)</w:t>
      </w:r>
      <w:r w:rsidRPr="00C41BBF">
        <w:rPr>
          <w:rFonts w:ascii="Times New Roman" w:eastAsiaTheme="minorEastAsia" w:hAnsi="Times New Roman" w:cs="Times New Roman"/>
          <w:color w:val="000000"/>
          <w:sz w:val="24"/>
          <w:szCs w:val="24"/>
          <w:lang w:eastAsia="pl-PL"/>
        </w:rPr>
        <w:t>.</w:t>
      </w:r>
    </w:p>
    <w:p w14:paraId="1EDF9EEB" w14:textId="77777777" w:rsidR="00B96862" w:rsidRPr="00C41BBF" w:rsidRDefault="00B96862" w:rsidP="00C41BBF">
      <w:pPr>
        <w:widowControl w:val="0"/>
        <w:autoSpaceDE w:val="0"/>
        <w:autoSpaceDN w:val="0"/>
        <w:adjustRightInd w:val="0"/>
        <w:spacing w:before="120" w:after="0" w:line="360" w:lineRule="auto"/>
        <w:ind w:left="714"/>
        <w:jc w:val="both"/>
        <w:rPr>
          <w:rFonts w:ascii="Times New Roman" w:eastAsiaTheme="minorEastAsia" w:hAnsi="Times New Roman" w:cs="Times New Roman"/>
          <w:color w:val="000000"/>
          <w:sz w:val="24"/>
          <w:szCs w:val="24"/>
          <w:lang w:eastAsia="pl-PL"/>
        </w:rPr>
      </w:pPr>
    </w:p>
    <w:p w14:paraId="03E055F2" w14:textId="187FEE69" w:rsidR="00B96862" w:rsidRPr="00C41BBF" w:rsidRDefault="00B96862" w:rsidP="00C41BBF">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Przy czym zasadą jest, że zmniejszenie może stosować tylko jeden płatnik. Oznacza to, że w przypadku kilku stosunków pracy podatnik może wskazać do stosowania zmniejszenia tylko jednego płatnika. Jednocześnie istnieją sytuacje, gdy kwota zmniejszająca podatek (w tym jej 1/12) nie jest stosowana przy obliczaniu zaliczek przez podatników, którzy uzyskują przychody z działalności wykonywanej osobiście (np. z umów zlecenia i o dzieło, czy z kontraktów menadżerskich). Oznacza to, że jeżeli uzyskują w trakcie roku podatkowego przychody z tych tytułów</w:t>
      </w:r>
      <w:r w:rsidR="000E5D9A">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to z kwoty wolnej korzystają dopiero przy składaniu rocznego zeznania podatkowego. </w:t>
      </w:r>
    </w:p>
    <w:p w14:paraId="504DDDB6" w14:textId="77777777" w:rsidR="00B96862" w:rsidRPr="00C41BBF" w:rsidRDefault="00B96862" w:rsidP="00C41BBF">
      <w:pPr>
        <w:widowControl w:val="0"/>
        <w:autoSpaceDE w:val="0"/>
        <w:autoSpaceDN w:val="0"/>
        <w:adjustRightInd w:val="0"/>
        <w:spacing w:after="0" w:line="360" w:lineRule="auto"/>
        <w:rPr>
          <w:rFonts w:ascii="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Zatem w obecnym stanie prawnym:</w:t>
      </w:r>
    </w:p>
    <w:p w14:paraId="563F5CD1" w14:textId="6DB01593" w:rsidR="00B96862" w:rsidRPr="00C41BBF" w:rsidRDefault="00B96862" w:rsidP="00C41BBF">
      <w:pPr>
        <w:widowControl w:val="0"/>
        <w:numPr>
          <w:ilvl w:val="0"/>
          <w:numId w:val="15"/>
        </w:numPr>
        <w:autoSpaceDE w:val="0"/>
        <w:autoSpaceDN w:val="0"/>
        <w:adjustRightInd w:val="0"/>
        <w:spacing w:after="0" w:line="360" w:lineRule="auto"/>
        <w:contextualSpacing/>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płatnicy z urzędu czy na wniosek stosują całą 1/12 kwoty zmniejszającej podatek, oznacza to, że w przypadku kilku stosunków pracy podatnik może wskazać do stosowania zmniejszenia tylko jednego płatnika,</w:t>
      </w:r>
    </w:p>
    <w:p w14:paraId="57D8A5A0" w14:textId="1738A443" w:rsidR="00B96862" w:rsidRPr="00C41BBF" w:rsidRDefault="00B96862" w:rsidP="00C41BBF">
      <w:pPr>
        <w:widowControl w:val="0"/>
        <w:numPr>
          <w:ilvl w:val="0"/>
          <w:numId w:val="15"/>
        </w:numPr>
        <w:autoSpaceDE w:val="0"/>
        <w:autoSpaceDN w:val="0"/>
        <w:adjustRightInd w:val="0"/>
        <w:spacing w:after="0" w:line="360" w:lineRule="auto"/>
        <w:contextualSpacing/>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podatnicy uzyskujący przychody z działalności wykonywanej osobiście (np. z umów zlecenia i o dzieło czy z kontraktów menadżerskich) i z praw majątkowych nie mają prawa do stosowania przy poborze zaliczki na podatek kwoty wolnej. Oznacza to, że jeżeli uzyskują w trakcie roku podatkowego przychody z tych tytułów to z kwoty wolnej korzystają dopiero przy składaniu rocznego zeznania podatkowego. </w:t>
      </w:r>
    </w:p>
    <w:p w14:paraId="2D56D3F3" w14:textId="77777777" w:rsidR="00B96862" w:rsidRPr="00C41BBF" w:rsidRDefault="00B96862" w:rsidP="00C41BBF">
      <w:pPr>
        <w:widowControl w:val="0"/>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eastAsiaTheme="minorEastAsia" w:hAnsi="Times New Roman" w:cs="Times New Roman"/>
          <w:sz w:val="24"/>
          <w:szCs w:val="24"/>
          <w:lang w:eastAsia="pl-PL"/>
        </w:rPr>
        <w:t>Zaproponowano zasadnicze zmiany w zakresie uwzględniania przez płatników 1/12 kwoty zmniejszającej podatek –</w:t>
      </w:r>
      <w:r w:rsidRPr="00C41BBF">
        <w:rPr>
          <w:rFonts w:ascii="Times New Roman" w:hAnsi="Times New Roman" w:cs="Times New Roman"/>
          <w:sz w:val="24"/>
          <w:szCs w:val="24"/>
        </w:rPr>
        <w:t xml:space="preserve"> dodany art. 31b do ustawy PIT.</w:t>
      </w:r>
    </w:p>
    <w:p w14:paraId="770DEF89"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Podatnik będzie mógł swobodniej decydować o zastosowaniu kwoty wolnej przez </w:t>
      </w:r>
      <w:r w:rsidRPr="00C41BBF">
        <w:rPr>
          <w:rFonts w:ascii="Times New Roman" w:eastAsiaTheme="minorEastAsia" w:hAnsi="Times New Roman" w:cs="Times New Roman"/>
          <w:sz w:val="24"/>
          <w:szCs w:val="24"/>
          <w:lang w:eastAsia="pl-PL"/>
        </w:rPr>
        <w:lastRenderedPageBreak/>
        <w:t>płatnika.</w:t>
      </w:r>
    </w:p>
    <w:p w14:paraId="6CAB47F0"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 pierwsze, zamiast jednego płatnika będzie mógł wskazać do trzech płatników, którzy mogą zastosować kwotę zmniejszającą podatek. Zmiana ta jest korzystna dla wieloetatowców, którzy do tej pory mogli wskazać tylko jednego pracodawcę do stosowania zmniejszenia. Należy podkreślić, że nie oznacza to, że każdy ze wskazanych płatników będzie stosował 1/12 kwoty zmniejszającej podatek. Takie rozwiązanie byłoby nieuzasadnione i powodowało konieczność dopłaty przez podatnika w zeznaniu podatkowym (kwota wolna jest bowiem jedna i dotyczy wszystkich łącznych dochodów podatnika, a nie oddzielna dla każdego źródła zarobkowania).</w:t>
      </w:r>
    </w:p>
    <w:p w14:paraId="01F3B50F" w14:textId="51FC56EC" w:rsidR="00B96862" w:rsidRPr="00C41BBF" w:rsidRDefault="00B96862" w:rsidP="00C41BBF">
      <w:pPr>
        <w:pStyle w:val="ZUSTzmustartykuempunktem"/>
        <w:spacing w:before="120"/>
        <w:ind w:left="0" w:firstLine="0"/>
        <w:rPr>
          <w:rFonts w:ascii="Times New Roman" w:hAnsi="Times New Roman" w:cs="Times New Roman"/>
          <w:szCs w:val="24"/>
        </w:rPr>
      </w:pPr>
      <w:r w:rsidRPr="00C41BBF">
        <w:rPr>
          <w:rFonts w:ascii="Times New Roman" w:hAnsi="Times New Roman" w:cs="Times New Roman"/>
          <w:szCs w:val="24"/>
        </w:rPr>
        <w:t>Generalną zasadą będzie, że w przypadku uzyskiwania w danym miesiącu przychodów od więcej niż jednego płatnika, podatnik będzie mógł złożyć oświadczenie o stosowanie pomniejszenia, jeżeli:</w:t>
      </w:r>
    </w:p>
    <w:p w14:paraId="7D759F17" w14:textId="77777777" w:rsidR="00B96862" w:rsidRPr="00C41BBF" w:rsidRDefault="00B96862" w:rsidP="00C41BBF">
      <w:pPr>
        <w:pStyle w:val="ZPKTzmpktartykuempunktem"/>
        <w:numPr>
          <w:ilvl w:val="0"/>
          <w:numId w:val="16"/>
        </w:numPr>
        <w:spacing w:before="120"/>
        <w:rPr>
          <w:rFonts w:ascii="Times New Roman" w:hAnsi="Times New Roman" w:cs="Times New Roman"/>
          <w:szCs w:val="24"/>
        </w:rPr>
      </w:pPr>
      <w:r w:rsidRPr="00C41BBF">
        <w:rPr>
          <w:rFonts w:ascii="Times New Roman" w:hAnsi="Times New Roman" w:cs="Times New Roman"/>
          <w:szCs w:val="24"/>
        </w:rPr>
        <w:t>łączna kwota pomniejszenia stosowana przez wszystkich płatników w tym miesiącu nie przekracza kwoty stanowiącej 1/12 kwoty zmniejszającej podatek oraz</w:t>
      </w:r>
    </w:p>
    <w:p w14:paraId="246540BA" w14:textId="77777777" w:rsidR="00B96862" w:rsidRPr="00C41BBF" w:rsidRDefault="00B96862" w:rsidP="00C41BBF">
      <w:pPr>
        <w:pStyle w:val="ZPKTzmpktartykuempunktem"/>
        <w:numPr>
          <w:ilvl w:val="0"/>
          <w:numId w:val="16"/>
        </w:numPr>
        <w:spacing w:before="120"/>
        <w:rPr>
          <w:rFonts w:ascii="Times New Roman" w:hAnsi="Times New Roman" w:cs="Times New Roman"/>
          <w:szCs w:val="24"/>
        </w:rPr>
      </w:pPr>
      <w:r w:rsidRPr="00C41BBF">
        <w:rPr>
          <w:rFonts w:ascii="Times New Roman" w:hAnsi="Times New Roman" w:cs="Times New Roman"/>
          <w:szCs w:val="24"/>
        </w:rPr>
        <w:t>w roku podatkowym podatnik za pośrednictwem płatnika nie skorzystał w pełnej wysokości z pomniejszenia kwoty zmniejszającej podatek określonej w pierwszym przedziale skali podatkowej, w tym również gdy złożył wniosek o niepobieranie zaliczek w danym roku podatkowym, o którym mowa w dodawanym art. 31c.</w:t>
      </w:r>
    </w:p>
    <w:p w14:paraId="5B70E46E" w14:textId="5FFF1313"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Proponujemy</w:t>
      </w:r>
      <w:r w:rsidR="000E5D9A">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aby podatnik, mając na uwadze wybór najlepszego dla siebie rozwiązania, mógł „dzielić” 1/12 kwoty zmniejszającej podatek maksymalnie na trzy kwoty i upoważnić w związku z tym do jej stosowania maksymalnie trzech płatników.</w:t>
      </w:r>
    </w:p>
    <w:p w14:paraId="14F82708"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Oznacza to, że będzie mógł wskazać w składanym płatnikowi oświadczeniu w tej sprawie, że ten płatnik jest uprawniony do pomniejszenia zaliczki o kwotę stanowiącą:</w:t>
      </w:r>
    </w:p>
    <w:p w14:paraId="0EFE13EF" w14:textId="77777777" w:rsidR="00B96862" w:rsidRPr="00C41BBF" w:rsidRDefault="00B96862" w:rsidP="00C41BBF">
      <w:pPr>
        <w:spacing w:after="0" w:line="360" w:lineRule="auto"/>
        <w:ind w:left="1020" w:hanging="510"/>
        <w:jc w:val="both"/>
        <w:rPr>
          <w:rFonts w:ascii="Times New Roman" w:eastAsiaTheme="minorEastAsia" w:hAnsi="Times New Roman" w:cs="Times New Roman"/>
          <w:bCs/>
          <w:sz w:val="24"/>
          <w:szCs w:val="24"/>
          <w:lang w:eastAsia="pl-PL"/>
        </w:rPr>
      </w:pPr>
      <w:r w:rsidRPr="00C41BBF">
        <w:rPr>
          <w:rFonts w:ascii="Times New Roman" w:eastAsiaTheme="minorEastAsia" w:hAnsi="Times New Roman" w:cs="Times New Roman"/>
          <w:bCs/>
          <w:sz w:val="24"/>
          <w:szCs w:val="24"/>
          <w:lang w:eastAsia="pl-PL"/>
        </w:rPr>
        <w:t>1)</w:t>
      </w:r>
      <w:r w:rsidRPr="00C41BBF">
        <w:rPr>
          <w:rFonts w:ascii="Times New Roman" w:eastAsiaTheme="minorEastAsia" w:hAnsi="Times New Roman" w:cs="Times New Roman"/>
          <w:bCs/>
          <w:sz w:val="24"/>
          <w:szCs w:val="24"/>
          <w:lang w:eastAsia="pl-PL"/>
        </w:rPr>
        <w:tab/>
        <w:t xml:space="preserve">1/12 kwoty zmniejszającej podatek (po zmianie o 300 zł), </w:t>
      </w:r>
    </w:p>
    <w:p w14:paraId="444F69E0" w14:textId="77777777" w:rsidR="00B96862" w:rsidRPr="00C41BBF" w:rsidRDefault="00B96862" w:rsidP="00C41BBF">
      <w:pPr>
        <w:spacing w:after="0" w:line="360" w:lineRule="auto"/>
        <w:ind w:left="1020" w:hanging="510"/>
        <w:jc w:val="both"/>
        <w:rPr>
          <w:rFonts w:ascii="Times New Roman" w:eastAsiaTheme="minorEastAsia" w:hAnsi="Times New Roman" w:cs="Times New Roman"/>
          <w:bCs/>
          <w:sz w:val="24"/>
          <w:szCs w:val="24"/>
          <w:lang w:eastAsia="pl-PL"/>
        </w:rPr>
      </w:pPr>
      <w:r w:rsidRPr="00C41BBF">
        <w:rPr>
          <w:rFonts w:ascii="Times New Roman" w:eastAsiaTheme="minorEastAsia" w:hAnsi="Times New Roman" w:cs="Times New Roman"/>
          <w:bCs/>
          <w:sz w:val="24"/>
          <w:szCs w:val="24"/>
          <w:lang w:eastAsia="pl-PL"/>
        </w:rPr>
        <w:t>2)</w:t>
      </w:r>
      <w:r w:rsidRPr="00C41BBF">
        <w:rPr>
          <w:rFonts w:ascii="Times New Roman" w:eastAsiaTheme="minorEastAsia" w:hAnsi="Times New Roman" w:cs="Times New Roman"/>
          <w:bCs/>
          <w:sz w:val="24"/>
          <w:szCs w:val="24"/>
          <w:lang w:eastAsia="pl-PL"/>
        </w:rPr>
        <w:tab/>
        <w:t xml:space="preserve">1/24 kwoty zmniejszającej podatek (po zmianie o 150 zł), </w:t>
      </w:r>
    </w:p>
    <w:p w14:paraId="359D9D1A" w14:textId="605E7B16" w:rsidR="00B96862" w:rsidRPr="00C41BBF" w:rsidRDefault="00B96862" w:rsidP="00C41BBF">
      <w:pPr>
        <w:spacing w:after="0" w:line="360" w:lineRule="auto"/>
        <w:ind w:left="1020" w:hanging="510"/>
        <w:jc w:val="both"/>
        <w:rPr>
          <w:rFonts w:ascii="Times New Roman" w:eastAsiaTheme="minorEastAsia" w:hAnsi="Times New Roman" w:cs="Times New Roman"/>
          <w:bCs/>
          <w:sz w:val="24"/>
          <w:szCs w:val="24"/>
          <w:lang w:eastAsia="pl-PL"/>
        </w:rPr>
      </w:pPr>
      <w:r w:rsidRPr="00C41BBF">
        <w:rPr>
          <w:rFonts w:ascii="Times New Roman" w:eastAsiaTheme="minorEastAsia" w:hAnsi="Times New Roman" w:cs="Times New Roman"/>
          <w:bCs/>
          <w:sz w:val="24"/>
          <w:szCs w:val="24"/>
          <w:lang w:eastAsia="pl-PL"/>
        </w:rPr>
        <w:t>3)</w:t>
      </w:r>
      <w:r w:rsidRPr="00C41BBF">
        <w:rPr>
          <w:rFonts w:ascii="Times New Roman" w:eastAsiaTheme="minorEastAsia" w:hAnsi="Times New Roman" w:cs="Times New Roman"/>
          <w:bCs/>
          <w:sz w:val="24"/>
          <w:szCs w:val="24"/>
          <w:lang w:eastAsia="pl-PL"/>
        </w:rPr>
        <w:tab/>
        <w:t>1/36 kwoty zmniejszającej podatek (po zmianie o</w:t>
      </w:r>
      <w:r w:rsidR="00F110B7" w:rsidRPr="00C41BBF">
        <w:rPr>
          <w:rFonts w:ascii="Times New Roman" w:eastAsiaTheme="minorEastAsia" w:hAnsi="Times New Roman" w:cs="Times New Roman"/>
          <w:bCs/>
          <w:sz w:val="24"/>
          <w:szCs w:val="24"/>
          <w:lang w:eastAsia="pl-PL"/>
        </w:rPr>
        <w:t xml:space="preserve"> </w:t>
      </w:r>
      <w:r w:rsidRPr="00C41BBF">
        <w:rPr>
          <w:rFonts w:ascii="Times New Roman" w:eastAsiaTheme="minorEastAsia" w:hAnsi="Times New Roman" w:cs="Times New Roman"/>
          <w:bCs/>
          <w:sz w:val="24"/>
          <w:szCs w:val="24"/>
          <w:lang w:eastAsia="pl-PL"/>
        </w:rPr>
        <w:t xml:space="preserve">100 zł). </w:t>
      </w:r>
    </w:p>
    <w:p w14:paraId="2386E7A1" w14:textId="0D9E0461"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Kolejną zasadniczą zmianą w zakresie uwzględniania przez płatników 1/12 kwoty zmniejszającej podatek jest umożliwienie jej stosowania wszystkim płatnikom, po tym, jak otrzymają oni w tej sprawie oświadczenie od podatnika.</w:t>
      </w:r>
    </w:p>
    <w:p w14:paraId="0970BFF1" w14:textId="4B9D7F08"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Zatem kwotę tę będą mogli stosować również zleceniodawcy i pozostali płatnicy wypłacający świadczenia z działalności wykonywanej osobiście, o której mowa w art. 13 ustawy PIT</w:t>
      </w:r>
      <w:r w:rsidR="000E5D9A">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oraz płatnicy pobierający zaliczki od dochodów z praw majątkowych. Do stosowania omawianego zmniejszenia będą bowiem upoważnieni wszyscy płatnicy, o których mowa w art. 41 ust. 1 ustawy PIT, oraz dodatkowo płatnicy, o których mowa w art. 35 ust. 1 pkt 9 ustawy PIT. </w:t>
      </w:r>
    </w:p>
    <w:p w14:paraId="458039B9" w14:textId="3C7F3FC9"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Zatem do zmniejszania zaliczki na podatek maksymalnie o 1/12 kwoty zmniejszającej podatek</w:t>
      </w:r>
      <w:r w:rsidR="000E5D9A">
        <w:rPr>
          <w:rFonts w:ascii="Times New Roman" w:eastAsiaTheme="minorEastAsia" w:hAnsi="Times New Roman" w:cs="Times New Roman"/>
          <w:sz w:val="24"/>
          <w:szCs w:val="24"/>
          <w:lang w:eastAsia="pl-PL"/>
        </w:rPr>
        <w:t xml:space="preserve"> </w:t>
      </w:r>
      <w:r w:rsidR="000E5D9A" w:rsidRPr="00C41BB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oprócz wymienionych na wstępie tej części uzasadnienia płatników – </w:t>
      </w:r>
      <w:r w:rsidR="000E5D9A">
        <w:rPr>
          <w:rFonts w:ascii="Times New Roman" w:eastAsiaTheme="minorEastAsia" w:hAnsi="Times New Roman" w:cs="Times New Roman"/>
          <w:sz w:val="24"/>
          <w:szCs w:val="24"/>
          <w:lang w:eastAsia="pl-PL"/>
        </w:rPr>
        <w:t xml:space="preserve">uprawnione </w:t>
      </w:r>
      <w:r w:rsidRPr="00C41BBF">
        <w:rPr>
          <w:rFonts w:ascii="Times New Roman" w:eastAsiaTheme="minorEastAsia" w:hAnsi="Times New Roman" w:cs="Times New Roman"/>
          <w:sz w:val="24"/>
          <w:szCs w:val="24"/>
          <w:lang w:eastAsia="pl-PL"/>
        </w:rPr>
        <w:t>będą:</w:t>
      </w:r>
    </w:p>
    <w:p w14:paraId="63333862" w14:textId="78BEDCC1" w:rsidR="00B96862" w:rsidRPr="00C41BBF" w:rsidRDefault="00B96862" w:rsidP="00C41BBF">
      <w:pPr>
        <w:widowControl w:val="0"/>
        <w:numPr>
          <w:ilvl w:val="0"/>
          <w:numId w:val="16"/>
        </w:numPr>
        <w:autoSpaceDE w:val="0"/>
        <w:autoSpaceDN w:val="0"/>
        <w:adjustRightInd w:val="0"/>
        <w:spacing w:before="120" w:after="0" w:line="360" w:lineRule="auto"/>
        <w:ind w:left="714" w:hanging="357"/>
        <w:contextualSpacing/>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osoby fizyczne prowadzące działalność gospodarczą, osoby prawne i ich jednostki organizacyjne oraz jednostki organizacyjne niemające osobowości prawnej, które dokonują świadczeń z tytułu działalności, o której mowa w art. 13 pkt 2 i 4</w:t>
      </w:r>
      <w:r w:rsidR="000E5D9A">
        <w:rPr>
          <w:rFonts w:ascii="Times New Roman" w:eastAsiaTheme="minorEastAsia" w:hAnsi="Times New Roman" w:cs="Times New Roman"/>
          <w:sz w:val="24"/>
          <w:szCs w:val="24"/>
        </w:rPr>
        <w:t>–</w:t>
      </w:r>
      <w:r w:rsidRPr="00C41BBF">
        <w:rPr>
          <w:rFonts w:ascii="Times New Roman" w:eastAsiaTheme="minorEastAsia" w:hAnsi="Times New Roman" w:cs="Times New Roman"/>
          <w:sz w:val="24"/>
          <w:szCs w:val="24"/>
          <w:lang w:eastAsia="pl-PL"/>
        </w:rPr>
        <w:t>9 ustawy PIT (m.in. przychody z umów zlecenia i o dzieło, przychody otrzymywane przez osoby wykonujące czynności związane z pełnieniem obowiązków społecznych i obywatelskich, przychody z umów o zarządzenie przedsiębiorstwem, czy z kontraktów menadżerskich) oraz art. 18 ustawy PIT (przychody z praw majątkowych),</w:t>
      </w:r>
    </w:p>
    <w:p w14:paraId="3F070110" w14:textId="4D27D70B" w:rsidR="00B96862" w:rsidRPr="00C41BBF" w:rsidRDefault="00B96862" w:rsidP="00C41BBF">
      <w:pPr>
        <w:widowControl w:val="0"/>
        <w:numPr>
          <w:ilvl w:val="0"/>
          <w:numId w:val="16"/>
        </w:numPr>
        <w:autoSpaceDE w:val="0"/>
        <w:autoSpaceDN w:val="0"/>
        <w:adjustRightInd w:val="0"/>
        <w:spacing w:before="120" w:after="0" w:line="360" w:lineRule="auto"/>
        <w:ind w:left="714" w:hanging="357"/>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podmioty przyjmujące na praktykę absolwencką lub staż uczniowski przy poborze zaliczek na podatek od świadczeń pieniężnych wypłacanych z tytułu odbywania praktyk absolwenckich, o których mowa w ustawie z dnia 17 lipca 2009 r. o praktykach absolwenckich (Dz. U. z 2018</w:t>
      </w:r>
      <w:r w:rsidR="00D4293D" w:rsidRPr="00C41BBF">
        <w:rPr>
          <w:rFonts w:ascii="Times New Roman" w:eastAsiaTheme="minorEastAsia" w:hAnsi="Times New Roman" w:cs="Times New Roman"/>
          <w:color w:val="000000"/>
          <w:sz w:val="24"/>
          <w:szCs w:val="24"/>
          <w:lang w:eastAsia="pl-PL"/>
        </w:rPr>
        <w:t xml:space="preserve"> r.</w:t>
      </w:r>
      <w:r w:rsidRPr="00C41BBF">
        <w:rPr>
          <w:rFonts w:ascii="Times New Roman" w:eastAsiaTheme="minorEastAsia" w:hAnsi="Times New Roman" w:cs="Times New Roman"/>
          <w:color w:val="000000"/>
          <w:sz w:val="24"/>
          <w:szCs w:val="24"/>
          <w:lang w:eastAsia="pl-PL"/>
        </w:rPr>
        <w:t xml:space="preserve"> poz. 1244) lub odbywania stażu uczniowskiego, o którym mowa w art. 121a ustawy z dnia 14 grudnia 2016 r. </w:t>
      </w:r>
      <w:r w:rsidR="000E5D9A">
        <w:rPr>
          <w:rFonts w:ascii="Times New Roman" w:eastAsiaTheme="minorEastAsia" w:hAnsi="Times New Roman" w:cs="Times New Roman"/>
          <w:sz w:val="24"/>
          <w:szCs w:val="24"/>
        </w:rPr>
        <w:t>–</w:t>
      </w:r>
      <w:r w:rsidRPr="00C41BBF">
        <w:rPr>
          <w:rFonts w:ascii="Times New Roman" w:eastAsiaTheme="minorEastAsia" w:hAnsi="Times New Roman" w:cs="Times New Roman"/>
          <w:color w:val="000000"/>
          <w:sz w:val="24"/>
          <w:szCs w:val="24"/>
          <w:lang w:eastAsia="pl-PL"/>
        </w:rPr>
        <w:t xml:space="preserve"> Prawo oświatowe (Dz. U. z 2021</w:t>
      </w:r>
      <w:r w:rsidR="009D1102">
        <w:rPr>
          <w:rFonts w:ascii="Times New Roman" w:eastAsiaTheme="minorEastAsia" w:hAnsi="Times New Roman" w:cs="Times New Roman"/>
          <w:color w:val="000000"/>
          <w:sz w:val="24"/>
          <w:szCs w:val="24"/>
          <w:lang w:eastAsia="pl-PL"/>
        </w:rPr>
        <w:t xml:space="preserve"> </w:t>
      </w:r>
      <w:r w:rsidRPr="00C41BBF">
        <w:rPr>
          <w:rFonts w:ascii="Times New Roman" w:eastAsiaTheme="minorEastAsia" w:hAnsi="Times New Roman" w:cs="Times New Roman"/>
          <w:color w:val="000000"/>
          <w:sz w:val="24"/>
          <w:szCs w:val="24"/>
          <w:lang w:eastAsia="pl-PL"/>
        </w:rPr>
        <w:t xml:space="preserve">r. poz. 1082) – obecnie </w:t>
      </w:r>
      <w:r w:rsidRPr="00C41BBF">
        <w:rPr>
          <w:rFonts w:ascii="Times New Roman" w:eastAsiaTheme="minorEastAsia" w:hAnsi="Times New Roman" w:cs="Times New Roman"/>
          <w:sz w:val="24"/>
          <w:szCs w:val="24"/>
          <w:lang w:eastAsia="pl-PL"/>
        </w:rPr>
        <w:t>art. 35 ust. 1 pkt 8 ustawy PIT.</w:t>
      </w:r>
    </w:p>
    <w:p w14:paraId="4569D8AB" w14:textId="119DC588" w:rsidR="00B96862" w:rsidRPr="00C41BBF" w:rsidRDefault="00A11689"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Aby dać czas płatnikom na dostosowanie swoich systemów informatycznych do tych nowych rozwiązań, projektowana ustawa przewiduje, że zmiany te zaczną obowiązywać od 1 stycznia 2023 r. </w:t>
      </w:r>
    </w:p>
    <w:p w14:paraId="08A9F137" w14:textId="77777777" w:rsidR="00B96862" w:rsidRPr="00C41BBF" w:rsidRDefault="00B96862" w:rsidP="00C41BBF">
      <w:pPr>
        <w:pStyle w:val="divparagraph"/>
        <w:spacing w:before="120" w:line="360" w:lineRule="auto"/>
        <w:jc w:val="both"/>
        <w:rPr>
          <w:rFonts w:ascii="Times New Roman" w:hAnsi="Times New Roman" w:cs="Times New Roman"/>
          <w:sz w:val="24"/>
          <w:szCs w:val="24"/>
        </w:rPr>
      </w:pPr>
      <w:r w:rsidRPr="00C41BBF">
        <w:rPr>
          <w:rFonts w:ascii="Times New Roman" w:hAnsi="Times New Roman" w:cs="Times New Roman"/>
          <w:sz w:val="24"/>
          <w:szCs w:val="24"/>
        </w:rPr>
        <w:lastRenderedPageBreak/>
        <w:t>Należy dodać, że osoby wpłacające samodzielnie zaliczki na podatek dochodowy, o których mowa w art. 44 ust. 1a ustawy PIT, będą również miały prawo do zmniejszenia zaliczki na podatek o kwotę stanowiącą nie więcej niż 1/12 kwoty zmniejszającej podatek (dodawany ust. 3ab w art. 44 ustawy PIT).</w:t>
      </w:r>
    </w:p>
    <w:p w14:paraId="7A977D54" w14:textId="77777777" w:rsidR="00B96862" w:rsidRPr="00C41BBF" w:rsidRDefault="00B96862" w:rsidP="00C41BBF">
      <w:pPr>
        <w:pStyle w:val="divparagraph"/>
        <w:spacing w:before="120" w:line="360" w:lineRule="auto"/>
        <w:jc w:val="both"/>
        <w:rPr>
          <w:rFonts w:ascii="Times New Roman" w:hAnsi="Times New Roman" w:cs="Times New Roman"/>
          <w:sz w:val="24"/>
          <w:szCs w:val="24"/>
        </w:rPr>
      </w:pPr>
      <w:r w:rsidRPr="00C41BBF">
        <w:rPr>
          <w:rFonts w:ascii="Times New Roman" w:hAnsi="Times New Roman" w:cs="Times New Roman"/>
          <w:sz w:val="24"/>
          <w:szCs w:val="24"/>
        </w:rPr>
        <w:t>Jest to nowe rozwiązanie umożliwiające również i tym podatnikom kształtowanie swojej sytuacji prawnopodatkowej w trakcie roku. Zmiana ta będzie dotyczyła zatem podatników osiągających dochody bez pośrednictwa płatników:</w:t>
      </w:r>
    </w:p>
    <w:p w14:paraId="20B0021E" w14:textId="77777777" w:rsidR="00B96862" w:rsidRPr="00C41BBF" w:rsidRDefault="00B96862" w:rsidP="00C41BBF">
      <w:pPr>
        <w:pStyle w:val="Akapitzlist"/>
        <w:widowControl w:val="0"/>
        <w:numPr>
          <w:ilvl w:val="0"/>
          <w:numId w:val="24"/>
        </w:numPr>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ze stosunku pracy z zagranicy,</w:t>
      </w:r>
    </w:p>
    <w:p w14:paraId="1B4E0374" w14:textId="77777777" w:rsidR="00B96862" w:rsidRPr="00C41BBF" w:rsidRDefault="00B96862" w:rsidP="00C41BBF">
      <w:pPr>
        <w:pStyle w:val="Akapitzlist"/>
        <w:widowControl w:val="0"/>
        <w:numPr>
          <w:ilvl w:val="0"/>
          <w:numId w:val="24"/>
        </w:numPr>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z emerytur i rent z zagranicy, </w:t>
      </w:r>
    </w:p>
    <w:p w14:paraId="1AE748B8" w14:textId="77777777" w:rsidR="00B96862" w:rsidRPr="00C41BBF" w:rsidRDefault="00B96862" w:rsidP="00C41BBF">
      <w:pPr>
        <w:pStyle w:val="Akapitzlist"/>
        <w:widowControl w:val="0"/>
        <w:numPr>
          <w:ilvl w:val="0"/>
          <w:numId w:val="24"/>
        </w:numPr>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z działalności wykonywanej osobiście z tytułów określonych w art. 13 pkt 2, 4 i 6-9 ustawy PIT. </w:t>
      </w:r>
    </w:p>
    <w:p w14:paraId="35DD6A93"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Powyższe zasady będą mogły być stosowane także w przypadku podatników, którzy oprócz wymienionych wyżej przychodów, osiągają również przychody z działalności gospodarczej lub działów specjalnych produkcji rolnej i obowiązanych do samodzielnego obliczania zaliczek na ogólnych zasadach według skali podatkowej. Prowadzenie działalności związane jest jednak z odpowiednią wiedzą i doświadczeniem, zatem ta grupa podatników, godząc się na stosowanie kwoty wolnej przez płatnika, powinna mieć świadomość ewentualnej dopłaty podatku po zakończeniu roku.</w:t>
      </w:r>
    </w:p>
    <w:p w14:paraId="0A4E57EE"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p>
    <w:p w14:paraId="7A9006B8"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b/>
          <w:color w:val="0070C0"/>
          <w:sz w:val="24"/>
          <w:szCs w:val="24"/>
          <w:lang w:eastAsia="pl-PL"/>
        </w:rPr>
        <w:t>Zwolnienie płatnika z obowiązku poboru zaliczki na podatek – art. 31c</w:t>
      </w:r>
      <w:r w:rsidRPr="00C41BBF">
        <w:rPr>
          <w:rFonts w:ascii="Times New Roman" w:eastAsiaTheme="minorEastAsia" w:hAnsi="Times New Roman" w:cs="Times New Roman"/>
          <w:color w:val="0070C0"/>
          <w:sz w:val="24"/>
          <w:szCs w:val="24"/>
          <w:lang w:eastAsia="pl-PL"/>
        </w:rPr>
        <w:t xml:space="preserve"> </w:t>
      </w:r>
      <w:r w:rsidRPr="00C41BBF">
        <w:rPr>
          <w:rFonts w:ascii="Times New Roman" w:eastAsiaTheme="minorEastAsia" w:hAnsi="Times New Roman" w:cs="Times New Roman"/>
          <w:b/>
          <w:color w:val="0070C0"/>
          <w:sz w:val="24"/>
          <w:szCs w:val="24"/>
          <w:lang w:eastAsia="pl-PL"/>
        </w:rPr>
        <w:t>ustawy PIT</w:t>
      </w:r>
    </w:p>
    <w:p w14:paraId="025EC911" w14:textId="2A77CD28"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Projektowana ustawa zawiera regulacje, na mocy których </w:t>
      </w:r>
      <w:r w:rsidR="000C41B3" w:rsidRPr="00C41BBF">
        <w:rPr>
          <w:rFonts w:ascii="Times New Roman" w:eastAsiaTheme="minorEastAsia" w:hAnsi="Times New Roman" w:cs="Times New Roman"/>
          <w:sz w:val="24"/>
          <w:szCs w:val="24"/>
          <w:lang w:eastAsia="pl-PL"/>
        </w:rPr>
        <w:t>podatnik</w:t>
      </w:r>
      <w:r w:rsidRPr="00C41BBF">
        <w:rPr>
          <w:rFonts w:ascii="Times New Roman" w:eastAsiaTheme="minorEastAsia" w:hAnsi="Times New Roman" w:cs="Times New Roman"/>
          <w:sz w:val="24"/>
          <w:szCs w:val="24"/>
          <w:lang w:eastAsia="pl-PL"/>
        </w:rPr>
        <w:t xml:space="preserve"> będzie mógł upoważnić swojego płatnika, poprzez sporządzony na piśmie wniosek, do niepobierania w danym roku podatkowym zaliczek, o których mowa w art. 31, art. 33–35 i art. 41 ust. 1 ustawy PIT. Rozwiązanie to dotyczy zatem co do zasady wszystkich płatników podatku dochodowego. </w:t>
      </w:r>
    </w:p>
    <w:p w14:paraId="09544D59" w14:textId="3CE9B0B7" w:rsidR="00B96862" w:rsidRPr="00C41BBF" w:rsidRDefault="00B96862" w:rsidP="00C41BBF">
      <w:pPr>
        <w:suppressAutoHyphens/>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Należy wyjaśnić, że podatnik będzie mógł złożyć taki wniosek</w:t>
      </w:r>
      <w:r w:rsidR="000E5D9A">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jeżeli będzie przewidywał, że uzyskane przez niego dochody podlegające opodatkowaniu na skali podatkowej nie przekroczą w roku podatkowym kwoty 30 000 zł (czyli kwoty wolnej od podatku). </w:t>
      </w:r>
    </w:p>
    <w:p w14:paraId="41A9E2C5" w14:textId="0C718F73" w:rsidR="00B129A4" w:rsidRPr="00C41BBF" w:rsidRDefault="00B129A4" w:rsidP="00C41BBF">
      <w:pPr>
        <w:pStyle w:val="ZARTzmartartykuempunktem"/>
        <w:ind w:left="0" w:firstLine="0"/>
        <w:rPr>
          <w:rFonts w:ascii="Times New Roman" w:hAnsi="Times New Roman" w:cs="Times New Roman"/>
          <w:szCs w:val="24"/>
        </w:rPr>
      </w:pPr>
      <w:r w:rsidRPr="00C41BBF">
        <w:rPr>
          <w:rFonts w:ascii="Times New Roman" w:hAnsi="Times New Roman" w:cs="Times New Roman"/>
          <w:szCs w:val="24"/>
        </w:rPr>
        <w:lastRenderedPageBreak/>
        <w:t>W przypadku uzyskania przez podatnika, który złożył taki wniosek dochodów podlegających opodatkowaniu (tj. przekraczających 30 000 zł) płatnik będzie obliczał zaliczki (1) nie stosując już jej pomniejszania, o 1/12 kwoty zmniejszającej podatek (2) – projektowany art. 31c ust. 3 w ustawie PIT.</w:t>
      </w:r>
    </w:p>
    <w:p w14:paraId="532ED14E"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46207EB3" w14:textId="05425C6C"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Przywrócenie preferencji dla osób samotnie wychowujących dzieci – art. 6 ust. 4c-4</w:t>
      </w:r>
      <w:r w:rsidR="004952EC" w:rsidRPr="00C41BBF">
        <w:rPr>
          <w:rFonts w:ascii="Times New Roman" w:eastAsiaTheme="minorEastAsia" w:hAnsi="Times New Roman" w:cs="Times New Roman"/>
          <w:b/>
          <w:color w:val="0070C0"/>
          <w:sz w:val="24"/>
          <w:szCs w:val="24"/>
          <w:lang w:eastAsia="pl-PL"/>
        </w:rPr>
        <w:t>h</w:t>
      </w:r>
      <w:r w:rsidRPr="00C41BBF">
        <w:rPr>
          <w:rFonts w:ascii="Times New Roman" w:eastAsiaTheme="minorEastAsia" w:hAnsi="Times New Roman" w:cs="Times New Roman"/>
          <w:b/>
          <w:color w:val="0070C0"/>
          <w:sz w:val="24"/>
          <w:szCs w:val="24"/>
          <w:lang w:eastAsia="pl-PL"/>
        </w:rPr>
        <w:t xml:space="preserve"> ustawy PIT</w:t>
      </w:r>
    </w:p>
    <w:p w14:paraId="67A9690C" w14:textId="5DE060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color w:val="000000"/>
          <w:sz w:val="24"/>
          <w:szCs w:val="24"/>
        </w:rPr>
        <w:t xml:space="preserve">Ustawa z dnia 29 października 2021 r. </w:t>
      </w:r>
      <w:r w:rsidRPr="00C41BBF">
        <w:rPr>
          <w:rFonts w:ascii="Times New Roman" w:eastAsiaTheme="minorEastAsia" w:hAnsi="Times New Roman" w:cs="Times New Roman"/>
          <w:sz w:val="24"/>
          <w:szCs w:val="24"/>
          <w:lang w:eastAsia="pl-PL"/>
        </w:rPr>
        <w:t>wprowadziła do ustawy PIT tzw. ulgę 1500 zł, która zastąpiła dotychczasowe preferencyjne opodatkowanie dochodów osób samotnie wychowujących dzieci (rodzica, opiekuna prawnego), istniejące niemal od początku obowiązywania ustawy PIT.</w:t>
      </w:r>
    </w:p>
    <w:p w14:paraId="692FF143" w14:textId="7B98E911"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Ulga 1500 zł, jako odliczenie od podatku, w założeniu miała sprawić, że korzystające z niej osoby samotnie wychowujące dzieci nie stracą w porównaniu z dotychczasowym rozwiązaniem. Została bowiem tak skalibrowana, że odpowiadała średniej korzyści z zastosowania preferencyjnego opodatkowania przed wejściem w życie ustawy z 29 października 2021 r.</w:t>
      </w:r>
    </w:p>
    <w:p w14:paraId="5A340F6E" w14:textId="09841F1D" w:rsidR="00191D45"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Preferencyjne opodatkowanie dochodów osoby samotnie wychowującej dzieci</w:t>
      </w:r>
      <w:r w:rsidR="00191D45" w:rsidRPr="00C41BBF">
        <w:rPr>
          <w:rFonts w:ascii="Times New Roman" w:eastAsiaTheme="minorEastAsia" w:hAnsi="Times New Roman" w:cs="Times New Roman"/>
          <w:sz w:val="24"/>
          <w:szCs w:val="24"/>
          <w:lang w:eastAsia="pl-PL"/>
        </w:rPr>
        <w:t xml:space="preserve"> będzie polegało na obliczeniu podatku:</w:t>
      </w:r>
    </w:p>
    <w:p w14:paraId="758C7A62" w14:textId="3CA6565E" w:rsidR="00191D45" w:rsidRPr="00C41BBF" w:rsidRDefault="00B96862" w:rsidP="00C41BBF">
      <w:pPr>
        <w:pStyle w:val="Akapitzlist"/>
        <w:widowControl w:val="0"/>
        <w:numPr>
          <w:ilvl w:val="0"/>
          <w:numId w:val="47"/>
        </w:num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eastAsiaTheme="minorEastAsia" w:hAnsi="Times New Roman" w:cs="Times New Roman"/>
          <w:sz w:val="24"/>
          <w:szCs w:val="24"/>
          <w:lang w:eastAsia="pl-PL"/>
        </w:rPr>
        <w:t xml:space="preserve">w podwójnej wysokości od połowy dochodu </w:t>
      </w:r>
      <w:r w:rsidR="00191D45" w:rsidRPr="00C41BBF">
        <w:rPr>
          <w:rFonts w:ascii="Times New Roman" w:eastAsiaTheme="minorEastAsia" w:hAnsi="Times New Roman" w:cs="Times New Roman"/>
          <w:sz w:val="24"/>
          <w:szCs w:val="24"/>
          <w:lang w:eastAsia="pl-PL"/>
        </w:rPr>
        <w:t xml:space="preserve">tej samotnej </w:t>
      </w:r>
      <w:r w:rsidRPr="00C41BBF">
        <w:rPr>
          <w:rFonts w:ascii="Times New Roman" w:eastAsiaTheme="minorEastAsia" w:hAnsi="Times New Roman" w:cs="Times New Roman"/>
          <w:sz w:val="24"/>
          <w:szCs w:val="24"/>
          <w:lang w:eastAsia="pl-PL"/>
        </w:rPr>
        <w:t>osoby</w:t>
      </w:r>
      <w:r w:rsidR="000E5D9A">
        <w:rPr>
          <w:rFonts w:ascii="Times New Roman" w:eastAsiaTheme="minorEastAsia" w:hAnsi="Times New Roman" w:cs="Times New Roman"/>
          <w:sz w:val="24"/>
          <w:szCs w:val="24"/>
          <w:lang w:eastAsia="pl-PL"/>
        </w:rPr>
        <w:t>,</w:t>
      </w:r>
      <w:r w:rsidR="00191D45" w:rsidRPr="00C41BBF">
        <w:rPr>
          <w:rFonts w:ascii="Times New Roman" w:eastAsiaTheme="minorEastAsia" w:hAnsi="Times New Roman" w:cs="Times New Roman"/>
          <w:sz w:val="24"/>
          <w:szCs w:val="24"/>
          <w:lang w:eastAsia="pl-PL"/>
        </w:rPr>
        <w:t xml:space="preserve"> w przypadku gdy przynajmniej jedno z dzieci, które są wychowywane przez tę osobę, ma orzeczoną niepełnosprawność na podstawie odrębnych przepisów,</w:t>
      </w:r>
    </w:p>
    <w:p w14:paraId="293FE57C" w14:textId="7A6EDE8F" w:rsidR="00191D45" w:rsidRPr="00C41BBF" w:rsidRDefault="00191D45" w:rsidP="00C41BBF">
      <w:pPr>
        <w:pStyle w:val="Akapitzlist"/>
        <w:widowControl w:val="0"/>
        <w:numPr>
          <w:ilvl w:val="0"/>
          <w:numId w:val="47"/>
        </w:num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eastAsiaTheme="minorEastAsia" w:hAnsi="Times New Roman" w:cs="Times New Roman"/>
          <w:sz w:val="24"/>
          <w:szCs w:val="24"/>
          <w:lang w:eastAsia="pl-PL"/>
        </w:rPr>
        <w:t>jako iloczyn 1,5 oraz wysokości podatku obliczonego od dochodów osoby samotnie wychowującej dzieci podzielonych przez 1,5 – w pozostałych przypadkach.</w:t>
      </w:r>
    </w:p>
    <w:p w14:paraId="36E0E213" w14:textId="75727C9F" w:rsidR="000034C8"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Dzięki takiemu sposobowi obliczenia podatku kwota wolna od podatku </w:t>
      </w:r>
      <w:r w:rsidR="004B04E0" w:rsidRPr="00C41BBF">
        <w:rPr>
          <w:rFonts w:ascii="Times New Roman" w:eastAsiaTheme="minorEastAsia" w:hAnsi="Times New Roman" w:cs="Times New Roman"/>
          <w:sz w:val="24"/>
          <w:szCs w:val="24"/>
          <w:lang w:eastAsia="pl-PL"/>
        </w:rPr>
        <w:t xml:space="preserve">będzie </w:t>
      </w:r>
      <w:r w:rsidRPr="00C41BBF">
        <w:rPr>
          <w:rFonts w:ascii="Times New Roman" w:eastAsiaTheme="minorEastAsia" w:hAnsi="Times New Roman" w:cs="Times New Roman"/>
          <w:sz w:val="24"/>
          <w:szCs w:val="24"/>
          <w:lang w:eastAsia="pl-PL"/>
        </w:rPr>
        <w:t>realizowana dwukrotnie, analogicznie jak przy wspólnym opodatkowaniu małżonków</w:t>
      </w:r>
      <w:r w:rsidR="006D2E4A" w:rsidRPr="00C41BBF">
        <w:rPr>
          <w:rFonts w:ascii="Times New Roman" w:eastAsiaTheme="minorEastAsia" w:hAnsi="Times New Roman" w:cs="Times New Roman"/>
          <w:sz w:val="24"/>
          <w:szCs w:val="24"/>
          <w:lang w:eastAsia="pl-PL"/>
        </w:rPr>
        <w:t>,</w:t>
      </w:r>
      <w:r w:rsidR="00191D45" w:rsidRPr="00C41BBF">
        <w:rPr>
          <w:rFonts w:ascii="Times New Roman" w:eastAsiaTheme="minorEastAsia" w:hAnsi="Times New Roman" w:cs="Times New Roman"/>
          <w:sz w:val="24"/>
          <w:szCs w:val="24"/>
          <w:lang w:eastAsia="pl-PL"/>
        </w:rPr>
        <w:t xml:space="preserve"> w przypadku rodzica/opiekuna wychowującego samotnie dziecko z niepełnosprawnością albo nadal preferencyjnie przy uwzględnieniu 1,5 tej kwoty (czyli 45 000 zł)</w:t>
      </w:r>
      <w:r w:rsidR="001E67CB" w:rsidRPr="00C41BBF">
        <w:rPr>
          <w:rFonts w:ascii="Times New Roman" w:eastAsiaTheme="minorEastAsia" w:hAnsi="Times New Roman" w:cs="Times New Roman"/>
          <w:sz w:val="24"/>
          <w:szCs w:val="24"/>
          <w:lang w:eastAsia="pl-PL"/>
        </w:rPr>
        <w:t xml:space="preserve"> w </w:t>
      </w:r>
      <w:r w:rsidR="001E67CB" w:rsidRPr="00C41BBF">
        <w:rPr>
          <w:rFonts w:ascii="Times New Roman" w:eastAsiaTheme="minorEastAsia" w:hAnsi="Times New Roman" w:cs="Times New Roman"/>
          <w:sz w:val="24"/>
          <w:szCs w:val="24"/>
          <w:lang w:eastAsia="pl-PL"/>
        </w:rPr>
        <w:lastRenderedPageBreak/>
        <w:t>pozostałych przypadkach</w:t>
      </w:r>
      <w:r w:rsidRPr="00C41BBF">
        <w:rPr>
          <w:rFonts w:ascii="Times New Roman" w:eastAsiaTheme="minorEastAsia" w:hAnsi="Times New Roman" w:cs="Times New Roman"/>
          <w:sz w:val="24"/>
          <w:szCs w:val="24"/>
          <w:lang w:eastAsia="pl-PL"/>
        </w:rPr>
        <w:t xml:space="preserve">. </w:t>
      </w:r>
      <w:r w:rsidR="000034C8" w:rsidRPr="00C41BBF">
        <w:rPr>
          <w:rFonts w:ascii="Times New Roman" w:eastAsiaTheme="minorEastAsia" w:hAnsi="Times New Roman" w:cs="Times New Roman"/>
          <w:sz w:val="24"/>
          <w:szCs w:val="24"/>
          <w:lang w:eastAsia="pl-PL"/>
        </w:rPr>
        <w:t>Należy podkreślić, że zmiana ta jest powiązan</w:t>
      </w:r>
      <w:r w:rsidR="00C36E1A" w:rsidRPr="00C41BBF">
        <w:rPr>
          <w:rFonts w:ascii="Times New Roman" w:eastAsiaTheme="minorEastAsia" w:hAnsi="Times New Roman" w:cs="Times New Roman"/>
          <w:sz w:val="24"/>
          <w:szCs w:val="24"/>
          <w:lang w:eastAsia="pl-PL"/>
        </w:rPr>
        <w:t>a</w:t>
      </w:r>
      <w:r w:rsidR="000034C8" w:rsidRPr="00C41BBF">
        <w:rPr>
          <w:rFonts w:ascii="Times New Roman" w:eastAsiaTheme="minorEastAsia" w:hAnsi="Times New Roman" w:cs="Times New Roman"/>
          <w:sz w:val="24"/>
          <w:szCs w:val="24"/>
          <w:lang w:eastAsia="pl-PL"/>
        </w:rPr>
        <w:t xml:space="preserve"> z inną podlegającą na nowelizacji art. 7 ust. 1 ustawy PIT. Na jej podstawie renty małoletnich dzieci (w tym renty rodzinne) nie będą kumulowane z dochodami rodzica. Oznacza to, że świadczenia te będą korzystały z odrębnej kwoty wolnej od podatku wynoszącej 30 000 zł. </w:t>
      </w:r>
    </w:p>
    <w:p w14:paraId="6F477380" w14:textId="08B9B925"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Biorąc pod uwagę tak znaczące podwyższenie kwoty wolnej od podatku wprowadzone ustawą z 29 października 2021 r. (30 000 zł), </w:t>
      </w:r>
      <w:r w:rsidR="000034C8" w:rsidRPr="00C41BBF">
        <w:rPr>
          <w:rFonts w:ascii="Times New Roman" w:eastAsiaTheme="minorEastAsia" w:hAnsi="Times New Roman" w:cs="Times New Roman"/>
          <w:sz w:val="24"/>
          <w:szCs w:val="24"/>
          <w:lang w:eastAsia="pl-PL"/>
        </w:rPr>
        <w:t xml:space="preserve">proponowany </w:t>
      </w:r>
      <w:r w:rsidRPr="00C41BBF">
        <w:rPr>
          <w:rFonts w:ascii="Times New Roman" w:eastAsiaTheme="minorEastAsia" w:hAnsi="Times New Roman" w:cs="Times New Roman"/>
          <w:sz w:val="24"/>
          <w:szCs w:val="24"/>
          <w:lang w:eastAsia="pl-PL"/>
        </w:rPr>
        <w:t xml:space="preserve">preferencyjny sposób opodatkowania w porównaniu do ulgi 1500 zł będzie bardziej korzystnym rozwiązaniem dla osoby samotnie wychowującej dzieci. </w:t>
      </w:r>
    </w:p>
    <w:p w14:paraId="2326DF60" w14:textId="4423E31C" w:rsidR="00B96862" w:rsidRPr="00C41BBF" w:rsidRDefault="006D2E4A"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Należy także podkreślić, że z</w:t>
      </w:r>
      <w:r w:rsidR="00B96862" w:rsidRPr="00C41BBF">
        <w:rPr>
          <w:rFonts w:ascii="Times New Roman" w:eastAsiaTheme="minorEastAsia" w:hAnsi="Times New Roman" w:cs="Times New Roman"/>
          <w:sz w:val="24"/>
          <w:szCs w:val="24"/>
          <w:lang w:eastAsia="pl-PL"/>
        </w:rPr>
        <w:t xml:space="preserve">astąpienie preferencyjnego opodatkowania dochodów ulgą 1500 zł zostało odebrane przez samotnych rodziców jako niekorzystne i podatkowo dyskryminujące dla ich niepełnych rodzin. Od wejścia w życie ustawy z 29 października 2021 r. zgłaszano postulaty dotyczące przywrócenia możliwości korzystania z tego sposobu opodatkowania. Proponowana zmiana wychodzi zatem naprzeciw tym oczekiwaniom. Po wejściu w życie ustawy, podatnicy będą mogli składać płatnikom oświadczenia o zamiarze korzystania z preferencyjnego opodatkowania dochodów, co pozwoli na realizowanie dodatkowej kwoty wolnej już w trakcie roku. </w:t>
      </w:r>
    </w:p>
    <w:p w14:paraId="255432AE"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2A28F7A8" w14:textId="34323D84"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Zmiana kryterium dochodu pełnoletniego dziecka, uczącego się dziecka warunkującego możliwość preferencyjnego opodatkowania dochodów osoby samotnie wychowującej dzieci, skorzystania ze zwolnienia w ramach PIT-0 dla rodzin 4+ czy z podatkowej ulgi na dzieci</w:t>
      </w:r>
    </w:p>
    <w:p w14:paraId="00B1B596" w14:textId="72652724"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W obecnym stanie prawnym ustawa PIT przewiduje preferencje podatkowe dla rodzin wychowujących dzieci, jak możliwość skorzystania z PIT-0 dla rodzin 4+ i ulgę na dzieci.</w:t>
      </w:r>
      <w:r w:rsidR="00B129A4" w:rsidRPr="00C41BBF">
        <w:rPr>
          <w:rFonts w:ascii="Times New Roman" w:eastAsiaTheme="minorEastAsia" w:hAnsi="Times New Roman" w:cs="Times New Roman"/>
          <w:sz w:val="24"/>
          <w:szCs w:val="24"/>
          <w:lang w:eastAsia="pl-PL"/>
        </w:rPr>
        <w:t xml:space="preserve"> </w:t>
      </w:r>
    </w:p>
    <w:p w14:paraId="3C8FEEE5" w14:textId="77777777" w:rsidR="00B96862" w:rsidRPr="00C41BBF" w:rsidRDefault="00B96862" w:rsidP="00C41BBF">
      <w:pPr>
        <w:widowControl w:val="0"/>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Ulga dla rodzin 4+ to potoczna nazwa preferencji zawartej w art. 21 ust. 1 pkt 153 ustawy PIT. Obowiązuje od 1 stycznia 2022 r. i ma zastosowanie do dochodów uzyskanych od tego dnia. </w:t>
      </w:r>
    </w:p>
    <w:p w14:paraId="78CC91E5"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lastRenderedPageBreak/>
        <w:t>Ulga dla rodzin 4+ polega na zwolnieniu od podatku PIT przychodów na etacie, przychodów z umów zlecenia zawartych z firmą oraz przychodów z działalności gospodarczej.</w:t>
      </w:r>
    </w:p>
    <w:p w14:paraId="5B05E72A"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Ulga obejmuje przychody:</w:t>
      </w:r>
    </w:p>
    <w:p w14:paraId="0C822288" w14:textId="77777777" w:rsidR="00B96862" w:rsidRPr="00C41BBF" w:rsidRDefault="00B96862" w:rsidP="00C41BBF">
      <w:pPr>
        <w:widowControl w:val="0"/>
        <w:numPr>
          <w:ilvl w:val="0"/>
          <w:numId w:val="2"/>
        </w:numPr>
        <w:autoSpaceDE w:val="0"/>
        <w:autoSpaceDN w:val="0"/>
        <w:adjustRightInd w:val="0"/>
        <w:spacing w:before="120" w:after="0" w:line="360" w:lineRule="auto"/>
        <w:ind w:left="851" w:hanging="567"/>
        <w:jc w:val="both"/>
        <w:rPr>
          <w:rFonts w:ascii="Times New Roman" w:hAnsi="Times New Roman" w:cs="Times New Roman"/>
          <w:sz w:val="24"/>
          <w:szCs w:val="24"/>
        </w:rPr>
      </w:pPr>
      <w:r w:rsidRPr="00C41BBF">
        <w:rPr>
          <w:rFonts w:ascii="Times New Roman" w:hAnsi="Times New Roman" w:cs="Times New Roman"/>
          <w:sz w:val="24"/>
          <w:szCs w:val="24"/>
        </w:rPr>
        <w:t>do których ma zastosowanie:</w:t>
      </w:r>
    </w:p>
    <w:p w14:paraId="777380F0" w14:textId="5BBB2123" w:rsidR="00B96862" w:rsidRPr="00C41BBF" w:rsidRDefault="00B96862" w:rsidP="00C41BBF">
      <w:pPr>
        <w:widowControl w:val="0"/>
        <w:numPr>
          <w:ilvl w:val="0"/>
          <w:numId w:val="4"/>
        </w:numPr>
        <w:autoSpaceDE w:val="0"/>
        <w:autoSpaceDN w:val="0"/>
        <w:adjustRightInd w:val="0"/>
        <w:spacing w:before="120" w:after="0" w:line="360" w:lineRule="auto"/>
        <w:ind w:left="1134" w:hanging="283"/>
        <w:jc w:val="both"/>
        <w:rPr>
          <w:rFonts w:ascii="Times New Roman" w:hAnsi="Times New Roman" w:cs="Times New Roman"/>
          <w:sz w:val="24"/>
          <w:szCs w:val="24"/>
        </w:rPr>
      </w:pPr>
      <w:r w:rsidRPr="00C41BBF">
        <w:rPr>
          <w:rFonts w:ascii="Times New Roman" w:hAnsi="Times New Roman" w:cs="Times New Roman"/>
          <w:sz w:val="24"/>
          <w:szCs w:val="24"/>
        </w:rPr>
        <w:t>skala podatkowa ze stawkami 17% (po zmianie 1</w:t>
      </w:r>
      <w:r w:rsidR="005A786A" w:rsidRPr="00C41BBF">
        <w:rPr>
          <w:rFonts w:ascii="Times New Roman" w:hAnsi="Times New Roman" w:cs="Times New Roman"/>
          <w:sz w:val="24"/>
          <w:szCs w:val="24"/>
        </w:rPr>
        <w:t>2</w:t>
      </w:r>
      <w:r w:rsidRPr="00C41BBF">
        <w:rPr>
          <w:rFonts w:ascii="Times New Roman" w:hAnsi="Times New Roman" w:cs="Times New Roman"/>
          <w:sz w:val="24"/>
          <w:szCs w:val="24"/>
        </w:rPr>
        <w:t xml:space="preserve">%) i 32%, </w:t>
      </w:r>
    </w:p>
    <w:p w14:paraId="2526669C" w14:textId="77777777" w:rsidR="00B96862" w:rsidRPr="00C41BBF" w:rsidRDefault="00B96862" w:rsidP="00C41BBF">
      <w:pPr>
        <w:widowControl w:val="0"/>
        <w:numPr>
          <w:ilvl w:val="0"/>
          <w:numId w:val="4"/>
        </w:numPr>
        <w:autoSpaceDE w:val="0"/>
        <w:autoSpaceDN w:val="0"/>
        <w:adjustRightInd w:val="0"/>
        <w:spacing w:before="120" w:after="0" w:line="360" w:lineRule="auto"/>
        <w:ind w:left="1134" w:hanging="283"/>
        <w:jc w:val="both"/>
        <w:rPr>
          <w:rFonts w:ascii="Times New Roman" w:hAnsi="Times New Roman" w:cs="Times New Roman"/>
          <w:sz w:val="24"/>
          <w:szCs w:val="24"/>
        </w:rPr>
      </w:pPr>
      <w:r w:rsidRPr="00C41BBF">
        <w:rPr>
          <w:rFonts w:ascii="Times New Roman" w:hAnsi="Times New Roman" w:cs="Times New Roman"/>
          <w:sz w:val="24"/>
          <w:szCs w:val="24"/>
        </w:rPr>
        <w:t xml:space="preserve">jednolita 5% albo 19% stawka podatku dla przedsiębiorców lub </w:t>
      </w:r>
    </w:p>
    <w:p w14:paraId="4D3B260B" w14:textId="77777777" w:rsidR="00B96862" w:rsidRPr="00C41BBF" w:rsidRDefault="00B96862" w:rsidP="00C41BBF">
      <w:pPr>
        <w:widowControl w:val="0"/>
        <w:numPr>
          <w:ilvl w:val="0"/>
          <w:numId w:val="4"/>
        </w:numPr>
        <w:autoSpaceDE w:val="0"/>
        <w:autoSpaceDN w:val="0"/>
        <w:adjustRightInd w:val="0"/>
        <w:spacing w:before="120" w:after="0" w:line="360" w:lineRule="auto"/>
        <w:ind w:left="1134" w:hanging="283"/>
        <w:jc w:val="both"/>
        <w:rPr>
          <w:rFonts w:ascii="Times New Roman" w:hAnsi="Times New Roman" w:cs="Times New Roman"/>
          <w:sz w:val="24"/>
          <w:szCs w:val="24"/>
        </w:rPr>
      </w:pPr>
      <w:r w:rsidRPr="00C41BBF">
        <w:rPr>
          <w:rFonts w:ascii="Times New Roman" w:hAnsi="Times New Roman" w:cs="Times New Roman"/>
          <w:sz w:val="24"/>
          <w:szCs w:val="24"/>
        </w:rPr>
        <w:t>ryczałt od przychodów ewidencjonowanych,</w:t>
      </w:r>
    </w:p>
    <w:p w14:paraId="712F56C0" w14:textId="77777777" w:rsidR="00B96862" w:rsidRPr="00C41BBF" w:rsidRDefault="00B96862" w:rsidP="00C41BBF">
      <w:pPr>
        <w:widowControl w:val="0"/>
        <w:numPr>
          <w:ilvl w:val="0"/>
          <w:numId w:val="3"/>
        </w:numPr>
        <w:autoSpaceDE w:val="0"/>
        <w:autoSpaceDN w:val="0"/>
        <w:adjustRightInd w:val="0"/>
        <w:spacing w:before="120" w:after="0" w:line="360" w:lineRule="auto"/>
        <w:ind w:left="851" w:hanging="567"/>
        <w:jc w:val="both"/>
        <w:rPr>
          <w:rFonts w:ascii="Times New Roman" w:hAnsi="Times New Roman" w:cs="Times New Roman"/>
          <w:sz w:val="24"/>
          <w:szCs w:val="24"/>
        </w:rPr>
      </w:pPr>
      <w:r w:rsidRPr="00C41BBF">
        <w:rPr>
          <w:rFonts w:ascii="Times New Roman" w:hAnsi="Times New Roman" w:cs="Times New Roman"/>
          <w:sz w:val="24"/>
          <w:szCs w:val="24"/>
        </w:rPr>
        <w:t>do wysokości nieprzekraczającej w roku podatkowym 85 528 zł rocznie u każdego z rodziców (opiekunów prawnych). Dla dwojga rodziców (opiekunów prawnych) limit przychodu zwolnionego od podatku wynosi 171 056 zł rocznie,</w:t>
      </w:r>
    </w:p>
    <w:p w14:paraId="401FED06" w14:textId="77777777" w:rsidR="00B96862" w:rsidRPr="00C41BBF" w:rsidRDefault="00B96862" w:rsidP="00C41BBF">
      <w:pPr>
        <w:widowControl w:val="0"/>
        <w:numPr>
          <w:ilvl w:val="0"/>
          <w:numId w:val="3"/>
        </w:numPr>
        <w:autoSpaceDE w:val="0"/>
        <w:autoSpaceDN w:val="0"/>
        <w:adjustRightInd w:val="0"/>
        <w:spacing w:before="120" w:after="0" w:line="360" w:lineRule="auto"/>
        <w:ind w:left="851" w:hanging="567"/>
        <w:jc w:val="both"/>
        <w:rPr>
          <w:rFonts w:ascii="Times New Roman" w:hAnsi="Times New Roman" w:cs="Times New Roman"/>
          <w:sz w:val="24"/>
          <w:szCs w:val="24"/>
        </w:rPr>
      </w:pPr>
      <w:r w:rsidRPr="00C41BBF">
        <w:rPr>
          <w:rFonts w:ascii="Times New Roman" w:hAnsi="Times New Roman" w:cs="Times New Roman"/>
          <w:sz w:val="24"/>
          <w:szCs w:val="24"/>
        </w:rPr>
        <w:t>uzyskane od 1 stycznia 2022 roku.</w:t>
      </w:r>
    </w:p>
    <w:p w14:paraId="23D4E0F7"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Z ulgi skorzysta podatnik, który w roku podatkowym w stosunku do co najmniej czworga dzieci:</w:t>
      </w:r>
    </w:p>
    <w:p w14:paraId="38C718C8" w14:textId="77777777" w:rsidR="00B96862" w:rsidRPr="00C41BBF" w:rsidRDefault="00B96862" w:rsidP="00C41BBF">
      <w:pPr>
        <w:widowControl w:val="0"/>
        <w:numPr>
          <w:ilvl w:val="0"/>
          <w:numId w:val="5"/>
        </w:numPr>
        <w:autoSpaceDE w:val="0"/>
        <w:autoSpaceDN w:val="0"/>
        <w:adjustRightInd w:val="0"/>
        <w:spacing w:before="120" w:after="0" w:line="360" w:lineRule="auto"/>
        <w:ind w:left="771" w:hanging="357"/>
        <w:jc w:val="both"/>
        <w:rPr>
          <w:rFonts w:ascii="Times New Roman" w:hAnsi="Times New Roman" w:cs="Times New Roman"/>
          <w:sz w:val="24"/>
          <w:szCs w:val="24"/>
        </w:rPr>
      </w:pPr>
      <w:r w:rsidRPr="00C41BBF">
        <w:rPr>
          <w:rFonts w:ascii="Times New Roman" w:hAnsi="Times New Roman" w:cs="Times New Roman"/>
          <w:sz w:val="24"/>
          <w:szCs w:val="24"/>
        </w:rPr>
        <w:t>wykonywał władzę rodzicielską,</w:t>
      </w:r>
    </w:p>
    <w:p w14:paraId="490E7B36" w14:textId="77777777" w:rsidR="00B96862" w:rsidRPr="00C41BBF" w:rsidRDefault="00B96862" w:rsidP="00C41BBF">
      <w:pPr>
        <w:widowControl w:val="0"/>
        <w:numPr>
          <w:ilvl w:val="0"/>
          <w:numId w:val="5"/>
        </w:numPr>
        <w:autoSpaceDE w:val="0"/>
        <w:autoSpaceDN w:val="0"/>
        <w:adjustRightInd w:val="0"/>
        <w:spacing w:before="120" w:after="0" w:line="360" w:lineRule="auto"/>
        <w:ind w:left="771" w:hanging="357"/>
        <w:jc w:val="both"/>
        <w:rPr>
          <w:rFonts w:ascii="Times New Roman" w:hAnsi="Times New Roman" w:cs="Times New Roman"/>
          <w:sz w:val="24"/>
          <w:szCs w:val="24"/>
        </w:rPr>
      </w:pPr>
      <w:r w:rsidRPr="00C41BBF">
        <w:rPr>
          <w:rFonts w:ascii="Times New Roman" w:hAnsi="Times New Roman" w:cs="Times New Roman"/>
          <w:sz w:val="24"/>
          <w:szCs w:val="24"/>
        </w:rPr>
        <w:t>był opiekunem prawnym, jeżeli dziecko z nim zamieszkiwało,</w:t>
      </w:r>
    </w:p>
    <w:p w14:paraId="4B999631" w14:textId="77777777" w:rsidR="00B96862" w:rsidRPr="00C41BBF" w:rsidRDefault="00B96862" w:rsidP="00C41BBF">
      <w:pPr>
        <w:widowControl w:val="0"/>
        <w:numPr>
          <w:ilvl w:val="0"/>
          <w:numId w:val="5"/>
        </w:numPr>
        <w:autoSpaceDE w:val="0"/>
        <w:autoSpaceDN w:val="0"/>
        <w:adjustRightInd w:val="0"/>
        <w:spacing w:before="120" w:after="0" w:line="360" w:lineRule="auto"/>
        <w:ind w:left="771" w:hanging="357"/>
        <w:jc w:val="both"/>
        <w:rPr>
          <w:rFonts w:ascii="Times New Roman" w:hAnsi="Times New Roman" w:cs="Times New Roman"/>
          <w:sz w:val="24"/>
          <w:szCs w:val="24"/>
        </w:rPr>
      </w:pPr>
      <w:r w:rsidRPr="00C41BBF">
        <w:rPr>
          <w:rFonts w:ascii="Times New Roman" w:hAnsi="Times New Roman" w:cs="Times New Roman"/>
          <w:sz w:val="24"/>
          <w:szCs w:val="24"/>
        </w:rPr>
        <w:t>był rodzicem zastępczym na podstawie orzeczenia sądu lub umowy zawartej ze starostą,</w:t>
      </w:r>
    </w:p>
    <w:p w14:paraId="5E23ABE4" w14:textId="77777777" w:rsidR="00B96862" w:rsidRPr="00C41BBF" w:rsidRDefault="00B96862" w:rsidP="00C41BBF">
      <w:pPr>
        <w:widowControl w:val="0"/>
        <w:numPr>
          <w:ilvl w:val="0"/>
          <w:numId w:val="5"/>
        </w:numPr>
        <w:autoSpaceDE w:val="0"/>
        <w:autoSpaceDN w:val="0"/>
        <w:adjustRightInd w:val="0"/>
        <w:spacing w:before="120" w:after="0" w:line="360" w:lineRule="auto"/>
        <w:ind w:left="771" w:hanging="357"/>
        <w:jc w:val="both"/>
        <w:rPr>
          <w:rFonts w:ascii="Times New Roman" w:hAnsi="Times New Roman" w:cs="Times New Roman"/>
          <w:sz w:val="24"/>
          <w:szCs w:val="24"/>
        </w:rPr>
      </w:pPr>
      <w:r w:rsidRPr="00C41BBF">
        <w:rPr>
          <w:rFonts w:ascii="Times New Roman" w:hAnsi="Times New Roman" w:cs="Times New Roman"/>
          <w:sz w:val="24"/>
          <w:szCs w:val="24"/>
        </w:rPr>
        <w:t>a wobec dorosłych, uczących się dzieci wykonywał ciążący na nim obowiązek alimentacyjny albo był rodzicem zastępczym.</w:t>
      </w:r>
    </w:p>
    <w:p w14:paraId="19863EB8"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Ulga dotyczy rodziców, w tym rodziców zastępczych, oraz opiekunów prawnych, bez względu na ich stan cywilny. Mogą z niej korzystać zarówno samotni rodzice (opiekunowie prawni), jak i małżonkowie. </w:t>
      </w:r>
    </w:p>
    <w:p w14:paraId="4E20DA1B"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Z kolei ulgę na dzieci normuje art. 27f ustawy PIT.</w:t>
      </w:r>
    </w:p>
    <w:p w14:paraId="5D5C1FAA" w14:textId="02B4AAA3"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Ulga obejmuje rodziców, opiekunów prawnych, jeżeli dziecko z nimi zamieszkuje</w:t>
      </w:r>
      <w:r w:rsidR="000E5D9A">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lastRenderedPageBreak/>
        <w:t>oraz osoby pełniące funkcje rodziny zastępczej. Z odliczenia nie mogą korzystać zatem rodzice pozbawieni władzy rodzicielskiej oraz opiekunowie prawni, w przypadku gdy dziecko z nimi nie zamieszkuje.</w:t>
      </w:r>
    </w:p>
    <w:p w14:paraId="32379F24"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 odliczenia mogą skorzystać podatnicy podatku dochodowego od dochodów opodatkowanych według skali podatkowej. </w:t>
      </w:r>
    </w:p>
    <w:p w14:paraId="1AE0EE83" w14:textId="77777777" w:rsidR="00B96862" w:rsidRPr="00C41BBF" w:rsidRDefault="00B96862"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Osoby wychowujące w roku jedno dziecko skorzystają z odliczenia, o ile ich roczne dochody (tj. przychody pomniejszone o koszty ich uzyskania i dodatkowo pomniejszone o zapłacone przez podatnika składki na jego ubezpieczenia społeczne) nie przekroczą kryterium dochodowego, wynoszącego:</w:t>
      </w:r>
    </w:p>
    <w:p w14:paraId="422AE78A" w14:textId="066ED30A" w:rsidR="00B96862" w:rsidRPr="00C41BBF" w:rsidRDefault="00B96862" w:rsidP="00C41BBF">
      <w:pPr>
        <w:widowControl w:val="0"/>
        <w:numPr>
          <w:ilvl w:val="0"/>
          <w:numId w:val="6"/>
        </w:num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56</w:t>
      </w:r>
      <w:r w:rsidR="000E5D9A">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000 zł w przypadku podatnika niepozostającego w związku małżeńskim, w tym również przez część roku,</w:t>
      </w:r>
    </w:p>
    <w:p w14:paraId="03016BB5" w14:textId="64A2D131" w:rsidR="00B96862" w:rsidRPr="00C41BBF" w:rsidRDefault="00B96862" w:rsidP="00C41BBF">
      <w:pPr>
        <w:widowControl w:val="0"/>
        <w:numPr>
          <w:ilvl w:val="0"/>
          <w:numId w:val="6"/>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112</w:t>
      </w:r>
      <w:r w:rsidR="000E5D9A">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000 zł w przypadku podatnika pozostającego przez cały rok podatkowy w związku małżeńskim (dochody podatnika i jego małżonka), </w:t>
      </w:r>
    </w:p>
    <w:p w14:paraId="688DB8AC" w14:textId="5540253C" w:rsidR="00B96862" w:rsidRPr="00C41BBF" w:rsidRDefault="00B96862" w:rsidP="00C41BBF">
      <w:pPr>
        <w:widowControl w:val="0"/>
        <w:numPr>
          <w:ilvl w:val="0"/>
          <w:numId w:val="6"/>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112</w:t>
      </w:r>
      <w:r w:rsidR="000E5D9A">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000 zł w przypadku podatnika będącego osobą samotnie wychowującą dziecko. </w:t>
      </w:r>
    </w:p>
    <w:p w14:paraId="1FF287FD" w14:textId="77777777" w:rsidR="00B96862" w:rsidRPr="00C41BBF" w:rsidRDefault="00B96862"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Natomiast rodzice wychowujący dwoje i więcej dzieci skorzystają z ulgi bez względu na wysokości uzyskanego dochodu.</w:t>
      </w:r>
    </w:p>
    <w:p w14:paraId="3657B5CD" w14:textId="77777777" w:rsidR="00B96862" w:rsidRPr="00C41BBF" w:rsidRDefault="00B96862"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Kwota odliczenia wynosi:</w:t>
      </w:r>
    </w:p>
    <w:p w14:paraId="5DE6387C" w14:textId="77777777" w:rsidR="00B96862" w:rsidRPr="00C41BBF" w:rsidRDefault="00B96862" w:rsidP="00C41BBF">
      <w:pPr>
        <w:widowControl w:val="0"/>
        <w:numPr>
          <w:ilvl w:val="0"/>
          <w:numId w:val="7"/>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po 92,67 zł miesięcznie (rocznie 1 112,04 zł) na pierwsze i drugie dziecko,</w:t>
      </w:r>
    </w:p>
    <w:p w14:paraId="6411E408" w14:textId="18E13FDF" w:rsidR="00B96862" w:rsidRPr="00C41BBF" w:rsidRDefault="00B96862" w:rsidP="00C41BBF">
      <w:pPr>
        <w:widowControl w:val="0"/>
        <w:numPr>
          <w:ilvl w:val="0"/>
          <w:numId w:val="7"/>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166,67 zł miesięcznie (rocznie 2000,04 zł) na trzecie dziecko, </w:t>
      </w:r>
    </w:p>
    <w:p w14:paraId="1D65F1D5" w14:textId="145C1605" w:rsidR="00B96862" w:rsidRPr="00C41BBF" w:rsidRDefault="00B96862" w:rsidP="00C41BBF">
      <w:pPr>
        <w:widowControl w:val="0"/>
        <w:numPr>
          <w:ilvl w:val="0"/>
          <w:numId w:val="7"/>
        </w:numPr>
        <w:overflowPunct w:val="0"/>
        <w:autoSpaceDE w:val="0"/>
        <w:autoSpaceDN w:val="0"/>
        <w:adjustRightInd w:val="0"/>
        <w:spacing w:before="120" w:after="0" w:line="360" w:lineRule="auto"/>
        <w:jc w:val="both"/>
        <w:textAlignment w:val="baseline"/>
        <w:rPr>
          <w:rFonts w:ascii="Times New Roman" w:eastAsia="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po 225 zł miesięcznie (rocznie 2700 zł) na czwarte dziecko i każde następne.</w:t>
      </w:r>
    </w:p>
    <w:p w14:paraId="6AFB3392"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Obie opisane powyżej preferencje przysługują podatnikowi wychowującemu dzieci: małoletnie, dorosłe, ale otrzymujące zasiłek (dodatek) pielęgnacyjny lub rentę socjalną – bez względu na wysokość ich rocznych dochodów oraz pełnoletnie do ukończenia 25. roku życia, uczące się dzieci. </w:t>
      </w:r>
    </w:p>
    <w:p w14:paraId="41F654E9"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Przy czym podatnik skorzysta z ulgi, jeśli dorosłe, do ukończenia 25. roku życia, uczące się dzieci w roku podatkowym:</w:t>
      </w:r>
    </w:p>
    <w:p w14:paraId="222445A3" w14:textId="77777777" w:rsidR="00B96862" w:rsidRPr="00C41BBF" w:rsidRDefault="00B96862" w:rsidP="00C41BBF">
      <w:pPr>
        <w:widowControl w:val="0"/>
        <w:numPr>
          <w:ilvl w:val="0"/>
          <w:numId w:val="8"/>
        </w:numPr>
        <w:autoSpaceDE w:val="0"/>
        <w:autoSpaceDN w:val="0"/>
        <w:adjustRightInd w:val="0"/>
        <w:spacing w:before="120" w:after="0" w:line="360" w:lineRule="auto"/>
        <w:ind w:left="851" w:hanging="567"/>
        <w:jc w:val="both"/>
        <w:rPr>
          <w:rFonts w:ascii="Times New Roman" w:eastAsiaTheme="minorEastAsia" w:hAnsi="Times New Roman" w:cs="Times New Roman"/>
          <w:b/>
          <w:sz w:val="24"/>
          <w:szCs w:val="24"/>
          <w:lang w:eastAsia="pl-PL"/>
        </w:rPr>
      </w:pPr>
      <w:r w:rsidRPr="00C41BBF">
        <w:rPr>
          <w:rFonts w:ascii="Times New Roman" w:eastAsiaTheme="minorEastAsia" w:hAnsi="Times New Roman" w:cs="Times New Roman"/>
          <w:sz w:val="24"/>
          <w:szCs w:val="24"/>
          <w:lang w:eastAsia="pl-PL"/>
        </w:rPr>
        <w:t xml:space="preserve">nie stosowały przepisów o 19% podatku liniowym lub ustawy o ryczałcie, z </w:t>
      </w:r>
      <w:r w:rsidRPr="00C41BBF">
        <w:rPr>
          <w:rFonts w:ascii="Times New Roman" w:eastAsiaTheme="minorEastAsia" w:hAnsi="Times New Roman" w:cs="Times New Roman"/>
          <w:sz w:val="24"/>
          <w:szCs w:val="24"/>
          <w:lang w:eastAsia="pl-PL"/>
        </w:rPr>
        <w:lastRenderedPageBreak/>
        <w:t xml:space="preserve">wyjątkiem opodatkowania przychodów z tzw. najmu prywatnego, </w:t>
      </w:r>
    </w:p>
    <w:p w14:paraId="649053A2" w14:textId="77777777" w:rsidR="00B96862" w:rsidRPr="00C41BBF" w:rsidRDefault="00B96862" w:rsidP="00C41BBF">
      <w:pPr>
        <w:widowControl w:val="0"/>
        <w:numPr>
          <w:ilvl w:val="0"/>
          <w:numId w:val="8"/>
        </w:numPr>
        <w:autoSpaceDE w:val="0"/>
        <w:autoSpaceDN w:val="0"/>
        <w:adjustRightInd w:val="0"/>
        <w:spacing w:before="120" w:after="0" w:line="360" w:lineRule="auto"/>
        <w:ind w:left="851" w:hanging="567"/>
        <w:jc w:val="both"/>
        <w:rPr>
          <w:rFonts w:ascii="Times New Roman" w:eastAsiaTheme="minorEastAsia" w:hAnsi="Times New Roman" w:cs="Times New Roman"/>
          <w:b/>
          <w:sz w:val="24"/>
          <w:szCs w:val="24"/>
          <w:lang w:eastAsia="pl-PL"/>
        </w:rPr>
      </w:pPr>
      <w:r w:rsidRPr="00C41BBF">
        <w:rPr>
          <w:rFonts w:ascii="Times New Roman" w:eastAsiaTheme="minorEastAsia" w:hAnsi="Times New Roman" w:cs="Times New Roman"/>
          <w:sz w:val="24"/>
          <w:szCs w:val="24"/>
          <w:lang w:eastAsia="pl-PL"/>
        </w:rPr>
        <w:t>nie podlegały opodatkowaniu podatkiem tonażowym na zasadach określonych w ustawie o podatku tonażowym lub tzw. podatkiem okrętowym na zasadach określonych w ustawie o aktywizacji przemysłu okrętowego i przemysłów komplementarnych, lub</w:t>
      </w:r>
    </w:p>
    <w:p w14:paraId="0FE54A64" w14:textId="2BC586A6" w:rsidR="00B96862" w:rsidRPr="00C41BBF" w:rsidRDefault="00B96862" w:rsidP="00C41BBF">
      <w:pPr>
        <w:widowControl w:val="0"/>
        <w:numPr>
          <w:ilvl w:val="0"/>
          <w:numId w:val="8"/>
        </w:numPr>
        <w:autoSpaceDE w:val="0"/>
        <w:autoSpaceDN w:val="0"/>
        <w:adjustRightInd w:val="0"/>
        <w:spacing w:before="120" w:after="0" w:line="360" w:lineRule="auto"/>
        <w:ind w:left="851" w:hanging="567"/>
        <w:jc w:val="both"/>
        <w:rPr>
          <w:rFonts w:ascii="Times New Roman" w:eastAsiaTheme="minorEastAsia" w:hAnsi="Times New Roman" w:cs="Times New Roman"/>
          <w:b/>
          <w:sz w:val="24"/>
          <w:szCs w:val="24"/>
          <w:lang w:eastAsia="pl-PL"/>
        </w:rPr>
      </w:pPr>
      <w:r w:rsidRPr="00C41BBF">
        <w:rPr>
          <w:rFonts w:ascii="Times New Roman" w:eastAsiaTheme="minorEastAsia" w:hAnsi="Times New Roman" w:cs="Times New Roman"/>
          <w:sz w:val="24"/>
          <w:szCs w:val="24"/>
          <w:lang w:eastAsia="pl-PL"/>
        </w:rPr>
        <w:t>nie uzyskały dochodów opodatkowanych według skali podatkowej lub 19% podatkiem z odpłatnego zbycia papierów wartościowych, udziałów (akcji) lub pochodnych instrumentów finansowych lub przychodów zwolnionych od podatku w ramach tzw. ulgi dla młodych (art. 21 ust. 1 pkt 148 ustawy PIT) czy ulgi na powrót (art. 21 ust. 1 pkt 152 ustawy PIT), w łącznej wysokości przekraczającej</w:t>
      </w:r>
      <w:r w:rsidRPr="00C41BBF">
        <w:rPr>
          <w:rFonts w:ascii="Times New Roman" w:eastAsiaTheme="minorEastAsia" w:hAnsi="Times New Roman" w:cs="Times New Roman"/>
          <w:b/>
          <w:sz w:val="24"/>
          <w:szCs w:val="24"/>
          <w:lang w:eastAsia="pl-PL"/>
        </w:rPr>
        <w:t xml:space="preserve"> 3089 zł</w:t>
      </w:r>
      <w:r w:rsidRPr="00581D21">
        <w:rPr>
          <w:rFonts w:ascii="Times New Roman" w:eastAsiaTheme="minorEastAsia" w:hAnsi="Times New Roman" w:cs="Times New Roman"/>
          <w:sz w:val="24"/>
          <w:szCs w:val="24"/>
          <w:lang w:eastAsia="pl-PL"/>
        </w:rPr>
        <w:t>, z</w:t>
      </w:r>
      <w:r w:rsidRPr="00C41BBF">
        <w:rPr>
          <w:rFonts w:ascii="Times New Roman" w:eastAsiaTheme="minorEastAsia" w:hAnsi="Times New Roman" w:cs="Times New Roman"/>
          <w:b/>
          <w:sz w:val="24"/>
          <w:szCs w:val="24"/>
          <w:lang w:eastAsia="pl-PL"/>
        </w:rPr>
        <w:t xml:space="preserve"> </w:t>
      </w:r>
      <w:r w:rsidRPr="00C41BBF">
        <w:rPr>
          <w:rFonts w:ascii="Times New Roman" w:eastAsiaTheme="minorEastAsia" w:hAnsi="Times New Roman" w:cs="Times New Roman"/>
          <w:sz w:val="24"/>
          <w:szCs w:val="24"/>
          <w:lang w:eastAsia="pl-PL"/>
        </w:rPr>
        <w:t xml:space="preserve">wyjątkiem renty rodzinnej. </w:t>
      </w:r>
    </w:p>
    <w:p w14:paraId="6A639E51"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Projektowana ustawa proponuje zmianę kwoty kryterium dochodowego pełnoletniego uczącego się dziecka, polegającą na:</w:t>
      </w:r>
    </w:p>
    <w:p w14:paraId="0ABD67EA" w14:textId="77777777" w:rsidR="00B96862" w:rsidRPr="00C41BBF" w:rsidRDefault="00B96862" w:rsidP="00C41BBF">
      <w:pPr>
        <w:widowControl w:val="0"/>
        <w:numPr>
          <w:ilvl w:val="0"/>
          <w:numId w:val="9"/>
        </w:numPr>
        <w:autoSpaceDE w:val="0"/>
        <w:autoSpaceDN w:val="0"/>
        <w:adjustRightInd w:val="0"/>
        <w:spacing w:before="120" w:after="0" w:line="360" w:lineRule="auto"/>
        <w:contextualSpacing/>
        <w:jc w:val="both"/>
        <w:rPr>
          <w:rFonts w:ascii="Times New Roman" w:hAnsi="Times New Roman" w:cs="Times New Roman"/>
          <w:sz w:val="24"/>
          <w:szCs w:val="24"/>
        </w:rPr>
      </w:pPr>
      <w:r w:rsidRPr="00C41BBF">
        <w:rPr>
          <w:rFonts w:ascii="Times New Roman" w:hAnsi="Times New Roman" w:cs="Times New Roman"/>
          <w:sz w:val="24"/>
          <w:szCs w:val="24"/>
        </w:rPr>
        <w:t>znacznym jej zwiększeniu,</w:t>
      </w:r>
    </w:p>
    <w:p w14:paraId="1F48315C" w14:textId="77777777" w:rsidR="00B96862" w:rsidRPr="00C41BBF" w:rsidRDefault="00B96862" w:rsidP="00C41BBF">
      <w:pPr>
        <w:widowControl w:val="0"/>
        <w:numPr>
          <w:ilvl w:val="0"/>
          <w:numId w:val="9"/>
        </w:numPr>
        <w:autoSpaceDE w:val="0"/>
        <w:autoSpaceDN w:val="0"/>
        <w:adjustRightInd w:val="0"/>
        <w:spacing w:before="120" w:after="0" w:line="360" w:lineRule="auto"/>
        <w:contextualSpacing/>
        <w:jc w:val="both"/>
        <w:rPr>
          <w:rFonts w:ascii="Times New Roman" w:hAnsi="Times New Roman" w:cs="Times New Roman"/>
          <w:sz w:val="24"/>
          <w:szCs w:val="24"/>
        </w:rPr>
      </w:pPr>
      <w:r w:rsidRPr="00C41BBF">
        <w:rPr>
          <w:rFonts w:ascii="Times New Roman" w:hAnsi="Times New Roman" w:cs="Times New Roman"/>
          <w:sz w:val="24"/>
          <w:szCs w:val="24"/>
        </w:rPr>
        <w:t>rezygnacji w wpisywania stałej kwoty, którą każdorazowo ustawodawca będzie musiał zmieniać.</w:t>
      </w:r>
    </w:p>
    <w:p w14:paraId="2F9A567D" w14:textId="082B67C8"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sz w:val="24"/>
          <w:szCs w:val="24"/>
        </w:rPr>
        <w:t xml:space="preserve">Zaproponowano, aby kwota ta wynosiła </w:t>
      </w:r>
      <w:r w:rsidRPr="00C41BBF">
        <w:rPr>
          <w:rFonts w:ascii="Times New Roman" w:eastAsiaTheme="minorEastAsia" w:hAnsi="Times New Roman" w:cs="Times New Roman"/>
          <w:sz w:val="24"/>
          <w:szCs w:val="24"/>
          <w:lang w:eastAsia="pl-PL"/>
        </w:rPr>
        <w:t xml:space="preserve">dwunastokrotność kwoty renty socjalnej określonej w ustawie z dnia 27 czerwca 2003 r. o rencie socjalnej (Dz. U z 2022 r. poz. 240), w wysokości obowiązującej w grudniu roku podatkowego. Od marca 2022 r. kwota renty socjalnej wynosi 1338,44 zł, zatem jej dwunastokrotność to kwota 16 061,28 zł. </w:t>
      </w:r>
    </w:p>
    <w:p w14:paraId="4EF4B880" w14:textId="1162E246"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Ten wskaźnik jest również wyznacznikiem dochodu, który w uldze rehabilitacyjnej (art. 26 ust.</w:t>
      </w:r>
      <w:r w:rsidR="0081096D" w:rsidRPr="00C41BBF">
        <w:rPr>
          <w:rFonts w:ascii="Times New Roman" w:hAnsi="Times New Roman" w:cs="Times New Roman"/>
          <w:sz w:val="24"/>
          <w:szCs w:val="24"/>
        </w:rPr>
        <w:t> </w:t>
      </w:r>
      <w:r w:rsidRPr="00C41BBF">
        <w:rPr>
          <w:rFonts w:ascii="Times New Roman" w:hAnsi="Times New Roman" w:cs="Times New Roman"/>
          <w:sz w:val="24"/>
          <w:szCs w:val="24"/>
        </w:rPr>
        <w:t>7e ustawy PIT) wskazuje, że dana osoba z niepełnosprawnościami pozostaje na utrzymaniu bliskiej osoby. Nieuzyskanie w danym roku podatkowym dochodu w tej wysokości przez osoby z niepełnosprawnościami powoduje, że odliczenia wydatków na cele rehabilitacyjne dokonuje bliska osoba, na której utrzymaniu pozostaje osoba z niepełnosprawnościami.</w:t>
      </w:r>
    </w:p>
    <w:p w14:paraId="1D56DE18" w14:textId="77777777"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lastRenderedPageBreak/>
        <w:t>Wydaje się zatem, że zastosowanie tożsamego kryterium dochodowego również w preferencjach rodzinnych może wskazywać, że uzyskujące dochody dziecko, w przypadku nieprzekroczenia tożsamego limitu, również pozostaje na otrzymaniu rodziców/opiekunów. A to uzasadnia zastosowanie omówionych preferencji rodzinnych przez rodziców/opiekunów prawnych.</w:t>
      </w:r>
    </w:p>
    <w:p w14:paraId="2892FF29" w14:textId="77777777"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Dodać należy, że zasada ta będzie miała również zastosowanie w przypadku przywracanej preferencji dla osób samotnie wychowujących dzieci. </w:t>
      </w:r>
    </w:p>
    <w:p w14:paraId="2A538377" w14:textId="77777777"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Zgodnie z art. 6 ust. 1 ww. ustawy renta socjalna wynosi 100% kwoty najniższej renty z tytułu całkowitej niezdolności do pracy ustalonej i podwyższonej zgodnie z przepisami ustawy z dnia 17 grudnia 1998 r. o emeryturach i rentach z Funduszu Ubezpieczeń Społecznych.</w:t>
      </w:r>
    </w:p>
    <w:p w14:paraId="60E72F37" w14:textId="77777777"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Oznacza to zatem, że kwota ta automatycznie będzie waloryzowana.</w:t>
      </w:r>
    </w:p>
    <w:p w14:paraId="200B39A8" w14:textId="77777777" w:rsidR="00B96862" w:rsidRPr="00C41BBF" w:rsidRDefault="00B96862" w:rsidP="00C41BBF">
      <w:pPr>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Waloryzacja renty socjalnej następuje w marcu. Zatem dwunastokrotność tej kwoty warunkująca korzystanie z preferencji podatkowych nie będzie znana od początku roku. Jest to pewna niedogodność dla podatników. Nie zdecydowano się jednak na wybór opcji polegającej na uwzględnianiu dla tego kryterium kwoty renty socjalnej z poprzedniego roku podatkowego. Takie rozwiązanie byłoby bowiem niekorzystne dla podatników i różnicowałoby to samo kryterium dochodowe w zależności od preferencji podatkowej (inna kwota brana byłaby pod uwagę na podstawie regulacji normujących ulgę rehabilitacyjną i inna kwota uwzględniania dla ustalenia możliwości korzystania z preferencji prorodzinnych). Mając pełną świadomość tego rozwiązania, przewidziano w projekcie uwzględnianie i w tym przypadku kwoty renty socjalnej obowiązującej w grudniu roku podatkowego, a nie w grudniu poprzedzającego roku podatkowego. Jest to bowiem rozwiązanie korzystniejsze dla podatników. </w:t>
      </w:r>
    </w:p>
    <w:p w14:paraId="69AFB25A" w14:textId="77777777" w:rsidR="00B96862" w:rsidRPr="00C41BBF" w:rsidRDefault="00B96862" w:rsidP="00C41BBF">
      <w:pPr>
        <w:widowControl w:val="0"/>
        <w:autoSpaceDE w:val="0"/>
        <w:autoSpaceDN w:val="0"/>
        <w:adjustRightInd w:val="0"/>
        <w:spacing w:before="120" w:after="0" w:line="360" w:lineRule="auto"/>
        <w:jc w:val="both"/>
        <w:rPr>
          <w:rFonts w:ascii="Times New Roman" w:hAnsi="Times New Roman" w:cs="Times New Roman"/>
          <w:sz w:val="24"/>
          <w:szCs w:val="24"/>
        </w:rPr>
      </w:pPr>
    </w:p>
    <w:p w14:paraId="145A1C1C"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Zmiana w zasadach normujących doliczanie w rozliczeniu rocznym dochodów niepełnoletnich dzieci do dochodów rodziców – art. 7 ustawy PIT</w:t>
      </w:r>
    </w:p>
    <w:p w14:paraId="5FF529D9"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sz w:val="24"/>
          <w:szCs w:val="24"/>
          <w:lang w:eastAsia="pl-PL"/>
        </w:rPr>
        <w:t>W obecnym stanie</w:t>
      </w:r>
      <w:r w:rsidRPr="00C41BBF">
        <w:rPr>
          <w:rFonts w:ascii="Times New Roman" w:eastAsiaTheme="minorEastAsia" w:hAnsi="Times New Roman" w:cs="Times New Roman"/>
          <w:color w:val="000000"/>
          <w:sz w:val="24"/>
          <w:szCs w:val="24"/>
          <w:lang w:eastAsia="pl-PL"/>
        </w:rPr>
        <w:t xml:space="preserve"> prawnym, na podstawie art. 7 ustawy PIT, dochody małoletnich dzieci własnych i przysposobionych, z wyjątkiem dochodów z ich pracy, stypendiów </w:t>
      </w:r>
      <w:r w:rsidRPr="00C41BBF">
        <w:rPr>
          <w:rFonts w:ascii="Times New Roman" w:eastAsiaTheme="minorEastAsia" w:hAnsi="Times New Roman" w:cs="Times New Roman"/>
          <w:color w:val="000000"/>
          <w:sz w:val="24"/>
          <w:szCs w:val="24"/>
          <w:lang w:eastAsia="pl-PL"/>
        </w:rPr>
        <w:lastRenderedPageBreak/>
        <w:t>oraz dochodów z przedmiotów oddanych im do swobodnego użytku, podlegające opodatkowaniu na terytorium Rzeczypospolitej Polskiej, dolicza się do dochodów rodziców, chyba że rodzicom nie przysługuje prawo pobierania pożytków ze źródeł przychodów dzieci.</w:t>
      </w:r>
    </w:p>
    <w:p w14:paraId="5B535534"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Jeżeli małżonkowie podlegają odrębnemu opodatkowaniu, dochody małoletnich dzieci dolicza się po połowie do dochodu każdego z małżonków.</w:t>
      </w:r>
    </w:p>
    <w:p w14:paraId="26F890E5"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Zatem rodzice nie doliczają do swoich dochodów, a rozliczają dochody swoich małoletnich dzieci, jako ich przedstawiciele ustawowi, w przypadku dochodów z szeroko rozumianej pracy (tj. np. przychodów ze stosunku pracy, umowy zlecenia), stypendiów oraz dochodów z przedmiotów oddanych dzieciom do swobodnego użytku. Zatem w tej sytuacji dochody dzieci korzystają z kwoty wolnej od podatku w wysokości 30 000 zł.</w:t>
      </w:r>
    </w:p>
    <w:p w14:paraId="28DB7556"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Omówioną regulację nie są natomiast objęte inne dochody w tym renty małoletnich dzieci. Oznacza to, że przy obowiązku doliczenia renty małoletniego dziecka do dochodów rodziców przychody z renty i przychody rodzica korzystają z jednej kwoty wolnej od podatku. Rozwiązanie to znacznie różnicuje podatników wychowujących niepełnoletnie dzieci. Projektowana ustawa niweluje to zróżnicowanie.</w:t>
      </w:r>
    </w:p>
    <w:p w14:paraId="06313D69"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Dzięki zaproponowanej zmianie, wszystkie dochody dziecka podlegające opodatkowaniu wg skali podatkowej, w tym renty małoletniego dziecka, skorzystają z kwoty wolnej od podatku w wysokości 30 000 zł. </w:t>
      </w:r>
    </w:p>
    <w:p w14:paraId="2A0D9E77" w14:textId="25658CC9" w:rsidR="00B96862" w:rsidRPr="00C41BBF" w:rsidRDefault="00B129A4"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0000"/>
          <w:sz w:val="24"/>
          <w:szCs w:val="24"/>
          <w:lang w:eastAsia="pl-PL"/>
        </w:rPr>
      </w:pPr>
      <w:r w:rsidRPr="00C41BBF">
        <w:rPr>
          <w:rFonts w:ascii="Times New Roman" w:eastAsiaTheme="minorEastAsia" w:hAnsi="Times New Roman" w:cs="Times New Roman"/>
          <w:color w:val="000000"/>
          <w:sz w:val="24"/>
          <w:szCs w:val="24"/>
          <w:lang w:eastAsia="pl-PL"/>
        </w:rPr>
        <w:t xml:space="preserve">Należy także dodać, że renta </w:t>
      </w:r>
      <w:r w:rsidR="00DA6109" w:rsidRPr="00C41BBF">
        <w:rPr>
          <w:rFonts w:ascii="Times New Roman" w:eastAsiaTheme="minorEastAsia" w:hAnsi="Times New Roman" w:cs="Times New Roman"/>
          <w:color w:val="000000"/>
          <w:sz w:val="24"/>
          <w:szCs w:val="24"/>
          <w:lang w:eastAsia="pl-PL"/>
        </w:rPr>
        <w:t xml:space="preserve">rodzinna </w:t>
      </w:r>
      <w:r w:rsidRPr="00C41BBF">
        <w:rPr>
          <w:rFonts w:ascii="Times New Roman" w:eastAsiaTheme="minorEastAsia" w:hAnsi="Times New Roman" w:cs="Times New Roman"/>
          <w:color w:val="000000"/>
          <w:sz w:val="24"/>
          <w:szCs w:val="24"/>
          <w:lang w:eastAsia="pl-PL"/>
        </w:rPr>
        <w:t xml:space="preserve">małoletniego dziecka nie będzie stanowiła podstawy wymiaru składki zdrowotnej dzięki zmianom zawartym w art. </w:t>
      </w:r>
      <w:r w:rsidR="0081096D" w:rsidRPr="00C41BBF">
        <w:rPr>
          <w:rFonts w:ascii="Times New Roman" w:eastAsiaTheme="minorEastAsia" w:hAnsi="Times New Roman" w:cs="Times New Roman"/>
          <w:color w:val="000000"/>
          <w:sz w:val="24"/>
          <w:szCs w:val="24"/>
          <w:lang w:eastAsia="pl-PL"/>
        </w:rPr>
        <w:t xml:space="preserve">8 </w:t>
      </w:r>
      <w:r w:rsidR="00DA6109" w:rsidRPr="00C41BBF">
        <w:rPr>
          <w:rFonts w:ascii="Times New Roman" w:eastAsiaTheme="minorEastAsia" w:hAnsi="Times New Roman" w:cs="Times New Roman"/>
          <w:color w:val="000000"/>
          <w:sz w:val="24"/>
          <w:szCs w:val="24"/>
          <w:lang w:eastAsia="pl-PL"/>
        </w:rPr>
        <w:t>pkt 1</w:t>
      </w:r>
      <w:r w:rsidR="00810B7F">
        <w:rPr>
          <w:rFonts w:ascii="Times New Roman" w:eastAsiaTheme="minorEastAsia" w:hAnsi="Times New Roman" w:cs="Times New Roman"/>
          <w:sz w:val="24"/>
          <w:szCs w:val="24"/>
        </w:rPr>
        <w:t>–</w:t>
      </w:r>
      <w:r w:rsidR="00DA6109" w:rsidRPr="00C41BBF">
        <w:rPr>
          <w:rFonts w:ascii="Times New Roman" w:eastAsiaTheme="minorEastAsia" w:hAnsi="Times New Roman" w:cs="Times New Roman"/>
          <w:color w:val="000000"/>
          <w:sz w:val="24"/>
          <w:szCs w:val="24"/>
          <w:lang w:eastAsia="pl-PL"/>
        </w:rPr>
        <w:t xml:space="preserve">3 projektowanej ustawy, tj. nowelizacji </w:t>
      </w:r>
      <w:r w:rsidR="00DA6109" w:rsidRPr="00C41BBF">
        <w:rPr>
          <w:rFonts w:ascii="Times New Roman" w:hAnsi="Times New Roman" w:cs="Times New Roman"/>
          <w:sz w:val="24"/>
          <w:szCs w:val="24"/>
        </w:rPr>
        <w:t>ustawy z dnia 27 sierpnia 2004 r. o świadczeniach opieki zdrowotnej finansowanych ze środków publicznych.</w:t>
      </w:r>
    </w:p>
    <w:p w14:paraId="67851358"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 xml:space="preserve">Zmiany w zakresie zwolnień przedmiotowych </w:t>
      </w:r>
    </w:p>
    <w:p w14:paraId="7744082F"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Ustawa PIT reguluje tzw. PIT-0, tj. zwolnienia przedmiotowe dotyczące określonych w art. 21 ust. 1 pkt 148 i pkt 152–154 źródeł przychodów do kwoty przychodów wynoszącej 85 528 zł w skali roku podatkowego.</w:t>
      </w:r>
    </w:p>
    <w:p w14:paraId="07FADE86"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Są to ulgi potocznie nazywane: ulgą dla młodych (art. 21 ust. 1 pkt 148 ustawy PIT), ulgą na powrót (art. 21 ust. 1 pkt 152 ustawy PIT), PIT-0 dla rodzin 4+ (art. 21 ust. 1 pkt 153 ustawy PIT) i PIT-0 dla pracujących seniorów (art. 21 ust. 1 pkt 154 ustawy PIT).</w:t>
      </w:r>
    </w:p>
    <w:p w14:paraId="720337BD" w14:textId="28FCBB5B" w:rsidR="00DA6109"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 przewiduje poszerzenie tych zwolnień o nowy rodzaj przychodów, tj. o zasiłki macierzyńskie. </w:t>
      </w:r>
    </w:p>
    <w:p w14:paraId="6EE0D1C1" w14:textId="0C2C9A81" w:rsidR="006A13AB" w:rsidRPr="00C41BBF" w:rsidRDefault="006A13AB"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Dla wyeliminowania wątpliwości interpretacyjnych należy w tym miejscu wyjaśnić, że funkcjonariuszkom uzyskującym przychody ze stosunku służbowego nie przysługuje zasiłek macierzyński, lecz uposażenie wypłacane na podstawie ustaw pragmatycznych (art. 121a ustawy o Policji, art. 125a ustawy o Straży Granicznej, art. 105a ustawy o Państwowej Straży Pożarnej, art. 193 ustawy o Służbie Ochrony Państwa). Uposażenie to będzie korzystało ze zwolnienia jako przychód ze stosunku służbowego, o którym mowa w art. 21 ust. 1 pkt 148 i pkt 152–154 ustawy PIT.</w:t>
      </w:r>
    </w:p>
    <w:p w14:paraId="3E378070" w14:textId="3CD655EE"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Zmian</w:t>
      </w:r>
      <w:r w:rsidR="00DA6109" w:rsidRPr="00C41BBF">
        <w:rPr>
          <w:rFonts w:ascii="Times New Roman" w:eastAsiaTheme="minorEastAsia" w:hAnsi="Times New Roman" w:cs="Times New Roman"/>
          <w:sz w:val="24"/>
          <w:szCs w:val="24"/>
          <w:lang w:eastAsia="pl-PL"/>
        </w:rPr>
        <w:t>y</w:t>
      </w:r>
      <w:r w:rsidRPr="00C41BBF">
        <w:rPr>
          <w:rFonts w:ascii="Times New Roman" w:eastAsiaTheme="minorEastAsia" w:hAnsi="Times New Roman" w:cs="Times New Roman"/>
          <w:sz w:val="24"/>
          <w:szCs w:val="24"/>
          <w:lang w:eastAsia="pl-PL"/>
        </w:rPr>
        <w:t xml:space="preserve"> </w:t>
      </w:r>
      <w:r w:rsidR="00DA6109" w:rsidRPr="00C41BBF">
        <w:rPr>
          <w:rFonts w:ascii="Times New Roman" w:eastAsiaTheme="minorEastAsia" w:hAnsi="Times New Roman" w:cs="Times New Roman"/>
          <w:sz w:val="24"/>
          <w:szCs w:val="24"/>
          <w:lang w:eastAsia="pl-PL"/>
        </w:rPr>
        <w:t xml:space="preserve">w zakresie </w:t>
      </w:r>
      <w:r w:rsidR="007819CC" w:rsidRPr="00C41BBF">
        <w:rPr>
          <w:rFonts w:ascii="Times New Roman" w:eastAsiaTheme="minorEastAsia" w:hAnsi="Times New Roman" w:cs="Times New Roman"/>
          <w:sz w:val="24"/>
          <w:szCs w:val="24"/>
          <w:lang w:eastAsia="pl-PL"/>
        </w:rPr>
        <w:t>przedmiotowym tych zwolnień</w:t>
      </w:r>
      <w:r w:rsidRPr="00C41BBF">
        <w:rPr>
          <w:rFonts w:ascii="Times New Roman" w:eastAsiaTheme="minorEastAsia" w:hAnsi="Times New Roman" w:cs="Times New Roman"/>
          <w:sz w:val="24"/>
          <w:szCs w:val="24"/>
          <w:lang w:eastAsia="pl-PL"/>
        </w:rPr>
        <w:t xml:space="preserve"> </w:t>
      </w:r>
      <w:r w:rsidR="00DA6109" w:rsidRPr="00C41BBF">
        <w:rPr>
          <w:rFonts w:ascii="Times New Roman" w:eastAsiaTheme="minorEastAsia" w:hAnsi="Times New Roman" w:cs="Times New Roman"/>
          <w:sz w:val="24"/>
          <w:szCs w:val="24"/>
          <w:lang w:eastAsia="pl-PL"/>
        </w:rPr>
        <w:t xml:space="preserve">wprowadzane są </w:t>
      </w:r>
      <w:r w:rsidRPr="00C41BBF">
        <w:rPr>
          <w:rFonts w:ascii="Times New Roman" w:eastAsiaTheme="minorEastAsia" w:hAnsi="Times New Roman" w:cs="Times New Roman"/>
          <w:sz w:val="24"/>
          <w:szCs w:val="24"/>
          <w:lang w:eastAsia="pl-PL"/>
        </w:rPr>
        <w:t>na skutek oczekiwań społecznych.</w:t>
      </w:r>
    </w:p>
    <w:p w14:paraId="2FA665A2"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Realizując z kolei postulat Związku Nauczycielstwa Polskiego, projekt przewiduje zmianę art. 21 ust. 1 pkt 38 ustawy PIT.</w:t>
      </w:r>
    </w:p>
    <w:p w14:paraId="1D95C315"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 jego podstawie wolne od podatku dochodowego są świadczenia otrzymywane przez emerytów lub rencistów w związku z łączącym ich uprzednio z zakładem pracy stosunkiem służbowym, stosunkiem pracy lub spółdzielczym stosunkiem pracy, w tym od związków zawodowych, do wysokości nieprzekraczającej w roku podatkowym kwoty 3000 zł.</w:t>
      </w:r>
    </w:p>
    <w:p w14:paraId="1569BE32"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Na skutek realizacji tego postulatu zwolnieniem objęte zostaną ww. świadczenia otrzymywane również przez osoby uzyskujące nauczycielskie świadczenia kompensacyjne.</w:t>
      </w:r>
    </w:p>
    <w:p w14:paraId="14B2352C" w14:textId="1B7E3CF5" w:rsidR="00B96862" w:rsidRPr="00C41BBF" w:rsidRDefault="00DA6109"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Zaproponowano ponadto zwiększenie rocznego limitu </w:t>
      </w:r>
      <w:r w:rsidR="00137734" w:rsidRPr="00C41BBF">
        <w:rPr>
          <w:rFonts w:ascii="Times New Roman" w:eastAsiaTheme="minorEastAsia" w:hAnsi="Times New Roman" w:cs="Times New Roman"/>
          <w:sz w:val="24"/>
          <w:szCs w:val="24"/>
          <w:lang w:eastAsia="pl-PL"/>
        </w:rPr>
        <w:t xml:space="preserve">przewidzianego dla tego </w:t>
      </w:r>
      <w:r w:rsidRPr="00C41BBF">
        <w:rPr>
          <w:rFonts w:ascii="Times New Roman" w:eastAsiaTheme="minorEastAsia" w:hAnsi="Times New Roman" w:cs="Times New Roman"/>
          <w:sz w:val="24"/>
          <w:szCs w:val="24"/>
          <w:lang w:eastAsia="pl-PL"/>
        </w:rPr>
        <w:t xml:space="preserve">zwolnienia do 4500 zł (obecnie roczny limit wolnych od opodatkowania </w:t>
      </w:r>
      <w:r w:rsidR="00137734" w:rsidRPr="00C41BBF">
        <w:rPr>
          <w:rFonts w:ascii="Times New Roman" w:eastAsiaTheme="minorEastAsia" w:hAnsi="Times New Roman" w:cs="Times New Roman"/>
          <w:sz w:val="24"/>
          <w:szCs w:val="24"/>
          <w:lang w:eastAsia="pl-PL"/>
        </w:rPr>
        <w:t xml:space="preserve">określonych w omawianym przepisie </w:t>
      </w:r>
      <w:r w:rsidRPr="00C41BBF">
        <w:rPr>
          <w:rFonts w:ascii="Times New Roman" w:eastAsiaTheme="minorEastAsia" w:hAnsi="Times New Roman" w:cs="Times New Roman"/>
          <w:sz w:val="24"/>
          <w:szCs w:val="24"/>
          <w:lang w:eastAsia="pl-PL"/>
        </w:rPr>
        <w:t xml:space="preserve">świadczeń wynosi </w:t>
      </w:r>
      <w:r w:rsidR="00137734" w:rsidRPr="00C41BBF">
        <w:rPr>
          <w:rFonts w:ascii="Times New Roman" w:eastAsiaTheme="minorEastAsia" w:hAnsi="Times New Roman" w:cs="Times New Roman"/>
          <w:sz w:val="24"/>
          <w:szCs w:val="24"/>
          <w:lang w:eastAsia="pl-PL"/>
        </w:rPr>
        <w:t>3000 zł).</w:t>
      </w:r>
    </w:p>
    <w:p w14:paraId="13AE8485"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1AA758B6" w14:textId="34B81012" w:rsidR="00137734" w:rsidRPr="00C41BBF" w:rsidRDefault="00137734" w:rsidP="00C41BBF">
      <w:pPr>
        <w:suppressAutoHyphens/>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lastRenderedPageBreak/>
        <w:t xml:space="preserve">Zmiana dotycząca odliczenia składek na rzecz związków zawodowych </w:t>
      </w:r>
    </w:p>
    <w:p w14:paraId="43565FE1" w14:textId="77777777" w:rsidR="00F24B4B" w:rsidRPr="00C41BBF" w:rsidRDefault="00137734"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Obecnie na podstawie art. 26 ust. </w:t>
      </w:r>
      <w:r w:rsidR="00F24B4B" w:rsidRPr="00C41BBF">
        <w:rPr>
          <w:rFonts w:ascii="Times New Roman" w:eastAsiaTheme="minorEastAsia" w:hAnsi="Times New Roman" w:cs="Times New Roman"/>
          <w:sz w:val="24"/>
          <w:szCs w:val="24"/>
          <w:lang w:eastAsia="pl-PL"/>
        </w:rPr>
        <w:t xml:space="preserve">1 pkt </w:t>
      </w:r>
      <w:r w:rsidRPr="00C41BBF">
        <w:rPr>
          <w:rFonts w:ascii="Times New Roman" w:eastAsiaTheme="minorEastAsia" w:hAnsi="Times New Roman" w:cs="Times New Roman"/>
          <w:sz w:val="24"/>
          <w:szCs w:val="24"/>
          <w:lang w:eastAsia="pl-PL"/>
        </w:rPr>
        <w:t xml:space="preserve">2c ustawy PIT podstawa obliczenia podatku może być pomniejszona o kwoty składek członkowskich zapłaconych na rzecz związków zawodowych, w wysokości nieprzekraczającej w roku podatkowym kwoty 300 zł. W trakcie konsultacji publicznych zaproponowane zostało zwiększenie tego limitu do 500 zł. </w:t>
      </w:r>
      <w:r w:rsidR="00F24B4B" w:rsidRPr="00C41BBF">
        <w:rPr>
          <w:rFonts w:ascii="Times New Roman" w:eastAsiaTheme="minorEastAsia" w:hAnsi="Times New Roman" w:cs="Times New Roman"/>
          <w:sz w:val="24"/>
          <w:szCs w:val="24"/>
          <w:lang w:eastAsia="pl-PL"/>
        </w:rPr>
        <w:t>Ponadto</w:t>
      </w:r>
      <w:r w:rsidRPr="00C41BBF">
        <w:rPr>
          <w:rFonts w:ascii="Times New Roman" w:eastAsiaTheme="minorEastAsia" w:hAnsi="Times New Roman" w:cs="Times New Roman"/>
          <w:sz w:val="24"/>
          <w:szCs w:val="24"/>
          <w:lang w:eastAsia="pl-PL"/>
        </w:rPr>
        <w:t xml:space="preserve"> </w:t>
      </w:r>
      <w:r w:rsidR="00F24B4B" w:rsidRPr="00C41BBF">
        <w:rPr>
          <w:rFonts w:ascii="Times New Roman" w:eastAsiaTheme="minorEastAsia" w:hAnsi="Times New Roman" w:cs="Times New Roman"/>
          <w:sz w:val="24"/>
          <w:szCs w:val="24"/>
          <w:lang w:eastAsia="pl-PL"/>
        </w:rPr>
        <w:t>w przepisie normującym dokumentowanie tych wydatków (art. 26 ust. 7 ust. 5 ustawy PIT) zaproponowano, aby dokument ten mogła stanowić informacja PIT-11, w której już obecnie (w części G) pracodawca wykazuje wysokość pobranych z wynagrodzenia (na skutek otrzymanego od pracownika upoważnienia) podlegających odliczeniu składek na rzecz związków zawodowych.</w:t>
      </w:r>
    </w:p>
    <w:p w14:paraId="39F17878" w14:textId="686D6499" w:rsidR="00137734" w:rsidRPr="00C41BBF" w:rsidRDefault="00137734"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Propozycj</w:t>
      </w:r>
      <w:r w:rsidR="00F24B4B" w:rsidRPr="00C41BBF">
        <w:rPr>
          <w:rFonts w:ascii="Times New Roman" w:eastAsiaTheme="minorEastAsia" w:hAnsi="Times New Roman" w:cs="Times New Roman"/>
          <w:sz w:val="24"/>
          <w:szCs w:val="24"/>
          <w:lang w:eastAsia="pl-PL"/>
        </w:rPr>
        <w:t>e</w:t>
      </w:r>
      <w:r w:rsidRPr="00C41BBF">
        <w:rPr>
          <w:rFonts w:ascii="Times New Roman" w:eastAsiaTheme="minorEastAsia" w:hAnsi="Times New Roman" w:cs="Times New Roman"/>
          <w:sz w:val="24"/>
          <w:szCs w:val="24"/>
          <w:lang w:eastAsia="pl-PL"/>
        </w:rPr>
        <w:t xml:space="preserve"> </w:t>
      </w:r>
      <w:r w:rsidR="00F24B4B" w:rsidRPr="00C41BBF">
        <w:rPr>
          <w:rFonts w:ascii="Times New Roman" w:eastAsiaTheme="minorEastAsia" w:hAnsi="Times New Roman" w:cs="Times New Roman"/>
          <w:sz w:val="24"/>
          <w:szCs w:val="24"/>
          <w:lang w:eastAsia="pl-PL"/>
        </w:rPr>
        <w:t xml:space="preserve">te </w:t>
      </w:r>
      <w:r w:rsidRPr="00C41BBF">
        <w:rPr>
          <w:rFonts w:ascii="Times New Roman" w:eastAsiaTheme="minorEastAsia" w:hAnsi="Times New Roman" w:cs="Times New Roman"/>
          <w:sz w:val="24"/>
          <w:szCs w:val="24"/>
          <w:lang w:eastAsia="pl-PL"/>
        </w:rPr>
        <w:t>zyskał</w:t>
      </w:r>
      <w:r w:rsidR="00F24B4B" w:rsidRPr="00C41BBF">
        <w:rPr>
          <w:rFonts w:ascii="Times New Roman" w:eastAsiaTheme="minorEastAsia" w:hAnsi="Times New Roman" w:cs="Times New Roman"/>
          <w:sz w:val="24"/>
          <w:szCs w:val="24"/>
          <w:lang w:eastAsia="pl-PL"/>
        </w:rPr>
        <w:t>y</w:t>
      </w:r>
      <w:r w:rsidRPr="00C41BBF">
        <w:rPr>
          <w:rFonts w:ascii="Times New Roman" w:eastAsiaTheme="minorEastAsia" w:hAnsi="Times New Roman" w:cs="Times New Roman"/>
          <w:sz w:val="24"/>
          <w:szCs w:val="24"/>
          <w:lang w:eastAsia="pl-PL"/>
        </w:rPr>
        <w:t xml:space="preserve"> akceptację. </w:t>
      </w:r>
    </w:p>
    <w:p w14:paraId="76AA093C" w14:textId="77777777" w:rsidR="00137734" w:rsidRPr="00C41BBF" w:rsidRDefault="00137734" w:rsidP="00C41BBF">
      <w:pPr>
        <w:suppressAutoHyphens/>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p>
    <w:p w14:paraId="291EAA40"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 xml:space="preserve">Zmiany o charakterze porządkowym </w:t>
      </w:r>
    </w:p>
    <w:p w14:paraId="5F159B9A" w14:textId="632EEB44" w:rsidR="00E56484" w:rsidRPr="00C41BBF" w:rsidRDefault="00E56484" w:rsidP="00C41BBF">
      <w:pPr>
        <w:autoSpaceDE w:val="0"/>
        <w:autoSpaceDN w:val="0"/>
        <w:spacing w:before="120" w:line="360" w:lineRule="auto"/>
        <w:jc w:val="both"/>
        <w:rPr>
          <w:rFonts w:ascii="Times New Roman" w:hAnsi="Times New Roman" w:cs="Times New Roman"/>
          <w:color w:val="0070C0"/>
          <w:sz w:val="24"/>
          <w:szCs w:val="24"/>
          <w:lang w:eastAsia="pl-PL"/>
        </w:rPr>
      </w:pPr>
      <w:r w:rsidRPr="00C41BBF">
        <w:rPr>
          <w:rFonts w:ascii="Times New Roman" w:hAnsi="Times New Roman" w:cs="Times New Roman"/>
          <w:color w:val="0070C0"/>
          <w:sz w:val="24"/>
          <w:szCs w:val="24"/>
          <w:lang w:eastAsia="pl-PL"/>
        </w:rPr>
        <w:t>Zmiana redakcji przepisu dotyczącego ujmowania w kosztach uzyskania przychodów składek na ubezpieczenia społeczne w części finansowanej przez płatnika</w:t>
      </w:r>
    </w:p>
    <w:p w14:paraId="7AA95206" w14:textId="30E0D826" w:rsidR="00E56484" w:rsidRPr="00C41BBF" w:rsidRDefault="00E56484" w:rsidP="00C41BBF">
      <w:pPr>
        <w:autoSpaceDE w:val="0"/>
        <w:autoSpaceDN w:val="0"/>
        <w:spacing w:before="12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 xml:space="preserve">Została zmieniona redakcja art. 22 ust 6bb ustawy PIT. Zmiana redakcji jest wynikiem zgłaszanych postulatów, żeby składki na ubezpieczenia społeczne z tytułu należności np. ze stosunku pracy, w części finansowanej przez płatnika tych składek, były kosztem w miesiącu, za który są należne, jeżeli zostały opłacone w terminie wynikającym z przepisów o systemie ubezpieczeń społecznych, a nie w odrębnym terminie </w:t>
      </w:r>
      <w:r w:rsidR="00DF6231" w:rsidRPr="00C41BBF">
        <w:rPr>
          <w:rFonts w:ascii="Times New Roman" w:hAnsi="Times New Roman" w:cs="Times New Roman"/>
          <w:sz w:val="24"/>
          <w:szCs w:val="24"/>
          <w:lang w:eastAsia="pl-PL"/>
        </w:rPr>
        <w:t xml:space="preserve">dotychczas </w:t>
      </w:r>
      <w:r w:rsidRPr="00C41BBF">
        <w:rPr>
          <w:rFonts w:ascii="Times New Roman" w:hAnsi="Times New Roman" w:cs="Times New Roman"/>
          <w:sz w:val="24"/>
          <w:szCs w:val="24"/>
          <w:lang w:eastAsia="pl-PL"/>
        </w:rPr>
        <w:t xml:space="preserve">określonym w przepisach podatkowych. </w:t>
      </w:r>
    </w:p>
    <w:p w14:paraId="42967B29" w14:textId="497BA80D" w:rsidR="00E56484" w:rsidRPr="00C41BBF" w:rsidRDefault="00DF6231" w:rsidP="00C41BBF">
      <w:pPr>
        <w:autoSpaceDE w:val="0"/>
        <w:autoSpaceDN w:val="0"/>
        <w:spacing w:before="12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Zmiana wejdzie w życie od 1 stycznia 2023 r. i będzie miała zastosowanie do składek z tytułu należności, o których mowa w art. 22 ust. 6bb ustawy PIT, należnych od 1 stycznia 2023 r.</w:t>
      </w:r>
    </w:p>
    <w:p w14:paraId="077F47ED" w14:textId="77777777" w:rsidR="00B96862" w:rsidRPr="00C41BBF" w:rsidRDefault="00B96862" w:rsidP="00C41BBF">
      <w:pPr>
        <w:autoSpaceDE w:val="0"/>
        <w:autoSpaceDN w:val="0"/>
        <w:spacing w:before="120" w:line="360" w:lineRule="auto"/>
        <w:jc w:val="both"/>
        <w:rPr>
          <w:rFonts w:ascii="Times New Roman" w:hAnsi="Times New Roman" w:cs="Times New Roman"/>
          <w:color w:val="0070C0"/>
          <w:sz w:val="24"/>
          <w:szCs w:val="24"/>
          <w:lang w:eastAsia="pl-PL"/>
        </w:rPr>
      </w:pPr>
      <w:r w:rsidRPr="00C41BBF">
        <w:rPr>
          <w:rFonts w:ascii="Times New Roman" w:hAnsi="Times New Roman" w:cs="Times New Roman"/>
          <w:color w:val="0070C0"/>
          <w:sz w:val="24"/>
          <w:szCs w:val="24"/>
          <w:lang w:eastAsia="pl-PL"/>
        </w:rPr>
        <w:t>Możliwość rezygnacji podatnika ze stosowania podwyższonych miesięcznych zryczałtowanych pracowniczych kosztów uzyskania przychodów – nowe brzmienie art. 32 ust. 6 ustawy PIT</w:t>
      </w:r>
    </w:p>
    <w:p w14:paraId="38F6F22A" w14:textId="77777777" w:rsidR="00B96862" w:rsidRPr="00C41BBF" w:rsidRDefault="00B96862" w:rsidP="00C41BBF">
      <w:pPr>
        <w:autoSpaceDE w:val="0"/>
        <w:autoSpaceDN w:val="0"/>
        <w:spacing w:before="12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lastRenderedPageBreak/>
        <w:t xml:space="preserve">W obecnym stanie prawnym pracownik mógł złożyć </w:t>
      </w:r>
      <w:r w:rsidRPr="00C41BBF">
        <w:rPr>
          <w:rFonts w:ascii="Times New Roman" w:hAnsi="Times New Roman" w:cs="Times New Roman"/>
          <w:sz w:val="24"/>
          <w:szCs w:val="24"/>
        </w:rPr>
        <w:t xml:space="preserve">wniosek o obliczanie zaliczek bez stosowania miesięcznych kosztów uzyskania przychodów, o których mowa w art. 22 ust. 2 pkt 1 ustawy PIT (dotychczasowe brzmienie ust. 1f w art. 32 ustawy PIT). Zatem podatnik był na tej podstawie uprawniony do rezygnacji z korzystania z podstawowych miesięcznych kosztów uzyskania przychodów wynoszących 250 zł. Projektowana zmiana proponuje objęcie taką możliwością również kosztów określonych dla pracowników zamiejscowych, dojeżdżających do pracy z innej miejscowości (art. 22 ust. 1 pkt 3 ustawy PIT). Koszty te wynoszą miesięcznie 300 zł. </w:t>
      </w:r>
    </w:p>
    <w:p w14:paraId="74B50F65" w14:textId="77777777" w:rsidR="00B96862" w:rsidRPr="00C41BBF" w:rsidRDefault="00B96862" w:rsidP="00C41BBF">
      <w:pPr>
        <w:autoSpaceDE w:val="0"/>
        <w:autoSpaceDN w:val="0"/>
        <w:spacing w:before="120" w:line="360" w:lineRule="auto"/>
        <w:jc w:val="both"/>
        <w:rPr>
          <w:rFonts w:ascii="Times New Roman" w:hAnsi="Times New Roman" w:cs="Times New Roman"/>
          <w:color w:val="0070C0"/>
          <w:sz w:val="24"/>
          <w:szCs w:val="24"/>
          <w:lang w:eastAsia="pl-PL"/>
        </w:rPr>
      </w:pPr>
      <w:r w:rsidRPr="00C41BBF">
        <w:rPr>
          <w:rFonts w:ascii="Times New Roman" w:eastAsiaTheme="minorEastAsia" w:hAnsi="Times New Roman" w:cs="Times New Roman"/>
          <w:color w:val="0070C0"/>
          <w:sz w:val="24"/>
          <w:szCs w:val="24"/>
          <w:lang w:eastAsia="pl-PL"/>
        </w:rPr>
        <w:t>Przepisy dotyczące oświadczeń składanych przez podatników płatnikom podatku dochodowego – wprowadzany art. 31a ustawy PIT</w:t>
      </w:r>
    </w:p>
    <w:p w14:paraId="611C833C"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Projektowana ustawa porządkuje przepisy dotyczące oświadczeń składanych przez podatników płatnikom podatku dochodowego (np. pracodawcom, zleceniodawcom, organom rentowym) – dodawany art. 31a w ustawie PIT.</w:t>
      </w:r>
    </w:p>
    <w:p w14:paraId="1DE38438"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Przepisy dotyczące tej materii nowelizacja nie tylko umieszcza w jednym miejscu, ale również ujednolica zasady składania wniosków/oświadczeń oraz uwzględniania ich przez płatników podatku dochodowego. </w:t>
      </w:r>
    </w:p>
    <w:p w14:paraId="3C540FA4" w14:textId="03C0CD12" w:rsidR="00B96862" w:rsidRPr="00C41BBF" w:rsidRDefault="00B96862" w:rsidP="00C41BBF">
      <w:pPr>
        <w:pStyle w:val="ZARTzmartartykuempunktem"/>
        <w:spacing w:before="120"/>
        <w:ind w:left="0" w:firstLine="0"/>
        <w:rPr>
          <w:rFonts w:ascii="Times New Roman" w:hAnsi="Times New Roman" w:cs="Times New Roman"/>
          <w:szCs w:val="24"/>
        </w:rPr>
      </w:pPr>
      <w:r w:rsidRPr="00C41BBF">
        <w:rPr>
          <w:rFonts w:ascii="Times New Roman" w:hAnsi="Times New Roman" w:cs="Times New Roman"/>
          <w:szCs w:val="24"/>
        </w:rPr>
        <w:t>Z dodane</w:t>
      </w:r>
      <w:r w:rsidR="00A353DD" w:rsidRPr="00C41BBF">
        <w:rPr>
          <w:rFonts w:ascii="Times New Roman" w:hAnsi="Times New Roman" w:cs="Times New Roman"/>
          <w:szCs w:val="24"/>
        </w:rPr>
        <w:t>go</w:t>
      </w:r>
      <w:r w:rsidRPr="00C41BBF">
        <w:rPr>
          <w:rFonts w:ascii="Times New Roman" w:hAnsi="Times New Roman" w:cs="Times New Roman"/>
          <w:szCs w:val="24"/>
        </w:rPr>
        <w:t xml:space="preserve"> artykułu wynikać będzie, że podatnik oświadczenia i wnioski mające wpływ na obliczenie zaliczki ma składać płatnikowi na piśmie.</w:t>
      </w:r>
    </w:p>
    <w:p w14:paraId="65494CC1" w14:textId="52E991A8" w:rsidR="00F24B4B" w:rsidRPr="00C41BBF" w:rsidRDefault="00A60DCA" w:rsidP="00C41BBF">
      <w:pPr>
        <w:spacing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Aby wykluczyć i wyjaśnić wszelkie wątpliwości odnoś</w:t>
      </w:r>
      <w:r w:rsidR="0051050A">
        <w:rPr>
          <w:rFonts w:ascii="Times New Roman" w:eastAsiaTheme="minorEastAsia" w:hAnsi="Times New Roman" w:cs="Times New Roman"/>
          <w:sz w:val="24"/>
          <w:szCs w:val="24"/>
          <w:lang w:eastAsia="pl-PL"/>
        </w:rPr>
        <w:t>n</w:t>
      </w:r>
      <w:r w:rsidRPr="00C41BBF">
        <w:rPr>
          <w:rFonts w:ascii="Times New Roman" w:eastAsiaTheme="minorEastAsia" w:hAnsi="Times New Roman" w:cs="Times New Roman"/>
          <w:sz w:val="24"/>
          <w:szCs w:val="24"/>
          <w:lang w:eastAsia="pl-PL"/>
        </w:rPr>
        <w:t xml:space="preserve">ie </w:t>
      </w:r>
      <w:r w:rsidR="00810B7F">
        <w:rPr>
          <w:rFonts w:ascii="Times New Roman" w:eastAsiaTheme="minorEastAsia" w:hAnsi="Times New Roman" w:cs="Times New Roman"/>
          <w:sz w:val="24"/>
          <w:szCs w:val="24"/>
          <w:lang w:eastAsia="pl-PL"/>
        </w:rPr>
        <w:t xml:space="preserve">do </w:t>
      </w:r>
      <w:r w:rsidRPr="00C41BBF">
        <w:rPr>
          <w:rFonts w:ascii="Times New Roman" w:eastAsiaTheme="minorEastAsia" w:hAnsi="Times New Roman" w:cs="Times New Roman"/>
          <w:sz w:val="24"/>
          <w:szCs w:val="24"/>
          <w:lang w:eastAsia="pl-PL"/>
        </w:rPr>
        <w:t>dopuszczalnej formy składanych na piśmie oświadczeń</w:t>
      </w:r>
      <w:r w:rsidR="00F24B4B" w:rsidRPr="00C41BBF">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i wniosków</w:t>
      </w:r>
      <w:r w:rsidR="00810B7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należy</w:t>
      </w:r>
      <w:r w:rsidR="00F24B4B" w:rsidRPr="00C41BBF">
        <w:rPr>
          <w:rFonts w:ascii="Times New Roman" w:eastAsiaTheme="minorEastAsia" w:hAnsi="Times New Roman" w:cs="Times New Roman"/>
          <w:sz w:val="24"/>
          <w:szCs w:val="24"/>
          <w:lang w:eastAsia="pl-PL"/>
        </w:rPr>
        <w:t xml:space="preserve"> przywołać ustawę z dnia 18 listopada 2020 r. o doręczeniach </w:t>
      </w:r>
      <w:r w:rsidRPr="00C41BBF">
        <w:rPr>
          <w:rFonts w:ascii="Times New Roman" w:eastAsiaTheme="minorEastAsia" w:hAnsi="Times New Roman" w:cs="Times New Roman"/>
          <w:sz w:val="24"/>
          <w:szCs w:val="24"/>
          <w:lang w:eastAsia="pl-PL"/>
        </w:rPr>
        <w:t>e</w:t>
      </w:r>
      <w:r w:rsidR="00F24B4B" w:rsidRPr="00C41BBF">
        <w:rPr>
          <w:rFonts w:ascii="Times New Roman" w:eastAsiaTheme="minorEastAsia" w:hAnsi="Times New Roman" w:cs="Times New Roman"/>
          <w:sz w:val="24"/>
          <w:szCs w:val="24"/>
          <w:lang w:eastAsia="pl-PL"/>
        </w:rPr>
        <w:t>lektronicznych</w:t>
      </w:r>
      <w:r w:rsidRPr="00C41BBF">
        <w:rPr>
          <w:rFonts w:ascii="Times New Roman" w:eastAsiaTheme="minorEastAsia" w:hAnsi="Times New Roman" w:cs="Times New Roman"/>
          <w:sz w:val="24"/>
          <w:szCs w:val="24"/>
          <w:lang w:eastAsia="pl-PL"/>
        </w:rPr>
        <w:t xml:space="preserve"> (</w:t>
      </w:r>
      <w:r w:rsidR="00F24B4B" w:rsidRPr="00C41BBF">
        <w:rPr>
          <w:rFonts w:ascii="Times New Roman" w:eastAsiaTheme="minorEastAsia" w:hAnsi="Times New Roman" w:cs="Times New Roman"/>
          <w:sz w:val="24"/>
          <w:szCs w:val="24"/>
          <w:lang w:eastAsia="pl-PL"/>
        </w:rPr>
        <w:t xml:space="preserve">Dz. U. </w:t>
      </w:r>
      <w:r w:rsidRPr="00C41BBF">
        <w:rPr>
          <w:rFonts w:ascii="Times New Roman" w:eastAsiaTheme="minorEastAsia" w:hAnsi="Times New Roman" w:cs="Times New Roman"/>
          <w:sz w:val="24"/>
          <w:szCs w:val="24"/>
          <w:lang w:eastAsia="pl-PL"/>
        </w:rPr>
        <w:t xml:space="preserve">z 2022 r. </w:t>
      </w:r>
      <w:r w:rsidR="00F24B4B" w:rsidRPr="00C41BBF">
        <w:rPr>
          <w:rFonts w:ascii="Times New Roman" w:eastAsiaTheme="minorEastAsia" w:hAnsi="Times New Roman" w:cs="Times New Roman"/>
          <w:sz w:val="24"/>
          <w:szCs w:val="24"/>
          <w:lang w:eastAsia="pl-PL"/>
        </w:rPr>
        <w:t xml:space="preserve">poz. </w:t>
      </w:r>
      <w:r w:rsidRPr="00C41BBF">
        <w:rPr>
          <w:rFonts w:ascii="Times New Roman" w:eastAsiaTheme="minorEastAsia" w:hAnsi="Times New Roman" w:cs="Times New Roman"/>
          <w:sz w:val="24"/>
          <w:szCs w:val="24"/>
          <w:lang w:eastAsia="pl-PL"/>
        </w:rPr>
        <w:t xml:space="preserve">569). </w:t>
      </w:r>
    </w:p>
    <w:p w14:paraId="30D25D10" w14:textId="0433B4A4" w:rsidR="00D14340" w:rsidRPr="00C41BBF" w:rsidRDefault="00A60DCA" w:rsidP="00C41BBF">
      <w:pPr>
        <w:spacing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Dzięki tej ustawie nastąpiła zmiana w zakresie stosownej w przepisach prawa terminologii. Używany w przepisach aktów normatywnych wyraz „pisemnie” został zastąpiony</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wyrażeniem „sporządzonym na piśmie”, wyrażenie „w formie pisemnej” na wyrażenie „na piśmie”, a wyraz „pisemnie” na wyrażenie „na piśmie” lub „przedstawione na piśmie” (w zależności od kontekstu zdania).</w:t>
      </w:r>
      <w:r w:rsidR="00D14340" w:rsidRPr="00C41BBF">
        <w:rPr>
          <w:rFonts w:ascii="Times New Roman" w:eastAsiaTheme="minorEastAsia" w:hAnsi="Times New Roman" w:cs="Times New Roman"/>
          <w:sz w:val="24"/>
          <w:szCs w:val="24"/>
          <w:lang w:eastAsia="pl-PL"/>
        </w:rPr>
        <w:t xml:space="preserve"> Ustawa PIT również została zmieniona w tym zakresie.</w:t>
      </w:r>
    </w:p>
    <w:p w14:paraId="0F169740" w14:textId="4D922958" w:rsidR="00A60DCA" w:rsidRPr="00C41BBF" w:rsidRDefault="00D14340" w:rsidP="00C41BBF">
      <w:pPr>
        <w:spacing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Celem tej zmiany było zr</w:t>
      </w:r>
      <w:r w:rsidR="00A60DCA" w:rsidRPr="00C41BBF">
        <w:rPr>
          <w:rFonts w:ascii="Times New Roman" w:eastAsiaTheme="minorEastAsia" w:hAnsi="Times New Roman" w:cs="Times New Roman"/>
          <w:sz w:val="24"/>
          <w:szCs w:val="24"/>
          <w:lang w:eastAsia="pl-PL"/>
        </w:rPr>
        <w:t xml:space="preserve">ównoważenie postaci papierowej z postacią elektroniczną. Zwrot „na piśmie” odnosi się </w:t>
      </w:r>
      <w:r w:rsidRPr="00C41BBF">
        <w:rPr>
          <w:rFonts w:ascii="Times New Roman" w:eastAsiaTheme="minorEastAsia" w:hAnsi="Times New Roman" w:cs="Times New Roman"/>
          <w:sz w:val="24"/>
          <w:szCs w:val="24"/>
          <w:lang w:eastAsia="pl-PL"/>
        </w:rPr>
        <w:t xml:space="preserve">bowiem </w:t>
      </w:r>
      <w:r w:rsidR="00A60DCA" w:rsidRPr="00C41BBF">
        <w:rPr>
          <w:rFonts w:ascii="Times New Roman" w:eastAsiaTheme="minorEastAsia" w:hAnsi="Times New Roman" w:cs="Times New Roman"/>
          <w:sz w:val="24"/>
          <w:szCs w:val="24"/>
          <w:lang w:eastAsia="pl-PL"/>
        </w:rPr>
        <w:t xml:space="preserve">do sposobu utrwalenia informacji w postaci </w:t>
      </w:r>
      <w:r w:rsidR="00A60DCA" w:rsidRPr="00C41BBF">
        <w:rPr>
          <w:rFonts w:ascii="Times New Roman" w:eastAsiaTheme="minorEastAsia" w:hAnsi="Times New Roman" w:cs="Times New Roman"/>
          <w:sz w:val="24"/>
          <w:szCs w:val="24"/>
          <w:lang w:eastAsia="pl-PL"/>
        </w:rPr>
        <w:lastRenderedPageBreak/>
        <w:t xml:space="preserve">znaków pisma, w przeciwieństwie do zwrotu „pisemnie”, który sugeruje konieczność opatrzenia dokumentu w postaci papierowej podpisem własnoręcznym. </w:t>
      </w:r>
    </w:p>
    <w:p w14:paraId="47B94010" w14:textId="56B7D077" w:rsidR="00F24B4B" w:rsidRPr="00C41BBF" w:rsidRDefault="00D14340" w:rsidP="00C41BBF">
      <w:pPr>
        <w:pStyle w:val="ZARTzmartartykuempunktem"/>
        <w:spacing w:before="120"/>
        <w:ind w:left="0" w:firstLine="0"/>
        <w:rPr>
          <w:rFonts w:ascii="Times New Roman" w:hAnsi="Times New Roman" w:cs="Times New Roman"/>
          <w:szCs w:val="24"/>
        </w:rPr>
      </w:pPr>
      <w:r w:rsidRPr="00C41BBF">
        <w:rPr>
          <w:rFonts w:ascii="Times New Roman" w:hAnsi="Times New Roman" w:cs="Times New Roman"/>
          <w:szCs w:val="24"/>
        </w:rPr>
        <w:t>Od tego czasu nie powinno już budzić wątpliwości, że oświadczenia i wnioski podatnicy mogą składać również poprzez kadrowo-płacowe systemy elektroniczne funkcjonujące u danego pracodawcy, a nie wyłącznie „pisemnie”.</w:t>
      </w:r>
    </w:p>
    <w:p w14:paraId="19454F4A" w14:textId="0913EDF2" w:rsidR="00D14340" w:rsidRPr="00C41BBF" w:rsidRDefault="00D14340" w:rsidP="00C41BBF">
      <w:pPr>
        <w:pStyle w:val="ZUSTzmustartykuempunktem"/>
        <w:spacing w:before="120"/>
        <w:ind w:left="0" w:firstLine="0"/>
        <w:rPr>
          <w:rFonts w:ascii="Times New Roman" w:hAnsi="Times New Roman" w:cs="Times New Roman"/>
          <w:szCs w:val="24"/>
        </w:rPr>
      </w:pPr>
      <w:r w:rsidRPr="00C41BBF">
        <w:rPr>
          <w:rFonts w:ascii="Times New Roman" w:hAnsi="Times New Roman" w:cs="Times New Roman"/>
          <w:szCs w:val="24"/>
        </w:rPr>
        <w:t xml:space="preserve">Na podstawie projektowanego art. 31a </w:t>
      </w:r>
      <w:r w:rsidR="00ED3D45" w:rsidRPr="00C41BBF">
        <w:rPr>
          <w:rFonts w:ascii="Times New Roman" w:hAnsi="Times New Roman" w:cs="Times New Roman"/>
          <w:szCs w:val="24"/>
        </w:rPr>
        <w:t xml:space="preserve">ustawy PIT </w:t>
      </w:r>
      <w:r w:rsidR="00F31F21" w:rsidRPr="00C41BBF">
        <w:rPr>
          <w:rFonts w:ascii="Times New Roman" w:hAnsi="Times New Roman" w:cs="Times New Roman"/>
          <w:szCs w:val="24"/>
        </w:rPr>
        <w:t>o</w:t>
      </w:r>
      <w:r w:rsidRPr="00C41BBF">
        <w:rPr>
          <w:rFonts w:ascii="Times New Roman" w:hAnsi="Times New Roman" w:cs="Times New Roman"/>
          <w:szCs w:val="24"/>
        </w:rPr>
        <w:t xml:space="preserve">świadczenia i wnioski, o których mowa w art. 31b ust. 1, art. 32 ust. 3, 6, 9 ustawy PIT, będą mogły być złożone według ustalonego wzoru albo </w:t>
      </w:r>
      <w:r w:rsidR="00ED3D45" w:rsidRPr="00C41BBF">
        <w:rPr>
          <w:rFonts w:ascii="Times New Roman" w:hAnsi="Times New Roman" w:cs="Times New Roman"/>
          <w:szCs w:val="24"/>
        </w:rPr>
        <w:t xml:space="preserve">(nowe rozwiązanie) </w:t>
      </w:r>
      <w:r w:rsidRPr="00C41BBF">
        <w:rPr>
          <w:rFonts w:ascii="Times New Roman" w:hAnsi="Times New Roman" w:cs="Times New Roman"/>
          <w:szCs w:val="24"/>
        </w:rPr>
        <w:t>w inny sposób przyjęty u danego płatnika.</w:t>
      </w:r>
      <w:r w:rsidR="00ED3D45" w:rsidRPr="00C41BBF">
        <w:rPr>
          <w:rFonts w:ascii="Times New Roman" w:hAnsi="Times New Roman" w:cs="Times New Roman"/>
          <w:szCs w:val="24"/>
        </w:rPr>
        <w:t xml:space="preserve"> </w:t>
      </w:r>
    </w:p>
    <w:p w14:paraId="6E70647B" w14:textId="5A0D8636" w:rsidR="00D14340" w:rsidRPr="00C41BBF" w:rsidRDefault="00ED3D45" w:rsidP="00C41BBF">
      <w:pPr>
        <w:pStyle w:val="ZUSTzmustartykuempunktem"/>
        <w:spacing w:before="120"/>
        <w:ind w:left="0" w:firstLine="0"/>
        <w:rPr>
          <w:rFonts w:ascii="Times New Roman" w:hAnsi="Times New Roman" w:cs="Times New Roman"/>
          <w:szCs w:val="24"/>
        </w:rPr>
      </w:pPr>
      <w:r w:rsidRPr="00C41BBF">
        <w:rPr>
          <w:rFonts w:ascii="Times New Roman" w:hAnsi="Times New Roman" w:cs="Times New Roman"/>
          <w:szCs w:val="24"/>
        </w:rPr>
        <w:t>Regulacja</w:t>
      </w:r>
      <w:r w:rsidR="00D14340" w:rsidRPr="00C41BBF">
        <w:rPr>
          <w:rFonts w:ascii="Times New Roman" w:hAnsi="Times New Roman" w:cs="Times New Roman"/>
          <w:szCs w:val="24"/>
        </w:rPr>
        <w:t xml:space="preserve"> ta </w:t>
      </w:r>
      <w:r w:rsidRPr="00C41BBF">
        <w:rPr>
          <w:rFonts w:ascii="Times New Roman" w:hAnsi="Times New Roman" w:cs="Times New Roman"/>
          <w:szCs w:val="24"/>
        </w:rPr>
        <w:t>dotyczy zatem:</w:t>
      </w:r>
    </w:p>
    <w:p w14:paraId="53E2A05B" w14:textId="7E38FD0F" w:rsidR="00ED3D45" w:rsidRPr="00C41BBF" w:rsidRDefault="00ED3D45" w:rsidP="00C41BBF">
      <w:pPr>
        <w:pStyle w:val="ZUSTzmustartykuempunktem"/>
        <w:numPr>
          <w:ilvl w:val="0"/>
          <w:numId w:val="44"/>
        </w:numPr>
        <w:spacing w:before="120"/>
        <w:ind w:left="714" w:hanging="357"/>
        <w:rPr>
          <w:rFonts w:ascii="Times New Roman" w:hAnsi="Times New Roman" w:cs="Times New Roman"/>
          <w:szCs w:val="24"/>
        </w:rPr>
      </w:pPr>
      <w:r w:rsidRPr="00C41BBF">
        <w:rPr>
          <w:rFonts w:ascii="Times New Roman" w:hAnsi="Times New Roman" w:cs="Times New Roman"/>
          <w:szCs w:val="24"/>
        </w:rPr>
        <w:t>oświadczenia w sprawie pomniejsza</w:t>
      </w:r>
      <w:r w:rsidR="00810B7F">
        <w:rPr>
          <w:rFonts w:ascii="Times New Roman" w:hAnsi="Times New Roman" w:cs="Times New Roman"/>
          <w:szCs w:val="24"/>
        </w:rPr>
        <w:t>nia</w:t>
      </w:r>
      <w:r w:rsidRPr="00C41BBF">
        <w:rPr>
          <w:rFonts w:ascii="Times New Roman" w:hAnsi="Times New Roman" w:cs="Times New Roman"/>
          <w:szCs w:val="24"/>
        </w:rPr>
        <w:t xml:space="preserve"> zaliczki o kwotę stanowiącą nie więcej niż 1/12 kwoty zmniejszającej podatek,</w:t>
      </w:r>
    </w:p>
    <w:p w14:paraId="03A9CF1C" w14:textId="69C18813" w:rsidR="00ED3D45" w:rsidRPr="00C41BBF" w:rsidRDefault="00ED3D45" w:rsidP="00C41BBF">
      <w:pPr>
        <w:pStyle w:val="ZUSTzmustartykuempunktem"/>
        <w:numPr>
          <w:ilvl w:val="0"/>
          <w:numId w:val="44"/>
        </w:numPr>
        <w:spacing w:before="120"/>
        <w:ind w:left="714" w:hanging="357"/>
        <w:rPr>
          <w:rFonts w:ascii="Times New Roman" w:hAnsi="Times New Roman" w:cs="Times New Roman"/>
          <w:szCs w:val="24"/>
        </w:rPr>
      </w:pPr>
      <w:r w:rsidRPr="00C41BBF">
        <w:rPr>
          <w:rFonts w:ascii="Times New Roman" w:hAnsi="Times New Roman" w:cs="Times New Roman"/>
          <w:szCs w:val="24"/>
        </w:rPr>
        <w:t xml:space="preserve">oświadczenia składanego pracodawcy w sprawie szczególnego sposobu obliczania zaliczki w przypadku zamiaru opodatkowania dochodu na zasadach określonych dla małżonków albo osób samotnie wychowujących dzieci, </w:t>
      </w:r>
    </w:p>
    <w:p w14:paraId="2DCA5064" w14:textId="04CF6AE8" w:rsidR="00ED3D45" w:rsidRPr="00C41BBF" w:rsidRDefault="00ED3D45" w:rsidP="00C41BBF">
      <w:pPr>
        <w:pStyle w:val="ZUSTzmustartykuempunktem"/>
        <w:numPr>
          <w:ilvl w:val="0"/>
          <w:numId w:val="44"/>
        </w:numPr>
        <w:spacing w:before="120"/>
        <w:ind w:left="714" w:hanging="357"/>
        <w:rPr>
          <w:rFonts w:ascii="Times New Roman" w:hAnsi="Times New Roman" w:cs="Times New Roman"/>
          <w:szCs w:val="24"/>
        </w:rPr>
      </w:pPr>
      <w:r w:rsidRPr="00C41BBF">
        <w:rPr>
          <w:rFonts w:ascii="Times New Roman" w:hAnsi="Times New Roman" w:cs="Times New Roman"/>
          <w:szCs w:val="24"/>
        </w:rPr>
        <w:t>wniosku o obliczanie zaliczek bez stosowania art. 21 ust. 1 pkt 148 (</w:t>
      </w:r>
      <w:r w:rsidR="000C0ED6" w:rsidRPr="00C41BBF">
        <w:rPr>
          <w:rFonts w:ascii="Times New Roman" w:hAnsi="Times New Roman" w:cs="Times New Roman"/>
          <w:szCs w:val="24"/>
        </w:rPr>
        <w:t xml:space="preserve">czyli </w:t>
      </w:r>
      <w:r w:rsidRPr="00C41BBF">
        <w:rPr>
          <w:rFonts w:ascii="Times New Roman" w:hAnsi="Times New Roman" w:cs="Times New Roman"/>
          <w:szCs w:val="24"/>
        </w:rPr>
        <w:t>tzw. ulg</w:t>
      </w:r>
      <w:r w:rsidR="000C0ED6" w:rsidRPr="00C41BBF">
        <w:rPr>
          <w:rFonts w:ascii="Times New Roman" w:hAnsi="Times New Roman" w:cs="Times New Roman"/>
          <w:szCs w:val="24"/>
        </w:rPr>
        <w:t>i</w:t>
      </w:r>
      <w:r w:rsidRPr="00C41BBF">
        <w:rPr>
          <w:rFonts w:ascii="Times New Roman" w:hAnsi="Times New Roman" w:cs="Times New Roman"/>
          <w:szCs w:val="24"/>
        </w:rPr>
        <w:t xml:space="preserve"> dla młodych) lub bez </w:t>
      </w:r>
      <w:r w:rsidR="000C0ED6" w:rsidRPr="00C41BBF">
        <w:rPr>
          <w:rFonts w:ascii="Times New Roman" w:hAnsi="Times New Roman" w:cs="Times New Roman"/>
          <w:szCs w:val="24"/>
        </w:rPr>
        <w:t xml:space="preserve">kwotowych </w:t>
      </w:r>
      <w:r w:rsidRPr="00C41BBF">
        <w:rPr>
          <w:rFonts w:ascii="Times New Roman" w:hAnsi="Times New Roman" w:cs="Times New Roman"/>
          <w:szCs w:val="24"/>
        </w:rPr>
        <w:t xml:space="preserve">miesięcznych </w:t>
      </w:r>
      <w:r w:rsidR="000C0ED6" w:rsidRPr="00C41BBF">
        <w:rPr>
          <w:rFonts w:ascii="Times New Roman" w:hAnsi="Times New Roman" w:cs="Times New Roman"/>
          <w:szCs w:val="24"/>
        </w:rPr>
        <w:t xml:space="preserve">pracowniczych </w:t>
      </w:r>
      <w:r w:rsidRPr="00C41BBF">
        <w:rPr>
          <w:rFonts w:ascii="Times New Roman" w:hAnsi="Times New Roman" w:cs="Times New Roman"/>
          <w:szCs w:val="24"/>
        </w:rPr>
        <w:t>kosztów uzyskania przychodów, o których mowa w art. 22 ust. 2 pkt 1 lub 3 ustawy PIT</w:t>
      </w:r>
      <w:r w:rsidR="000C0ED6" w:rsidRPr="00C41BBF">
        <w:rPr>
          <w:rFonts w:ascii="Times New Roman" w:hAnsi="Times New Roman" w:cs="Times New Roman"/>
          <w:szCs w:val="24"/>
        </w:rPr>
        <w:t xml:space="preserve"> (250 zł albo</w:t>
      </w:r>
      <w:r w:rsidR="004F7B24" w:rsidRPr="00C41BBF">
        <w:rPr>
          <w:rFonts w:ascii="Times New Roman" w:hAnsi="Times New Roman" w:cs="Times New Roman"/>
          <w:szCs w:val="24"/>
        </w:rPr>
        <w:t xml:space="preserve"> </w:t>
      </w:r>
      <w:r w:rsidR="000C0ED6" w:rsidRPr="00C41BBF">
        <w:rPr>
          <w:rFonts w:ascii="Times New Roman" w:hAnsi="Times New Roman" w:cs="Times New Roman"/>
          <w:szCs w:val="24"/>
        </w:rPr>
        <w:t>300 zł),</w:t>
      </w:r>
    </w:p>
    <w:p w14:paraId="4526B95C" w14:textId="7F99B3B2" w:rsidR="00ED3D45" w:rsidRPr="00C41BBF" w:rsidRDefault="00ED3D45" w:rsidP="00C41BBF">
      <w:pPr>
        <w:pStyle w:val="ZUSTzmustartykuempunktem"/>
        <w:numPr>
          <w:ilvl w:val="0"/>
          <w:numId w:val="44"/>
        </w:numPr>
        <w:spacing w:before="120"/>
        <w:ind w:left="714" w:hanging="357"/>
        <w:rPr>
          <w:rFonts w:ascii="Times New Roman" w:hAnsi="Times New Roman" w:cs="Times New Roman"/>
          <w:szCs w:val="24"/>
        </w:rPr>
      </w:pPr>
      <w:r w:rsidRPr="00C41BBF">
        <w:rPr>
          <w:rFonts w:ascii="Times New Roman" w:hAnsi="Times New Roman" w:cs="Times New Roman"/>
          <w:szCs w:val="24"/>
        </w:rPr>
        <w:t>oświadczeni</w:t>
      </w:r>
      <w:r w:rsidR="000C0ED6" w:rsidRPr="00C41BBF">
        <w:rPr>
          <w:rFonts w:ascii="Times New Roman" w:hAnsi="Times New Roman" w:cs="Times New Roman"/>
          <w:szCs w:val="24"/>
        </w:rPr>
        <w:t>a</w:t>
      </w:r>
      <w:r w:rsidRPr="00C41BBF">
        <w:rPr>
          <w:rFonts w:ascii="Times New Roman" w:hAnsi="Times New Roman" w:cs="Times New Roman"/>
          <w:szCs w:val="24"/>
        </w:rPr>
        <w:t xml:space="preserve"> o spełnieniu warunku dla zastosowania podwyższonych miesięcznych kosztów uzyskania przychodów dla osób dojeżdżających do pracy z innej miejscowości</w:t>
      </w:r>
      <w:r w:rsidR="000C0ED6" w:rsidRPr="00C41BBF">
        <w:rPr>
          <w:rFonts w:ascii="Times New Roman" w:hAnsi="Times New Roman" w:cs="Times New Roman"/>
          <w:szCs w:val="24"/>
        </w:rPr>
        <w:t xml:space="preserve"> </w:t>
      </w:r>
      <w:r w:rsidRPr="00C41BBF">
        <w:rPr>
          <w:rFonts w:ascii="Times New Roman" w:hAnsi="Times New Roman" w:cs="Times New Roman"/>
          <w:szCs w:val="24"/>
        </w:rPr>
        <w:t>(koszty te określa art. 22 ust. 2 pkt 3 ustawy PIT</w:t>
      </w:r>
      <w:r w:rsidR="000C0ED6" w:rsidRPr="00C41BBF">
        <w:rPr>
          <w:rFonts w:ascii="Times New Roman" w:hAnsi="Times New Roman" w:cs="Times New Roman"/>
          <w:szCs w:val="24"/>
        </w:rPr>
        <w:t>, wynoszą one miesięcznie 300 zł</w:t>
      </w:r>
      <w:r w:rsidRPr="00C41BBF">
        <w:rPr>
          <w:rFonts w:ascii="Times New Roman" w:hAnsi="Times New Roman" w:cs="Times New Roman"/>
          <w:szCs w:val="24"/>
        </w:rPr>
        <w:t>),</w:t>
      </w:r>
    </w:p>
    <w:p w14:paraId="192D337A" w14:textId="73FBE76A" w:rsidR="00ED3D45" w:rsidRPr="00C41BBF" w:rsidRDefault="00ED3D45" w:rsidP="00C41BBF">
      <w:pPr>
        <w:pStyle w:val="ZUSTzmustartykuempunktem"/>
        <w:numPr>
          <w:ilvl w:val="0"/>
          <w:numId w:val="44"/>
        </w:numPr>
        <w:spacing w:before="120"/>
        <w:ind w:left="714" w:hanging="357"/>
        <w:rPr>
          <w:rFonts w:ascii="Times New Roman" w:hAnsi="Times New Roman" w:cs="Times New Roman"/>
          <w:szCs w:val="24"/>
        </w:rPr>
      </w:pPr>
      <w:r w:rsidRPr="00C41BBF">
        <w:rPr>
          <w:rFonts w:ascii="Times New Roman" w:hAnsi="Times New Roman" w:cs="Times New Roman"/>
          <w:szCs w:val="24"/>
        </w:rPr>
        <w:t>wniosk</w:t>
      </w:r>
      <w:r w:rsidR="00281A25" w:rsidRPr="00C41BBF">
        <w:rPr>
          <w:rFonts w:ascii="Times New Roman" w:hAnsi="Times New Roman" w:cs="Times New Roman"/>
          <w:szCs w:val="24"/>
        </w:rPr>
        <w:t>u</w:t>
      </w:r>
      <w:r w:rsidRPr="00C41BBF">
        <w:rPr>
          <w:rFonts w:ascii="Times New Roman" w:hAnsi="Times New Roman" w:cs="Times New Roman"/>
          <w:szCs w:val="24"/>
        </w:rPr>
        <w:t xml:space="preserve"> o rezygnacji ze stosowania 50% kosztów uzyskania przychodów określonych w art. 22 ust. 9 pkt 1–3 ustawy PIT.</w:t>
      </w:r>
    </w:p>
    <w:p w14:paraId="2C8A02B1" w14:textId="7A21ED5D" w:rsidR="00D14340" w:rsidRPr="00C41BBF" w:rsidRDefault="00D14340" w:rsidP="00C41BBF">
      <w:pPr>
        <w:pStyle w:val="ZUSTzmustartykuempunktem"/>
        <w:ind w:left="0" w:firstLine="0"/>
        <w:rPr>
          <w:rFonts w:ascii="Times New Roman" w:hAnsi="Times New Roman" w:cs="Times New Roman"/>
          <w:szCs w:val="24"/>
        </w:rPr>
      </w:pPr>
      <w:r w:rsidRPr="00C41BBF">
        <w:rPr>
          <w:rFonts w:ascii="Times New Roman" w:hAnsi="Times New Roman" w:cs="Times New Roman"/>
          <w:szCs w:val="24"/>
        </w:rPr>
        <w:t>Zatem pracodawca będzie miał do wyboru, czy chce skorzystać</w:t>
      </w:r>
      <w:r w:rsidR="000C0ED6" w:rsidRPr="00C41BBF">
        <w:rPr>
          <w:rFonts w:ascii="Times New Roman" w:hAnsi="Times New Roman" w:cs="Times New Roman"/>
          <w:szCs w:val="24"/>
        </w:rPr>
        <w:t xml:space="preserve"> z</w:t>
      </w:r>
      <w:r w:rsidRPr="00C41BBF">
        <w:rPr>
          <w:rFonts w:ascii="Times New Roman" w:hAnsi="Times New Roman" w:cs="Times New Roman"/>
          <w:szCs w:val="24"/>
        </w:rPr>
        <w:t xml:space="preserve"> </w:t>
      </w:r>
      <w:r w:rsidR="00ED3D45" w:rsidRPr="00C41BBF">
        <w:rPr>
          <w:rFonts w:ascii="Times New Roman" w:hAnsi="Times New Roman" w:cs="Times New Roman"/>
          <w:szCs w:val="24"/>
        </w:rPr>
        <w:t xml:space="preserve">określonego i </w:t>
      </w:r>
      <w:r w:rsidR="000C0ED6" w:rsidRPr="00C41BBF">
        <w:rPr>
          <w:rFonts w:ascii="Times New Roman" w:hAnsi="Times New Roman" w:cs="Times New Roman"/>
          <w:szCs w:val="24"/>
        </w:rPr>
        <w:t xml:space="preserve">udostępnionego przez </w:t>
      </w:r>
      <w:r w:rsidR="00ED3D45" w:rsidRPr="00C41BBF">
        <w:rPr>
          <w:rFonts w:ascii="Times New Roman" w:hAnsi="Times New Roman" w:cs="Times New Roman"/>
          <w:szCs w:val="24"/>
        </w:rPr>
        <w:t>Ministr</w:t>
      </w:r>
      <w:r w:rsidR="000C0ED6" w:rsidRPr="00C41BBF">
        <w:rPr>
          <w:rFonts w:ascii="Times New Roman" w:hAnsi="Times New Roman" w:cs="Times New Roman"/>
          <w:szCs w:val="24"/>
        </w:rPr>
        <w:t>a</w:t>
      </w:r>
      <w:r w:rsidR="00ED3D45" w:rsidRPr="00C41BBF">
        <w:rPr>
          <w:rFonts w:ascii="Times New Roman" w:hAnsi="Times New Roman" w:cs="Times New Roman"/>
          <w:szCs w:val="24"/>
        </w:rPr>
        <w:t xml:space="preserve"> Finansów </w:t>
      </w:r>
      <w:r w:rsidR="000C0ED6" w:rsidRPr="00C41BBF">
        <w:rPr>
          <w:rFonts w:ascii="Times New Roman" w:hAnsi="Times New Roman" w:cs="Times New Roman"/>
          <w:szCs w:val="24"/>
        </w:rPr>
        <w:t>w Biuletynie Informacji Publicznej wzoru, czy też w tym celu wykorzysta sporządzony przez siebie wzór, albo kadrowo-płacowy elektroniczny system funkcjonujący u pracodawcy</w:t>
      </w:r>
      <w:r w:rsidR="00FF73E7" w:rsidRPr="00C41BBF">
        <w:rPr>
          <w:rFonts w:ascii="Times New Roman" w:hAnsi="Times New Roman" w:cs="Times New Roman"/>
          <w:szCs w:val="24"/>
        </w:rPr>
        <w:t>.</w:t>
      </w:r>
      <w:r w:rsidR="000C0ED6" w:rsidRPr="00C41BBF">
        <w:rPr>
          <w:rFonts w:ascii="Times New Roman" w:hAnsi="Times New Roman" w:cs="Times New Roman"/>
          <w:szCs w:val="24"/>
        </w:rPr>
        <w:t xml:space="preserve"> </w:t>
      </w:r>
    </w:p>
    <w:p w14:paraId="2440F72F" w14:textId="54440FD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Nowe regulacje zobowiązują podatników do wycofania albo zmiany uprzednio złożonych oświadczeń lub wniosków, jeżeli uległy zmianie okoliczności mające wpływ na obliczenie przez płatnika zaliczki na podatek. Jeżeli podatnik zmieni uprzednio złożone oświadczenie lub wniosek</w:t>
      </w:r>
      <w:r w:rsidR="00810B7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nie będzie obowiązany do wycofania poprzednio złożonych, bowiem nowy wniosek czy oświadczenie zastąpi poprzednio złożone dokumenty.</w:t>
      </w:r>
    </w:p>
    <w:p w14:paraId="6B57810A" w14:textId="7D02425A"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Tak jak obecnie, również z porządkowanych regulacji wynika, że jeżeli podatnik złoży płatnikowi oświadczenie lub wniosek mające wpływ na obliczanie zaliczki, to płatnik uwzględnia to oświadczenie lub ten wniosek, co do zasady, najpóźniej od miesiąca następującego po miesiącu, w którym je otrzymał. Jedynie w przypadku płatnika, jakim jest organ rentowy</w:t>
      </w:r>
      <w:r w:rsidR="00810B7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określany jest dłuższy dwumiesięczny okres, po upływie którego organ rentowy ma obowiązek uwzględnić oświadczenie/wniosek. Taki okres jest wprowadzany na wniosek Zakładu Ubezpieczeń Społecznych, który podkreślił, że jest on niezbędny z uwagi na dostosowanie systemów informatycznych. </w:t>
      </w:r>
    </w:p>
    <w:p w14:paraId="16FE5AF7"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Nowe regulacje przesądzają, że:</w:t>
      </w:r>
    </w:p>
    <w:p w14:paraId="36F472CC" w14:textId="2B001C62" w:rsidR="00B96862" w:rsidRPr="00C41BBF" w:rsidRDefault="00B96862" w:rsidP="00C41BBF">
      <w:pPr>
        <w:widowControl w:val="0"/>
        <w:numPr>
          <w:ilvl w:val="0"/>
          <w:numId w:val="13"/>
        </w:num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oświadczenia i wnioski, co do zasady</w:t>
      </w:r>
      <w:r w:rsidR="00810B7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dotyczą również kolejnych lat podatkowych (zatem nie trzeba ich ponawiać każdego roku podatkowego),</w:t>
      </w:r>
    </w:p>
    <w:p w14:paraId="5AE4D75F" w14:textId="77777777" w:rsidR="00B96862" w:rsidRPr="00C41BBF" w:rsidRDefault="00B96862" w:rsidP="00C41BBF">
      <w:pPr>
        <w:widowControl w:val="0"/>
        <w:numPr>
          <w:ilvl w:val="0"/>
          <w:numId w:val="13"/>
        </w:num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 ustaniu stosunku prawnego stanowiącego podstawę dokonywania przez płatnika świadczeń podatnikowi, płatnik nie uwzględnia oświadczeń i wniosków złożonych przez podatnika, ale z wyjątkiem wniosków, o których mowa w art. 32 ust. 6 i 10 (w brzmieniu zaproponowanym w projekcie) ustawy PIT.</w:t>
      </w:r>
    </w:p>
    <w:p w14:paraId="18273A7F" w14:textId="3533111E" w:rsidR="00B96862" w:rsidRPr="00C41BBF" w:rsidRDefault="00B96862" w:rsidP="00C41BBF">
      <w:pPr>
        <w:widowControl w:val="0"/>
        <w:suppressAutoHyphens/>
        <w:autoSpaceDE w:val="0"/>
        <w:autoSpaceDN w:val="0"/>
        <w:adjustRightInd w:val="0"/>
        <w:spacing w:before="120" w:after="0" w:line="360" w:lineRule="auto"/>
        <w:ind w:left="720"/>
        <w:jc w:val="both"/>
        <w:rPr>
          <w:rFonts w:ascii="Times New Roman" w:hAnsi="Times New Roman" w:cs="Times New Roman"/>
          <w:sz w:val="24"/>
          <w:szCs w:val="24"/>
        </w:rPr>
      </w:pPr>
      <w:r w:rsidRPr="00C41BBF">
        <w:rPr>
          <w:rFonts w:ascii="Times New Roman" w:eastAsiaTheme="minorEastAsia" w:hAnsi="Times New Roman" w:cs="Times New Roman"/>
          <w:sz w:val="24"/>
          <w:szCs w:val="24"/>
          <w:lang w:eastAsia="pl-PL"/>
        </w:rPr>
        <w:t xml:space="preserve">Oznacza to, że płatnik po ustaniu stosunku prawnego łączącego go z podatnikiem będzie nadal stosował – przy obliczaniu zaliczek od świadczeń należnych z tego stosunku (np. wypłacając dodatkowe roczne wynagrodzenie) – </w:t>
      </w:r>
      <w:r w:rsidRPr="00C41BBF">
        <w:rPr>
          <w:rFonts w:ascii="Times New Roman" w:hAnsi="Times New Roman" w:cs="Times New Roman"/>
          <w:sz w:val="24"/>
          <w:szCs w:val="24"/>
        </w:rPr>
        <w:t>wniosek podatnika o obliczanie zaliczek bez stosowania zwolnienia od podatku na podstawie art. 21 ust. 1 pkt 148 ustawy PIT (ulga dla młodych) lub miesięcznych kosztów uzyskania przychodów, o których mowa w art. 22 ust. 2 pkt 1 lub 3 ustawy PIT</w:t>
      </w:r>
      <w:r w:rsidR="00D4717C">
        <w:rPr>
          <w:rFonts w:ascii="Times New Roman" w:hAnsi="Times New Roman" w:cs="Times New Roman"/>
          <w:sz w:val="24"/>
          <w:szCs w:val="24"/>
        </w:rPr>
        <w:t>,</w:t>
      </w:r>
      <w:r w:rsidRPr="00C41BBF">
        <w:rPr>
          <w:rFonts w:ascii="Times New Roman" w:hAnsi="Times New Roman" w:cs="Times New Roman"/>
          <w:sz w:val="24"/>
          <w:szCs w:val="24"/>
        </w:rPr>
        <w:t xml:space="preserve"> oraz wniosek o niestosowanie </w:t>
      </w:r>
      <w:r w:rsidRPr="00C41BBF">
        <w:rPr>
          <w:rFonts w:ascii="Times New Roman" w:hAnsi="Times New Roman" w:cs="Times New Roman"/>
          <w:sz w:val="24"/>
          <w:szCs w:val="24"/>
        </w:rPr>
        <w:lastRenderedPageBreak/>
        <w:t xml:space="preserve">50% kosztów uzyskania przychodów. </w:t>
      </w:r>
    </w:p>
    <w:p w14:paraId="27EAE74C" w14:textId="52F89E69" w:rsidR="001A2756" w:rsidRPr="00C41BBF" w:rsidRDefault="001A2756" w:rsidP="00C41BBF">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Ponadto dodano regulację wyłączającą stosowanie przepisu art. 26a § 2 Ordynacji podatkowej</w:t>
      </w:r>
      <w:r w:rsidR="00575875" w:rsidRPr="00C41BBF">
        <w:rPr>
          <w:rFonts w:ascii="Times New Roman" w:hAnsi="Times New Roman" w:cs="Times New Roman"/>
          <w:sz w:val="24"/>
          <w:szCs w:val="24"/>
        </w:rPr>
        <w:t>,</w:t>
      </w:r>
      <w:r w:rsidRPr="00C41BBF">
        <w:rPr>
          <w:rFonts w:ascii="Times New Roman" w:hAnsi="Times New Roman" w:cs="Times New Roman"/>
          <w:sz w:val="24"/>
          <w:szCs w:val="24"/>
        </w:rPr>
        <w:t xml:space="preserve"> w przypadku gdy zaniżenie lub nieujawnienie przez płatnika podstawy opodatkowania wynikało z zastosowania przez płatnika złożonych przez podatnika wniosków lub oświadczeń mających wpływ na obliczenie zaliczki.</w:t>
      </w:r>
    </w:p>
    <w:p w14:paraId="33FBCB97" w14:textId="77777777" w:rsidR="00B96862" w:rsidRPr="00C41BBF" w:rsidRDefault="00B96862" w:rsidP="00C41BBF">
      <w:pPr>
        <w:widowControl w:val="0"/>
        <w:suppressAutoHyphens/>
        <w:autoSpaceDE w:val="0"/>
        <w:autoSpaceDN w:val="0"/>
        <w:adjustRightInd w:val="0"/>
        <w:spacing w:before="120" w:after="0" w:line="360" w:lineRule="auto"/>
        <w:jc w:val="both"/>
        <w:rPr>
          <w:rFonts w:ascii="Times New Roman" w:eastAsiaTheme="minorEastAsia" w:hAnsi="Times New Roman" w:cs="Times New Roman"/>
          <w:color w:val="0070C0"/>
          <w:sz w:val="24"/>
          <w:szCs w:val="24"/>
          <w:lang w:eastAsia="pl-PL"/>
        </w:rPr>
      </w:pPr>
      <w:r w:rsidRPr="00C41BBF">
        <w:rPr>
          <w:rFonts w:ascii="Times New Roman" w:hAnsi="Times New Roman" w:cs="Times New Roman"/>
          <w:color w:val="0070C0"/>
          <w:sz w:val="24"/>
          <w:szCs w:val="24"/>
        </w:rPr>
        <w:t xml:space="preserve">Dostosowanie zryczałtowanej stawki podatkowej </w:t>
      </w:r>
    </w:p>
    <w:p w14:paraId="5DBE3533" w14:textId="5253E880"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Ponadto projektowana ustawa zmniejsza stawkę zryczałtowanego podatku dochodowego, o którym mowa w art. 30 ust. 1 pkt 5a ustawy PIT, z 17% do 1</w:t>
      </w:r>
      <w:r w:rsidR="005A786A" w:rsidRPr="00C41BBF">
        <w:rPr>
          <w:rFonts w:ascii="Times New Roman" w:eastAsiaTheme="minorEastAsia" w:hAnsi="Times New Roman" w:cs="Times New Roman"/>
          <w:sz w:val="24"/>
          <w:szCs w:val="24"/>
          <w:lang w:eastAsia="pl-PL"/>
        </w:rPr>
        <w:t>2</w:t>
      </w:r>
      <w:r w:rsidRPr="00C41BBF">
        <w:rPr>
          <w:rFonts w:ascii="Times New Roman" w:eastAsiaTheme="minorEastAsia" w:hAnsi="Times New Roman" w:cs="Times New Roman"/>
          <w:sz w:val="24"/>
          <w:szCs w:val="24"/>
          <w:lang w:eastAsia="pl-PL"/>
        </w:rPr>
        <w:t>%. Dostosowuje w ten sposób zryczałtowany podatek dochodowy od tzw. „małych umów zlecenia” (przychodów nieprzekraczających 200 zł z tytułów działalności wykonywanej osobiście, o której nowa w art. 13 pkt 2 i 4</w:t>
      </w:r>
      <w:r w:rsidR="00D4717C">
        <w:rPr>
          <w:rFonts w:ascii="Times New Roman" w:eastAsiaTheme="minorEastAsia" w:hAnsi="Times New Roman" w:cs="Times New Roman"/>
          <w:sz w:val="24"/>
          <w:szCs w:val="24"/>
        </w:rPr>
        <w:t>–</w:t>
      </w:r>
      <w:r w:rsidRPr="00C41BBF">
        <w:rPr>
          <w:rFonts w:ascii="Times New Roman" w:eastAsiaTheme="minorEastAsia" w:hAnsi="Times New Roman" w:cs="Times New Roman"/>
          <w:sz w:val="24"/>
          <w:szCs w:val="24"/>
          <w:lang w:eastAsia="pl-PL"/>
        </w:rPr>
        <w:t xml:space="preserve">9 ustawy PIT) do niższej stawki podatkowej obowiązującej w skali podatkowej. </w:t>
      </w:r>
    </w:p>
    <w:p w14:paraId="7C6966DD" w14:textId="09E97EDD" w:rsidR="004F7B24" w:rsidRPr="00C41BBF" w:rsidRDefault="004F7B24" w:rsidP="00C41BBF">
      <w:pPr>
        <w:widowControl w:val="0"/>
        <w:suppressAutoHyphens/>
        <w:autoSpaceDE w:val="0"/>
        <w:autoSpaceDN w:val="0"/>
        <w:adjustRightInd w:val="0"/>
        <w:spacing w:before="120" w:after="0" w:line="360" w:lineRule="auto"/>
        <w:jc w:val="both"/>
        <w:rPr>
          <w:rFonts w:ascii="Times New Roman" w:hAnsi="Times New Roman" w:cs="Times New Roman"/>
          <w:color w:val="0070C0"/>
          <w:sz w:val="24"/>
          <w:szCs w:val="24"/>
        </w:rPr>
      </w:pPr>
      <w:r w:rsidRPr="00C41BBF">
        <w:rPr>
          <w:rFonts w:ascii="Times New Roman" w:hAnsi="Times New Roman" w:cs="Times New Roman"/>
          <w:color w:val="0070C0"/>
          <w:sz w:val="24"/>
          <w:szCs w:val="24"/>
        </w:rPr>
        <w:t>Uchylenie „martwych” przepisów</w:t>
      </w:r>
    </w:p>
    <w:p w14:paraId="2444FE41" w14:textId="61ED4C6F" w:rsidR="004F7B24" w:rsidRPr="00C41BBF" w:rsidRDefault="004F7B24" w:rsidP="00C41BBF">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Projekt proponuje uchylenie ust. 2 i 3 w art. 27 oraz art. 36 ustawy PIT. Są to epizodyczne przepisy ustawy PIT, które zostały wprowadzone na skutek wprowadzenia, od 1 stycznia 1992 r., podatku dochodowego wobec emerytur i rent, które to świadczenia do tej pory nie podlegały opodatkowaniu. Regulacje te obecnie nie mają już zastosowania.</w:t>
      </w:r>
    </w:p>
    <w:p w14:paraId="650BBB18" w14:textId="77777777" w:rsidR="00B96862" w:rsidRPr="00C41BBF" w:rsidRDefault="00B96862" w:rsidP="00C41BBF">
      <w:pPr>
        <w:suppressAutoHyphens/>
        <w:autoSpaceDE w:val="0"/>
        <w:autoSpaceDN w:val="0"/>
        <w:adjustRightInd w:val="0"/>
        <w:spacing w:before="120" w:after="0" w:line="360" w:lineRule="auto"/>
        <w:jc w:val="both"/>
        <w:rPr>
          <w:rFonts w:ascii="Times New Roman" w:eastAsiaTheme="minorEastAsia" w:hAnsi="Times New Roman" w:cs="Times New Roman"/>
          <w:color w:val="0070C0"/>
          <w:sz w:val="24"/>
          <w:szCs w:val="24"/>
          <w:lang w:eastAsia="pl-PL"/>
        </w:rPr>
      </w:pPr>
      <w:r w:rsidRPr="00C41BBF">
        <w:rPr>
          <w:rFonts w:ascii="Times New Roman" w:eastAsiaTheme="minorEastAsia" w:hAnsi="Times New Roman" w:cs="Times New Roman"/>
          <w:color w:val="0070C0"/>
          <w:sz w:val="24"/>
          <w:szCs w:val="24"/>
          <w:lang w:eastAsia="pl-PL"/>
        </w:rPr>
        <w:t>Przepisy doprecyzowujące w zakresie preferencji podatkowych w związku z odpłatnym zbyciem akcji nabytych w pierwszej ofercie publicznej (IPO)</w:t>
      </w:r>
    </w:p>
    <w:p w14:paraId="0E157232"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 projektowanej ustawy wprowadzono również przepisy doprecyzowujące w zakresie preferencji podatkowych w związku z odpłatnym zbyciem akcji nabytych w pierwszej ofercie publicznej (IPO). Zgodnie z art. 21 ust. 1 pkt 105a ustawy PIT, obecnie dochody te są zwolnione z opodatkowania, jeżeli odpłatne zbycie tych akcji nastąpiło po upływie trzech lat od dnia, w którym akcje te zostały dopuszczone do obrotu na rynku regulowanym albo wprowadzone do alternatywnego systemu obrotu. Przy czym ze zwolnienia tego nie mogą skorzystać podatnicy, jeżeli oni (albo ich spadkodawcy) byli ze spółką podmiotami powiązanymi, w okresie dwóch lat poprze</w:t>
      </w:r>
      <w:r w:rsidRPr="00C41BBF">
        <w:rPr>
          <w:rFonts w:ascii="Times New Roman" w:eastAsiaTheme="minorEastAsia" w:hAnsi="Times New Roman" w:cs="Times New Roman"/>
          <w:sz w:val="24"/>
          <w:szCs w:val="24"/>
          <w:lang w:eastAsia="pl-PL"/>
        </w:rPr>
        <w:lastRenderedPageBreak/>
        <w:t>dzających dzień objęcia lub nabycia tych akcji przez podatnika (albo jego spadkodawcę).</w:t>
      </w:r>
    </w:p>
    <w:p w14:paraId="67CA9FE9" w14:textId="5220883E"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Założeniem tej ulgi było, żeby podatnicy, którzy nabyli prawo do zwolnienia dochodów z odpłatnego zbycia akcji na podstawie art. 21 ust. 1 pkt 105a ustawy PIT, w przypadku gdy poniosą na takim zbyciu stratę ekonomiczną, mogli taką stratę rozliczać z innymi dochodami z kapitałów pieniężnych osiągniętymi w roku podatkowym, które są opodatkowane na podstawie art. 30b ustawy PIT. W konsekwencji stratę taką będą mogli również rozliczać w latach następnych, na zasadach określonych w art. 9 ust. 3 ustawy PIT.</w:t>
      </w:r>
    </w:p>
    <w:p w14:paraId="63658CE0" w14:textId="3BE44F58"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Dlatego też w art. 9 ust. 3a pkt 4 ustawy PIT znajduje się zastrzeżenie, </w:t>
      </w:r>
      <w:r w:rsidR="00573050" w:rsidRPr="00C41BBF">
        <w:rPr>
          <w:rFonts w:ascii="Times New Roman" w:eastAsiaTheme="minorEastAsia" w:hAnsi="Times New Roman" w:cs="Times New Roman"/>
          <w:sz w:val="24"/>
          <w:szCs w:val="24"/>
          <w:lang w:eastAsia="pl-PL"/>
        </w:rPr>
        <w:t xml:space="preserve">które </w:t>
      </w:r>
      <w:r w:rsidRPr="00C41BBF">
        <w:rPr>
          <w:rFonts w:ascii="Times New Roman" w:eastAsiaTheme="minorEastAsia" w:hAnsi="Times New Roman" w:cs="Times New Roman"/>
          <w:sz w:val="24"/>
          <w:szCs w:val="24"/>
          <w:lang w:eastAsia="pl-PL"/>
        </w:rPr>
        <w:t xml:space="preserve">pozwala rozliczać straty z odpłatnego zbycia akcji nabytych na IPO, nawet w przypadku nabycia uprawnień do zwolnienia z opodatkowania tych dochodów na podstawie art. 21 ust. 1 pkt 105a ustawy PIT. </w:t>
      </w:r>
    </w:p>
    <w:p w14:paraId="49DA6868" w14:textId="40C4AC06"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Biorąc jednak pod uwagę, że rozwiązanie pozwalające na uwzględnianiu straty ekonomicznej jako podstawy do zmniejszenia opodatkowania jest rozwiązaniem szczególnym, stanowiącym odstępstwo od zasady braku możliwości powstawania strat w związku z uzyskanymi przychodami, gdy dochód jest zwolniony z opodatkowania, zasadne jest wprowadzenie szczególnej regulacji w zakresie powstawania kosztu podatkowego. </w:t>
      </w:r>
    </w:p>
    <w:p w14:paraId="5AE4415C" w14:textId="2CCD8552"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W związku z tym w projektowanej ustawie w art. 22 dodany został ust. 1u, w którym jasno zostało określone, że jeżeli w związku z odpłatnym zbyciem akcji, o którym mowa w art. 21 ust. 1 pkt 105a ustawy PIT, powstanie strata ekonomiczna, tj. nadwyżka wydatków poniesionych na ich objęcie lub nabycie nad przychodami z ich odpłatnego zbycia, to nadwyżka ta stanowi koszt uzyskania przychodów, o których mowa w art. 17 ust. 1 pkt 6 lit. a ustawy PIT</w:t>
      </w:r>
      <w:r w:rsidR="00D4717C">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w roku podatkowym. Koszt ten powstaje w roku, w którym nastąpiło odpłatne zbycie takich akcji.</w:t>
      </w:r>
      <w:r w:rsidR="00B07555" w:rsidRPr="00C41BBF">
        <w:rPr>
          <w:rFonts w:ascii="Times New Roman" w:eastAsiaTheme="minorEastAsia" w:hAnsi="Times New Roman" w:cs="Times New Roman"/>
          <w:sz w:val="24"/>
          <w:szCs w:val="24"/>
          <w:lang w:eastAsia="pl-PL"/>
        </w:rPr>
        <w:t xml:space="preserve"> Zmiana ta jest zatem korzystna dla podatników.</w:t>
      </w:r>
    </w:p>
    <w:p w14:paraId="6FB384B5" w14:textId="54083FD7" w:rsidR="008F4B01" w:rsidRPr="00C41BBF" w:rsidRDefault="008F4B01"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Jednocześnie należy zauważyć, że przepis ten będzie miał faktyczne zastosowanie nie wcześniej niż do rozliczenia podatku za 2025 r. Wynika to z faktu, że zwolnienie </w:t>
      </w:r>
      <w:r w:rsidRPr="00C41BBF">
        <w:rPr>
          <w:rFonts w:ascii="Times New Roman" w:eastAsiaTheme="minorEastAsia" w:hAnsi="Times New Roman" w:cs="Times New Roman"/>
          <w:sz w:val="24"/>
          <w:szCs w:val="24"/>
          <w:lang w:eastAsia="pl-PL"/>
        </w:rPr>
        <w:lastRenderedPageBreak/>
        <w:t xml:space="preserve">z art. 21 ust. 1 pkt 105a ustawy PIT ma zastosowanie, tylko w przypadku, gdy odpłatne zbycie akcji nabytych lub objętych w wyniku IPO nastąpiło po, upływie trzech lat od dnia, w którym akcje te zostały dopuszczone do obrotu na rynku regulowanym albo wprowadzone do alternatywnego systemu obrotu w rozumieniu przepisów ustawy z dnia 29 lipca 2005 r. o obrocie instrumentami finansowymi. Z kolei zgodnie z art. 52 ustawy z dnia 29 października 2021 r. </w:t>
      </w:r>
      <w:r w:rsidR="00573050" w:rsidRPr="00C41BBF">
        <w:rPr>
          <w:rFonts w:ascii="Times New Roman" w:eastAsiaTheme="minorEastAsia" w:hAnsi="Times New Roman" w:cs="Times New Roman"/>
          <w:sz w:val="24"/>
          <w:szCs w:val="24"/>
          <w:lang w:eastAsia="pl-PL"/>
        </w:rPr>
        <w:t>z</w:t>
      </w:r>
      <w:r w:rsidRPr="00C41BBF">
        <w:rPr>
          <w:rFonts w:ascii="Times New Roman" w:eastAsiaTheme="minorEastAsia" w:hAnsi="Times New Roman" w:cs="Times New Roman"/>
          <w:sz w:val="24"/>
          <w:szCs w:val="24"/>
          <w:lang w:eastAsia="pl-PL"/>
        </w:rPr>
        <w:t>wolnienie</w:t>
      </w:r>
      <w:r w:rsidR="00573050" w:rsidRPr="00C41BB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o którym mowa w art. 21 ust. 1 pkt 105a ustawy PIT</w:t>
      </w:r>
      <w:r w:rsidR="00573050" w:rsidRPr="00C41BB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ma zastosowanie do akcji nabytych w wyniku IPO po dniu 31 grudnia 2021 r. </w:t>
      </w:r>
    </w:p>
    <w:p w14:paraId="0FD4BF17" w14:textId="5B85F6E4" w:rsidR="008F4B01" w:rsidRPr="00C41BBF" w:rsidRDefault="008F4B01"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Tak więc przepis ten może wejść w życie z dniem wejścia w życie projektowanej ustawy. Nie istnieje bowiem możliwość, żeby jego obowiązywanie począwszy od tego dnia pozbawiało podatników praw z niego wynikających.</w:t>
      </w:r>
    </w:p>
    <w:p w14:paraId="7C44EAD5" w14:textId="451783E5" w:rsidR="001443E8" w:rsidRPr="00C41BBF" w:rsidRDefault="001443E8" w:rsidP="00C41BBF">
      <w:pPr>
        <w:suppressAutoHyphens/>
        <w:autoSpaceDE w:val="0"/>
        <w:autoSpaceDN w:val="0"/>
        <w:adjustRightInd w:val="0"/>
        <w:spacing w:before="120" w:after="0" w:line="360" w:lineRule="auto"/>
        <w:jc w:val="both"/>
        <w:rPr>
          <w:rFonts w:ascii="Times New Roman" w:eastAsiaTheme="minorEastAsia" w:hAnsi="Times New Roman" w:cs="Times New Roman"/>
          <w:color w:val="0070C0"/>
          <w:sz w:val="24"/>
          <w:szCs w:val="24"/>
          <w:lang w:eastAsia="pl-PL"/>
        </w:rPr>
      </w:pPr>
      <w:r w:rsidRPr="00C41BBF">
        <w:rPr>
          <w:rFonts w:ascii="Times New Roman" w:eastAsiaTheme="minorEastAsia" w:hAnsi="Times New Roman" w:cs="Times New Roman"/>
          <w:color w:val="0070C0"/>
          <w:sz w:val="24"/>
          <w:szCs w:val="24"/>
          <w:lang w:eastAsia="pl-PL"/>
        </w:rPr>
        <w:t>Przepisy doprecyzowujące w zakresie kosztów uzyskania przychodów w przypadku zbycia majątku otrzymanego w związku z likwidacją spółki niebędącej osobą prawną, wystąpienia wspólnika z takiej spółki lub zmniejszenia udziału kapitałowego w takiej spółce</w:t>
      </w:r>
    </w:p>
    <w:p w14:paraId="01AC4FA0" w14:textId="7678FD2E"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W projektowanej ustawie dokonano uzupełnienia treści art. 23 ust. 3g w ustawie PIT, wskazując, że w przypadku odpłatnego zbycia pochodnych in</w:t>
      </w:r>
      <w:r w:rsidR="001443E8" w:rsidRPr="00C41BBF">
        <w:rPr>
          <w:rFonts w:ascii="Times New Roman" w:hAnsi="Times New Roman" w:cs="Times New Roman"/>
          <w:sz w:val="24"/>
          <w:szCs w:val="24"/>
        </w:rPr>
        <w:t>strumentów finansowych otrzymanych</w:t>
      </w:r>
      <w:r w:rsidRPr="00C41BBF">
        <w:rPr>
          <w:rFonts w:ascii="Times New Roman" w:hAnsi="Times New Roman" w:cs="Times New Roman"/>
          <w:sz w:val="24"/>
          <w:szCs w:val="24"/>
        </w:rPr>
        <w:t xml:space="preserve"> przez wspólnika spółki niebędącej osobą prawną</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w związku z likwidacją takiej spółki, wystąpienia wspólnika z takiej spółki lub zmniejszenia udziału kapitałowego w takiej spółce, kosztem uzyskania przychodów, o których mowa w art. 23 ust. 1 pkt 38a ustawy PIT</w:t>
      </w:r>
      <w:r w:rsidR="00D4717C">
        <w:rPr>
          <w:rFonts w:ascii="Times New Roman" w:hAnsi="Times New Roman" w:cs="Times New Roman"/>
          <w:sz w:val="24"/>
          <w:szCs w:val="24"/>
        </w:rPr>
        <w:t>,</w:t>
      </w:r>
      <w:r w:rsidRPr="00C41BBF">
        <w:rPr>
          <w:rFonts w:ascii="Times New Roman" w:hAnsi="Times New Roman" w:cs="Times New Roman"/>
          <w:sz w:val="24"/>
          <w:szCs w:val="24"/>
        </w:rPr>
        <w:t xml:space="preserve"> są wydatki poniesione na ich nabycie lub objęcie niezaliczone w jakiejkolwiek formie do kosztów uzyskania przychodów przez wspólnika lub spółkę niebędącą osobą prawną. W takim przypadku do kosztów tych stosuje się odpowiednio przepis art. 22 ust. 8a ustawy PIT.</w:t>
      </w:r>
    </w:p>
    <w:p w14:paraId="4A776180" w14:textId="366F8BBB"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Obowiązujący przepis art. 23 ust. 3g ustawy PIT jest przepisem szczególnym określającym co należy rozumieć przez wydatki, określone w art. 23 ust. 1 pkt 38 ustawy PIT,</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na objęcie lub nabycie udziałów (akcji), papierów wartościowych, tytułów uczestnictwa w funduszach kapitałowych oraz pochodnych instrumentów finansowych, gdy zostały one nabyte przez podatnika w związku z likwidacją spółki niebę</w:t>
      </w:r>
      <w:r w:rsidRPr="00C41BBF">
        <w:rPr>
          <w:rFonts w:ascii="Times New Roman" w:hAnsi="Times New Roman" w:cs="Times New Roman"/>
          <w:sz w:val="24"/>
          <w:szCs w:val="24"/>
        </w:rPr>
        <w:lastRenderedPageBreak/>
        <w:t>dącej osobą prawną, wystąpieni</w:t>
      </w:r>
      <w:r w:rsidR="001443E8" w:rsidRPr="00C41BBF">
        <w:rPr>
          <w:rFonts w:ascii="Times New Roman" w:hAnsi="Times New Roman" w:cs="Times New Roman"/>
          <w:sz w:val="24"/>
          <w:szCs w:val="24"/>
        </w:rPr>
        <w:t>em</w:t>
      </w:r>
      <w:r w:rsidRPr="00C41BBF">
        <w:rPr>
          <w:rFonts w:ascii="Times New Roman" w:hAnsi="Times New Roman" w:cs="Times New Roman"/>
          <w:sz w:val="24"/>
          <w:szCs w:val="24"/>
        </w:rPr>
        <w:t xml:space="preserve"> z takiej spółki lub zmniejszeniem udziału kapitałowego w takiej spółce. Wydatki określone w tym przepisie stanowi</w:t>
      </w:r>
      <w:r w:rsidR="001443E8" w:rsidRPr="00C41BBF">
        <w:rPr>
          <w:rFonts w:ascii="Times New Roman" w:hAnsi="Times New Roman" w:cs="Times New Roman"/>
          <w:sz w:val="24"/>
          <w:szCs w:val="24"/>
        </w:rPr>
        <w:t xml:space="preserve">ą koszt uzyskania przychodów w przypadku ustalania </w:t>
      </w:r>
      <w:r w:rsidRPr="00C41BBF">
        <w:rPr>
          <w:rFonts w:ascii="Times New Roman" w:hAnsi="Times New Roman" w:cs="Times New Roman"/>
          <w:sz w:val="24"/>
          <w:szCs w:val="24"/>
        </w:rPr>
        <w:t>dochodów do opodatkowania</w:t>
      </w:r>
      <w:r w:rsidR="00A93B37" w:rsidRPr="00C41BBF">
        <w:rPr>
          <w:rFonts w:ascii="Times New Roman" w:hAnsi="Times New Roman" w:cs="Times New Roman"/>
          <w:sz w:val="24"/>
          <w:szCs w:val="24"/>
        </w:rPr>
        <w:t xml:space="preserve"> ze zbycia tych składników majątku</w:t>
      </w:r>
      <w:r w:rsidRPr="00C41BBF">
        <w:rPr>
          <w:rFonts w:ascii="Times New Roman" w:hAnsi="Times New Roman" w:cs="Times New Roman"/>
          <w:sz w:val="24"/>
          <w:szCs w:val="24"/>
        </w:rPr>
        <w:t>. Przepisy art. 30b ust. 2 dotyczące zasad obliczania dochodu z odpłatnego zbycia udziałów (akcji) i</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papierów wartościowych</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 xml:space="preserve">wprost </w:t>
      </w:r>
      <w:r w:rsidR="001443E8" w:rsidRPr="00C41BBF">
        <w:rPr>
          <w:rFonts w:ascii="Times New Roman" w:hAnsi="Times New Roman" w:cs="Times New Roman"/>
          <w:sz w:val="24"/>
          <w:szCs w:val="24"/>
        </w:rPr>
        <w:t xml:space="preserve">odwołują </w:t>
      </w:r>
      <w:r w:rsidRPr="00C41BBF">
        <w:rPr>
          <w:rFonts w:ascii="Times New Roman" w:hAnsi="Times New Roman" w:cs="Times New Roman"/>
          <w:sz w:val="24"/>
          <w:szCs w:val="24"/>
        </w:rPr>
        <w:t>się</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 xml:space="preserve">do art. 23 ust. 1 pkt 38 ustawy PIT. Jednak pkt 38 w art. 23 ust. 1 </w:t>
      </w:r>
      <w:r w:rsidR="00A93B37" w:rsidRPr="00C41BBF">
        <w:rPr>
          <w:rFonts w:ascii="Times New Roman" w:hAnsi="Times New Roman" w:cs="Times New Roman"/>
          <w:sz w:val="24"/>
          <w:szCs w:val="24"/>
        </w:rPr>
        <w:t>wskazuje</w:t>
      </w:r>
      <w:r w:rsidRPr="00C41BBF">
        <w:rPr>
          <w:rFonts w:ascii="Times New Roman" w:hAnsi="Times New Roman" w:cs="Times New Roman"/>
          <w:sz w:val="24"/>
          <w:szCs w:val="24"/>
        </w:rPr>
        <w:t xml:space="preserve"> wyłącznie wydatk</w:t>
      </w:r>
      <w:r w:rsidR="00A93B37" w:rsidRPr="00C41BBF">
        <w:rPr>
          <w:rFonts w:ascii="Times New Roman" w:hAnsi="Times New Roman" w:cs="Times New Roman"/>
          <w:sz w:val="24"/>
          <w:szCs w:val="24"/>
        </w:rPr>
        <w:t>i</w:t>
      </w:r>
      <w:r w:rsidRPr="00C41BBF">
        <w:rPr>
          <w:rFonts w:ascii="Times New Roman" w:hAnsi="Times New Roman" w:cs="Times New Roman"/>
          <w:sz w:val="24"/>
          <w:szCs w:val="24"/>
        </w:rPr>
        <w:t xml:space="preserve"> na nabycie lub objęcie udziałów (akcji), papierów wartościowych oraz tytułów uczestnictwa w funduszach kapitałowych. Natomiast zasada ustalania kosztów</w:t>
      </w:r>
      <w:r w:rsidR="00B07555" w:rsidRPr="00C41BBF">
        <w:rPr>
          <w:rFonts w:ascii="Times New Roman" w:hAnsi="Times New Roman" w:cs="Times New Roman"/>
          <w:sz w:val="24"/>
          <w:szCs w:val="24"/>
        </w:rPr>
        <w:t xml:space="preserve"> uzyskania przychodów </w:t>
      </w:r>
      <w:r w:rsidRPr="00C41BBF">
        <w:rPr>
          <w:rFonts w:ascii="Times New Roman" w:hAnsi="Times New Roman" w:cs="Times New Roman"/>
          <w:sz w:val="24"/>
          <w:szCs w:val="24"/>
        </w:rPr>
        <w:t>z odpłatnego zbycia pochodnych instrumentów finansowych określona została w art. 23 ust. 1 pkt 38a ustawy PIT.</w:t>
      </w:r>
    </w:p>
    <w:p w14:paraId="60E44411" w14:textId="0DF8FFBB"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Dlatego też przepis art. 23 ust. 3g ustawy PIT należało uzupełnić przez wskazanie, że stosuje się go także do określania wydatków , o których mowa w art. 23 ust. 1 pkt 38a ustawy PIT, co będzie miało miejsce przy obliczaniu dochodu z odpłatnego zbycia pochodnych instrumentów finansowych.</w:t>
      </w:r>
      <w:r w:rsidR="00A93B37" w:rsidRPr="00C41BBF">
        <w:rPr>
          <w:rFonts w:ascii="Times New Roman" w:hAnsi="Times New Roman" w:cs="Times New Roman"/>
          <w:sz w:val="24"/>
          <w:szCs w:val="24"/>
        </w:rPr>
        <w:t xml:space="preserve"> Zmiana ta ma charakter doprecyzowujący i pozwala uniknąć wątpliwości co do możliwości stosowania kosztów uzyskania przychodów w przypadku odpłatnego zbycia pochodnych instrumentów finansowych otrzymanych przez podatnika w związku z likwidacją spółki niebędącej osobą prawną, wystąpienia wspólnika z takiej spółki lub zmniejszenia udziału kapitałowego w takiej spółce. Zmiana taka jest zatem korzystna dla podatników.</w:t>
      </w:r>
    </w:p>
    <w:p w14:paraId="73F554D8" w14:textId="322BCC12" w:rsidR="00B07555" w:rsidRPr="00C41BBF" w:rsidRDefault="00B07555" w:rsidP="00C41BBF">
      <w:pPr>
        <w:spacing w:before="120" w:after="0" w:line="360" w:lineRule="auto"/>
        <w:jc w:val="both"/>
        <w:rPr>
          <w:rFonts w:ascii="Times New Roman" w:eastAsiaTheme="minorEastAsia" w:hAnsi="Times New Roman" w:cs="Times New Roman"/>
          <w:color w:val="0070C0"/>
          <w:sz w:val="24"/>
          <w:szCs w:val="24"/>
          <w:lang w:eastAsia="pl-PL"/>
        </w:rPr>
      </w:pPr>
      <w:r w:rsidRPr="00C41BBF">
        <w:rPr>
          <w:rFonts w:ascii="Times New Roman" w:eastAsiaTheme="minorEastAsia" w:hAnsi="Times New Roman" w:cs="Times New Roman"/>
          <w:color w:val="0070C0"/>
          <w:sz w:val="24"/>
          <w:szCs w:val="24"/>
          <w:lang w:eastAsia="pl-PL"/>
        </w:rPr>
        <w:t>Przepisy doprecyzowujące w zakresie określenia przychodów do opodatkowania z połączenia spółki niebędącej osobą prawną</w:t>
      </w:r>
    </w:p>
    <w:p w14:paraId="3014257B" w14:textId="5540AD3F"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 xml:space="preserve">W projektowanej ustawie dodany został ust. 8dd w art. 24 ustawy PIT, który wprowadza przepis pozwalający wartość emisyjną udziałów (akcji), otrzymanych przez wspólnika spółki niebędącej osobą prawną w związku z połączeniem tej spółki, dla celów określenia przychodów, o którym mowa w art. 24 ust. 5 pkt 7a ustawy PIT, pomniejszyć o tzw. </w:t>
      </w:r>
      <w:r w:rsidR="00B07555" w:rsidRPr="00C41BBF">
        <w:rPr>
          <w:rFonts w:ascii="Times New Roman" w:hAnsi="Times New Roman" w:cs="Times New Roman"/>
          <w:sz w:val="24"/>
          <w:szCs w:val="24"/>
        </w:rPr>
        <w:t>„</w:t>
      </w:r>
      <w:r w:rsidRPr="00C41BBF">
        <w:rPr>
          <w:rFonts w:ascii="Times New Roman" w:hAnsi="Times New Roman" w:cs="Times New Roman"/>
          <w:sz w:val="24"/>
          <w:szCs w:val="24"/>
        </w:rPr>
        <w:t>zyski zatrzymane</w:t>
      </w:r>
      <w:r w:rsidR="00B07555" w:rsidRPr="00C41BBF">
        <w:rPr>
          <w:rFonts w:ascii="Times New Roman" w:hAnsi="Times New Roman" w:cs="Times New Roman"/>
          <w:sz w:val="24"/>
          <w:szCs w:val="24"/>
        </w:rPr>
        <w:t>”</w:t>
      </w:r>
      <w:r w:rsidRPr="00C41BBF">
        <w:rPr>
          <w:rFonts w:ascii="Times New Roman" w:hAnsi="Times New Roman" w:cs="Times New Roman"/>
          <w:sz w:val="24"/>
          <w:szCs w:val="24"/>
        </w:rPr>
        <w:t xml:space="preserve"> w spółce niebędącej osobą prawną. Zyski te były już opodatkowane podatkiem dochodowym u tego wspólnika. Tak więc, w dodanym do art. 24 ust. 8dd określono,</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że w przypadku połączenia spółki niebędącej osobą prawną, o którym mowa w ust. 5 pkt 7a ustawy PIT</w:t>
      </w:r>
      <w:r w:rsidR="00D4717C">
        <w:rPr>
          <w:rFonts w:ascii="Times New Roman" w:hAnsi="Times New Roman" w:cs="Times New Roman"/>
          <w:sz w:val="24"/>
          <w:szCs w:val="24"/>
        </w:rPr>
        <w:t>,</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 xml:space="preserve">wartość emisyjną udziałów (akcji) spółki przejmującej lub nowo zawiązanej pomniejsza się o uzyskaną przez podatnika nadwyżkę przychodów nad kosztami ich uzyskania z tytułu udziału </w:t>
      </w:r>
      <w:r w:rsidRPr="00C41BBF">
        <w:rPr>
          <w:rFonts w:ascii="Times New Roman" w:hAnsi="Times New Roman" w:cs="Times New Roman"/>
          <w:sz w:val="24"/>
          <w:szCs w:val="24"/>
        </w:rPr>
        <w:lastRenderedPageBreak/>
        <w:t>w spółce niebędącej osobą prawną, obliczoną zgodnie z art. 8 ustawy PIT oraz powiększa o wypłaty dokonane z tytułu udziału w spółce niebędącej osobą prawną i o wydatki niestanowiące kosztów uzyskania przychodów z tytułu udziału w tej spółce.</w:t>
      </w:r>
      <w:r w:rsidR="00A93B37" w:rsidRPr="00C41BBF">
        <w:rPr>
          <w:rFonts w:ascii="Times New Roman" w:hAnsi="Times New Roman" w:cs="Times New Roman"/>
          <w:sz w:val="24"/>
          <w:szCs w:val="24"/>
        </w:rPr>
        <w:t xml:space="preserve"> Zmiana ta </w:t>
      </w:r>
      <w:r w:rsidR="00B07555" w:rsidRPr="00C41BBF">
        <w:rPr>
          <w:rFonts w:ascii="Times New Roman" w:hAnsi="Times New Roman" w:cs="Times New Roman"/>
          <w:sz w:val="24"/>
          <w:szCs w:val="24"/>
        </w:rPr>
        <w:t>jest zatem korzystna dla podatników.</w:t>
      </w:r>
    </w:p>
    <w:p w14:paraId="0FEEA957"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19A6C55A" w14:textId="77777777" w:rsidR="005B672B" w:rsidRPr="00C41BBF" w:rsidRDefault="005B672B" w:rsidP="00C41BBF">
      <w:pPr>
        <w:widowControl w:val="0"/>
        <w:autoSpaceDE w:val="0"/>
        <w:autoSpaceDN w:val="0"/>
        <w:adjustRightInd w:val="0"/>
        <w:spacing w:before="120" w:after="0" w:line="360" w:lineRule="auto"/>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Umożliwienie zdefiniowanej grupie podatników przekazywania kwot w wysokości 1% podatku należnego organizacji pożytku publicznego na podstawie wniosku za poprzedni rok podatkowy – zmiany w art. 45c ustawy PIT</w:t>
      </w:r>
    </w:p>
    <w:p w14:paraId="2DEDDC39" w14:textId="77777777" w:rsidR="005B672B" w:rsidRPr="00C41BBF" w:rsidRDefault="005B672B"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Projektowana zmiana ustawy PIT ma na celu umieszczenie na stałe w ustawie PIT przepisów dotyczących sposobu postępowania w sytuacji, gdy podatnik, któremu organ rentowy przekazał roczne obliczenie podatku, z którego wynika podatek należny na podstawie art. 34 ust. 9 ustawy PIT, nie złożył wniosku, o którym mowa w art. 45c ust. 3a ustawy PIT, tj. wniosku w postaci wskazania przez niego, w oświadczeniu sporządzonym według określonego wzoru jednej organizacji pożytku publicznego (OPP) poprzez podanie jej numeru wpisu do KRS. </w:t>
      </w:r>
    </w:p>
    <w:p w14:paraId="192637F9" w14:textId="072840EE" w:rsidR="005B672B" w:rsidRPr="00C41BBF" w:rsidRDefault="005B672B"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Zgodnie z obecnie obowiązującymi przepisami, uregulowanie przedmiotowej materii zawarte jest w art. 52va ustawy PIT, a zatem w </w:t>
      </w:r>
      <w:r w:rsidR="00D4717C">
        <w:rPr>
          <w:rFonts w:ascii="Times New Roman" w:eastAsiaTheme="minorEastAsia" w:hAnsi="Times New Roman" w:cs="Times New Roman"/>
          <w:sz w:val="24"/>
          <w:szCs w:val="24"/>
          <w:lang w:eastAsia="pl-PL"/>
        </w:rPr>
        <w:t>r</w:t>
      </w:r>
      <w:r w:rsidRPr="00C41BBF">
        <w:rPr>
          <w:rFonts w:ascii="Times New Roman" w:eastAsiaTheme="minorEastAsia" w:hAnsi="Times New Roman" w:cs="Times New Roman"/>
          <w:sz w:val="24"/>
          <w:szCs w:val="24"/>
          <w:lang w:eastAsia="pl-PL"/>
        </w:rPr>
        <w:t>ozdziale 10 ustawy PIT, w którym znajdują się przepisy epizodyczne, przejściowe i końcowe. W związku z tym, w celu uczynienia ze wskazanych przepisów zasady ogólnej, proponuje się przeniesienie ich w odpowiednim zakresie do art. 45c ustawy</w:t>
      </w:r>
      <w:r w:rsidRPr="00C41BBF">
        <w:rPr>
          <w:rFonts w:ascii="Times New Roman" w:eastAsia="Times New Roman" w:hAnsi="Times New Roman" w:cs="Times New Roman"/>
          <w:sz w:val="24"/>
          <w:szCs w:val="24"/>
          <w:lang w:eastAsia="pl-PL"/>
        </w:rPr>
        <w:t xml:space="preserve"> PIT, poprzez dodanie ust. 3c–3e. </w:t>
      </w:r>
    </w:p>
    <w:p w14:paraId="6A3E06F3" w14:textId="77777777" w:rsidR="005B672B" w:rsidRPr="00C41BBF" w:rsidRDefault="005B672B"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Wprowadzenie na stałe wskazanego mechanizmu jest reakcją na zauważalne korzyści z jego stosowania podczas dotychczasowego obowiązywania przepisów regulujących tę kwestię. Przyczyn dodania ust. 3d–3e do art. 45c ustawy PIT należy upatrywać przede wszystkim w ułatwieniach dla podatników, objętych przedmiotowym mechanizmem, które przejawiają się w szczególności poprzez brak konieczności corocznego wskazywania OPP w sytuacji, gdy wolą podatnika jest przekazanie kwoty w wysokości nieprzekraczającej 1% podatku należnego tej samej OPP.</w:t>
      </w:r>
    </w:p>
    <w:p w14:paraId="689D7AA8" w14:textId="77777777" w:rsidR="005B672B" w:rsidRPr="00C41BBF" w:rsidRDefault="005B672B"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sytuacji, o której mowa powyżej, przekazanie kwoty w wysokości nieprzekraczającej 1% podatku na rzecz OPP, która została wskazana przez podatnika, następuje na podstawie wniosku zawartego w złożonym zeznaniu, o którym mowa w art. 45c </w:t>
      </w:r>
      <w:r w:rsidRPr="00C41BBF">
        <w:rPr>
          <w:rFonts w:ascii="Times New Roman" w:eastAsia="Times New Roman" w:hAnsi="Times New Roman" w:cs="Times New Roman"/>
          <w:sz w:val="24"/>
          <w:szCs w:val="24"/>
          <w:lang w:eastAsia="pl-PL"/>
        </w:rPr>
        <w:lastRenderedPageBreak/>
        <w:t xml:space="preserve">ust. 1 ustawy PIT, złożonej korekcie tego zeznania albo w złożonym oświadczeniu, o którym mowa w art. 45c ust. 3a ustawy PIT, za ubiegły rok podatkowy. Rozwiązanie to znajduje zastosowanie do momentu, w którym podatnik poczyni odpowiednie działania, skutkujące określeniem innej OPP niż wskazana uprzednio w celu przekazywania jej kwoty w wysokości nieprzekraczającej 1% podatku należnego albo </w:t>
      </w:r>
      <w:r w:rsidRPr="00C41BBF">
        <w:rPr>
          <w:rFonts w:ascii="Times New Roman" w:eastAsiaTheme="minorEastAsia" w:hAnsi="Times New Roman" w:cs="Times New Roman"/>
          <w:sz w:val="24"/>
          <w:szCs w:val="24"/>
          <w:lang w:eastAsia="pl-PL"/>
        </w:rPr>
        <w:t>cofnięciem zgody na przekazywanie 1% podatku należnego na rzecz jakiejkolwiek OPP.</w:t>
      </w:r>
    </w:p>
    <w:p w14:paraId="7C776BD3" w14:textId="77777777" w:rsidR="005B672B" w:rsidRPr="00C41BBF" w:rsidRDefault="005B672B"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Zgodnie z założeniami, dla rozwiązania wprowadzanego w art. 45c ust. 3c, przekazanie środków następuje na podstawie wniosku, sporządzonego przez organ podatkowy za pośrednictwem portalu podatkowego. Stanowi to mechanizm analogiczny do tego, który znajduje zastosowanie obecnie. W związku z wykorzystaniem wdrożonego już w tym zakresie systemu, możliwe będzie zachowanie ciągłości oraz sprawne funkcjonowanie procesu przekazywania kwot w wysokości nieprzekraczającej 1% podatku należnego. </w:t>
      </w:r>
    </w:p>
    <w:p w14:paraId="0C7073F8" w14:textId="41537BE0" w:rsidR="005B672B" w:rsidRPr="00C41BBF" w:rsidRDefault="005B672B"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Dostrzegając</w:t>
      </w:r>
      <w:r w:rsidRPr="00C41BBF">
        <w:rPr>
          <w:rFonts w:ascii="Times New Roman" w:eastAsia="Times New Roman" w:hAnsi="Times New Roman" w:cs="Times New Roman"/>
          <w:sz w:val="24"/>
          <w:szCs w:val="24"/>
          <w:lang w:eastAsia="pl-PL"/>
        </w:rPr>
        <w:t xml:space="preserve"> konieczność uregulowania sposobu postępowania w sytuacji, w której podatnik objęty wprowadzanym mechanizmem podjąłby decyzję o wycofaniu swojej zgody na przekazywanie wskazanej uprzednio OPP kwoty w wysokości nieprzekraczającej 1% podatku należnego, proponuje się wprowadzenie art. 45c ust. 3e ustawy PIT. Zgodnie z projektowanym rozwiązaniem, podatnik ma możliwość wycofania zgody na przekazanie OPP kwoty 1% podatku należnego poprzez zawarcie informacji w tym zakresie w oświadczeniu, o którym mowa w art. 45c ust. 3a ustawy PIT. Od momentu wycofania zgody, zaprzestaje się stosowania mechanizmu wprowadzonego w art. 45c ust. 3c ustawy PIT, względem określonego podatnika.</w:t>
      </w:r>
    </w:p>
    <w:p w14:paraId="0AED7D3E"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53EA754F"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b/>
          <w:color w:val="0070C0"/>
          <w:sz w:val="24"/>
          <w:szCs w:val="24"/>
          <w:lang w:eastAsia="pl-PL"/>
        </w:rPr>
      </w:pPr>
      <w:r w:rsidRPr="00C41BBF">
        <w:rPr>
          <w:rFonts w:ascii="Times New Roman" w:eastAsia="Times New Roman" w:hAnsi="Times New Roman" w:cs="Times New Roman"/>
          <w:b/>
          <w:color w:val="0070C0"/>
          <w:sz w:val="24"/>
          <w:szCs w:val="24"/>
          <w:lang w:eastAsia="pl-PL"/>
        </w:rPr>
        <w:t>Uchylenie mechanizmu przedłużenia poboru i wpłaty zaliczek na podatek dochodowy w trakcie 2022 r. – uchylenie art. 53a ustawy PIT</w:t>
      </w:r>
    </w:p>
    <w:p w14:paraId="64A343F8"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Projekt ustawy zakłada uchylenie od 1 lipca 2022 r. obowiązku nałożonego na płatników wyliczania w trakcie 2022 r. zaliczek również według zasad obowiązujących do końca 2021 r., czyli uchylenie tzw. mechanizmu rolowania zaliczek wdrożonego do systemu prawnego w drodze rozporządzenia Ministra Finansów z dnia 7 stycznia </w:t>
      </w:r>
      <w:r w:rsidRPr="00C41BBF">
        <w:rPr>
          <w:rFonts w:ascii="Times New Roman" w:eastAsia="Times New Roman" w:hAnsi="Times New Roman" w:cs="Times New Roman"/>
          <w:sz w:val="24"/>
          <w:szCs w:val="24"/>
          <w:lang w:eastAsia="pl-PL"/>
        </w:rPr>
        <w:lastRenderedPageBreak/>
        <w:t>2022 r. w sprawie przedłużenia terminów poboru i przekazania przez niektórych płatników zaliczek na podatek dochodowy od osób fizycznych – Dz. U. poz. 28. Mechanizm ten obecnie reguluje art. 53a ustawy PIT.</w:t>
      </w:r>
    </w:p>
    <w:p w14:paraId="66736CFD" w14:textId="5A28DD22"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Uchylenie tego mechanizmu jest możliwe dzięki wprowadzeniu niższej stawki podatkowej</w:t>
      </w:r>
      <w:r w:rsidR="00546B24" w:rsidRPr="00C41BBF">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W niektórych sytuacjach zmiana ta natomiast wyeliminuje ryzyko dużych dopłat w rocznym rozliczeniu podatkowym.</w:t>
      </w:r>
    </w:p>
    <w:p w14:paraId="75291553" w14:textId="12D3B569" w:rsidR="00B96862" w:rsidRPr="00C41BBF" w:rsidRDefault="0030711D"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Jednocześnie w celu wyeliminowania ewentualnych wątpliwości projekt zwalnia płatnika z obowiązku poboru i wpłacenia niepobranej do dnia 30 czerwca 2022 r. tej części zaliczki, która nie została pobrana ze względu na niewystąpienie różnicy umożliwiającej pobranie wcześniej sprolongowanej zaliczki (art. </w:t>
      </w:r>
      <w:r w:rsidR="00A77A41" w:rsidRPr="00C41BBF">
        <w:rPr>
          <w:rFonts w:ascii="Times New Roman" w:eastAsia="Times New Roman" w:hAnsi="Times New Roman" w:cs="Times New Roman"/>
          <w:sz w:val="24"/>
          <w:szCs w:val="24"/>
          <w:lang w:eastAsia="pl-PL"/>
        </w:rPr>
        <w:t>2</w:t>
      </w:r>
      <w:r w:rsidR="00091116" w:rsidRPr="00C41BBF">
        <w:rPr>
          <w:rFonts w:ascii="Times New Roman" w:eastAsia="Times New Roman" w:hAnsi="Times New Roman" w:cs="Times New Roman"/>
          <w:sz w:val="24"/>
          <w:szCs w:val="24"/>
          <w:lang w:eastAsia="pl-PL"/>
        </w:rPr>
        <w:t>4</w:t>
      </w:r>
      <w:r w:rsidR="00A77A41" w:rsidRPr="00C41BBF">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projektowanej ustawy).</w:t>
      </w:r>
    </w:p>
    <w:p w14:paraId="46822716" w14:textId="77777777" w:rsidR="0030711D" w:rsidRPr="00C41BBF" w:rsidRDefault="0030711D"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4424152D" w14:textId="77777777"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 z dnia 29 sierpnia 1997 r. – Ordynacja podatkowa (art. 2 projektu ustawy)</w:t>
      </w:r>
    </w:p>
    <w:p w14:paraId="374D3B49" w14:textId="107D7DF3" w:rsidR="00B96862" w:rsidRPr="00C41BBF" w:rsidRDefault="00B96862" w:rsidP="00C41BBF">
      <w:pPr>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Obecnie art. 28 § 3 pkt 1 Ordynacji podatkowej upoważnia ministra właściwego do spraw finansów publicznych do określenia, w drodze rozporządzenia, szczegółowych zasad ustalania wynagrodzenia płatników i inkasentów pobierających podatki na rzecz budżetu państwa, w relacji do kwoty pobranych podatków, oraz tryb pobrania wynagrodzenia. Powołany przepis upoważniający nie zawiera wytycznych, które dotyczyłyby kryteriów ustalania wynagrodzeń. Proponuje się uzupełnić treść przepisu art. 28 § 3 pkt 1 Ordynacji podatkowej o kryterium rodzaju pobranego</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podatku. Pozwoli to na zróżnicowanie wysokości wynagrodzenia z tytułu terminowego wpłacania podatków na rzecz budżetu państwa, w zależności od rodzaju pobranego podatku.</w:t>
      </w:r>
    </w:p>
    <w:p w14:paraId="5586C4FA" w14:textId="77777777" w:rsidR="00A77A41" w:rsidRPr="00C41BBF" w:rsidRDefault="00A77A41" w:rsidP="00C41BBF">
      <w:pPr>
        <w:spacing w:before="120" w:after="0" w:line="360" w:lineRule="auto"/>
        <w:jc w:val="both"/>
        <w:rPr>
          <w:rFonts w:ascii="Times New Roman" w:eastAsiaTheme="minorEastAsia" w:hAnsi="Times New Roman" w:cs="Times New Roman"/>
          <w:sz w:val="24"/>
          <w:szCs w:val="24"/>
          <w:lang w:eastAsia="pl-PL"/>
        </w:rPr>
      </w:pPr>
    </w:p>
    <w:p w14:paraId="28E8347D" w14:textId="77777777"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 z dnia 13 października 1998 r. o systemie ubezpieczeń społecznych (art. 3 projektu ustawy)</w:t>
      </w:r>
    </w:p>
    <w:p w14:paraId="6F32787F" w14:textId="3AC40FBA" w:rsidR="00B96862" w:rsidRPr="00C41BBF" w:rsidRDefault="00B96862"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Proponowane zmiany w zakresie art. 41 i </w:t>
      </w:r>
      <w:r w:rsidR="00DF34D9" w:rsidRPr="00C41BBF">
        <w:rPr>
          <w:rFonts w:ascii="Times New Roman" w:eastAsia="Times New Roman" w:hAnsi="Times New Roman" w:cs="Times New Roman"/>
          <w:sz w:val="24"/>
          <w:szCs w:val="24"/>
          <w:lang w:eastAsia="pl-PL"/>
        </w:rPr>
        <w:t>nast.</w:t>
      </w:r>
      <w:r w:rsidRPr="00C41BBF">
        <w:rPr>
          <w:rFonts w:ascii="Times New Roman" w:eastAsia="Times New Roman" w:hAnsi="Times New Roman" w:cs="Times New Roman"/>
          <w:sz w:val="24"/>
          <w:szCs w:val="24"/>
          <w:lang w:eastAsia="pl-PL"/>
        </w:rPr>
        <w:t xml:space="preserve"> ustawy z dnia 13 października 1998 r. o systemie ubezpieczeń społecznych mają na celu doprecyzowanie zakresu danych przekazywanych przez płatników na imiennych raportach rozliczeniowych lub deklaracjach rozliczeniowych. W przepisach tych wskazuje się, że w dokumentach tych </w:t>
      </w:r>
      <w:r w:rsidRPr="00C41BBF">
        <w:rPr>
          <w:rFonts w:ascii="Times New Roman" w:eastAsia="Times New Roman" w:hAnsi="Times New Roman" w:cs="Times New Roman"/>
          <w:sz w:val="24"/>
          <w:szCs w:val="24"/>
          <w:lang w:eastAsia="pl-PL"/>
        </w:rPr>
        <w:lastRenderedPageBreak/>
        <w:t>płatnik przekazuje m.in. informację o kwocie dopłaty stanowiącej różnicę między roczną składką na ubezpieczenie zdrowotne a sumą składek na ubezpieczenie zdrowotne za poszczególne miesiące roku kalendarzowego albo roku składkowego w rozumieniu art. 81 ust. 2 ustawy o świadczeniach zdrowotnych. Proponowana zmiana z</w:t>
      </w:r>
      <w:r w:rsidR="00D4717C">
        <w:rPr>
          <w:rFonts w:ascii="Times New Roman" w:eastAsia="Times New Roman" w:hAnsi="Times New Roman" w:cs="Times New Roman"/>
          <w:sz w:val="24"/>
          <w:szCs w:val="24"/>
          <w:lang w:eastAsia="pl-PL"/>
        </w:rPr>
        <w:t>a</w:t>
      </w:r>
      <w:r w:rsidRPr="00C41BBF">
        <w:rPr>
          <w:rFonts w:ascii="Times New Roman" w:eastAsia="Times New Roman" w:hAnsi="Times New Roman" w:cs="Times New Roman"/>
          <w:sz w:val="24"/>
          <w:szCs w:val="24"/>
          <w:lang w:eastAsia="pl-PL"/>
        </w:rPr>
        <w:t xml:space="preserve">stępuje zwrot „informację o kwocie dopłaty stanowiącej różnicę” zwrotem „informację o kwocie różnicy”. Zmiana podyktowana jest zasadnością pozyskiwania przez ZUS dla celów weryfikacji wyliczenia rocznej składki na ubezpieczenie zdrowotne informacji o różnicy pomiędzy składkami opłaconymi za poszczególne miesiące a wyliczoną składką roczną, w sytuacji gdy różnica ta będzie oznaczała niedopłatę składki albo jej nadpłatę. </w:t>
      </w:r>
    </w:p>
    <w:p w14:paraId="7E459F36" w14:textId="77777777" w:rsidR="00B96862" w:rsidRPr="00C41BBF" w:rsidRDefault="00B96862" w:rsidP="00C41BBF">
      <w:pPr>
        <w:spacing w:before="120" w:after="0" w:line="360" w:lineRule="auto"/>
        <w:ind w:left="720"/>
        <w:contextualSpacing/>
        <w:jc w:val="both"/>
        <w:rPr>
          <w:rFonts w:ascii="Times New Roman" w:eastAsiaTheme="minorEastAsia" w:hAnsi="Times New Roman" w:cs="Times New Roman"/>
          <w:b/>
          <w:color w:val="0070C0"/>
          <w:sz w:val="24"/>
          <w:szCs w:val="24"/>
          <w:lang w:eastAsia="pl-PL"/>
        </w:rPr>
      </w:pPr>
    </w:p>
    <w:p w14:paraId="4FF9DD37" w14:textId="77777777"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 o ryczałcie (art. 4 projektu ustawy)</w:t>
      </w:r>
    </w:p>
    <w:p w14:paraId="0831F2DF" w14:textId="77777777"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color w:val="0070C0"/>
          <w:sz w:val="24"/>
          <w:szCs w:val="24"/>
          <w:lang w:eastAsia="pl-PL"/>
        </w:rPr>
      </w:pPr>
      <w:r w:rsidRPr="00C41BBF">
        <w:rPr>
          <w:rFonts w:ascii="Times New Roman" w:eastAsia="Times New Roman" w:hAnsi="Times New Roman" w:cs="Times New Roman"/>
          <w:color w:val="0070C0"/>
          <w:sz w:val="24"/>
          <w:szCs w:val="24"/>
          <w:lang w:eastAsia="pl-PL"/>
        </w:rPr>
        <w:t>Składki na ubezpieczenie zdrowotne</w:t>
      </w:r>
    </w:p>
    <w:p w14:paraId="7F3EFD05" w14:textId="23402CB6"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ustawie o ryczałcie proponuje się zmianę przepisów, które umożliwią odliczanie składek na ubezpieczenie zdrowotne, płaconych przez prowadzących działalność gospodarczą, którzy nie obliczają z tego tytułu podatku dochodowego według skali podatkowej. Z możliwości tej skorzystają podatnicy opłacający ryczałt </w:t>
      </w:r>
      <w:r w:rsidR="001B17BB" w:rsidRPr="00C41BBF">
        <w:rPr>
          <w:rFonts w:ascii="Times New Roman" w:eastAsia="Times New Roman" w:hAnsi="Times New Roman" w:cs="Times New Roman"/>
          <w:sz w:val="24"/>
          <w:szCs w:val="24"/>
          <w:lang w:eastAsia="pl-PL"/>
        </w:rPr>
        <w:t>od przychodów ewidencjonowanych lub</w:t>
      </w:r>
      <w:r w:rsidRPr="00C41BBF">
        <w:rPr>
          <w:rFonts w:ascii="Times New Roman" w:eastAsia="Times New Roman" w:hAnsi="Times New Roman" w:cs="Times New Roman"/>
          <w:sz w:val="24"/>
          <w:szCs w:val="24"/>
          <w:lang w:eastAsia="pl-PL"/>
        </w:rPr>
        <w:t xml:space="preserve"> kartę podatkową.</w:t>
      </w:r>
    </w:p>
    <w:p w14:paraId="2E7DA8DF" w14:textId="77777777"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50% zapłaconych składek zdrowotnych będzie mogło być odliczane od przychodu w przypadku podatników opłacających ryczałt od przychodów ewidencjonowanych, w tym także opłacany w trakcie roku podatkowego. Odliczeniu podlegać będą składki płacone w związku z działalnością opodatkowaną w tej formie. </w:t>
      </w:r>
    </w:p>
    <w:p w14:paraId="25C436D3" w14:textId="1FFFF8B8"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Natomiast w przypadku osób opłacających podatek w formie karty podatkowej odliczeniu od podatku podlegać będzie kwota stanowiąca </w:t>
      </w:r>
      <w:r w:rsidR="001B17BB" w:rsidRPr="00C41BBF">
        <w:rPr>
          <w:rFonts w:ascii="Times New Roman" w:eastAsia="Times New Roman" w:hAnsi="Times New Roman" w:cs="Times New Roman"/>
          <w:sz w:val="24"/>
          <w:szCs w:val="24"/>
          <w:lang w:eastAsia="pl-PL"/>
        </w:rPr>
        <w:t>19</w:t>
      </w:r>
      <w:r w:rsidRPr="00C41BBF">
        <w:rPr>
          <w:rFonts w:ascii="Times New Roman" w:eastAsia="Times New Roman" w:hAnsi="Times New Roman" w:cs="Times New Roman"/>
          <w:sz w:val="24"/>
          <w:szCs w:val="24"/>
          <w:lang w:eastAsia="pl-PL"/>
        </w:rPr>
        <w:t>% składki na ubezpieczenie zdrowotne zapłaconej w roku podatkowym w związku z prowadzoną działalnością opodatkowaną w formie karty podatkowej.</w:t>
      </w:r>
      <w:r w:rsidR="009D1102">
        <w:rPr>
          <w:rFonts w:ascii="Times New Roman" w:eastAsia="Times New Roman" w:hAnsi="Times New Roman" w:cs="Times New Roman"/>
          <w:sz w:val="24"/>
          <w:szCs w:val="24"/>
          <w:lang w:eastAsia="pl-PL"/>
        </w:rPr>
        <w:t xml:space="preserve"> </w:t>
      </w:r>
    </w:p>
    <w:p w14:paraId="7377FEE3" w14:textId="77777777"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color w:val="0070C0"/>
          <w:sz w:val="24"/>
          <w:szCs w:val="24"/>
          <w:lang w:eastAsia="pl-PL"/>
        </w:rPr>
      </w:pPr>
      <w:r w:rsidRPr="00C41BBF">
        <w:rPr>
          <w:rFonts w:ascii="Times New Roman" w:eastAsia="Times New Roman" w:hAnsi="Times New Roman" w:cs="Times New Roman"/>
          <w:color w:val="0070C0"/>
          <w:sz w:val="24"/>
          <w:szCs w:val="24"/>
          <w:lang w:eastAsia="pl-PL"/>
        </w:rPr>
        <w:t>Zmiana terminu składania PIT-28 i 28S</w:t>
      </w:r>
    </w:p>
    <w:p w14:paraId="5D7A3A2E" w14:textId="77777777" w:rsidR="00995B5A"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celu ujednolicenia terminu dla podatników podatku dochodowego od osób fizycznych, projekt wydłuża termin składania zeznań rocznych PIT-28 oraz PIT-28S do 30 kwietnia roku następującego po roku podatkowym. Termin ten obowiązywał będzie </w:t>
      </w:r>
      <w:r w:rsidRPr="00C41BBF">
        <w:rPr>
          <w:rFonts w:ascii="Times New Roman" w:eastAsia="Times New Roman" w:hAnsi="Times New Roman" w:cs="Times New Roman"/>
          <w:sz w:val="24"/>
          <w:szCs w:val="24"/>
          <w:lang w:eastAsia="pl-PL"/>
        </w:rPr>
        <w:lastRenderedPageBreak/>
        <w:t>już w przypadku zeznań rocznych PIT-28/PIT-28S składanych za 2022 r.</w:t>
      </w:r>
    </w:p>
    <w:p w14:paraId="7ADF6F0F" w14:textId="3948E8AE" w:rsidR="004002BC"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związku z wydłużeniem tego terminu, zmieniony został również termin płatności ryczałtu od przychodów ewidencjonowanych za grudzień oraz ostatni kwartał roku podatkowego. Obecnie ostatni ryczałt za rok podatkowy (za grudzień oraz czwarty kwartał) podatnicy obowiązani są wpłacać w terminie złożenia zeznania, czyli do końca lutego. </w:t>
      </w:r>
      <w:r w:rsidR="004002BC" w:rsidRPr="00C41BBF">
        <w:rPr>
          <w:rFonts w:ascii="Times New Roman" w:eastAsia="Times New Roman" w:hAnsi="Times New Roman" w:cs="Times New Roman"/>
          <w:sz w:val="24"/>
          <w:szCs w:val="24"/>
          <w:lang w:eastAsia="pl-PL"/>
        </w:rPr>
        <w:t>Natomiast podatnicy, którzy opodatkowują dochody na zasadach ogólnych według skali podatkowej lub podatkiem liniowym</w:t>
      </w:r>
      <w:r w:rsidR="00D4717C">
        <w:rPr>
          <w:rFonts w:ascii="Times New Roman" w:eastAsia="Times New Roman" w:hAnsi="Times New Roman" w:cs="Times New Roman"/>
          <w:sz w:val="24"/>
          <w:szCs w:val="24"/>
          <w:lang w:eastAsia="pl-PL"/>
        </w:rPr>
        <w:t>,</w:t>
      </w:r>
      <w:r w:rsidR="004002BC" w:rsidRPr="00C41BBF">
        <w:rPr>
          <w:rFonts w:ascii="Times New Roman" w:eastAsia="Times New Roman" w:hAnsi="Times New Roman" w:cs="Times New Roman"/>
          <w:sz w:val="24"/>
          <w:szCs w:val="24"/>
          <w:lang w:eastAsia="pl-PL"/>
        </w:rPr>
        <w:t xml:space="preserve"> obliczają i wpłacają należne zaliczki za grudzień lub ostatni kwartał roku podatkowego do 20 stycznia następnego roku.</w:t>
      </w:r>
    </w:p>
    <w:p w14:paraId="4B45B814" w14:textId="4BB6E933" w:rsidR="004002BC"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związku z ujednoliceniem przez projekt terminu składania zeznań rocznych przez </w:t>
      </w:r>
      <w:r w:rsidR="004002BC" w:rsidRPr="00C41BBF">
        <w:rPr>
          <w:rFonts w:ascii="Times New Roman" w:eastAsia="Times New Roman" w:hAnsi="Times New Roman" w:cs="Times New Roman"/>
          <w:sz w:val="24"/>
          <w:szCs w:val="24"/>
          <w:lang w:eastAsia="pl-PL"/>
        </w:rPr>
        <w:t xml:space="preserve">wszystkich </w:t>
      </w:r>
      <w:r w:rsidRPr="00C41BBF">
        <w:rPr>
          <w:rFonts w:ascii="Times New Roman" w:eastAsia="Times New Roman" w:hAnsi="Times New Roman" w:cs="Times New Roman"/>
          <w:sz w:val="24"/>
          <w:szCs w:val="24"/>
          <w:lang w:eastAsia="pl-PL"/>
        </w:rPr>
        <w:t xml:space="preserve">podatników podatku dochodowego od osób fizycznych, </w:t>
      </w:r>
      <w:r w:rsidR="004002BC" w:rsidRPr="00C41BBF">
        <w:rPr>
          <w:rFonts w:ascii="Times New Roman" w:eastAsia="Times New Roman" w:hAnsi="Times New Roman" w:cs="Times New Roman"/>
          <w:sz w:val="24"/>
          <w:szCs w:val="24"/>
          <w:lang w:eastAsia="pl-PL"/>
        </w:rPr>
        <w:t xml:space="preserve">w tym opłacających ryczałt od przychodów ewidencjonowanych, </w:t>
      </w:r>
      <w:r w:rsidRPr="00C41BBF">
        <w:rPr>
          <w:rFonts w:ascii="Times New Roman" w:eastAsia="Times New Roman" w:hAnsi="Times New Roman" w:cs="Times New Roman"/>
          <w:sz w:val="24"/>
          <w:szCs w:val="24"/>
          <w:lang w:eastAsia="pl-PL"/>
        </w:rPr>
        <w:t xml:space="preserve">ujednolicony został także termin płatności ostatniego ryczałtu za grudzień/ostatni kwartał. </w:t>
      </w:r>
      <w:r w:rsidR="004002BC" w:rsidRPr="00C41BBF">
        <w:rPr>
          <w:rFonts w:ascii="Times New Roman" w:eastAsia="Times New Roman" w:hAnsi="Times New Roman" w:cs="Times New Roman"/>
          <w:sz w:val="24"/>
          <w:szCs w:val="24"/>
          <w:lang w:eastAsia="pl-PL"/>
        </w:rPr>
        <w:t xml:space="preserve">Byłoby bowiem nieuzasadnione, by termin ten pozostał dłuższy, np. do końca lutego albo </w:t>
      </w:r>
      <w:r w:rsidR="003B4651" w:rsidRPr="00C41BBF">
        <w:rPr>
          <w:rFonts w:ascii="Times New Roman" w:eastAsia="Times New Roman" w:hAnsi="Times New Roman" w:cs="Times New Roman"/>
          <w:sz w:val="24"/>
          <w:szCs w:val="24"/>
          <w:lang w:eastAsia="pl-PL"/>
        </w:rPr>
        <w:t>do końca kwietnia, czyli do upływu nowego</w:t>
      </w:r>
      <w:r w:rsidR="004002BC" w:rsidRPr="00C41BBF">
        <w:rPr>
          <w:rFonts w:ascii="Times New Roman" w:eastAsia="Times New Roman" w:hAnsi="Times New Roman" w:cs="Times New Roman"/>
          <w:sz w:val="24"/>
          <w:szCs w:val="24"/>
          <w:lang w:eastAsia="pl-PL"/>
        </w:rPr>
        <w:t xml:space="preserve"> termin</w:t>
      </w:r>
      <w:r w:rsidR="003B4651" w:rsidRPr="00C41BBF">
        <w:rPr>
          <w:rFonts w:ascii="Times New Roman" w:eastAsia="Times New Roman" w:hAnsi="Times New Roman" w:cs="Times New Roman"/>
          <w:sz w:val="24"/>
          <w:szCs w:val="24"/>
          <w:lang w:eastAsia="pl-PL"/>
        </w:rPr>
        <w:t>u</w:t>
      </w:r>
      <w:r w:rsidR="004002BC" w:rsidRPr="00C41BBF">
        <w:rPr>
          <w:rFonts w:ascii="Times New Roman" w:eastAsia="Times New Roman" w:hAnsi="Times New Roman" w:cs="Times New Roman"/>
          <w:sz w:val="24"/>
          <w:szCs w:val="24"/>
          <w:lang w:eastAsia="pl-PL"/>
        </w:rPr>
        <w:t xml:space="preserve"> z</w:t>
      </w:r>
      <w:r w:rsidR="003B4651" w:rsidRPr="00C41BBF">
        <w:rPr>
          <w:rFonts w:ascii="Times New Roman" w:eastAsia="Times New Roman" w:hAnsi="Times New Roman" w:cs="Times New Roman"/>
          <w:sz w:val="24"/>
          <w:szCs w:val="24"/>
          <w:lang w:eastAsia="pl-PL"/>
        </w:rPr>
        <w:t>łożenia zeznania PIT-28/PIT-28S.</w:t>
      </w:r>
    </w:p>
    <w:p w14:paraId="6CBCC278" w14:textId="0E9C13C3" w:rsidR="00DF34D9" w:rsidRPr="00C41BBF" w:rsidRDefault="00995B5A"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Tak samo jak w przypadku podatników obowiązanych do obliczania i wpłacania zaliczek miesięcznych/kwartalnych do 20 stycznia roku następującego po roku podatkowych, również podatnicy stosujący opodatkowanie w formie ryczałtu od przychodów ewidencjonowanych ostatni ryczał</w:t>
      </w:r>
      <w:r w:rsidR="00D4717C">
        <w:rPr>
          <w:rFonts w:ascii="Times New Roman" w:eastAsia="Times New Roman" w:hAnsi="Times New Roman" w:cs="Times New Roman"/>
          <w:sz w:val="24"/>
          <w:szCs w:val="24"/>
          <w:lang w:eastAsia="pl-PL"/>
        </w:rPr>
        <w:t>t</w:t>
      </w:r>
      <w:r w:rsidRPr="00C41BBF">
        <w:rPr>
          <w:rFonts w:ascii="Times New Roman" w:eastAsia="Times New Roman" w:hAnsi="Times New Roman" w:cs="Times New Roman"/>
          <w:sz w:val="24"/>
          <w:szCs w:val="24"/>
          <w:lang w:eastAsia="pl-PL"/>
        </w:rPr>
        <w:t xml:space="preserve"> (za grudzień/czwarty kwartał) wpłacać będą w tym terminie. Nowy termin obowiązywał będzie po raz pierwszy w przypadku ryczałt</w:t>
      </w:r>
      <w:r w:rsidR="00DF34D9" w:rsidRPr="00C41BBF">
        <w:rPr>
          <w:rFonts w:ascii="Times New Roman" w:eastAsia="Times New Roman" w:hAnsi="Times New Roman" w:cs="Times New Roman"/>
          <w:sz w:val="24"/>
          <w:szCs w:val="24"/>
          <w:lang w:eastAsia="pl-PL"/>
        </w:rPr>
        <w:t>u</w:t>
      </w:r>
      <w:r w:rsidRPr="00C41BBF">
        <w:rPr>
          <w:rFonts w:ascii="Times New Roman" w:eastAsia="Times New Roman" w:hAnsi="Times New Roman" w:cs="Times New Roman"/>
          <w:sz w:val="24"/>
          <w:szCs w:val="24"/>
          <w:lang w:eastAsia="pl-PL"/>
        </w:rPr>
        <w:t xml:space="preserve"> należnego za grudzień/czwarty kwartał 2023 r. Natomiast ryczałt należny za grudzień/czwarty kwartał 2022 r., podatnicy obowiązani będą wpłacić do końca lutego 2023 r.</w:t>
      </w:r>
    </w:p>
    <w:p w14:paraId="0482F5CC"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6C004C53" w14:textId="77777777"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w:t>
      </w:r>
      <w:r w:rsidRPr="00C41BBF">
        <w:rPr>
          <w:rFonts w:ascii="Times New Roman" w:hAnsi="Times New Roman" w:cs="Times New Roman"/>
          <w:b/>
          <w:color w:val="0070C0"/>
          <w:sz w:val="24"/>
          <w:szCs w:val="24"/>
        </w:rPr>
        <w:t xml:space="preserve"> o świadczeniach pieniężnych z ubezpieczenia społecznego w razie choroby i macierzyństwa </w:t>
      </w:r>
      <w:r w:rsidRPr="00C41BBF">
        <w:rPr>
          <w:rFonts w:ascii="Times New Roman" w:eastAsiaTheme="minorEastAsia" w:hAnsi="Times New Roman" w:cs="Times New Roman"/>
          <w:b/>
          <w:color w:val="0070C0"/>
          <w:sz w:val="24"/>
          <w:szCs w:val="24"/>
          <w:lang w:eastAsia="pl-PL"/>
        </w:rPr>
        <w:t>(art. 5 projektu ustawy)</w:t>
      </w:r>
    </w:p>
    <w:p w14:paraId="01DCD6BD" w14:textId="14AED45E" w:rsidR="001E28E8" w:rsidRPr="00C41BBF" w:rsidRDefault="001E28E8" w:rsidP="00C41BBF">
      <w:pPr>
        <w:pStyle w:val="NormalnyWeb"/>
        <w:spacing w:line="360" w:lineRule="auto"/>
        <w:jc w:val="both"/>
      </w:pPr>
      <w:r w:rsidRPr="00C41BBF">
        <w:t xml:space="preserve">Zgodnie z obecnie obowiązującym przepisem art. 31 ust. 3a ustawy z dnia 25 czerwca 1999 r. o świadczeniach pieniężnych z ubezpieczenia społecznego w razie choroby i macierzyństwa w przypadku, gdy miesięczna kwota zasiłku macierzyńskiego pomniejszonego o zaliczkę na podatek dochodowy od osób fizycznych jest niższa niż </w:t>
      </w:r>
      <w:r w:rsidRPr="00C41BBF">
        <w:lastRenderedPageBreak/>
        <w:t>kwota świadczenia rodzicielskiego, określonego w ustawie z dnia 28 listopada 2003</w:t>
      </w:r>
      <w:r w:rsidR="00356A2D" w:rsidRPr="00C41BBF">
        <w:t> </w:t>
      </w:r>
      <w:r w:rsidRPr="00C41BBF">
        <w:t>r. o świadczeniach rodzinnych, kwotę zasiłku macierzyńskiego pomniejszonego o zaliczkę na podatek dochodowy od osób fizycznych podwyższa się do wysokości świadczenia rodzicielskiego. Świadczenie rodzicielskie wynosi 1000</w:t>
      </w:r>
      <w:r w:rsidR="009D1102">
        <w:t xml:space="preserve"> </w:t>
      </w:r>
      <w:r w:rsidRPr="00C41BBF">
        <w:t>zł miesięcznie. Tak więc, obecnie, w przypadku gdy wysokość zasiłku macierzyńskiego, pomniejszonego o zaliczkę na podatek dochodowy od osób fizycznych</w:t>
      </w:r>
      <w:r w:rsidR="00335A1B">
        <w:t>,</w:t>
      </w:r>
      <w:r w:rsidRPr="00C41BBF">
        <w:t xml:space="preserve"> jest niższa niż 1000 zł, kwotę tę podwyższa się do tej wysokości. </w:t>
      </w:r>
    </w:p>
    <w:p w14:paraId="24A12BAC" w14:textId="06FA3062" w:rsidR="001E28E8" w:rsidRPr="00C41BBF" w:rsidRDefault="001E28E8" w:rsidP="00C41BBF">
      <w:pPr>
        <w:pStyle w:val="NormalnyWeb"/>
        <w:spacing w:line="360" w:lineRule="auto"/>
        <w:jc w:val="both"/>
      </w:pPr>
      <w:r w:rsidRPr="00C41BBF">
        <w:t>Ze względu na propozycję zwolnienia z podatku dochodowego od osób fizycznych przychodów z zasiłku macierzyńskiego (do kwoty 85 500 zł) proponuje się modyfikację art. 31 ust. 3a ustawy z dnia 25 czerwca 1999 r. o świadczeniach pieniężnych z ubezpieczenia społecznego w razie choroby i macierzyństwa. Zmiana ma na celu dostosowanie powyższego przepisu do proponowanego zwolnienia z podatku dochodowego od osób fizycznych. Kwota zasiłku macierzyńskiego, w celu porównania z kwotą świadczenia rodzicielskiego, nie będzie uwzględniać pomniejszenia o zaliczkę na podatek dochodowy, ze względu na to, że nie będzie pobierany od tej kwoty podatek dochodowy od osób fizycznych.</w:t>
      </w:r>
    </w:p>
    <w:p w14:paraId="0A224692" w14:textId="77777777" w:rsidR="0030711D" w:rsidRPr="00C41BBF" w:rsidRDefault="0030711D" w:rsidP="00C41BBF">
      <w:pPr>
        <w:widowControl w:val="0"/>
        <w:autoSpaceDE w:val="0"/>
        <w:autoSpaceDN w:val="0"/>
        <w:adjustRightInd w:val="0"/>
        <w:spacing w:before="120" w:after="0" w:line="360" w:lineRule="auto"/>
        <w:ind w:left="720"/>
        <w:contextualSpacing/>
        <w:jc w:val="both"/>
        <w:rPr>
          <w:rFonts w:ascii="Times New Roman" w:eastAsiaTheme="minorEastAsia" w:hAnsi="Times New Roman" w:cs="Times New Roman"/>
          <w:b/>
          <w:color w:val="0070C0"/>
          <w:sz w:val="24"/>
          <w:szCs w:val="24"/>
          <w:lang w:eastAsia="pl-PL"/>
        </w:rPr>
      </w:pPr>
    </w:p>
    <w:p w14:paraId="6F675239" w14:textId="56320016" w:rsidR="00B96862" w:rsidRPr="00C41BBF" w:rsidRDefault="00B96862" w:rsidP="00C41BBF">
      <w:pPr>
        <w:widowControl w:val="0"/>
        <w:numPr>
          <w:ilvl w:val="0"/>
          <w:numId w:val="1"/>
        </w:numPr>
        <w:autoSpaceDE w:val="0"/>
        <w:autoSpaceDN w:val="0"/>
        <w:adjustRightInd w:val="0"/>
        <w:spacing w:before="120" w:after="0" w:line="360" w:lineRule="auto"/>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Zmiany w ustawie o działalności pożytku publicznego</w:t>
      </w:r>
      <w:r w:rsidR="003D5CFE" w:rsidRPr="00C41BBF">
        <w:rPr>
          <w:rFonts w:ascii="Times New Roman" w:eastAsiaTheme="minorEastAsia" w:hAnsi="Times New Roman" w:cs="Times New Roman"/>
          <w:b/>
          <w:color w:val="0070C0"/>
          <w:sz w:val="24"/>
          <w:szCs w:val="24"/>
          <w:lang w:eastAsia="pl-PL"/>
        </w:rPr>
        <w:t xml:space="preserve"> </w:t>
      </w:r>
      <w:r w:rsidRPr="00C41BBF">
        <w:rPr>
          <w:rFonts w:ascii="Times New Roman" w:eastAsiaTheme="minorEastAsia" w:hAnsi="Times New Roman" w:cs="Times New Roman"/>
          <w:b/>
          <w:color w:val="0070C0"/>
          <w:sz w:val="24"/>
          <w:szCs w:val="24"/>
          <w:lang w:eastAsia="pl-PL"/>
        </w:rPr>
        <w:t>(art. 6 projektu ustawy)</w:t>
      </w:r>
    </w:p>
    <w:p w14:paraId="68C4B314" w14:textId="4AF1C5A2" w:rsidR="007E63A6" w:rsidRPr="00C41BBF" w:rsidRDefault="007E63A6" w:rsidP="00C41BBF">
      <w:pPr>
        <w:widowControl w:val="0"/>
        <w:autoSpaceDE w:val="0"/>
        <w:autoSpaceDN w:val="0"/>
        <w:adjustRightInd w:val="0"/>
        <w:spacing w:before="120" w:after="0" w:line="360" w:lineRule="auto"/>
        <w:jc w:val="both"/>
        <w:rPr>
          <w:rFonts w:ascii="Times New Roman" w:eastAsia="Times New Roman" w:hAnsi="Times New Roman" w:cs="Times New Roman"/>
          <w:color w:val="0070C0"/>
          <w:sz w:val="24"/>
          <w:szCs w:val="24"/>
          <w:lang w:eastAsia="pl-PL"/>
        </w:rPr>
      </w:pPr>
      <w:r w:rsidRPr="00C41BBF">
        <w:rPr>
          <w:rFonts w:ascii="Times New Roman" w:eastAsia="Times New Roman" w:hAnsi="Times New Roman" w:cs="Times New Roman"/>
          <w:color w:val="0070C0"/>
          <w:sz w:val="24"/>
          <w:szCs w:val="24"/>
          <w:lang w:eastAsia="pl-PL"/>
        </w:rPr>
        <w:t>Wyrównanie spadku wpływów z 1% podatku należnego dla organizacji pożytku publicznego</w:t>
      </w:r>
    </w:p>
    <w:p w14:paraId="5D16F5E8" w14:textId="77777777" w:rsidR="007E63A6" w:rsidRPr="00C41BBF" w:rsidRDefault="007E63A6"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Celem dodawanej regulacji jest wprowadzenie do systemu podatkowego rozwiązania zabezpieczającego pułap środków przekazywanych na rzecz </w:t>
      </w:r>
      <w:r w:rsidRPr="00C41BBF">
        <w:rPr>
          <w:rFonts w:ascii="Times New Roman" w:eastAsia="Times New Roman" w:hAnsi="Times New Roman" w:cs="Times New Roman"/>
          <w:sz w:val="24"/>
          <w:szCs w:val="24"/>
          <w:lang w:eastAsia="pl-PL"/>
        </w:rPr>
        <w:t xml:space="preserve">OPP z 1% podatku przekazywanego przez podatników podatku dochodowego od osób fizycznych w ramach ich rozliczenia rocznego. </w:t>
      </w:r>
    </w:p>
    <w:p w14:paraId="54E4B7D8" w14:textId="6B640EF0" w:rsidR="007E63A6" w:rsidRPr="00C41BBF" w:rsidRDefault="007E63A6"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Zadaniem realizowanym przez OPP jest prowadzenie działalności pożytku publicznego na rzecz ogółu społeczności lub określonej grupy podmiotów, pod warunkiem że grupa ta jest wyodrębniona ze względu na szczególnie trudną sytuację życiową </w:t>
      </w:r>
      <w:r w:rsidRPr="00C41BBF">
        <w:rPr>
          <w:rFonts w:ascii="Times New Roman" w:eastAsia="Times New Roman" w:hAnsi="Times New Roman" w:cs="Times New Roman"/>
          <w:sz w:val="24"/>
          <w:szCs w:val="24"/>
          <w:lang w:eastAsia="pl-PL"/>
        </w:rPr>
        <w:lastRenderedPageBreak/>
        <w:t xml:space="preserve">lub materialną w stosunku do społeczeństwa. OPP zapewniają pomoc w szczególności na rzecz m.in. dzieci, nieuleczalnie chorych niepełnosprawnych, osób starszych, zwierząt, na rzecz osób w nagłej ciężkiej sytuacji życiowej czy też na pomoc ubogim oraz zagrożonym patologią. </w:t>
      </w:r>
    </w:p>
    <w:p w14:paraId="656DCF41" w14:textId="77777777"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Charakter prowadzonej działalności wpływa na to, że OPP są chętnie wspierane przez podatników w formie 1% podatku przekazywanego w ramach rocznego rozliczenia podatkowego. </w:t>
      </w:r>
    </w:p>
    <w:p w14:paraId="40B4DF22" w14:textId="45CEC5E4" w:rsidR="007E63A6" w:rsidRPr="00C41BBF" w:rsidRDefault="007E63A6"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heme="minorEastAsia" w:hAnsi="Times New Roman" w:cs="Times New Roman"/>
          <w:sz w:val="24"/>
          <w:szCs w:val="24"/>
          <w:lang w:eastAsia="pl-PL"/>
        </w:rPr>
        <w:t>Według</w:t>
      </w:r>
      <w:r w:rsidRPr="00C41BBF">
        <w:rPr>
          <w:rFonts w:ascii="Times New Roman" w:eastAsia="Times New Roman" w:hAnsi="Times New Roman" w:cs="Times New Roman"/>
          <w:sz w:val="24"/>
          <w:szCs w:val="24"/>
          <w:lang w:eastAsia="pl-PL"/>
        </w:rPr>
        <w:t xml:space="preserve"> danych publikowanych na stronach rządowych</w:t>
      </w:r>
      <w:r w:rsidRPr="00C41BBF">
        <w:rPr>
          <w:rFonts w:ascii="Times New Roman" w:eastAsia="Times New Roman" w:hAnsi="Times New Roman" w:cs="Times New Roman"/>
          <w:sz w:val="24"/>
          <w:szCs w:val="24"/>
          <w:vertAlign w:val="superscript"/>
          <w:lang w:eastAsia="pl-PL"/>
        </w:rPr>
        <w:footnoteReference w:id="1"/>
      </w:r>
      <w:r w:rsidR="00335A1B" w:rsidRPr="0051050A">
        <w:rPr>
          <w:rFonts w:ascii="Times New Roman" w:eastAsia="Times New Roman" w:hAnsi="Times New Roman" w:cs="Times New Roman"/>
          <w:sz w:val="24"/>
          <w:szCs w:val="24"/>
          <w:vertAlign w:val="superscript"/>
          <w:lang w:eastAsia="pl-PL"/>
        </w:rPr>
        <w:t>)</w:t>
      </w:r>
      <w:r w:rsidRPr="00C41BBF">
        <w:rPr>
          <w:rFonts w:ascii="Times New Roman" w:eastAsia="Times New Roman" w:hAnsi="Times New Roman" w:cs="Times New Roman"/>
          <w:sz w:val="24"/>
          <w:szCs w:val="24"/>
          <w:lang w:eastAsia="pl-PL"/>
        </w:rPr>
        <w:t>:</w:t>
      </w:r>
    </w:p>
    <w:p w14:paraId="75E0F21E" w14:textId="6520F4F1" w:rsidR="007E63A6" w:rsidRPr="00C41BBF" w:rsidRDefault="007E63A6" w:rsidP="00C41BBF">
      <w:pPr>
        <w:widowControl w:val="0"/>
        <w:numPr>
          <w:ilvl w:val="0"/>
          <w:numId w:val="10"/>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w 2021 r. OPP otrzymały tytułem 1% PIT łącznie 972,7 mln zł z rozliczeń PIT za 2020 r.;</w:t>
      </w:r>
    </w:p>
    <w:p w14:paraId="51B54FC6" w14:textId="77777777" w:rsidR="007E63A6" w:rsidRPr="00C41BBF" w:rsidRDefault="007E63A6" w:rsidP="00C41BBF">
      <w:pPr>
        <w:widowControl w:val="0"/>
        <w:numPr>
          <w:ilvl w:val="0"/>
          <w:numId w:val="10"/>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2022 r. OPP otrzymają środki według „starych zasad” – tj. na podstawie rozliczenia podatku za 2021 r., na które jeszcze nie wpływa </w:t>
      </w:r>
      <w:r w:rsidRPr="00C41BBF">
        <w:rPr>
          <w:rFonts w:ascii="Times New Roman" w:eastAsiaTheme="minorEastAsia" w:hAnsi="Times New Roman" w:cs="Times New Roman"/>
          <w:sz w:val="24"/>
          <w:szCs w:val="24"/>
          <w:lang w:eastAsia="pl-PL"/>
        </w:rPr>
        <w:t>ustawa z 29 października 2021 r</w:t>
      </w:r>
      <w:r w:rsidRPr="00C41BBF">
        <w:rPr>
          <w:rFonts w:ascii="Times New Roman" w:eastAsia="Times New Roman" w:hAnsi="Times New Roman" w:cs="Times New Roman"/>
          <w:sz w:val="24"/>
          <w:szCs w:val="24"/>
          <w:lang w:eastAsia="pl-PL"/>
        </w:rPr>
        <w:t>. Na obecnym etapie brak danych co do należnych kwot – podatnicy nie złożyli dotychczas rozliczeń za 2021 rok;</w:t>
      </w:r>
    </w:p>
    <w:p w14:paraId="33C247E8" w14:textId="77777777" w:rsidR="007E63A6" w:rsidRPr="00C41BBF" w:rsidRDefault="007E63A6" w:rsidP="00C41BBF">
      <w:pPr>
        <w:widowControl w:val="0"/>
        <w:numPr>
          <w:ilvl w:val="0"/>
          <w:numId w:val="10"/>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przyjmując za podstawę zakładaną realizację dochodów z PIT wg ustawy budżetowej na 2022 r., zgodnie z projekcjami, w 2023 r. OPP powinny otrzymać środki z rozliczenia za 2022 r. w wysokości ok. 1 mld zł, tj. więcej niż w 2021 r.</w:t>
      </w:r>
    </w:p>
    <w:p w14:paraId="3F4D551D" w14:textId="085C53F3"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W związku z wejściem w życie ustawy z 29 października 2021 r. obciążenia podatkowe części podatników mogą ulec zmniejszeniu w rozliczeniu rocznym za 2022 r. i kolejne lata, dla niektórych podatników może to także oznaczać brak możliwości zasilenia OPP 1% ich podatku. Oznacza to wyłączenie możliwości łatwego, a zarazem „bezkosztowego” wsparcia działalności społecznie użytecznej.</w:t>
      </w:r>
    </w:p>
    <w:p w14:paraId="14C71E77" w14:textId="789E0705"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Projektowane rozwiązanie zabezpieczające pułap środków przekazywanych OPP będzie polegało na tym, że w sytuacji, gdy łączna kwota środków przekazanych w ramach 1% podatku należnego w danym roku będzie kwotowo niższa niż łączna kwota środków z 1% podatku przekazana w 2022 r., nastąpi wyrównanie tej różnicy. </w:t>
      </w:r>
    </w:p>
    <w:p w14:paraId="35E88868" w14:textId="295EB0F9"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lastRenderedPageBreak/>
        <w:t>Porównania obu kwot dokonuje się na dzień 31 lipca danego roku. Wyznaczenie konkretnej daty ma na celu zapewnienie porównywalności między poszczególnymi latami. Ponadto określona data jest skorelowana z przekazywaniem przez naczelników urzędów skarbowych kwot, o których mowa w</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art. 45c ust.1 ustawy PIT oraz art. 21b ust. 1 ustawy o ryczałcie, o czym mowa w art. 45c ust.4 ustawy PIT oraz art. 21b ust. 4 ustawy o ryczałcie. Dodatkowo proces przekazania kwoty wyrównania poprzedzony jest przeprowadzeniem stosownych wyliczeń, weryfikacją oraz przygotowaniem obsługi i zabezpieczeniem środków do przekazania przez budżet państwa. W przygotowanie oraz koordynację całego procesu obsługi OPP zaangażowane są ponadto ograniczone zasoby. W związku z tym, uznano, że przyjęta data stanowi odpowiedni punkt odniesienia dla zapewnienia efektywnego, bieżącego utrzymania całego systemu oraz</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 xml:space="preserve">sprawnego przekazania kwoty wyrównania. </w:t>
      </w:r>
    </w:p>
    <w:p w14:paraId="34C5DB11" w14:textId="30B80145"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Dodatkowo wprowadzany jest mechanizm, który umożliwia dokonanie wiarygodnego porównania kwot przekazanych na rzecz OPP w celu ustalenia prawa do wyrównania. Dla zapewnienia porównywalności obu kwot, wartość środków przekazanych w 2022 r. podlega corocznej indeksacji, poczynając od 2024r., przy zastosowaniu wskaźnika średniookresowej dynamiki produktu krajowego brutto w cenach bieżących, o którym mowa w art. 38b pkt 3 ustawy o finansach publicznych</w:t>
      </w:r>
      <w:r w:rsidRPr="00C41BBF">
        <w:rPr>
          <w:rFonts w:ascii="Times New Roman" w:eastAsiaTheme="minorEastAsia" w:hAnsi="Times New Roman" w:cs="Times New Roman"/>
          <w:sz w:val="24"/>
          <w:szCs w:val="24"/>
          <w:vertAlign w:val="superscript"/>
          <w:lang w:eastAsia="pl-PL"/>
        </w:rPr>
        <w:footnoteReference w:id="2"/>
      </w:r>
      <w:r w:rsidR="00335A1B" w:rsidRPr="0051050A">
        <w:rPr>
          <w:rFonts w:ascii="Times New Roman" w:eastAsiaTheme="minorEastAsia" w:hAnsi="Times New Roman" w:cs="Times New Roman"/>
          <w:sz w:val="24"/>
          <w:szCs w:val="24"/>
          <w:vertAlign w:val="superscript"/>
          <w:lang w:eastAsia="pl-PL"/>
        </w:rPr>
        <w:t>)</w:t>
      </w:r>
      <w:r w:rsidRPr="00C41BBF">
        <w:rPr>
          <w:rFonts w:ascii="Times New Roman" w:eastAsiaTheme="minorEastAsia" w:hAnsi="Times New Roman" w:cs="Times New Roman"/>
          <w:sz w:val="24"/>
          <w:szCs w:val="24"/>
          <w:lang w:eastAsia="pl-PL"/>
        </w:rPr>
        <w:t xml:space="preserve">. W związku z wprowadzeniem mechanizmu wyrównania dla OPP, środki przekazane na ten cel pomniejszają dochody budżetu państwa z tytułu PIT. </w:t>
      </w:r>
    </w:p>
    <w:p w14:paraId="2571FA7D" w14:textId="42AD24E2"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Projektowane rozwiązanie określa również sposób</w:t>
      </w:r>
      <w:r w:rsidR="00335A1B">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w jaki dokonywany jest podział przysługującego wyrównania na poszczególne OPP. Przede wszystkim, należy wskazać, że istnieje kilka możliwości dokonywania wyrównania, z których minister właściwy do spraw finansów publicznych może wybrać w danym roku jedną lub kilka metod równocześnie. Jedna z możliwości zakłada, że wyrównanie przysługuje OPP, które w danym roku otrzymały jakiekolwiek środki w ramach 1% podatku należnego. Oznacza to wyłączenie z tego mechanizmu redystrybucji OPP, które nie otrzymały żadnych środków z 1% podatku należnego w danym roku. Ustalenie kwoty środków dla poszczególnych OPP wyznacza się w proporcji, w jakiej pozostaje udział kwoty </w:t>
      </w:r>
      <w:r w:rsidRPr="00C41BBF">
        <w:rPr>
          <w:rFonts w:ascii="Times New Roman" w:eastAsiaTheme="minorEastAsia" w:hAnsi="Times New Roman" w:cs="Times New Roman"/>
          <w:sz w:val="24"/>
          <w:szCs w:val="24"/>
          <w:lang w:eastAsia="pl-PL"/>
        </w:rPr>
        <w:lastRenderedPageBreak/>
        <w:t xml:space="preserve">przekazanej na rzecz wskazanej OPP w danym roku w łącznej kwocie środków przekazanych na wszystkie OPP. Ma to na celu odzwierciedlenie oraz odwzorowanie wyborów dokonanych przez podatników w ramach przekazanego 1% podatku należnego w danym roku. </w:t>
      </w:r>
    </w:p>
    <w:p w14:paraId="20A342B0" w14:textId="1E15927A"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Kolejny mechanizm zakłada, że za udzielenie wsparcia OPP odpowiedzialny będzie właściwy organ administracji publicznej, który w trybie otwartego konkursu ofert dokona odpowiedniego rozdysponowania kwoty wyrównania na poszczególne OPP. Szczegółowe wytyczne związane z ogłoszeniem oraz przebiegiem otwartego konkursu ofert określone zostały w art. 13 ustawy o działalności pożytku publicznego. Obecnie w trybie tym zlecana jest realizacja zadań publicznych. Zatem OPP znają zasady oraz sposób postępowania w celu przystąpienia do konkursu, a także uzyskania odpowiednich środków. Wykorzystanie już istniejącej instytucji do redystrybucji kwoty wyrównania na poszczególne OPP ma na celu udzielenie wsparcia OPP bez nakładania wymogów przystosowania się oraz zaznajamiania się z nieznanymi dotąd sposobami ubiegania się o pozyskanie środków. </w:t>
      </w:r>
    </w:p>
    <w:p w14:paraId="32421309" w14:textId="3CA12711"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Oba mechanizmy wyrównania pozwalają tym samym na uzyskanie przysługującej kwoty wyrównania dla nowopowstałych OPP, co może okazać się znaczącym wsparciem finansowym na wczesnym etapie prowadzenia działalności przez OPP. </w:t>
      </w:r>
    </w:p>
    <w:p w14:paraId="2BE1037B" w14:textId="4712D95F" w:rsidR="007E63A6" w:rsidRPr="00C41BBF" w:rsidRDefault="007E63A6" w:rsidP="00C41BBF">
      <w:pPr>
        <w:pStyle w:val="Tekstpodstawowy"/>
        <w:spacing w:before="120" w:after="0" w:line="360" w:lineRule="auto"/>
        <w:jc w:val="both"/>
        <w:rPr>
          <w:rFonts w:ascii="Times New Roman" w:hAnsi="Times New Roman" w:cs="Times New Roman"/>
          <w:szCs w:val="24"/>
        </w:rPr>
      </w:pPr>
      <w:r w:rsidRPr="00C41BBF">
        <w:rPr>
          <w:rFonts w:ascii="Times New Roman" w:hAnsi="Times New Roman" w:cs="Times New Roman"/>
          <w:szCs w:val="24"/>
        </w:rPr>
        <w:t>Istnieje również możliwość wyboru sposobu redystrybucji środków pochodzących z wyrównania przez Radę Działalności Pożytku Publicznego (dalej: „Rada”). Rada ta jest jedynym ciałem instytucjonalizującym zasadę dialogu obywatelskiego oraz współpracę pomiędzy sektorem publicznym a trzecim sektorem. Dzięki temu, że większość w Radzie posiadają organizacje pozarządowe, będą one posiadały znaczący wpływ na dysponowanie kwotą wyrównania. Rada gwarantuje również wspieranie i prowadzenie dialogu z sektorem pozarządowym w celu określenia sprawiedliwego mechanizmu redystrybucji,</w:t>
      </w:r>
      <w:r w:rsidR="009D1102">
        <w:rPr>
          <w:rFonts w:ascii="Times New Roman" w:hAnsi="Times New Roman" w:cs="Times New Roman"/>
          <w:szCs w:val="24"/>
        </w:rPr>
        <w:t xml:space="preserve"> </w:t>
      </w:r>
      <w:r w:rsidRPr="00C41BBF">
        <w:rPr>
          <w:rFonts w:ascii="Times New Roman" w:hAnsi="Times New Roman" w:cs="Times New Roman"/>
          <w:szCs w:val="24"/>
        </w:rPr>
        <w:t xml:space="preserve">zgodnego z ideą przekazywania 1% podatku dochodowego od osób fizycznych. Pozwoli to na wsparcie rozwoju organizacji pozarządowych na terenie całego kraju. Projektowane rozwiązanie zakłada, że do 30 listopada Rada powinna przekazać do ministra właściwego do spraw finansów publicznych propozycję sposobu redystrybucji środków pochodzących z wyrównania na poszczególne OPP. Sposób ten powinien brać pod </w:t>
      </w:r>
      <w:r w:rsidRPr="00C41BBF">
        <w:rPr>
          <w:rFonts w:ascii="Times New Roman" w:hAnsi="Times New Roman" w:cs="Times New Roman"/>
          <w:szCs w:val="24"/>
        </w:rPr>
        <w:lastRenderedPageBreak/>
        <w:t>uwagę efektywność zaproponowanych przez Radę rozwiązań w zakresie redystrybucji środków z tego tytułu. Podział wyrównania wskazany przez Radę ma bowiem zgodnie z założeniami prowadzić do wyrównywania szans oraz sprawiedliwego podziału pomiędzy poszczególnymi OPP.</w:t>
      </w:r>
    </w:p>
    <w:p w14:paraId="724F5CE6" w14:textId="2794A615" w:rsidR="007E63A6" w:rsidRPr="00C41BBF" w:rsidRDefault="007E63A6" w:rsidP="00C41BBF">
      <w:pPr>
        <w:pStyle w:val="Tekstpodstawowy"/>
        <w:spacing w:before="120" w:after="0" w:line="360" w:lineRule="auto"/>
        <w:jc w:val="both"/>
        <w:rPr>
          <w:rFonts w:ascii="Times New Roman" w:hAnsi="Times New Roman" w:cs="Times New Roman"/>
          <w:szCs w:val="24"/>
        </w:rPr>
      </w:pPr>
      <w:r w:rsidRPr="00C41BBF">
        <w:rPr>
          <w:rFonts w:ascii="Times New Roman" w:hAnsi="Times New Roman" w:cs="Times New Roman"/>
          <w:szCs w:val="24"/>
        </w:rPr>
        <w:t xml:space="preserve">Projektowane rozwiązanie zakłada, że szczegółowy sposób rozdysponowania środków i jego tryb będzie określany w rozporządzeniu wydawanym przez ministra właściwego do spraw finansów publicznych, </w:t>
      </w:r>
      <w:r w:rsidR="000769F2" w:rsidRPr="00C41BBF">
        <w:rPr>
          <w:rFonts w:ascii="Times New Roman" w:hAnsi="Times New Roman" w:cs="Times New Roman"/>
          <w:szCs w:val="24"/>
        </w:rPr>
        <w:t xml:space="preserve">w </w:t>
      </w:r>
      <w:r w:rsidRPr="00C41BBF">
        <w:rPr>
          <w:rFonts w:ascii="Times New Roman" w:hAnsi="Times New Roman" w:cs="Times New Roman"/>
          <w:szCs w:val="24"/>
        </w:rPr>
        <w:t>po</w:t>
      </w:r>
      <w:r w:rsidR="000769F2" w:rsidRPr="00C41BBF">
        <w:rPr>
          <w:rFonts w:ascii="Times New Roman" w:hAnsi="Times New Roman" w:cs="Times New Roman"/>
          <w:szCs w:val="24"/>
        </w:rPr>
        <w:t>rozumieniu z</w:t>
      </w:r>
      <w:r w:rsidRPr="00C41BBF">
        <w:rPr>
          <w:rFonts w:ascii="Times New Roman" w:hAnsi="Times New Roman" w:cs="Times New Roman"/>
          <w:szCs w:val="24"/>
        </w:rPr>
        <w:t xml:space="preserve"> Przewodnicząc</w:t>
      </w:r>
      <w:r w:rsidR="000769F2" w:rsidRPr="00C41BBF">
        <w:rPr>
          <w:rFonts w:ascii="Times New Roman" w:hAnsi="Times New Roman" w:cs="Times New Roman"/>
          <w:szCs w:val="24"/>
        </w:rPr>
        <w:t>ym</w:t>
      </w:r>
      <w:r w:rsidRPr="00C41BBF">
        <w:rPr>
          <w:rFonts w:ascii="Times New Roman" w:hAnsi="Times New Roman" w:cs="Times New Roman"/>
          <w:szCs w:val="24"/>
        </w:rPr>
        <w:t xml:space="preserve"> Komitetu </w:t>
      </w:r>
      <w:r w:rsidR="005E746E">
        <w:rPr>
          <w:rFonts w:ascii="Times New Roman" w:hAnsi="Times New Roman" w:cs="Times New Roman"/>
          <w:szCs w:val="24"/>
        </w:rPr>
        <w:t>d</w:t>
      </w:r>
      <w:r w:rsidRPr="00C41BBF">
        <w:rPr>
          <w:rFonts w:ascii="Times New Roman" w:hAnsi="Times New Roman" w:cs="Times New Roman"/>
          <w:szCs w:val="24"/>
        </w:rPr>
        <w:t xml:space="preserve">o </w:t>
      </w:r>
      <w:r w:rsidR="005E746E">
        <w:rPr>
          <w:rFonts w:ascii="Times New Roman" w:hAnsi="Times New Roman" w:cs="Times New Roman"/>
          <w:szCs w:val="24"/>
        </w:rPr>
        <w:t>s</w:t>
      </w:r>
      <w:r w:rsidRPr="00C41BBF">
        <w:rPr>
          <w:rFonts w:ascii="Times New Roman" w:hAnsi="Times New Roman" w:cs="Times New Roman"/>
          <w:szCs w:val="24"/>
        </w:rPr>
        <w:t>praw Pożytku Publicznego. Wydanie rozporządzenia powinno nastąpić do końca lutego danego roku, co ma zapewnić operacyjną możliwość realizacji określonych w rozporządzeniu działań. Przy dokonywaniu wyboru należy wziąć pod uwagę wysokość spadku wpływów OPP z 1% podatku należnego, jak również podejmowane działania, zmierzające do rozwoju OPP. Ponadto należy wziąć pod uwagę zapewnienie sprawnego przebiegu przekazywania wyrównania OPP</w:t>
      </w:r>
      <w:r w:rsidR="005E746E">
        <w:rPr>
          <w:rFonts w:ascii="Times New Roman" w:hAnsi="Times New Roman" w:cs="Times New Roman"/>
          <w:szCs w:val="24"/>
        </w:rPr>
        <w:t>,</w:t>
      </w:r>
      <w:r w:rsidRPr="00C41BBF">
        <w:rPr>
          <w:rFonts w:ascii="Times New Roman" w:hAnsi="Times New Roman" w:cs="Times New Roman"/>
          <w:szCs w:val="24"/>
        </w:rPr>
        <w:t xml:space="preserve"> tak aby w możliwie najkrótszym czasie mogły one uzyskać środki wyrównania, które pozwolą im na sprawną realizację celów statutowych.</w:t>
      </w:r>
    </w:p>
    <w:p w14:paraId="69ABCDE0" w14:textId="773B9DBE" w:rsidR="007E63A6" w:rsidRPr="00C41BBF" w:rsidRDefault="007E63A6" w:rsidP="00C41BBF">
      <w:pPr>
        <w:pStyle w:val="Tekstpodstawowy"/>
        <w:spacing w:before="120" w:after="0" w:line="360" w:lineRule="auto"/>
        <w:jc w:val="both"/>
        <w:rPr>
          <w:rFonts w:ascii="Times New Roman" w:hAnsi="Times New Roman" w:cs="Times New Roman"/>
          <w:szCs w:val="24"/>
        </w:rPr>
      </w:pPr>
      <w:r w:rsidRPr="00C41BBF">
        <w:rPr>
          <w:rFonts w:ascii="Times New Roman" w:hAnsi="Times New Roman" w:cs="Times New Roman"/>
          <w:szCs w:val="24"/>
        </w:rPr>
        <w:t>W celu zapewnienia sprawnego przekazania środków przysługujących poszczególnym OPP, określony został ostateczny termin przekazania środków w ramach wyrównania dokonywanego przy wykorzystaniu proporcji. Zagwarantowano tym samym przekazanie środków OPP do 15 września danego roku. Jest to ponadto związane z wykazem OPP, publikowanym przez Ministra Finansów, o którym mowa w art. 27a ustawy o działalności pożytku publicznego. Informacje zawarte w wykazie dotyczą m.in. wysokości środków otrzymanych przez organizację, które pochodzą z 1% podatku dochodowego od osób fizycznych</w:t>
      </w:r>
      <w:r w:rsidR="005E746E">
        <w:rPr>
          <w:rFonts w:ascii="Times New Roman" w:hAnsi="Times New Roman" w:cs="Times New Roman"/>
          <w:szCs w:val="24"/>
        </w:rPr>
        <w:t>,</w:t>
      </w:r>
      <w:r w:rsidRPr="00C41BBF">
        <w:rPr>
          <w:rFonts w:ascii="Times New Roman" w:hAnsi="Times New Roman" w:cs="Times New Roman"/>
          <w:szCs w:val="24"/>
        </w:rPr>
        <w:t xml:space="preserve"> oraz wysokości środków pochodzących z wyrównania za rok poprzedzający. Wysokość środków otrzymanych przez daną organizację z tytułu 1% podatku należnego, zawarta w publikacji, określana jest na dzień 15 września. Zatem ostateczne przekazanie wyrównania dokonywanego przy wykorzystaniu proporcji następuje w tym samym terminie, na który wyznaczona jest kwota środków otrzymanych przez daną OPP z 1% podatku należnego. W związku z tym, publikowany wykaz będzie zawierał kwoty określone na ten sam dzień. Przy ustalaniu prawa do wyrównania przysługującego danej OPP z zastosowaniem proporcji, określona została także metoda zaokrąglania oraz </w:t>
      </w:r>
      <w:r w:rsidRPr="00C41BBF">
        <w:rPr>
          <w:rFonts w:ascii="Times New Roman" w:hAnsi="Times New Roman" w:cs="Times New Roman"/>
          <w:szCs w:val="24"/>
        </w:rPr>
        <w:lastRenderedPageBreak/>
        <w:t>ewentualne dodatkowe pomniejszenia.</w:t>
      </w:r>
    </w:p>
    <w:p w14:paraId="7F0600FC" w14:textId="1A29EC5F"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Celem projektowanego rozwiązania jest również wskazanie</w:t>
      </w:r>
      <w:r w:rsidR="005E746E">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co stanowi przeszkodę w przekazaniu wyrównania na rzecz danej OPP. Dzięki</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temu zapewniony zostanie sprawiedliwy podział środków poprzez wyeliminowanie OPP, które zostały usunięte z właściwego wykazu, a zatem którym nie przysługuje wyrównanie. Prawo do wyrównania z wykorzystaniem proporcji dotyczy organizacji, które otrzymały jakiekolwiek wpływy z 1% podatku dochodowego od osób fizycznych w danym roku podatkowym. Oznacza to, że wyrównanie z wykorzystaniem proporcji przysługuje wyłącznie organizacjom, które w danym roku faktycznie otrzymały środki z 1% podatku należnego. Zgodnie z art. 45c ust. 6 pkt 2 ustawy o PIT, naczelnik urzędu skarbowego odstępuje od przekazania 1% podatku na rzecz OPP, jeżeli organizacja została usunięta z wykazu prowadzonego zgodnie z art. 27a ustawy o działalności pożytku publicznego. W związku z tym, organizacja taka nie otrzyma żadnych środków z 1% podatku należnego. To z kolei wyklucza ją z redystrybucji kwoty wyrównania. Celem art. 27d ust. 8 ustawy o działalności pożytku publicznego jest natomiast uregulowanie sytuacji, w której dana organizacja została usunięta z wykazu w późniejszym terminie. Przekazywanie środków wyrównania dla organizacji, która nie spełnia istotnych warunków poświadczających jej wiarygodność, rzetelność, a także świadczących o kontynuacji jej działania</w:t>
      </w:r>
      <w:r w:rsidR="005E746E">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stałoby w sprzeczności z zasadą zaufania. Oznacza to, że w sytuacji wykreślenia z wykazu OPP organizacje traktowane są w sposób jednakowy w kontekście braku prawa do uzyskania kwoty wyrównania. </w:t>
      </w:r>
    </w:p>
    <w:p w14:paraId="2C992D39" w14:textId="555DAE3C" w:rsidR="007E63A6" w:rsidRPr="00C41BBF" w:rsidRDefault="007E63A6"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Ponadto projekt ustawy zakłada delegację ustawową, umożliwiającą koordynację zadań związanych z przekazaniem kwot poszczególnym OPP w ramach przysługującego wyrównania przez wskazany przez ministra właściwego do spraw finansów publicznych podległy organ. Wprowadzone rozwiązanie nawiązuje do art. 45c ust. 8 ustawy PIT oraz art. 21b ust. 8 ustawy o ryczałcie. Centralizacja zadań w tym obszarze może bowiem pozytywnie wpłynąć na czas, w którym upoważnionym OPP przekazane zostaną</w:t>
      </w:r>
      <w:r w:rsidRPr="00C41BBF">
        <w:rPr>
          <w:rFonts w:ascii="Times New Roman" w:eastAsia="Times New Roman" w:hAnsi="Times New Roman" w:cs="Times New Roman"/>
          <w:sz w:val="24"/>
          <w:szCs w:val="24"/>
          <w:lang w:eastAsia="pl-PL"/>
        </w:rPr>
        <w:t xml:space="preserve"> środki w ramach wyrównania.</w:t>
      </w:r>
    </w:p>
    <w:p w14:paraId="06B17085" w14:textId="77777777" w:rsidR="001D5134" w:rsidRPr="00C41BBF" w:rsidRDefault="001D5134" w:rsidP="00C41BBF">
      <w:pPr>
        <w:widowControl w:val="0"/>
        <w:autoSpaceDE w:val="0"/>
        <w:autoSpaceDN w:val="0"/>
        <w:adjustRightInd w:val="0"/>
        <w:spacing w:before="120" w:after="0" w:line="360" w:lineRule="auto"/>
        <w:ind w:left="360"/>
        <w:contextualSpacing/>
        <w:jc w:val="both"/>
        <w:rPr>
          <w:rFonts w:ascii="Times New Roman" w:eastAsiaTheme="minorEastAsia" w:hAnsi="Times New Roman" w:cs="Times New Roman"/>
          <w:b/>
          <w:color w:val="0070C0"/>
          <w:sz w:val="24"/>
          <w:szCs w:val="24"/>
          <w:lang w:eastAsia="pl-PL"/>
        </w:rPr>
      </w:pPr>
    </w:p>
    <w:p w14:paraId="1673BF61" w14:textId="77777777" w:rsidR="001D5134" w:rsidRPr="00C41BBF" w:rsidRDefault="001D5134" w:rsidP="00C41BBF">
      <w:pPr>
        <w:widowControl w:val="0"/>
        <w:autoSpaceDE w:val="0"/>
        <w:autoSpaceDN w:val="0"/>
        <w:adjustRightInd w:val="0"/>
        <w:spacing w:before="120" w:after="0" w:line="360" w:lineRule="auto"/>
        <w:ind w:left="360"/>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G.</w:t>
      </w:r>
      <w:r w:rsidRPr="00C41BBF">
        <w:rPr>
          <w:rFonts w:ascii="Times New Roman" w:eastAsiaTheme="minorEastAsia" w:hAnsi="Times New Roman" w:cs="Times New Roman"/>
          <w:b/>
          <w:color w:val="0070C0"/>
          <w:sz w:val="24"/>
          <w:szCs w:val="24"/>
          <w:lang w:eastAsia="pl-PL"/>
        </w:rPr>
        <w:tab/>
        <w:t xml:space="preserve">Zmiany w ustawie </w:t>
      </w:r>
      <w:r w:rsidRPr="00C41BBF">
        <w:rPr>
          <w:rFonts w:ascii="Times New Roman" w:eastAsiaTheme="minorEastAsia" w:hAnsi="Times New Roman" w:cs="Times New Roman"/>
          <w:b/>
          <w:bCs/>
          <w:color w:val="0070C0"/>
          <w:sz w:val="24"/>
          <w:szCs w:val="24"/>
          <w:lang w:eastAsia="pl-PL"/>
        </w:rPr>
        <w:t xml:space="preserve">o świadczeniach rodzinnych </w:t>
      </w:r>
      <w:r w:rsidRPr="00C41BBF">
        <w:rPr>
          <w:rFonts w:ascii="Times New Roman" w:eastAsiaTheme="minorEastAsia" w:hAnsi="Times New Roman" w:cs="Times New Roman"/>
          <w:b/>
          <w:color w:val="0070C0"/>
          <w:sz w:val="24"/>
          <w:szCs w:val="24"/>
          <w:lang w:eastAsia="pl-PL"/>
        </w:rPr>
        <w:t>(art. 7 projektu ustawy)</w:t>
      </w:r>
    </w:p>
    <w:p w14:paraId="7181BCB5" w14:textId="77777777" w:rsidR="001D5134" w:rsidRPr="00C41BBF" w:rsidRDefault="001D5134"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lastRenderedPageBreak/>
        <w:t xml:space="preserve">Projekt ustawy przewiduje rozszerzenie zakresu zwolnień przedmiotowych określonych w art. 21 ust. 1 pkt 148 i pkt 152–154 ustawy PIT (ulga dla młodych, ulga na powrót, PIT-0 dla rodzin 4+ oraz PIT-0 dla pracujących seniorów) i objęcie ww. ulgami przychodów z tytułu zasiłku macierzyńskiego. </w:t>
      </w:r>
    </w:p>
    <w:p w14:paraId="18802252" w14:textId="335DC83D" w:rsidR="001D5134" w:rsidRPr="00C41BBF" w:rsidRDefault="001D5134"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Konsekwencją wprowadzenia powyższych zmian jest konieczność zmiany definicji dochodu zawartej w art. 3 pkt 1 ustawy z dnia 28 listopada 2003 r. o świadczeniach rodzinnych i uzupełnienia jej o ww. nowo zwolnione z podatku PIT przychody z tytułu zasiłku macierzyńskiego, tak aby były one traktowane jako dochód przy ustalaniu prawa do świadczeń rodzinnych i świadczeń z funduszu alimentacyjnego. Należy wskazać, że pozostałe rodzaje przychodów/dochodów zwolnione z podatku na podstawie art. 21 ust. 1 pkt 148 i pkt 152–154 ustawy PIT są ujęte w art. 3 pkt 1 lit. c tiret 34</w:t>
      </w:r>
      <w:r w:rsidR="00FC6BC9">
        <w:rPr>
          <w:rFonts w:ascii="Times New Roman" w:eastAsiaTheme="minorEastAsia" w:hAnsi="Times New Roman" w:cs="Times New Roman"/>
          <w:sz w:val="24"/>
          <w:szCs w:val="24"/>
        </w:rPr>
        <w:t>–</w:t>
      </w:r>
      <w:r w:rsidRPr="00C41BBF">
        <w:rPr>
          <w:rFonts w:ascii="Times New Roman" w:eastAsia="Times New Roman" w:hAnsi="Times New Roman" w:cs="Times New Roman"/>
          <w:sz w:val="24"/>
          <w:szCs w:val="24"/>
          <w:lang w:eastAsia="pl-PL"/>
        </w:rPr>
        <w:t>37 ustawy o świadczeniach rodzinnych i stanowią dochód w rozumieniu tej ustawy.</w:t>
      </w:r>
    </w:p>
    <w:p w14:paraId="470A158E" w14:textId="77777777" w:rsidR="00007D97" w:rsidRPr="00C41BBF" w:rsidRDefault="00007D97"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096F726B" w14:textId="6B1DD9AF" w:rsidR="00B96862" w:rsidRPr="00C41BBF" w:rsidRDefault="00007D97" w:rsidP="00C41BBF">
      <w:pPr>
        <w:widowControl w:val="0"/>
        <w:autoSpaceDE w:val="0"/>
        <w:autoSpaceDN w:val="0"/>
        <w:adjustRightInd w:val="0"/>
        <w:spacing w:before="120" w:after="0" w:line="360" w:lineRule="auto"/>
        <w:ind w:left="360"/>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H.</w:t>
      </w:r>
      <w:r w:rsidRPr="00C41BBF">
        <w:rPr>
          <w:rFonts w:ascii="Times New Roman" w:eastAsiaTheme="minorEastAsia" w:hAnsi="Times New Roman" w:cs="Times New Roman"/>
          <w:b/>
          <w:color w:val="0070C0"/>
          <w:sz w:val="24"/>
          <w:szCs w:val="24"/>
          <w:lang w:eastAsia="pl-PL"/>
        </w:rPr>
        <w:tab/>
      </w:r>
      <w:r w:rsidR="00B96862" w:rsidRPr="00C41BBF">
        <w:rPr>
          <w:rFonts w:ascii="Times New Roman" w:eastAsiaTheme="minorEastAsia" w:hAnsi="Times New Roman" w:cs="Times New Roman"/>
          <w:b/>
          <w:color w:val="0070C0"/>
          <w:sz w:val="24"/>
          <w:szCs w:val="24"/>
          <w:lang w:eastAsia="pl-PL"/>
        </w:rPr>
        <w:t xml:space="preserve">Zmiany w ustawie </w:t>
      </w:r>
      <w:r w:rsidR="00B96862" w:rsidRPr="00C41BBF">
        <w:rPr>
          <w:rFonts w:ascii="Times New Roman" w:eastAsiaTheme="minorEastAsia" w:hAnsi="Times New Roman" w:cs="Times New Roman"/>
          <w:b/>
          <w:bCs/>
          <w:color w:val="0070C0"/>
          <w:sz w:val="24"/>
          <w:szCs w:val="24"/>
          <w:lang w:eastAsia="pl-PL"/>
        </w:rPr>
        <w:t xml:space="preserve">o świadczeniach zdrowotnych </w:t>
      </w:r>
      <w:r w:rsidR="00B96862" w:rsidRPr="00C41BBF">
        <w:rPr>
          <w:rFonts w:ascii="Times New Roman" w:eastAsiaTheme="minorEastAsia" w:hAnsi="Times New Roman" w:cs="Times New Roman"/>
          <w:b/>
          <w:color w:val="0070C0"/>
          <w:sz w:val="24"/>
          <w:szCs w:val="24"/>
          <w:lang w:eastAsia="pl-PL"/>
        </w:rPr>
        <w:t xml:space="preserve">(art. </w:t>
      </w:r>
      <w:r w:rsidR="00995B5A" w:rsidRPr="00C41BBF">
        <w:rPr>
          <w:rFonts w:ascii="Times New Roman" w:eastAsiaTheme="minorEastAsia" w:hAnsi="Times New Roman" w:cs="Times New Roman"/>
          <w:b/>
          <w:color w:val="0070C0"/>
          <w:sz w:val="24"/>
          <w:szCs w:val="24"/>
          <w:lang w:eastAsia="pl-PL"/>
        </w:rPr>
        <w:t>8</w:t>
      </w:r>
      <w:r w:rsidR="00B96862" w:rsidRPr="00C41BBF">
        <w:rPr>
          <w:rFonts w:ascii="Times New Roman" w:eastAsiaTheme="minorEastAsia" w:hAnsi="Times New Roman" w:cs="Times New Roman"/>
          <w:b/>
          <w:color w:val="0070C0"/>
          <w:sz w:val="24"/>
          <w:szCs w:val="24"/>
          <w:lang w:eastAsia="pl-PL"/>
        </w:rPr>
        <w:t xml:space="preserve"> projektu ustawy)</w:t>
      </w:r>
    </w:p>
    <w:p w14:paraId="4E6EDE98"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Zmiany w zakresie podlegania pod ubezpieczenie zdrowotne dzieci pobierających renty rodzinne</w:t>
      </w:r>
    </w:p>
    <w:p w14:paraId="0E5E4843" w14:textId="7EF9C051" w:rsidR="004F71A4" w:rsidRPr="00C41BBF" w:rsidRDefault="004F71A4" w:rsidP="00C41BBF">
      <w:pPr>
        <w:pStyle w:val="Tekstkomentarza"/>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W konsekwencji zmian wprowadzanych ustawą o podatku dochodowym od osób fizycznych w zakresie rozliczenia dochodów uzyskiwanych z tytułu pobierania rent rodzinnych przez dzieci do 18</w:t>
      </w:r>
      <w:r w:rsidR="00FC6BC9">
        <w:rPr>
          <w:rFonts w:ascii="Times New Roman" w:hAnsi="Times New Roman" w:cs="Times New Roman"/>
          <w:sz w:val="24"/>
          <w:szCs w:val="24"/>
        </w:rPr>
        <w:t>.</w:t>
      </w:r>
      <w:r w:rsidRPr="00C41BBF">
        <w:rPr>
          <w:rFonts w:ascii="Times New Roman" w:hAnsi="Times New Roman" w:cs="Times New Roman"/>
          <w:sz w:val="24"/>
          <w:szCs w:val="24"/>
        </w:rPr>
        <w:t xml:space="preserve"> r</w:t>
      </w:r>
      <w:r w:rsidR="00FC6BC9">
        <w:rPr>
          <w:rFonts w:ascii="Times New Roman" w:hAnsi="Times New Roman" w:cs="Times New Roman"/>
          <w:sz w:val="24"/>
          <w:szCs w:val="24"/>
        </w:rPr>
        <w:t>oku</w:t>
      </w:r>
      <w:r w:rsidRPr="00C41BBF">
        <w:rPr>
          <w:rFonts w:ascii="Times New Roman" w:hAnsi="Times New Roman" w:cs="Times New Roman"/>
          <w:sz w:val="24"/>
          <w:szCs w:val="24"/>
        </w:rPr>
        <w:t xml:space="preserve"> życia, zakładających zakwalifikowanie na potrzeby rozliczenia podatku wskazanych dochodów jako dochodów dziecka (a nie rodzica, jak to było dotychczas)</w:t>
      </w:r>
      <w:r w:rsidR="00FC6BC9">
        <w:rPr>
          <w:rFonts w:ascii="Times New Roman" w:hAnsi="Times New Roman" w:cs="Times New Roman"/>
          <w:sz w:val="24"/>
          <w:szCs w:val="24"/>
        </w:rPr>
        <w:t>,</w:t>
      </w:r>
      <w:r w:rsidRPr="00C41BBF">
        <w:rPr>
          <w:rFonts w:ascii="Times New Roman" w:hAnsi="Times New Roman" w:cs="Times New Roman"/>
          <w:sz w:val="24"/>
          <w:szCs w:val="24"/>
        </w:rPr>
        <w:t xml:space="preserve"> projekt przewiduje zmiany w zakresie podlegania pod ubezpieczenie zdrowotne ww. grupy osób.</w:t>
      </w:r>
    </w:p>
    <w:p w14:paraId="5206DA0D" w14:textId="0095E897" w:rsidR="004F71A4" w:rsidRPr="00C41BBF" w:rsidRDefault="004F71A4" w:rsidP="00C41BBF">
      <w:pPr>
        <w:pStyle w:val="Tekstkomentarza"/>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W obecnym stanie prawnym dochody z renty rodzinnej dzieci do 18</w:t>
      </w:r>
      <w:r w:rsidR="00FC6BC9">
        <w:rPr>
          <w:rFonts w:ascii="Times New Roman" w:hAnsi="Times New Roman" w:cs="Times New Roman"/>
          <w:sz w:val="24"/>
          <w:szCs w:val="24"/>
        </w:rPr>
        <w:t>.</w:t>
      </w:r>
      <w:r w:rsidRPr="00C41BBF">
        <w:rPr>
          <w:rFonts w:ascii="Times New Roman" w:hAnsi="Times New Roman" w:cs="Times New Roman"/>
          <w:sz w:val="24"/>
          <w:szCs w:val="24"/>
        </w:rPr>
        <w:t xml:space="preserve"> r</w:t>
      </w:r>
      <w:r w:rsidR="00FC6BC9">
        <w:rPr>
          <w:rFonts w:ascii="Times New Roman" w:hAnsi="Times New Roman" w:cs="Times New Roman"/>
          <w:sz w:val="24"/>
          <w:szCs w:val="24"/>
        </w:rPr>
        <w:t>oku</w:t>
      </w:r>
      <w:r w:rsidRPr="00C41BBF">
        <w:rPr>
          <w:rFonts w:ascii="Times New Roman" w:hAnsi="Times New Roman" w:cs="Times New Roman"/>
          <w:sz w:val="24"/>
          <w:szCs w:val="24"/>
        </w:rPr>
        <w:t xml:space="preserve"> życia pozostają na gruncie ustawy o podatku dochodowym od osób fizycznych</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dochodem rodzica, wobec czego zaliczka na podatek dochodowy nie jest odrębnie ustalana z dochodu małoletniego. W konsekwencji na podstawie art. 83 ust. 2 ustawy o świadczeniach opieki zdrowotnej finansowanych ze środków publicznych, składka na ubezpieczenie zdrowotne należna z tytułu pobierania renty rodzinnej przez dzieci do 18</w:t>
      </w:r>
      <w:r w:rsidR="00FC6BC9">
        <w:rPr>
          <w:rFonts w:ascii="Times New Roman" w:hAnsi="Times New Roman" w:cs="Times New Roman"/>
          <w:sz w:val="24"/>
          <w:szCs w:val="24"/>
        </w:rPr>
        <w:t>.</w:t>
      </w:r>
      <w:r w:rsidRPr="00C41BBF">
        <w:rPr>
          <w:rFonts w:ascii="Times New Roman" w:hAnsi="Times New Roman" w:cs="Times New Roman"/>
          <w:sz w:val="24"/>
          <w:szCs w:val="24"/>
        </w:rPr>
        <w:t xml:space="preserve"> r</w:t>
      </w:r>
      <w:r w:rsidR="00FC6BC9">
        <w:rPr>
          <w:rFonts w:ascii="Times New Roman" w:hAnsi="Times New Roman" w:cs="Times New Roman"/>
          <w:sz w:val="24"/>
          <w:szCs w:val="24"/>
        </w:rPr>
        <w:t>oku</w:t>
      </w:r>
      <w:r w:rsidRPr="00C41BBF">
        <w:rPr>
          <w:rFonts w:ascii="Times New Roman" w:hAnsi="Times New Roman" w:cs="Times New Roman"/>
          <w:sz w:val="24"/>
          <w:szCs w:val="24"/>
        </w:rPr>
        <w:t xml:space="preserve"> życia podlega obniżeniu do wysokości 0 zł.</w:t>
      </w:r>
    </w:p>
    <w:p w14:paraId="6BE808E6" w14:textId="77777777" w:rsidR="004F71A4" w:rsidRPr="00C41BBF" w:rsidRDefault="004F71A4" w:rsidP="00C41BBF">
      <w:pPr>
        <w:pStyle w:val="Tekstkomentarza"/>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lastRenderedPageBreak/>
        <w:t>Zmiany zasad rozliczania podatku dochodowego skutkują ustalaniem zaliczki od dochodu dla uprawnionego dziecka, a w konsekwencji również składki zdrowotnej.</w:t>
      </w:r>
    </w:p>
    <w:p w14:paraId="3FAA5A23" w14:textId="655A88F9" w:rsidR="004F71A4" w:rsidRPr="00C41BBF" w:rsidRDefault="004F71A4" w:rsidP="00C41BBF">
      <w:pPr>
        <w:pStyle w:val="Tekstkomentarza"/>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By zachować zwolnienie dzieci do 18</w:t>
      </w:r>
      <w:r w:rsidR="00FC6BC9">
        <w:rPr>
          <w:rFonts w:ascii="Times New Roman" w:hAnsi="Times New Roman" w:cs="Times New Roman"/>
          <w:sz w:val="24"/>
          <w:szCs w:val="24"/>
        </w:rPr>
        <w:t>.</w:t>
      </w:r>
      <w:r w:rsidRPr="00C41BBF">
        <w:rPr>
          <w:rFonts w:ascii="Times New Roman" w:hAnsi="Times New Roman" w:cs="Times New Roman"/>
          <w:sz w:val="24"/>
          <w:szCs w:val="24"/>
        </w:rPr>
        <w:t xml:space="preserve"> r</w:t>
      </w:r>
      <w:r w:rsidR="00FC6BC9">
        <w:rPr>
          <w:rFonts w:ascii="Times New Roman" w:hAnsi="Times New Roman" w:cs="Times New Roman"/>
          <w:sz w:val="24"/>
          <w:szCs w:val="24"/>
        </w:rPr>
        <w:t>oku</w:t>
      </w:r>
      <w:r w:rsidRPr="00C41BBF">
        <w:rPr>
          <w:rFonts w:ascii="Times New Roman" w:hAnsi="Times New Roman" w:cs="Times New Roman"/>
          <w:sz w:val="24"/>
          <w:szCs w:val="24"/>
        </w:rPr>
        <w:t xml:space="preserve"> życia z obowiązku składkowego w zakresie ubezpieczenia zdrowotnego proponuje się wyłączyć wskazaną grupę spod tytułu ubezpieczenia zdrowotnego jednocześnie zachowując uprawnienia do świadczeń opieki zdrowotnej ze środków publicznych (zmiany w zakresie art. 2–3 i art. 5 ustawy o świadczeniach opieki zdrowotnej finansowanych ze środków publicznych).</w:t>
      </w:r>
    </w:p>
    <w:p w14:paraId="0868F066" w14:textId="5D45A6FA" w:rsidR="004F71A4" w:rsidRPr="00C41BBF" w:rsidRDefault="004F71A4" w:rsidP="00C41BBF">
      <w:pPr>
        <w:pStyle w:val="Tekstkomentarza"/>
        <w:spacing w:line="360" w:lineRule="auto"/>
        <w:jc w:val="both"/>
        <w:rPr>
          <w:rFonts w:ascii="Times New Roman" w:hAnsi="Times New Roman" w:cs="Times New Roman"/>
          <w:sz w:val="24"/>
          <w:szCs w:val="24"/>
        </w:rPr>
      </w:pPr>
      <w:r w:rsidRPr="00C41BBF">
        <w:rPr>
          <w:rFonts w:ascii="Times New Roman" w:hAnsi="Times New Roman" w:cs="Times New Roman"/>
          <w:sz w:val="24"/>
          <w:szCs w:val="24"/>
        </w:rPr>
        <w:t>Jednocześnie celem zachowania zasady równego traktowania podmiotów oraz mając na uwadze względy społeczne, proponuje się objąć powyższym mechanizmem także dzieci (zupełne sieroty), które dotychczas, jako rozliczające podatek dochodowy i odprowadzające zaliczki na podatek dochodowy, nie podlegały mechanizmowi obniżenia składki z art. 83 ust. 2 ww. ustawy. Powyższe spowoduje obniżenie przychodów Narodowego Funduszu Zdr</w:t>
      </w:r>
      <w:r w:rsidR="00874369" w:rsidRPr="00C41BBF">
        <w:rPr>
          <w:rFonts w:ascii="Times New Roman" w:hAnsi="Times New Roman" w:cs="Times New Roman"/>
          <w:sz w:val="24"/>
          <w:szCs w:val="24"/>
        </w:rPr>
        <w:t>owia o ok. 1,5 mln zł rocznie.</w:t>
      </w:r>
    </w:p>
    <w:p w14:paraId="3CDB2B2F"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 xml:space="preserve">Zmiana doprecyzowująca w zakresie podlegania pod ubezpieczenie zdrowotne osób powołanych do pełnienia funkcji </w:t>
      </w:r>
    </w:p>
    <w:p w14:paraId="3F147168"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Celem zmiany jest doprecyzowanie obowiązującego stanu prawnego w zakresie podstawy składki zdrowotnej osób powołanych do pełnienia funkcji i uzyskujących wynagrodzenie z tego tytułu.</w:t>
      </w:r>
    </w:p>
    <w:p w14:paraId="0E4F79A0" w14:textId="38A9114E"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Zgodnie z wprowadzonym ustawą z dnia 29 października 2021 r. art. 66 ust. 1 pkt 35a ustawy o świadczeniach zdrowotnych, obowiązkowi ubezpieczenia zdrowotnego podlegają osoby powołane do pełnienia funkcji na mocy aktu powołania, które z tego tytułu pobierają wynagrodzenie.</w:t>
      </w:r>
      <w:r w:rsidR="009D1102">
        <w:rPr>
          <w:rFonts w:ascii="Times New Roman" w:eastAsiaTheme="minorEastAsia" w:hAnsi="Times New Roman" w:cs="Times New Roman"/>
          <w:iCs/>
          <w:sz w:val="24"/>
          <w:szCs w:val="24"/>
          <w:lang w:eastAsia="pl-PL"/>
        </w:rPr>
        <w:t xml:space="preserve"> </w:t>
      </w:r>
    </w:p>
    <w:p w14:paraId="19F9B69C"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Obecne brzmienie zmienianego art. 81 ust. 8 pkt 11a ustawy o świadczeniach zdrowotnych także wskazuje, że to kwota odpowiadająca wysokości wynagrodzenia otrzymywanego z tytułu powołania stanowi podstawę wymiaru składki na ubezpieczenie zdrowotne. Prawodawca w momencie uchwalenia ww. przepisów prawa nie ograniczył wskazanej w nich kategorii „wynagrodzenia” do żadnych konkretnych źródeł przychodu, a zatem wszelkie przychody związane z pełnieniem funkcji na podstawie „aktu powołania” stanowią podstawę ustalenia składki zdrowotnej (</w:t>
      </w:r>
      <w:r w:rsidRPr="00C41BBF">
        <w:rPr>
          <w:rFonts w:ascii="Times New Roman" w:eastAsiaTheme="minorEastAsia" w:hAnsi="Times New Roman" w:cs="Times New Roman"/>
          <w:i/>
          <w:sz w:val="24"/>
          <w:szCs w:val="24"/>
          <w:lang w:eastAsia="pl-PL"/>
        </w:rPr>
        <w:t xml:space="preserve">lege </w:t>
      </w:r>
      <w:r w:rsidRPr="00C41BBF">
        <w:rPr>
          <w:rFonts w:ascii="Times New Roman" w:eastAsiaTheme="minorEastAsia" w:hAnsi="Times New Roman" w:cs="Times New Roman"/>
          <w:i/>
          <w:sz w:val="24"/>
          <w:szCs w:val="24"/>
          <w:lang w:eastAsia="pl-PL"/>
        </w:rPr>
        <w:lastRenderedPageBreak/>
        <w:t>non distinguente</w:t>
      </w:r>
      <w:r w:rsidRPr="00C41BBF">
        <w:rPr>
          <w:rFonts w:ascii="Times New Roman" w:eastAsiaTheme="minorEastAsia" w:hAnsi="Times New Roman" w:cs="Times New Roman"/>
          <w:iCs/>
          <w:sz w:val="24"/>
          <w:szCs w:val="24"/>
          <w:lang w:eastAsia="pl-PL"/>
        </w:rPr>
        <w:t xml:space="preserve">). Wynagrodzenie otrzymywane przez osoby powołane do pełnienia funkcji na podstawie aktu powołania należy odczytać w sposób szeroki, tj. jako wszelką formę przychodu przewidzianą przez przepisy prawa podatkowego jako podstawę ustalenia obowiązków daninowych. Celem doprecyzowania obowiązku podmiotu wypłacającego to wynagrodzenie w zakresie obliczania, pobierania z wynagrodzenia ubezpieczonego i odprowadzania składki na ubezpieczenie zdrowotne (zob. art. 85 ust. 17a ustawy o świadczeniach zdrowotnych), uzasadnione jest wprowadzenie zmiany potwierdzającej powyższe wskazane konsekwencje obowiązujących regulacji art. 66 ust. 1 pkt 35a i art. 81 ust. 1 pkt 11a ustawy o świadczeniach zdrowotnych. </w:t>
      </w:r>
    </w:p>
    <w:p w14:paraId="1BDF3D17" w14:textId="54239B96"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Jednocześnie w związku z pojawiającymi się wątpliwościami co do podlegania pod wskazany tytuł prokurentów proponuje się wprost wskazać, że katalog osób powołanych obejmuje także prokurentów.</w:t>
      </w:r>
      <w:r w:rsidRPr="00C41BBF">
        <w:rPr>
          <w:rFonts w:ascii="Times New Roman" w:eastAsiaTheme="minorEastAsia" w:hAnsi="Times New Roman" w:cs="Times New Roman"/>
          <w:sz w:val="24"/>
          <w:szCs w:val="24"/>
          <w:lang w:eastAsia="pl-PL"/>
        </w:rPr>
        <w:t xml:space="preserve"> Prokura jako forma szczególna pełnomocnictwa jest ustanawiana, </w:t>
      </w:r>
      <w:r w:rsidRPr="00C41BBF">
        <w:rPr>
          <w:rFonts w:ascii="Times New Roman" w:eastAsiaTheme="minorEastAsia" w:hAnsi="Times New Roman" w:cs="Times New Roman"/>
          <w:sz w:val="24"/>
          <w:szCs w:val="24"/>
          <w:u w:val="single"/>
          <w:lang w:eastAsia="pl-PL"/>
        </w:rPr>
        <w:t>przy czym dochodzi do tego w drodze aktu powołania</w:t>
      </w:r>
      <w:r w:rsidRPr="00C41BBF">
        <w:rPr>
          <w:rFonts w:ascii="Times New Roman" w:eastAsiaTheme="minorEastAsia" w:hAnsi="Times New Roman" w:cs="Times New Roman"/>
          <w:sz w:val="24"/>
          <w:szCs w:val="24"/>
          <w:lang w:eastAsia="pl-PL"/>
        </w:rPr>
        <w:t>, o czym świadczy stosowanie przez prawodawcę wyrażenia „powołanie” w art. 208, art. 300</w:t>
      </w:r>
      <w:r w:rsidRPr="00C41BBF">
        <w:rPr>
          <w:rFonts w:ascii="Times New Roman" w:eastAsiaTheme="minorEastAsia" w:hAnsi="Times New Roman" w:cs="Times New Roman"/>
          <w:sz w:val="24"/>
          <w:szCs w:val="24"/>
          <w:vertAlign w:val="superscript"/>
          <w:lang w:eastAsia="pl-PL"/>
        </w:rPr>
        <w:t>58</w:t>
      </w:r>
      <w:r w:rsidRPr="00C41BBF">
        <w:rPr>
          <w:rFonts w:ascii="Times New Roman" w:eastAsiaTheme="minorEastAsia" w:hAnsi="Times New Roman" w:cs="Times New Roman"/>
          <w:sz w:val="24"/>
          <w:szCs w:val="24"/>
          <w:lang w:eastAsia="pl-PL"/>
        </w:rPr>
        <w:t xml:space="preserve"> § 7, art. 300</w:t>
      </w:r>
      <w:r w:rsidRPr="00C41BBF">
        <w:rPr>
          <w:rFonts w:ascii="Times New Roman" w:eastAsiaTheme="minorEastAsia" w:hAnsi="Times New Roman" w:cs="Times New Roman"/>
          <w:sz w:val="24"/>
          <w:szCs w:val="24"/>
          <w:vertAlign w:val="superscript"/>
          <w:lang w:eastAsia="pl-PL"/>
        </w:rPr>
        <w:t>64</w:t>
      </w:r>
      <w:r w:rsidRPr="00C41BBF">
        <w:rPr>
          <w:rFonts w:ascii="Times New Roman" w:eastAsiaTheme="minorEastAsia" w:hAnsi="Times New Roman" w:cs="Times New Roman"/>
          <w:sz w:val="24"/>
          <w:szCs w:val="24"/>
          <w:lang w:eastAsia="pl-PL"/>
        </w:rPr>
        <w:t>, art. 300</w:t>
      </w:r>
      <w:r w:rsidRPr="00C41BBF">
        <w:rPr>
          <w:rFonts w:ascii="Times New Roman" w:eastAsiaTheme="minorEastAsia" w:hAnsi="Times New Roman" w:cs="Times New Roman"/>
          <w:sz w:val="24"/>
          <w:szCs w:val="24"/>
          <w:vertAlign w:val="superscript"/>
          <w:lang w:eastAsia="pl-PL"/>
        </w:rPr>
        <w:t>75</w:t>
      </w:r>
      <w:r w:rsidRPr="00C41BBF">
        <w:rPr>
          <w:rFonts w:ascii="Times New Roman" w:eastAsiaTheme="minorEastAsia" w:hAnsi="Times New Roman" w:cs="Times New Roman"/>
          <w:sz w:val="24"/>
          <w:szCs w:val="24"/>
          <w:lang w:eastAsia="pl-PL"/>
        </w:rPr>
        <w:t xml:space="preserve">, art. 371 ustawy z dnia 15 września 2000 r. </w:t>
      </w:r>
      <w:r w:rsidR="00FC6BC9">
        <w:rPr>
          <w:rFonts w:ascii="Times New Roman" w:eastAsiaTheme="minorEastAsia" w:hAnsi="Times New Roman" w:cs="Times New Roman"/>
          <w:sz w:val="24"/>
          <w:szCs w:val="24"/>
        </w:rPr>
        <w:t xml:space="preserve">– </w:t>
      </w:r>
      <w:r w:rsidRPr="00C41BBF">
        <w:rPr>
          <w:rFonts w:ascii="Times New Roman" w:eastAsiaTheme="minorEastAsia" w:hAnsi="Times New Roman" w:cs="Times New Roman"/>
          <w:sz w:val="24"/>
          <w:szCs w:val="24"/>
          <w:lang w:eastAsia="pl-PL"/>
        </w:rPr>
        <w:t xml:space="preserve">Kodeks spółek handlowych </w:t>
      </w:r>
      <w:r w:rsidRPr="00C41BBF">
        <w:rPr>
          <w:rFonts w:ascii="Times New Roman" w:eastAsiaTheme="minorEastAsia" w:hAnsi="Times New Roman" w:cs="Times New Roman"/>
          <w:iCs/>
          <w:sz w:val="24"/>
          <w:szCs w:val="24"/>
          <w:lang w:eastAsia="pl-PL"/>
        </w:rPr>
        <w:t xml:space="preserve">(Dz. U. </w:t>
      </w:r>
      <w:r w:rsidR="006B3E1C" w:rsidRPr="00C41BBF">
        <w:rPr>
          <w:rFonts w:ascii="Times New Roman" w:eastAsiaTheme="minorEastAsia" w:hAnsi="Times New Roman" w:cs="Times New Roman"/>
          <w:iCs/>
          <w:sz w:val="24"/>
          <w:szCs w:val="24"/>
          <w:lang w:eastAsia="pl-PL"/>
        </w:rPr>
        <w:t xml:space="preserve">z </w:t>
      </w:r>
      <w:r w:rsidRPr="00C41BBF">
        <w:rPr>
          <w:rFonts w:ascii="Times New Roman" w:eastAsiaTheme="minorEastAsia" w:hAnsi="Times New Roman" w:cs="Times New Roman"/>
          <w:iCs/>
          <w:sz w:val="24"/>
          <w:szCs w:val="24"/>
          <w:lang w:eastAsia="pl-PL"/>
        </w:rPr>
        <w:t xml:space="preserve">2020 </w:t>
      </w:r>
      <w:r w:rsidR="006B3E1C" w:rsidRPr="00C41BBF">
        <w:rPr>
          <w:rFonts w:ascii="Times New Roman" w:eastAsiaTheme="minorEastAsia" w:hAnsi="Times New Roman" w:cs="Times New Roman"/>
          <w:iCs/>
          <w:sz w:val="24"/>
          <w:szCs w:val="24"/>
          <w:lang w:eastAsia="pl-PL"/>
        </w:rPr>
        <w:t xml:space="preserve">r. </w:t>
      </w:r>
      <w:r w:rsidRPr="00C41BBF">
        <w:rPr>
          <w:rFonts w:ascii="Times New Roman" w:eastAsiaTheme="minorEastAsia" w:hAnsi="Times New Roman" w:cs="Times New Roman"/>
          <w:iCs/>
          <w:sz w:val="24"/>
          <w:szCs w:val="24"/>
          <w:lang w:eastAsia="pl-PL"/>
        </w:rPr>
        <w:t>poz. 1526, z</w:t>
      </w:r>
      <w:r w:rsidR="009C7AC4" w:rsidRPr="00C41BBF">
        <w:rPr>
          <w:rFonts w:ascii="Times New Roman" w:eastAsiaTheme="minorEastAsia" w:hAnsi="Times New Roman" w:cs="Times New Roman"/>
          <w:iCs/>
          <w:sz w:val="24"/>
          <w:szCs w:val="24"/>
          <w:lang w:eastAsia="pl-PL"/>
        </w:rPr>
        <w:t xml:space="preserve"> późn.</w:t>
      </w:r>
      <w:r w:rsidRPr="00C41BBF">
        <w:rPr>
          <w:rFonts w:ascii="Times New Roman" w:eastAsiaTheme="minorEastAsia" w:hAnsi="Times New Roman" w:cs="Times New Roman"/>
          <w:iCs/>
          <w:sz w:val="24"/>
          <w:szCs w:val="24"/>
          <w:lang w:eastAsia="pl-PL"/>
        </w:rPr>
        <w:t xml:space="preserve"> zm.; </w:t>
      </w:r>
      <w:r w:rsidRPr="00C41BBF">
        <w:rPr>
          <w:rFonts w:ascii="Times New Roman" w:eastAsiaTheme="minorEastAsia" w:hAnsi="Times New Roman" w:cs="Times New Roman"/>
          <w:sz w:val="24"/>
          <w:szCs w:val="24"/>
          <w:lang w:eastAsia="pl-PL"/>
        </w:rPr>
        <w:t xml:space="preserve">dalej jako „K.s.h.”). </w:t>
      </w:r>
      <w:r w:rsidRPr="00C41BBF">
        <w:rPr>
          <w:rFonts w:ascii="Times New Roman" w:eastAsiaTheme="minorEastAsia" w:hAnsi="Times New Roman" w:cs="Times New Roman"/>
          <w:iCs/>
          <w:sz w:val="24"/>
          <w:szCs w:val="24"/>
          <w:lang w:eastAsia="pl-PL"/>
        </w:rPr>
        <w:t>Powołanie prokurenta jest czynnością, która przynależy do zakresu wyrażenia „akt powołania”, a zatem na podstawie art. 66 ust. 1 pkt 35a ustawy o świadczeniach zdrowotnych prokurenci są objęci obowiązkowym ubezpieczeniem zdrowotnym. Mając jednak na uwadze wskazane powyżej wątpliwości, celem ich jednoznacznego rozstrzygnięcia, proponuje się doprecyzowanie przepisu.</w:t>
      </w:r>
    </w:p>
    <w:p w14:paraId="5E375A98" w14:textId="7514B05E"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 xml:space="preserve">Ponadto celem zmiany jest wyłączenie z zakresu przedmiotowego art. 66 ust. 1 pkt 35a ustawy o świadczeniach zdrowotnych osób otrzymujących wynagrodzenie do kwoty 6000 zł rocznie, które to wynagrodzenie kwalifikowane jest jako przychód określony w art. 13 ust. 5 lub 6 ustawy PIT. W powyższej grupie osób znajdą się osoby wykonujące czynności związane z pełnieniem obowiązków społecznych lub obywatelskich oraz osoby, którym organ władzy lub administracji państwowej albo samorządowej, sąd lub prokurator, na podstawie właściwych przepisów, zlecił wykonanie określonych czynności. Powyższe osoby wykonują bardzo często szczególny rodzaj działalności społecznej lub obywatelskiej, realizowany niezależnie od </w:t>
      </w:r>
      <w:r w:rsidRPr="00C41BBF">
        <w:rPr>
          <w:rFonts w:ascii="Times New Roman" w:eastAsiaTheme="minorEastAsia" w:hAnsi="Times New Roman" w:cs="Times New Roman"/>
          <w:iCs/>
          <w:sz w:val="24"/>
          <w:szCs w:val="24"/>
          <w:lang w:eastAsia="pl-PL"/>
        </w:rPr>
        <w:lastRenderedPageBreak/>
        <w:t xml:space="preserve">własnej pracy zawodowej. Biorąc po uwagę, że otrzymywane z tego tytułu wynagrodzenie, kwalifikowane do ww. źródeł przychodu, pełni nieraz </w:t>
      </w:r>
      <w:r w:rsidRPr="00C41BBF">
        <w:rPr>
          <w:rFonts w:ascii="Times New Roman" w:eastAsiaTheme="minorEastAsia" w:hAnsi="Times New Roman" w:cs="Times New Roman"/>
          <w:i/>
          <w:sz w:val="24"/>
          <w:szCs w:val="24"/>
          <w:lang w:eastAsia="pl-PL"/>
        </w:rPr>
        <w:t>de facto</w:t>
      </w:r>
      <w:r w:rsidRPr="00C41BBF">
        <w:rPr>
          <w:rFonts w:ascii="Times New Roman" w:eastAsiaTheme="minorEastAsia" w:hAnsi="Times New Roman" w:cs="Times New Roman"/>
          <w:iCs/>
          <w:sz w:val="24"/>
          <w:szCs w:val="24"/>
          <w:lang w:eastAsia="pl-PL"/>
        </w:rPr>
        <w:t xml:space="preserve"> funkcje kompensacyjną, uzasadnione jest wprowadzenie dla tych grup podmiotów progu, od którego zaczną podlegać obowiązkowi składkowemu.</w:t>
      </w:r>
    </w:p>
    <w:p w14:paraId="0C9B5EC0" w14:textId="2631BF9E"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Projekt przewiduje przyjęcie progu w kwocie 6000 zł w skali rok</w:t>
      </w:r>
      <w:r w:rsidR="00FC6BC9">
        <w:rPr>
          <w:rFonts w:ascii="Times New Roman" w:eastAsiaTheme="minorEastAsia" w:hAnsi="Times New Roman" w:cs="Times New Roman"/>
          <w:iCs/>
          <w:sz w:val="24"/>
          <w:szCs w:val="24"/>
          <w:lang w:eastAsia="pl-PL"/>
        </w:rPr>
        <w:t>u</w:t>
      </w:r>
      <w:r w:rsidRPr="00C41BBF">
        <w:rPr>
          <w:rFonts w:ascii="Times New Roman" w:eastAsiaTheme="minorEastAsia" w:hAnsi="Times New Roman" w:cs="Times New Roman"/>
          <w:iCs/>
          <w:sz w:val="24"/>
          <w:szCs w:val="24"/>
          <w:lang w:eastAsia="pl-PL"/>
        </w:rPr>
        <w:t>, której wysokoś</w:t>
      </w:r>
      <w:r w:rsidR="00FC6BC9">
        <w:rPr>
          <w:rFonts w:ascii="Times New Roman" w:eastAsiaTheme="minorEastAsia" w:hAnsi="Times New Roman" w:cs="Times New Roman"/>
          <w:iCs/>
          <w:sz w:val="24"/>
          <w:szCs w:val="24"/>
          <w:lang w:eastAsia="pl-PL"/>
        </w:rPr>
        <w:t>ć</w:t>
      </w:r>
      <w:r w:rsidRPr="00C41BBF">
        <w:rPr>
          <w:rFonts w:ascii="Times New Roman" w:eastAsiaTheme="minorEastAsia" w:hAnsi="Times New Roman" w:cs="Times New Roman"/>
          <w:iCs/>
          <w:sz w:val="24"/>
          <w:szCs w:val="24"/>
          <w:lang w:eastAsia="pl-PL"/>
        </w:rPr>
        <w:t xml:space="preserve"> odpowiada kwocie wolnej od podatku w stanie prawnym obowiązującym na dzień 31 grudnia 2021 r., która na podstawie art. 83 ust. 1 w zw. z ust. 2b ustawy o świadczeniach zdrowotnych znajduje zastosowanie przy obniżaniu składki zdrowotnej przez innych ubezpieczonych (których płatnicy wskazani są w art. art. 85 ust. 1</w:t>
      </w:r>
      <w:r w:rsidR="00FC6BC9">
        <w:rPr>
          <w:rFonts w:ascii="Times New Roman" w:eastAsiaTheme="minorEastAsia" w:hAnsi="Times New Roman" w:cs="Times New Roman"/>
          <w:sz w:val="24"/>
          <w:szCs w:val="24"/>
        </w:rPr>
        <w:t>–</w:t>
      </w:r>
      <w:r w:rsidRPr="00C41BBF">
        <w:rPr>
          <w:rFonts w:ascii="Times New Roman" w:eastAsiaTheme="minorEastAsia" w:hAnsi="Times New Roman" w:cs="Times New Roman"/>
          <w:iCs/>
          <w:sz w:val="24"/>
          <w:szCs w:val="24"/>
          <w:lang w:eastAsia="pl-PL"/>
        </w:rPr>
        <w:t>13 ustawy o świadczeniach zdrowotnych). W przypadku uzyskania dochodu mieszczącego się w kwocie wolnej od PIT zaliczka na ten podatek wyniosłaby 0 zł, a wówczas do tej kwoty mogłaby być także obniżona składka zdrowotna. W konsekwencji, wprowadzenie progu w proponowanej wysokości jest uzasadnione względami sprawiedliwego rozłożenia ciężarów związanych ze składką zdrowotną.</w:t>
      </w:r>
    </w:p>
    <w:p w14:paraId="5E345D98" w14:textId="19F0096C"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 xml:space="preserve">W następstwie proponowanych zmian osoba należąca do jednej z dwóch powyższej wskazanych grup społecznych zacznie podlegać obowiązkowemu ubezpieczeniu zdrowotnemu, a więc także obowiązkowej składce zdrowotnej, w momencie, kiedy po powołaniu do pełnienia funkcji jej wynagrodzenie pobrane z tego tytułu </w:t>
      </w:r>
      <w:r w:rsidR="00FC6BC9">
        <w:rPr>
          <w:rFonts w:ascii="Times New Roman" w:eastAsiaTheme="minorEastAsia" w:hAnsi="Times New Roman" w:cs="Times New Roman"/>
          <w:iCs/>
          <w:sz w:val="24"/>
          <w:szCs w:val="24"/>
          <w:lang w:eastAsia="pl-PL"/>
        </w:rPr>
        <w:t>–</w:t>
      </w:r>
      <w:r w:rsidRPr="00C41BBF">
        <w:rPr>
          <w:rFonts w:ascii="Times New Roman" w:eastAsiaTheme="minorEastAsia" w:hAnsi="Times New Roman" w:cs="Times New Roman"/>
          <w:iCs/>
          <w:sz w:val="24"/>
          <w:szCs w:val="24"/>
          <w:lang w:eastAsia="pl-PL"/>
        </w:rPr>
        <w:t xml:space="preserve"> sumowane w ujęciu rocznym </w:t>
      </w:r>
      <w:r w:rsidR="00FC6BC9">
        <w:rPr>
          <w:rFonts w:ascii="Times New Roman" w:eastAsiaTheme="minorEastAsia" w:hAnsi="Times New Roman" w:cs="Times New Roman"/>
          <w:iCs/>
          <w:sz w:val="24"/>
          <w:szCs w:val="24"/>
          <w:lang w:eastAsia="pl-PL"/>
        </w:rPr>
        <w:t>–</w:t>
      </w:r>
      <w:r w:rsidRPr="00C41BBF">
        <w:rPr>
          <w:rFonts w:ascii="Times New Roman" w:eastAsiaTheme="minorEastAsia" w:hAnsi="Times New Roman" w:cs="Times New Roman"/>
          <w:iCs/>
          <w:sz w:val="24"/>
          <w:szCs w:val="24"/>
          <w:lang w:eastAsia="pl-PL"/>
        </w:rPr>
        <w:t xml:space="preserve"> przekroczy kwotę 6000 zł (zob. proponowana zmiana art. 66 ust. 1 pkt 35a i art. 73 pkt 17b ustawy o świadczeniach zdrowotnych). Jednocześnie podstawą obliczenia miesięcznej składki zdrowotnej będzie kwota wynagrodzenia stanowiąca nadwyżkę ponad proponowany próg, tj. wynagrodzenie otrzymane jedynie w okresie podlegania pod przedmiotowy tytuł w ubezpieczeniu zdrowotnych (proponowana zmiana w art. 81 ust. 8 pkt. 11a ustawy o świadczeniach zdrowotnych), bez uwzględnienia wynagrodzenia otrzymanego po dniu powołania do pełnienia funkcji, ale mieszczącego si</w:t>
      </w:r>
      <w:r w:rsidR="00874369" w:rsidRPr="00C41BBF">
        <w:rPr>
          <w:rFonts w:ascii="Times New Roman" w:eastAsiaTheme="minorEastAsia" w:hAnsi="Times New Roman" w:cs="Times New Roman"/>
          <w:iCs/>
          <w:sz w:val="24"/>
          <w:szCs w:val="24"/>
          <w:lang w:eastAsia="pl-PL"/>
        </w:rPr>
        <w:t xml:space="preserve">ę poniżej proponowanego progu. </w:t>
      </w:r>
    </w:p>
    <w:p w14:paraId="19F77287"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doprecyzowująca w zakresie liczby miesięcy uwzględnianych dla określenia składki zdrowotnej (osób prowadzących działalność gospodarczą stosujących opodatkowanie na zasadach ogólnych)</w:t>
      </w:r>
    </w:p>
    <w:p w14:paraId="44F16482" w14:textId="1BFFBD32"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Propozycja zmiany brzmienia art. 81 ust. 2b ustawy, który określa sposób ustalania </w:t>
      </w:r>
      <w:r w:rsidRPr="00C41BBF">
        <w:rPr>
          <w:rFonts w:ascii="Times New Roman" w:eastAsiaTheme="minorEastAsia" w:hAnsi="Times New Roman" w:cs="Times New Roman"/>
          <w:sz w:val="24"/>
          <w:szCs w:val="24"/>
          <w:lang w:eastAsia="pl-PL"/>
        </w:rPr>
        <w:lastRenderedPageBreak/>
        <w:t>minimalnej rocznej podstawy wymiaru składki, polega na zastąpieniu zwrotu „iloczyn liczby miesięcy w roku składkowym podlegania ubezpieczeniu” na „iloczyn liczby miesięcy podlegania ubezpieczeniu zdrowotnemu w roku kalendarzowym …”. Zmiana ta ma na celu usunięcie wątpliwości w zakresie ustalania liczby miesięcy podlegania dla celów określenia minimalnej rocznej podstawy wymiaru składki dla osób prowadzących działalność gospodarczą stosujących opodatkowanie na zasadach ogólnych. W stosunku do tej grupy, miesięczna podstawa wymiaru składki ustalana jest na podstawie dochodu z działalności uzyskiwanego w miesiącu poprzedzającym miesiąc, za który dokonywane jest rozliczenie. Dlatego też wprowadzona została instytucja roku składkowego obejmującego okres od lutego danego roku do stycznia roku następnego. Podstawą ustalenia składki za luty (płatnej w marcu) jest dochód ze stycznia. Zatem podstawą wymiaru składki za rok składkowy jest dochód osiągnięty w danym roku kalendarzowym. Tym samym, dla celów obliczania minimalnej wysokości rocznej podstawy wymiaru składki wymaganym jest odnoszenie się do miesięcy roku kalendarzowego, a nie roku składkowego, bowiem realnie składki miesięczne są ustalane od dochodów</w:t>
      </w:r>
      <w:r w:rsidR="00FC6BC9">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jakie są uzyskiwane już od pierwszego miesiąca roku kalendarzowego, a nie do pierwszego miesiąca roku składkowego. </w:t>
      </w:r>
    </w:p>
    <w:p w14:paraId="7BA9A34B" w14:textId="77777777" w:rsidR="004F71A4" w:rsidRPr="00C41BBF" w:rsidRDefault="004F71A4" w:rsidP="00C41BBF">
      <w:pPr>
        <w:spacing w:before="120" w:after="0" w:line="360" w:lineRule="auto"/>
        <w:jc w:val="both"/>
        <w:rPr>
          <w:rFonts w:ascii="Times New Roman" w:eastAsia="Times New Roman" w:hAnsi="Times New Roman" w:cs="Times New Roman"/>
          <w:bCs/>
          <w:color w:val="0070C0"/>
          <w:sz w:val="24"/>
          <w:szCs w:val="24"/>
          <w:lang w:eastAsia="pl-PL"/>
        </w:rPr>
      </w:pPr>
      <w:r w:rsidRPr="00C41BBF">
        <w:rPr>
          <w:rFonts w:ascii="Times New Roman" w:eastAsia="Times New Roman" w:hAnsi="Times New Roman" w:cs="Times New Roman"/>
          <w:bCs/>
          <w:color w:val="0070C0"/>
          <w:sz w:val="24"/>
          <w:szCs w:val="24"/>
          <w:lang w:eastAsia="pl-PL"/>
        </w:rPr>
        <w:t>Zmiana w zakresie uwzględnienia zwolnień w miesięcznej składce zdrowotnej do ustalania rocznej składki zdrowotnej</w:t>
      </w:r>
    </w:p>
    <w:p w14:paraId="35EA6CCF" w14:textId="28A63EA4"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Dodanie w art. 81 nowych przepisów, tj. ust. 2ba, 2ca, 2ea, 2fa i 2ga, polega na</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wprowadzeniu regulacji, zgodnie z którymi w odniesieniu do osób prowadzących działalność gospodarczą spełniających warunki do zwolnienia z obowiązku opłacania składki zdrowotnej za dany miesiąc, o którym mowa w art. 82 ust. 8–9b, przychody/dochody uzyskane w tych miesiącach nie będą uwzględniane w rocznych przychodach/dochodach przyjmowanych do ustalenia rocznej podstawy wymiaru składki. Obowiązujące przepisy wprowadziły instytucję rocznej podstawy wymiaru i rocznej składki na ubezpieczenie zdrowotne w odniesieniu do przedsiębiorców stosujących opodatkowanie na zasadach ogólnych (skala lub podatek liniowy) lub ryczałt od przychodów ewidencjonowanych. W art. 81 ust. 2 (w odniesieniu do przedsiębiorców stosujących zasady ogólne) oraz art. 81 ust. 2e (w odniesieniu do przedsiębiorców na ryczałcie) wskazuje się że roczną podstaw</w:t>
      </w:r>
      <w:r w:rsidR="00A871C8">
        <w:rPr>
          <w:rFonts w:ascii="Times New Roman" w:eastAsia="Times New Roman" w:hAnsi="Times New Roman" w:cs="Times New Roman"/>
          <w:sz w:val="24"/>
          <w:szCs w:val="24"/>
          <w:lang w:eastAsia="pl-PL"/>
        </w:rPr>
        <w:t>ę</w:t>
      </w:r>
      <w:r w:rsidRPr="00C41BBF">
        <w:rPr>
          <w:rFonts w:ascii="Times New Roman" w:eastAsia="Times New Roman" w:hAnsi="Times New Roman" w:cs="Times New Roman"/>
          <w:sz w:val="24"/>
          <w:szCs w:val="24"/>
          <w:lang w:eastAsia="pl-PL"/>
        </w:rPr>
        <w:t xml:space="preserve"> wymiaru składki ustala się </w:t>
      </w:r>
      <w:r w:rsidRPr="00C41BBF">
        <w:rPr>
          <w:rFonts w:ascii="Times New Roman" w:eastAsia="Times New Roman" w:hAnsi="Times New Roman" w:cs="Times New Roman"/>
          <w:sz w:val="24"/>
          <w:szCs w:val="24"/>
          <w:lang w:eastAsia="pl-PL"/>
        </w:rPr>
        <w:lastRenderedPageBreak/>
        <w:t>odpowiednio na podstawie dochodu za dany</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rok kalendarzowy albo w oparciu o osiągnięte w tym okresie przychody. Nieuwzględnienie w obowiązujących przepisach możliwości niewliczania do sumy dochodów/przychodów za dany rok przychodów/dochodów uzyskiwanych w miesiącach, w których ubezpieczony spełnia warunki do zwolnienia ze składki powoduje, że nieopłacona w miesiącu zwolnienia składka na ubezpieczenie zdrowotne byłaby pobierana po zakończeniu roku przy obliczaniu rocznej podstawy wymiaru składki w której ubezpieczony musiałby ujmować uzyskane przychody/dochody za cały rok. Taka sytuacja powoduje, że obowiązujące regulacje dotyczące miesięcznego zwolnienia ze składki byłyby przepisami częściowo martwymi. </w:t>
      </w:r>
    </w:p>
    <w:p w14:paraId="7D5CFEB6"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Regulowane w art. 82 ust. 8-9b zwolnienia ze składki dotyczą osób prowadzących pozarolniczą działalność, które:</w:t>
      </w:r>
    </w:p>
    <w:p w14:paraId="73A49130" w14:textId="77777777" w:rsidR="004F71A4" w:rsidRPr="00C41BBF" w:rsidRDefault="004F71A4" w:rsidP="00C41BBF">
      <w:pPr>
        <w:widowControl w:val="0"/>
        <w:numPr>
          <w:ilvl w:val="0"/>
          <w:numId w:val="12"/>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mają ustalone prawo do emerytury lub renty w wysokości nie wyższej niż minimalne wynagrodzenia i uzyskują dodatkowe przychody z działalności w wysokości nieprzekraczającej miesięcznie 50% kwoty najniższej emerytury (art. 82 ust. 8); </w:t>
      </w:r>
    </w:p>
    <w:p w14:paraId="0B62CF0F" w14:textId="7AD56DCA" w:rsidR="004F71A4" w:rsidRPr="00C41BBF" w:rsidRDefault="004F71A4" w:rsidP="00C41BBF">
      <w:pPr>
        <w:widowControl w:val="0"/>
        <w:numPr>
          <w:ilvl w:val="0"/>
          <w:numId w:val="12"/>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mają znaczny lub umiarkowany stopień</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niepełnosprawności i uzyskują przychody z działalności w wysokości nieprzekraczającej miesięcznie 50% kwoty najniższej emerytury (art. 82 ust. 9); </w:t>
      </w:r>
    </w:p>
    <w:p w14:paraId="68AE2639" w14:textId="77777777" w:rsidR="004F71A4" w:rsidRPr="00C41BBF" w:rsidRDefault="004F71A4" w:rsidP="00C41BBF">
      <w:pPr>
        <w:widowControl w:val="0"/>
        <w:numPr>
          <w:ilvl w:val="0"/>
          <w:numId w:val="12"/>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pobierają zasiłek macierzyński, który nie przekracza miesięcznie kwoty świadczenia rodzicielskiego (art. 82 ust. 9a);</w:t>
      </w:r>
    </w:p>
    <w:p w14:paraId="7BFD4640" w14:textId="14B0F489" w:rsidR="004F71A4" w:rsidRPr="00C41BBF" w:rsidRDefault="004F71A4" w:rsidP="00C41BBF">
      <w:pPr>
        <w:widowControl w:val="0"/>
        <w:numPr>
          <w:ilvl w:val="0"/>
          <w:numId w:val="12"/>
        </w:num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uzyskują przychody z działalności opodatkowanych zryczałtowanym podatkiem dochodowym, które nie przekraczają miesięcznie 50% minimalnego wynagrodzenia</w:t>
      </w:r>
      <w:r w:rsidR="00A871C8">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jeśli dodatkowo pozostają w stosunku pracy, a podstawa wymiaru składek na ubezpieczenia społeczne z tego tytułu nie przekracza kwoty minimalnego wynagrodzenia (art. 82 ust. 9b).</w:t>
      </w:r>
    </w:p>
    <w:p w14:paraId="3E7CF485"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Mając na uwadze, że w odniesieniu do instytucji rocznej podstawy wymiaru składki obowiązują przepisy określające sposób jej ustalenia w oparciu o liczbę miesięcy podlegania ubezpieczeniu w danym roku (art. 81 ust. 2b i ust. 2e), proponowane </w:t>
      </w:r>
      <w:r w:rsidRPr="00C41BBF">
        <w:rPr>
          <w:rFonts w:ascii="Times New Roman" w:eastAsia="Times New Roman" w:hAnsi="Times New Roman" w:cs="Times New Roman"/>
          <w:sz w:val="24"/>
          <w:szCs w:val="24"/>
          <w:lang w:eastAsia="pl-PL"/>
        </w:rPr>
        <w:lastRenderedPageBreak/>
        <w:t>zmiany wprowadzają również zasadę nieuwzględniania w liczbie miesięcy na podstawie, których ustalana jest roczna podstawa wymiaru składki, miesięcy w których ubezpieczony spełniał warunki do zwolnienia z obowiązku opłacenia składki w danym miesiącu.</w:t>
      </w:r>
    </w:p>
    <w:p w14:paraId="5ABD621D" w14:textId="77777777" w:rsidR="004F71A4" w:rsidRPr="00C41BBF" w:rsidRDefault="004F71A4" w:rsidP="00C41BBF">
      <w:pPr>
        <w:spacing w:before="120" w:after="0" w:line="360" w:lineRule="auto"/>
        <w:jc w:val="both"/>
        <w:rPr>
          <w:rFonts w:ascii="Times New Roman" w:eastAsia="Times New Roman" w:hAnsi="Times New Roman" w:cs="Times New Roman"/>
          <w:bCs/>
          <w:color w:val="0070C0"/>
          <w:sz w:val="24"/>
          <w:szCs w:val="24"/>
          <w:lang w:eastAsia="pl-PL"/>
        </w:rPr>
      </w:pPr>
      <w:r w:rsidRPr="00C41BBF">
        <w:rPr>
          <w:rFonts w:ascii="Times New Roman" w:eastAsia="Times New Roman" w:hAnsi="Times New Roman" w:cs="Times New Roman"/>
          <w:bCs/>
          <w:color w:val="0070C0"/>
          <w:sz w:val="24"/>
          <w:szCs w:val="24"/>
          <w:lang w:eastAsia="pl-PL"/>
        </w:rPr>
        <w:t>Zmiana doprecyzowująca w zakresie minimalnej podstawy miesięcznej składki zdrowotnej</w:t>
      </w:r>
    </w:p>
    <w:p w14:paraId="2E6492EF" w14:textId="3C75875E"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Doprecyzowano brzmienie art. 81 ust. 2d poprzez odniesienie się do kwoty minimalnego wynagrodzenia obowiązującego w pierwszym dniu roku składkowego zamiast pierwszego stycznia danego roku.</w:t>
      </w:r>
    </w:p>
    <w:p w14:paraId="63659D35" w14:textId="77777777" w:rsidR="004F71A4" w:rsidRPr="00C41BBF" w:rsidRDefault="004F71A4" w:rsidP="00C41BBF">
      <w:pPr>
        <w:spacing w:before="120" w:after="0" w:line="360" w:lineRule="auto"/>
        <w:jc w:val="both"/>
        <w:rPr>
          <w:rFonts w:ascii="Times New Roman" w:eastAsia="Times New Roman" w:hAnsi="Times New Roman" w:cs="Times New Roman"/>
          <w:bCs/>
          <w:color w:val="0070C0"/>
          <w:sz w:val="24"/>
          <w:szCs w:val="24"/>
          <w:lang w:eastAsia="pl-PL"/>
        </w:rPr>
      </w:pPr>
      <w:r w:rsidRPr="00C41BBF">
        <w:rPr>
          <w:rFonts w:ascii="Times New Roman" w:eastAsia="Times New Roman" w:hAnsi="Times New Roman" w:cs="Times New Roman"/>
          <w:bCs/>
          <w:color w:val="0070C0"/>
          <w:sz w:val="24"/>
          <w:szCs w:val="24"/>
          <w:lang w:eastAsia="pl-PL"/>
        </w:rPr>
        <w:t>Zmiana doprecyzowująca w zakresie rozliczania rocznej składki zdrowotnej przez osoby prowadzące działalność gospodarczą i stosujące opodatkowanie na zasadach ogólnych</w:t>
      </w:r>
    </w:p>
    <w:p w14:paraId="4C4CF7E9" w14:textId="0CBDDB38"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W art. 81 proponuje się</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zmianę brzmienia ust. 2j i 2k, dodanie nowego ust</w:t>
      </w:r>
      <w:r w:rsidR="00A871C8">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2ka oraz zmianę brzmienia ust. 2l. Wprowadzenie tych modyfikacji doprecyzuje obowiązek dokonania dopłaty składki oraz określających sposób jej rozliczenia przez osoby, o których mowa w art. 81 ust. 2, tj. prowadzące działalność gospodarczą i rozliczające podatek dochodowy na zasadach ogólnych. </w:t>
      </w:r>
    </w:p>
    <w:p w14:paraId="3FCF7093"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Wprowadzane rozwiązania są analogiczne do już obowiązujących przepisów, a dotyczących osób prowadzących działalność i stosujących opodatkowanie ryczałtem od przychodów ewidencjonowanych. </w:t>
      </w:r>
    </w:p>
    <w:p w14:paraId="141E8375" w14:textId="5B6668D0"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W przypadku osób prowadzących działalność gospodarczą i stosujących opodatkowanie na zasadach ogólnych, dla których roczną podstawą wymiaru składki jest dochód za dany rok kalendarzowy</w:t>
      </w:r>
      <w:r w:rsidR="00A871C8">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możliwa jest bowiem sytuacja, w której suma opłaconych za poszczególne miesiące składek będzie niższa niż składka obliczona od rocznej podstawy jej wymiaru.</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Wynika to z przyjętej zasady, że składki miesięczne są opłacane za dany miesiąc na podstawie dochodu z miesiąca poprzedzającego miesiąc, za który rozliczana jest składka. W sytuacjach, gdy osoba prowadząca działalność stosująca opodatkowanie na zasadach ogólnych zakończy ją w trakcie roku, wówczas za ostatni miesiąc podlegania ubezpieczeniu opłaci składkę od dochodu </w:t>
      </w:r>
      <w:r w:rsidRPr="00C41BBF">
        <w:rPr>
          <w:rFonts w:ascii="Times New Roman" w:eastAsia="Times New Roman" w:hAnsi="Times New Roman" w:cs="Times New Roman"/>
          <w:sz w:val="24"/>
          <w:szCs w:val="24"/>
          <w:lang w:eastAsia="pl-PL"/>
        </w:rPr>
        <w:lastRenderedPageBreak/>
        <w:t xml:space="preserve">uzyskanego za miesiąc poprzedni. Oznacza to, że od dochodu za ostatni miesiąc podlegania ubezpieczeniu składka na ubezpieczenie zdrowotne nie zostanie naliczona i odprowadzona w ramach rozliczeń miesięcznych. Tym samym, suma opłaconych za poszczególne miesiące składek będzie niższa od składki rocznej ustalanej od całości dochodów za dany rok kalendarzowy. </w:t>
      </w:r>
    </w:p>
    <w:p w14:paraId="71A5E0FD" w14:textId="6A8FAB50"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Dlatego też koniecznym jest dodanie przepisów, wskazujących że w takich przypadkach ubezpieczony po zakończeniu roku, za miesiąc, w którym upływa termin do złożenia zeznania podatkowego, dokonuje dopłaty należnej składki wynikającej z różnicy pomiędzy składkami opłaconymi miesięcznie a składką roczną.</w:t>
      </w:r>
      <w:r w:rsidR="009D1102">
        <w:rPr>
          <w:rFonts w:ascii="Times New Roman" w:eastAsia="Times New Roman" w:hAnsi="Times New Roman" w:cs="Times New Roman"/>
          <w:sz w:val="24"/>
          <w:szCs w:val="24"/>
          <w:lang w:eastAsia="pl-PL"/>
        </w:rPr>
        <w:t xml:space="preserve"> </w:t>
      </w:r>
    </w:p>
    <w:p w14:paraId="03B540AD" w14:textId="6B6908FD"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Ponadto proponuje się doprecyzowanie regulacji zawartej w art. 81 ust. 2i ustawy o świadczeniach zdrowotnych. Uregulowana w tym przepisie instytucja zwrotu różnicy między sumą wpłaconych składek miesięcznych a składką roczną dotyczy ubezpieczonych, o których mowa w art. 81 ust. 2 (przedsiębiorcy rozliczający się w podatku dochodowy</w:t>
      </w:r>
      <w:r w:rsidR="00A871C8">
        <w:rPr>
          <w:rFonts w:ascii="Times New Roman" w:eastAsia="Times New Roman" w:hAnsi="Times New Roman" w:cs="Times New Roman"/>
          <w:sz w:val="24"/>
          <w:szCs w:val="24"/>
          <w:lang w:eastAsia="pl-PL"/>
        </w:rPr>
        <w:t>m</w:t>
      </w:r>
      <w:r w:rsidRPr="00C41BBF">
        <w:rPr>
          <w:rFonts w:ascii="Times New Roman" w:eastAsia="Times New Roman" w:hAnsi="Times New Roman" w:cs="Times New Roman"/>
          <w:sz w:val="24"/>
          <w:szCs w:val="24"/>
          <w:lang w:eastAsia="pl-PL"/>
        </w:rPr>
        <w:t xml:space="preserve"> od osób fizycznych w formie skali podatkowej, podatku liniowego lub od dochodu z kwalifikowanych praw własności intelektualnej) oraz art. 81 ust. 2e (przedsiębiorcy, którzy stosują opodatkowanie w formie ryczałtu od przychodów ewidencjonowanych zgodnie z przepisami ustawy z dnia 20 listopada 1998 r. o zryczałtowanym podatku dochodowym od niektórych przychodów osiąganych przez osoby fizyczne). W odniesieniu do tej pierwszej grupy przedsiębiorców obowiązujące brzmienie art. 81 ust. 2i ustawy o świadczeniach zdrowotnych może nastręczać wątpliwości w zakresie sposobu ustalenia sumy wpłaconych składek miesięcznych (czy sumowaniu podlegają składki wpłacone w skali roku kalendarzowego czy roku składkowego?). </w:t>
      </w:r>
    </w:p>
    <w:p w14:paraId="5B7EDC93" w14:textId="56E78680"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Systemowe odczytanie tego przepisu w kontekście art. 81 ust. 2 </w:t>
      </w:r>
      <w:r w:rsidRPr="00834826">
        <w:rPr>
          <w:rFonts w:ascii="Times New Roman" w:eastAsia="Times New Roman" w:hAnsi="Times New Roman" w:cs="Times New Roman"/>
          <w:i/>
          <w:sz w:val="24"/>
          <w:szCs w:val="24"/>
          <w:lang w:eastAsia="pl-PL"/>
        </w:rPr>
        <w:t>in fine</w:t>
      </w:r>
      <w:r w:rsidRPr="00C41BBF">
        <w:rPr>
          <w:rFonts w:ascii="Times New Roman" w:eastAsia="Times New Roman" w:hAnsi="Times New Roman" w:cs="Times New Roman"/>
          <w:sz w:val="24"/>
          <w:szCs w:val="24"/>
          <w:lang w:eastAsia="pl-PL"/>
        </w:rPr>
        <w:t xml:space="preserve"> ustawy o świadczeniach zdrowotnych prowadzi do jednoznacznego wyniku, że sumowaniu podlegają składki miesięczne należne w danym roku składkowym, bowiem to ten okres (od 1 lutego danego roku do 31 stycznia roku następnego) stanowi czasowe</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 xml:space="preserve">ramy dla ustalania obowiązku składowego dla ubezpieczonych wskazanych w art. 81 ust. 2 ustawy o świadczeniach zdrowotnych. Celem doprecyzowania regulacji art. 81 ust. 2i tej ustawy proponuje się dodanie wyrażenia „roku składowego”. Zmiana ma </w:t>
      </w:r>
      <w:r w:rsidRPr="00C41BBF">
        <w:rPr>
          <w:rFonts w:ascii="Times New Roman" w:eastAsia="Times New Roman" w:hAnsi="Times New Roman" w:cs="Times New Roman"/>
          <w:sz w:val="24"/>
          <w:szCs w:val="24"/>
          <w:lang w:eastAsia="pl-PL"/>
        </w:rPr>
        <w:lastRenderedPageBreak/>
        <w:t>charakter redakcyjny i służy wyartykułowaniu treści normatywnych, które już obecnie wynikają z wykładni systemowej przepisów prawych o składce zdrowotnej należnej od przedsiębiorców rozliczających się w ramach roku składkowego.</w:t>
      </w:r>
      <w:r w:rsidR="009D1102">
        <w:rPr>
          <w:rFonts w:ascii="Times New Roman" w:eastAsia="Times New Roman" w:hAnsi="Times New Roman" w:cs="Times New Roman"/>
          <w:sz w:val="24"/>
          <w:szCs w:val="24"/>
          <w:lang w:eastAsia="pl-PL"/>
        </w:rPr>
        <w:t xml:space="preserve"> </w:t>
      </w:r>
    </w:p>
    <w:p w14:paraId="2CE0E84B" w14:textId="6AC53090"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Ponadto, celem doprecyzowania sposobu rozliczania zwrotu kwoty nadpłaconej w składce zdrowotnej (w rozliczeniu rocznym)</w:t>
      </w:r>
      <w:r w:rsidR="00A871C8">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proponuje się zmianę brzmienia art. 81 ust. 2m i wprowadzenie ust. 2qa.</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Zakład Ubezpieczeń Społecznych będzie dokonywał zwrotu ww. kwoty, przy łącznym spełnieniu dwóch warunków:</w:t>
      </w:r>
    </w:p>
    <w:p w14:paraId="4B3C4682"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1) braku zaległości na koncie płatnika składek z tytułu składek pobieranych przez ZUS lub zaległości z tytułu nienależnie pobranych świadczeń z ubezpieczeń społecznych, do zwrotu których został zobowiązany płatnik składek, </w:t>
      </w:r>
    </w:p>
    <w:p w14:paraId="6269CB15"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2) złożenia wniosku o zwrot najpóźniej w terminie, o którym mowa w ust. 2n. </w:t>
      </w:r>
    </w:p>
    <w:p w14:paraId="0FA0C703" w14:textId="77777777"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W przypadku wystąpienia zaległości z tytułu składek lub nienależnie pobranych świadczeń z ubezpieczeń społecznych, do zwrotu których został zobowiązany płatnik składek, kwota zwrotu będzie podlegała zaliczeniu na poczet tych zaległości.</w:t>
      </w:r>
    </w:p>
    <w:p w14:paraId="25FF8486" w14:textId="24AC1034"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Natomiast w przypadku upływu terminu na złożenie wniosku o zwrot, przy jednoczesnym braku zaległości z tytułu składek lub nienależnie pobranych świadczeń z ubezpieczeń społecznych, do zwrotu których został zobowiązany płatnik składek, kwota zwrotu będzie podlegała rozliczeniu na koncie płatnika składek. Do rozliczonej na koncie płatnika kwoty zwrotu zastosowanie znajdzie odpowiednio regulacja</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art. 24 ustawy z dnia 13 października 1998 r. o systemie ubezpieczeń społecznych.</w:t>
      </w:r>
    </w:p>
    <w:p w14:paraId="568BD8A1" w14:textId="77F66331"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Ponadto należy wskazać, że Zakład Ubezpieczeń Społecznych będzie sporządzał z urzędu rozliczenie roczne, na zasadach wynikających z przepisów ustawy o systemie ubezpieczeń społecznych, w przypadku zgonu płatnika lub nieprzekazania rozliczenia w terminie. </w:t>
      </w:r>
    </w:p>
    <w:p w14:paraId="4DD1FEBB" w14:textId="15FA29BB"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Zgodnie z art. 81 ustawy o świadczeniach opieki zdrowotnej finansowanych ze środków publicznych, jeśli suma składek na ubezpieczenie zdrowotne płatnika składek (przedsiębiorcy) wpłaconych za każdy miesiąc okaże się być wyższa niż roczna, ustalona od podstawy rocznej, płatnikowi przysługuje zwrot, który jest różnicą miedzy </w:t>
      </w:r>
      <w:r w:rsidRPr="00C41BBF">
        <w:rPr>
          <w:rFonts w:ascii="Times New Roman" w:eastAsia="Times New Roman" w:hAnsi="Times New Roman" w:cs="Times New Roman"/>
          <w:sz w:val="24"/>
          <w:szCs w:val="24"/>
          <w:lang w:eastAsia="pl-PL"/>
        </w:rPr>
        <w:lastRenderedPageBreak/>
        <w:t>sumą składek miesięcznych a składką ustaloną od podstawy rocznej. W celu uzyskania zwrotu płatnik musi złożyć wniosek w określonym terminie. Jeśli na koncie płatnika występują zaległości, a płatnik złoży wniosek w terminie, po upływie terminu albo nie złoży wniosku w ogóle</w:t>
      </w:r>
      <w:r w:rsidR="009D1102">
        <w:rPr>
          <w:rFonts w:ascii="Times New Roman" w:eastAsia="Times New Roman" w:hAnsi="Times New Roman" w:cs="Times New Roman"/>
          <w:sz w:val="24"/>
          <w:szCs w:val="24"/>
          <w:lang w:eastAsia="pl-PL"/>
        </w:rPr>
        <w:t xml:space="preserve"> </w:t>
      </w:r>
      <w:r w:rsidRPr="00C41BBF">
        <w:rPr>
          <w:rFonts w:ascii="Times New Roman" w:eastAsia="Times New Roman" w:hAnsi="Times New Roman" w:cs="Times New Roman"/>
          <w:sz w:val="24"/>
          <w:szCs w:val="24"/>
          <w:lang w:eastAsia="pl-PL"/>
        </w:rPr>
        <w:t>zastosowanie znajduje art. 81 ust. 2q zdanie drugie. Oznacza to, że kwota zwrotu podlega zaliczeniu na poczet zaległości z tytułu składek lub nienależnie pobranych świadczeń z ubezpieczeń społecznych, do zwrotu których został zobowiązany płatnik składek</w:t>
      </w:r>
      <w:r w:rsidR="00874369" w:rsidRPr="00C41BBF">
        <w:rPr>
          <w:rFonts w:ascii="Times New Roman" w:eastAsia="Times New Roman" w:hAnsi="Times New Roman" w:cs="Times New Roman"/>
          <w:sz w:val="24"/>
          <w:szCs w:val="24"/>
          <w:lang w:eastAsia="pl-PL"/>
        </w:rPr>
        <w:t>.</w:t>
      </w:r>
    </w:p>
    <w:p w14:paraId="0C263570" w14:textId="77777777" w:rsidR="004F71A4" w:rsidRPr="00C41BBF" w:rsidRDefault="004F71A4" w:rsidP="00D332AF">
      <w:pPr>
        <w:keepNext/>
        <w:keepLines/>
        <w:spacing w:before="120" w:after="0" w:line="360" w:lineRule="auto"/>
        <w:jc w:val="both"/>
        <w:rPr>
          <w:rFonts w:ascii="Times New Roman" w:eastAsia="Times New Roman" w:hAnsi="Times New Roman" w:cs="Times New Roman"/>
          <w:bCs/>
          <w:color w:val="0070C0"/>
          <w:sz w:val="24"/>
          <w:szCs w:val="24"/>
          <w:lang w:eastAsia="pl-PL"/>
        </w:rPr>
      </w:pPr>
      <w:r w:rsidRPr="00C41BBF">
        <w:rPr>
          <w:rFonts w:ascii="Times New Roman" w:eastAsia="Times New Roman" w:hAnsi="Times New Roman" w:cs="Times New Roman"/>
          <w:bCs/>
          <w:color w:val="0070C0"/>
          <w:sz w:val="24"/>
          <w:szCs w:val="24"/>
          <w:lang w:eastAsia="pl-PL"/>
        </w:rPr>
        <w:t>Zmiana w zakresie terminu składania korekty dokumentów rozliczeniowych</w:t>
      </w:r>
    </w:p>
    <w:p w14:paraId="30DCB393" w14:textId="22D42C9B"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Zmiana brzmienia ust. 2y w art. 81 dotyczy terminu w jakim płatnik może składać korektę dokumentów rozliczeniowych. Przepis ten reguluje termin korygowania podstaw wymiaru i wysokości składki na ubezpieczenie zdrowotne w miesięcznych dokumentach rozliczeniowych. W obecnym brzmieniu przepisu wskazuje się, że korekty te mogą być przekazywane nie później niż do końca drugiego miesiąca</w:t>
      </w:r>
      <w:r w:rsidR="00D332AF">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licząc od upływu terminu na złożenie zeznania podatkowego. W rezultacie zwrot nadpłaty składek na ubezpieczenie zdrowotne, który wynika z rozliczenia rocznego, mógłby być zrealizowany po upływie terminu na złożenie korekt dokumentów rozliczeniowych. </w:t>
      </w:r>
    </w:p>
    <w:p w14:paraId="7BEE22D8" w14:textId="424859DE" w:rsidR="004F71A4" w:rsidRPr="00C41BBF" w:rsidRDefault="004F71A4" w:rsidP="00C41BBF">
      <w:pPr>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Proponowana zmiana umożliwia obsługę wniosku o zwrot nadpłaty bezpośrednio po jego złożeniu i przyspiesza zwrot środków przedsiębiorcy. Z tego powodu proponuje się zmianę brzmienia art. 81 ust. 2y, poprzez wskazanie, że korekta podstawy wymiaru składek i należnej składki na ubezpieczenie zdrowotne za poszczególne miesiące danego roku kalendarzowego może być składana do ZUS do dnia przekazania wniosku o zwrot nadpłaty składki, a jedynie w przypadku jego nieprzekazania nie później niż do końca drugiego miesiąca, licząc od upływu terminu do złożenia zeznania podatkowego. </w:t>
      </w:r>
    </w:p>
    <w:p w14:paraId="79BBA377"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w zakresie obniżenia podstawy wymiaru składki zdrowotnej dla osób współpracujących z osobami prowadzącymi działalność pozarolniczą</w:t>
      </w:r>
    </w:p>
    <w:p w14:paraId="2E7AF4C2"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Przedmiotowa zmiana zakłada obniżenie podstawy wymiaru składki zdrowotnej dla osób współpracujących z osobami prowadzącymi działalność pozarolniczą do 75% kwoty przeciętnego miesięcznego wynagrodzenia w sektorze przedsiębiorstw w </w:t>
      </w:r>
      <w:r w:rsidRPr="00C41BBF">
        <w:rPr>
          <w:rFonts w:ascii="Times New Roman" w:eastAsiaTheme="minorEastAsia" w:hAnsi="Times New Roman" w:cs="Times New Roman"/>
          <w:sz w:val="24"/>
          <w:szCs w:val="24"/>
          <w:lang w:eastAsia="pl-PL"/>
        </w:rPr>
        <w:lastRenderedPageBreak/>
        <w:t>czwartym kwartale roku poprzedniego, włącznie z wypłatami z zysku, ogłaszanego przez Prezesa Głównego Urzędu Statystycznego w Dzienniku Urzędowym Rzeczypospolitej Polskiej „Monitor Polski”.</w:t>
      </w:r>
    </w:p>
    <w:p w14:paraId="3E0C78F0" w14:textId="17C9FFA0"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Powyższa zmiana ma na celu zrównanie wysokości obciążenia składką zdrowotną osób współpracujących z osobami prowadzącymi działalność pozarolniczą osiągającymi najniższe przychody przy jednoczesnym zachowaniu uproszczonego mechanizmu rozliczeń. Obecnie</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dla osób współpracujących podstawa wymiaru składki wynosi zawsze 100% przeciętnego miesięcznego wynagrodzenia, o którym mowa powyżej, natomiast u osoby prowadzącej działalność gospodarczą uzależniona jest od osiąganego dochodu (przychodu). Obniżenie podstawy zniweluje różnicę w oskładkowaniu ww. osób w miesiącach</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w których osoby prowadzące pozarolniczą działalność gospodarczą osiągają niższe dochody, a jednocześnie pozwoli uniknąć rozbudowanego mechanizmu rozliczenia i poboru składki. Szacuje się, że obniżenie podstawy wymiaru składki spowoduje obniżenie przychodów Narodowego Funduszu Zdrowia o kwotę ok. 63 mln zł. Przewiduje się,</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iż nowe rozwiązanie wejdzie w życie z dniem 1 lipca 2022 r. By uniknąć wstecznego korygowania wysokości pobranej składki</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przewiduje się w przepisie przejściowym określić, iż nowa podstawa wymiaru składki dotyczyć będzie okresu od 1 lipca do 31 grudnia 2022 r.</w:t>
      </w:r>
    </w:p>
    <w:p w14:paraId="7F886D72"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w zakresie zasad opłacania składki zdrowotnej przez twórców i artystów (podstawa składki, zbieg tytułów)</w:t>
      </w:r>
    </w:p>
    <w:p w14:paraId="2FDB9B96" w14:textId="02E2D61E"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Projekt dookreśla również zasady opłacania składki zdrowotnej przez twórców i artystów. W obowiązującym stanie prawnym ta grupa społeczna podlega regulacji art. 81 ust. 2za ustawy o świadczeniach opieki zdrowotnej, w myśl którego podstawę wymiaru składki na ubezpieczenie zdrowotne pozostałych osób prowadzących działalność pozarolniczą wymienionych w art. 8 ust. 6 ustawy z dnia 13 października 1998 r. o systemie ubezpieczeń społecznych, innych niż wskazane w art. 81 ust. 2, 2e i 2z ustawy o świadczeniach zdrowotnych, osób współpracujących z osobami prowadzącymi działalność pozarolniczą oraz osobami, o których mowa w art. 18 ust. 1 ustawy z dnia 6 marca 2018 r. </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Prawo przedsiębiorców, stanowi kwota przeciętnego miesięcznego wynagrodzenia w sektorze przedsiębiorstw w czwartym kwartale roku poprzedniego, włącznie z wypłatami z zysku, ogłaszanego przez Prezesa Głównego </w:t>
      </w:r>
      <w:r w:rsidRPr="00C41BBF">
        <w:rPr>
          <w:rFonts w:ascii="Times New Roman" w:eastAsiaTheme="minorEastAsia" w:hAnsi="Times New Roman" w:cs="Times New Roman"/>
          <w:sz w:val="24"/>
          <w:szCs w:val="24"/>
          <w:lang w:eastAsia="pl-PL"/>
        </w:rPr>
        <w:lastRenderedPageBreak/>
        <w:t>Urzędu Statystycznego w Dzienniku Urzędowym Rzeczypospolitej Polskiej „Monitor Polski”.</w:t>
      </w:r>
    </w:p>
    <w:p w14:paraId="16EC95FF" w14:textId="7555973F"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Proponowany w art. 81 ustawy o świadczeniach opieki zdrowotnej ust. 2zaa jednoznacznie określi, że twórcy i artyści, którzy oprócz działalności twórczej i artystycznej prowadzą dodatkową działalność gospodarczą (inną niż twórcza lub artystyczna), podlegać będą zasadom ogólnym wyznaczającym sposób określenia wysokości składki zdrowotnej (tj. art. 81 ust. 2 i 2e), przy czym</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grupa ta zostanie objęta także sumowaniem otrzymywanych dochodów na cele ustalenia wysokości składki zdrowotnej, tj. zostaną objęte regulacją art. 82 ust. 2a i 2b tej ustawy.</w:t>
      </w:r>
    </w:p>
    <w:p w14:paraId="0D431C93" w14:textId="1E2CF383"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Mając na uwadze, iż dla celów rozliczenia podatku dochodowego, twórca lub artysta, który oprócz działalności twórczej lub artystycznej prowadzi dodatkową działalność gospodarczą, nie rozróżnia</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z jakiej formy prowadzonej działalności pochodzi konkretny przychód/dochód, zasadnym jest</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by był on obciążony tylko jedną składką zdrowotną od sumy uzyskiwanych dochodów. W tej sytuacji przychód/dochód z prowadzonej działalności artystycznej będzie się wliczał również do podstawy wymiaru składki zdrowotnej określonej przepisami art. 81 ust. 2 lub 81 ust. 2e ustawy z o świadczeniach zdrowotnych i podlegał sumowaniu z pozostałymi dochodami osiągniętymi w danej formie podatkowej zgodnie z art. 82 ust. 2a i 2b tej ustawy. Natomiast twórca lub artysta, który prowadzi wyłącznie działalność twórczą lub artystyczną (i nie prowadzi oprócz niej innej działalności gospodarczej)</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będzie nadal podlegał obowiązkowi odprowadzenia składki zdrowotnej od zryczałtowanej podstawy, odpowiadającej przeciętnemu miesięcznemu wynagrodzeniu w sektorze przedsiębiorstw, o którym mowa powyżej.</w:t>
      </w:r>
    </w:p>
    <w:p w14:paraId="62ABEB13"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w zakresie rozliczania składki rocznej</w:t>
      </w:r>
    </w:p>
    <w:p w14:paraId="7E871A68" w14:textId="77ECA570"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Zmiana brzmienia art. 81 ust. 2zb polega na zmianie miesiąca, do którego Zakład Ubezpieczeń Społecznych przypisuje różnicę powstałą z rozliczenia rocznego w przypadku stwierdzenia rozbieżności po upływie terminu</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do którego płatnik składek ma obowiązek korygować podstawę </w:t>
      </w:r>
      <w:r w:rsidR="00874369" w:rsidRPr="00C41BBF">
        <w:rPr>
          <w:rFonts w:ascii="Times New Roman" w:eastAsiaTheme="minorEastAsia" w:hAnsi="Times New Roman" w:cs="Times New Roman"/>
          <w:sz w:val="24"/>
          <w:szCs w:val="24"/>
          <w:lang w:eastAsia="pl-PL"/>
        </w:rPr>
        <w:t xml:space="preserve">wymiaru lub składkę zdrowotną. </w:t>
      </w:r>
    </w:p>
    <w:p w14:paraId="200D116D" w14:textId="6CAC7848"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color w:val="0070C0"/>
          <w:sz w:val="24"/>
          <w:szCs w:val="24"/>
          <w:lang w:eastAsia="pl-PL"/>
        </w:rPr>
      </w:pPr>
      <w:r w:rsidRPr="00C41BBF">
        <w:rPr>
          <w:rFonts w:ascii="Times New Roman" w:eastAsiaTheme="minorEastAsia" w:hAnsi="Times New Roman" w:cs="Times New Roman"/>
          <w:iCs/>
          <w:color w:val="0070C0"/>
          <w:sz w:val="24"/>
          <w:szCs w:val="24"/>
          <w:lang w:eastAsia="pl-PL"/>
        </w:rPr>
        <w:t>Dodanie przepisów dotyczących doręczeń elektronicznych na wzór rozwiązań funk</w:t>
      </w:r>
      <w:r w:rsidRPr="00C41BBF">
        <w:rPr>
          <w:rFonts w:ascii="Times New Roman" w:eastAsiaTheme="minorEastAsia" w:hAnsi="Times New Roman" w:cs="Times New Roman"/>
          <w:iCs/>
          <w:color w:val="0070C0"/>
          <w:sz w:val="24"/>
          <w:szCs w:val="24"/>
          <w:lang w:eastAsia="pl-PL"/>
        </w:rPr>
        <w:lastRenderedPageBreak/>
        <w:t xml:space="preserve">cjonujących już w ustawie o szczególnych rozwiązaniach związanych z zapobieganiem, przeciwdziałaniem i zwalczaniem COVID-19, innych chorób zakaźnych oraz wywołanych nimi sytuacji kryzysowych </w:t>
      </w:r>
    </w:p>
    <w:p w14:paraId="46A3DBD4" w14:textId="43F3BDF5"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 xml:space="preserve">Dodawane do art. 81 ustawy o świadczeniach </w:t>
      </w:r>
      <w:bookmarkStart w:id="2" w:name="_Hlk100304224"/>
      <w:r w:rsidRPr="00C41BBF">
        <w:rPr>
          <w:rFonts w:ascii="Times New Roman" w:eastAsiaTheme="minorEastAsia" w:hAnsi="Times New Roman" w:cs="Times New Roman"/>
          <w:iCs/>
          <w:sz w:val="24"/>
          <w:szCs w:val="24"/>
          <w:lang w:eastAsia="pl-PL"/>
        </w:rPr>
        <w:t>ust. 2va</w:t>
      </w:r>
      <w:r w:rsidR="00D332AF">
        <w:rPr>
          <w:rFonts w:ascii="Times New Roman" w:eastAsiaTheme="minorEastAsia" w:hAnsi="Times New Roman" w:cs="Times New Roman"/>
          <w:sz w:val="24"/>
          <w:szCs w:val="24"/>
        </w:rPr>
        <w:t>–</w:t>
      </w:r>
      <w:r w:rsidRPr="00C41BBF">
        <w:rPr>
          <w:rFonts w:ascii="Times New Roman" w:eastAsiaTheme="minorEastAsia" w:hAnsi="Times New Roman" w:cs="Times New Roman"/>
          <w:iCs/>
          <w:sz w:val="24"/>
          <w:szCs w:val="24"/>
          <w:lang w:eastAsia="pl-PL"/>
        </w:rPr>
        <w:t>2vc</w:t>
      </w:r>
      <w:bookmarkEnd w:id="2"/>
      <w:r w:rsidR="009D1102">
        <w:rPr>
          <w:rFonts w:ascii="Times New Roman" w:eastAsiaTheme="minorEastAsia" w:hAnsi="Times New Roman" w:cs="Times New Roman"/>
          <w:iCs/>
          <w:sz w:val="24"/>
          <w:szCs w:val="24"/>
          <w:lang w:eastAsia="pl-PL"/>
        </w:rPr>
        <w:t xml:space="preserve"> </w:t>
      </w:r>
      <w:r w:rsidRPr="00C41BBF">
        <w:rPr>
          <w:rFonts w:ascii="Times New Roman" w:eastAsiaTheme="minorEastAsia" w:hAnsi="Times New Roman" w:cs="Times New Roman"/>
          <w:iCs/>
          <w:sz w:val="24"/>
          <w:szCs w:val="24"/>
          <w:lang w:eastAsia="pl-PL"/>
        </w:rPr>
        <w:t>zagwarantują</w:t>
      </w:r>
      <w:r w:rsidR="009D1102">
        <w:rPr>
          <w:rFonts w:ascii="Times New Roman" w:eastAsiaTheme="minorEastAsia" w:hAnsi="Times New Roman" w:cs="Times New Roman"/>
          <w:iCs/>
          <w:sz w:val="24"/>
          <w:szCs w:val="24"/>
          <w:lang w:eastAsia="pl-PL"/>
        </w:rPr>
        <w:t xml:space="preserve"> </w:t>
      </w:r>
      <w:r w:rsidRPr="00C41BBF">
        <w:rPr>
          <w:rFonts w:ascii="Times New Roman" w:eastAsiaTheme="minorEastAsia" w:hAnsi="Times New Roman" w:cs="Times New Roman"/>
          <w:iCs/>
          <w:sz w:val="24"/>
          <w:szCs w:val="24"/>
          <w:lang w:eastAsia="pl-PL"/>
        </w:rPr>
        <w:t>możliwość ułatwionego zapoznania się osobie, której przysługuje zwrot w składce zdrowotnej (na podstawie art. 81 ust. 2i) z decyzjami, postanowieniami, zawiadomieniami i innymi dokumentami. Informacja o ich umieszczeniu na profilu informacyjnym będzie mogła być przesyłana przez ZUS mailem lub SMS-em. Przyjęcie tego rozwiązania zapewni możliwość szybszego informowania płatników składek o działaniach podejmowanych na ich kontach w zakresie rozliczenia składek i nadpłaty oraz niedopłaty z rozliczenia rocznego.</w:t>
      </w:r>
    </w:p>
    <w:p w14:paraId="173526F7"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w zakresie katalogu rodzajów działalności gospodarczej, które podlegają składce zdrowotnej w przypadku zbiegu tytułów</w:t>
      </w:r>
    </w:p>
    <w:p w14:paraId="6D248820" w14:textId="15CBE338"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Proponowane zmiany w art. 82 ust. 4 i 5 służą</w:t>
      </w:r>
      <w:r w:rsidR="009D1102">
        <w:rPr>
          <w:rFonts w:ascii="Times New Roman" w:eastAsiaTheme="minorEastAsia" w:hAnsi="Times New Roman" w:cs="Times New Roman"/>
          <w:sz w:val="24"/>
          <w:szCs w:val="24"/>
          <w:lang w:eastAsia="pl-PL"/>
        </w:rPr>
        <w:t xml:space="preserve"> </w:t>
      </w:r>
      <w:r w:rsidRPr="00C41BBF">
        <w:rPr>
          <w:rFonts w:ascii="Times New Roman" w:eastAsiaTheme="minorEastAsia" w:hAnsi="Times New Roman" w:cs="Times New Roman"/>
          <w:sz w:val="24"/>
          <w:szCs w:val="24"/>
          <w:lang w:eastAsia="pl-PL"/>
        </w:rPr>
        <w:t>dookreśleniu zasad podlegania pod ubezpieczenie zdrowotne osób prowadzących pozarolniczą działalność gospodarczą, osiągających przychody, które dla celów podatkowych nie są traktowane jako przychody z działalności gospodarczej – tj. osób</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u których składka odprowadzana jest od zryczałtowanej kwoty przeciętnego miesięcznego wynagrodzenia w sektorze przedsiębiorstw w czwartym kwartale roku poprzedniego, włącznie z wypłatami z zysku. </w:t>
      </w:r>
    </w:p>
    <w:p w14:paraId="2D872EE2" w14:textId="0EE5F1C3"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Z katalogu rodzajów działalności, które podlegają oskładkowaniu od zryczałtowanej kwoty, proponuje się wyłączyć działalność gospodarczą prowadzoną w formie spółki cywilnej oraz działalność gospodarczą prowadzon</w:t>
      </w:r>
      <w:r w:rsidR="00D332AF">
        <w:rPr>
          <w:rFonts w:ascii="Times New Roman" w:eastAsiaTheme="minorEastAsia" w:hAnsi="Times New Roman" w:cs="Times New Roman"/>
          <w:sz w:val="24"/>
          <w:szCs w:val="24"/>
          <w:lang w:eastAsia="pl-PL"/>
        </w:rPr>
        <w:t>ą</w:t>
      </w:r>
      <w:r w:rsidRPr="00C41BBF">
        <w:rPr>
          <w:rFonts w:ascii="Times New Roman" w:eastAsiaTheme="minorEastAsia" w:hAnsi="Times New Roman" w:cs="Times New Roman"/>
          <w:sz w:val="24"/>
          <w:szCs w:val="24"/>
          <w:lang w:eastAsia="pl-PL"/>
        </w:rPr>
        <w:t xml:space="preserve"> w formie spółki partnerskiej, mając na uwadze, że przychód osiągany z tej działalności dla celów podatkowych traktowany jest jako przychód z działalności gospodarczej, zatem przepisy te pozostają martwe, gdyż osoby podlegają oskładkowaniu zgodnie z zasadami z art. 82 ust. 2</w:t>
      </w:r>
      <w:r w:rsidR="00D332AF">
        <w:rPr>
          <w:rFonts w:ascii="Times New Roman" w:eastAsiaTheme="minorEastAsia" w:hAnsi="Times New Roman" w:cs="Times New Roman"/>
          <w:sz w:val="24"/>
          <w:szCs w:val="24"/>
        </w:rPr>
        <w:t>–</w:t>
      </w:r>
      <w:r w:rsidRPr="00C41BBF">
        <w:rPr>
          <w:rFonts w:ascii="Times New Roman" w:eastAsiaTheme="minorEastAsia" w:hAnsi="Times New Roman" w:cs="Times New Roman"/>
          <w:sz w:val="24"/>
          <w:szCs w:val="24"/>
          <w:lang w:eastAsia="pl-PL"/>
        </w:rPr>
        <w:t>2b – tzn. ich dochód albo przychód podlega sumowaniu w ramach danej formy opodatkowania. Pozostawia się rodzaje działalności w formie spółek, w których osiąga się przychody, które dla celów podatkowych nie są traktowane jako przychody z działalności gospodarczej (jednoosobową spółkę z o.o., spółkę komandytow</w:t>
      </w:r>
      <w:r w:rsidR="00D332AF">
        <w:rPr>
          <w:rFonts w:ascii="Times New Roman" w:eastAsiaTheme="minorEastAsia" w:hAnsi="Times New Roman" w:cs="Times New Roman"/>
          <w:sz w:val="24"/>
          <w:szCs w:val="24"/>
          <w:lang w:eastAsia="pl-PL"/>
        </w:rPr>
        <w:t>ą</w:t>
      </w:r>
      <w:r w:rsidRPr="00C41BBF">
        <w:rPr>
          <w:rFonts w:ascii="Times New Roman" w:eastAsiaTheme="minorEastAsia" w:hAnsi="Times New Roman" w:cs="Times New Roman"/>
          <w:sz w:val="24"/>
          <w:szCs w:val="24"/>
          <w:lang w:eastAsia="pl-PL"/>
        </w:rPr>
        <w:t xml:space="preserve"> oraz spółkę </w:t>
      </w:r>
      <w:r w:rsidRPr="00C41BBF">
        <w:rPr>
          <w:rFonts w:ascii="Times New Roman" w:eastAsiaTheme="minorEastAsia" w:hAnsi="Times New Roman" w:cs="Times New Roman"/>
          <w:sz w:val="24"/>
          <w:szCs w:val="24"/>
          <w:lang w:eastAsia="pl-PL"/>
        </w:rPr>
        <w:lastRenderedPageBreak/>
        <w:t xml:space="preserve">jawną będącą podatnikiem podatku dochodowego od osób prawnych). Ponadto dodaje się nowe rodzaje działalności </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działalność gospodarczą prowadzoną w formie spółki komandytowo</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akcyjnej przez komplementariusza, działalność gospodarczą prowadzoną w formie prostej spółki akcyjnej przez akcjonariusza wnoszącego do spółki wkład, którego przedmiotem jest świadczenie pracy lub usług oraz wykonywanie działalności twórczej lub artystycznej przez osoby, o których mowa w art. 81 ust. 2za. Działalność w formie ww. spółek zbliżona jest bowiem charakterem oraz obowiązkami ciążącymi na komplementariuszu albo akcjonariuszu do działalności prowadzonej w formie spółki komandytowej. Wspólnik ten podobnie podlega także ubezpieczeniom społecznym.</w:t>
      </w:r>
    </w:p>
    <w:p w14:paraId="361E664D" w14:textId="26788E26"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Dodanie powyższych rodzajów działalności do ustawy o świadczeniach zdrowotnych zapewni pełniejszą realizacj</w:t>
      </w:r>
      <w:r w:rsidR="00D332AF">
        <w:rPr>
          <w:rFonts w:ascii="Times New Roman" w:eastAsiaTheme="minorEastAsia" w:hAnsi="Times New Roman" w:cs="Times New Roman"/>
          <w:sz w:val="24"/>
          <w:szCs w:val="24"/>
          <w:lang w:eastAsia="pl-PL"/>
        </w:rPr>
        <w:t>ę</w:t>
      </w:r>
      <w:r w:rsidRPr="00C41BBF">
        <w:rPr>
          <w:rFonts w:ascii="Times New Roman" w:eastAsiaTheme="minorEastAsia" w:hAnsi="Times New Roman" w:cs="Times New Roman"/>
          <w:sz w:val="24"/>
          <w:szCs w:val="24"/>
          <w:lang w:eastAsia="pl-PL"/>
        </w:rPr>
        <w:t xml:space="preserve"> zasady solidaryzmu społecznego (składka proporcjonalna od osiąganego dochodu za prawo do świadczeń) i uszczelni system ubezpieczenia zdrowotnego przed obserwowanymi zmianami w formach prowadzenia działalności nakierowanymi na uniknięcie oskładkowania. </w:t>
      </w:r>
    </w:p>
    <w:p w14:paraId="16A49B40" w14:textId="21980660"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eastAsiaTheme="minorEastAsia" w:hAnsi="Times New Roman" w:cs="Times New Roman"/>
          <w:sz w:val="24"/>
          <w:szCs w:val="24"/>
          <w:lang w:eastAsia="pl-PL"/>
        </w:rPr>
        <w:t xml:space="preserve">Analogiczne rozwiązanie planuje się wprowadzić w ustawie o systemie ubezpieczeń społecznych obejmując ubezpieczeniem społecznym komplementariusza w spółce komandytowo-akcyjnej celem jednolitego traktowania podmiotów. </w:t>
      </w:r>
    </w:p>
    <w:p w14:paraId="61A87446" w14:textId="79F20624" w:rsidR="004002BC" w:rsidRPr="00C41BBF" w:rsidRDefault="004002BC" w:rsidP="00C41BBF">
      <w:pPr>
        <w:spacing w:line="360" w:lineRule="auto"/>
        <w:jc w:val="both"/>
        <w:rPr>
          <w:rFonts w:ascii="Times New Roman" w:eastAsia="Times New Roman" w:hAnsi="Times New Roman" w:cs="Times New Roman"/>
          <w:sz w:val="24"/>
          <w:szCs w:val="24"/>
        </w:rPr>
      </w:pPr>
      <w:r w:rsidRPr="00C41BBF">
        <w:rPr>
          <w:rFonts w:ascii="Times New Roman" w:eastAsia="Times New Roman" w:hAnsi="Times New Roman" w:cs="Times New Roman"/>
          <w:sz w:val="24"/>
          <w:szCs w:val="24"/>
        </w:rPr>
        <w:t xml:space="preserve">Jednocześnie należy podkreślić, iż podstawową regułą ubezpieczenia zdrowotnego jest opłacanie składki z każdego tytułu podlegania ubezpieczeniu zdrowotnemu a w ramach tytułu od każdego osiąganego przychodu. Z tego też powodu, działalność prowadzona w formie prostej spółki akcyjnej przez wspólnika wnoszącego do spółki wkład, którego przedmiotem jest świadczenie pracy lub usług, czy to przez komplementariusza powinna podlegać uwzględnieniu w przypadku zbiegu z innymi rodzajami prowadzenia działalności pozarolniczej, o których mowa katalogu zawartym w art. 82 ust. 5. </w:t>
      </w:r>
    </w:p>
    <w:p w14:paraId="16818862" w14:textId="3BEF07D0" w:rsidR="004002BC" w:rsidRPr="00C41BBF" w:rsidRDefault="004002BC" w:rsidP="00C41BBF">
      <w:pPr>
        <w:spacing w:before="120" w:after="120" w:line="360" w:lineRule="auto"/>
        <w:jc w:val="both"/>
        <w:rPr>
          <w:rFonts w:ascii="Times New Roman" w:eastAsia="Times New Roman" w:hAnsi="Times New Roman" w:cs="Times New Roman"/>
          <w:sz w:val="24"/>
          <w:szCs w:val="24"/>
        </w:rPr>
      </w:pPr>
      <w:r w:rsidRPr="00C41BBF">
        <w:rPr>
          <w:rFonts w:ascii="Times New Roman" w:eastAsia="Times New Roman" w:hAnsi="Times New Roman" w:cs="Times New Roman"/>
          <w:sz w:val="24"/>
          <w:szCs w:val="24"/>
        </w:rPr>
        <w:t>Dodawane przepisy nie wprowadzają natomiast podwójnego oskładkowania składką zdrowotną pracy lub usług wspólnika prostej spółki akcyjnej objętej przedmiotem umowy o prace lub umowy cywilnoprawnej</w:t>
      </w:r>
      <w:r w:rsidR="009D1102">
        <w:rPr>
          <w:rFonts w:ascii="Times New Roman" w:eastAsia="Times New Roman" w:hAnsi="Times New Roman" w:cs="Times New Roman"/>
          <w:sz w:val="24"/>
          <w:szCs w:val="24"/>
        </w:rPr>
        <w:t xml:space="preserve"> </w:t>
      </w:r>
      <w:r w:rsidRPr="00C41BBF">
        <w:rPr>
          <w:rFonts w:ascii="Times New Roman" w:eastAsia="Times New Roman" w:hAnsi="Times New Roman" w:cs="Times New Roman"/>
          <w:sz w:val="24"/>
          <w:szCs w:val="24"/>
        </w:rPr>
        <w:t>o świadczenie usług.</w:t>
      </w:r>
    </w:p>
    <w:p w14:paraId="17B7041D" w14:textId="79A53741" w:rsidR="004002BC" w:rsidRPr="00C41BBF" w:rsidRDefault="004002BC" w:rsidP="00C41BBF">
      <w:pPr>
        <w:spacing w:before="120" w:after="120" w:line="360" w:lineRule="auto"/>
        <w:jc w:val="both"/>
        <w:rPr>
          <w:rFonts w:ascii="Times New Roman" w:eastAsiaTheme="minorEastAsia" w:hAnsi="Times New Roman" w:cs="Times New Roman"/>
          <w:sz w:val="24"/>
          <w:szCs w:val="24"/>
          <w:lang w:eastAsia="pl-PL"/>
        </w:rPr>
      </w:pPr>
      <w:r w:rsidRPr="00C41BBF">
        <w:rPr>
          <w:rFonts w:ascii="Times New Roman" w:eastAsia="Times New Roman" w:hAnsi="Times New Roman" w:cs="Times New Roman"/>
          <w:sz w:val="24"/>
          <w:szCs w:val="24"/>
        </w:rPr>
        <w:lastRenderedPageBreak/>
        <w:t>Osoba prowadząca pozarolniczą działalność będąca akcjonariuszem prostej spółki akcyjnej</w:t>
      </w:r>
      <w:r w:rsidR="009D1102">
        <w:rPr>
          <w:rFonts w:ascii="Times New Roman" w:eastAsia="Times New Roman" w:hAnsi="Times New Roman" w:cs="Times New Roman"/>
          <w:sz w:val="24"/>
          <w:szCs w:val="24"/>
        </w:rPr>
        <w:t xml:space="preserve"> </w:t>
      </w:r>
      <w:r w:rsidRPr="00C41BBF">
        <w:rPr>
          <w:rFonts w:ascii="Times New Roman" w:eastAsia="Times New Roman" w:hAnsi="Times New Roman" w:cs="Times New Roman"/>
          <w:sz w:val="24"/>
          <w:szCs w:val="24"/>
        </w:rPr>
        <w:t xml:space="preserve">wnoszącym do spółki wkład, którego przedmiotem jest świadczenie pracy lub usług, jest objęta ubezpieczeniami społecznymi i zdrowotnym w okresie świadczenia pracy lub usług wyłącznie jako osoba prowadząca pozarolniczą działalność. Jeśli z taką osobą prosta spółka akcyjna zawrze umowę </w:t>
      </w:r>
      <w:r w:rsidRPr="00C41BBF">
        <w:rPr>
          <w:rFonts w:ascii="Times New Roman" w:hAnsi="Times New Roman" w:cs="Times New Roman"/>
          <w:sz w:val="24"/>
          <w:szCs w:val="24"/>
        </w:rPr>
        <w:t>o pracę</w:t>
      </w:r>
      <w:r w:rsidRPr="00C41BBF">
        <w:rPr>
          <w:rFonts w:ascii="Times New Roman" w:eastAsia="Times New Roman" w:hAnsi="Times New Roman" w:cs="Times New Roman"/>
          <w:sz w:val="24"/>
          <w:szCs w:val="24"/>
        </w:rPr>
        <w:t xml:space="preserve"> (na wykonywanie czynności związanych ze świadczeniem pracy w zamian z akcje)</w:t>
      </w:r>
      <w:r w:rsidR="00D332AF">
        <w:rPr>
          <w:rFonts w:ascii="Times New Roman" w:eastAsia="Times New Roman" w:hAnsi="Times New Roman" w:cs="Times New Roman"/>
          <w:sz w:val="24"/>
          <w:szCs w:val="24"/>
        </w:rPr>
        <w:t>,</w:t>
      </w:r>
      <w:r w:rsidRPr="00C41BBF">
        <w:rPr>
          <w:rFonts w:ascii="Times New Roman" w:eastAsia="Times New Roman" w:hAnsi="Times New Roman" w:cs="Times New Roman"/>
          <w:sz w:val="24"/>
          <w:szCs w:val="24"/>
        </w:rPr>
        <w:t xml:space="preserve"> to dla celów ubezpieczeń społecznych i zdrowotnego taka osoba będzie traktowana jako pracownik, a nie prowadzący pozarolniczą działalność. Nie wystąpi zbieg tytułów i sytuacja opłacania składek z dwóch tytułów.</w:t>
      </w:r>
    </w:p>
    <w:p w14:paraId="43E4B4A0" w14:textId="77777777" w:rsidR="004F71A4" w:rsidRPr="00C41BBF" w:rsidRDefault="004F71A4" w:rsidP="00C41BBF">
      <w:pPr>
        <w:keepNext/>
        <w:keepLines/>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doprecyzowująca w zakresie zwolnienia ze składki zdrowotnej minimalnych przychodów z działalności opodatkowanych zryczałtowanym podatkiem dochodowym</w:t>
      </w:r>
    </w:p>
    <w:p w14:paraId="625410A9" w14:textId="09DB151E"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
          <w:bCs/>
          <w:sz w:val="24"/>
          <w:szCs w:val="24"/>
          <w:lang w:eastAsia="pl-PL"/>
        </w:rPr>
      </w:pPr>
      <w:r w:rsidRPr="00C41BBF">
        <w:rPr>
          <w:rFonts w:ascii="Times New Roman" w:eastAsiaTheme="minorEastAsia" w:hAnsi="Times New Roman" w:cs="Times New Roman"/>
          <w:sz w:val="24"/>
          <w:szCs w:val="24"/>
          <w:lang w:eastAsia="pl-PL"/>
        </w:rPr>
        <w:t>Celem zmiany brzmienia art. 82 ust. 9b jest doprecyzowanie obowiązującego stanu prawnego w zakresie stosowania zwolnienia ze składki zdrowotnej dla osób uzyskujących przychody z działalności opodatkowanych zryczałtowanym podatkiem dochodowym, które nie przekraczają miesięcznie 50% minimalnego wynagrodzenia</w:t>
      </w:r>
      <w:r w:rsidR="00D332AF">
        <w:rPr>
          <w:rFonts w:ascii="Times New Roman" w:eastAsiaTheme="minorEastAsia" w:hAnsi="Times New Roman" w:cs="Times New Roman"/>
          <w:sz w:val="24"/>
          <w:szCs w:val="24"/>
          <w:lang w:eastAsia="pl-PL"/>
        </w:rPr>
        <w:t>,</w:t>
      </w:r>
      <w:r w:rsidRPr="00C41BBF">
        <w:rPr>
          <w:rFonts w:ascii="Times New Roman" w:eastAsiaTheme="minorEastAsia" w:hAnsi="Times New Roman" w:cs="Times New Roman"/>
          <w:sz w:val="24"/>
          <w:szCs w:val="24"/>
          <w:lang w:eastAsia="pl-PL"/>
        </w:rPr>
        <w:t xml:space="preserve"> jeśli dodatkowo pozostają w stosunku pracy, a podstawa wymiaru składek na ubezpieczenia społeczne z tego tytułu nie przekracza kwoty minimalnego wynagrodzenia. Po wprowadzeniu do ustawy o świadczeniach zdrowotnych instytucji miesięcznej oraz rocznej składki zdrowotnej konieczne jest doprecyzowanie, że na potrzeby wyliczeń nowego zwolnienia należy przyjąć miesięczną podstawę wymiaru składki zdrowotnej</w:t>
      </w:r>
      <w:r w:rsidR="00874369" w:rsidRPr="00C41BBF">
        <w:rPr>
          <w:rFonts w:ascii="Times New Roman" w:eastAsiaTheme="minorEastAsia" w:hAnsi="Times New Roman" w:cs="Times New Roman"/>
          <w:b/>
          <w:bCs/>
          <w:sz w:val="24"/>
          <w:szCs w:val="24"/>
          <w:lang w:eastAsia="pl-PL"/>
        </w:rPr>
        <w:t>.</w:t>
      </w:r>
    </w:p>
    <w:p w14:paraId="4E100507"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 xml:space="preserve">Zmiana w zakresie składki zdrowotnej dla osoby zaliczonej do umiarkowanego lub znacznego stopnia niepełnosprawności </w:t>
      </w:r>
    </w:p>
    <w:p w14:paraId="579DAB05" w14:textId="77777777" w:rsidR="004F71A4" w:rsidRPr="00C41BBF" w:rsidRDefault="004F71A4" w:rsidP="00C41BBF">
      <w:pPr>
        <w:autoSpaceDE w:val="0"/>
        <w:autoSpaceDN w:val="0"/>
        <w:spacing w:before="120" w:line="360" w:lineRule="auto"/>
        <w:jc w:val="both"/>
        <w:rPr>
          <w:rFonts w:ascii="Times New Roman" w:hAnsi="Times New Roman" w:cs="Times New Roman"/>
          <w:sz w:val="24"/>
          <w:szCs w:val="24"/>
          <w:lang w:eastAsia="pl-PL"/>
        </w:rPr>
      </w:pPr>
      <w:r w:rsidRPr="00C41BBF">
        <w:rPr>
          <w:rFonts w:ascii="Times New Roman" w:eastAsiaTheme="minorEastAsia" w:hAnsi="Times New Roman" w:cs="Times New Roman"/>
          <w:bCs/>
          <w:sz w:val="24"/>
          <w:szCs w:val="24"/>
          <w:lang w:eastAsia="pl-PL"/>
        </w:rPr>
        <w:t>W związku z wprowadzeniem przez ustawę z 29 października 2021 r.</w:t>
      </w:r>
      <w:r w:rsidRPr="00C41BBF">
        <w:rPr>
          <w:rFonts w:ascii="Times New Roman" w:eastAsiaTheme="minorEastAsia" w:hAnsi="Times New Roman" w:cs="Times New Roman"/>
          <w:bCs/>
          <w:iCs/>
          <w:sz w:val="24"/>
          <w:szCs w:val="24"/>
          <w:lang w:eastAsia="pl-PL"/>
        </w:rPr>
        <w:t xml:space="preserve"> </w:t>
      </w:r>
      <w:r w:rsidRPr="00C41BBF">
        <w:rPr>
          <w:rFonts w:ascii="Times New Roman" w:hAnsi="Times New Roman" w:cs="Times New Roman"/>
          <w:sz w:val="24"/>
          <w:szCs w:val="24"/>
          <w:lang w:eastAsia="pl-PL"/>
        </w:rPr>
        <w:t xml:space="preserve">rozróżnienia na miesięczną i roczną składkę zdrowotną, a także mając na uwadze zmiany dotyczące możliwości odliczenia składki zdrowotnej od przychodu w przypadku podatników rozliczających się na zasadach innych niż z zastosowaniem skali podatkowej, konieczne jest doprecyzowanie regulacji art. 82 ust. 10 </w:t>
      </w:r>
      <w:bookmarkStart w:id="3" w:name="_Hlk100221238"/>
      <w:r w:rsidRPr="00C41BBF">
        <w:rPr>
          <w:rFonts w:ascii="Times New Roman" w:hAnsi="Times New Roman" w:cs="Times New Roman"/>
          <w:sz w:val="24"/>
          <w:szCs w:val="24"/>
          <w:lang w:eastAsia="pl-PL"/>
        </w:rPr>
        <w:t>ustawy o świadczeniach zdro</w:t>
      </w:r>
      <w:r w:rsidRPr="00C41BBF">
        <w:rPr>
          <w:rFonts w:ascii="Times New Roman" w:hAnsi="Times New Roman" w:cs="Times New Roman"/>
          <w:sz w:val="24"/>
          <w:szCs w:val="24"/>
          <w:lang w:eastAsia="pl-PL"/>
        </w:rPr>
        <w:lastRenderedPageBreak/>
        <w:t>wotnych</w:t>
      </w:r>
      <w:bookmarkEnd w:id="3"/>
      <w:r w:rsidRPr="00C41BBF">
        <w:rPr>
          <w:rFonts w:ascii="Times New Roman" w:hAnsi="Times New Roman" w:cs="Times New Roman"/>
          <w:sz w:val="24"/>
          <w:szCs w:val="24"/>
          <w:lang w:eastAsia="pl-PL"/>
        </w:rPr>
        <w:t>, która pozwala przedsiębiorcom będącym jednocześnie osobami z niepełnosprawnościami (umiarkowanymi lub znacznymi) na obniżenie składki zdrowotnej w relacji do zaliczki na podatek dochody od osób fizycznych.</w:t>
      </w:r>
    </w:p>
    <w:p w14:paraId="56B6B19C" w14:textId="77777777" w:rsidR="004F71A4" w:rsidRPr="00C41BBF" w:rsidRDefault="004F71A4" w:rsidP="00C41BBF">
      <w:pPr>
        <w:autoSpaceDE w:val="0"/>
        <w:autoSpaceDN w:val="0"/>
        <w:spacing w:before="120" w:line="360" w:lineRule="auto"/>
        <w:rPr>
          <w:rFonts w:ascii="Times New Roman" w:hAnsi="Times New Roman" w:cs="Times New Roman"/>
          <w:sz w:val="24"/>
          <w:szCs w:val="24"/>
          <w:lang w:eastAsia="pl-PL"/>
        </w:rPr>
      </w:pPr>
      <w:r w:rsidRPr="00C41BBF">
        <w:rPr>
          <w:rFonts w:ascii="Times New Roman" w:hAnsi="Times New Roman" w:cs="Times New Roman"/>
          <w:sz w:val="24"/>
          <w:szCs w:val="24"/>
          <w:lang w:eastAsia="pl-PL"/>
        </w:rPr>
        <w:t>Proponowana zmiana doprecyzowuje krąg adresatów powyższego mechanizmu obniżania składki zdrowotnej. Będą nimi osoby, które spełniają łącznie następujące warunki:</w:t>
      </w:r>
    </w:p>
    <w:p w14:paraId="39C8A2DC" w14:textId="77777777" w:rsidR="004F71A4" w:rsidRPr="00C41BBF" w:rsidRDefault="004F71A4" w:rsidP="00C41BBF">
      <w:pPr>
        <w:numPr>
          <w:ilvl w:val="0"/>
          <w:numId w:val="29"/>
        </w:numPr>
        <w:autoSpaceDE w:val="0"/>
        <w:autoSpaceDN w:val="0"/>
        <w:spacing w:before="120" w:after="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 xml:space="preserve">są to osoby z niepełnosprawnościami (ze znacznym lub umiarkowanym stopniem), </w:t>
      </w:r>
    </w:p>
    <w:p w14:paraId="611CAF0E" w14:textId="77777777" w:rsidR="004F71A4" w:rsidRPr="00C41BBF" w:rsidRDefault="004F71A4" w:rsidP="00C41BBF">
      <w:pPr>
        <w:numPr>
          <w:ilvl w:val="0"/>
          <w:numId w:val="29"/>
        </w:numPr>
        <w:autoSpaceDE w:val="0"/>
        <w:autoSpaceDN w:val="0"/>
        <w:spacing w:before="120" w:after="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prowadzące działalność pozarolniczą,</w:t>
      </w:r>
    </w:p>
    <w:p w14:paraId="2474A3D3" w14:textId="77777777" w:rsidR="004F71A4" w:rsidRPr="00C41BBF" w:rsidRDefault="004F71A4" w:rsidP="00C41BBF">
      <w:pPr>
        <w:numPr>
          <w:ilvl w:val="0"/>
          <w:numId w:val="29"/>
        </w:numPr>
        <w:autoSpaceDE w:val="0"/>
        <w:autoSpaceDN w:val="0"/>
        <w:spacing w:before="120" w:after="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objęte jedynie tytułem do ubezpieczenia zdrowotnego, o którym mowa w art. 66 ust. 1 pkt 1 lit. c albo pkt 1a ustawy o świadczeniach zdrowotnych,</w:t>
      </w:r>
    </w:p>
    <w:p w14:paraId="29BD932C" w14:textId="77777777" w:rsidR="004F71A4" w:rsidRPr="00C41BBF" w:rsidRDefault="004F71A4" w:rsidP="00C41BBF">
      <w:pPr>
        <w:numPr>
          <w:ilvl w:val="0"/>
          <w:numId w:val="29"/>
        </w:numPr>
        <w:autoSpaceDE w:val="0"/>
        <w:autoSpaceDN w:val="0"/>
        <w:spacing w:before="120" w:after="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rozliczające podatek dochodowy od osób fizycznych w oparciu o skalę podatkową, tj. na zasadach określonych w art. 27 ustawy z dnia 26 lipca 1991 r. o podatku dochodowym od osób fizycznych.</w:t>
      </w:r>
    </w:p>
    <w:p w14:paraId="68C3B754" w14:textId="77777777" w:rsidR="004F71A4" w:rsidRPr="00C41BBF" w:rsidRDefault="004F71A4" w:rsidP="00C41BBF">
      <w:pPr>
        <w:autoSpaceDE w:val="0"/>
        <w:autoSpaceDN w:val="0"/>
        <w:spacing w:before="120" w:line="360" w:lineRule="auto"/>
        <w:jc w:val="both"/>
        <w:rPr>
          <w:rFonts w:ascii="Times New Roman" w:hAnsi="Times New Roman" w:cs="Times New Roman"/>
          <w:sz w:val="24"/>
          <w:szCs w:val="24"/>
          <w:lang w:eastAsia="pl-PL"/>
        </w:rPr>
      </w:pPr>
      <w:r w:rsidRPr="00C41BBF">
        <w:rPr>
          <w:rFonts w:ascii="Times New Roman" w:hAnsi="Times New Roman" w:cs="Times New Roman"/>
          <w:sz w:val="24"/>
          <w:szCs w:val="24"/>
          <w:lang w:eastAsia="pl-PL"/>
        </w:rPr>
        <w:t>W przypadku miesięcznej składki zdrowotnej proponowana zmiana wyklucza wątpliwości dotyczące zaliczki na podatek dochodowy od osób fizycznych, do której będzie możliwe obniżenia składki; celem uproszczenia sposobu obliczania zaliczki na podatek dochodowy od osób fizycznych i składki zdrowotnej proponuje się, aby punktem odniesienia była zaliczka na podatek dochodowy od osób fizycznych należna za ten sam miesiąc, co obniżana składka zdrowotna.</w:t>
      </w:r>
    </w:p>
    <w:p w14:paraId="375D0222" w14:textId="44D6256A"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iCs/>
          <w:sz w:val="24"/>
          <w:szCs w:val="24"/>
          <w:lang w:eastAsia="pl-PL"/>
        </w:rPr>
      </w:pPr>
      <w:r w:rsidRPr="00C41BBF">
        <w:rPr>
          <w:rFonts w:ascii="Times New Roman" w:hAnsi="Times New Roman" w:cs="Times New Roman"/>
          <w:sz w:val="24"/>
          <w:szCs w:val="24"/>
          <w:lang w:eastAsia="pl-PL"/>
        </w:rPr>
        <w:t xml:space="preserve">Jednocześnie zaznaczyć należy, iż część osób ze wskazanej grupy, która spełniać będzie wymogi określone w art. 82 ust. 9 ustawy o świadczeniach (osiąganie przychodu w wysokości nieprzekraczającej miesięcznie 50% kwoty najniższej emerytury lub opłacanie podatku dochodowego w formie karty podatkowej), nadal pozostanie zwolniona </w:t>
      </w:r>
      <w:r w:rsidR="00874369" w:rsidRPr="00C41BBF">
        <w:rPr>
          <w:rFonts w:ascii="Times New Roman" w:hAnsi="Times New Roman" w:cs="Times New Roman"/>
          <w:sz w:val="24"/>
          <w:szCs w:val="24"/>
          <w:lang w:eastAsia="pl-PL"/>
        </w:rPr>
        <w:t>z opłacania składki zdrowotnej.</w:t>
      </w:r>
    </w:p>
    <w:p w14:paraId="0627AC6B"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bCs/>
          <w:color w:val="0070C0"/>
          <w:sz w:val="24"/>
          <w:szCs w:val="24"/>
          <w:lang w:eastAsia="pl-PL"/>
        </w:rPr>
      </w:pPr>
      <w:r w:rsidRPr="00C41BBF">
        <w:rPr>
          <w:rFonts w:ascii="Times New Roman" w:eastAsiaTheme="minorEastAsia" w:hAnsi="Times New Roman" w:cs="Times New Roman"/>
          <w:bCs/>
          <w:color w:val="0070C0"/>
          <w:sz w:val="24"/>
          <w:szCs w:val="24"/>
          <w:lang w:eastAsia="pl-PL"/>
        </w:rPr>
        <w:t>Zmiana doprecyzowująca w zakresie mechanizmu obniżania składki zdrowotnej do 0 zł</w:t>
      </w:r>
    </w:p>
    <w:p w14:paraId="3B0E4516" w14:textId="77777777"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Celem zmiany jest doprecyzowanie obowiązującego stanu prawnego w zakresie sto</w:t>
      </w:r>
      <w:r w:rsidRPr="00C41BBF">
        <w:rPr>
          <w:rFonts w:ascii="Times New Roman" w:eastAsiaTheme="minorEastAsia" w:hAnsi="Times New Roman" w:cs="Times New Roman"/>
          <w:iCs/>
          <w:sz w:val="24"/>
          <w:szCs w:val="24"/>
          <w:lang w:eastAsia="pl-PL"/>
        </w:rPr>
        <w:lastRenderedPageBreak/>
        <w:t xml:space="preserve">sowania możliwości ustalenia składki zdrowotnej w wysokości 0 zł w przypadku nieobliczania zaliczki na podatek dochodowy od osób fizycznych. Zakres stosowania mechanizmu zerowania składki zdrowotnej obejmować ma jedynie płatników, o których mowa w art. 83 ust. 1 tej ustawy, nieobliczających zaliczki na PIT ze względu na zwolnienie danego przychodu od podatku dochodowego. </w:t>
      </w:r>
    </w:p>
    <w:p w14:paraId="35C1D12B" w14:textId="43A14A5B"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iCs/>
          <w:sz w:val="24"/>
          <w:szCs w:val="24"/>
          <w:lang w:eastAsia="pl-PL"/>
        </w:rPr>
      </w:pPr>
      <w:r w:rsidRPr="00C41BBF">
        <w:rPr>
          <w:rFonts w:ascii="Times New Roman" w:eastAsiaTheme="minorEastAsia" w:hAnsi="Times New Roman" w:cs="Times New Roman"/>
          <w:iCs/>
          <w:sz w:val="24"/>
          <w:szCs w:val="24"/>
          <w:lang w:eastAsia="pl-PL"/>
        </w:rPr>
        <w:t xml:space="preserve">W projekcie proponuje się także zmianę doprecyzowująca art. 83 w związku z pojawiającymi się interpretacjami rozszerzającymi te przepisy na osoby spoza kręgu osób wymienionych w ust. 1. Poprzez zmianę, precyzyjnie wskazano </w:t>
      </w:r>
      <w:r w:rsidR="00D332AF">
        <w:rPr>
          <w:rFonts w:ascii="Times New Roman" w:eastAsiaTheme="minorEastAsia" w:hAnsi="Times New Roman" w:cs="Times New Roman"/>
          <w:iCs/>
          <w:sz w:val="24"/>
          <w:szCs w:val="24"/>
          <w:lang w:eastAsia="pl-PL"/>
        </w:rPr>
        <w:t>–</w:t>
      </w:r>
      <w:r w:rsidRPr="00C41BBF">
        <w:rPr>
          <w:rFonts w:ascii="Times New Roman" w:eastAsiaTheme="minorEastAsia" w:hAnsi="Times New Roman" w:cs="Times New Roman"/>
          <w:iCs/>
          <w:sz w:val="24"/>
          <w:szCs w:val="24"/>
          <w:lang w:eastAsia="pl-PL"/>
        </w:rPr>
        <w:t xml:space="preserve"> co wynika już z systematyki przepisu </w:t>
      </w:r>
      <w:r w:rsidR="00D332AF">
        <w:rPr>
          <w:rFonts w:ascii="Times New Roman" w:eastAsiaTheme="minorEastAsia" w:hAnsi="Times New Roman" w:cs="Times New Roman"/>
          <w:iCs/>
          <w:sz w:val="24"/>
          <w:szCs w:val="24"/>
          <w:lang w:eastAsia="pl-PL"/>
        </w:rPr>
        <w:t>–</w:t>
      </w:r>
      <w:r w:rsidRPr="00C41BBF">
        <w:rPr>
          <w:rFonts w:ascii="Times New Roman" w:eastAsiaTheme="minorEastAsia" w:hAnsi="Times New Roman" w:cs="Times New Roman"/>
          <w:iCs/>
          <w:sz w:val="24"/>
          <w:szCs w:val="24"/>
          <w:lang w:eastAsia="pl-PL"/>
        </w:rPr>
        <w:t xml:space="preserve"> że ust. 2 i 3 przedmiotowego artykułu odnoszą się wyłącznie do płatników wymienionych w ust. 1 tego przepisu prawa w drodze odesłania wewnątrzsystemowego do art. 85 ust. 1</w:t>
      </w:r>
      <w:r w:rsidR="00D332AF">
        <w:rPr>
          <w:rFonts w:ascii="Times New Roman" w:eastAsiaTheme="minorEastAsia" w:hAnsi="Times New Roman" w:cs="Times New Roman"/>
          <w:sz w:val="24"/>
          <w:szCs w:val="24"/>
        </w:rPr>
        <w:t>–</w:t>
      </w:r>
      <w:r w:rsidRPr="00C41BBF">
        <w:rPr>
          <w:rFonts w:ascii="Times New Roman" w:eastAsiaTheme="minorEastAsia" w:hAnsi="Times New Roman" w:cs="Times New Roman"/>
          <w:iCs/>
          <w:sz w:val="24"/>
          <w:szCs w:val="24"/>
          <w:lang w:eastAsia="pl-PL"/>
        </w:rPr>
        <w:t>13.</w:t>
      </w:r>
    </w:p>
    <w:p w14:paraId="060B2317" w14:textId="77BB8E73" w:rsidR="004F71A4" w:rsidRPr="00C41BBF" w:rsidRDefault="004F71A4" w:rsidP="00C41BBF">
      <w:pPr>
        <w:widowControl w:val="0"/>
        <w:autoSpaceDE w:val="0"/>
        <w:autoSpaceDN w:val="0"/>
        <w:adjustRightInd w:val="0"/>
        <w:spacing w:before="120" w:after="0" w:line="360" w:lineRule="auto"/>
        <w:jc w:val="both"/>
        <w:rPr>
          <w:rFonts w:ascii="Times New Roman" w:eastAsiaTheme="minorEastAsia" w:hAnsi="Times New Roman" w:cs="Times New Roman"/>
          <w:color w:val="0070C0"/>
          <w:sz w:val="24"/>
          <w:szCs w:val="24"/>
          <w:lang w:eastAsia="pl-PL"/>
        </w:rPr>
      </w:pPr>
      <w:r w:rsidRPr="00C41BBF">
        <w:rPr>
          <w:rFonts w:ascii="Times New Roman" w:eastAsiaTheme="minorEastAsia" w:hAnsi="Times New Roman" w:cs="Times New Roman"/>
          <w:color w:val="0070C0"/>
          <w:sz w:val="24"/>
          <w:szCs w:val="24"/>
          <w:lang w:eastAsia="pl-PL"/>
        </w:rPr>
        <w:t>Zmiana terminu składania dokumentów rozliczeniowych i opłacania składek dla płatników opłacających składkę na dobrowolne ubezpieczenie zdrowotne</w:t>
      </w:r>
    </w:p>
    <w:p w14:paraId="048ADE28" w14:textId="69C66466" w:rsidR="00FA7BA1" w:rsidRPr="00C41BBF" w:rsidRDefault="004F71A4" w:rsidP="00C41BBF">
      <w:pPr>
        <w:spacing w:before="120" w:line="360" w:lineRule="auto"/>
        <w:jc w:val="both"/>
        <w:rPr>
          <w:rFonts w:ascii="Times New Roman" w:hAnsi="Times New Roman" w:cs="Times New Roman"/>
          <w:b/>
          <w:bCs/>
          <w:sz w:val="24"/>
          <w:szCs w:val="24"/>
        </w:rPr>
      </w:pPr>
      <w:r w:rsidRPr="00C41BBF">
        <w:rPr>
          <w:rFonts w:ascii="Times New Roman" w:hAnsi="Times New Roman" w:cs="Times New Roman"/>
          <w:sz w:val="24"/>
          <w:szCs w:val="24"/>
        </w:rPr>
        <w:t>Zmiana ma na celu ujednolicenie przepisów ustawy o świadczeniach zdrowotnych z ustawą o systemie ubezpieczeń społecznych, aby terminem składania dokumentów rozliczeniowych i opłacania składek dla płatników opłacających składkę na dobrowolne ubezpieczenie zdrowotne, był także termin: do 20. dnia następnego miesiąca. Przyjęcie takiego rozwiązania ujednolici</w:t>
      </w:r>
      <w:r w:rsidR="009D1102">
        <w:rPr>
          <w:rFonts w:ascii="Times New Roman" w:hAnsi="Times New Roman" w:cs="Times New Roman"/>
          <w:sz w:val="24"/>
          <w:szCs w:val="24"/>
        </w:rPr>
        <w:t xml:space="preserve"> </w:t>
      </w:r>
      <w:r w:rsidRPr="00C41BBF">
        <w:rPr>
          <w:rFonts w:ascii="Times New Roman" w:hAnsi="Times New Roman" w:cs="Times New Roman"/>
          <w:sz w:val="24"/>
          <w:szCs w:val="24"/>
        </w:rPr>
        <w:t>terminy dla osób fizycznych, które opłacają składki na dobrowolne ubezpieczenie zdrowotne oraz dobrowolne ubezpieczenie społeczne, tak jak to miało miejsce za okres do grudnia 2021 r.</w:t>
      </w:r>
    </w:p>
    <w:p w14:paraId="28190971" w14:textId="77777777" w:rsidR="009651A4" w:rsidRPr="00C41BBF" w:rsidRDefault="009651A4" w:rsidP="00C41BBF">
      <w:pPr>
        <w:spacing w:before="120" w:line="360" w:lineRule="auto"/>
        <w:jc w:val="both"/>
        <w:rPr>
          <w:rFonts w:ascii="Times New Roman" w:hAnsi="Times New Roman" w:cs="Times New Roman"/>
          <w:b/>
          <w:bCs/>
          <w:sz w:val="24"/>
          <w:szCs w:val="24"/>
        </w:rPr>
      </w:pPr>
    </w:p>
    <w:p w14:paraId="6F0E6682" w14:textId="25CF53DE" w:rsidR="00B96862" w:rsidRPr="00C41BBF" w:rsidRDefault="009651A4" w:rsidP="00C41BBF">
      <w:pPr>
        <w:widowControl w:val="0"/>
        <w:autoSpaceDE w:val="0"/>
        <w:autoSpaceDN w:val="0"/>
        <w:adjustRightInd w:val="0"/>
        <w:spacing w:before="120" w:after="0" w:line="360" w:lineRule="auto"/>
        <w:ind w:left="360"/>
        <w:contextualSpacing/>
        <w:jc w:val="both"/>
        <w:rPr>
          <w:rFonts w:ascii="Times New Roman" w:eastAsiaTheme="minorEastAsia" w:hAnsi="Times New Roman" w:cs="Times New Roman"/>
          <w:b/>
          <w:color w:val="0070C0"/>
          <w:sz w:val="24"/>
          <w:szCs w:val="24"/>
          <w:lang w:eastAsia="pl-PL"/>
        </w:rPr>
      </w:pPr>
      <w:r w:rsidRPr="00C41BBF">
        <w:rPr>
          <w:rFonts w:ascii="Times New Roman" w:eastAsiaTheme="minorEastAsia" w:hAnsi="Times New Roman" w:cs="Times New Roman"/>
          <w:b/>
          <w:color w:val="0070C0"/>
          <w:sz w:val="24"/>
          <w:szCs w:val="24"/>
          <w:lang w:eastAsia="pl-PL"/>
        </w:rPr>
        <w:t>I</w:t>
      </w:r>
      <w:r w:rsidR="00874369" w:rsidRPr="00C41BBF">
        <w:rPr>
          <w:rFonts w:ascii="Times New Roman" w:eastAsiaTheme="minorEastAsia" w:hAnsi="Times New Roman" w:cs="Times New Roman"/>
          <w:b/>
          <w:color w:val="0070C0"/>
          <w:sz w:val="24"/>
          <w:szCs w:val="24"/>
          <w:lang w:eastAsia="pl-PL"/>
        </w:rPr>
        <w:t xml:space="preserve">. </w:t>
      </w:r>
      <w:r w:rsidR="00B96862" w:rsidRPr="00C41BBF">
        <w:rPr>
          <w:rFonts w:ascii="Times New Roman" w:eastAsiaTheme="minorEastAsia" w:hAnsi="Times New Roman" w:cs="Times New Roman"/>
          <w:b/>
          <w:color w:val="0070C0"/>
          <w:sz w:val="24"/>
          <w:szCs w:val="24"/>
          <w:lang w:eastAsia="pl-PL"/>
        </w:rPr>
        <w:t xml:space="preserve">Zmiany w ustawie z </w:t>
      </w:r>
      <w:r w:rsidR="00D332AF">
        <w:rPr>
          <w:rFonts w:ascii="Times New Roman" w:eastAsiaTheme="minorEastAsia" w:hAnsi="Times New Roman" w:cs="Times New Roman"/>
          <w:b/>
          <w:color w:val="0070C0"/>
          <w:sz w:val="24"/>
          <w:szCs w:val="24"/>
          <w:lang w:eastAsia="pl-PL"/>
        </w:rPr>
        <w:t xml:space="preserve">dnia </w:t>
      </w:r>
      <w:r w:rsidR="00B96862" w:rsidRPr="00C41BBF">
        <w:rPr>
          <w:rFonts w:ascii="Times New Roman" w:eastAsiaTheme="minorEastAsia" w:hAnsi="Times New Roman" w:cs="Times New Roman"/>
          <w:b/>
          <w:color w:val="0070C0"/>
          <w:sz w:val="24"/>
          <w:szCs w:val="24"/>
          <w:lang w:eastAsia="pl-PL"/>
        </w:rPr>
        <w:t xml:space="preserve">29 października 2021 r. (art. </w:t>
      </w:r>
      <w:r w:rsidRPr="00C41BBF">
        <w:rPr>
          <w:rFonts w:ascii="Times New Roman" w:eastAsiaTheme="minorEastAsia" w:hAnsi="Times New Roman" w:cs="Times New Roman"/>
          <w:b/>
          <w:color w:val="0070C0"/>
          <w:sz w:val="24"/>
          <w:szCs w:val="24"/>
          <w:lang w:eastAsia="pl-PL"/>
        </w:rPr>
        <w:t>9</w:t>
      </w:r>
      <w:r w:rsidR="001552CB" w:rsidRPr="00C41BBF">
        <w:rPr>
          <w:rFonts w:ascii="Times New Roman" w:eastAsiaTheme="minorEastAsia" w:hAnsi="Times New Roman" w:cs="Times New Roman"/>
          <w:b/>
          <w:color w:val="0070C0"/>
          <w:sz w:val="24"/>
          <w:szCs w:val="24"/>
          <w:lang w:eastAsia="pl-PL"/>
        </w:rPr>
        <w:t xml:space="preserve"> </w:t>
      </w:r>
      <w:r w:rsidR="00B96862" w:rsidRPr="00C41BBF">
        <w:rPr>
          <w:rFonts w:ascii="Times New Roman" w:eastAsiaTheme="minorEastAsia" w:hAnsi="Times New Roman" w:cs="Times New Roman"/>
          <w:b/>
          <w:color w:val="0070C0"/>
          <w:sz w:val="24"/>
          <w:szCs w:val="24"/>
          <w:lang w:eastAsia="pl-PL"/>
        </w:rPr>
        <w:t>projektu ustawy)</w:t>
      </w:r>
    </w:p>
    <w:p w14:paraId="167F767A"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W ramach zmian podatkowych przewidzianych w </w:t>
      </w:r>
      <w:r w:rsidRPr="00C41BBF">
        <w:rPr>
          <w:rFonts w:ascii="Times New Roman" w:eastAsiaTheme="minorEastAsia" w:hAnsi="Times New Roman" w:cs="Times New Roman"/>
          <w:sz w:val="24"/>
          <w:szCs w:val="24"/>
          <w:lang w:eastAsia="pl-PL"/>
        </w:rPr>
        <w:t>ustawie z 29 października 2021 r.</w:t>
      </w:r>
      <w:r w:rsidRPr="00C41BBF">
        <w:rPr>
          <w:rFonts w:ascii="Times New Roman" w:eastAsia="Times New Roman" w:hAnsi="Times New Roman" w:cs="Times New Roman"/>
          <w:sz w:val="24"/>
          <w:szCs w:val="24"/>
          <w:lang w:eastAsia="pl-PL"/>
        </w:rPr>
        <w:t xml:space="preserve"> prowadzono rozwiązanie polegające na obowiązku prowadzenia ksiąg rachunkowych, podatkowej księgi przychodów i rozchodów, ewidencji przychodów, ewidencji/wykazu środków trwałych oraz wartości niematerialnych i prawnych (uproszczonych ewidencji podatkowych) w formie elektronicznej i przesyłania ich w takiej formie do urzędu skarbowego. </w:t>
      </w:r>
    </w:p>
    <w:p w14:paraId="32F0D381"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Projekt zmienia datę wejścia w życie regulacji dotyczących prowadzenia przy użyciu </w:t>
      </w:r>
      <w:r w:rsidRPr="00C41BBF">
        <w:rPr>
          <w:rFonts w:ascii="Times New Roman" w:eastAsia="Times New Roman" w:hAnsi="Times New Roman" w:cs="Times New Roman"/>
          <w:sz w:val="24"/>
          <w:szCs w:val="24"/>
          <w:lang w:eastAsia="pl-PL"/>
        </w:rPr>
        <w:lastRenderedPageBreak/>
        <w:t>programów komputerowych ewidencji podatkowych, a także obowiązku ich przesyłania w formie ustrukturyzowanej do urzędu skarbowego.</w:t>
      </w:r>
    </w:p>
    <w:p w14:paraId="5BEEC3A5"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Proponowana zmiana pozwoli podatnikom lepiej przygotować się do elektronizacji ewidencji księgowych.</w:t>
      </w:r>
    </w:p>
    <w:p w14:paraId="71D46B3A"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Proponuje się stopniowe dojście do docelowego modelu. </w:t>
      </w:r>
    </w:p>
    <w:p w14:paraId="7D228B8C" w14:textId="7165912E"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Najwięksi podatnicy CIT, których przychody za poprzedni rok podatkowy przekroczą kwotę 50 mln euro, będą obowiązani prowadzić księgi rachunkowe przy użyciu programów komputerowych w roku podatkowym rozpoczynającym się po dniu 31 grudnia 2023 r. i</w:t>
      </w:r>
      <w:r w:rsidR="00D332AF">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począwszy od tego roku podatkowego</w:t>
      </w:r>
      <w:r w:rsidR="00D332AF">
        <w:rPr>
          <w:rFonts w:ascii="Times New Roman" w:eastAsia="Times New Roman" w:hAnsi="Times New Roman" w:cs="Times New Roman"/>
          <w:sz w:val="24"/>
          <w:szCs w:val="24"/>
          <w:lang w:eastAsia="pl-PL"/>
        </w:rPr>
        <w:t>,</w:t>
      </w:r>
      <w:r w:rsidRPr="00C41BBF">
        <w:rPr>
          <w:rFonts w:ascii="Times New Roman" w:eastAsia="Times New Roman" w:hAnsi="Times New Roman" w:cs="Times New Roman"/>
          <w:sz w:val="24"/>
          <w:szCs w:val="24"/>
          <w:lang w:eastAsia="pl-PL"/>
        </w:rPr>
        <w:t xml:space="preserve"> będą obowiązani do przesyłania tych ksiąg w formie ustrukturyzowanej.</w:t>
      </w:r>
    </w:p>
    <w:p w14:paraId="31508740"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W przypadku podmiotów, które są obowiązane przesyłać ewidencje, o której mowa w art. 109 ust. 3 ustawy VAT, zgodnie z art. 109 ust. 3b tej ustawy, obowiązek taki będzie obowiązywał od 2025 r., natomiast pozostałych podmiotów obejmie od 2026 r.</w:t>
      </w:r>
    </w:p>
    <w:p w14:paraId="796172CB"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Na gruncie przepisów o podatku PIT, podmioty będą prowadzić ewidencje podatkowe przy użyciu programów komputerowych i przesyłać te ewidencje w formie elektronicznej poczynając od roku 2025, z tym że obowiązek ten obejmie te podmioty, które są obowiązane przesyłać ewidencje, o której mowa w art. 109 ust. 3 ustawy VAT, zgodnie z art. 109 ust. 3b tej ustawy. Pozostałe podmioty będą obowiązane przesłać po raz pierwszy ewidencje podatkowe od roku 2026. </w:t>
      </w:r>
    </w:p>
    <w:p w14:paraId="2A7DE011"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Ponadto 1 stycznia 2022 r. weszły w życie przepisy o tzw. „abolicji podatkowej”.</w:t>
      </w:r>
    </w:p>
    <w:p w14:paraId="3A09ABA4" w14:textId="54E29813"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Przepisy te przewidują możliwość opodatkowania przejściowym ryczałtem od dochodów, dochodów które podlegają w Polsce opodatkowaniu podatkiem dochodowym, lecz nie zostały przez podatnika lub przez płatnika zadeklarowane w całości lub w części do opodatkowania tym podatkiem. Zgodnie z treścią wprowadzonych przepisów stawka przejściowego ryczałtu od dochodów ustalona została na poziomie 8% podstawy opodatkowania, a więc generalnie na poziomie niższym niż stawka podatku dochodowego obowiązująca podatników podatku CIT i podatników podatku PIT.</w:t>
      </w:r>
    </w:p>
    <w:p w14:paraId="200A86A6" w14:textId="77777777"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lastRenderedPageBreak/>
        <w:t>W związku z treścią tych przepisów Prezydent Rzeczypospolitej Polskiej skierował do Trybunału Konstytucyjnego, w trybie kontroli następczej, wniosek o zbadanie ich zgodności z Konstytucją RP, zarzucając im w szczególności:</w:t>
      </w:r>
    </w:p>
    <w:p w14:paraId="4EDC6080" w14:textId="77777777" w:rsidR="00B96862" w:rsidRPr="00C41BBF" w:rsidRDefault="00B96862" w:rsidP="00C41BBF">
      <w:pPr>
        <w:pStyle w:val="Akapitzlist"/>
        <w:numPr>
          <w:ilvl w:val="0"/>
          <w:numId w:val="28"/>
        </w:num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naruszenie zasady zaufania do państwa i stanowionego przez nie prawa (art. 2 w związku z art. 217 Konstytucji),</w:t>
      </w:r>
    </w:p>
    <w:p w14:paraId="776EF24D" w14:textId="77777777" w:rsidR="00B96862" w:rsidRPr="00C41BBF" w:rsidRDefault="00B96862" w:rsidP="00C41BBF">
      <w:pPr>
        <w:pStyle w:val="Akapitzlist"/>
        <w:numPr>
          <w:ilvl w:val="0"/>
          <w:numId w:val="28"/>
        </w:num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naruszenie zasady równości (art. 32 ust. 1 Konstytucji),</w:t>
      </w:r>
    </w:p>
    <w:p w14:paraId="76527213" w14:textId="77777777" w:rsidR="00B96862" w:rsidRPr="00C41BBF" w:rsidRDefault="00B96862" w:rsidP="00C41BBF">
      <w:pPr>
        <w:pStyle w:val="Akapitzlist"/>
        <w:numPr>
          <w:ilvl w:val="0"/>
          <w:numId w:val="28"/>
        </w:numPr>
        <w:spacing w:before="120" w:after="0" w:line="360" w:lineRule="auto"/>
        <w:rPr>
          <w:rFonts w:ascii="Times New Roman" w:hAnsi="Times New Roman" w:cs="Times New Roman"/>
          <w:sz w:val="24"/>
          <w:szCs w:val="24"/>
        </w:rPr>
      </w:pPr>
      <w:r w:rsidRPr="00C41BBF">
        <w:rPr>
          <w:rFonts w:ascii="Times New Roman" w:hAnsi="Times New Roman" w:cs="Times New Roman"/>
          <w:sz w:val="24"/>
          <w:szCs w:val="24"/>
        </w:rPr>
        <w:t>naruszenia zasady powszechności i równości opodatkowania (art. 84 Konstytucji).</w:t>
      </w:r>
    </w:p>
    <w:p w14:paraId="53EF37B7" w14:textId="257C6D7D"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Ponadto w swoim wniosku Prezydent RP podniósł zarzut naruszenia art. 1 i art. 2 Konstytucji, wskazując, iż ustawodawca</w:t>
      </w:r>
      <w:r w:rsidR="00D332AF">
        <w:rPr>
          <w:rFonts w:ascii="Times New Roman" w:hAnsi="Times New Roman" w:cs="Times New Roman"/>
          <w:sz w:val="24"/>
          <w:szCs w:val="24"/>
        </w:rPr>
        <w:t>,</w:t>
      </w:r>
      <w:r w:rsidRPr="00C41BBF">
        <w:rPr>
          <w:rFonts w:ascii="Times New Roman" w:hAnsi="Times New Roman" w:cs="Times New Roman"/>
          <w:sz w:val="24"/>
          <w:szCs w:val="24"/>
        </w:rPr>
        <w:t xml:space="preserve"> określając podmioty, które mogą skorzystać z przejściowego ryczałtu od dochodów</w:t>
      </w:r>
      <w:r w:rsidR="00D332AF">
        <w:rPr>
          <w:rFonts w:ascii="Times New Roman" w:hAnsi="Times New Roman" w:cs="Times New Roman"/>
          <w:sz w:val="24"/>
          <w:szCs w:val="24"/>
        </w:rPr>
        <w:t>,</w:t>
      </w:r>
      <w:r w:rsidRPr="00C41BBF">
        <w:rPr>
          <w:rFonts w:ascii="Times New Roman" w:hAnsi="Times New Roman" w:cs="Times New Roman"/>
          <w:sz w:val="24"/>
          <w:szCs w:val="24"/>
        </w:rPr>
        <w:t xml:space="preserve"> nie wyłączył osób pełniących funkcje publiczne (funkcje</w:t>
      </w:r>
      <w:r w:rsidR="00D332AF">
        <w:rPr>
          <w:rFonts w:ascii="Times New Roman" w:hAnsi="Times New Roman" w:cs="Times New Roman"/>
          <w:sz w:val="24"/>
          <w:szCs w:val="24"/>
        </w:rPr>
        <w:t>,</w:t>
      </w:r>
      <w:r w:rsidRPr="00C41BBF">
        <w:rPr>
          <w:rFonts w:ascii="Times New Roman" w:hAnsi="Times New Roman" w:cs="Times New Roman"/>
          <w:sz w:val="24"/>
          <w:szCs w:val="24"/>
        </w:rPr>
        <w:t xml:space="preserve"> z którymi wiążą się uprawnienia decyzyjne). Tymczasem w ocenie Prezydenta RP zakres praw i obowiązków osób pełniących funkcje publiczne uwzględniać musi wartości, jakim mają służyć instytucje władzy publicznej</w:t>
      </w:r>
      <w:r w:rsidR="00313115">
        <w:rPr>
          <w:rFonts w:ascii="Times New Roman" w:hAnsi="Times New Roman" w:cs="Times New Roman"/>
          <w:sz w:val="24"/>
          <w:szCs w:val="24"/>
        </w:rPr>
        <w:t>,</w:t>
      </w:r>
      <w:r w:rsidRPr="00C41BBF">
        <w:rPr>
          <w:rFonts w:ascii="Times New Roman" w:hAnsi="Times New Roman" w:cs="Times New Roman"/>
          <w:sz w:val="24"/>
          <w:szCs w:val="24"/>
        </w:rPr>
        <w:t xml:space="preserve"> oraz zasadę sprawiedliwości społecznej. W przekonaniu Prezydenta RP budowanie autorytetu państwa i zaufania obywateli do jego organów wymaga tworzenia prawa w sposób wykluczający akceptację naruszających porządek prawny działań osób pełniących funkcje publiczne. Obejmuje to także zachowania polegające na uzyskiwaniu, w sposób niezgodny z prawem, korzyści majątkowych.</w:t>
      </w:r>
    </w:p>
    <w:p w14:paraId="1B394837" w14:textId="3B81D0FD" w:rsidR="00B96862" w:rsidRPr="00C41BBF" w:rsidRDefault="00B96862" w:rsidP="00C41BBF">
      <w:pPr>
        <w:spacing w:before="120" w:after="0" w:line="360" w:lineRule="auto"/>
        <w:jc w:val="both"/>
        <w:rPr>
          <w:rFonts w:ascii="Times New Roman" w:hAnsi="Times New Roman" w:cs="Times New Roman"/>
          <w:sz w:val="24"/>
          <w:szCs w:val="24"/>
        </w:rPr>
      </w:pPr>
      <w:r w:rsidRPr="00C41BBF">
        <w:rPr>
          <w:rFonts w:ascii="Times New Roman" w:hAnsi="Times New Roman" w:cs="Times New Roman"/>
          <w:sz w:val="24"/>
          <w:szCs w:val="24"/>
        </w:rPr>
        <w:t>Uwzględniając przedstawioną przez Prezydenta RP argumentację oraz po ponownej analizie treści art. 27</w:t>
      </w:r>
      <w:r w:rsidR="00313115">
        <w:rPr>
          <w:rFonts w:ascii="Times New Roman" w:eastAsiaTheme="minorEastAsia" w:hAnsi="Times New Roman" w:cs="Times New Roman"/>
          <w:sz w:val="24"/>
          <w:szCs w:val="24"/>
        </w:rPr>
        <w:t>–</w:t>
      </w:r>
      <w:r w:rsidRPr="00C41BBF">
        <w:rPr>
          <w:rFonts w:ascii="Times New Roman" w:hAnsi="Times New Roman" w:cs="Times New Roman"/>
          <w:sz w:val="24"/>
          <w:szCs w:val="24"/>
        </w:rPr>
        <w:t>49 ustawy z dnia 29 października 2021 r.</w:t>
      </w:r>
      <w:r w:rsidR="00874369" w:rsidRPr="00C41BBF">
        <w:rPr>
          <w:rFonts w:ascii="Times New Roman" w:hAnsi="Times New Roman" w:cs="Times New Roman"/>
          <w:sz w:val="24"/>
          <w:szCs w:val="24"/>
        </w:rPr>
        <w:t>,</w:t>
      </w:r>
      <w:r w:rsidRPr="00C41BBF">
        <w:rPr>
          <w:rFonts w:ascii="Times New Roman" w:hAnsi="Times New Roman" w:cs="Times New Roman"/>
          <w:sz w:val="24"/>
          <w:szCs w:val="24"/>
        </w:rPr>
        <w:t xml:space="preserve"> proponuje się uchylenie tych przepisów oraz przepisu art. 82 wskazanej ustawy, określającego zakres ich stosowania.</w:t>
      </w:r>
    </w:p>
    <w:p w14:paraId="7F942C8F" w14:textId="77777777" w:rsidR="00B96862" w:rsidRPr="00C41BBF" w:rsidRDefault="00B96862" w:rsidP="00C41BB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14:paraId="727E6E32" w14:textId="77777777" w:rsidR="00B96862" w:rsidRPr="00C41BBF" w:rsidRDefault="00B96862" w:rsidP="00C41BBF">
      <w:pPr>
        <w:shd w:val="clear" w:color="auto" w:fill="FFFFFF" w:themeFill="background1"/>
        <w:spacing w:before="120" w:after="0" w:line="360" w:lineRule="auto"/>
        <w:jc w:val="both"/>
        <w:rPr>
          <w:rFonts w:ascii="Times New Roman" w:eastAsia="Times New Roman" w:hAnsi="Times New Roman" w:cs="Times New Roman"/>
          <w:b/>
          <w:color w:val="0070C0"/>
          <w:sz w:val="24"/>
          <w:szCs w:val="24"/>
          <w:lang w:eastAsia="pl-PL"/>
        </w:rPr>
      </w:pPr>
      <w:r w:rsidRPr="00C41BBF">
        <w:rPr>
          <w:rFonts w:ascii="Times New Roman" w:eastAsia="Times New Roman" w:hAnsi="Times New Roman" w:cs="Times New Roman"/>
          <w:b/>
          <w:color w:val="0070C0"/>
          <w:sz w:val="24"/>
          <w:szCs w:val="24"/>
          <w:lang w:eastAsia="pl-PL"/>
        </w:rPr>
        <w:t>DODATKOWE INFORMACJE</w:t>
      </w:r>
    </w:p>
    <w:p w14:paraId="775664EE" w14:textId="77777777" w:rsidR="00B96862" w:rsidRPr="00C41BBF" w:rsidRDefault="00B96862" w:rsidP="00C41BBF">
      <w:pPr>
        <w:spacing w:before="120" w:after="0" w:line="360" w:lineRule="auto"/>
        <w:jc w:val="both"/>
        <w:rPr>
          <w:rFonts w:ascii="Times New Roman" w:eastAsia="Calibri" w:hAnsi="Times New Roman" w:cs="Times New Roman"/>
          <w:b/>
          <w:color w:val="0070C0"/>
          <w:sz w:val="24"/>
          <w:szCs w:val="24"/>
        </w:rPr>
      </w:pPr>
      <w:r w:rsidRPr="00C41BBF">
        <w:rPr>
          <w:rFonts w:ascii="Times New Roman" w:eastAsia="Calibri" w:hAnsi="Times New Roman" w:cs="Times New Roman"/>
          <w:b/>
          <w:color w:val="0070C0"/>
          <w:sz w:val="24"/>
          <w:szCs w:val="24"/>
        </w:rPr>
        <w:t>Wpływ ustawy na działalność gospodarczą przedsiębiorców</w:t>
      </w:r>
    </w:p>
    <w:p w14:paraId="486AE689" w14:textId="235D5032" w:rsidR="00B96862" w:rsidRPr="00C41BBF" w:rsidRDefault="00B96862" w:rsidP="00C41BB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C41BBF">
        <w:rPr>
          <w:rFonts w:ascii="Times New Roman" w:hAnsi="Times New Roman" w:cs="Times New Roman"/>
          <w:sz w:val="24"/>
          <w:szCs w:val="24"/>
        </w:rPr>
        <w:t>Projekt ustawy odnosi się do kwestii działalności gospodarczej przedsiębiorców, zastosowanie do niego znajduje zatem art. 66 ustawy z dnia 6 marca 2018 r. – Prawo przedsiębiorców (Dz. U. z 202</w:t>
      </w:r>
      <w:r w:rsidR="004C084C" w:rsidRPr="00C41BBF">
        <w:rPr>
          <w:rFonts w:ascii="Times New Roman" w:hAnsi="Times New Roman" w:cs="Times New Roman"/>
          <w:sz w:val="24"/>
          <w:szCs w:val="24"/>
        </w:rPr>
        <w:t>1</w:t>
      </w:r>
      <w:r w:rsidRPr="00C41BBF">
        <w:rPr>
          <w:rFonts w:ascii="Times New Roman" w:hAnsi="Times New Roman" w:cs="Times New Roman"/>
          <w:sz w:val="24"/>
          <w:szCs w:val="24"/>
        </w:rPr>
        <w:t xml:space="preserve"> r. poz. 162, z późn. zm.). W projekcie przewidziane </w:t>
      </w:r>
      <w:r w:rsidRPr="00C41BBF">
        <w:rPr>
          <w:rFonts w:ascii="Times New Roman" w:hAnsi="Times New Roman" w:cs="Times New Roman"/>
          <w:sz w:val="24"/>
          <w:szCs w:val="24"/>
        </w:rPr>
        <w:lastRenderedPageBreak/>
        <w:t>są rozwiązania korzystne dla przedsiębiorców. Wśród tych zmian wskazać można chociażby zmiany w skali podatkowej, możliwość częściowego rozliczenia zapłaconej składki zdrowotnej czy odroczenie terminu prowadzenia w formie elektronicznej i przesyłania do urzędu skarbowego ewidencji podatkowych. Zmiany te poprzez podatkowe wsparcie przedsiębiorców ułatwią prowadzenie działalności gospodarczej.</w:t>
      </w:r>
    </w:p>
    <w:p w14:paraId="481AFB26" w14:textId="77777777" w:rsidR="00B96862" w:rsidRPr="00C41BBF" w:rsidRDefault="00B96862" w:rsidP="00C41BBF">
      <w:pPr>
        <w:spacing w:before="120" w:after="0" w:line="360" w:lineRule="auto"/>
        <w:jc w:val="both"/>
        <w:outlineLvl w:val="1"/>
        <w:rPr>
          <w:rFonts w:ascii="Times New Roman" w:hAnsi="Times New Roman" w:cs="Times New Roman"/>
          <w:sz w:val="24"/>
          <w:szCs w:val="24"/>
        </w:rPr>
      </w:pPr>
      <w:r w:rsidRPr="00C41BBF">
        <w:rPr>
          <w:rFonts w:ascii="Times New Roman" w:hAnsi="Times New Roman" w:cs="Times New Roman"/>
          <w:sz w:val="24"/>
          <w:szCs w:val="24"/>
        </w:rPr>
        <w:t>Wprowadzenie jakichkolwiek zmian w tym zakresie wymaga ich nowelizacji. Osiągnięcie zamierzonych celów niemożliwe jest zatem drogą inną niż ustawowa.</w:t>
      </w:r>
    </w:p>
    <w:p w14:paraId="4E21B16D" w14:textId="77777777" w:rsidR="00B96862" w:rsidRPr="00C41BBF" w:rsidRDefault="00B96862" w:rsidP="00C41BBF">
      <w:pPr>
        <w:spacing w:before="120" w:after="0" w:line="360" w:lineRule="auto"/>
        <w:jc w:val="both"/>
        <w:rPr>
          <w:rFonts w:ascii="Times New Roman" w:eastAsia="Calibri" w:hAnsi="Times New Roman" w:cs="Times New Roman"/>
          <w:b/>
          <w:color w:val="0070C0"/>
          <w:sz w:val="24"/>
          <w:szCs w:val="24"/>
        </w:rPr>
      </w:pPr>
      <w:r w:rsidRPr="00C41BBF">
        <w:rPr>
          <w:rFonts w:ascii="Times New Roman" w:eastAsia="Calibri" w:hAnsi="Times New Roman" w:cs="Times New Roman"/>
          <w:b/>
          <w:color w:val="0070C0"/>
          <w:sz w:val="24"/>
          <w:szCs w:val="24"/>
        </w:rPr>
        <w:t>Wpływ na MŚP</w:t>
      </w:r>
    </w:p>
    <w:p w14:paraId="7DA08D84" w14:textId="77777777" w:rsidR="00B96862" w:rsidRPr="00C41BBF" w:rsidRDefault="00B96862" w:rsidP="00C41BBF">
      <w:pPr>
        <w:spacing w:before="120" w:after="0" w:line="360" w:lineRule="auto"/>
        <w:jc w:val="both"/>
        <w:outlineLvl w:val="1"/>
        <w:rPr>
          <w:rFonts w:ascii="Times New Roman" w:hAnsi="Times New Roman" w:cs="Times New Roman"/>
          <w:sz w:val="24"/>
          <w:szCs w:val="24"/>
        </w:rPr>
      </w:pPr>
      <w:r w:rsidRPr="00C41BBF">
        <w:rPr>
          <w:rFonts w:ascii="Times New Roman" w:hAnsi="Times New Roman" w:cs="Times New Roman"/>
          <w:sz w:val="24"/>
          <w:szCs w:val="24"/>
        </w:rPr>
        <w:t>Tym samym projekt ustawy oddziałuje na sektor MŚP pozytywnie.</w:t>
      </w:r>
    </w:p>
    <w:p w14:paraId="136208E0" w14:textId="77777777" w:rsidR="00B96862" w:rsidRPr="00C41BBF" w:rsidRDefault="00B96862" w:rsidP="00C41BBF">
      <w:pPr>
        <w:shd w:val="clear" w:color="auto" w:fill="FFFFFF" w:themeFill="background1"/>
        <w:spacing w:before="120" w:after="0" w:line="360" w:lineRule="auto"/>
        <w:jc w:val="both"/>
        <w:rPr>
          <w:rFonts w:ascii="Times New Roman" w:eastAsia="Times New Roman" w:hAnsi="Times New Roman" w:cs="Times New Roman"/>
          <w:b/>
          <w:color w:val="0070C0"/>
          <w:sz w:val="24"/>
          <w:szCs w:val="24"/>
          <w:lang w:eastAsia="pl-PL"/>
        </w:rPr>
      </w:pPr>
      <w:r w:rsidRPr="00C41BBF">
        <w:rPr>
          <w:rFonts w:ascii="Times New Roman" w:eastAsia="Times New Roman" w:hAnsi="Times New Roman" w:cs="Times New Roman"/>
          <w:b/>
          <w:color w:val="0070C0"/>
          <w:sz w:val="24"/>
          <w:szCs w:val="24"/>
          <w:lang w:eastAsia="pl-PL"/>
        </w:rPr>
        <w:t>Pozostałe</w:t>
      </w:r>
    </w:p>
    <w:p w14:paraId="529D8E90" w14:textId="3AA821C7" w:rsidR="000F0E9B" w:rsidRPr="00C41BBF" w:rsidRDefault="00B96862" w:rsidP="00C41BBF">
      <w:pPr>
        <w:shd w:val="clear" w:color="auto" w:fill="FFFFFF" w:themeFill="background1"/>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Projekt ustawy jest zg</w:t>
      </w:r>
      <w:r w:rsidR="000F0E9B" w:rsidRPr="00C41BBF">
        <w:rPr>
          <w:rFonts w:ascii="Times New Roman" w:eastAsia="Times New Roman" w:hAnsi="Times New Roman" w:cs="Times New Roman"/>
          <w:sz w:val="24"/>
          <w:szCs w:val="24"/>
          <w:lang w:eastAsia="pl-PL"/>
        </w:rPr>
        <w:t xml:space="preserve">odny z prawem Unii Europejskiej i nie podlega obowiązkowi przedstawienia właściwym instytucjom Unii Europejskiej, w tym Europejskiemu Bankowi Centralnemu, w celu uzyskania opinii, dokonania powiadomienia, konsultacji albo uzgodnienia. </w:t>
      </w:r>
    </w:p>
    <w:p w14:paraId="0172FF23" w14:textId="4911AF3D" w:rsidR="000F0E9B" w:rsidRPr="00C41BBF" w:rsidRDefault="000F0E9B" w:rsidP="00C41BBF">
      <w:pPr>
        <w:shd w:val="clear" w:color="auto" w:fill="FFFFFF" w:themeFill="background1"/>
        <w:spacing w:before="120" w:after="0" w:line="360" w:lineRule="auto"/>
        <w:jc w:val="both"/>
        <w:rPr>
          <w:rFonts w:ascii="Times New Roman" w:eastAsia="Times New Roman" w:hAnsi="Times New Roman" w:cs="Times New Roman"/>
          <w:sz w:val="24"/>
          <w:szCs w:val="24"/>
          <w:lang w:eastAsia="pl-PL"/>
        </w:rPr>
      </w:pPr>
      <w:r w:rsidRPr="00C41BBF">
        <w:rPr>
          <w:rFonts w:ascii="Times New Roman" w:eastAsia="Times New Roman" w:hAnsi="Times New Roman" w:cs="Times New Roman"/>
          <w:sz w:val="24"/>
          <w:szCs w:val="24"/>
          <w:lang w:eastAsia="pl-PL"/>
        </w:rPr>
        <w:t xml:space="preserve">Projekt ustawy nie podlega procedurze notyfikacji aktów prawnych, określonej w przepisach rozporządzenia Rady Ministrów z dnia 23 grudnia 2002 r. w sprawie </w:t>
      </w:r>
      <w:r w:rsidR="00330697" w:rsidRPr="00C41BBF">
        <w:rPr>
          <w:rFonts w:ascii="Times New Roman" w:eastAsia="Times New Roman" w:hAnsi="Times New Roman" w:cs="Times New Roman"/>
          <w:sz w:val="24"/>
          <w:szCs w:val="24"/>
          <w:lang w:eastAsia="pl-PL"/>
        </w:rPr>
        <w:t xml:space="preserve">sposobu </w:t>
      </w:r>
      <w:r w:rsidRPr="00C41BBF">
        <w:rPr>
          <w:rFonts w:ascii="Times New Roman" w:eastAsia="Times New Roman" w:hAnsi="Times New Roman" w:cs="Times New Roman"/>
          <w:sz w:val="24"/>
          <w:szCs w:val="24"/>
          <w:lang w:eastAsia="pl-PL"/>
        </w:rPr>
        <w:t xml:space="preserve">funkcjonowania krajowego systemu notyfikacji norm i aktów prawnych (Dz. U. poz. 2039, z późn. zm.). </w:t>
      </w:r>
    </w:p>
    <w:p w14:paraId="00BF1639" w14:textId="701E6385" w:rsidR="0058798C" w:rsidRPr="00C41BBF" w:rsidRDefault="000F0E9B" w:rsidP="00C41BBF">
      <w:pPr>
        <w:shd w:val="clear" w:color="auto" w:fill="FFFFFF" w:themeFill="background1"/>
        <w:spacing w:before="120" w:after="0" w:line="360" w:lineRule="auto"/>
        <w:jc w:val="both"/>
        <w:rPr>
          <w:rFonts w:ascii="Times New Roman" w:hAnsi="Times New Roman" w:cs="Times New Roman"/>
          <w:sz w:val="24"/>
          <w:szCs w:val="24"/>
        </w:rPr>
      </w:pPr>
      <w:r w:rsidRPr="00C41BBF">
        <w:rPr>
          <w:rFonts w:ascii="Times New Roman" w:eastAsia="Times New Roman" w:hAnsi="Times New Roman" w:cs="Times New Roman"/>
          <w:sz w:val="24"/>
          <w:szCs w:val="24"/>
          <w:lang w:eastAsia="pl-PL"/>
        </w:rPr>
        <w:t>Projekt nie stwarza zagrożeń korupcyjnych.</w:t>
      </w:r>
    </w:p>
    <w:sectPr w:rsidR="0058798C" w:rsidRPr="00C41BBF" w:rsidSect="007B737F">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7F245" w14:textId="77777777" w:rsidR="00687F9B" w:rsidRDefault="00687F9B" w:rsidP="00A85EF8">
      <w:pPr>
        <w:spacing w:after="0" w:line="240" w:lineRule="auto"/>
      </w:pPr>
      <w:r>
        <w:separator/>
      </w:r>
    </w:p>
  </w:endnote>
  <w:endnote w:type="continuationSeparator" w:id="0">
    <w:p w14:paraId="34B0AEDD" w14:textId="77777777" w:rsidR="00687F9B" w:rsidRDefault="00687F9B" w:rsidP="00A8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Lato">
    <w:altName w:val="Calibri"/>
    <w:charset w:val="EE"/>
    <w:family w:val="swiss"/>
    <w:pitch w:val="variable"/>
    <w:sig w:usb0="E10002FF" w:usb1="5000ECFF" w:usb2="0000002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328309"/>
      <w:docPartObj>
        <w:docPartGallery w:val="Page Numbers (Bottom of Page)"/>
        <w:docPartUnique/>
      </w:docPartObj>
    </w:sdtPr>
    <w:sdtEndPr/>
    <w:sdtContent>
      <w:p w14:paraId="63E60FCE" w14:textId="27C8F652" w:rsidR="00581D21" w:rsidRPr="00C41BBF" w:rsidRDefault="00581D21" w:rsidP="00C41BBF">
        <w:pPr>
          <w:pStyle w:val="Stopka"/>
          <w:jc w:val="center"/>
          <w:rPr>
            <w:rFonts w:ascii="Times New Roman" w:hAnsi="Times New Roman" w:cs="Times New Roman"/>
            <w:sz w:val="24"/>
            <w:szCs w:val="24"/>
          </w:rPr>
        </w:pPr>
        <w:r w:rsidRPr="00C41BBF">
          <w:rPr>
            <w:rFonts w:ascii="Times New Roman" w:hAnsi="Times New Roman" w:cs="Times New Roman"/>
            <w:sz w:val="24"/>
            <w:szCs w:val="24"/>
          </w:rPr>
          <w:fldChar w:fldCharType="begin"/>
        </w:r>
        <w:r w:rsidRPr="00C41BBF">
          <w:rPr>
            <w:rFonts w:ascii="Times New Roman" w:hAnsi="Times New Roman" w:cs="Times New Roman"/>
            <w:sz w:val="24"/>
            <w:szCs w:val="24"/>
          </w:rPr>
          <w:instrText>PAGE   \* MERGEFORMAT</w:instrText>
        </w:r>
        <w:r w:rsidRPr="00C41BBF">
          <w:rPr>
            <w:rFonts w:ascii="Times New Roman" w:hAnsi="Times New Roman" w:cs="Times New Roman"/>
            <w:sz w:val="24"/>
            <w:szCs w:val="24"/>
          </w:rPr>
          <w:fldChar w:fldCharType="separate"/>
        </w:r>
        <w:r w:rsidR="00CE1F07">
          <w:rPr>
            <w:rFonts w:ascii="Times New Roman" w:hAnsi="Times New Roman" w:cs="Times New Roman"/>
            <w:noProof/>
            <w:sz w:val="24"/>
            <w:szCs w:val="24"/>
          </w:rPr>
          <w:t>21</w:t>
        </w:r>
        <w:r w:rsidRPr="00C41BB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9758C" w14:textId="77777777" w:rsidR="00687F9B" w:rsidRDefault="00687F9B" w:rsidP="00A85EF8">
      <w:pPr>
        <w:spacing w:after="0" w:line="240" w:lineRule="auto"/>
      </w:pPr>
      <w:r>
        <w:separator/>
      </w:r>
    </w:p>
  </w:footnote>
  <w:footnote w:type="continuationSeparator" w:id="0">
    <w:p w14:paraId="099DE2EE" w14:textId="77777777" w:rsidR="00687F9B" w:rsidRDefault="00687F9B" w:rsidP="00A85EF8">
      <w:pPr>
        <w:spacing w:after="0" w:line="240" w:lineRule="auto"/>
      </w:pPr>
      <w:r>
        <w:continuationSeparator/>
      </w:r>
    </w:p>
  </w:footnote>
  <w:footnote w:id="1">
    <w:p w14:paraId="0B68B648" w14:textId="129AB6EC" w:rsidR="00581D21" w:rsidRPr="00335A1B" w:rsidRDefault="00581D21" w:rsidP="007E63A6">
      <w:pPr>
        <w:pStyle w:val="Tekstprzypisudolnego"/>
        <w:jc w:val="both"/>
        <w:rPr>
          <w:rFonts w:ascii="Times New Roman" w:hAnsi="Times New Roman" w:cs="Times New Roman"/>
        </w:rPr>
      </w:pPr>
      <w:r w:rsidRPr="00335A1B">
        <w:rPr>
          <w:rStyle w:val="Odwoanieprzypisudolnego"/>
          <w:rFonts w:ascii="Times New Roman" w:hAnsi="Times New Roman"/>
        </w:rPr>
        <w:footnoteRef/>
      </w:r>
      <w:r w:rsidRPr="00834826">
        <w:rPr>
          <w:rFonts w:ascii="Times New Roman" w:hAnsi="Times New Roman" w:cs="Times New Roman"/>
          <w:vertAlign w:val="superscript"/>
        </w:rPr>
        <w:t>)</w:t>
      </w:r>
      <w:r w:rsidRPr="00335A1B">
        <w:rPr>
          <w:rFonts w:ascii="Times New Roman" w:hAnsi="Times New Roman" w:cs="Times New Roman"/>
        </w:rPr>
        <w:t xml:space="preserve"> https://www.podatki.gov.pl/wyjasnienia/1-podatku-opp-nie-straca-na-polskim-ladzie/ </w:t>
      </w:r>
    </w:p>
  </w:footnote>
  <w:footnote w:id="2">
    <w:p w14:paraId="4B25A213" w14:textId="4BC02631" w:rsidR="00581D21" w:rsidRPr="00335A1B" w:rsidRDefault="00581D21" w:rsidP="007E63A6">
      <w:pPr>
        <w:pStyle w:val="Tekstprzypisudolnego"/>
        <w:rPr>
          <w:rFonts w:ascii="Times New Roman" w:hAnsi="Times New Roman" w:cs="Times New Roman"/>
        </w:rPr>
      </w:pPr>
      <w:r w:rsidRPr="00335A1B">
        <w:rPr>
          <w:rStyle w:val="Odwoanieprzypisudolnego"/>
          <w:rFonts w:ascii="Times New Roman" w:hAnsi="Times New Roman"/>
        </w:rPr>
        <w:footnoteRef/>
      </w:r>
      <w:r w:rsidRPr="00834826">
        <w:rPr>
          <w:rFonts w:ascii="Times New Roman" w:hAnsi="Times New Roman" w:cs="Times New Roman"/>
          <w:vertAlign w:val="superscript"/>
        </w:rPr>
        <w:t>)</w:t>
      </w:r>
      <w:r w:rsidRPr="00335A1B">
        <w:rPr>
          <w:rFonts w:ascii="Times New Roman" w:hAnsi="Times New Roman" w:cs="Times New Roman"/>
        </w:rPr>
        <w:t xml:space="preserve"> Ustawa z dnia 27 sierpnia 2009 r. o finansach publicznych (Dz. U. z 2021 r. poz. 305,</w:t>
      </w:r>
      <w:r>
        <w:rPr>
          <w:rFonts w:ascii="Times New Roman" w:hAnsi="Times New Roman" w:cs="Times New Roman"/>
        </w:rPr>
        <w:t xml:space="preserve"> </w:t>
      </w:r>
      <w:r w:rsidRPr="00335A1B">
        <w:rPr>
          <w:rFonts w:ascii="Times New Roman" w:hAnsi="Times New Roman" w:cs="Times New Roman"/>
        </w:rPr>
        <w:t>z późn. zm.).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6324"/>
    <w:multiLevelType w:val="hybridMultilevel"/>
    <w:tmpl w:val="3656D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4423B1"/>
    <w:multiLevelType w:val="hybridMultilevel"/>
    <w:tmpl w:val="1A8831D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D431F4"/>
    <w:multiLevelType w:val="hybridMultilevel"/>
    <w:tmpl w:val="14F449DE"/>
    <w:lvl w:ilvl="0" w:tplc="4E80DB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20690C"/>
    <w:multiLevelType w:val="hybridMultilevel"/>
    <w:tmpl w:val="8C14718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DC458B3"/>
    <w:multiLevelType w:val="hybridMultilevel"/>
    <w:tmpl w:val="3F04C6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015544"/>
    <w:multiLevelType w:val="hybridMultilevel"/>
    <w:tmpl w:val="A9C6BE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B2174D"/>
    <w:multiLevelType w:val="hybridMultilevel"/>
    <w:tmpl w:val="4768B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01629ED"/>
    <w:multiLevelType w:val="hybridMultilevel"/>
    <w:tmpl w:val="2F8C82D0"/>
    <w:lvl w:ilvl="0" w:tplc="2FA4FC6E">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3C0D0D"/>
    <w:multiLevelType w:val="hybridMultilevel"/>
    <w:tmpl w:val="A6126C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E12541"/>
    <w:multiLevelType w:val="hybridMultilevel"/>
    <w:tmpl w:val="ABDEEC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1A076D"/>
    <w:multiLevelType w:val="hybridMultilevel"/>
    <w:tmpl w:val="2B9C59B6"/>
    <w:lvl w:ilvl="0" w:tplc="04150001">
      <w:start w:val="1"/>
      <w:numFmt w:val="bullet"/>
      <w:lvlText w:val=""/>
      <w:lvlJc w:val="left"/>
      <w:pPr>
        <w:ind w:left="1068" w:hanging="708"/>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2C73B77"/>
    <w:multiLevelType w:val="hybridMultilevel"/>
    <w:tmpl w:val="0D6AD6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4B3FC2"/>
    <w:multiLevelType w:val="hybridMultilevel"/>
    <w:tmpl w:val="733C2A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8B37A21"/>
    <w:multiLevelType w:val="hybridMultilevel"/>
    <w:tmpl w:val="3CC6FA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2D5AAA"/>
    <w:multiLevelType w:val="hybridMultilevel"/>
    <w:tmpl w:val="1A8831D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975357"/>
    <w:multiLevelType w:val="hybridMultilevel"/>
    <w:tmpl w:val="03EA987E"/>
    <w:lvl w:ilvl="0" w:tplc="2FA4FC6E">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3B2EFD"/>
    <w:multiLevelType w:val="hybridMultilevel"/>
    <w:tmpl w:val="9ED2732C"/>
    <w:lvl w:ilvl="0" w:tplc="D9E0F008">
      <w:start w:val="1"/>
      <w:numFmt w:val="bullet"/>
      <w:lvlText w:val=""/>
      <w:lvlJc w:val="left"/>
      <w:pPr>
        <w:ind w:left="1767" w:hanging="360"/>
      </w:pPr>
      <w:rPr>
        <w:rFonts w:ascii="Symbol" w:hAnsi="Symbol" w:hint="default"/>
      </w:rPr>
    </w:lvl>
    <w:lvl w:ilvl="1" w:tplc="04150003" w:tentative="1">
      <w:start w:val="1"/>
      <w:numFmt w:val="bullet"/>
      <w:lvlText w:val="o"/>
      <w:lvlJc w:val="left"/>
      <w:pPr>
        <w:ind w:left="2487" w:hanging="360"/>
      </w:pPr>
      <w:rPr>
        <w:rFonts w:ascii="Courier New" w:hAnsi="Courier New" w:cs="Courier New" w:hint="default"/>
      </w:rPr>
    </w:lvl>
    <w:lvl w:ilvl="2" w:tplc="04150005" w:tentative="1">
      <w:start w:val="1"/>
      <w:numFmt w:val="bullet"/>
      <w:lvlText w:val=""/>
      <w:lvlJc w:val="left"/>
      <w:pPr>
        <w:ind w:left="3207" w:hanging="360"/>
      </w:pPr>
      <w:rPr>
        <w:rFonts w:ascii="Wingdings" w:hAnsi="Wingdings" w:hint="default"/>
      </w:rPr>
    </w:lvl>
    <w:lvl w:ilvl="3" w:tplc="04150001" w:tentative="1">
      <w:start w:val="1"/>
      <w:numFmt w:val="bullet"/>
      <w:lvlText w:val=""/>
      <w:lvlJc w:val="left"/>
      <w:pPr>
        <w:ind w:left="3927" w:hanging="360"/>
      </w:pPr>
      <w:rPr>
        <w:rFonts w:ascii="Symbol" w:hAnsi="Symbol" w:hint="default"/>
      </w:rPr>
    </w:lvl>
    <w:lvl w:ilvl="4" w:tplc="04150003" w:tentative="1">
      <w:start w:val="1"/>
      <w:numFmt w:val="bullet"/>
      <w:lvlText w:val="o"/>
      <w:lvlJc w:val="left"/>
      <w:pPr>
        <w:ind w:left="4647" w:hanging="360"/>
      </w:pPr>
      <w:rPr>
        <w:rFonts w:ascii="Courier New" w:hAnsi="Courier New" w:cs="Courier New" w:hint="default"/>
      </w:rPr>
    </w:lvl>
    <w:lvl w:ilvl="5" w:tplc="04150005" w:tentative="1">
      <w:start w:val="1"/>
      <w:numFmt w:val="bullet"/>
      <w:lvlText w:val=""/>
      <w:lvlJc w:val="left"/>
      <w:pPr>
        <w:ind w:left="5367" w:hanging="360"/>
      </w:pPr>
      <w:rPr>
        <w:rFonts w:ascii="Wingdings" w:hAnsi="Wingdings" w:hint="default"/>
      </w:rPr>
    </w:lvl>
    <w:lvl w:ilvl="6" w:tplc="04150001" w:tentative="1">
      <w:start w:val="1"/>
      <w:numFmt w:val="bullet"/>
      <w:lvlText w:val=""/>
      <w:lvlJc w:val="left"/>
      <w:pPr>
        <w:ind w:left="6087" w:hanging="360"/>
      </w:pPr>
      <w:rPr>
        <w:rFonts w:ascii="Symbol" w:hAnsi="Symbol" w:hint="default"/>
      </w:rPr>
    </w:lvl>
    <w:lvl w:ilvl="7" w:tplc="04150003" w:tentative="1">
      <w:start w:val="1"/>
      <w:numFmt w:val="bullet"/>
      <w:lvlText w:val="o"/>
      <w:lvlJc w:val="left"/>
      <w:pPr>
        <w:ind w:left="6807" w:hanging="360"/>
      </w:pPr>
      <w:rPr>
        <w:rFonts w:ascii="Courier New" w:hAnsi="Courier New" w:cs="Courier New" w:hint="default"/>
      </w:rPr>
    </w:lvl>
    <w:lvl w:ilvl="8" w:tplc="04150005" w:tentative="1">
      <w:start w:val="1"/>
      <w:numFmt w:val="bullet"/>
      <w:lvlText w:val=""/>
      <w:lvlJc w:val="left"/>
      <w:pPr>
        <w:ind w:left="7527" w:hanging="360"/>
      </w:pPr>
      <w:rPr>
        <w:rFonts w:ascii="Wingdings" w:hAnsi="Wingdings" w:hint="default"/>
      </w:rPr>
    </w:lvl>
  </w:abstractNum>
  <w:abstractNum w:abstractNumId="17" w15:restartNumberingAfterBreak="0">
    <w:nsid w:val="43740A12"/>
    <w:multiLevelType w:val="hybridMultilevel"/>
    <w:tmpl w:val="EA1CB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6031498"/>
    <w:multiLevelType w:val="hybridMultilevel"/>
    <w:tmpl w:val="281C1F2A"/>
    <w:lvl w:ilvl="0" w:tplc="75EE8A3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0B696B"/>
    <w:multiLevelType w:val="hybridMultilevel"/>
    <w:tmpl w:val="009CDF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6D509AC"/>
    <w:multiLevelType w:val="hybridMultilevel"/>
    <w:tmpl w:val="58F298FE"/>
    <w:lvl w:ilvl="0" w:tplc="D9E0F008">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1" w15:restartNumberingAfterBreak="0">
    <w:nsid w:val="47EF50EB"/>
    <w:multiLevelType w:val="hybridMultilevel"/>
    <w:tmpl w:val="316682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B10622F"/>
    <w:multiLevelType w:val="hybridMultilevel"/>
    <w:tmpl w:val="DE62D0C6"/>
    <w:lvl w:ilvl="0" w:tplc="04150001">
      <w:start w:val="1"/>
      <w:numFmt w:val="bullet"/>
      <w:lvlText w:val=""/>
      <w:lvlJc w:val="left"/>
      <w:pPr>
        <w:ind w:left="1130" w:hanging="360"/>
      </w:pPr>
      <w:rPr>
        <w:rFonts w:ascii="Symbol" w:hAnsi="Symbol"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23" w15:restartNumberingAfterBreak="0">
    <w:nsid w:val="4C9E1C1D"/>
    <w:multiLevelType w:val="hybridMultilevel"/>
    <w:tmpl w:val="7ACEA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DDC2449"/>
    <w:multiLevelType w:val="hybridMultilevel"/>
    <w:tmpl w:val="7C66CF6C"/>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01">
      <w:start w:val="1"/>
      <w:numFmt w:val="bullet"/>
      <w:lvlText w:val=""/>
      <w:lvlJc w:val="left"/>
      <w:pPr>
        <w:ind w:left="2226" w:hanging="180"/>
      </w:pPr>
      <w:rPr>
        <w:rFonts w:ascii="Symbol" w:hAnsi="Symbol"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52B1058D"/>
    <w:multiLevelType w:val="hybridMultilevel"/>
    <w:tmpl w:val="5F827C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5129DE"/>
    <w:multiLevelType w:val="hybridMultilevel"/>
    <w:tmpl w:val="8DA222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AE125C3"/>
    <w:multiLevelType w:val="hybridMultilevel"/>
    <w:tmpl w:val="2F8C82D0"/>
    <w:lvl w:ilvl="0" w:tplc="2FA4FC6E">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2D3498"/>
    <w:multiLevelType w:val="hybridMultilevel"/>
    <w:tmpl w:val="7102BC16"/>
    <w:lvl w:ilvl="0" w:tplc="6A1628A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5B56F9"/>
    <w:multiLevelType w:val="hybridMultilevel"/>
    <w:tmpl w:val="A69EAE44"/>
    <w:lvl w:ilvl="0" w:tplc="04150011">
      <w:start w:val="1"/>
      <w:numFmt w:val="decimal"/>
      <w:lvlText w:val="%1)"/>
      <w:lvlJc w:val="left"/>
      <w:pPr>
        <w:ind w:left="720" w:hanging="360"/>
      </w:pPr>
    </w:lvl>
    <w:lvl w:ilvl="1" w:tplc="E6D0705E">
      <w:start w:val="1"/>
      <w:numFmt w:val="decimal"/>
      <w:lvlText w:val="%2)"/>
      <w:lvlJc w:val="left"/>
      <w:pPr>
        <w:ind w:left="1636" w:hanging="360"/>
      </w:pPr>
      <w:rPr>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8F48F8"/>
    <w:multiLevelType w:val="hybridMultilevel"/>
    <w:tmpl w:val="1F24F1E2"/>
    <w:lvl w:ilvl="0" w:tplc="04150011">
      <w:start w:val="1"/>
      <w:numFmt w:val="decimal"/>
      <w:lvlText w:val="%1)"/>
      <w:lvlJc w:val="left"/>
      <w:pPr>
        <w:ind w:left="720" w:hanging="360"/>
      </w:pPr>
    </w:lvl>
    <w:lvl w:ilvl="1" w:tplc="E6D0705E">
      <w:start w:val="1"/>
      <w:numFmt w:val="decimal"/>
      <w:lvlText w:val="%2)"/>
      <w:lvlJc w:val="left"/>
      <w:pPr>
        <w:ind w:left="1636" w:hanging="360"/>
      </w:pPr>
      <w:rPr>
        <w:b w:val="0"/>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5A4710"/>
    <w:multiLevelType w:val="hybridMultilevel"/>
    <w:tmpl w:val="DB74766C"/>
    <w:lvl w:ilvl="0" w:tplc="04150001">
      <w:start w:val="1"/>
      <w:numFmt w:val="bullet"/>
      <w:lvlText w:val=""/>
      <w:lvlJc w:val="left"/>
      <w:pPr>
        <w:ind w:left="1833" w:hanging="360"/>
      </w:pPr>
      <w:rPr>
        <w:rFonts w:ascii="Symbol" w:hAnsi="Symbol" w:hint="default"/>
      </w:rPr>
    </w:lvl>
    <w:lvl w:ilvl="1" w:tplc="04150003" w:tentative="1">
      <w:start w:val="1"/>
      <w:numFmt w:val="bullet"/>
      <w:lvlText w:val="o"/>
      <w:lvlJc w:val="left"/>
      <w:pPr>
        <w:ind w:left="2553" w:hanging="360"/>
      </w:pPr>
      <w:rPr>
        <w:rFonts w:ascii="Courier New" w:hAnsi="Courier New" w:cs="Courier New" w:hint="default"/>
      </w:rPr>
    </w:lvl>
    <w:lvl w:ilvl="2" w:tplc="04150005" w:tentative="1">
      <w:start w:val="1"/>
      <w:numFmt w:val="bullet"/>
      <w:lvlText w:val=""/>
      <w:lvlJc w:val="left"/>
      <w:pPr>
        <w:ind w:left="3273" w:hanging="360"/>
      </w:pPr>
      <w:rPr>
        <w:rFonts w:ascii="Wingdings" w:hAnsi="Wingdings" w:hint="default"/>
      </w:rPr>
    </w:lvl>
    <w:lvl w:ilvl="3" w:tplc="04150001" w:tentative="1">
      <w:start w:val="1"/>
      <w:numFmt w:val="bullet"/>
      <w:lvlText w:val=""/>
      <w:lvlJc w:val="left"/>
      <w:pPr>
        <w:ind w:left="3993" w:hanging="360"/>
      </w:pPr>
      <w:rPr>
        <w:rFonts w:ascii="Symbol" w:hAnsi="Symbol" w:hint="default"/>
      </w:rPr>
    </w:lvl>
    <w:lvl w:ilvl="4" w:tplc="04150003" w:tentative="1">
      <w:start w:val="1"/>
      <w:numFmt w:val="bullet"/>
      <w:lvlText w:val="o"/>
      <w:lvlJc w:val="left"/>
      <w:pPr>
        <w:ind w:left="4713" w:hanging="360"/>
      </w:pPr>
      <w:rPr>
        <w:rFonts w:ascii="Courier New" w:hAnsi="Courier New" w:cs="Courier New" w:hint="default"/>
      </w:rPr>
    </w:lvl>
    <w:lvl w:ilvl="5" w:tplc="04150005" w:tentative="1">
      <w:start w:val="1"/>
      <w:numFmt w:val="bullet"/>
      <w:lvlText w:val=""/>
      <w:lvlJc w:val="left"/>
      <w:pPr>
        <w:ind w:left="5433" w:hanging="360"/>
      </w:pPr>
      <w:rPr>
        <w:rFonts w:ascii="Wingdings" w:hAnsi="Wingdings" w:hint="default"/>
      </w:rPr>
    </w:lvl>
    <w:lvl w:ilvl="6" w:tplc="04150001" w:tentative="1">
      <w:start w:val="1"/>
      <w:numFmt w:val="bullet"/>
      <w:lvlText w:val=""/>
      <w:lvlJc w:val="left"/>
      <w:pPr>
        <w:ind w:left="6153" w:hanging="360"/>
      </w:pPr>
      <w:rPr>
        <w:rFonts w:ascii="Symbol" w:hAnsi="Symbol" w:hint="default"/>
      </w:rPr>
    </w:lvl>
    <w:lvl w:ilvl="7" w:tplc="04150003" w:tentative="1">
      <w:start w:val="1"/>
      <w:numFmt w:val="bullet"/>
      <w:lvlText w:val="o"/>
      <w:lvlJc w:val="left"/>
      <w:pPr>
        <w:ind w:left="6873" w:hanging="360"/>
      </w:pPr>
      <w:rPr>
        <w:rFonts w:ascii="Courier New" w:hAnsi="Courier New" w:cs="Courier New" w:hint="default"/>
      </w:rPr>
    </w:lvl>
    <w:lvl w:ilvl="8" w:tplc="04150005" w:tentative="1">
      <w:start w:val="1"/>
      <w:numFmt w:val="bullet"/>
      <w:lvlText w:val=""/>
      <w:lvlJc w:val="left"/>
      <w:pPr>
        <w:ind w:left="7593" w:hanging="360"/>
      </w:pPr>
      <w:rPr>
        <w:rFonts w:ascii="Wingdings" w:hAnsi="Wingdings" w:hint="default"/>
      </w:rPr>
    </w:lvl>
  </w:abstractNum>
  <w:abstractNum w:abstractNumId="32" w15:restartNumberingAfterBreak="0">
    <w:nsid w:val="67642D16"/>
    <w:multiLevelType w:val="hybridMultilevel"/>
    <w:tmpl w:val="C63699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9C1878"/>
    <w:multiLevelType w:val="hybridMultilevel"/>
    <w:tmpl w:val="70D4F734"/>
    <w:lvl w:ilvl="0" w:tplc="7CA65C4C">
      <w:start w:val="1"/>
      <w:numFmt w:val="decimal"/>
      <w:lvlText w:val="%1)"/>
      <w:lvlJc w:val="left"/>
      <w:pPr>
        <w:ind w:left="786"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D34F78"/>
    <w:multiLevelType w:val="hybridMultilevel"/>
    <w:tmpl w:val="D1264046"/>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35" w15:restartNumberingAfterBreak="0">
    <w:nsid w:val="719C4959"/>
    <w:multiLevelType w:val="hybridMultilevel"/>
    <w:tmpl w:val="9D88E76A"/>
    <w:lvl w:ilvl="0" w:tplc="C8562960">
      <w:start w:val="1"/>
      <w:numFmt w:val="decimal"/>
      <w:lvlText w:val="%1)"/>
      <w:lvlJc w:val="left"/>
      <w:pPr>
        <w:ind w:left="360" w:firstLine="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9923B2"/>
    <w:multiLevelType w:val="hybridMultilevel"/>
    <w:tmpl w:val="4DA63A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426BBF"/>
    <w:multiLevelType w:val="hybridMultilevel"/>
    <w:tmpl w:val="C2F238D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6543E9A"/>
    <w:multiLevelType w:val="hybridMultilevel"/>
    <w:tmpl w:val="B3BA8F58"/>
    <w:lvl w:ilvl="0" w:tplc="04150001">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39" w15:restartNumberingAfterBreak="0">
    <w:nsid w:val="77E84C71"/>
    <w:multiLevelType w:val="hybridMultilevel"/>
    <w:tmpl w:val="A53EE7EE"/>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78563AEB"/>
    <w:multiLevelType w:val="hybridMultilevel"/>
    <w:tmpl w:val="9ACC0096"/>
    <w:lvl w:ilvl="0" w:tplc="E2A207D4">
      <w:start w:val="1"/>
      <w:numFmt w:val="bullet"/>
      <w:lvlText w:val="•"/>
      <w:lvlJc w:val="left"/>
      <w:pPr>
        <w:ind w:left="928" w:hanging="360"/>
      </w:pPr>
      <w:rPr>
        <w:rFonts w:ascii="Arial" w:hAnsi="Arial" w:hint="default"/>
        <w:b/>
        <w:color w:val="auto"/>
        <w:sz w:val="28"/>
        <w:szCs w:val="28"/>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41" w15:restartNumberingAfterBreak="0">
    <w:nsid w:val="798005BD"/>
    <w:multiLevelType w:val="hybridMultilevel"/>
    <w:tmpl w:val="B66E2992"/>
    <w:lvl w:ilvl="0" w:tplc="04150001">
      <w:start w:val="1"/>
      <w:numFmt w:val="bullet"/>
      <w:lvlText w:val=""/>
      <w:lvlJc w:val="left"/>
      <w:pPr>
        <w:ind w:left="2553" w:hanging="360"/>
      </w:pPr>
      <w:rPr>
        <w:rFonts w:ascii="Symbol" w:hAnsi="Symbol" w:hint="default"/>
      </w:rPr>
    </w:lvl>
    <w:lvl w:ilvl="1" w:tplc="04150003" w:tentative="1">
      <w:start w:val="1"/>
      <w:numFmt w:val="bullet"/>
      <w:lvlText w:val="o"/>
      <w:lvlJc w:val="left"/>
      <w:pPr>
        <w:ind w:left="3273" w:hanging="360"/>
      </w:pPr>
      <w:rPr>
        <w:rFonts w:ascii="Courier New" w:hAnsi="Courier New" w:cs="Courier New" w:hint="default"/>
      </w:rPr>
    </w:lvl>
    <w:lvl w:ilvl="2" w:tplc="04150005" w:tentative="1">
      <w:start w:val="1"/>
      <w:numFmt w:val="bullet"/>
      <w:lvlText w:val=""/>
      <w:lvlJc w:val="left"/>
      <w:pPr>
        <w:ind w:left="3993" w:hanging="360"/>
      </w:pPr>
      <w:rPr>
        <w:rFonts w:ascii="Wingdings" w:hAnsi="Wingdings" w:hint="default"/>
      </w:rPr>
    </w:lvl>
    <w:lvl w:ilvl="3" w:tplc="04150001" w:tentative="1">
      <w:start w:val="1"/>
      <w:numFmt w:val="bullet"/>
      <w:lvlText w:val=""/>
      <w:lvlJc w:val="left"/>
      <w:pPr>
        <w:ind w:left="4713" w:hanging="360"/>
      </w:pPr>
      <w:rPr>
        <w:rFonts w:ascii="Symbol" w:hAnsi="Symbol" w:hint="default"/>
      </w:rPr>
    </w:lvl>
    <w:lvl w:ilvl="4" w:tplc="04150003" w:tentative="1">
      <w:start w:val="1"/>
      <w:numFmt w:val="bullet"/>
      <w:lvlText w:val="o"/>
      <w:lvlJc w:val="left"/>
      <w:pPr>
        <w:ind w:left="5433" w:hanging="360"/>
      </w:pPr>
      <w:rPr>
        <w:rFonts w:ascii="Courier New" w:hAnsi="Courier New" w:cs="Courier New" w:hint="default"/>
      </w:rPr>
    </w:lvl>
    <w:lvl w:ilvl="5" w:tplc="04150005" w:tentative="1">
      <w:start w:val="1"/>
      <w:numFmt w:val="bullet"/>
      <w:lvlText w:val=""/>
      <w:lvlJc w:val="left"/>
      <w:pPr>
        <w:ind w:left="6153" w:hanging="360"/>
      </w:pPr>
      <w:rPr>
        <w:rFonts w:ascii="Wingdings" w:hAnsi="Wingdings" w:hint="default"/>
      </w:rPr>
    </w:lvl>
    <w:lvl w:ilvl="6" w:tplc="04150001" w:tentative="1">
      <w:start w:val="1"/>
      <w:numFmt w:val="bullet"/>
      <w:lvlText w:val=""/>
      <w:lvlJc w:val="left"/>
      <w:pPr>
        <w:ind w:left="6873" w:hanging="360"/>
      </w:pPr>
      <w:rPr>
        <w:rFonts w:ascii="Symbol" w:hAnsi="Symbol" w:hint="default"/>
      </w:rPr>
    </w:lvl>
    <w:lvl w:ilvl="7" w:tplc="04150003" w:tentative="1">
      <w:start w:val="1"/>
      <w:numFmt w:val="bullet"/>
      <w:lvlText w:val="o"/>
      <w:lvlJc w:val="left"/>
      <w:pPr>
        <w:ind w:left="7593" w:hanging="360"/>
      </w:pPr>
      <w:rPr>
        <w:rFonts w:ascii="Courier New" w:hAnsi="Courier New" w:cs="Courier New" w:hint="default"/>
      </w:rPr>
    </w:lvl>
    <w:lvl w:ilvl="8" w:tplc="04150005" w:tentative="1">
      <w:start w:val="1"/>
      <w:numFmt w:val="bullet"/>
      <w:lvlText w:val=""/>
      <w:lvlJc w:val="left"/>
      <w:pPr>
        <w:ind w:left="8313" w:hanging="360"/>
      </w:pPr>
      <w:rPr>
        <w:rFonts w:ascii="Wingdings" w:hAnsi="Wingdings" w:hint="default"/>
      </w:rPr>
    </w:lvl>
  </w:abstractNum>
  <w:abstractNum w:abstractNumId="42" w15:restartNumberingAfterBreak="0">
    <w:nsid w:val="7A07370C"/>
    <w:multiLevelType w:val="hybridMultilevel"/>
    <w:tmpl w:val="F2A064F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5431E5"/>
    <w:multiLevelType w:val="hybridMultilevel"/>
    <w:tmpl w:val="7280F9CA"/>
    <w:lvl w:ilvl="0" w:tplc="04150011">
      <w:start w:val="1"/>
      <w:numFmt w:val="decimal"/>
      <w:lvlText w:val="%1)"/>
      <w:lvlJc w:val="left"/>
      <w:pPr>
        <w:ind w:left="786" w:hanging="360"/>
      </w:pPr>
    </w:lvl>
    <w:lvl w:ilvl="1" w:tplc="6D223E44">
      <w:start w:val="1"/>
      <w:numFmt w:val="lowerLetter"/>
      <w:lvlText w:val="%2)"/>
      <w:lvlJc w:val="left"/>
      <w:pPr>
        <w:ind w:left="1506" w:hanging="360"/>
      </w:pPr>
      <w:rPr>
        <w:b w:val="0"/>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7E8628BF"/>
    <w:multiLevelType w:val="hybridMultilevel"/>
    <w:tmpl w:val="1C3C7BEA"/>
    <w:lvl w:ilvl="0" w:tplc="04150011">
      <w:start w:val="1"/>
      <w:numFmt w:val="decimal"/>
      <w:lvlText w:val="%1)"/>
      <w:lvlJc w:val="left"/>
      <w:pPr>
        <w:ind w:left="720" w:hanging="360"/>
      </w:pPr>
      <w:rPr>
        <w:rFonts w:hint="default"/>
      </w:rPr>
    </w:lvl>
    <w:lvl w:ilvl="1" w:tplc="549409E4">
      <w:start w:val="1"/>
      <w:numFmt w:val="lowerLetter"/>
      <w:lvlText w:val="%2)"/>
      <w:lvlJc w:val="left"/>
      <w:pPr>
        <w:ind w:left="1440" w:hanging="360"/>
      </w:pPr>
      <w:rPr>
        <w:b w:val="0"/>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D868CD"/>
    <w:multiLevelType w:val="hybridMultilevel"/>
    <w:tmpl w:val="8326DB92"/>
    <w:lvl w:ilvl="0" w:tplc="D9E0F00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num w:numId="1">
    <w:abstractNumId w:val="15"/>
  </w:num>
  <w:num w:numId="2">
    <w:abstractNumId w:val="38"/>
  </w:num>
  <w:num w:numId="3">
    <w:abstractNumId w:val="41"/>
  </w:num>
  <w:num w:numId="4">
    <w:abstractNumId w:val="20"/>
  </w:num>
  <w:num w:numId="5">
    <w:abstractNumId w:val="40"/>
  </w:num>
  <w:num w:numId="6">
    <w:abstractNumId w:val="42"/>
  </w:num>
  <w:num w:numId="7">
    <w:abstractNumId w:val="12"/>
  </w:num>
  <w:num w:numId="8">
    <w:abstractNumId w:val="45"/>
  </w:num>
  <w:num w:numId="9">
    <w:abstractNumId w:val="19"/>
  </w:num>
  <w:num w:numId="10">
    <w:abstractNumId w:val="10"/>
  </w:num>
  <w:num w:numId="11">
    <w:abstractNumId w:val="33"/>
  </w:num>
  <w:num w:numId="12">
    <w:abstractNumId w:val="22"/>
  </w:num>
  <w:num w:numId="13">
    <w:abstractNumId w:val="2"/>
  </w:num>
  <w:num w:numId="14">
    <w:abstractNumId w:val="4"/>
  </w:num>
  <w:num w:numId="15">
    <w:abstractNumId w:val="23"/>
  </w:num>
  <w:num w:numId="16">
    <w:abstractNumId w:val="21"/>
  </w:num>
  <w:num w:numId="17">
    <w:abstractNumId w:val="1"/>
  </w:num>
  <w:num w:numId="18">
    <w:abstractNumId w:val="28"/>
  </w:num>
  <w:num w:numId="19">
    <w:abstractNumId w:val="14"/>
  </w:num>
  <w:num w:numId="20">
    <w:abstractNumId w:val="34"/>
  </w:num>
  <w:num w:numId="21">
    <w:abstractNumId w:val="16"/>
  </w:num>
  <w:num w:numId="22">
    <w:abstractNumId w:val="31"/>
  </w:num>
  <w:num w:numId="23">
    <w:abstractNumId w:val="25"/>
  </w:num>
  <w:num w:numId="24">
    <w:abstractNumId w:val="36"/>
  </w:num>
  <w:num w:numId="25">
    <w:abstractNumId w:val="18"/>
  </w:num>
  <w:num w:numId="26">
    <w:abstractNumId w:val="7"/>
  </w:num>
  <w:num w:numId="27">
    <w:abstractNumId w:val="27"/>
  </w:num>
  <w:num w:numId="28">
    <w:abstractNumId w:val="17"/>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9"/>
  </w:num>
  <w:num w:numId="32">
    <w:abstractNumId w:val="35"/>
  </w:num>
  <w:num w:numId="33">
    <w:abstractNumId w:val="44"/>
  </w:num>
  <w:num w:numId="34">
    <w:abstractNumId w:val="5"/>
  </w:num>
  <w:num w:numId="35">
    <w:abstractNumId w:val="39"/>
  </w:num>
  <w:num w:numId="36">
    <w:abstractNumId w:val="43"/>
  </w:num>
  <w:num w:numId="37">
    <w:abstractNumId w:val="24"/>
  </w:num>
  <w:num w:numId="38">
    <w:abstractNumId w:val="29"/>
  </w:num>
  <w:num w:numId="39">
    <w:abstractNumId w:val="30"/>
  </w:num>
  <w:num w:numId="40">
    <w:abstractNumId w:val="26"/>
  </w:num>
  <w:num w:numId="41">
    <w:abstractNumId w:val="13"/>
  </w:num>
  <w:num w:numId="42">
    <w:abstractNumId w:val="6"/>
  </w:num>
  <w:num w:numId="43">
    <w:abstractNumId w:val="11"/>
  </w:num>
  <w:num w:numId="44">
    <w:abstractNumId w:val="32"/>
  </w:num>
  <w:num w:numId="45">
    <w:abstractNumId w:val="37"/>
  </w:num>
  <w:num w:numId="46">
    <w:abstractNumId w:val="8"/>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F8"/>
    <w:rsid w:val="000034C8"/>
    <w:rsid w:val="00007D97"/>
    <w:rsid w:val="00045B15"/>
    <w:rsid w:val="00052E0F"/>
    <w:rsid w:val="00065E2B"/>
    <w:rsid w:val="0006602B"/>
    <w:rsid w:val="000769F2"/>
    <w:rsid w:val="000837D1"/>
    <w:rsid w:val="00091116"/>
    <w:rsid w:val="000B335D"/>
    <w:rsid w:val="000C0ED6"/>
    <w:rsid w:val="000C41B3"/>
    <w:rsid w:val="000C5023"/>
    <w:rsid w:val="000D032D"/>
    <w:rsid w:val="000D15E7"/>
    <w:rsid w:val="000D68CE"/>
    <w:rsid w:val="000E5D9A"/>
    <w:rsid w:val="000F0E9B"/>
    <w:rsid w:val="00137734"/>
    <w:rsid w:val="001443E8"/>
    <w:rsid w:val="0014623A"/>
    <w:rsid w:val="001552CB"/>
    <w:rsid w:val="00165003"/>
    <w:rsid w:val="00170502"/>
    <w:rsid w:val="001864C0"/>
    <w:rsid w:val="00187201"/>
    <w:rsid w:val="00191D45"/>
    <w:rsid w:val="0019780F"/>
    <w:rsid w:val="001A197A"/>
    <w:rsid w:val="001A2756"/>
    <w:rsid w:val="001A474C"/>
    <w:rsid w:val="001B17BB"/>
    <w:rsid w:val="001D2C4B"/>
    <w:rsid w:val="001D5134"/>
    <w:rsid w:val="001E064E"/>
    <w:rsid w:val="001E28E8"/>
    <w:rsid w:val="001E3CF7"/>
    <w:rsid w:val="001E5BF8"/>
    <w:rsid w:val="001E67CB"/>
    <w:rsid w:val="001F09AC"/>
    <w:rsid w:val="002007A2"/>
    <w:rsid w:val="00203EB7"/>
    <w:rsid w:val="0024015E"/>
    <w:rsid w:val="00240B3A"/>
    <w:rsid w:val="00266DB6"/>
    <w:rsid w:val="002805D3"/>
    <w:rsid w:val="00281A25"/>
    <w:rsid w:val="002839B4"/>
    <w:rsid w:val="0028448E"/>
    <w:rsid w:val="002853A6"/>
    <w:rsid w:val="00287F53"/>
    <w:rsid w:val="00291FAE"/>
    <w:rsid w:val="00294845"/>
    <w:rsid w:val="002A600F"/>
    <w:rsid w:val="002B0789"/>
    <w:rsid w:val="002C6E21"/>
    <w:rsid w:val="002D184C"/>
    <w:rsid w:val="002D415D"/>
    <w:rsid w:val="002F6DD5"/>
    <w:rsid w:val="00305D82"/>
    <w:rsid w:val="0030711D"/>
    <w:rsid w:val="00313115"/>
    <w:rsid w:val="003143E2"/>
    <w:rsid w:val="00316138"/>
    <w:rsid w:val="00326FF0"/>
    <w:rsid w:val="003301AC"/>
    <w:rsid w:val="00330697"/>
    <w:rsid w:val="00335A1B"/>
    <w:rsid w:val="003475A4"/>
    <w:rsid w:val="00356A2D"/>
    <w:rsid w:val="00357BC3"/>
    <w:rsid w:val="003601FD"/>
    <w:rsid w:val="00374F1E"/>
    <w:rsid w:val="00384CE2"/>
    <w:rsid w:val="00397123"/>
    <w:rsid w:val="003A4881"/>
    <w:rsid w:val="003B4651"/>
    <w:rsid w:val="003B7C4A"/>
    <w:rsid w:val="003C1011"/>
    <w:rsid w:val="003D0646"/>
    <w:rsid w:val="003D5CFE"/>
    <w:rsid w:val="003D66DE"/>
    <w:rsid w:val="003E08BC"/>
    <w:rsid w:val="003E4DFB"/>
    <w:rsid w:val="003E71DB"/>
    <w:rsid w:val="004002BC"/>
    <w:rsid w:val="004204A1"/>
    <w:rsid w:val="00421DD4"/>
    <w:rsid w:val="00435E31"/>
    <w:rsid w:val="0044485F"/>
    <w:rsid w:val="004471E6"/>
    <w:rsid w:val="004629E9"/>
    <w:rsid w:val="00465C6D"/>
    <w:rsid w:val="00465FEB"/>
    <w:rsid w:val="0047054D"/>
    <w:rsid w:val="0047227F"/>
    <w:rsid w:val="0048298D"/>
    <w:rsid w:val="0048762A"/>
    <w:rsid w:val="004917C9"/>
    <w:rsid w:val="004952EC"/>
    <w:rsid w:val="004B04E0"/>
    <w:rsid w:val="004B0698"/>
    <w:rsid w:val="004B61D0"/>
    <w:rsid w:val="004C084C"/>
    <w:rsid w:val="004D5B24"/>
    <w:rsid w:val="004D5F84"/>
    <w:rsid w:val="004D7673"/>
    <w:rsid w:val="004F71A4"/>
    <w:rsid w:val="004F7B24"/>
    <w:rsid w:val="0051050A"/>
    <w:rsid w:val="00511360"/>
    <w:rsid w:val="00514AC6"/>
    <w:rsid w:val="00530553"/>
    <w:rsid w:val="00531C0C"/>
    <w:rsid w:val="00531CA0"/>
    <w:rsid w:val="00536076"/>
    <w:rsid w:val="00546B24"/>
    <w:rsid w:val="00552D80"/>
    <w:rsid w:val="005569EC"/>
    <w:rsid w:val="00557065"/>
    <w:rsid w:val="00561428"/>
    <w:rsid w:val="005678C2"/>
    <w:rsid w:val="00573050"/>
    <w:rsid w:val="00575875"/>
    <w:rsid w:val="00581D21"/>
    <w:rsid w:val="00583890"/>
    <w:rsid w:val="005862DF"/>
    <w:rsid w:val="0058798C"/>
    <w:rsid w:val="005929F4"/>
    <w:rsid w:val="005A786A"/>
    <w:rsid w:val="005B672B"/>
    <w:rsid w:val="005B6941"/>
    <w:rsid w:val="005C1A6C"/>
    <w:rsid w:val="005C21DC"/>
    <w:rsid w:val="005C268F"/>
    <w:rsid w:val="005C6BFD"/>
    <w:rsid w:val="005C715E"/>
    <w:rsid w:val="005E746E"/>
    <w:rsid w:val="006061D3"/>
    <w:rsid w:val="0061045F"/>
    <w:rsid w:val="00625BE0"/>
    <w:rsid w:val="00626753"/>
    <w:rsid w:val="00630C14"/>
    <w:rsid w:val="0063372E"/>
    <w:rsid w:val="006577C2"/>
    <w:rsid w:val="00664D22"/>
    <w:rsid w:val="00685277"/>
    <w:rsid w:val="00687F9B"/>
    <w:rsid w:val="006A13AB"/>
    <w:rsid w:val="006A4093"/>
    <w:rsid w:val="006B3E1C"/>
    <w:rsid w:val="006C575E"/>
    <w:rsid w:val="006D2E4A"/>
    <w:rsid w:val="006F2EB2"/>
    <w:rsid w:val="00710885"/>
    <w:rsid w:val="00715C5D"/>
    <w:rsid w:val="00737114"/>
    <w:rsid w:val="0074467A"/>
    <w:rsid w:val="00745159"/>
    <w:rsid w:val="00762159"/>
    <w:rsid w:val="00771729"/>
    <w:rsid w:val="007819CC"/>
    <w:rsid w:val="007919FF"/>
    <w:rsid w:val="007B42CB"/>
    <w:rsid w:val="007B737F"/>
    <w:rsid w:val="007C0DDA"/>
    <w:rsid w:val="007C1684"/>
    <w:rsid w:val="007C1768"/>
    <w:rsid w:val="007C2C7B"/>
    <w:rsid w:val="007C38B5"/>
    <w:rsid w:val="007D1806"/>
    <w:rsid w:val="007D3FF8"/>
    <w:rsid w:val="007E1C0D"/>
    <w:rsid w:val="007E63A6"/>
    <w:rsid w:val="007F060E"/>
    <w:rsid w:val="00802C8A"/>
    <w:rsid w:val="00807A83"/>
    <w:rsid w:val="008101FD"/>
    <w:rsid w:val="0081096D"/>
    <w:rsid w:val="00810B7F"/>
    <w:rsid w:val="00816726"/>
    <w:rsid w:val="0082578F"/>
    <w:rsid w:val="0083348A"/>
    <w:rsid w:val="00833904"/>
    <w:rsid w:val="00834826"/>
    <w:rsid w:val="0086099C"/>
    <w:rsid w:val="008655C0"/>
    <w:rsid w:val="00873BE7"/>
    <w:rsid w:val="00874369"/>
    <w:rsid w:val="008B2C2B"/>
    <w:rsid w:val="008D395E"/>
    <w:rsid w:val="008D4377"/>
    <w:rsid w:val="008D602C"/>
    <w:rsid w:val="008E43AA"/>
    <w:rsid w:val="008F4B01"/>
    <w:rsid w:val="00912AEF"/>
    <w:rsid w:val="00920C94"/>
    <w:rsid w:val="00921F93"/>
    <w:rsid w:val="009250CE"/>
    <w:rsid w:val="00933D39"/>
    <w:rsid w:val="0094111B"/>
    <w:rsid w:val="00943FCA"/>
    <w:rsid w:val="00953DF5"/>
    <w:rsid w:val="00960BBD"/>
    <w:rsid w:val="0096407C"/>
    <w:rsid w:val="009651A4"/>
    <w:rsid w:val="00965BD1"/>
    <w:rsid w:val="00965E8E"/>
    <w:rsid w:val="00971732"/>
    <w:rsid w:val="00995B5A"/>
    <w:rsid w:val="009A6AB0"/>
    <w:rsid w:val="009B19F8"/>
    <w:rsid w:val="009C6077"/>
    <w:rsid w:val="009C7AC4"/>
    <w:rsid w:val="009D05C8"/>
    <w:rsid w:val="009D1102"/>
    <w:rsid w:val="009D3A35"/>
    <w:rsid w:val="009F1873"/>
    <w:rsid w:val="00A04665"/>
    <w:rsid w:val="00A11689"/>
    <w:rsid w:val="00A15F33"/>
    <w:rsid w:val="00A23026"/>
    <w:rsid w:val="00A302BC"/>
    <w:rsid w:val="00A322E8"/>
    <w:rsid w:val="00A353DD"/>
    <w:rsid w:val="00A60DCA"/>
    <w:rsid w:val="00A645B2"/>
    <w:rsid w:val="00A75AFB"/>
    <w:rsid w:val="00A77A41"/>
    <w:rsid w:val="00A85EF8"/>
    <w:rsid w:val="00A871C8"/>
    <w:rsid w:val="00A93B37"/>
    <w:rsid w:val="00AB157F"/>
    <w:rsid w:val="00AB595B"/>
    <w:rsid w:val="00AC65A6"/>
    <w:rsid w:val="00AE6C0A"/>
    <w:rsid w:val="00B02951"/>
    <w:rsid w:val="00B07555"/>
    <w:rsid w:val="00B129A4"/>
    <w:rsid w:val="00B251F5"/>
    <w:rsid w:val="00B45722"/>
    <w:rsid w:val="00B6728C"/>
    <w:rsid w:val="00B96862"/>
    <w:rsid w:val="00B97A9A"/>
    <w:rsid w:val="00BC174B"/>
    <w:rsid w:val="00BC174E"/>
    <w:rsid w:val="00BF6872"/>
    <w:rsid w:val="00C03FB1"/>
    <w:rsid w:val="00C1618B"/>
    <w:rsid w:val="00C213E0"/>
    <w:rsid w:val="00C32D0D"/>
    <w:rsid w:val="00C36E1A"/>
    <w:rsid w:val="00C40491"/>
    <w:rsid w:val="00C41BBF"/>
    <w:rsid w:val="00C60C44"/>
    <w:rsid w:val="00C675E9"/>
    <w:rsid w:val="00C7756D"/>
    <w:rsid w:val="00C84262"/>
    <w:rsid w:val="00C877F0"/>
    <w:rsid w:val="00C93338"/>
    <w:rsid w:val="00CB0C31"/>
    <w:rsid w:val="00CC0C9D"/>
    <w:rsid w:val="00CC4669"/>
    <w:rsid w:val="00CD3ADE"/>
    <w:rsid w:val="00CD408F"/>
    <w:rsid w:val="00CE1F07"/>
    <w:rsid w:val="00CE5793"/>
    <w:rsid w:val="00CF3756"/>
    <w:rsid w:val="00CF7E6D"/>
    <w:rsid w:val="00D1303E"/>
    <w:rsid w:val="00D138BD"/>
    <w:rsid w:val="00D14340"/>
    <w:rsid w:val="00D21378"/>
    <w:rsid w:val="00D25E27"/>
    <w:rsid w:val="00D31436"/>
    <w:rsid w:val="00D332AF"/>
    <w:rsid w:val="00D4293D"/>
    <w:rsid w:val="00D454C0"/>
    <w:rsid w:val="00D4717C"/>
    <w:rsid w:val="00D51803"/>
    <w:rsid w:val="00D52F75"/>
    <w:rsid w:val="00D7607C"/>
    <w:rsid w:val="00D94182"/>
    <w:rsid w:val="00D95C11"/>
    <w:rsid w:val="00D95F1B"/>
    <w:rsid w:val="00DA3F0D"/>
    <w:rsid w:val="00DA5092"/>
    <w:rsid w:val="00DA52B8"/>
    <w:rsid w:val="00DA6109"/>
    <w:rsid w:val="00DC06E2"/>
    <w:rsid w:val="00DC61BF"/>
    <w:rsid w:val="00DD1D6D"/>
    <w:rsid w:val="00DD4F90"/>
    <w:rsid w:val="00DE012B"/>
    <w:rsid w:val="00DE1F08"/>
    <w:rsid w:val="00DE50BE"/>
    <w:rsid w:val="00DE708B"/>
    <w:rsid w:val="00DF0190"/>
    <w:rsid w:val="00DF34D9"/>
    <w:rsid w:val="00DF5639"/>
    <w:rsid w:val="00DF6231"/>
    <w:rsid w:val="00DF7995"/>
    <w:rsid w:val="00E02479"/>
    <w:rsid w:val="00E03AFA"/>
    <w:rsid w:val="00E55375"/>
    <w:rsid w:val="00E5589D"/>
    <w:rsid w:val="00E56484"/>
    <w:rsid w:val="00E7736C"/>
    <w:rsid w:val="00E840E9"/>
    <w:rsid w:val="00E84CD5"/>
    <w:rsid w:val="00EA193F"/>
    <w:rsid w:val="00EA4260"/>
    <w:rsid w:val="00EC073D"/>
    <w:rsid w:val="00EC6375"/>
    <w:rsid w:val="00ED080C"/>
    <w:rsid w:val="00ED242B"/>
    <w:rsid w:val="00ED3D45"/>
    <w:rsid w:val="00EE1B9F"/>
    <w:rsid w:val="00EF3D11"/>
    <w:rsid w:val="00EF6C9E"/>
    <w:rsid w:val="00F110B7"/>
    <w:rsid w:val="00F148C1"/>
    <w:rsid w:val="00F15608"/>
    <w:rsid w:val="00F235C3"/>
    <w:rsid w:val="00F24B4B"/>
    <w:rsid w:val="00F3056D"/>
    <w:rsid w:val="00F31D5C"/>
    <w:rsid w:val="00F31F21"/>
    <w:rsid w:val="00F33D07"/>
    <w:rsid w:val="00F534A2"/>
    <w:rsid w:val="00F64A0C"/>
    <w:rsid w:val="00F71771"/>
    <w:rsid w:val="00F76D9E"/>
    <w:rsid w:val="00F84488"/>
    <w:rsid w:val="00F92C50"/>
    <w:rsid w:val="00F94D2D"/>
    <w:rsid w:val="00F95B8F"/>
    <w:rsid w:val="00FA2DBC"/>
    <w:rsid w:val="00FA7BA1"/>
    <w:rsid w:val="00FB03AA"/>
    <w:rsid w:val="00FC6BC9"/>
    <w:rsid w:val="00FD2922"/>
    <w:rsid w:val="00FD6828"/>
    <w:rsid w:val="00FF6CC3"/>
    <w:rsid w:val="00FF73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FCAB77"/>
  <w15:docId w15:val="{C30A0625-BC68-40D4-BC33-0BE127BF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6862"/>
  </w:style>
  <w:style w:type="paragraph" w:styleId="Nagwek2">
    <w:name w:val="heading 2"/>
    <w:basedOn w:val="Normalny"/>
    <w:link w:val="Nagwek2Znak"/>
    <w:uiPriority w:val="9"/>
    <w:qFormat/>
    <w:rsid w:val="00943FCA"/>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5EF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5EF8"/>
  </w:style>
  <w:style w:type="paragraph" w:styleId="Tekstprzypisudolnego">
    <w:name w:val="footnote text"/>
    <w:basedOn w:val="Normalny"/>
    <w:link w:val="TekstprzypisudolnegoZnak"/>
    <w:uiPriority w:val="99"/>
    <w:semiHidden/>
    <w:unhideWhenUsed/>
    <w:rsid w:val="00A85EF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85EF8"/>
    <w:rPr>
      <w:sz w:val="20"/>
      <w:szCs w:val="20"/>
    </w:rPr>
  </w:style>
  <w:style w:type="character" w:styleId="Odwoanieprzypisudolnego">
    <w:name w:val="footnote reference"/>
    <w:uiPriority w:val="99"/>
    <w:semiHidden/>
    <w:rsid w:val="00A85EF8"/>
    <w:rPr>
      <w:rFonts w:cs="Times New Roman"/>
      <w:vertAlign w:val="superscript"/>
    </w:rPr>
  </w:style>
  <w:style w:type="character" w:styleId="Hipercze">
    <w:name w:val="Hyperlink"/>
    <w:basedOn w:val="Domylnaczcionkaakapitu"/>
    <w:uiPriority w:val="99"/>
    <w:unhideWhenUsed/>
    <w:rsid w:val="00A85EF8"/>
    <w:rPr>
      <w:color w:val="0563C1" w:themeColor="hyperlink"/>
      <w:u w:val="single"/>
    </w:rPr>
  </w:style>
  <w:style w:type="character" w:styleId="Odwoaniedokomentarza">
    <w:name w:val="annotation reference"/>
    <w:basedOn w:val="Domylnaczcionkaakapitu"/>
    <w:uiPriority w:val="99"/>
    <w:semiHidden/>
    <w:unhideWhenUsed/>
    <w:rsid w:val="00943FCA"/>
    <w:rPr>
      <w:sz w:val="16"/>
      <w:szCs w:val="16"/>
    </w:rPr>
  </w:style>
  <w:style w:type="paragraph" w:styleId="Tekstkomentarza">
    <w:name w:val="annotation text"/>
    <w:basedOn w:val="Normalny"/>
    <w:link w:val="TekstkomentarzaZnak"/>
    <w:uiPriority w:val="99"/>
    <w:semiHidden/>
    <w:unhideWhenUsed/>
    <w:rsid w:val="00943FC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43FCA"/>
    <w:rPr>
      <w:sz w:val="20"/>
      <w:szCs w:val="20"/>
    </w:rPr>
  </w:style>
  <w:style w:type="paragraph" w:styleId="Tematkomentarza">
    <w:name w:val="annotation subject"/>
    <w:basedOn w:val="Tekstkomentarza"/>
    <w:next w:val="Tekstkomentarza"/>
    <w:link w:val="TematkomentarzaZnak"/>
    <w:uiPriority w:val="99"/>
    <w:semiHidden/>
    <w:unhideWhenUsed/>
    <w:rsid w:val="00943FCA"/>
    <w:rPr>
      <w:b/>
      <w:bCs/>
    </w:rPr>
  </w:style>
  <w:style w:type="character" w:customStyle="1" w:styleId="TematkomentarzaZnak">
    <w:name w:val="Temat komentarza Znak"/>
    <w:basedOn w:val="TekstkomentarzaZnak"/>
    <w:link w:val="Tematkomentarza"/>
    <w:uiPriority w:val="99"/>
    <w:semiHidden/>
    <w:rsid w:val="00943FCA"/>
    <w:rPr>
      <w:b/>
      <w:bCs/>
      <w:sz w:val="20"/>
      <w:szCs w:val="20"/>
    </w:rPr>
  </w:style>
  <w:style w:type="paragraph" w:styleId="Tekstdymka">
    <w:name w:val="Balloon Text"/>
    <w:basedOn w:val="Normalny"/>
    <w:link w:val="TekstdymkaZnak"/>
    <w:uiPriority w:val="99"/>
    <w:semiHidden/>
    <w:unhideWhenUsed/>
    <w:rsid w:val="00943FC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3FCA"/>
    <w:rPr>
      <w:rFonts w:ascii="Segoe UI" w:hAnsi="Segoe UI" w:cs="Segoe UI"/>
      <w:sz w:val="18"/>
      <w:szCs w:val="18"/>
    </w:rPr>
  </w:style>
  <w:style w:type="character" w:customStyle="1" w:styleId="Nagwek2Znak">
    <w:name w:val="Nagłówek 2 Znak"/>
    <w:basedOn w:val="Domylnaczcionkaakapitu"/>
    <w:link w:val="Nagwek2"/>
    <w:uiPriority w:val="9"/>
    <w:rsid w:val="00943FCA"/>
    <w:rPr>
      <w:rFonts w:ascii="Times New Roman" w:eastAsia="Times New Roman" w:hAnsi="Times New Roman" w:cs="Times New Roman"/>
      <w:b/>
      <w:bCs/>
      <w:sz w:val="36"/>
      <w:szCs w:val="36"/>
      <w:lang w:eastAsia="pl-PL"/>
    </w:rPr>
  </w:style>
  <w:style w:type="paragraph" w:customStyle="1" w:styleId="divparagraph">
    <w:name w:val="div.paragraph"/>
    <w:uiPriority w:val="99"/>
    <w:rsid w:val="00DD4F90"/>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ZARTzmartartykuempunktem">
    <w:name w:val="Z/ART(§) – zm. art. (§) artykułem (punktem)"/>
    <w:basedOn w:val="Normalny"/>
    <w:uiPriority w:val="30"/>
    <w:qFormat/>
    <w:rsid w:val="006A409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6A4093"/>
    <w:pPr>
      <w:spacing w:after="0" w:line="360" w:lineRule="auto"/>
      <w:ind w:left="1020" w:hanging="510"/>
      <w:jc w:val="both"/>
    </w:pPr>
    <w:rPr>
      <w:rFonts w:ascii="Times" w:eastAsiaTheme="minorEastAsia" w:hAnsi="Times" w:cs="Arial"/>
      <w:bCs/>
      <w:sz w:val="24"/>
      <w:szCs w:val="20"/>
      <w:lang w:eastAsia="pl-PL"/>
    </w:rPr>
  </w:style>
  <w:style w:type="paragraph" w:styleId="Akapitzlist">
    <w:name w:val="List Paragraph"/>
    <w:basedOn w:val="Normalny"/>
    <w:uiPriority w:val="34"/>
    <w:qFormat/>
    <w:rsid w:val="006A4093"/>
    <w:pPr>
      <w:ind w:left="720"/>
      <w:contextualSpacing/>
    </w:pPr>
  </w:style>
  <w:style w:type="paragraph" w:customStyle="1" w:styleId="ZUSTzmustartykuempunktem">
    <w:name w:val="Z/UST(§) – zm. ust. (§) artykułem (punktem)"/>
    <w:basedOn w:val="ZARTzmartartykuempunktem"/>
    <w:uiPriority w:val="30"/>
    <w:qFormat/>
    <w:rsid w:val="00762159"/>
  </w:style>
  <w:style w:type="paragraph" w:customStyle="1" w:styleId="ZLITUSTzmustliter">
    <w:name w:val="Z_LIT/UST(§) – zm. ust. (§) literą"/>
    <w:basedOn w:val="Normalny"/>
    <w:uiPriority w:val="46"/>
    <w:qFormat/>
    <w:rsid w:val="00F534A2"/>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FD6828"/>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NormalnyWeb">
    <w:name w:val="Normal (Web)"/>
    <w:basedOn w:val="Normalny"/>
    <w:uiPriority w:val="99"/>
    <w:unhideWhenUsed/>
    <w:rsid w:val="0083348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ivpoint">
    <w:name w:val="div.point"/>
    <w:uiPriority w:val="99"/>
    <w:rsid w:val="00CE5793"/>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Poprawka">
    <w:name w:val="Revision"/>
    <w:hidden/>
    <w:uiPriority w:val="99"/>
    <w:semiHidden/>
    <w:rsid w:val="004F71A4"/>
    <w:pPr>
      <w:spacing w:after="0" w:line="240" w:lineRule="auto"/>
    </w:pPr>
  </w:style>
  <w:style w:type="paragraph" w:customStyle="1" w:styleId="ZLITLITzmlitliter">
    <w:name w:val="Z_LIT/LIT – zm. lit. literą"/>
    <w:basedOn w:val="Normalny"/>
    <w:uiPriority w:val="48"/>
    <w:qFormat/>
    <w:rsid w:val="00191D45"/>
    <w:pPr>
      <w:spacing w:after="0" w:line="360" w:lineRule="auto"/>
      <w:ind w:left="1463" w:hanging="476"/>
      <w:jc w:val="both"/>
    </w:pPr>
    <w:rPr>
      <w:rFonts w:ascii="Times" w:eastAsiaTheme="minorEastAsia" w:hAnsi="Times" w:cs="Arial"/>
      <w:bCs/>
      <w:sz w:val="24"/>
      <w:szCs w:val="20"/>
      <w:lang w:eastAsia="pl-PL"/>
    </w:rPr>
  </w:style>
  <w:style w:type="character" w:customStyle="1" w:styleId="TekstpodstawowyZnak">
    <w:name w:val="Tekst podstawowy Znak"/>
    <w:basedOn w:val="Domylnaczcionkaakapitu"/>
    <w:link w:val="Tekstpodstawowy"/>
    <w:uiPriority w:val="1"/>
    <w:qFormat/>
    <w:rsid w:val="007E63A6"/>
    <w:rPr>
      <w:rFonts w:eastAsia="Lato" w:cs="Lato"/>
      <w:sz w:val="24"/>
    </w:rPr>
  </w:style>
  <w:style w:type="paragraph" w:styleId="Tekstpodstawowy">
    <w:name w:val="Body Text"/>
    <w:basedOn w:val="Normalny"/>
    <w:link w:val="TekstpodstawowyZnak"/>
    <w:uiPriority w:val="1"/>
    <w:qFormat/>
    <w:rsid w:val="007E63A6"/>
    <w:pPr>
      <w:widowControl w:val="0"/>
      <w:suppressAutoHyphens/>
      <w:spacing w:after="120" w:line="240" w:lineRule="auto"/>
    </w:pPr>
    <w:rPr>
      <w:rFonts w:eastAsia="Lato" w:cs="Lato"/>
      <w:sz w:val="24"/>
    </w:rPr>
  </w:style>
  <w:style w:type="character" w:customStyle="1" w:styleId="TekstpodstawowyZnak1">
    <w:name w:val="Tekst podstawowy Znak1"/>
    <w:basedOn w:val="Domylnaczcionkaakapitu"/>
    <w:uiPriority w:val="99"/>
    <w:semiHidden/>
    <w:rsid w:val="007E63A6"/>
  </w:style>
  <w:style w:type="paragraph" w:styleId="Stopka">
    <w:name w:val="footer"/>
    <w:basedOn w:val="Normalny"/>
    <w:link w:val="StopkaZnak"/>
    <w:uiPriority w:val="99"/>
    <w:unhideWhenUsed/>
    <w:rsid w:val="00C41B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6914">
      <w:bodyDiv w:val="1"/>
      <w:marLeft w:val="0"/>
      <w:marRight w:val="0"/>
      <w:marTop w:val="0"/>
      <w:marBottom w:val="0"/>
      <w:divBdr>
        <w:top w:val="none" w:sz="0" w:space="0" w:color="auto"/>
        <w:left w:val="none" w:sz="0" w:space="0" w:color="auto"/>
        <w:bottom w:val="none" w:sz="0" w:space="0" w:color="auto"/>
        <w:right w:val="none" w:sz="0" w:space="0" w:color="auto"/>
      </w:divBdr>
    </w:div>
    <w:div w:id="355929756">
      <w:bodyDiv w:val="1"/>
      <w:marLeft w:val="0"/>
      <w:marRight w:val="0"/>
      <w:marTop w:val="0"/>
      <w:marBottom w:val="0"/>
      <w:divBdr>
        <w:top w:val="none" w:sz="0" w:space="0" w:color="auto"/>
        <w:left w:val="none" w:sz="0" w:space="0" w:color="auto"/>
        <w:bottom w:val="none" w:sz="0" w:space="0" w:color="auto"/>
        <w:right w:val="none" w:sz="0" w:space="0" w:color="auto"/>
      </w:divBdr>
    </w:div>
    <w:div w:id="623078564">
      <w:bodyDiv w:val="1"/>
      <w:marLeft w:val="0"/>
      <w:marRight w:val="0"/>
      <w:marTop w:val="0"/>
      <w:marBottom w:val="0"/>
      <w:divBdr>
        <w:top w:val="none" w:sz="0" w:space="0" w:color="auto"/>
        <w:left w:val="none" w:sz="0" w:space="0" w:color="auto"/>
        <w:bottom w:val="none" w:sz="0" w:space="0" w:color="auto"/>
        <w:right w:val="none" w:sz="0" w:space="0" w:color="auto"/>
      </w:divBdr>
    </w:div>
    <w:div w:id="1023481291">
      <w:bodyDiv w:val="1"/>
      <w:marLeft w:val="0"/>
      <w:marRight w:val="0"/>
      <w:marTop w:val="0"/>
      <w:marBottom w:val="0"/>
      <w:divBdr>
        <w:top w:val="none" w:sz="0" w:space="0" w:color="auto"/>
        <w:left w:val="none" w:sz="0" w:space="0" w:color="auto"/>
        <w:bottom w:val="none" w:sz="0" w:space="0" w:color="auto"/>
        <w:right w:val="none" w:sz="0" w:space="0" w:color="auto"/>
      </w:divBdr>
    </w:div>
    <w:div w:id="1459643424">
      <w:bodyDiv w:val="1"/>
      <w:marLeft w:val="0"/>
      <w:marRight w:val="0"/>
      <w:marTop w:val="0"/>
      <w:marBottom w:val="0"/>
      <w:divBdr>
        <w:top w:val="none" w:sz="0" w:space="0" w:color="auto"/>
        <w:left w:val="none" w:sz="0" w:space="0" w:color="auto"/>
        <w:bottom w:val="none" w:sz="0" w:space="0" w:color="auto"/>
        <w:right w:val="none" w:sz="0" w:space="0" w:color="auto"/>
      </w:divBdr>
    </w:div>
    <w:div w:id="1533223937">
      <w:bodyDiv w:val="1"/>
      <w:marLeft w:val="0"/>
      <w:marRight w:val="0"/>
      <w:marTop w:val="0"/>
      <w:marBottom w:val="0"/>
      <w:divBdr>
        <w:top w:val="none" w:sz="0" w:space="0" w:color="auto"/>
        <w:left w:val="none" w:sz="0" w:space="0" w:color="auto"/>
        <w:bottom w:val="none" w:sz="0" w:space="0" w:color="auto"/>
        <w:right w:val="none" w:sz="0" w:space="0" w:color="auto"/>
      </w:divBdr>
    </w:div>
    <w:div w:id="184617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8E3F8-A286-4707-A647-2F67EA33B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19354</Words>
  <Characters>116125</Characters>
  <Application>Microsoft Office Word</Application>
  <DocSecurity>4</DocSecurity>
  <Lines>967</Lines>
  <Paragraphs>270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Molenda-Detyna Iwona</dc:creator>
  <cp:lastModifiedBy>Binkowska Joanna</cp:lastModifiedBy>
  <cp:revision>2</cp:revision>
  <dcterms:created xsi:type="dcterms:W3CDTF">2022-04-22T15:08:00Z</dcterms:created>
  <dcterms:modified xsi:type="dcterms:W3CDTF">2022-04-22T15:08:00Z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MF\AIMD;Molenda-Detyna Iwona</vt:lpwstr>
  </property>
  <property fmtid="{D5CDD505-2E9C-101B-9397-08002B2CF9AE}" pid="4" name="MFClassificationDate">
    <vt:lpwstr>2022-03-15T12:45:52.7869496+01:00</vt:lpwstr>
  </property>
  <property fmtid="{D5CDD505-2E9C-101B-9397-08002B2CF9AE}" pid="5" name="MFClassifiedBySID">
    <vt:lpwstr>MF\S-1-5-21-1525952054-1005573771-2909822258-9144</vt:lpwstr>
  </property>
  <property fmtid="{D5CDD505-2E9C-101B-9397-08002B2CF9AE}" pid="6" name="MFGRNItemId">
    <vt:lpwstr>GRN-e4574c64-8c07-4313-a9fb-2ece43fe7916</vt:lpwstr>
  </property>
  <property fmtid="{D5CDD505-2E9C-101B-9397-08002B2CF9AE}" pid="7" name="MFHash">
    <vt:lpwstr>u3M3hJnAeQnZCF3w7GYVd6Lh76EZwTALoVA56HNyxpY=</vt:lpwstr>
  </property>
  <property fmtid="{D5CDD505-2E9C-101B-9397-08002B2CF9AE}" pid="8" name="DLPManualFileClassification">
    <vt:lpwstr>{5fdfc941-3fcf-4a5b-87be-4848800d39d0}</vt:lpwstr>
  </property>
  <property fmtid="{D5CDD505-2E9C-101B-9397-08002B2CF9AE}" pid="9" name="MFRefresh">
    <vt:lpwstr>False</vt:lpwstr>
  </property>
</Properties>
</file>