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1D9113" w14:textId="77777777" w:rsidR="00D77CB2" w:rsidRPr="003B0A32" w:rsidRDefault="00197E85" w:rsidP="003B0A32">
      <w:pPr>
        <w:spacing w:after="120" w:line="360" w:lineRule="auto"/>
        <w:jc w:val="center"/>
        <w:rPr>
          <w:rFonts w:ascii="Times New Roman" w:hAnsi="Times New Roman" w:cs="Times New Roman"/>
          <w:color w:val="auto"/>
          <w:spacing w:val="20"/>
          <w:sz w:val="24"/>
          <w:szCs w:val="24"/>
        </w:rPr>
      </w:pPr>
      <w:bookmarkStart w:id="0" w:name="_GoBack"/>
      <w:bookmarkEnd w:id="0"/>
      <w:r w:rsidRPr="003B0A32">
        <w:rPr>
          <w:rFonts w:ascii="Times New Roman" w:hAnsi="Times New Roman" w:cs="Times New Roman"/>
          <w:color w:val="auto"/>
          <w:spacing w:val="20"/>
          <w:sz w:val="24"/>
          <w:szCs w:val="24"/>
        </w:rPr>
        <w:t>UZASADNIENIE</w:t>
      </w:r>
    </w:p>
    <w:p w14:paraId="3DF8738E" w14:textId="4CFA2C96" w:rsidR="00036AC1" w:rsidRPr="003B0A32" w:rsidRDefault="0058106F" w:rsidP="003B0A32">
      <w:pPr>
        <w:pStyle w:val="Teksttreci20"/>
        <w:widowControl/>
        <w:shd w:val="clear" w:color="auto" w:fill="auto"/>
        <w:spacing w:before="120" w:after="120" w:line="360" w:lineRule="auto"/>
        <w:ind w:firstLine="0"/>
        <w:rPr>
          <w:rFonts w:ascii="Times New Roman" w:hAnsi="Times New Roman" w:cs="Times New Roman"/>
          <w:b/>
          <w:color w:val="auto"/>
          <w:sz w:val="24"/>
          <w:szCs w:val="24"/>
        </w:rPr>
      </w:pPr>
      <w:r w:rsidRPr="003B0A32">
        <w:rPr>
          <w:rFonts w:ascii="Times New Roman" w:hAnsi="Times New Roman" w:cs="Times New Roman"/>
          <w:color w:val="auto"/>
          <w:sz w:val="24"/>
          <w:szCs w:val="24"/>
        </w:rPr>
        <w:t xml:space="preserve">Projektowana ustawa </w:t>
      </w:r>
      <w:r w:rsidR="00385C6E" w:rsidRPr="003B0A32">
        <w:rPr>
          <w:rFonts w:ascii="Times New Roman" w:hAnsi="Times New Roman" w:cs="Times New Roman"/>
          <w:color w:val="auto"/>
          <w:sz w:val="24"/>
          <w:szCs w:val="24"/>
        </w:rPr>
        <w:t xml:space="preserve">ma na celu </w:t>
      </w:r>
      <w:r w:rsidR="008F52D5" w:rsidRPr="003B0A32">
        <w:rPr>
          <w:rFonts w:ascii="Times New Roman" w:hAnsi="Times New Roman" w:cs="Times New Roman"/>
          <w:color w:val="auto"/>
          <w:sz w:val="24"/>
          <w:szCs w:val="24"/>
        </w:rPr>
        <w:t xml:space="preserve">usprawnienie procesu wnoszenia przez </w:t>
      </w:r>
      <w:r w:rsidR="00733317" w:rsidRPr="003B0A32">
        <w:rPr>
          <w:rFonts w:ascii="Times New Roman" w:hAnsi="Times New Roman" w:cs="Times New Roman"/>
          <w:color w:val="auto"/>
          <w:sz w:val="24"/>
          <w:szCs w:val="24"/>
        </w:rPr>
        <w:t>Polskie Koleje Państwowe S.A., zwane dalej „</w:t>
      </w:r>
      <w:r w:rsidR="008F52D5" w:rsidRPr="003B0A32">
        <w:rPr>
          <w:rFonts w:ascii="Times New Roman" w:hAnsi="Times New Roman" w:cs="Times New Roman"/>
          <w:color w:val="auto"/>
          <w:sz w:val="24"/>
          <w:szCs w:val="24"/>
        </w:rPr>
        <w:t>PKP S.A.</w:t>
      </w:r>
      <w:r w:rsidR="00733317" w:rsidRPr="003B0A32">
        <w:rPr>
          <w:rFonts w:ascii="Times New Roman" w:hAnsi="Times New Roman" w:cs="Times New Roman"/>
          <w:color w:val="auto"/>
          <w:sz w:val="24"/>
          <w:szCs w:val="24"/>
        </w:rPr>
        <w:t>”,</w:t>
      </w:r>
      <w:r w:rsidR="008F52D5" w:rsidRPr="003B0A32">
        <w:rPr>
          <w:rFonts w:ascii="Times New Roman" w:hAnsi="Times New Roman" w:cs="Times New Roman"/>
          <w:color w:val="auto"/>
          <w:sz w:val="24"/>
          <w:szCs w:val="24"/>
        </w:rPr>
        <w:t xml:space="preserve"> do spółki PKP Polskie Linie Kolejowe S.A., zwanej dalej „PKP PLK S.A.”,</w:t>
      </w:r>
      <w:r w:rsidR="008F52D5" w:rsidRPr="003B0A32" w:rsidDel="003D0C84">
        <w:rPr>
          <w:rFonts w:ascii="Times New Roman" w:hAnsi="Times New Roman" w:cs="Times New Roman"/>
          <w:color w:val="auto"/>
          <w:sz w:val="24"/>
          <w:szCs w:val="24"/>
        </w:rPr>
        <w:t xml:space="preserve"> </w:t>
      </w:r>
      <w:r w:rsidR="008F52D5" w:rsidRPr="003B0A32">
        <w:rPr>
          <w:rFonts w:ascii="Times New Roman" w:hAnsi="Times New Roman" w:cs="Times New Roman"/>
          <w:color w:val="auto"/>
          <w:sz w:val="24"/>
          <w:szCs w:val="24"/>
        </w:rPr>
        <w:t xml:space="preserve">składników majątkowych niezbędnych do prowadzenia działalności w zakresie zarządzania infrastrukturą kolejową, w tym w formule przeniesienia zorganizowanej części przedsiębiorstwa, a w szczególności </w:t>
      </w:r>
      <w:r w:rsidR="00385C6E" w:rsidRPr="003B0A32">
        <w:rPr>
          <w:rFonts w:ascii="Times New Roman" w:hAnsi="Times New Roman" w:cs="Times New Roman"/>
          <w:color w:val="auto"/>
          <w:sz w:val="24"/>
          <w:szCs w:val="24"/>
        </w:rPr>
        <w:t>nieruchomości kolejowych znajdujących się do 2000 r. we władaniu przedsiębiorstwa państwowego PKP, a</w:t>
      </w:r>
      <w:r w:rsidR="00FA62D9" w:rsidRPr="003B0A32">
        <w:rPr>
          <w:rFonts w:ascii="Times New Roman" w:hAnsi="Times New Roman" w:cs="Times New Roman"/>
          <w:color w:val="auto"/>
          <w:sz w:val="24"/>
          <w:szCs w:val="24"/>
        </w:rPr>
        <w:t> </w:t>
      </w:r>
      <w:r w:rsidR="00385C6E" w:rsidRPr="003B0A32">
        <w:rPr>
          <w:rFonts w:ascii="Times New Roman" w:hAnsi="Times New Roman" w:cs="Times New Roman"/>
          <w:color w:val="auto"/>
          <w:sz w:val="24"/>
          <w:szCs w:val="24"/>
        </w:rPr>
        <w:t>obecnie we władaniu PKP</w:t>
      </w:r>
      <w:r w:rsidR="00FB0951" w:rsidRPr="003B0A32">
        <w:rPr>
          <w:rFonts w:ascii="Times New Roman" w:hAnsi="Times New Roman" w:cs="Times New Roman"/>
          <w:color w:val="auto"/>
          <w:sz w:val="24"/>
          <w:szCs w:val="24"/>
        </w:rPr>
        <w:t xml:space="preserve"> S.A.</w:t>
      </w:r>
      <w:bookmarkStart w:id="1" w:name="_Toc511306846"/>
      <w:r w:rsidR="00D55BD6" w:rsidRPr="003B0A32">
        <w:rPr>
          <w:rFonts w:ascii="Times New Roman" w:hAnsi="Times New Roman" w:cs="Times New Roman"/>
          <w:color w:val="auto"/>
          <w:sz w:val="24"/>
          <w:szCs w:val="24"/>
        </w:rPr>
        <w:t>,</w:t>
      </w:r>
      <w:r w:rsidR="008F52D5" w:rsidRPr="003B0A32">
        <w:rPr>
          <w:rFonts w:ascii="Times New Roman" w:hAnsi="Times New Roman" w:cs="Times New Roman"/>
          <w:color w:val="auto"/>
          <w:sz w:val="24"/>
          <w:szCs w:val="24"/>
        </w:rPr>
        <w:t xml:space="preserve"> przez wprowadzeni</w:t>
      </w:r>
      <w:r w:rsidR="00733317" w:rsidRPr="003B0A32">
        <w:rPr>
          <w:rFonts w:ascii="Times New Roman" w:hAnsi="Times New Roman" w:cs="Times New Roman"/>
          <w:color w:val="auto"/>
          <w:sz w:val="24"/>
          <w:szCs w:val="24"/>
        </w:rPr>
        <w:t>e</w:t>
      </w:r>
      <w:r w:rsidR="008F52D5" w:rsidRPr="003B0A32">
        <w:rPr>
          <w:rFonts w:ascii="Times New Roman" w:hAnsi="Times New Roman" w:cs="Times New Roman"/>
          <w:color w:val="auto"/>
          <w:sz w:val="24"/>
          <w:szCs w:val="24"/>
        </w:rPr>
        <w:t xml:space="preserve"> odpowiednich zmian</w:t>
      </w:r>
      <w:r w:rsidR="00036AC1" w:rsidRPr="003B0A32">
        <w:rPr>
          <w:rFonts w:ascii="Times New Roman" w:hAnsi="Times New Roman" w:cs="Times New Roman"/>
          <w:color w:val="auto"/>
          <w:sz w:val="24"/>
          <w:szCs w:val="24"/>
        </w:rPr>
        <w:t xml:space="preserve"> w ustawie z dnia 8 września 2000 r. </w:t>
      </w:r>
      <w:r w:rsidR="00036AC1" w:rsidRPr="003B0A32">
        <w:rPr>
          <w:rFonts w:ascii="Times New Roman" w:hAnsi="Times New Roman" w:cs="Times New Roman"/>
          <w:i/>
          <w:color w:val="auto"/>
          <w:sz w:val="24"/>
          <w:szCs w:val="24"/>
        </w:rPr>
        <w:t>o komercjalizacji i restrukturyzacji przedsiębiorstwa państwowego „Polskie Kolejowe Państwowe”</w:t>
      </w:r>
      <w:r w:rsidR="00036AC1" w:rsidRPr="003B0A32">
        <w:rPr>
          <w:rFonts w:ascii="Times New Roman" w:hAnsi="Times New Roman" w:cs="Times New Roman"/>
          <w:color w:val="auto"/>
          <w:sz w:val="24"/>
          <w:szCs w:val="24"/>
        </w:rPr>
        <w:t xml:space="preserve"> (Dz. U. z 2021 r. poz. 146</w:t>
      </w:r>
      <w:r w:rsidR="00C850B0" w:rsidRPr="003B0A32">
        <w:rPr>
          <w:rFonts w:ascii="Times New Roman" w:eastAsiaTheme="minorEastAsia" w:hAnsi="Times New Roman" w:cs="Times New Roman"/>
          <w:color w:val="auto"/>
          <w:sz w:val="24"/>
          <w:lang w:eastAsia="pl-PL"/>
        </w:rPr>
        <w:t xml:space="preserve"> </w:t>
      </w:r>
      <w:r w:rsidR="00C850B0" w:rsidRPr="003B0A32">
        <w:rPr>
          <w:rFonts w:ascii="Times New Roman" w:hAnsi="Times New Roman" w:cs="Times New Roman"/>
          <w:color w:val="auto"/>
          <w:sz w:val="24"/>
          <w:szCs w:val="24"/>
        </w:rPr>
        <w:t>oraz z 2022 r. poz. 655</w:t>
      </w:r>
      <w:r w:rsidR="00D55BD6" w:rsidRPr="003B0A32">
        <w:rPr>
          <w:rFonts w:ascii="Times New Roman" w:hAnsi="Times New Roman" w:cs="Times New Roman"/>
          <w:color w:val="auto"/>
          <w:sz w:val="24"/>
          <w:szCs w:val="24"/>
        </w:rPr>
        <w:t>)</w:t>
      </w:r>
      <w:r w:rsidR="009C3554" w:rsidRPr="003B0A32">
        <w:rPr>
          <w:rFonts w:ascii="Times New Roman" w:hAnsi="Times New Roman" w:cs="Times New Roman"/>
          <w:color w:val="auto"/>
          <w:sz w:val="24"/>
          <w:szCs w:val="24"/>
        </w:rPr>
        <w:t xml:space="preserve">, </w:t>
      </w:r>
      <w:r w:rsidR="00D55BD6" w:rsidRPr="003B0A32">
        <w:rPr>
          <w:rFonts w:ascii="Times New Roman" w:hAnsi="Times New Roman" w:cs="Times New Roman"/>
          <w:color w:val="auto"/>
          <w:sz w:val="24"/>
          <w:szCs w:val="24"/>
        </w:rPr>
        <w:t>zwanej dalej</w:t>
      </w:r>
      <w:r w:rsidR="009C3554" w:rsidRPr="003B0A32">
        <w:rPr>
          <w:rFonts w:ascii="Times New Roman" w:hAnsi="Times New Roman" w:cs="Times New Roman"/>
          <w:color w:val="auto"/>
          <w:sz w:val="24"/>
          <w:szCs w:val="24"/>
        </w:rPr>
        <w:t xml:space="preserve"> „</w:t>
      </w:r>
      <w:r w:rsidR="009D2D37" w:rsidRPr="003B0A32">
        <w:rPr>
          <w:rFonts w:ascii="Times New Roman" w:hAnsi="Times New Roman" w:cs="Times New Roman"/>
          <w:color w:val="auto"/>
          <w:sz w:val="24"/>
          <w:szCs w:val="24"/>
        </w:rPr>
        <w:t>ustaw</w:t>
      </w:r>
      <w:r w:rsidR="00721325" w:rsidRPr="003B0A32">
        <w:rPr>
          <w:rFonts w:ascii="Times New Roman" w:hAnsi="Times New Roman" w:cs="Times New Roman"/>
          <w:color w:val="auto"/>
          <w:sz w:val="24"/>
          <w:szCs w:val="24"/>
        </w:rPr>
        <w:t>ą</w:t>
      </w:r>
      <w:r w:rsidR="009C3554" w:rsidRPr="003B0A32">
        <w:rPr>
          <w:rFonts w:ascii="Times New Roman" w:hAnsi="Times New Roman" w:cs="Times New Roman"/>
          <w:color w:val="auto"/>
          <w:sz w:val="24"/>
          <w:szCs w:val="24"/>
        </w:rPr>
        <w:t xml:space="preserve"> o komercjalizacji PKP”</w:t>
      </w:r>
      <w:r w:rsidR="008F52D5" w:rsidRPr="003B0A32">
        <w:rPr>
          <w:rFonts w:ascii="Times New Roman" w:hAnsi="Times New Roman" w:cs="Times New Roman"/>
          <w:color w:val="auto"/>
          <w:sz w:val="24"/>
          <w:szCs w:val="24"/>
        </w:rPr>
        <w:t>.</w:t>
      </w:r>
    </w:p>
    <w:p w14:paraId="7333020F" w14:textId="3E450474" w:rsidR="00907D15" w:rsidRPr="003B0A32" w:rsidRDefault="00907D15" w:rsidP="003B0A32">
      <w:pPr>
        <w:pStyle w:val="ZUSTzmustartykuempunktem"/>
        <w:spacing w:before="120" w:after="120"/>
        <w:ind w:left="0" w:firstLine="0"/>
        <w:rPr>
          <w:rFonts w:ascii="Times New Roman" w:hAnsi="Times New Roman" w:cs="Times New Roman"/>
          <w:szCs w:val="24"/>
        </w:rPr>
      </w:pPr>
      <w:r w:rsidRPr="003B0A32">
        <w:rPr>
          <w:rFonts w:ascii="Times New Roman" w:hAnsi="Times New Roman" w:cs="Times New Roman"/>
          <w:szCs w:val="24"/>
        </w:rPr>
        <w:t>Powody interwencji prawodawczej w zakresie podatku dochodowego od aportu i podatku od</w:t>
      </w:r>
      <w:r w:rsidR="007E72DF" w:rsidRPr="003B0A32">
        <w:rPr>
          <w:rFonts w:ascii="Times New Roman" w:hAnsi="Times New Roman" w:cs="Times New Roman"/>
          <w:szCs w:val="24"/>
        </w:rPr>
        <w:t> </w:t>
      </w:r>
      <w:r w:rsidRPr="003B0A32">
        <w:rPr>
          <w:rFonts w:ascii="Times New Roman" w:hAnsi="Times New Roman" w:cs="Times New Roman"/>
          <w:szCs w:val="24"/>
        </w:rPr>
        <w:t>towarów i usług od czynszu</w:t>
      </w:r>
      <w:r w:rsidR="003B0A32">
        <w:rPr>
          <w:rFonts w:ascii="Times New Roman" w:hAnsi="Times New Roman" w:cs="Times New Roman"/>
          <w:szCs w:val="24"/>
        </w:rPr>
        <w:t>:</w:t>
      </w:r>
    </w:p>
    <w:p w14:paraId="6FE24F71" w14:textId="1AB0330B" w:rsidR="00F47342" w:rsidRPr="003B0A32" w:rsidRDefault="00EF06C4" w:rsidP="00644E2C">
      <w:pPr>
        <w:numPr>
          <w:ilvl w:val="0"/>
          <w:numId w:val="64"/>
        </w:numPr>
        <w:spacing w:before="120" w:line="360" w:lineRule="auto"/>
        <w:jc w:val="both"/>
        <w:rPr>
          <w:rFonts w:ascii="Times New Roman" w:hAnsi="Times New Roman" w:cs="Times New Roman"/>
          <w:color w:val="auto"/>
          <w:sz w:val="24"/>
          <w:szCs w:val="24"/>
        </w:rPr>
      </w:pPr>
      <w:r w:rsidRPr="003B0A32">
        <w:rPr>
          <w:rFonts w:ascii="Times New Roman" w:hAnsi="Times New Roman" w:cs="Times New Roman"/>
          <w:color w:val="auto"/>
          <w:sz w:val="24"/>
          <w:szCs w:val="24"/>
        </w:rPr>
        <w:t xml:space="preserve">Proponowane zmiany w art. 17 ust. 5 ustawy o komercjalizacji </w:t>
      </w:r>
      <w:r w:rsidR="009D2D37" w:rsidRPr="003B0A32">
        <w:rPr>
          <w:rFonts w:ascii="Times New Roman" w:hAnsi="Times New Roman" w:cs="Times New Roman"/>
          <w:color w:val="auto"/>
          <w:sz w:val="24"/>
          <w:szCs w:val="24"/>
        </w:rPr>
        <w:t>PKP</w:t>
      </w:r>
      <w:r w:rsidR="009D2D37" w:rsidRPr="003B0A32">
        <w:rPr>
          <w:rFonts w:ascii="Times New Roman" w:hAnsi="Times New Roman" w:cs="Times New Roman"/>
          <w:i/>
          <w:color w:val="auto"/>
          <w:sz w:val="24"/>
          <w:szCs w:val="24"/>
        </w:rPr>
        <w:t xml:space="preserve"> </w:t>
      </w:r>
      <w:r w:rsidRPr="003B0A32">
        <w:rPr>
          <w:rFonts w:ascii="Times New Roman" w:hAnsi="Times New Roman" w:cs="Times New Roman"/>
          <w:color w:val="auto"/>
          <w:sz w:val="24"/>
          <w:szCs w:val="24"/>
        </w:rPr>
        <w:t>mają na celu usprawnienie procesu wnoszenia przez PKP S</w:t>
      </w:r>
      <w:r w:rsidR="00FB0951" w:rsidRPr="003B0A32">
        <w:rPr>
          <w:rFonts w:ascii="Times New Roman" w:hAnsi="Times New Roman" w:cs="Times New Roman"/>
          <w:color w:val="auto"/>
          <w:sz w:val="24"/>
          <w:szCs w:val="24"/>
        </w:rPr>
        <w:t>.</w:t>
      </w:r>
      <w:r w:rsidRPr="003B0A32">
        <w:rPr>
          <w:rFonts w:ascii="Times New Roman" w:hAnsi="Times New Roman" w:cs="Times New Roman"/>
          <w:color w:val="auto"/>
          <w:sz w:val="24"/>
          <w:szCs w:val="24"/>
        </w:rPr>
        <w:t>A</w:t>
      </w:r>
      <w:r w:rsidR="00FB0951" w:rsidRPr="003B0A32">
        <w:rPr>
          <w:rFonts w:ascii="Times New Roman" w:hAnsi="Times New Roman" w:cs="Times New Roman"/>
          <w:color w:val="auto"/>
          <w:sz w:val="24"/>
          <w:szCs w:val="24"/>
        </w:rPr>
        <w:t>.</w:t>
      </w:r>
      <w:r w:rsidRPr="003B0A32">
        <w:rPr>
          <w:rFonts w:ascii="Times New Roman" w:hAnsi="Times New Roman" w:cs="Times New Roman"/>
          <w:color w:val="auto"/>
          <w:sz w:val="24"/>
          <w:szCs w:val="24"/>
        </w:rPr>
        <w:t xml:space="preserve"> do spółki PKP PLK S</w:t>
      </w:r>
      <w:r w:rsidR="00473019" w:rsidRPr="003B0A32">
        <w:rPr>
          <w:rFonts w:ascii="Times New Roman" w:hAnsi="Times New Roman" w:cs="Times New Roman"/>
          <w:color w:val="auto"/>
          <w:sz w:val="24"/>
          <w:szCs w:val="24"/>
        </w:rPr>
        <w:t>.</w:t>
      </w:r>
      <w:r w:rsidRPr="003B0A32">
        <w:rPr>
          <w:rFonts w:ascii="Times New Roman" w:hAnsi="Times New Roman" w:cs="Times New Roman"/>
          <w:color w:val="auto"/>
          <w:sz w:val="24"/>
          <w:szCs w:val="24"/>
        </w:rPr>
        <w:t>A</w:t>
      </w:r>
      <w:r w:rsidR="00473019" w:rsidRPr="003B0A32">
        <w:rPr>
          <w:rFonts w:ascii="Times New Roman" w:hAnsi="Times New Roman" w:cs="Times New Roman"/>
          <w:color w:val="auto"/>
          <w:sz w:val="24"/>
          <w:szCs w:val="24"/>
        </w:rPr>
        <w:t>.</w:t>
      </w:r>
      <w:r w:rsidRPr="003B0A32">
        <w:rPr>
          <w:rFonts w:ascii="Times New Roman" w:hAnsi="Times New Roman" w:cs="Times New Roman"/>
          <w:color w:val="auto"/>
          <w:sz w:val="24"/>
          <w:szCs w:val="24"/>
        </w:rPr>
        <w:t xml:space="preserve"> składników majątkowych niezbędnych do prowadzenia działalności w zakresie zarządzania infrastrukturą kolejową, w tym w formule </w:t>
      </w:r>
      <w:r w:rsidR="00243617" w:rsidRPr="003B0A32">
        <w:rPr>
          <w:rFonts w:ascii="Times New Roman" w:hAnsi="Times New Roman" w:cs="Times New Roman"/>
          <w:color w:val="auto"/>
          <w:sz w:val="24"/>
          <w:szCs w:val="24"/>
        </w:rPr>
        <w:t>z</w:t>
      </w:r>
      <w:r w:rsidRPr="003B0A32">
        <w:rPr>
          <w:rFonts w:ascii="Times New Roman" w:hAnsi="Times New Roman" w:cs="Times New Roman"/>
          <w:color w:val="auto"/>
          <w:sz w:val="24"/>
          <w:szCs w:val="24"/>
        </w:rPr>
        <w:t xml:space="preserve">organizowanej </w:t>
      </w:r>
      <w:r w:rsidR="00243617" w:rsidRPr="003B0A32">
        <w:rPr>
          <w:rFonts w:ascii="Times New Roman" w:hAnsi="Times New Roman" w:cs="Times New Roman"/>
          <w:color w:val="auto"/>
          <w:sz w:val="24"/>
          <w:szCs w:val="24"/>
        </w:rPr>
        <w:t>c</w:t>
      </w:r>
      <w:r w:rsidRPr="003B0A32">
        <w:rPr>
          <w:rFonts w:ascii="Times New Roman" w:hAnsi="Times New Roman" w:cs="Times New Roman"/>
          <w:color w:val="auto"/>
          <w:sz w:val="24"/>
          <w:szCs w:val="24"/>
        </w:rPr>
        <w:t xml:space="preserve">zęści </w:t>
      </w:r>
      <w:r w:rsidR="00243617" w:rsidRPr="003B0A32">
        <w:rPr>
          <w:rFonts w:ascii="Times New Roman" w:hAnsi="Times New Roman" w:cs="Times New Roman"/>
          <w:color w:val="auto"/>
          <w:sz w:val="24"/>
          <w:szCs w:val="24"/>
        </w:rPr>
        <w:t>p</w:t>
      </w:r>
      <w:r w:rsidRPr="003B0A32">
        <w:rPr>
          <w:rFonts w:ascii="Times New Roman" w:hAnsi="Times New Roman" w:cs="Times New Roman"/>
          <w:color w:val="auto"/>
          <w:sz w:val="24"/>
          <w:szCs w:val="24"/>
        </w:rPr>
        <w:t>rzedsiębiorstwa.</w:t>
      </w:r>
      <w:r w:rsidR="00F32633" w:rsidRPr="003B0A32">
        <w:rPr>
          <w:rFonts w:ascii="Times New Roman" w:hAnsi="Times New Roman" w:cs="Times New Roman"/>
          <w:color w:val="auto"/>
          <w:sz w:val="24"/>
          <w:szCs w:val="24"/>
        </w:rPr>
        <w:t xml:space="preserve"> Zmiana ma charakter </w:t>
      </w:r>
      <w:r w:rsidR="00D55BD6" w:rsidRPr="003B0A32">
        <w:rPr>
          <w:rFonts w:ascii="Times New Roman" w:hAnsi="Times New Roman" w:cs="Times New Roman"/>
          <w:color w:val="auto"/>
          <w:sz w:val="24"/>
          <w:szCs w:val="24"/>
        </w:rPr>
        <w:t>doprecyzowujący</w:t>
      </w:r>
      <w:r w:rsidR="00F32633" w:rsidRPr="003B0A32">
        <w:rPr>
          <w:rFonts w:ascii="Times New Roman" w:hAnsi="Times New Roman" w:cs="Times New Roman"/>
          <w:color w:val="auto"/>
          <w:sz w:val="24"/>
          <w:szCs w:val="24"/>
        </w:rPr>
        <w:t xml:space="preserve"> </w:t>
      </w:r>
      <w:r w:rsidR="00D55BD6" w:rsidRPr="003B0A32">
        <w:rPr>
          <w:rFonts w:ascii="Times New Roman" w:hAnsi="Times New Roman" w:cs="Times New Roman"/>
          <w:color w:val="auto"/>
          <w:sz w:val="24"/>
          <w:szCs w:val="24"/>
        </w:rPr>
        <w:t>i dookreśla</w:t>
      </w:r>
      <w:r w:rsidR="00F32633" w:rsidRPr="003B0A32">
        <w:rPr>
          <w:rFonts w:ascii="Times New Roman" w:hAnsi="Times New Roman" w:cs="Times New Roman"/>
          <w:color w:val="auto"/>
          <w:sz w:val="24"/>
          <w:szCs w:val="24"/>
        </w:rPr>
        <w:t>, ż</w:t>
      </w:r>
      <w:r w:rsidR="00C850B0" w:rsidRPr="003B0A32">
        <w:rPr>
          <w:rFonts w:ascii="Times New Roman" w:hAnsi="Times New Roman" w:cs="Times New Roman"/>
          <w:color w:val="auto"/>
          <w:sz w:val="24"/>
          <w:szCs w:val="24"/>
        </w:rPr>
        <w:t>e</w:t>
      </w:r>
      <w:r w:rsidR="00890E46" w:rsidRPr="003B0A32">
        <w:rPr>
          <w:rFonts w:ascii="Times New Roman" w:hAnsi="Times New Roman" w:cs="Times New Roman"/>
          <w:color w:val="auto"/>
          <w:sz w:val="24"/>
          <w:szCs w:val="24"/>
        </w:rPr>
        <w:t> </w:t>
      </w:r>
      <w:r w:rsidR="00382594" w:rsidRPr="003B0A32">
        <w:rPr>
          <w:rFonts w:ascii="Times New Roman" w:hAnsi="Times New Roman" w:cs="Times New Roman"/>
          <w:color w:val="auto"/>
          <w:sz w:val="24"/>
          <w:szCs w:val="24"/>
        </w:rPr>
        <w:t>za</w:t>
      </w:r>
      <w:r w:rsidR="00890E46" w:rsidRPr="003B0A32">
        <w:rPr>
          <w:rFonts w:ascii="Times New Roman" w:hAnsi="Times New Roman" w:cs="Times New Roman"/>
          <w:color w:val="auto"/>
          <w:sz w:val="24"/>
          <w:szCs w:val="24"/>
        </w:rPr>
        <w:t> </w:t>
      </w:r>
      <w:r w:rsidR="00382594" w:rsidRPr="003B0A32">
        <w:rPr>
          <w:rFonts w:ascii="Times New Roman" w:hAnsi="Times New Roman" w:cs="Times New Roman"/>
          <w:color w:val="auto"/>
          <w:sz w:val="24"/>
          <w:szCs w:val="24"/>
        </w:rPr>
        <w:t>grunty o nieuregulowanym stanie prawnym w</w:t>
      </w:r>
      <w:r w:rsidR="005D3BC8" w:rsidRPr="003B0A32">
        <w:rPr>
          <w:rFonts w:ascii="Times New Roman" w:hAnsi="Times New Roman" w:cs="Times New Roman"/>
          <w:color w:val="auto"/>
          <w:sz w:val="24"/>
          <w:szCs w:val="24"/>
        </w:rPr>
        <w:t> </w:t>
      </w:r>
      <w:r w:rsidR="00382594" w:rsidRPr="003B0A32">
        <w:rPr>
          <w:rFonts w:ascii="Times New Roman" w:hAnsi="Times New Roman" w:cs="Times New Roman"/>
          <w:color w:val="auto"/>
          <w:sz w:val="24"/>
          <w:szCs w:val="24"/>
        </w:rPr>
        <w:t>rozumieniu określonym w</w:t>
      </w:r>
      <w:r w:rsidR="00991CBE" w:rsidRPr="003B0A32">
        <w:rPr>
          <w:rFonts w:ascii="Times New Roman" w:hAnsi="Times New Roman" w:cs="Times New Roman"/>
          <w:color w:val="auto"/>
          <w:sz w:val="24"/>
          <w:szCs w:val="24"/>
        </w:rPr>
        <w:t> </w:t>
      </w:r>
      <w:r w:rsidR="00382594" w:rsidRPr="003B0A32">
        <w:rPr>
          <w:rFonts w:ascii="Times New Roman" w:hAnsi="Times New Roman" w:cs="Times New Roman"/>
          <w:color w:val="auto"/>
          <w:sz w:val="24"/>
          <w:szCs w:val="24"/>
        </w:rPr>
        <w:t>zdaniu pierwszym tego przepisu uznaje się także grunty mające w istocie uregulowany stan prawny</w:t>
      </w:r>
      <w:r w:rsidR="00D55BD6" w:rsidRPr="003B0A32">
        <w:rPr>
          <w:rFonts w:ascii="Times New Roman" w:hAnsi="Times New Roman" w:cs="Times New Roman"/>
          <w:color w:val="auto"/>
          <w:sz w:val="24"/>
          <w:szCs w:val="24"/>
        </w:rPr>
        <w:t>,</w:t>
      </w:r>
      <w:r w:rsidR="00382594" w:rsidRPr="003B0A32">
        <w:rPr>
          <w:rFonts w:ascii="Times New Roman" w:hAnsi="Times New Roman" w:cs="Times New Roman"/>
          <w:color w:val="auto"/>
          <w:sz w:val="24"/>
          <w:szCs w:val="24"/>
        </w:rPr>
        <w:t xml:space="preserve"> niemniej jednak wymagające przeprowadzenia podziałów </w:t>
      </w:r>
      <w:r w:rsidR="004F0DB6" w:rsidRPr="003B0A32">
        <w:rPr>
          <w:rFonts w:ascii="Times New Roman" w:hAnsi="Times New Roman" w:cs="Times New Roman"/>
          <w:color w:val="auto"/>
          <w:sz w:val="24"/>
          <w:szCs w:val="24"/>
        </w:rPr>
        <w:t xml:space="preserve">nieruchomości </w:t>
      </w:r>
      <w:r w:rsidR="00382594" w:rsidRPr="003B0A32">
        <w:rPr>
          <w:rFonts w:ascii="Times New Roman" w:hAnsi="Times New Roman" w:cs="Times New Roman"/>
          <w:color w:val="auto"/>
          <w:sz w:val="24"/>
          <w:szCs w:val="24"/>
        </w:rPr>
        <w:t>w celu wydzielenia części tych gruntów wchodzących w skład infrastruktury kolejowej niezbędnych do</w:t>
      </w:r>
      <w:r w:rsidR="00890E46" w:rsidRPr="003B0A32">
        <w:rPr>
          <w:rFonts w:ascii="Times New Roman" w:hAnsi="Times New Roman" w:cs="Times New Roman"/>
          <w:color w:val="auto"/>
          <w:sz w:val="24"/>
          <w:szCs w:val="24"/>
        </w:rPr>
        <w:t> </w:t>
      </w:r>
      <w:r w:rsidR="00382594" w:rsidRPr="003B0A32">
        <w:rPr>
          <w:rFonts w:ascii="Times New Roman" w:hAnsi="Times New Roman" w:cs="Times New Roman"/>
          <w:color w:val="auto"/>
          <w:sz w:val="24"/>
          <w:szCs w:val="24"/>
        </w:rPr>
        <w:t xml:space="preserve">prowadzenia działalności w zakresie zarządzania liniami kolejowymi. Zmiana spowoduje zatem, </w:t>
      </w:r>
      <w:r w:rsidR="007638B1" w:rsidRPr="003B0A32">
        <w:rPr>
          <w:rFonts w:ascii="Times New Roman" w:hAnsi="Times New Roman" w:cs="Times New Roman"/>
          <w:color w:val="auto"/>
          <w:sz w:val="24"/>
          <w:szCs w:val="24"/>
        </w:rPr>
        <w:t>ż</w:t>
      </w:r>
      <w:r w:rsidR="00C850B0" w:rsidRPr="003B0A32">
        <w:rPr>
          <w:rFonts w:ascii="Times New Roman" w:hAnsi="Times New Roman" w:cs="Times New Roman"/>
          <w:color w:val="auto"/>
          <w:sz w:val="24"/>
          <w:szCs w:val="24"/>
        </w:rPr>
        <w:t>e</w:t>
      </w:r>
      <w:r w:rsidR="007638B1" w:rsidRPr="003B0A32">
        <w:rPr>
          <w:rFonts w:ascii="Times New Roman" w:hAnsi="Times New Roman" w:cs="Times New Roman"/>
          <w:color w:val="auto"/>
          <w:sz w:val="24"/>
          <w:szCs w:val="24"/>
        </w:rPr>
        <w:t xml:space="preserve"> </w:t>
      </w:r>
      <w:r w:rsidR="00382594" w:rsidRPr="003B0A32">
        <w:rPr>
          <w:rFonts w:ascii="Times New Roman" w:hAnsi="Times New Roman" w:cs="Times New Roman"/>
          <w:color w:val="auto"/>
          <w:sz w:val="24"/>
          <w:szCs w:val="24"/>
        </w:rPr>
        <w:t xml:space="preserve">linie kolejowe posadowione na takich gruntach będą mogły stanowić samodzielny przedmiot aportu niejako w oderwaniu od gruntu, a sam grunt będzie mógł zostać przeniesiony do </w:t>
      </w:r>
      <w:r w:rsidR="00382594" w:rsidRPr="003B0A32">
        <w:rPr>
          <w:rFonts w:ascii="Times New Roman" w:hAnsi="Times New Roman" w:cs="Times New Roman"/>
          <w:color w:val="auto"/>
          <w:sz w:val="24"/>
          <w:szCs w:val="24"/>
        </w:rPr>
        <w:lastRenderedPageBreak/>
        <w:t xml:space="preserve">PKP PLK S.A. </w:t>
      </w:r>
      <w:r w:rsidR="00367B4F" w:rsidRPr="003B0A32">
        <w:rPr>
          <w:rFonts w:ascii="Times New Roman" w:hAnsi="Times New Roman" w:cs="Times New Roman"/>
          <w:color w:val="auto"/>
          <w:sz w:val="24"/>
          <w:szCs w:val="24"/>
        </w:rPr>
        <w:t xml:space="preserve">dopiero </w:t>
      </w:r>
      <w:r w:rsidR="00382594" w:rsidRPr="003B0A32">
        <w:rPr>
          <w:rFonts w:ascii="Times New Roman" w:hAnsi="Times New Roman" w:cs="Times New Roman"/>
          <w:color w:val="auto"/>
          <w:sz w:val="24"/>
          <w:szCs w:val="24"/>
        </w:rPr>
        <w:t xml:space="preserve">po przeprowadzeniu procedury podziału </w:t>
      </w:r>
      <w:r w:rsidR="004F0DB6" w:rsidRPr="003B0A32">
        <w:rPr>
          <w:rFonts w:ascii="Times New Roman" w:hAnsi="Times New Roman" w:cs="Times New Roman"/>
          <w:color w:val="auto"/>
          <w:sz w:val="24"/>
          <w:szCs w:val="24"/>
        </w:rPr>
        <w:t>nieruchomości</w:t>
      </w:r>
      <w:r w:rsidR="00382594" w:rsidRPr="003B0A32">
        <w:rPr>
          <w:rFonts w:ascii="Times New Roman" w:hAnsi="Times New Roman" w:cs="Times New Roman"/>
          <w:color w:val="auto"/>
          <w:sz w:val="24"/>
          <w:szCs w:val="24"/>
        </w:rPr>
        <w:t xml:space="preserve">. </w:t>
      </w:r>
      <w:r w:rsidR="00D55BD6" w:rsidRPr="003B0A32">
        <w:rPr>
          <w:rFonts w:ascii="Times New Roman" w:hAnsi="Times New Roman" w:cs="Times New Roman"/>
          <w:color w:val="auto"/>
          <w:sz w:val="24"/>
          <w:szCs w:val="24"/>
        </w:rPr>
        <w:t>Jednocześnie</w:t>
      </w:r>
      <w:r w:rsidR="00F47342" w:rsidRPr="003B0A32">
        <w:rPr>
          <w:rFonts w:ascii="Times New Roman" w:hAnsi="Times New Roman" w:cs="Times New Roman"/>
          <w:color w:val="auto"/>
          <w:sz w:val="24"/>
          <w:szCs w:val="24"/>
        </w:rPr>
        <w:t xml:space="preserve"> nie ma potrzeby wprowadzenia przepisów przejściowych w związku ze zmianą art. 17 ust. 5. </w:t>
      </w:r>
      <w:r w:rsidR="00D55BD6" w:rsidRPr="003B0A32">
        <w:rPr>
          <w:rFonts w:ascii="Times New Roman" w:hAnsi="Times New Roman" w:cs="Times New Roman"/>
          <w:color w:val="auto"/>
          <w:sz w:val="24"/>
          <w:szCs w:val="24"/>
        </w:rPr>
        <w:t>N</w:t>
      </w:r>
      <w:r w:rsidR="00F47342" w:rsidRPr="003B0A32">
        <w:rPr>
          <w:rFonts w:ascii="Times New Roman" w:hAnsi="Times New Roman" w:cs="Times New Roman"/>
          <w:color w:val="auto"/>
          <w:sz w:val="24"/>
          <w:szCs w:val="24"/>
        </w:rPr>
        <w:t>ależy wskazać, że PKP S.A.</w:t>
      </w:r>
      <w:r w:rsidR="00C850B0" w:rsidRPr="003B0A32">
        <w:rPr>
          <w:rFonts w:ascii="Times New Roman" w:hAnsi="Times New Roman" w:cs="Times New Roman"/>
          <w:color w:val="auto"/>
          <w:sz w:val="24"/>
          <w:szCs w:val="24"/>
        </w:rPr>
        <w:t>,</w:t>
      </w:r>
      <w:r w:rsidR="00F47342" w:rsidRPr="003B0A32">
        <w:rPr>
          <w:rFonts w:ascii="Times New Roman" w:hAnsi="Times New Roman" w:cs="Times New Roman"/>
          <w:color w:val="auto"/>
          <w:sz w:val="24"/>
          <w:szCs w:val="24"/>
        </w:rPr>
        <w:t xml:space="preserve"> wnosząc majątek do PLK oraz innych spółek infrastrukturalnych, przeprowadza i będzie przeprowadzać szczegółową weryfikację </w:t>
      </w:r>
      <w:r w:rsidR="00C850B0" w:rsidRPr="003B0A32">
        <w:rPr>
          <w:rFonts w:ascii="Times New Roman" w:hAnsi="Times New Roman" w:cs="Times New Roman"/>
          <w:color w:val="auto"/>
          <w:sz w:val="24"/>
          <w:szCs w:val="24"/>
        </w:rPr>
        <w:t xml:space="preserve">w celu </w:t>
      </w:r>
      <w:r w:rsidR="00F47342" w:rsidRPr="003B0A32">
        <w:rPr>
          <w:rFonts w:ascii="Times New Roman" w:hAnsi="Times New Roman" w:cs="Times New Roman"/>
          <w:color w:val="auto"/>
          <w:sz w:val="24"/>
          <w:szCs w:val="24"/>
        </w:rPr>
        <w:t>zapewnienia przeniesienia wyłącznie majątku spełniającego kryteria wynikające z ustawy. Mając na względzie powyższe</w:t>
      </w:r>
      <w:r w:rsidR="00644E2C">
        <w:rPr>
          <w:rFonts w:ascii="Times New Roman" w:hAnsi="Times New Roman" w:cs="Times New Roman"/>
          <w:color w:val="auto"/>
          <w:sz w:val="24"/>
          <w:szCs w:val="24"/>
        </w:rPr>
        <w:t>,</w:t>
      </w:r>
      <w:r w:rsidR="00F47342" w:rsidRPr="003B0A32">
        <w:rPr>
          <w:rFonts w:ascii="Times New Roman" w:hAnsi="Times New Roman" w:cs="Times New Roman"/>
          <w:color w:val="auto"/>
          <w:sz w:val="24"/>
          <w:szCs w:val="24"/>
        </w:rPr>
        <w:t xml:space="preserve"> wskazuje</w:t>
      </w:r>
      <w:r w:rsidR="00C850B0" w:rsidRPr="003B0A32">
        <w:rPr>
          <w:rFonts w:ascii="Times New Roman" w:hAnsi="Times New Roman" w:cs="Times New Roman"/>
          <w:color w:val="auto"/>
          <w:sz w:val="24"/>
          <w:szCs w:val="24"/>
        </w:rPr>
        <w:t xml:space="preserve"> się</w:t>
      </w:r>
      <w:r w:rsidR="00F47342" w:rsidRPr="003B0A32">
        <w:rPr>
          <w:rFonts w:ascii="Times New Roman" w:hAnsi="Times New Roman" w:cs="Times New Roman"/>
          <w:color w:val="auto"/>
          <w:sz w:val="24"/>
          <w:szCs w:val="24"/>
        </w:rPr>
        <w:t>, że:</w:t>
      </w:r>
    </w:p>
    <w:p w14:paraId="580E9118" w14:textId="6BFB5FD7" w:rsidR="00F47342" w:rsidRPr="003B0A32" w:rsidRDefault="00F47342" w:rsidP="00644E2C">
      <w:pPr>
        <w:numPr>
          <w:ilvl w:val="1"/>
          <w:numId w:val="65"/>
        </w:numPr>
        <w:spacing w:line="360" w:lineRule="auto"/>
        <w:jc w:val="both"/>
        <w:rPr>
          <w:rFonts w:ascii="Times New Roman" w:hAnsi="Times New Roman" w:cs="Times New Roman"/>
          <w:color w:val="auto"/>
          <w:sz w:val="24"/>
          <w:szCs w:val="24"/>
        </w:rPr>
      </w:pPr>
      <w:r w:rsidRPr="003B0A32">
        <w:rPr>
          <w:rFonts w:ascii="Times New Roman" w:hAnsi="Times New Roman" w:cs="Times New Roman"/>
          <w:color w:val="auto"/>
          <w:sz w:val="24"/>
          <w:szCs w:val="24"/>
        </w:rPr>
        <w:t xml:space="preserve">z art. 17 ust. 5 ustawy </w:t>
      </w:r>
      <w:r w:rsidR="00D55BD6" w:rsidRPr="003B0A32">
        <w:rPr>
          <w:rFonts w:ascii="Times New Roman" w:hAnsi="Times New Roman" w:cs="Times New Roman"/>
          <w:color w:val="auto"/>
          <w:sz w:val="24"/>
          <w:szCs w:val="24"/>
        </w:rPr>
        <w:t>o komercjalizacji PKP</w:t>
      </w:r>
      <w:r w:rsidRPr="003B0A32">
        <w:rPr>
          <w:rFonts w:ascii="Times New Roman" w:hAnsi="Times New Roman" w:cs="Times New Roman"/>
          <w:color w:val="auto"/>
          <w:sz w:val="24"/>
          <w:szCs w:val="24"/>
        </w:rPr>
        <w:t xml:space="preserve"> skorzystano tylko raz – w 2005 r. PKP S.A. wniosła na jego podstawie linie kolejowe (bez gruntów); aport ten został zarejestrowany w KRS i rozliczony przez Spółki; uznaje</w:t>
      </w:r>
      <w:r w:rsidR="00C850B0" w:rsidRPr="003B0A32">
        <w:rPr>
          <w:rFonts w:ascii="Times New Roman" w:hAnsi="Times New Roman" w:cs="Times New Roman"/>
          <w:color w:val="auto"/>
          <w:sz w:val="24"/>
          <w:szCs w:val="24"/>
        </w:rPr>
        <w:t xml:space="preserve"> się</w:t>
      </w:r>
      <w:r w:rsidRPr="003B0A32">
        <w:rPr>
          <w:rFonts w:ascii="Times New Roman" w:hAnsi="Times New Roman" w:cs="Times New Roman"/>
          <w:color w:val="auto"/>
          <w:sz w:val="24"/>
          <w:szCs w:val="24"/>
        </w:rPr>
        <w:t xml:space="preserve"> go zatem za zamkniętą kwestię;</w:t>
      </w:r>
    </w:p>
    <w:p w14:paraId="41E1270D" w14:textId="06B6D236" w:rsidR="00F47342" w:rsidRPr="003B0A32" w:rsidRDefault="00F47342" w:rsidP="00644E2C">
      <w:pPr>
        <w:numPr>
          <w:ilvl w:val="1"/>
          <w:numId w:val="65"/>
        </w:numPr>
        <w:spacing w:line="360" w:lineRule="auto"/>
        <w:jc w:val="both"/>
        <w:rPr>
          <w:rFonts w:ascii="Times New Roman" w:hAnsi="Times New Roman" w:cs="Times New Roman"/>
          <w:color w:val="auto"/>
          <w:sz w:val="24"/>
          <w:szCs w:val="24"/>
        </w:rPr>
      </w:pPr>
      <w:r w:rsidRPr="003B0A32">
        <w:rPr>
          <w:rFonts w:ascii="Times New Roman" w:hAnsi="Times New Roman" w:cs="Times New Roman"/>
          <w:color w:val="auto"/>
          <w:sz w:val="24"/>
          <w:szCs w:val="24"/>
        </w:rPr>
        <w:t xml:space="preserve">po 2005 r. PKP S.A. wnosiła do </w:t>
      </w:r>
      <w:r w:rsidR="00D55BD6" w:rsidRPr="003B0A32">
        <w:rPr>
          <w:rFonts w:ascii="Times New Roman" w:hAnsi="Times New Roman" w:cs="Times New Roman"/>
          <w:color w:val="auto"/>
          <w:sz w:val="24"/>
          <w:szCs w:val="24"/>
        </w:rPr>
        <w:t xml:space="preserve">PKP PLK S.A. </w:t>
      </w:r>
      <w:r w:rsidRPr="003B0A32">
        <w:rPr>
          <w:rFonts w:ascii="Times New Roman" w:hAnsi="Times New Roman" w:cs="Times New Roman"/>
          <w:color w:val="auto"/>
          <w:sz w:val="24"/>
          <w:szCs w:val="24"/>
        </w:rPr>
        <w:t>tylko grunty, tj. nie dokonywała aportów samych środków na podstawie art. 17 ust. 5</w:t>
      </w:r>
      <w:r w:rsidR="00D55BD6" w:rsidRPr="003B0A32">
        <w:rPr>
          <w:rFonts w:ascii="Times New Roman" w:hAnsi="Times New Roman" w:cs="Times New Roman"/>
          <w:color w:val="auto"/>
          <w:sz w:val="24"/>
          <w:szCs w:val="24"/>
        </w:rPr>
        <w:t xml:space="preserve"> ww. ustawy</w:t>
      </w:r>
      <w:r w:rsidRPr="003B0A32">
        <w:rPr>
          <w:rFonts w:ascii="Times New Roman" w:hAnsi="Times New Roman" w:cs="Times New Roman"/>
          <w:color w:val="auto"/>
          <w:sz w:val="24"/>
          <w:szCs w:val="24"/>
        </w:rPr>
        <w:t>;</w:t>
      </w:r>
    </w:p>
    <w:p w14:paraId="75A3F5AF" w14:textId="2B0D53B5" w:rsidR="00F47342" w:rsidRPr="003B0A32" w:rsidRDefault="00F47342" w:rsidP="00644E2C">
      <w:pPr>
        <w:numPr>
          <w:ilvl w:val="1"/>
          <w:numId w:val="65"/>
        </w:numPr>
        <w:spacing w:line="360" w:lineRule="auto"/>
        <w:jc w:val="both"/>
        <w:rPr>
          <w:rFonts w:ascii="Times New Roman" w:hAnsi="Times New Roman" w:cs="Times New Roman"/>
          <w:color w:val="auto"/>
          <w:sz w:val="24"/>
          <w:szCs w:val="24"/>
        </w:rPr>
      </w:pPr>
      <w:r w:rsidRPr="003B0A32">
        <w:rPr>
          <w:rFonts w:ascii="Times New Roman" w:hAnsi="Times New Roman" w:cs="Times New Roman"/>
          <w:color w:val="auto"/>
          <w:sz w:val="24"/>
          <w:szCs w:val="24"/>
        </w:rPr>
        <w:t>w przyszłości aport linii kolejowych (w oderwaniu od gruntów) zostanie dokonany dopiero po wejściu w życie projektowanych przepisów, zatem nie ma ryzyka aportów linii</w:t>
      </w:r>
      <w:r w:rsidR="00D55BD6" w:rsidRPr="003B0A32">
        <w:rPr>
          <w:rFonts w:ascii="Times New Roman" w:hAnsi="Times New Roman" w:cs="Times New Roman"/>
          <w:color w:val="auto"/>
          <w:sz w:val="24"/>
          <w:szCs w:val="24"/>
        </w:rPr>
        <w:t>,</w:t>
      </w:r>
      <w:r w:rsidRPr="003B0A32">
        <w:rPr>
          <w:rFonts w:ascii="Times New Roman" w:hAnsi="Times New Roman" w:cs="Times New Roman"/>
          <w:color w:val="auto"/>
          <w:sz w:val="24"/>
          <w:szCs w:val="24"/>
        </w:rPr>
        <w:t xml:space="preserve"> wobec których z uwagi na brak przepisów przejściowych mogłyby powstać wątpliwości co do tego</w:t>
      </w:r>
      <w:r w:rsidR="00C850B0" w:rsidRPr="003B0A32">
        <w:rPr>
          <w:rFonts w:ascii="Times New Roman" w:hAnsi="Times New Roman" w:cs="Times New Roman"/>
          <w:color w:val="auto"/>
          <w:sz w:val="24"/>
          <w:szCs w:val="24"/>
        </w:rPr>
        <w:t>,</w:t>
      </w:r>
      <w:r w:rsidRPr="003B0A32">
        <w:rPr>
          <w:rFonts w:ascii="Times New Roman" w:hAnsi="Times New Roman" w:cs="Times New Roman"/>
          <w:color w:val="auto"/>
          <w:sz w:val="24"/>
          <w:szCs w:val="24"/>
        </w:rPr>
        <w:t xml:space="preserve"> czy jest on możliwy.</w:t>
      </w:r>
    </w:p>
    <w:p w14:paraId="0885B87D" w14:textId="7CC80544" w:rsidR="00EF06C4" w:rsidRPr="003B0A32" w:rsidRDefault="007B7D94" w:rsidP="00644E2C">
      <w:pPr>
        <w:pStyle w:val="Default"/>
        <w:spacing w:before="120" w:after="120" w:line="360" w:lineRule="auto"/>
        <w:jc w:val="both"/>
        <w:rPr>
          <w:rFonts w:ascii="Times New Roman" w:hAnsi="Times New Roman" w:cs="Times New Roman"/>
          <w:color w:val="auto"/>
        </w:rPr>
      </w:pPr>
      <w:r w:rsidRPr="003B0A32">
        <w:rPr>
          <w:rFonts w:ascii="Times New Roman" w:hAnsi="Times New Roman" w:cs="Times New Roman"/>
          <w:color w:val="auto"/>
        </w:rPr>
        <w:t>Z</w:t>
      </w:r>
      <w:r w:rsidR="00EF06C4" w:rsidRPr="003B0A32">
        <w:rPr>
          <w:rFonts w:ascii="Times New Roman" w:hAnsi="Times New Roman" w:cs="Times New Roman"/>
          <w:color w:val="auto"/>
        </w:rPr>
        <w:t xml:space="preserve">miany </w:t>
      </w:r>
      <w:r w:rsidRPr="003B0A32">
        <w:rPr>
          <w:rFonts w:ascii="Times New Roman" w:hAnsi="Times New Roman" w:cs="Times New Roman"/>
          <w:color w:val="auto"/>
        </w:rPr>
        <w:t xml:space="preserve">w </w:t>
      </w:r>
      <w:r w:rsidR="00EF06C4" w:rsidRPr="003B0A32">
        <w:rPr>
          <w:rFonts w:ascii="Times New Roman" w:hAnsi="Times New Roman" w:cs="Times New Roman"/>
          <w:color w:val="auto"/>
        </w:rPr>
        <w:t xml:space="preserve">art. 17 ust. 8 ustawy o komercjalizacji </w:t>
      </w:r>
      <w:r w:rsidR="009C3554" w:rsidRPr="003B0A32">
        <w:rPr>
          <w:rFonts w:ascii="Times New Roman" w:hAnsi="Times New Roman" w:cs="Times New Roman"/>
          <w:color w:val="auto"/>
        </w:rPr>
        <w:t>PKP</w:t>
      </w:r>
      <w:r w:rsidR="00EF06C4" w:rsidRPr="003B0A32">
        <w:rPr>
          <w:rFonts w:ascii="Times New Roman" w:hAnsi="Times New Roman" w:cs="Times New Roman"/>
          <w:color w:val="auto"/>
        </w:rPr>
        <w:t xml:space="preserve"> przez dodanie pkt 2</w:t>
      </w:r>
      <w:r w:rsidR="00922760" w:rsidRPr="003B0A32">
        <w:rPr>
          <w:rFonts w:ascii="Times New Roman" w:hAnsi="Times New Roman" w:cs="Times New Roman"/>
          <w:color w:val="auto"/>
        </w:rPr>
        <w:t xml:space="preserve"> i 3</w:t>
      </w:r>
      <w:r w:rsidR="00EF06C4" w:rsidRPr="003B0A32">
        <w:rPr>
          <w:rFonts w:ascii="Times New Roman" w:hAnsi="Times New Roman" w:cs="Times New Roman"/>
          <w:color w:val="auto"/>
        </w:rPr>
        <w:t xml:space="preserve"> odnos</w:t>
      </w:r>
      <w:r w:rsidRPr="003B0A32">
        <w:rPr>
          <w:rFonts w:ascii="Times New Roman" w:hAnsi="Times New Roman" w:cs="Times New Roman"/>
          <w:color w:val="auto"/>
        </w:rPr>
        <w:t>zą</w:t>
      </w:r>
      <w:r w:rsidR="00EF06C4" w:rsidRPr="003B0A32">
        <w:rPr>
          <w:rFonts w:ascii="Times New Roman" w:hAnsi="Times New Roman" w:cs="Times New Roman"/>
          <w:color w:val="auto"/>
        </w:rPr>
        <w:t xml:space="preserve"> się zarówno do ustawy z dnia 11 kwietnia 2003 r. </w:t>
      </w:r>
      <w:r w:rsidR="00EF06C4" w:rsidRPr="003B0A32">
        <w:rPr>
          <w:rFonts w:ascii="Times New Roman" w:hAnsi="Times New Roman" w:cs="Times New Roman"/>
          <w:i/>
          <w:color w:val="auto"/>
        </w:rPr>
        <w:t>o</w:t>
      </w:r>
      <w:r w:rsidR="0045642A" w:rsidRPr="003B0A32">
        <w:rPr>
          <w:rFonts w:ascii="Times New Roman" w:hAnsi="Times New Roman" w:cs="Times New Roman"/>
          <w:i/>
          <w:color w:val="auto"/>
        </w:rPr>
        <w:t> </w:t>
      </w:r>
      <w:r w:rsidR="00EF06C4" w:rsidRPr="003B0A32">
        <w:rPr>
          <w:rFonts w:ascii="Times New Roman" w:hAnsi="Times New Roman" w:cs="Times New Roman"/>
          <w:i/>
          <w:color w:val="auto"/>
        </w:rPr>
        <w:t>kształtowaniu ustroju rolnego</w:t>
      </w:r>
      <w:r w:rsidR="00EF06C4" w:rsidRPr="003B0A32">
        <w:rPr>
          <w:rFonts w:ascii="Times New Roman" w:hAnsi="Times New Roman" w:cs="Times New Roman"/>
          <w:color w:val="auto"/>
        </w:rPr>
        <w:t xml:space="preserve"> (Dz.</w:t>
      </w:r>
      <w:r w:rsidR="00243617" w:rsidRPr="003B0A32">
        <w:rPr>
          <w:rFonts w:ascii="Times New Roman" w:hAnsi="Times New Roman" w:cs="Times New Roman"/>
          <w:color w:val="auto"/>
        </w:rPr>
        <w:t xml:space="preserve"> </w:t>
      </w:r>
      <w:r w:rsidR="00922760" w:rsidRPr="003B0A32">
        <w:rPr>
          <w:rFonts w:ascii="Times New Roman" w:hAnsi="Times New Roman" w:cs="Times New Roman"/>
          <w:color w:val="auto"/>
        </w:rPr>
        <w:t>U.</w:t>
      </w:r>
      <w:r w:rsidR="00EF06C4" w:rsidRPr="003B0A32">
        <w:rPr>
          <w:rFonts w:ascii="Times New Roman" w:hAnsi="Times New Roman" w:cs="Times New Roman"/>
          <w:color w:val="auto"/>
        </w:rPr>
        <w:t xml:space="preserve"> </w:t>
      </w:r>
      <w:r w:rsidR="00922760" w:rsidRPr="003B0A32">
        <w:rPr>
          <w:rFonts w:ascii="Times New Roman" w:hAnsi="Times New Roman" w:cs="Times New Roman"/>
          <w:color w:val="auto"/>
        </w:rPr>
        <w:t>z 2022 r. poz. 461</w:t>
      </w:r>
      <w:r w:rsidR="00EF06C4" w:rsidRPr="003B0A32">
        <w:rPr>
          <w:rFonts w:ascii="Times New Roman" w:hAnsi="Times New Roman" w:cs="Times New Roman"/>
          <w:color w:val="auto"/>
        </w:rPr>
        <w:t>)</w:t>
      </w:r>
      <w:r w:rsidR="00C850B0" w:rsidRPr="003B0A32">
        <w:rPr>
          <w:rFonts w:ascii="Times New Roman" w:hAnsi="Times New Roman" w:cs="Times New Roman"/>
          <w:color w:val="auto"/>
        </w:rPr>
        <w:t>,</w:t>
      </w:r>
      <w:r w:rsidR="00EF06C4" w:rsidRPr="003B0A32">
        <w:rPr>
          <w:rFonts w:ascii="Times New Roman" w:hAnsi="Times New Roman" w:cs="Times New Roman"/>
          <w:color w:val="auto"/>
        </w:rPr>
        <w:t xml:space="preserve"> </w:t>
      </w:r>
      <w:r w:rsidRPr="003B0A32">
        <w:rPr>
          <w:rFonts w:ascii="Times New Roman" w:hAnsi="Times New Roman" w:cs="Times New Roman"/>
          <w:color w:val="auto"/>
        </w:rPr>
        <w:t xml:space="preserve">jak i </w:t>
      </w:r>
      <w:r w:rsidR="00EF06C4" w:rsidRPr="003B0A32">
        <w:rPr>
          <w:rFonts w:ascii="Times New Roman" w:hAnsi="Times New Roman" w:cs="Times New Roman"/>
          <w:color w:val="auto"/>
        </w:rPr>
        <w:t>ustaw</w:t>
      </w:r>
      <w:r w:rsidRPr="003B0A32">
        <w:rPr>
          <w:rFonts w:ascii="Times New Roman" w:hAnsi="Times New Roman" w:cs="Times New Roman"/>
          <w:color w:val="auto"/>
        </w:rPr>
        <w:t>y</w:t>
      </w:r>
      <w:r w:rsidR="00EF06C4" w:rsidRPr="003B0A32">
        <w:rPr>
          <w:rFonts w:ascii="Times New Roman" w:hAnsi="Times New Roman" w:cs="Times New Roman"/>
          <w:color w:val="auto"/>
        </w:rPr>
        <w:t xml:space="preserve"> z</w:t>
      </w:r>
      <w:r w:rsidR="00735205" w:rsidRPr="003B0A32">
        <w:rPr>
          <w:rFonts w:ascii="Times New Roman" w:hAnsi="Times New Roman" w:cs="Times New Roman"/>
          <w:color w:val="auto"/>
        </w:rPr>
        <w:t> </w:t>
      </w:r>
      <w:r w:rsidR="00EF06C4" w:rsidRPr="003B0A32">
        <w:rPr>
          <w:rFonts w:ascii="Times New Roman" w:hAnsi="Times New Roman" w:cs="Times New Roman"/>
          <w:color w:val="auto"/>
        </w:rPr>
        <w:t xml:space="preserve">dnia 28 września 1991 r. </w:t>
      </w:r>
      <w:r w:rsidR="00EF06C4" w:rsidRPr="003B0A32">
        <w:rPr>
          <w:rFonts w:ascii="Times New Roman" w:hAnsi="Times New Roman" w:cs="Times New Roman"/>
          <w:i/>
          <w:color w:val="auto"/>
        </w:rPr>
        <w:t>o lasach</w:t>
      </w:r>
      <w:r w:rsidR="00EF06C4" w:rsidRPr="003B0A32">
        <w:rPr>
          <w:rFonts w:ascii="Times New Roman" w:hAnsi="Times New Roman" w:cs="Times New Roman"/>
          <w:color w:val="auto"/>
        </w:rPr>
        <w:t xml:space="preserve"> (Dz.</w:t>
      </w:r>
      <w:r w:rsidR="00243617" w:rsidRPr="003B0A32">
        <w:rPr>
          <w:rFonts w:ascii="Times New Roman" w:hAnsi="Times New Roman" w:cs="Times New Roman"/>
          <w:color w:val="auto"/>
        </w:rPr>
        <w:t xml:space="preserve"> </w:t>
      </w:r>
      <w:r w:rsidR="00EF06C4" w:rsidRPr="003B0A32">
        <w:rPr>
          <w:rFonts w:ascii="Times New Roman" w:hAnsi="Times New Roman" w:cs="Times New Roman"/>
          <w:color w:val="auto"/>
        </w:rPr>
        <w:t>U. z 202</w:t>
      </w:r>
      <w:r w:rsidR="009F4248" w:rsidRPr="003B0A32">
        <w:rPr>
          <w:rFonts w:ascii="Times New Roman" w:hAnsi="Times New Roman" w:cs="Times New Roman"/>
          <w:color w:val="auto"/>
        </w:rPr>
        <w:t>2</w:t>
      </w:r>
      <w:r w:rsidR="00EF06C4" w:rsidRPr="003B0A32">
        <w:rPr>
          <w:rFonts w:ascii="Times New Roman" w:hAnsi="Times New Roman" w:cs="Times New Roman"/>
          <w:color w:val="auto"/>
        </w:rPr>
        <w:t xml:space="preserve"> r. poz. </w:t>
      </w:r>
      <w:r w:rsidR="009F4248" w:rsidRPr="003B0A32">
        <w:rPr>
          <w:rFonts w:ascii="Times New Roman" w:hAnsi="Times New Roman" w:cs="Times New Roman"/>
          <w:color w:val="auto"/>
        </w:rPr>
        <w:t>672</w:t>
      </w:r>
      <w:r w:rsidR="00EF06C4" w:rsidRPr="003B0A32">
        <w:rPr>
          <w:rFonts w:ascii="Times New Roman" w:hAnsi="Times New Roman" w:cs="Times New Roman"/>
          <w:color w:val="auto"/>
        </w:rPr>
        <w:t>), które to</w:t>
      </w:r>
      <w:r w:rsidR="00DD5EBB">
        <w:rPr>
          <w:rFonts w:ascii="Times New Roman" w:hAnsi="Times New Roman" w:cs="Times New Roman"/>
          <w:color w:val="auto"/>
        </w:rPr>
        <w:t xml:space="preserve"> </w:t>
      </w:r>
      <w:r w:rsidR="00EF06C4" w:rsidRPr="003B0A32">
        <w:rPr>
          <w:rFonts w:ascii="Times New Roman" w:hAnsi="Times New Roman" w:cs="Times New Roman"/>
          <w:color w:val="auto"/>
        </w:rPr>
        <w:t>akty prawne przewidują uprawnienie do</w:t>
      </w:r>
      <w:r w:rsidR="00DD5EBB">
        <w:rPr>
          <w:rFonts w:ascii="Times New Roman" w:hAnsi="Times New Roman" w:cs="Times New Roman"/>
          <w:color w:val="auto"/>
        </w:rPr>
        <w:t xml:space="preserve"> </w:t>
      </w:r>
      <w:r w:rsidR="00922760" w:rsidRPr="003B0A32">
        <w:rPr>
          <w:rFonts w:ascii="Times New Roman" w:hAnsi="Times New Roman" w:cs="Times New Roman"/>
          <w:color w:val="auto"/>
        </w:rPr>
        <w:t xml:space="preserve">nabycia określonych </w:t>
      </w:r>
      <w:r w:rsidR="00EF06C4" w:rsidRPr="003B0A32">
        <w:rPr>
          <w:rFonts w:ascii="Times New Roman" w:hAnsi="Times New Roman" w:cs="Times New Roman"/>
          <w:color w:val="auto"/>
        </w:rPr>
        <w:t xml:space="preserve">nieruchomości rolnych lub leśnych w </w:t>
      </w:r>
      <w:r w:rsidR="00922760" w:rsidRPr="003B0A32">
        <w:rPr>
          <w:rFonts w:ascii="Times New Roman" w:hAnsi="Times New Roman" w:cs="Times New Roman"/>
          <w:color w:val="auto"/>
        </w:rPr>
        <w:t>przypadku</w:t>
      </w:r>
      <w:r w:rsidR="00EF06C4" w:rsidRPr="003B0A32">
        <w:rPr>
          <w:rFonts w:ascii="Times New Roman" w:hAnsi="Times New Roman" w:cs="Times New Roman"/>
          <w:color w:val="auto"/>
        </w:rPr>
        <w:t xml:space="preserve"> przeniesienia ich</w:t>
      </w:r>
      <w:r w:rsidR="007E72DF" w:rsidRPr="003B0A32">
        <w:rPr>
          <w:rFonts w:ascii="Times New Roman" w:hAnsi="Times New Roman" w:cs="Times New Roman"/>
          <w:color w:val="auto"/>
        </w:rPr>
        <w:t> </w:t>
      </w:r>
      <w:r w:rsidR="00EF06C4" w:rsidRPr="003B0A32">
        <w:rPr>
          <w:rFonts w:ascii="Times New Roman" w:hAnsi="Times New Roman" w:cs="Times New Roman"/>
          <w:color w:val="auto"/>
        </w:rPr>
        <w:t>własności w wykonaniu innej umowy niż sprzedaż, co</w:t>
      </w:r>
      <w:r w:rsidR="0045642A" w:rsidRPr="003B0A32">
        <w:rPr>
          <w:rFonts w:ascii="Times New Roman" w:hAnsi="Times New Roman" w:cs="Times New Roman"/>
          <w:color w:val="auto"/>
        </w:rPr>
        <w:t> </w:t>
      </w:r>
      <w:r w:rsidR="00EF06C4" w:rsidRPr="003B0A32">
        <w:rPr>
          <w:rFonts w:ascii="Times New Roman" w:hAnsi="Times New Roman" w:cs="Times New Roman"/>
          <w:color w:val="auto"/>
        </w:rPr>
        <w:t xml:space="preserve">dotyczyłoby </w:t>
      </w:r>
      <w:r w:rsidRPr="003B0A32">
        <w:rPr>
          <w:rFonts w:ascii="Times New Roman" w:hAnsi="Times New Roman" w:cs="Times New Roman"/>
          <w:color w:val="auto"/>
        </w:rPr>
        <w:t xml:space="preserve">także </w:t>
      </w:r>
      <w:r w:rsidR="00EF06C4" w:rsidRPr="003B0A32">
        <w:rPr>
          <w:rFonts w:ascii="Times New Roman" w:hAnsi="Times New Roman" w:cs="Times New Roman"/>
          <w:color w:val="auto"/>
        </w:rPr>
        <w:t xml:space="preserve">umowy zawieranej w ramach </w:t>
      </w:r>
      <w:r w:rsidRPr="003B0A32">
        <w:rPr>
          <w:rFonts w:ascii="Times New Roman" w:hAnsi="Times New Roman" w:cs="Times New Roman"/>
          <w:color w:val="auto"/>
        </w:rPr>
        <w:t xml:space="preserve">wniesienia </w:t>
      </w:r>
      <w:r w:rsidR="00EF06C4" w:rsidRPr="003B0A32">
        <w:rPr>
          <w:rFonts w:ascii="Times New Roman" w:hAnsi="Times New Roman" w:cs="Times New Roman"/>
          <w:color w:val="auto"/>
        </w:rPr>
        <w:t xml:space="preserve">aportu do PKP PLK S.A. </w:t>
      </w:r>
    </w:p>
    <w:p w14:paraId="7C6305A1" w14:textId="4BB41D03" w:rsidR="00EF06C4" w:rsidRPr="003B0A32" w:rsidRDefault="00EF06C4" w:rsidP="003B0A32">
      <w:pPr>
        <w:pStyle w:val="Default"/>
        <w:spacing w:before="120" w:after="120" w:line="360" w:lineRule="auto"/>
        <w:jc w:val="both"/>
        <w:rPr>
          <w:rFonts w:ascii="Times New Roman" w:hAnsi="Times New Roman" w:cs="Times New Roman"/>
          <w:color w:val="auto"/>
        </w:rPr>
      </w:pPr>
      <w:r w:rsidRPr="003B0A32">
        <w:rPr>
          <w:rFonts w:ascii="Times New Roman" w:hAnsi="Times New Roman" w:cs="Times New Roman"/>
          <w:color w:val="auto"/>
        </w:rPr>
        <w:lastRenderedPageBreak/>
        <w:t xml:space="preserve">Przepisy ustawy z dnia 11 kwietnia 2003 r. </w:t>
      </w:r>
      <w:r w:rsidRPr="003B0A32">
        <w:rPr>
          <w:rFonts w:ascii="Times New Roman" w:hAnsi="Times New Roman" w:cs="Times New Roman"/>
          <w:i/>
          <w:color w:val="auto"/>
        </w:rPr>
        <w:t>o kształtowaniu ustroju rolnego</w:t>
      </w:r>
      <w:r w:rsidRPr="003B0A32">
        <w:rPr>
          <w:rFonts w:ascii="Times New Roman" w:hAnsi="Times New Roman" w:cs="Times New Roman"/>
          <w:color w:val="auto"/>
        </w:rPr>
        <w:t xml:space="preserve"> dotyczące nabycia nieruchomości rolnej stosuje się odpowiednio do nabycia użytkowania wieczystego nieruchomości rolnej albo udziału w użytkowaniu wieczystym nieruchomości rolnej.</w:t>
      </w:r>
      <w:r w:rsidR="007B7D94" w:rsidRPr="003B0A32">
        <w:rPr>
          <w:rFonts w:ascii="Times New Roman" w:hAnsi="Times New Roman" w:cs="Times New Roman"/>
          <w:color w:val="auto"/>
        </w:rPr>
        <w:t xml:space="preserve"> </w:t>
      </w:r>
      <w:r w:rsidRPr="003B0A32">
        <w:rPr>
          <w:rFonts w:ascii="Times New Roman" w:hAnsi="Times New Roman" w:cs="Times New Roman"/>
          <w:color w:val="auto"/>
        </w:rPr>
        <w:t xml:space="preserve">Przepisów ustawy </w:t>
      </w:r>
      <w:r w:rsidR="00A86EF9" w:rsidRPr="003B0A32">
        <w:rPr>
          <w:rFonts w:ascii="Times New Roman" w:hAnsi="Times New Roman" w:cs="Times New Roman"/>
          <w:color w:val="auto"/>
        </w:rPr>
        <w:t xml:space="preserve">z dnia 11 kwietnia 2003 r. </w:t>
      </w:r>
      <w:r w:rsidRPr="003B0A32">
        <w:rPr>
          <w:rFonts w:ascii="Times New Roman" w:hAnsi="Times New Roman" w:cs="Times New Roman"/>
          <w:i/>
          <w:color w:val="auto"/>
        </w:rPr>
        <w:t>o kształtowaniu ustroju rolnego</w:t>
      </w:r>
      <w:r w:rsidRPr="003B0A32">
        <w:rPr>
          <w:rFonts w:ascii="Times New Roman" w:hAnsi="Times New Roman" w:cs="Times New Roman"/>
          <w:color w:val="auto"/>
        </w:rPr>
        <w:t xml:space="preserve"> nie stosuje się</w:t>
      </w:r>
      <w:r w:rsidR="000738C6" w:rsidRPr="003B0A32">
        <w:rPr>
          <w:rFonts w:ascii="Times New Roman" w:hAnsi="Times New Roman" w:cs="Times New Roman"/>
          <w:color w:val="auto"/>
        </w:rPr>
        <w:t> </w:t>
      </w:r>
      <w:r w:rsidRPr="003B0A32">
        <w:rPr>
          <w:rFonts w:ascii="Times New Roman" w:hAnsi="Times New Roman" w:cs="Times New Roman"/>
          <w:color w:val="auto"/>
        </w:rPr>
        <w:t>do nieruchomości rolnych o</w:t>
      </w:r>
      <w:r w:rsidR="007E72DF" w:rsidRPr="003B0A32">
        <w:rPr>
          <w:rFonts w:ascii="Times New Roman" w:hAnsi="Times New Roman" w:cs="Times New Roman"/>
          <w:color w:val="auto"/>
        </w:rPr>
        <w:t> </w:t>
      </w:r>
      <w:r w:rsidRPr="003B0A32">
        <w:rPr>
          <w:rFonts w:ascii="Times New Roman" w:hAnsi="Times New Roman" w:cs="Times New Roman"/>
          <w:color w:val="auto"/>
        </w:rPr>
        <w:t>powierzchni mniejszej niż 0,3 ha.</w:t>
      </w:r>
      <w:r w:rsidR="007B7D94" w:rsidRPr="003B0A32">
        <w:rPr>
          <w:rFonts w:ascii="Times New Roman" w:hAnsi="Times New Roman" w:cs="Times New Roman"/>
          <w:color w:val="auto"/>
        </w:rPr>
        <w:t xml:space="preserve"> </w:t>
      </w:r>
      <w:r w:rsidRPr="003B0A32">
        <w:rPr>
          <w:rFonts w:ascii="Times New Roman" w:hAnsi="Times New Roman" w:cs="Times New Roman"/>
          <w:color w:val="auto"/>
        </w:rPr>
        <w:t xml:space="preserve">Na gruncie ustawy z dnia 28 września 1991 r. </w:t>
      </w:r>
      <w:r w:rsidRPr="003B0A32">
        <w:rPr>
          <w:rFonts w:ascii="Times New Roman" w:hAnsi="Times New Roman" w:cs="Times New Roman"/>
          <w:i/>
          <w:color w:val="auto"/>
        </w:rPr>
        <w:t>o lasach</w:t>
      </w:r>
      <w:r w:rsidRPr="003B0A32">
        <w:rPr>
          <w:rFonts w:ascii="Times New Roman" w:hAnsi="Times New Roman" w:cs="Times New Roman"/>
          <w:color w:val="auto"/>
        </w:rPr>
        <w:t xml:space="preserve"> prawo nabycia dotyczy tylko tych transakcji, których przedmiotem są grunty niestanowiące własności Skarbu Państwa, a prawo nabycia przysługuje Lasom Państwowym. Niezwłocznie po zawarciu aktu notarialnego nabywca, czyli PKP PLK S.A (w</w:t>
      </w:r>
      <w:r w:rsidR="0045642A" w:rsidRPr="003B0A32">
        <w:rPr>
          <w:rFonts w:ascii="Times New Roman" w:hAnsi="Times New Roman" w:cs="Times New Roman"/>
          <w:color w:val="auto"/>
        </w:rPr>
        <w:t> </w:t>
      </w:r>
      <w:r w:rsidRPr="003B0A32">
        <w:rPr>
          <w:rFonts w:ascii="Times New Roman" w:hAnsi="Times New Roman" w:cs="Times New Roman"/>
          <w:color w:val="auto"/>
        </w:rPr>
        <w:t>przypadku gruntów leśnych obowiązek zawiadomienia spoczywa na</w:t>
      </w:r>
      <w:r w:rsidR="00273C9A" w:rsidRPr="003B0A32">
        <w:rPr>
          <w:rFonts w:ascii="Times New Roman" w:hAnsi="Times New Roman" w:cs="Times New Roman"/>
          <w:color w:val="auto"/>
        </w:rPr>
        <w:t> </w:t>
      </w:r>
      <w:r w:rsidRPr="003B0A32">
        <w:rPr>
          <w:rFonts w:ascii="Times New Roman" w:hAnsi="Times New Roman" w:cs="Times New Roman"/>
          <w:color w:val="auto"/>
        </w:rPr>
        <w:t>notariuszu), jest obowiązana zawiadomić uprawnionego, który może wykonać prawo nabycia w ciągu miesiąca. Czynność prawna dokonana z naruszeniem prawa nabycia – bez</w:t>
      </w:r>
      <w:r w:rsidR="000738C6" w:rsidRPr="003B0A32">
        <w:rPr>
          <w:rFonts w:ascii="Times New Roman" w:hAnsi="Times New Roman" w:cs="Times New Roman"/>
          <w:color w:val="auto"/>
        </w:rPr>
        <w:t> </w:t>
      </w:r>
      <w:r w:rsidRPr="003B0A32">
        <w:rPr>
          <w:rFonts w:ascii="Times New Roman" w:hAnsi="Times New Roman" w:cs="Times New Roman"/>
          <w:color w:val="auto"/>
        </w:rPr>
        <w:t>zawiadomienia uprawnionego</w:t>
      </w:r>
      <w:r w:rsidR="00A86EF9" w:rsidRPr="003B0A32">
        <w:rPr>
          <w:rFonts w:ascii="Times New Roman" w:hAnsi="Times New Roman" w:cs="Times New Roman"/>
          <w:color w:val="auto"/>
        </w:rPr>
        <w:t xml:space="preserve"> –</w:t>
      </w:r>
      <w:r w:rsidRPr="003B0A32">
        <w:rPr>
          <w:rFonts w:ascii="Times New Roman" w:hAnsi="Times New Roman" w:cs="Times New Roman"/>
          <w:color w:val="auto"/>
        </w:rPr>
        <w:t xml:space="preserve"> jest nieważna. </w:t>
      </w:r>
    </w:p>
    <w:p w14:paraId="7DDBF74F" w14:textId="6B389DC8" w:rsidR="00EF06C4" w:rsidRPr="003B0A32" w:rsidRDefault="00EF06C4" w:rsidP="003B0A32">
      <w:pPr>
        <w:pStyle w:val="Default"/>
        <w:spacing w:before="120" w:after="120" w:line="360" w:lineRule="auto"/>
        <w:jc w:val="both"/>
        <w:rPr>
          <w:rFonts w:ascii="Times New Roman" w:hAnsi="Times New Roman" w:cs="Times New Roman"/>
          <w:color w:val="auto"/>
        </w:rPr>
      </w:pPr>
      <w:r w:rsidRPr="003B0A32">
        <w:rPr>
          <w:rFonts w:ascii="Times New Roman" w:hAnsi="Times New Roman" w:cs="Times New Roman"/>
          <w:color w:val="auto"/>
        </w:rPr>
        <w:t xml:space="preserve">W przepisach </w:t>
      </w:r>
      <w:r w:rsidR="00A86EF9" w:rsidRPr="003B0A32">
        <w:rPr>
          <w:rFonts w:ascii="Times New Roman" w:hAnsi="Times New Roman" w:cs="Times New Roman"/>
          <w:color w:val="auto"/>
        </w:rPr>
        <w:t>ww.</w:t>
      </w:r>
      <w:r w:rsidRPr="003B0A32">
        <w:rPr>
          <w:rFonts w:ascii="Times New Roman" w:hAnsi="Times New Roman" w:cs="Times New Roman"/>
          <w:color w:val="auto"/>
        </w:rPr>
        <w:t xml:space="preserve"> ustaw są określone przypadki, w których nie przysługuje uprawnienie do</w:t>
      </w:r>
      <w:r w:rsidR="007E72DF" w:rsidRPr="003B0A32">
        <w:rPr>
          <w:rFonts w:ascii="Times New Roman" w:hAnsi="Times New Roman" w:cs="Times New Roman"/>
          <w:color w:val="auto"/>
        </w:rPr>
        <w:t> </w:t>
      </w:r>
      <w:r w:rsidRPr="003B0A32">
        <w:rPr>
          <w:rFonts w:ascii="Times New Roman" w:hAnsi="Times New Roman" w:cs="Times New Roman"/>
          <w:color w:val="auto"/>
        </w:rPr>
        <w:t>nabycia, jednak nie znajdą one zastosowania do gruntów, które będą wnoszone aportem do</w:t>
      </w:r>
      <w:r w:rsidR="007E72DF" w:rsidRPr="003B0A32">
        <w:rPr>
          <w:rFonts w:ascii="Times New Roman" w:hAnsi="Times New Roman" w:cs="Times New Roman"/>
          <w:color w:val="auto"/>
        </w:rPr>
        <w:t> </w:t>
      </w:r>
      <w:r w:rsidRPr="003B0A32">
        <w:rPr>
          <w:rFonts w:ascii="Times New Roman" w:hAnsi="Times New Roman" w:cs="Times New Roman"/>
          <w:color w:val="auto"/>
        </w:rPr>
        <w:t xml:space="preserve">PKP PLK SA. w wykonaniu ustawy o komercjalizacji </w:t>
      </w:r>
      <w:r w:rsidR="009D2D37" w:rsidRPr="003B0A32">
        <w:rPr>
          <w:rFonts w:ascii="Times New Roman" w:hAnsi="Times New Roman" w:cs="Times New Roman"/>
          <w:color w:val="auto"/>
        </w:rPr>
        <w:t>PKP.</w:t>
      </w:r>
    </w:p>
    <w:p w14:paraId="7AAB7B45" w14:textId="6C73D8C1" w:rsidR="00EF06C4" w:rsidRPr="003B0A32" w:rsidRDefault="00EF06C4" w:rsidP="003B0A32">
      <w:pPr>
        <w:pStyle w:val="Default"/>
        <w:spacing w:before="120" w:after="120" w:line="360" w:lineRule="auto"/>
        <w:jc w:val="both"/>
        <w:rPr>
          <w:rFonts w:ascii="Times New Roman" w:hAnsi="Times New Roman" w:cs="Times New Roman"/>
          <w:color w:val="auto"/>
        </w:rPr>
      </w:pPr>
      <w:r w:rsidRPr="003B0A32">
        <w:rPr>
          <w:rFonts w:ascii="Times New Roman" w:hAnsi="Times New Roman" w:cs="Times New Roman"/>
          <w:color w:val="auto"/>
        </w:rPr>
        <w:t xml:space="preserve">Zastosowanie prawa nabycia określonego ustawą </w:t>
      </w:r>
      <w:r w:rsidR="00A86EF9" w:rsidRPr="003B0A32">
        <w:rPr>
          <w:rFonts w:ascii="Times New Roman" w:hAnsi="Times New Roman" w:cs="Times New Roman"/>
          <w:color w:val="auto"/>
        </w:rPr>
        <w:t xml:space="preserve">z dnia 11 kwietnia 2003 r. </w:t>
      </w:r>
      <w:r w:rsidRPr="003B0A32">
        <w:rPr>
          <w:rFonts w:ascii="Times New Roman" w:hAnsi="Times New Roman" w:cs="Times New Roman"/>
          <w:i/>
          <w:color w:val="auto"/>
        </w:rPr>
        <w:t>o kształtowaniu ustroju rolnego</w:t>
      </w:r>
      <w:r w:rsidRPr="003B0A32">
        <w:rPr>
          <w:rFonts w:ascii="Times New Roman" w:hAnsi="Times New Roman" w:cs="Times New Roman"/>
          <w:color w:val="auto"/>
        </w:rPr>
        <w:t xml:space="preserve"> ma miejsce w odniesieniu do nieruchomości rolnej w</w:t>
      </w:r>
      <w:r w:rsidR="00C850B0" w:rsidRPr="003B0A32">
        <w:rPr>
          <w:rFonts w:ascii="Times New Roman" w:hAnsi="Times New Roman" w:cs="Times New Roman"/>
          <w:color w:val="auto"/>
        </w:rPr>
        <w:t>edłu</w:t>
      </w:r>
      <w:r w:rsidRPr="003B0A32">
        <w:rPr>
          <w:rFonts w:ascii="Times New Roman" w:hAnsi="Times New Roman" w:cs="Times New Roman"/>
          <w:color w:val="auto"/>
        </w:rPr>
        <w:t>g definicji tej ustawy, która z kolei odsyła do</w:t>
      </w:r>
      <w:r w:rsidR="007E72DF" w:rsidRPr="003B0A32">
        <w:rPr>
          <w:rFonts w:ascii="Times New Roman" w:hAnsi="Times New Roman" w:cs="Times New Roman"/>
          <w:color w:val="auto"/>
        </w:rPr>
        <w:t> </w:t>
      </w:r>
      <w:r w:rsidRPr="003B0A32">
        <w:rPr>
          <w:rFonts w:ascii="Times New Roman" w:hAnsi="Times New Roman" w:cs="Times New Roman"/>
          <w:color w:val="auto"/>
        </w:rPr>
        <w:t>definicji w rozumieniu art. 46</w:t>
      </w:r>
      <w:r w:rsidRPr="003B0A32">
        <w:rPr>
          <w:rFonts w:ascii="Times New Roman" w:hAnsi="Times New Roman" w:cs="Times New Roman"/>
          <w:color w:val="auto"/>
          <w:vertAlign w:val="superscript"/>
        </w:rPr>
        <w:t>1</w:t>
      </w:r>
      <w:r w:rsidRPr="003B0A32">
        <w:rPr>
          <w:rFonts w:ascii="Times New Roman" w:hAnsi="Times New Roman" w:cs="Times New Roman"/>
          <w:color w:val="auto"/>
        </w:rPr>
        <w:t xml:space="preserve"> ustawy z dnia 23 kwietnia 1964 r.</w:t>
      </w:r>
      <w:r w:rsidR="00C850B0" w:rsidRPr="003B0A32">
        <w:rPr>
          <w:rFonts w:ascii="Times New Roman" w:hAnsi="Times New Roman" w:cs="Times New Roman"/>
          <w:color w:val="auto"/>
        </w:rPr>
        <w:t xml:space="preserve"> –</w:t>
      </w:r>
      <w:r w:rsidRPr="003B0A32">
        <w:rPr>
          <w:rFonts w:ascii="Times New Roman" w:hAnsi="Times New Roman" w:cs="Times New Roman"/>
          <w:color w:val="auto"/>
        </w:rPr>
        <w:t xml:space="preserve"> </w:t>
      </w:r>
      <w:r w:rsidRPr="003B0A32">
        <w:rPr>
          <w:rFonts w:ascii="Times New Roman" w:hAnsi="Times New Roman" w:cs="Times New Roman"/>
          <w:i/>
          <w:color w:val="auto"/>
        </w:rPr>
        <w:t>Kodeks</w:t>
      </w:r>
      <w:r w:rsidR="00C850B0" w:rsidRPr="003B0A32">
        <w:rPr>
          <w:rFonts w:ascii="Times New Roman" w:hAnsi="Times New Roman" w:cs="Times New Roman"/>
          <w:i/>
          <w:color w:val="auto"/>
        </w:rPr>
        <w:t xml:space="preserve"> </w:t>
      </w:r>
      <w:r w:rsidRPr="003B0A32">
        <w:rPr>
          <w:rFonts w:ascii="Times New Roman" w:hAnsi="Times New Roman" w:cs="Times New Roman"/>
          <w:i/>
          <w:color w:val="auto"/>
        </w:rPr>
        <w:t>cywilny</w:t>
      </w:r>
      <w:r w:rsidRPr="003B0A32">
        <w:rPr>
          <w:rFonts w:ascii="Times New Roman" w:hAnsi="Times New Roman" w:cs="Times New Roman"/>
          <w:color w:val="auto"/>
        </w:rPr>
        <w:t xml:space="preserve"> (Dz. U. z 2020 r. poz. 1740, </w:t>
      </w:r>
      <w:r w:rsidR="00A86EF9" w:rsidRPr="003B0A32">
        <w:rPr>
          <w:rFonts w:ascii="Times New Roman" w:hAnsi="Times New Roman" w:cs="Times New Roman"/>
          <w:color w:val="auto"/>
        </w:rPr>
        <w:t>z późn. zm.</w:t>
      </w:r>
      <w:r w:rsidR="00922760" w:rsidRPr="003B0A32">
        <w:rPr>
          <w:rFonts w:ascii="Times New Roman" w:hAnsi="Times New Roman" w:cs="Times New Roman"/>
          <w:color w:val="auto"/>
        </w:rPr>
        <w:t>)</w:t>
      </w:r>
      <w:r w:rsidR="00A86EF9" w:rsidRPr="003B0A32">
        <w:rPr>
          <w:rFonts w:ascii="Times New Roman" w:hAnsi="Times New Roman" w:cs="Times New Roman"/>
          <w:color w:val="auto"/>
        </w:rPr>
        <w:t xml:space="preserve">, zwanej </w:t>
      </w:r>
      <w:r w:rsidRPr="003B0A32">
        <w:rPr>
          <w:rFonts w:ascii="Times New Roman" w:hAnsi="Times New Roman" w:cs="Times New Roman"/>
          <w:color w:val="auto"/>
        </w:rPr>
        <w:t>dalej „KC”. Jeżeli nabycie nieruchomości rolnej w rozumieniu KC</w:t>
      </w:r>
      <w:r w:rsidR="00C850B0" w:rsidRPr="003B0A32">
        <w:rPr>
          <w:rFonts w:ascii="Times New Roman" w:hAnsi="Times New Roman" w:cs="Times New Roman"/>
          <w:color w:val="auto"/>
        </w:rPr>
        <w:t>,</w:t>
      </w:r>
      <w:r w:rsidRPr="003B0A32">
        <w:rPr>
          <w:rFonts w:ascii="Times New Roman" w:hAnsi="Times New Roman" w:cs="Times New Roman"/>
          <w:color w:val="auto"/>
        </w:rPr>
        <w:t xml:space="preserve"> tj. </w:t>
      </w:r>
      <w:r w:rsidRPr="003B0A32">
        <w:rPr>
          <w:rFonts w:ascii="Times New Roman" w:hAnsi="Times New Roman" w:cs="Times New Roman"/>
          <w:i/>
          <w:iCs/>
          <w:color w:val="auto"/>
        </w:rPr>
        <w:t>nieruchomości, które są lub mogą być wykorzystywane do prowadzenia działalności wytwórczej w rolnictwie w zakresie produkcji roślinnej i zwierzęcej, nie wyłączając produkcji ogrodniczej, sadowniczej i rybnej</w:t>
      </w:r>
      <w:r w:rsidRPr="003B0A32">
        <w:rPr>
          <w:rFonts w:ascii="Times New Roman" w:hAnsi="Times New Roman" w:cs="Times New Roman"/>
          <w:color w:val="auto"/>
        </w:rPr>
        <w:t>, z</w:t>
      </w:r>
      <w:r w:rsidR="0045642A" w:rsidRPr="003B0A32">
        <w:rPr>
          <w:rFonts w:ascii="Times New Roman" w:hAnsi="Times New Roman" w:cs="Times New Roman"/>
          <w:color w:val="auto"/>
        </w:rPr>
        <w:t> </w:t>
      </w:r>
      <w:r w:rsidRPr="003B0A32">
        <w:rPr>
          <w:rFonts w:ascii="Times New Roman" w:hAnsi="Times New Roman" w:cs="Times New Roman"/>
          <w:color w:val="auto"/>
        </w:rPr>
        <w:t>wyłączeniem nieruchomości położonych na obszarach przeznaczonych w planach zagospodarowania przestrzennego na cele inne niż rolne, następuje w wyniku zawarcia umowy innej niż umowa sprzedaży, Krajowy Ośrodek Wsparcia Rolnictwa</w:t>
      </w:r>
      <w:r w:rsidR="00A86EF9" w:rsidRPr="003B0A32">
        <w:rPr>
          <w:rFonts w:ascii="Times New Roman" w:hAnsi="Times New Roman" w:cs="Times New Roman"/>
          <w:color w:val="auto"/>
        </w:rPr>
        <w:t>, zwany dalej „</w:t>
      </w:r>
      <w:r w:rsidRPr="003B0A32">
        <w:rPr>
          <w:rFonts w:ascii="Times New Roman" w:hAnsi="Times New Roman" w:cs="Times New Roman"/>
          <w:color w:val="auto"/>
        </w:rPr>
        <w:t>KOWR</w:t>
      </w:r>
      <w:r w:rsidR="00A86EF9" w:rsidRPr="003B0A32">
        <w:rPr>
          <w:rFonts w:ascii="Times New Roman" w:hAnsi="Times New Roman" w:cs="Times New Roman"/>
          <w:color w:val="auto"/>
        </w:rPr>
        <w:t>”</w:t>
      </w:r>
      <w:r w:rsidR="00721325" w:rsidRPr="003B0A32">
        <w:rPr>
          <w:rFonts w:ascii="Times New Roman" w:hAnsi="Times New Roman" w:cs="Times New Roman"/>
          <w:color w:val="auto"/>
        </w:rPr>
        <w:t>,</w:t>
      </w:r>
      <w:r w:rsidRPr="003B0A32">
        <w:rPr>
          <w:rFonts w:ascii="Times New Roman" w:hAnsi="Times New Roman" w:cs="Times New Roman"/>
          <w:color w:val="auto"/>
        </w:rPr>
        <w:t xml:space="preserve"> działający na rzecz Skarbu </w:t>
      </w:r>
      <w:r w:rsidRPr="003B0A32">
        <w:rPr>
          <w:rFonts w:ascii="Times New Roman" w:hAnsi="Times New Roman" w:cs="Times New Roman"/>
          <w:color w:val="auto"/>
        </w:rPr>
        <w:lastRenderedPageBreak/>
        <w:t>Państwa może złożyć oświadczenie o nabyciu tej</w:t>
      </w:r>
      <w:r w:rsidR="0045642A" w:rsidRPr="003B0A32">
        <w:rPr>
          <w:rFonts w:ascii="Times New Roman" w:hAnsi="Times New Roman" w:cs="Times New Roman"/>
          <w:color w:val="auto"/>
        </w:rPr>
        <w:t> </w:t>
      </w:r>
      <w:r w:rsidRPr="003B0A32">
        <w:rPr>
          <w:rFonts w:ascii="Times New Roman" w:hAnsi="Times New Roman" w:cs="Times New Roman"/>
          <w:color w:val="auto"/>
        </w:rPr>
        <w:t xml:space="preserve">nieruchomości za zapłatą ceny tej nieruchomości. </w:t>
      </w:r>
    </w:p>
    <w:p w14:paraId="60A3E5AF" w14:textId="334F62BE" w:rsidR="00EF06C4" w:rsidRPr="003B0A32" w:rsidRDefault="00EF06C4" w:rsidP="003B0A32">
      <w:pPr>
        <w:pStyle w:val="Default"/>
        <w:spacing w:before="120" w:after="120" w:line="360" w:lineRule="auto"/>
        <w:jc w:val="both"/>
        <w:rPr>
          <w:rFonts w:ascii="Times New Roman" w:hAnsi="Times New Roman" w:cs="Times New Roman"/>
          <w:color w:val="auto"/>
        </w:rPr>
      </w:pPr>
      <w:r w:rsidRPr="003B0A32">
        <w:rPr>
          <w:rFonts w:ascii="Times New Roman" w:hAnsi="Times New Roman" w:cs="Times New Roman"/>
          <w:color w:val="auto"/>
        </w:rPr>
        <w:t>Kwestia oceny charakteru nieruchomości w kontekście definicji nieruchomości rolnej w</w:t>
      </w:r>
      <w:r w:rsidR="007E72DF" w:rsidRPr="003B0A32">
        <w:rPr>
          <w:rFonts w:ascii="Times New Roman" w:hAnsi="Times New Roman" w:cs="Times New Roman"/>
          <w:color w:val="auto"/>
        </w:rPr>
        <w:t> </w:t>
      </w:r>
      <w:r w:rsidRPr="003B0A32">
        <w:rPr>
          <w:rFonts w:ascii="Times New Roman" w:hAnsi="Times New Roman" w:cs="Times New Roman"/>
          <w:color w:val="auto"/>
        </w:rPr>
        <w:t>rozumieniu KC nie jest jednoznaczna. W doktrynie wskazuje się, że o rolniczym charakterze nieruchomości decyduje kryterium przeznaczenia. Sposób wykorzystywania stanowi kryterium wyodrębniające nieruchomość rolną. Nie jest wymagane rzeczywiste prowadzenie działalności wytwórczej w rolnictwie w</w:t>
      </w:r>
      <w:r w:rsidR="007E72DF" w:rsidRPr="003B0A32">
        <w:rPr>
          <w:rFonts w:ascii="Times New Roman" w:hAnsi="Times New Roman" w:cs="Times New Roman"/>
          <w:color w:val="auto"/>
        </w:rPr>
        <w:t> </w:t>
      </w:r>
      <w:r w:rsidRPr="003B0A32">
        <w:rPr>
          <w:rFonts w:ascii="Times New Roman" w:hAnsi="Times New Roman" w:cs="Times New Roman"/>
          <w:color w:val="auto"/>
        </w:rPr>
        <w:t xml:space="preserve">zakresie produkcji roślinnej i zwierzęcej lub ogrodniczej, sadowniczej czy rybnej. Nieruchomość rolną będzie więc stanowił grunt </w:t>
      </w:r>
      <w:r w:rsidRPr="003B0A32">
        <w:rPr>
          <w:rFonts w:ascii="Times New Roman" w:hAnsi="Times New Roman" w:cs="Times New Roman"/>
          <w:bCs/>
          <w:color w:val="auto"/>
        </w:rPr>
        <w:t>wykorzystywany</w:t>
      </w:r>
      <w:r w:rsidRPr="003B0A32">
        <w:rPr>
          <w:rFonts w:ascii="Times New Roman" w:hAnsi="Times New Roman" w:cs="Times New Roman"/>
          <w:b/>
          <w:bCs/>
          <w:color w:val="auto"/>
        </w:rPr>
        <w:t xml:space="preserve"> </w:t>
      </w:r>
      <w:r w:rsidRPr="003B0A32">
        <w:rPr>
          <w:rFonts w:ascii="Times New Roman" w:hAnsi="Times New Roman" w:cs="Times New Roman"/>
          <w:color w:val="auto"/>
        </w:rPr>
        <w:t>do uprawy, hodowli zwierząt, produkcji sadowniczej lub ogrodniczej, do</w:t>
      </w:r>
      <w:r w:rsidR="0045642A" w:rsidRPr="003B0A32">
        <w:rPr>
          <w:rFonts w:ascii="Times New Roman" w:hAnsi="Times New Roman" w:cs="Times New Roman"/>
          <w:color w:val="auto"/>
        </w:rPr>
        <w:t> </w:t>
      </w:r>
      <w:r w:rsidRPr="003B0A32">
        <w:rPr>
          <w:rFonts w:ascii="Times New Roman" w:hAnsi="Times New Roman" w:cs="Times New Roman"/>
          <w:color w:val="auto"/>
        </w:rPr>
        <w:t xml:space="preserve">prowadzenia gospodarstwa rybnego, </w:t>
      </w:r>
      <w:r w:rsidRPr="003B0A32">
        <w:rPr>
          <w:rFonts w:ascii="Times New Roman" w:hAnsi="Times New Roman" w:cs="Times New Roman"/>
          <w:bCs/>
          <w:color w:val="auto"/>
        </w:rPr>
        <w:t>jak również grunt, na którym jedynie możliwe jest prowadzenie takiej działalności.</w:t>
      </w:r>
      <w:r w:rsidRPr="003B0A32">
        <w:rPr>
          <w:rFonts w:ascii="Times New Roman" w:hAnsi="Times New Roman" w:cs="Times New Roman"/>
          <w:b/>
          <w:bCs/>
          <w:color w:val="auto"/>
        </w:rPr>
        <w:t xml:space="preserve"> </w:t>
      </w:r>
      <w:r w:rsidRPr="003B0A32">
        <w:rPr>
          <w:rFonts w:ascii="Times New Roman" w:hAnsi="Times New Roman" w:cs="Times New Roman"/>
          <w:color w:val="auto"/>
        </w:rPr>
        <w:t>Kryterium wyodrębniającym (cechą wyróżniającą) nieruchomość rolną jest zatem możliwy sposób jej wykorzystania. Nie jest konieczne rzeczywiste prowadzenie działalności wytwórczej w rolnictwie, w zakresie produkcji roślinnej, zwierzęcej lub ogrodniczej, sadowniczej czy rybnej (wyrok NSA z 23.11.2006 r., I</w:t>
      </w:r>
      <w:r w:rsidR="00AC6B26" w:rsidRPr="003B0A32">
        <w:rPr>
          <w:rFonts w:ascii="Times New Roman" w:hAnsi="Times New Roman" w:cs="Times New Roman"/>
          <w:color w:val="auto"/>
        </w:rPr>
        <w:t> </w:t>
      </w:r>
      <w:r w:rsidRPr="003B0A32">
        <w:rPr>
          <w:rFonts w:ascii="Times New Roman" w:hAnsi="Times New Roman" w:cs="Times New Roman"/>
          <w:color w:val="auto"/>
        </w:rPr>
        <w:t>OSK 132/06, LEX nr 291425). Do ustalenia możliwości wykorzystywania nieruchomości w</w:t>
      </w:r>
      <w:r w:rsidR="0045642A" w:rsidRPr="003B0A32">
        <w:rPr>
          <w:rFonts w:ascii="Times New Roman" w:hAnsi="Times New Roman" w:cs="Times New Roman"/>
          <w:color w:val="auto"/>
        </w:rPr>
        <w:t> </w:t>
      </w:r>
      <w:r w:rsidRPr="003B0A32">
        <w:rPr>
          <w:rFonts w:ascii="Times New Roman" w:hAnsi="Times New Roman" w:cs="Times New Roman"/>
          <w:color w:val="auto"/>
        </w:rPr>
        <w:t xml:space="preserve">określony sposób mogą być </w:t>
      </w:r>
      <w:r w:rsidR="00C850B0" w:rsidRPr="003B0A32">
        <w:rPr>
          <w:rFonts w:ascii="Times New Roman" w:hAnsi="Times New Roman" w:cs="Times New Roman"/>
          <w:color w:val="auto"/>
        </w:rPr>
        <w:t xml:space="preserve">pomocne </w:t>
      </w:r>
      <w:r w:rsidRPr="003B0A32">
        <w:rPr>
          <w:rFonts w:ascii="Times New Roman" w:hAnsi="Times New Roman" w:cs="Times New Roman"/>
          <w:color w:val="auto"/>
        </w:rPr>
        <w:t>zapisy w ewidencji gruntów oraz plany zagospodarowania przestrzennego. Nieruchomość rolna nie obejmuje gruntów stanowiących nieużytki oznaczonych symbolem N (uchwała SN z 14.12.1984 r., III CZP 78/84, OSNCP 1985/10, poz. 149; OSNPG 1985/5, poz. 19), jak również gruntów kwalifikowanych w</w:t>
      </w:r>
      <w:r w:rsidR="00AC6B26" w:rsidRPr="003B0A32">
        <w:rPr>
          <w:rFonts w:ascii="Times New Roman" w:hAnsi="Times New Roman" w:cs="Times New Roman"/>
          <w:color w:val="auto"/>
        </w:rPr>
        <w:t> </w:t>
      </w:r>
      <w:r w:rsidRPr="003B0A32">
        <w:rPr>
          <w:rFonts w:ascii="Times New Roman" w:hAnsi="Times New Roman" w:cs="Times New Roman"/>
          <w:color w:val="auto"/>
        </w:rPr>
        <w:t xml:space="preserve">ewidencji jako rolne, ale spełniające faktycznie funkcję skarp kolejowych (postanowienie SN z 19.05.1966 r., II CR 476/65, OSNCP 1967/3, poz. 53; OSNPG 1966/9, poz. 40). </w:t>
      </w:r>
    </w:p>
    <w:p w14:paraId="0AAF6370" w14:textId="26148BC1" w:rsidR="00EF06C4" w:rsidRPr="003B0A32" w:rsidRDefault="00EF06C4" w:rsidP="003B0A32">
      <w:pPr>
        <w:pStyle w:val="Default"/>
        <w:spacing w:before="120" w:after="120" w:line="360" w:lineRule="auto"/>
        <w:jc w:val="both"/>
        <w:rPr>
          <w:rFonts w:ascii="Times New Roman" w:hAnsi="Times New Roman" w:cs="Times New Roman"/>
          <w:color w:val="auto"/>
        </w:rPr>
      </w:pPr>
      <w:r w:rsidRPr="003B0A32">
        <w:rPr>
          <w:rFonts w:ascii="Times New Roman" w:hAnsi="Times New Roman" w:cs="Times New Roman"/>
          <w:color w:val="auto"/>
        </w:rPr>
        <w:t>W przypadku nieruchomości, które będą wnoszone aportem do PKP PLK S.A</w:t>
      </w:r>
      <w:r w:rsidR="00AC6B26" w:rsidRPr="003B0A32">
        <w:rPr>
          <w:rFonts w:ascii="Times New Roman" w:hAnsi="Times New Roman" w:cs="Times New Roman"/>
          <w:color w:val="auto"/>
        </w:rPr>
        <w:t>.</w:t>
      </w:r>
      <w:r w:rsidRPr="003B0A32">
        <w:rPr>
          <w:rFonts w:ascii="Times New Roman" w:hAnsi="Times New Roman" w:cs="Times New Roman"/>
          <w:color w:val="auto"/>
        </w:rPr>
        <w:t xml:space="preserve"> </w:t>
      </w:r>
      <w:r w:rsidR="00AC6B26" w:rsidRPr="003B0A32">
        <w:rPr>
          <w:rFonts w:ascii="Times New Roman" w:hAnsi="Times New Roman" w:cs="Times New Roman"/>
          <w:color w:val="auto"/>
        </w:rPr>
        <w:t>(</w:t>
      </w:r>
      <w:r w:rsidRPr="003B0A32">
        <w:rPr>
          <w:rFonts w:ascii="Times New Roman" w:hAnsi="Times New Roman" w:cs="Times New Roman"/>
          <w:color w:val="auto"/>
        </w:rPr>
        <w:t>informacj</w:t>
      </w:r>
      <w:r w:rsidR="00AC6B26" w:rsidRPr="003B0A32">
        <w:rPr>
          <w:rFonts w:ascii="Times New Roman" w:hAnsi="Times New Roman" w:cs="Times New Roman"/>
          <w:color w:val="auto"/>
        </w:rPr>
        <w:t>e</w:t>
      </w:r>
      <w:r w:rsidRPr="003B0A32">
        <w:rPr>
          <w:rFonts w:ascii="Times New Roman" w:hAnsi="Times New Roman" w:cs="Times New Roman"/>
          <w:color w:val="auto"/>
        </w:rPr>
        <w:t xml:space="preserve"> z</w:t>
      </w:r>
      <w:r w:rsidR="00AC6B26" w:rsidRPr="003B0A32">
        <w:rPr>
          <w:rFonts w:ascii="Times New Roman" w:hAnsi="Times New Roman" w:cs="Times New Roman"/>
          <w:color w:val="auto"/>
        </w:rPr>
        <w:t>e</w:t>
      </w:r>
      <w:r w:rsidR="0045642A" w:rsidRPr="003B0A32">
        <w:rPr>
          <w:rFonts w:ascii="Times New Roman" w:hAnsi="Times New Roman" w:cs="Times New Roman"/>
          <w:color w:val="auto"/>
        </w:rPr>
        <w:t> </w:t>
      </w:r>
      <w:r w:rsidRPr="003B0A32">
        <w:rPr>
          <w:rFonts w:ascii="Times New Roman" w:hAnsi="Times New Roman" w:cs="Times New Roman"/>
          <w:color w:val="auto"/>
        </w:rPr>
        <w:t>Spółki</w:t>
      </w:r>
      <w:r w:rsidR="00AC6B26" w:rsidRPr="003B0A32">
        <w:rPr>
          <w:rFonts w:ascii="Times New Roman" w:hAnsi="Times New Roman" w:cs="Times New Roman"/>
          <w:color w:val="auto"/>
        </w:rPr>
        <w:t>)</w:t>
      </w:r>
      <w:r w:rsidRPr="003B0A32">
        <w:rPr>
          <w:rFonts w:ascii="Times New Roman" w:hAnsi="Times New Roman" w:cs="Times New Roman"/>
          <w:color w:val="auto"/>
        </w:rPr>
        <w:t xml:space="preserve"> w ewidencji gruntów i budynków występuje oznaczenie użytków jako grunty rolne czy leśne. </w:t>
      </w:r>
      <w:r w:rsidR="00AC6B26" w:rsidRPr="003B0A32">
        <w:rPr>
          <w:rFonts w:ascii="Times New Roman" w:hAnsi="Times New Roman" w:cs="Times New Roman"/>
          <w:color w:val="auto"/>
        </w:rPr>
        <w:t xml:space="preserve">Konkretne </w:t>
      </w:r>
      <w:r w:rsidRPr="003B0A32">
        <w:rPr>
          <w:rFonts w:ascii="Times New Roman" w:hAnsi="Times New Roman" w:cs="Times New Roman"/>
          <w:color w:val="auto"/>
        </w:rPr>
        <w:t>informacje z ewidencji gruntów i</w:t>
      </w:r>
      <w:r w:rsidR="00AC6B26" w:rsidRPr="003B0A32">
        <w:rPr>
          <w:rFonts w:ascii="Times New Roman" w:hAnsi="Times New Roman" w:cs="Times New Roman"/>
          <w:color w:val="auto"/>
        </w:rPr>
        <w:t xml:space="preserve"> </w:t>
      </w:r>
      <w:r w:rsidRPr="003B0A32">
        <w:rPr>
          <w:rFonts w:ascii="Times New Roman" w:hAnsi="Times New Roman" w:cs="Times New Roman"/>
          <w:color w:val="auto"/>
        </w:rPr>
        <w:t>budynków</w:t>
      </w:r>
      <w:r w:rsidR="00C850B0" w:rsidRPr="003B0A32">
        <w:rPr>
          <w:rFonts w:ascii="Times New Roman" w:hAnsi="Times New Roman" w:cs="Times New Roman"/>
          <w:color w:val="auto"/>
        </w:rPr>
        <w:t>,</w:t>
      </w:r>
      <w:r w:rsidRPr="003B0A32">
        <w:rPr>
          <w:rFonts w:ascii="Times New Roman" w:hAnsi="Times New Roman" w:cs="Times New Roman"/>
          <w:color w:val="auto"/>
        </w:rPr>
        <w:t xml:space="preserve"> tj. czy mamy oznaczenie </w:t>
      </w:r>
      <w:r w:rsidRPr="003B0A32">
        <w:rPr>
          <w:rFonts w:ascii="Times New Roman" w:hAnsi="Times New Roman" w:cs="Times New Roman"/>
          <w:color w:val="auto"/>
        </w:rPr>
        <w:lastRenderedPageBreak/>
        <w:t>użytku jako tereny kolejowe czy inne oznaczenie</w:t>
      </w:r>
      <w:r w:rsidR="00C850B0" w:rsidRPr="003B0A32">
        <w:rPr>
          <w:rFonts w:ascii="Times New Roman" w:hAnsi="Times New Roman" w:cs="Times New Roman"/>
          <w:color w:val="auto"/>
        </w:rPr>
        <w:t>,</w:t>
      </w:r>
      <w:r w:rsidRPr="003B0A32">
        <w:rPr>
          <w:rFonts w:ascii="Times New Roman" w:hAnsi="Times New Roman" w:cs="Times New Roman"/>
          <w:color w:val="auto"/>
        </w:rPr>
        <w:t xml:space="preserve"> będ</w:t>
      </w:r>
      <w:r w:rsidR="00AC6B26" w:rsidRPr="003B0A32">
        <w:rPr>
          <w:rFonts w:ascii="Times New Roman" w:hAnsi="Times New Roman" w:cs="Times New Roman"/>
          <w:color w:val="auto"/>
        </w:rPr>
        <w:t>ą</w:t>
      </w:r>
      <w:r w:rsidRPr="003B0A32">
        <w:rPr>
          <w:rFonts w:ascii="Times New Roman" w:hAnsi="Times New Roman" w:cs="Times New Roman"/>
          <w:color w:val="auto"/>
        </w:rPr>
        <w:t xml:space="preserve"> </w:t>
      </w:r>
      <w:r w:rsidR="00AC6B26" w:rsidRPr="003B0A32">
        <w:rPr>
          <w:rFonts w:ascii="Times New Roman" w:hAnsi="Times New Roman" w:cs="Times New Roman"/>
          <w:color w:val="auto"/>
        </w:rPr>
        <w:t>u</w:t>
      </w:r>
      <w:r w:rsidRPr="003B0A32">
        <w:rPr>
          <w:rFonts w:ascii="Times New Roman" w:hAnsi="Times New Roman" w:cs="Times New Roman"/>
          <w:color w:val="auto"/>
        </w:rPr>
        <w:t>zyskan</w:t>
      </w:r>
      <w:r w:rsidR="00AC6B26" w:rsidRPr="003B0A32">
        <w:rPr>
          <w:rFonts w:ascii="Times New Roman" w:hAnsi="Times New Roman" w:cs="Times New Roman"/>
          <w:color w:val="auto"/>
        </w:rPr>
        <w:t>e</w:t>
      </w:r>
      <w:r w:rsidRPr="003B0A32">
        <w:rPr>
          <w:rFonts w:ascii="Times New Roman" w:hAnsi="Times New Roman" w:cs="Times New Roman"/>
          <w:color w:val="auto"/>
        </w:rPr>
        <w:t xml:space="preserve"> na etapie przygotowania dokumentacji do zawarcia aktów notarialnych. </w:t>
      </w:r>
    </w:p>
    <w:p w14:paraId="058672A5" w14:textId="43B5F6B6" w:rsidR="00EF06C4" w:rsidRPr="003B0A32" w:rsidRDefault="00EF06C4" w:rsidP="003B0A32">
      <w:pPr>
        <w:pStyle w:val="Default"/>
        <w:spacing w:before="120" w:after="120" w:line="360" w:lineRule="auto"/>
        <w:jc w:val="both"/>
        <w:rPr>
          <w:rFonts w:ascii="Times New Roman" w:hAnsi="Times New Roman" w:cs="Times New Roman"/>
          <w:color w:val="auto"/>
        </w:rPr>
      </w:pPr>
      <w:r w:rsidRPr="003B0A32">
        <w:rPr>
          <w:rFonts w:ascii="Times New Roman" w:hAnsi="Times New Roman" w:cs="Times New Roman"/>
          <w:color w:val="auto"/>
        </w:rPr>
        <w:t>Dla części nieruchomości, które są planowane do wniesienia aportem</w:t>
      </w:r>
      <w:r w:rsidR="00C850B0" w:rsidRPr="003B0A32">
        <w:rPr>
          <w:rFonts w:ascii="Times New Roman" w:hAnsi="Times New Roman" w:cs="Times New Roman"/>
          <w:color w:val="auto"/>
        </w:rPr>
        <w:t>,</w:t>
      </w:r>
      <w:r w:rsidRPr="003B0A32">
        <w:rPr>
          <w:rFonts w:ascii="Times New Roman" w:hAnsi="Times New Roman" w:cs="Times New Roman"/>
          <w:color w:val="auto"/>
        </w:rPr>
        <w:t xml:space="preserve"> są sporządzone miejscowe plany zagospodarowania przestrzennego. Informacja</w:t>
      </w:r>
      <w:r w:rsidR="00C850B0" w:rsidRPr="003B0A32">
        <w:rPr>
          <w:rFonts w:ascii="Times New Roman" w:hAnsi="Times New Roman" w:cs="Times New Roman"/>
          <w:color w:val="auto"/>
        </w:rPr>
        <w:t>,</w:t>
      </w:r>
      <w:r w:rsidRPr="003B0A32">
        <w:rPr>
          <w:rFonts w:ascii="Times New Roman" w:hAnsi="Times New Roman" w:cs="Times New Roman"/>
          <w:color w:val="auto"/>
        </w:rPr>
        <w:t xml:space="preserve"> jakie przeznaczenie jest ujęte w planie</w:t>
      </w:r>
      <w:r w:rsidR="00644E2C">
        <w:rPr>
          <w:rFonts w:ascii="Times New Roman" w:hAnsi="Times New Roman" w:cs="Times New Roman"/>
          <w:color w:val="auto"/>
        </w:rPr>
        <w:t>,</w:t>
      </w:r>
      <w:r w:rsidRPr="003B0A32">
        <w:rPr>
          <w:rFonts w:ascii="Times New Roman" w:hAnsi="Times New Roman" w:cs="Times New Roman"/>
          <w:color w:val="auto"/>
        </w:rPr>
        <w:t xml:space="preserve"> będzie do zidentyfikowania na etapie przygotowania dokumentacji do aktów notarialnych. Dla części nieruchomości nie ma sporządzonych miejscowych planów zagospodarowania przestrzennego. </w:t>
      </w:r>
    </w:p>
    <w:p w14:paraId="29D4159E" w14:textId="45BF69D6" w:rsidR="00EF06C4" w:rsidRPr="003B0A32" w:rsidRDefault="00EF06C4" w:rsidP="003B0A32">
      <w:pPr>
        <w:pStyle w:val="Default"/>
        <w:spacing w:before="120" w:after="120" w:line="360" w:lineRule="auto"/>
        <w:jc w:val="both"/>
        <w:rPr>
          <w:rFonts w:ascii="Times New Roman" w:hAnsi="Times New Roman" w:cs="Times New Roman"/>
          <w:color w:val="auto"/>
        </w:rPr>
      </w:pPr>
      <w:r w:rsidRPr="003B0A32">
        <w:rPr>
          <w:rFonts w:ascii="Times New Roman" w:hAnsi="Times New Roman" w:cs="Times New Roman"/>
          <w:color w:val="auto"/>
        </w:rPr>
        <w:t xml:space="preserve">W orzecznictwie wskazuje się, że ocena charakteru prawnego nieruchomości powinna być dokonywana w oparciu o miejscowy plan zagospodarowania przestrzennego, a w </w:t>
      </w:r>
      <w:r w:rsidR="00AC6B26" w:rsidRPr="003B0A32">
        <w:rPr>
          <w:rFonts w:ascii="Times New Roman" w:hAnsi="Times New Roman" w:cs="Times New Roman"/>
          <w:color w:val="auto"/>
        </w:rPr>
        <w:t xml:space="preserve">przypadku </w:t>
      </w:r>
      <w:r w:rsidRPr="003B0A32">
        <w:rPr>
          <w:rFonts w:ascii="Times New Roman" w:hAnsi="Times New Roman" w:cs="Times New Roman"/>
          <w:color w:val="auto"/>
        </w:rPr>
        <w:t xml:space="preserve">jego braku </w:t>
      </w:r>
      <w:r w:rsidR="00644E2C">
        <w:rPr>
          <w:rFonts w:ascii="Times New Roman" w:hAnsi="Times New Roman" w:cs="Times New Roman"/>
          <w:color w:val="auto"/>
        </w:rPr>
        <w:t>–</w:t>
      </w:r>
      <w:r w:rsidR="00C850B0" w:rsidRPr="003B0A32">
        <w:rPr>
          <w:rFonts w:ascii="Times New Roman" w:hAnsi="Times New Roman" w:cs="Times New Roman"/>
          <w:color w:val="auto"/>
        </w:rPr>
        <w:t xml:space="preserve"> </w:t>
      </w:r>
      <w:r w:rsidRPr="003B0A32">
        <w:rPr>
          <w:rFonts w:ascii="Times New Roman" w:hAnsi="Times New Roman" w:cs="Times New Roman"/>
          <w:color w:val="auto"/>
        </w:rPr>
        <w:t>na podstawie katastru nieruchomości (postanowienie SN z 16.05.2013 r., IV CSK 256/12, LEX nr 1365710). Jednocześnie w wyroku z dnia 19 stycznia 2012</w:t>
      </w:r>
      <w:r w:rsidR="00A86EF9" w:rsidRPr="003B0A32">
        <w:rPr>
          <w:rFonts w:ascii="Times New Roman" w:hAnsi="Times New Roman" w:cs="Times New Roman"/>
          <w:color w:val="auto"/>
        </w:rPr>
        <w:t xml:space="preserve"> </w:t>
      </w:r>
      <w:r w:rsidRPr="003B0A32">
        <w:rPr>
          <w:rFonts w:ascii="Times New Roman" w:hAnsi="Times New Roman" w:cs="Times New Roman"/>
          <w:color w:val="auto"/>
        </w:rPr>
        <w:t>r. VII SA/Wa 1533/11 (L</w:t>
      </w:r>
      <w:r w:rsidR="00636584" w:rsidRPr="003B0A32">
        <w:rPr>
          <w:rFonts w:ascii="Times New Roman" w:hAnsi="Times New Roman" w:cs="Times New Roman"/>
          <w:color w:val="auto"/>
        </w:rPr>
        <w:t>EX</w:t>
      </w:r>
      <w:r w:rsidRPr="003B0A32">
        <w:rPr>
          <w:rFonts w:ascii="Times New Roman" w:hAnsi="Times New Roman" w:cs="Times New Roman"/>
          <w:color w:val="auto"/>
        </w:rPr>
        <w:t xml:space="preserve"> nr 1121780) dotyczącym decyzji odmawiającej stwierdzenia nieważności pozwolenia na budowę pawilonu handlowego na obszarze kolejowym </w:t>
      </w:r>
      <w:r w:rsidR="00922760" w:rsidRPr="003B0A32">
        <w:rPr>
          <w:rFonts w:ascii="Times New Roman" w:hAnsi="Times New Roman" w:cs="Times New Roman"/>
          <w:color w:val="auto"/>
        </w:rPr>
        <w:t>WSA</w:t>
      </w:r>
      <w:r w:rsidR="00A86EF9" w:rsidRPr="003B0A32">
        <w:rPr>
          <w:rFonts w:ascii="Times New Roman" w:hAnsi="Times New Roman" w:cs="Times New Roman"/>
          <w:color w:val="auto"/>
        </w:rPr>
        <w:t xml:space="preserve"> w Warszawie </w:t>
      </w:r>
      <w:r w:rsidRPr="003B0A32">
        <w:rPr>
          <w:rFonts w:ascii="Times New Roman" w:hAnsi="Times New Roman" w:cs="Times New Roman"/>
          <w:color w:val="auto"/>
        </w:rPr>
        <w:t>wskazuje, że</w:t>
      </w:r>
      <w:r w:rsidR="0045642A" w:rsidRPr="003B0A32">
        <w:rPr>
          <w:rFonts w:ascii="Times New Roman" w:hAnsi="Times New Roman" w:cs="Times New Roman"/>
          <w:color w:val="auto"/>
        </w:rPr>
        <w:t> </w:t>
      </w:r>
      <w:r w:rsidRPr="003B0A32">
        <w:rPr>
          <w:rFonts w:ascii="Times New Roman" w:hAnsi="Times New Roman" w:cs="Times New Roman"/>
          <w:i/>
          <w:iCs/>
          <w:color w:val="auto"/>
        </w:rPr>
        <w:t>ustal</w:t>
      </w:r>
      <w:r w:rsidR="00922760" w:rsidRPr="003B0A32">
        <w:rPr>
          <w:rFonts w:ascii="Times New Roman" w:hAnsi="Times New Roman" w:cs="Times New Roman"/>
          <w:i/>
          <w:iCs/>
          <w:color w:val="auto"/>
        </w:rPr>
        <w:t xml:space="preserve">enie przez właściwego ministra, </w:t>
      </w:r>
      <w:r w:rsidRPr="003B0A32">
        <w:rPr>
          <w:rFonts w:ascii="Times New Roman" w:hAnsi="Times New Roman" w:cs="Times New Roman"/>
          <w:i/>
          <w:iCs/>
          <w:color w:val="auto"/>
        </w:rPr>
        <w:t>że</w:t>
      </w:r>
      <w:r w:rsidR="00681BDC" w:rsidRPr="003B0A32">
        <w:rPr>
          <w:rFonts w:ascii="Times New Roman" w:hAnsi="Times New Roman" w:cs="Times New Roman"/>
          <w:i/>
          <w:iCs/>
          <w:color w:val="auto"/>
        </w:rPr>
        <w:t> </w:t>
      </w:r>
      <w:r w:rsidRPr="003B0A32">
        <w:rPr>
          <w:rFonts w:ascii="Times New Roman" w:hAnsi="Times New Roman" w:cs="Times New Roman"/>
          <w:i/>
          <w:iCs/>
          <w:color w:val="auto"/>
        </w:rPr>
        <w:t>określony teren staje się terenem zamkniętym określa przeznaczenie tego terenu na cele związane z obronnością i</w:t>
      </w:r>
      <w:r w:rsidR="007E72DF" w:rsidRPr="003B0A32">
        <w:rPr>
          <w:rFonts w:ascii="Times New Roman" w:hAnsi="Times New Roman" w:cs="Times New Roman"/>
          <w:i/>
          <w:iCs/>
          <w:color w:val="auto"/>
        </w:rPr>
        <w:t> </w:t>
      </w:r>
      <w:r w:rsidRPr="003B0A32">
        <w:rPr>
          <w:rFonts w:ascii="Times New Roman" w:hAnsi="Times New Roman" w:cs="Times New Roman"/>
          <w:i/>
          <w:iCs/>
          <w:color w:val="auto"/>
        </w:rPr>
        <w:t xml:space="preserve">bezpieczeństwem kraju. Tym samym, jeżeli w dotychczas obowiązującym planie zagospodarowania przestrzennego określone było inne przeznaczenie tego terenu, mocą powyższej decyzji następuje zmiana tego przeznaczenia na wymienione wyżej cele. </w:t>
      </w:r>
    </w:p>
    <w:p w14:paraId="484E1A00" w14:textId="078BEBF8" w:rsidR="00EF06C4" w:rsidRPr="003B0A32" w:rsidRDefault="00EF06C4" w:rsidP="003B0A32">
      <w:pPr>
        <w:pStyle w:val="Default"/>
        <w:spacing w:before="120" w:after="120" w:line="360" w:lineRule="auto"/>
        <w:jc w:val="both"/>
        <w:rPr>
          <w:rFonts w:ascii="Times New Roman" w:hAnsi="Times New Roman" w:cs="Times New Roman"/>
          <w:color w:val="auto"/>
        </w:rPr>
      </w:pPr>
      <w:r w:rsidRPr="003B0A32">
        <w:rPr>
          <w:rFonts w:ascii="Times New Roman" w:hAnsi="Times New Roman" w:cs="Times New Roman"/>
          <w:color w:val="auto"/>
        </w:rPr>
        <w:t xml:space="preserve">Znaczna część nieruchomości planowana do wniesienia aportem stanowi tereny zamknięte ujęte w decyzji </w:t>
      </w:r>
      <w:r w:rsidR="00456590" w:rsidRPr="003B0A32">
        <w:rPr>
          <w:rFonts w:ascii="Times New Roman" w:hAnsi="Times New Roman" w:cs="Times New Roman"/>
          <w:color w:val="auto"/>
        </w:rPr>
        <w:t>n</w:t>
      </w:r>
      <w:r w:rsidRPr="003B0A32">
        <w:rPr>
          <w:rFonts w:ascii="Times New Roman" w:hAnsi="Times New Roman" w:cs="Times New Roman"/>
          <w:color w:val="auto"/>
        </w:rPr>
        <w:t>r 14 Ministra Infrastruktury z dnia 18</w:t>
      </w:r>
      <w:r w:rsidR="00456590" w:rsidRPr="003B0A32">
        <w:rPr>
          <w:rFonts w:ascii="Times New Roman" w:hAnsi="Times New Roman" w:cs="Times New Roman"/>
          <w:color w:val="auto"/>
        </w:rPr>
        <w:t xml:space="preserve"> września</w:t>
      </w:r>
      <w:r w:rsidR="00681BDC" w:rsidRPr="003B0A32">
        <w:rPr>
          <w:rFonts w:ascii="Times New Roman" w:hAnsi="Times New Roman" w:cs="Times New Roman"/>
          <w:color w:val="auto"/>
        </w:rPr>
        <w:t xml:space="preserve"> </w:t>
      </w:r>
      <w:r w:rsidRPr="003B0A32">
        <w:rPr>
          <w:rFonts w:ascii="Times New Roman" w:hAnsi="Times New Roman" w:cs="Times New Roman"/>
          <w:color w:val="auto"/>
        </w:rPr>
        <w:t xml:space="preserve">2020 r. </w:t>
      </w:r>
      <w:r w:rsidRPr="003B0A32">
        <w:rPr>
          <w:rFonts w:ascii="Times New Roman" w:hAnsi="Times New Roman" w:cs="Times New Roman"/>
          <w:i/>
          <w:color w:val="auto"/>
        </w:rPr>
        <w:t>w sprawie ustalenia terenów zamkniętych, przez które przebiegają linie kolejowe</w:t>
      </w:r>
      <w:r w:rsidR="00456590" w:rsidRPr="003B0A32">
        <w:rPr>
          <w:rFonts w:ascii="Times New Roman" w:hAnsi="Times New Roman" w:cs="Times New Roman"/>
          <w:color w:val="auto"/>
        </w:rPr>
        <w:t xml:space="preserve"> (Dz. Urz. Min. Inf. poz. 38, z</w:t>
      </w:r>
      <w:r w:rsidR="00681BDC" w:rsidRPr="003B0A32">
        <w:rPr>
          <w:rFonts w:ascii="Times New Roman" w:hAnsi="Times New Roman" w:cs="Times New Roman"/>
          <w:color w:val="auto"/>
        </w:rPr>
        <w:t> </w:t>
      </w:r>
      <w:r w:rsidR="00456590" w:rsidRPr="003B0A32">
        <w:rPr>
          <w:rFonts w:ascii="Times New Roman" w:hAnsi="Times New Roman" w:cs="Times New Roman"/>
          <w:color w:val="auto"/>
        </w:rPr>
        <w:t>późn. zm.)</w:t>
      </w:r>
      <w:r w:rsidRPr="003B0A32">
        <w:rPr>
          <w:rFonts w:ascii="Times New Roman" w:hAnsi="Times New Roman" w:cs="Times New Roman"/>
          <w:color w:val="auto"/>
        </w:rPr>
        <w:t>, co w świetle ww. wyroku WSA pozwala na ocenę, że nie mamy do</w:t>
      </w:r>
      <w:r w:rsidR="00922760" w:rsidRPr="003B0A32">
        <w:rPr>
          <w:rFonts w:ascii="Times New Roman" w:hAnsi="Times New Roman" w:cs="Times New Roman"/>
          <w:color w:val="auto"/>
        </w:rPr>
        <w:t xml:space="preserve"> </w:t>
      </w:r>
      <w:r w:rsidRPr="003B0A32">
        <w:rPr>
          <w:rFonts w:ascii="Times New Roman" w:hAnsi="Times New Roman" w:cs="Times New Roman"/>
          <w:color w:val="auto"/>
        </w:rPr>
        <w:t>czynienia z</w:t>
      </w:r>
      <w:r w:rsidR="00681BDC" w:rsidRPr="003B0A32">
        <w:rPr>
          <w:rFonts w:ascii="Times New Roman" w:hAnsi="Times New Roman" w:cs="Times New Roman"/>
          <w:color w:val="auto"/>
        </w:rPr>
        <w:t> </w:t>
      </w:r>
      <w:r w:rsidRPr="003B0A32">
        <w:rPr>
          <w:rFonts w:ascii="Times New Roman" w:hAnsi="Times New Roman" w:cs="Times New Roman"/>
          <w:color w:val="auto"/>
        </w:rPr>
        <w:t>nieruchomością rolną w sytuacji</w:t>
      </w:r>
      <w:r w:rsidR="00D106B2" w:rsidRPr="003B0A32">
        <w:rPr>
          <w:rFonts w:ascii="Times New Roman" w:hAnsi="Times New Roman" w:cs="Times New Roman"/>
          <w:color w:val="auto"/>
        </w:rPr>
        <w:t>,</w:t>
      </w:r>
      <w:r w:rsidRPr="003B0A32">
        <w:rPr>
          <w:rFonts w:ascii="Times New Roman" w:hAnsi="Times New Roman" w:cs="Times New Roman"/>
          <w:color w:val="auto"/>
        </w:rPr>
        <w:t xml:space="preserve"> gdy dana nieruchomość </w:t>
      </w:r>
      <w:r w:rsidR="00C850B0" w:rsidRPr="003B0A32">
        <w:rPr>
          <w:rFonts w:ascii="Times New Roman" w:hAnsi="Times New Roman" w:cs="Times New Roman"/>
          <w:color w:val="auto"/>
        </w:rPr>
        <w:t xml:space="preserve">została </w:t>
      </w:r>
      <w:r w:rsidRPr="003B0A32">
        <w:rPr>
          <w:rFonts w:ascii="Times New Roman" w:hAnsi="Times New Roman" w:cs="Times New Roman"/>
          <w:color w:val="auto"/>
        </w:rPr>
        <w:t xml:space="preserve">zakwalifikowana jako teren zamknięty na cele związane z obronnością i bezpieczeństwem kraju. </w:t>
      </w:r>
    </w:p>
    <w:p w14:paraId="0D16BB43" w14:textId="65744D81" w:rsidR="00EF06C4" w:rsidRPr="003B0A32" w:rsidRDefault="00AC6B26" w:rsidP="003B0A32">
      <w:pPr>
        <w:pStyle w:val="Default"/>
        <w:spacing w:before="120" w:after="120" w:line="360" w:lineRule="auto"/>
        <w:jc w:val="both"/>
        <w:rPr>
          <w:rFonts w:ascii="Times New Roman" w:hAnsi="Times New Roman" w:cs="Times New Roman"/>
          <w:color w:val="auto"/>
        </w:rPr>
      </w:pPr>
      <w:r w:rsidRPr="003B0A32">
        <w:rPr>
          <w:rFonts w:ascii="Times New Roman" w:hAnsi="Times New Roman" w:cs="Times New Roman"/>
          <w:color w:val="auto"/>
        </w:rPr>
        <w:lastRenderedPageBreak/>
        <w:t>P</w:t>
      </w:r>
      <w:r w:rsidR="00EF06C4" w:rsidRPr="003B0A32">
        <w:rPr>
          <w:rFonts w:ascii="Times New Roman" w:hAnsi="Times New Roman" w:cs="Times New Roman"/>
          <w:color w:val="auto"/>
        </w:rPr>
        <w:t xml:space="preserve">rzenosząc </w:t>
      </w:r>
      <w:r w:rsidRPr="003B0A32">
        <w:rPr>
          <w:rFonts w:ascii="Times New Roman" w:hAnsi="Times New Roman" w:cs="Times New Roman"/>
          <w:color w:val="auto"/>
        </w:rPr>
        <w:t xml:space="preserve">ww. </w:t>
      </w:r>
      <w:r w:rsidR="00EF06C4" w:rsidRPr="003B0A32">
        <w:rPr>
          <w:rFonts w:ascii="Times New Roman" w:hAnsi="Times New Roman" w:cs="Times New Roman"/>
          <w:color w:val="auto"/>
        </w:rPr>
        <w:t xml:space="preserve">wyrok WSA na grunt ustawy </w:t>
      </w:r>
      <w:r w:rsidR="00456590" w:rsidRPr="003B0A32">
        <w:rPr>
          <w:rFonts w:ascii="Times New Roman" w:hAnsi="Times New Roman" w:cs="Times New Roman"/>
          <w:color w:val="auto"/>
        </w:rPr>
        <w:t xml:space="preserve">z dnia 11 kwietnia 2003 r. </w:t>
      </w:r>
      <w:r w:rsidR="00EF06C4" w:rsidRPr="003B0A32">
        <w:rPr>
          <w:rFonts w:ascii="Times New Roman" w:hAnsi="Times New Roman" w:cs="Times New Roman"/>
          <w:i/>
          <w:color w:val="auto"/>
        </w:rPr>
        <w:t>o kształtowaniu ustroju rolnego</w:t>
      </w:r>
      <w:r w:rsidR="00EF06C4" w:rsidRPr="003B0A32">
        <w:rPr>
          <w:rFonts w:ascii="Times New Roman" w:hAnsi="Times New Roman" w:cs="Times New Roman"/>
          <w:color w:val="auto"/>
        </w:rPr>
        <w:t xml:space="preserve"> można przyjąć, że nie mamy do czynienia z nieruchomością rolną, </w:t>
      </w:r>
      <w:r w:rsidR="00EF06C4" w:rsidRPr="003B0A32">
        <w:rPr>
          <w:rFonts w:ascii="Times New Roman" w:hAnsi="Times New Roman" w:cs="Times New Roman"/>
          <w:i/>
          <w:iCs/>
          <w:color w:val="auto"/>
        </w:rPr>
        <w:t xml:space="preserve">która jest lub może być wykorzystywana do prowadzenia działalności wytwórczej w rolnictwie </w:t>
      </w:r>
      <w:r w:rsidR="00EF06C4" w:rsidRPr="003B0A32">
        <w:rPr>
          <w:rFonts w:ascii="Times New Roman" w:hAnsi="Times New Roman" w:cs="Times New Roman"/>
          <w:color w:val="auto"/>
        </w:rPr>
        <w:t>skoro charakter nieruchomości i tym samym jej przeznaczenie wyznacza decyzja o</w:t>
      </w:r>
      <w:r w:rsidR="0045642A" w:rsidRPr="003B0A32">
        <w:rPr>
          <w:rFonts w:ascii="Times New Roman" w:hAnsi="Times New Roman" w:cs="Times New Roman"/>
          <w:color w:val="auto"/>
        </w:rPr>
        <w:t> </w:t>
      </w:r>
      <w:r w:rsidR="00EF06C4" w:rsidRPr="003B0A32">
        <w:rPr>
          <w:rFonts w:ascii="Times New Roman" w:hAnsi="Times New Roman" w:cs="Times New Roman"/>
          <w:color w:val="auto"/>
        </w:rPr>
        <w:t>zakwalifikowaniu nieruchomości jako teren</w:t>
      </w:r>
      <w:r w:rsidR="00456590" w:rsidRPr="003B0A32">
        <w:rPr>
          <w:rFonts w:ascii="Times New Roman" w:hAnsi="Times New Roman" w:cs="Times New Roman"/>
          <w:color w:val="auto"/>
        </w:rPr>
        <w:t>u</w:t>
      </w:r>
      <w:r w:rsidR="00EF06C4" w:rsidRPr="003B0A32">
        <w:rPr>
          <w:rFonts w:ascii="Times New Roman" w:hAnsi="Times New Roman" w:cs="Times New Roman"/>
          <w:color w:val="auto"/>
        </w:rPr>
        <w:t xml:space="preserve"> zamknięt</w:t>
      </w:r>
      <w:r w:rsidR="00456590" w:rsidRPr="003B0A32">
        <w:rPr>
          <w:rFonts w:ascii="Times New Roman" w:hAnsi="Times New Roman" w:cs="Times New Roman"/>
          <w:color w:val="auto"/>
        </w:rPr>
        <w:t>ego</w:t>
      </w:r>
      <w:r w:rsidR="00EF06C4" w:rsidRPr="003B0A32">
        <w:rPr>
          <w:rFonts w:ascii="Times New Roman" w:hAnsi="Times New Roman" w:cs="Times New Roman"/>
          <w:color w:val="auto"/>
        </w:rPr>
        <w:t>. Niemniej nie ma prawnego mechanizmu ustalania</w:t>
      </w:r>
      <w:r w:rsidR="00644E2C">
        <w:rPr>
          <w:rFonts w:ascii="Times New Roman" w:hAnsi="Times New Roman" w:cs="Times New Roman"/>
          <w:color w:val="auto"/>
        </w:rPr>
        <w:t>,</w:t>
      </w:r>
      <w:r w:rsidR="00EF06C4" w:rsidRPr="003B0A32">
        <w:rPr>
          <w:rFonts w:ascii="Times New Roman" w:hAnsi="Times New Roman" w:cs="Times New Roman"/>
          <w:color w:val="auto"/>
        </w:rPr>
        <w:t xml:space="preserve"> kiedy mamy do czynienia z nieru</w:t>
      </w:r>
      <w:r w:rsidR="00922760" w:rsidRPr="003B0A32">
        <w:rPr>
          <w:rFonts w:ascii="Times New Roman" w:hAnsi="Times New Roman" w:cs="Times New Roman"/>
          <w:color w:val="auto"/>
        </w:rPr>
        <w:t>chomością rolną w rozumieniu KC</w:t>
      </w:r>
      <w:r w:rsidR="00EF06C4" w:rsidRPr="003B0A32">
        <w:rPr>
          <w:rFonts w:ascii="Times New Roman" w:hAnsi="Times New Roman" w:cs="Times New Roman"/>
          <w:color w:val="auto"/>
        </w:rPr>
        <w:t xml:space="preserve"> podlegającą przepisom ustawy z dnia 11 kwietnia 2003 r. </w:t>
      </w:r>
      <w:r w:rsidR="00EF06C4" w:rsidRPr="003B0A32">
        <w:rPr>
          <w:rFonts w:ascii="Times New Roman" w:hAnsi="Times New Roman" w:cs="Times New Roman"/>
          <w:i/>
          <w:color w:val="auto"/>
        </w:rPr>
        <w:t>o kształtowaniu ustroju rolnego</w:t>
      </w:r>
      <w:r w:rsidR="00EF06C4" w:rsidRPr="003B0A32">
        <w:rPr>
          <w:rFonts w:ascii="Times New Roman" w:hAnsi="Times New Roman" w:cs="Times New Roman"/>
          <w:color w:val="auto"/>
        </w:rPr>
        <w:t>, zatem ocena ta będzie każdorazow</w:t>
      </w:r>
      <w:r w:rsidR="00FC568F" w:rsidRPr="003B0A32">
        <w:rPr>
          <w:rFonts w:ascii="Times New Roman" w:hAnsi="Times New Roman" w:cs="Times New Roman"/>
          <w:color w:val="auto"/>
        </w:rPr>
        <w:t>o</w:t>
      </w:r>
      <w:r w:rsidR="00EF06C4" w:rsidRPr="003B0A32">
        <w:rPr>
          <w:rFonts w:ascii="Times New Roman" w:hAnsi="Times New Roman" w:cs="Times New Roman"/>
          <w:color w:val="auto"/>
        </w:rPr>
        <w:t xml:space="preserve"> dokonywana w odniesieniu do poszczególnych nieruchomości zarówno w momencie zawierania aktu notarialnego, jak też na etapie dokonywania wpisów do ksiąg wieczystych przez sądy wieczystoksięgowe. Pozostawienie</w:t>
      </w:r>
      <w:r w:rsidR="00303277" w:rsidRPr="003B0A32">
        <w:rPr>
          <w:rFonts w:ascii="Times New Roman" w:hAnsi="Times New Roman" w:cs="Times New Roman"/>
          <w:color w:val="auto"/>
        </w:rPr>
        <w:t> </w:t>
      </w:r>
      <w:r w:rsidR="00EF06C4" w:rsidRPr="003B0A32">
        <w:rPr>
          <w:rFonts w:ascii="Times New Roman" w:hAnsi="Times New Roman" w:cs="Times New Roman"/>
          <w:color w:val="auto"/>
        </w:rPr>
        <w:t>tej</w:t>
      </w:r>
      <w:r w:rsidR="0045642A" w:rsidRPr="003B0A32">
        <w:rPr>
          <w:rFonts w:ascii="Times New Roman" w:hAnsi="Times New Roman" w:cs="Times New Roman"/>
          <w:color w:val="auto"/>
        </w:rPr>
        <w:t> </w:t>
      </w:r>
      <w:r w:rsidR="00EF06C4" w:rsidRPr="003B0A32">
        <w:rPr>
          <w:rFonts w:ascii="Times New Roman" w:hAnsi="Times New Roman" w:cs="Times New Roman"/>
          <w:color w:val="auto"/>
        </w:rPr>
        <w:t xml:space="preserve">sytuacji do oceny na tym etapie może </w:t>
      </w:r>
      <w:r w:rsidR="00C850B0" w:rsidRPr="003B0A32">
        <w:rPr>
          <w:rFonts w:ascii="Times New Roman" w:hAnsi="Times New Roman" w:cs="Times New Roman"/>
          <w:color w:val="auto"/>
        </w:rPr>
        <w:t xml:space="preserve">stanowić </w:t>
      </w:r>
      <w:r w:rsidR="00EF06C4" w:rsidRPr="003B0A32">
        <w:rPr>
          <w:rFonts w:ascii="Times New Roman" w:hAnsi="Times New Roman" w:cs="Times New Roman"/>
          <w:color w:val="auto"/>
        </w:rPr>
        <w:t>ryzyko zakwestionowania skuteczności przeniesienia prawa własności przez odmowę wpisu do księgi wieczystej. W</w:t>
      </w:r>
      <w:r w:rsidR="00303277" w:rsidRPr="003B0A32">
        <w:rPr>
          <w:rFonts w:ascii="Times New Roman" w:hAnsi="Times New Roman" w:cs="Times New Roman"/>
          <w:color w:val="auto"/>
        </w:rPr>
        <w:t> </w:t>
      </w:r>
      <w:r w:rsidR="00EF06C4" w:rsidRPr="003B0A32">
        <w:rPr>
          <w:rFonts w:ascii="Times New Roman" w:hAnsi="Times New Roman" w:cs="Times New Roman"/>
          <w:color w:val="auto"/>
        </w:rPr>
        <w:t>postanowieniu z dnia 10 listopada 2005 r., V CK 249/05</w:t>
      </w:r>
      <w:r w:rsidR="00721325" w:rsidRPr="003B0A32">
        <w:rPr>
          <w:rFonts w:ascii="Times New Roman" w:hAnsi="Times New Roman" w:cs="Times New Roman"/>
          <w:color w:val="auto"/>
        </w:rPr>
        <w:t>,</w:t>
      </w:r>
      <w:r w:rsidR="00EF06C4" w:rsidRPr="003B0A32">
        <w:rPr>
          <w:rFonts w:ascii="Times New Roman" w:hAnsi="Times New Roman" w:cs="Times New Roman"/>
          <w:color w:val="auto"/>
        </w:rPr>
        <w:t xml:space="preserve"> Sąd Najwyższy wskazuje, że</w:t>
      </w:r>
      <w:r w:rsidR="007E72DF" w:rsidRPr="003B0A32">
        <w:rPr>
          <w:rFonts w:ascii="Times New Roman" w:hAnsi="Times New Roman" w:cs="Times New Roman"/>
          <w:color w:val="auto"/>
        </w:rPr>
        <w:t> </w:t>
      </w:r>
      <w:r w:rsidR="00EF06C4" w:rsidRPr="003B0A32">
        <w:rPr>
          <w:rFonts w:ascii="Times New Roman" w:hAnsi="Times New Roman" w:cs="Times New Roman"/>
          <w:color w:val="auto"/>
        </w:rPr>
        <w:t>j</w:t>
      </w:r>
      <w:r w:rsidR="00EF06C4" w:rsidRPr="003B0A32">
        <w:rPr>
          <w:rFonts w:ascii="Times New Roman" w:hAnsi="Times New Roman" w:cs="Times New Roman"/>
          <w:i/>
          <w:iCs/>
          <w:color w:val="auto"/>
        </w:rPr>
        <w:t>eżeli Agencja nie skorzystała z określonego w art. 4 ust. 1 ustawy z</w:t>
      </w:r>
      <w:r w:rsidR="00FC568F" w:rsidRPr="003B0A32">
        <w:rPr>
          <w:rFonts w:ascii="Times New Roman" w:hAnsi="Times New Roman" w:cs="Times New Roman"/>
          <w:i/>
          <w:iCs/>
          <w:color w:val="auto"/>
        </w:rPr>
        <w:t> </w:t>
      </w:r>
      <w:r w:rsidR="00EF06C4" w:rsidRPr="003B0A32">
        <w:rPr>
          <w:rFonts w:ascii="Times New Roman" w:hAnsi="Times New Roman" w:cs="Times New Roman"/>
          <w:i/>
          <w:iCs/>
          <w:color w:val="auto"/>
        </w:rPr>
        <w:t>dnia 11 kwietnia 2003 r. o kształtowaniu ustroju rolnego (Dz. U. Nr 64, poz. 592) prawa nabycia nieruchomości, podstawę wpisu nabywcy do księgi wieczystej stanowi, oprócz umowy przeniesienia własności, także dowód doręczenia Agencji zawiadomienia o umowie oraz jej oświadczenie, że nie korzysta z prawa nabycia albo upływ miesięcznego terminu do złożenia oświadczenia w</w:t>
      </w:r>
      <w:r w:rsidR="00535B4B" w:rsidRPr="003B0A32">
        <w:rPr>
          <w:rFonts w:ascii="Times New Roman" w:hAnsi="Times New Roman" w:cs="Times New Roman"/>
          <w:i/>
          <w:iCs/>
          <w:color w:val="auto"/>
        </w:rPr>
        <w:t> </w:t>
      </w:r>
      <w:r w:rsidR="00EF06C4" w:rsidRPr="003B0A32">
        <w:rPr>
          <w:rFonts w:ascii="Times New Roman" w:hAnsi="Times New Roman" w:cs="Times New Roman"/>
          <w:i/>
          <w:iCs/>
          <w:color w:val="auto"/>
        </w:rPr>
        <w:t xml:space="preserve">tym przedmiocie. </w:t>
      </w:r>
    </w:p>
    <w:p w14:paraId="3C1AC325" w14:textId="5FAF2A35" w:rsidR="00EF06C4" w:rsidRPr="003B0A32" w:rsidRDefault="00EF06C4" w:rsidP="003B0A32">
      <w:pPr>
        <w:pStyle w:val="Default"/>
        <w:spacing w:before="120" w:after="120" w:line="360" w:lineRule="auto"/>
        <w:jc w:val="both"/>
        <w:rPr>
          <w:rFonts w:ascii="Times New Roman" w:hAnsi="Times New Roman" w:cs="Times New Roman"/>
          <w:color w:val="auto"/>
        </w:rPr>
      </w:pPr>
      <w:r w:rsidRPr="003B0A32">
        <w:rPr>
          <w:rFonts w:ascii="Times New Roman" w:hAnsi="Times New Roman" w:cs="Times New Roman"/>
          <w:color w:val="auto"/>
        </w:rPr>
        <w:t xml:space="preserve">W świetle możliwej niejednolitej oceny </w:t>
      </w:r>
      <w:r w:rsidR="00644E2C">
        <w:rPr>
          <w:rFonts w:ascii="Times New Roman" w:hAnsi="Times New Roman" w:cs="Times New Roman"/>
          <w:color w:val="auto"/>
        </w:rPr>
        <w:t>–</w:t>
      </w:r>
      <w:r w:rsidRPr="003B0A32">
        <w:rPr>
          <w:rFonts w:ascii="Times New Roman" w:hAnsi="Times New Roman" w:cs="Times New Roman"/>
          <w:color w:val="auto"/>
        </w:rPr>
        <w:t xml:space="preserve"> zakwalifikowania lub nie danej nieruchomości jako nieruchomości rolnej objętej przepisami ustawy </w:t>
      </w:r>
      <w:r w:rsidR="00456590" w:rsidRPr="003B0A32">
        <w:rPr>
          <w:rFonts w:ascii="Times New Roman" w:hAnsi="Times New Roman" w:cs="Times New Roman"/>
          <w:color w:val="auto"/>
        </w:rPr>
        <w:t xml:space="preserve">z dnia 11 kwietnia 2003 r. </w:t>
      </w:r>
      <w:r w:rsidRPr="003B0A32">
        <w:rPr>
          <w:rFonts w:ascii="Times New Roman" w:hAnsi="Times New Roman" w:cs="Times New Roman"/>
          <w:i/>
          <w:color w:val="auto"/>
        </w:rPr>
        <w:t>o kształtowaniu ustroju rolnego</w:t>
      </w:r>
      <w:r w:rsidRPr="003B0A32">
        <w:rPr>
          <w:rFonts w:ascii="Times New Roman" w:hAnsi="Times New Roman" w:cs="Times New Roman"/>
          <w:color w:val="auto"/>
        </w:rPr>
        <w:t>, mając na</w:t>
      </w:r>
      <w:r w:rsidR="007E72DF" w:rsidRPr="003B0A32">
        <w:rPr>
          <w:rFonts w:ascii="Times New Roman" w:hAnsi="Times New Roman" w:cs="Times New Roman"/>
          <w:color w:val="auto"/>
        </w:rPr>
        <w:t> </w:t>
      </w:r>
      <w:r w:rsidRPr="003B0A32">
        <w:rPr>
          <w:rFonts w:ascii="Times New Roman" w:hAnsi="Times New Roman" w:cs="Times New Roman"/>
          <w:color w:val="auto"/>
        </w:rPr>
        <w:t>uwadze konsekwencje niedokonania zawiadomienia uprawnionych z tytułu prawa nabycia</w:t>
      </w:r>
      <w:r w:rsidR="00C850B0" w:rsidRPr="003B0A32">
        <w:rPr>
          <w:rFonts w:ascii="Times New Roman" w:hAnsi="Times New Roman" w:cs="Times New Roman"/>
          <w:color w:val="auto"/>
        </w:rPr>
        <w:t>,</w:t>
      </w:r>
      <w:r w:rsidRPr="003B0A32">
        <w:rPr>
          <w:rFonts w:ascii="Times New Roman" w:hAnsi="Times New Roman" w:cs="Times New Roman"/>
          <w:color w:val="auto"/>
        </w:rPr>
        <w:t xml:space="preserve"> tj. nieważność czynności prawej, </w:t>
      </w:r>
      <w:r w:rsidR="00C850B0" w:rsidRPr="003B0A32">
        <w:rPr>
          <w:rFonts w:ascii="Times New Roman" w:hAnsi="Times New Roman" w:cs="Times New Roman"/>
          <w:color w:val="auto"/>
        </w:rPr>
        <w:t xml:space="preserve">jest </w:t>
      </w:r>
      <w:r w:rsidRPr="003B0A32">
        <w:rPr>
          <w:rFonts w:ascii="Times New Roman" w:hAnsi="Times New Roman" w:cs="Times New Roman"/>
          <w:color w:val="auto"/>
        </w:rPr>
        <w:t xml:space="preserve">uzasadnione wprowadzenie wyłączenia stosowania przepisów ww. ustaw do aportu wnoszonego na podstawie art. 17 ustawy o komercjalizacji </w:t>
      </w:r>
      <w:r w:rsidR="009D2D37" w:rsidRPr="003B0A32">
        <w:rPr>
          <w:rFonts w:ascii="Times New Roman" w:hAnsi="Times New Roman" w:cs="Times New Roman"/>
          <w:color w:val="auto"/>
        </w:rPr>
        <w:t>PKP</w:t>
      </w:r>
      <w:r w:rsidRPr="003B0A32">
        <w:rPr>
          <w:rFonts w:ascii="Times New Roman" w:hAnsi="Times New Roman" w:cs="Times New Roman"/>
          <w:color w:val="auto"/>
        </w:rPr>
        <w:t xml:space="preserve">. </w:t>
      </w:r>
    </w:p>
    <w:p w14:paraId="6CCE401B" w14:textId="3F85458F" w:rsidR="00EF06C4" w:rsidRPr="003B0A32" w:rsidRDefault="00EF06C4" w:rsidP="003B0A32">
      <w:pPr>
        <w:pStyle w:val="Default"/>
        <w:spacing w:before="120" w:after="120" w:line="360" w:lineRule="auto"/>
        <w:jc w:val="both"/>
        <w:rPr>
          <w:rFonts w:ascii="Times New Roman" w:hAnsi="Times New Roman" w:cs="Times New Roman"/>
          <w:color w:val="auto"/>
        </w:rPr>
      </w:pPr>
      <w:r w:rsidRPr="003B0A32">
        <w:rPr>
          <w:rFonts w:ascii="Times New Roman" w:hAnsi="Times New Roman" w:cs="Times New Roman"/>
          <w:color w:val="auto"/>
        </w:rPr>
        <w:lastRenderedPageBreak/>
        <w:t xml:space="preserve">Problematyczne może być również ustalanie przeznaczenia i kwalifikowania nieruchomości jako rolnej, a co za tym idzie objętej przepisami ustawy z dnia 11 kwietnia 2003 r. </w:t>
      </w:r>
      <w:r w:rsidRPr="003B0A32">
        <w:rPr>
          <w:rFonts w:ascii="Times New Roman" w:hAnsi="Times New Roman" w:cs="Times New Roman"/>
          <w:i/>
          <w:color w:val="auto"/>
        </w:rPr>
        <w:t>o kształtowaniu ustroju rolnego</w:t>
      </w:r>
      <w:r w:rsidRPr="003B0A32">
        <w:rPr>
          <w:rFonts w:ascii="Times New Roman" w:hAnsi="Times New Roman" w:cs="Times New Roman"/>
          <w:color w:val="auto"/>
        </w:rPr>
        <w:t>, w sytuacji gdy część nieruchomości została przeznaczona na cele rolne</w:t>
      </w:r>
      <w:r w:rsidR="00C850B0" w:rsidRPr="003B0A32">
        <w:rPr>
          <w:rFonts w:ascii="Times New Roman" w:hAnsi="Times New Roman" w:cs="Times New Roman"/>
          <w:color w:val="auto"/>
        </w:rPr>
        <w:t>,</w:t>
      </w:r>
      <w:r w:rsidRPr="003B0A32">
        <w:rPr>
          <w:rFonts w:ascii="Times New Roman" w:hAnsi="Times New Roman" w:cs="Times New Roman"/>
          <w:color w:val="auto"/>
        </w:rPr>
        <w:t xml:space="preserve"> a w części na cele inne. W wyroku z dnia 5 września 2012</w:t>
      </w:r>
      <w:r w:rsidR="00A70B66" w:rsidRPr="003B0A32">
        <w:rPr>
          <w:rFonts w:ascii="Times New Roman" w:hAnsi="Times New Roman" w:cs="Times New Roman"/>
          <w:color w:val="auto"/>
        </w:rPr>
        <w:t xml:space="preserve"> </w:t>
      </w:r>
      <w:r w:rsidRPr="003B0A32">
        <w:rPr>
          <w:rFonts w:ascii="Times New Roman" w:hAnsi="Times New Roman" w:cs="Times New Roman"/>
          <w:color w:val="auto"/>
        </w:rPr>
        <w:t>r.</w:t>
      </w:r>
      <w:r w:rsidR="00721325" w:rsidRPr="003B0A32">
        <w:rPr>
          <w:rFonts w:ascii="Times New Roman" w:hAnsi="Times New Roman" w:cs="Times New Roman"/>
          <w:color w:val="auto"/>
        </w:rPr>
        <w:t>,</w:t>
      </w:r>
      <w:r w:rsidRPr="003B0A32">
        <w:rPr>
          <w:rFonts w:ascii="Times New Roman" w:hAnsi="Times New Roman" w:cs="Times New Roman"/>
          <w:color w:val="auto"/>
        </w:rPr>
        <w:t xml:space="preserve"> IV CSK 93/12</w:t>
      </w:r>
      <w:r w:rsidR="00721325" w:rsidRPr="003B0A32">
        <w:rPr>
          <w:rFonts w:ascii="Times New Roman" w:hAnsi="Times New Roman" w:cs="Times New Roman"/>
          <w:color w:val="auto"/>
        </w:rPr>
        <w:t>,</w:t>
      </w:r>
      <w:r w:rsidRPr="003B0A32">
        <w:rPr>
          <w:rFonts w:ascii="Times New Roman" w:hAnsi="Times New Roman" w:cs="Times New Roman"/>
          <w:color w:val="auto"/>
        </w:rPr>
        <w:t xml:space="preserve"> Sąd Najwyższy przyjął ocenę, że nieruchomością rolną w rozumieniu art. 2 pkt 1 ustawy z dnia 11</w:t>
      </w:r>
      <w:r w:rsidR="00273C9A" w:rsidRPr="003B0A32">
        <w:rPr>
          <w:rFonts w:ascii="Times New Roman" w:hAnsi="Times New Roman" w:cs="Times New Roman"/>
          <w:color w:val="auto"/>
        </w:rPr>
        <w:t> </w:t>
      </w:r>
      <w:r w:rsidRPr="003B0A32">
        <w:rPr>
          <w:rFonts w:ascii="Times New Roman" w:hAnsi="Times New Roman" w:cs="Times New Roman"/>
          <w:color w:val="auto"/>
        </w:rPr>
        <w:t xml:space="preserve">kwietnia 2003 r. </w:t>
      </w:r>
      <w:r w:rsidRPr="003B0A32">
        <w:rPr>
          <w:rFonts w:ascii="Times New Roman" w:hAnsi="Times New Roman" w:cs="Times New Roman"/>
          <w:i/>
          <w:color w:val="auto"/>
        </w:rPr>
        <w:t>o</w:t>
      </w:r>
      <w:r w:rsidR="007E72DF" w:rsidRPr="003B0A32">
        <w:rPr>
          <w:rFonts w:ascii="Times New Roman" w:hAnsi="Times New Roman" w:cs="Times New Roman"/>
          <w:i/>
          <w:color w:val="auto"/>
        </w:rPr>
        <w:t> </w:t>
      </w:r>
      <w:r w:rsidRPr="003B0A32">
        <w:rPr>
          <w:rFonts w:ascii="Times New Roman" w:hAnsi="Times New Roman" w:cs="Times New Roman"/>
          <w:i/>
          <w:color w:val="auto"/>
        </w:rPr>
        <w:t>kształtowaniu ustroju rolnego</w:t>
      </w:r>
      <w:r w:rsidRPr="003B0A32">
        <w:rPr>
          <w:rFonts w:ascii="Times New Roman" w:hAnsi="Times New Roman" w:cs="Times New Roman"/>
          <w:color w:val="auto"/>
        </w:rPr>
        <w:t xml:space="preserve"> jest także nieruchomość częściowo przeznaczona w planach zagospodarowania przestrzennego na cele inne niż rolne. Z</w:t>
      </w:r>
      <w:r w:rsidR="00273C9A" w:rsidRPr="003B0A32">
        <w:rPr>
          <w:rFonts w:ascii="Times New Roman" w:hAnsi="Times New Roman" w:cs="Times New Roman"/>
          <w:color w:val="auto"/>
        </w:rPr>
        <w:t> </w:t>
      </w:r>
      <w:r w:rsidRPr="003B0A32">
        <w:rPr>
          <w:rFonts w:ascii="Times New Roman" w:hAnsi="Times New Roman" w:cs="Times New Roman"/>
          <w:color w:val="auto"/>
        </w:rPr>
        <w:t>kolei</w:t>
      </w:r>
      <w:r w:rsidR="00273C9A" w:rsidRPr="003B0A32">
        <w:rPr>
          <w:rFonts w:ascii="Times New Roman" w:hAnsi="Times New Roman" w:cs="Times New Roman"/>
          <w:color w:val="auto"/>
        </w:rPr>
        <w:t> </w:t>
      </w:r>
      <w:r w:rsidRPr="003B0A32">
        <w:rPr>
          <w:rFonts w:ascii="Times New Roman" w:hAnsi="Times New Roman" w:cs="Times New Roman"/>
          <w:color w:val="auto"/>
        </w:rPr>
        <w:t>w</w:t>
      </w:r>
      <w:r w:rsidR="00381831" w:rsidRPr="003B0A32">
        <w:rPr>
          <w:rFonts w:ascii="Times New Roman" w:hAnsi="Times New Roman" w:cs="Times New Roman"/>
          <w:color w:val="auto"/>
        </w:rPr>
        <w:t> </w:t>
      </w:r>
      <w:r w:rsidRPr="003B0A32">
        <w:rPr>
          <w:rFonts w:ascii="Times New Roman" w:hAnsi="Times New Roman" w:cs="Times New Roman"/>
          <w:color w:val="auto"/>
        </w:rPr>
        <w:t>doktrynie</w:t>
      </w:r>
      <w:r w:rsidRPr="003B0A32">
        <w:rPr>
          <w:rStyle w:val="Odwoanieprzypisudolnego"/>
          <w:rFonts w:ascii="Times New Roman" w:hAnsi="Times New Roman"/>
          <w:color w:val="auto"/>
        </w:rPr>
        <w:footnoteReference w:id="1"/>
      </w:r>
      <w:r w:rsidR="00A70B66" w:rsidRPr="003B0A32">
        <w:rPr>
          <w:rFonts w:ascii="Times New Roman" w:hAnsi="Times New Roman" w:cs="Times New Roman"/>
          <w:color w:val="auto"/>
          <w:vertAlign w:val="superscript"/>
        </w:rPr>
        <w:t>)</w:t>
      </w:r>
      <w:r w:rsidRPr="003B0A32">
        <w:rPr>
          <w:rFonts w:ascii="Times New Roman" w:hAnsi="Times New Roman" w:cs="Times New Roman"/>
          <w:color w:val="auto"/>
        </w:rPr>
        <w:t xml:space="preserve"> wyrażono pogląd, że </w:t>
      </w:r>
      <w:r w:rsidRPr="003B0A32">
        <w:rPr>
          <w:rFonts w:ascii="Times New Roman" w:hAnsi="Times New Roman" w:cs="Times New Roman"/>
          <w:i/>
          <w:iCs/>
          <w:color w:val="auto"/>
        </w:rPr>
        <w:t>ustawa z 11 kwietnia 2003 r. o</w:t>
      </w:r>
      <w:r w:rsidR="008115E1" w:rsidRPr="003B0A32">
        <w:rPr>
          <w:rFonts w:ascii="Times New Roman" w:hAnsi="Times New Roman" w:cs="Times New Roman"/>
          <w:i/>
          <w:iCs/>
          <w:color w:val="auto"/>
        </w:rPr>
        <w:t> </w:t>
      </w:r>
      <w:r w:rsidRPr="003B0A32">
        <w:rPr>
          <w:rFonts w:ascii="Times New Roman" w:hAnsi="Times New Roman" w:cs="Times New Roman"/>
          <w:i/>
          <w:iCs/>
          <w:color w:val="auto"/>
        </w:rPr>
        <w:t>kształtowaniu ustroju rolnego stanowi drastyczną ingerencję w stosunki własnościowe, a</w:t>
      </w:r>
      <w:r w:rsidR="008115E1" w:rsidRPr="003B0A32">
        <w:rPr>
          <w:rFonts w:ascii="Times New Roman" w:hAnsi="Times New Roman" w:cs="Times New Roman"/>
          <w:i/>
          <w:iCs/>
          <w:color w:val="auto"/>
        </w:rPr>
        <w:t> </w:t>
      </w:r>
      <w:r w:rsidRPr="003B0A32">
        <w:rPr>
          <w:rFonts w:ascii="Times New Roman" w:hAnsi="Times New Roman" w:cs="Times New Roman"/>
          <w:i/>
          <w:iCs/>
          <w:color w:val="auto"/>
        </w:rPr>
        <w:t>w</w:t>
      </w:r>
      <w:r w:rsidR="008115E1" w:rsidRPr="003B0A32">
        <w:rPr>
          <w:rFonts w:ascii="Times New Roman" w:hAnsi="Times New Roman" w:cs="Times New Roman"/>
          <w:i/>
          <w:iCs/>
          <w:color w:val="auto"/>
        </w:rPr>
        <w:t> </w:t>
      </w:r>
      <w:r w:rsidRPr="003B0A32">
        <w:rPr>
          <w:rFonts w:ascii="Times New Roman" w:hAnsi="Times New Roman" w:cs="Times New Roman"/>
          <w:i/>
          <w:iCs/>
          <w:color w:val="auto"/>
        </w:rPr>
        <w:t>związku z tym wątpliwości interpretacyjne nie mogą być rozstrzygane na niekorzyść właścicieli nieruchomości o</w:t>
      </w:r>
      <w:r w:rsidR="007609E0" w:rsidRPr="003B0A32">
        <w:rPr>
          <w:rFonts w:ascii="Times New Roman" w:hAnsi="Times New Roman" w:cs="Times New Roman"/>
          <w:i/>
          <w:iCs/>
          <w:color w:val="auto"/>
        </w:rPr>
        <w:t> </w:t>
      </w:r>
      <w:r w:rsidRPr="003B0A32">
        <w:rPr>
          <w:rFonts w:ascii="Times New Roman" w:hAnsi="Times New Roman" w:cs="Times New Roman"/>
          <w:i/>
          <w:iCs/>
          <w:color w:val="auto"/>
        </w:rPr>
        <w:t>powierzchni co najmniej 30 arów. Jakkolwiek granice terenu wyznaczone planem zagospodarowania przestrzennego nie są granicami prawnymi nieruchomości, ani też nie stanowią podstawy do przyjęcia jej podziału według kryterium przeznaczenia, to jednak obszar, który w danej nieruchomości ma przeznaczenie inne niż rolne, powinien mieć tutaj decydujące znaczenie. Z tego względu część nieruchomości, która ma przeznaczenie inne niż</w:t>
      </w:r>
      <w:r w:rsidR="007E72DF" w:rsidRPr="003B0A32">
        <w:rPr>
          <w:rFonts w:ascii="Times New Roman" w:hAnsi="Times New Roman" w:cs="Times New Roman"/>
          <w:i/>
          <w:iCs/>
          <w:color w:val="auto"/>
        </w:rPr>
        <w:t> </w:t>
      </w:r>
      <w:r w:rsidRPr="003B0A32">
        <w:rPr>
          <w:rFonts w:ascii="Times New Roman" w:hAnsi="Times New Roman" w:cs="Times New Roman"/>
          <w:i/>
          <w:iCs/>
          <w:color w:val="auto"/>
        </w:rPr>
        <w:t>rolne, nie może być traktowana jako grunt rolny, zatem aby dana nieruchomość o</w:t>
      </w:r>
      <w:r w:rsidR="007E72DF" w:rsidRPr="003B0A32">
        <w:rPr>
          <w:rFonts w:ascii="Times New Roman" w:hAnsi="Times New Roman" w:cs="Times New Roman"/>
          <w:i/>
          <w:iCs/>
          <w:color w:val="auto"/>
        </w:rPr>
        <w:t> </w:t>
      </w:r>
      <w:r w:rsidRPr="003B0A32">
        <w:rPr>
          <w:rFonts w:ascii="Times New Roman" w:hAnsi="Times New Roman" w:cs="Times New Roman"/>
          <w:i/>
          <w:iCs/>
          <w:color w:val="auto"/>
        </w:rPr>
        <w:t>mieszanym przeznaczeniu i powierzchni co najmniej 30 arów podpadała pod działanie ustawy o kształtowaniu ustroju rolnego, powinna mieć w zakresie co najmniej 30</w:t>
      </w:r>
      <w:r w:rsidR="008115E1" w:rsidRPr="003B0A32">
        <w:rPr>
          <w:rFonts w:ascii="Times New Roman" w:hAnsi="Times New Roman" w:cs="Times New Roman"/>
          <w:i/>
          <w:iCs/>
          <w:color w:val="auto"/>
        </w:rPr>
        <w:t> </w:t>
      </w:r>
      <w:r w:rsidRPr="003B0A32">
        <w:rPr>
          <w:rFonts w:ascii="Times New Roman" w:hAnsi="Times New Roman" w:cs="Times New Roman"/>
          <w:i/>
          <w:iCs/>
          <w:color w:val="auto"/>
        </w:rPr>
        <w:t>arów charakter rolny. W konsekwencji, jeśli nieruchomość ma powierzchnię 31 arów, z</w:t>
      </w:r>
      <w:r w:rsidR="008115E1" w:rsidRPr="003B0A32">
        <w:rPr>
          <w:rFonts w:ascii="Times New Roman" w:hAnsi="Times New Roman" w:cs="Times New Roman"/>
          <w:i/>
          <w:iCs/>
          <w:color w:val="auto"/>
        </w:rPr>
        <w:t> </w:t>
      </w:r>
      <w:r w:rsidRPr="003B0A32">
        <w:rPr>
          <w:rFonts w:ascii="Times New Roman" w:hAnsi="Times New Roman" w:cs="Times New Roman"/>
          <w:i/>
          <w:iCs/>
          <w:color w:val="auto"/>
        </w:rPr>
        <w:t>czego na</w:t>
      </w:r>
      <w:r w:rsidR="007E72DF" w:rsidRPr="003B0A32">
        <w:rPr>
          <w:rFonts w:ascii="Times New Roman" w:hAnsi="Times New Roman" w:cs="Times New Roman"/>
          <w:i/>
          <w:iCs/>
          <w:color w:val="auto"/>
        </w:rPr>
        <w:t> </w:t>
      </w:r>
      <w:r w:rsidRPr="003B0A32">
        <w:rPr>
          <w:rFonts w:ascii="Times New Roman" w:hAnsi="Times New Roman" w:cs="Times New Roman"/>
          <w:i/>
          <w:iCs/>
          <w:color w:val="auto"/>
        </w:rPr>
        <w:t>tereny nierolne przypada powierzchnia np. 5 czy 10 arów, to nie będzie podstaw do</w:t>
      </w:r>
      <w:r w:rsidR="007E72DF" w:rsidRPr="003B0A32">
        <w:rPr>
          <w:rFonts w:ascii="Times New Roman" w:hAnsi="Times New Roman" w:cs="Times New Roman"/>
          <w:i/>
          <w:iCs/>
          <w:color w:val="auto"/>
        </w:rPr>
        <w:t> </w:t>
      </w:r>
      <w:r w:rsidRPr="003B0A32">
        <w:rPr>
          <w:rFonts w:ascii="Times New Roman" w:hAnsi="Times New Roman" w:cs="Times New Roman"/>
          <w:i/>
          <w:iCs/>
          <w:color w:val="auto"/>
        </w:rPr>
        <w:t xml:space="preserve">stosowania przepisów ustawy z dnia 11 kwietnia 2003 r. o kształtowaniu ustroju rolnego. Inna interpretacja prowadzi do paradoksów, ponieważ nieruchomość o powierzchni </w:t>
      </w:r>
      <w:r w:rsidRPr="003B0A32">
        <w:rPr>
          <w:rFonts w:ascii="Times New Roman" w:hAnsi="Times New Roman" w:cs="Times New Roman"/>
          <w:i/>
          <w:iCs/>
          <w:color w:val="auto"/>
        </w:rPr>
        <w:lastRenderedPageBreak/>
        <w:t>29 arów w całości położona na obszarach o przeznaczeniu rolnym nie będzie, co oczywiste, podpadała pod ustawę z dnia 11 kwietnia 2003 r. o kształtowaniu ustroju rolnego, zaś nieruchomość o</w:t>
      </w:r>
      <w:r w:rsidR="007E72DF" w:rsidRPr="003B0A32">
        <w:rPr>
          <w:rFonts w:ascii="Times New Roman" w:hAnsi="Times New Roman" w:cs="Times New Roman"/>
          <w:i/>
          <w:iCs/>
          <w:color w:val="auto"/>
        </w:rPr>
        <w:t> </w:t>
      </w:r>
      <w:r w:rsidRPr="003B0A32">
        <w:rPr>
          <w:rFonts w:ascii="Times New Roman" w:hAnsi="Times New Roman" w:cs="Times New Roman"/>
          <w:i/>
          <w:iCs/>
          <w:color w:val="auto"/>
        </w:rPr>
        <w:t>powierzchni 30 arów, z której na terenach o przeznaczeniu innym niż rolny znajdowałby się obszar np. 25 arów, kwalifikowana byłaby jako nieruchomość rolna w rozumieniu ustawy z</w:t>
      </w:r>
      <w:r w:rsidR="007E72DF" w:rsidRPr="003B0A32">
        <w:rPr>
          <w:rFonts w:ascii="Times New Roman" w:hAnsi="Times New Roman" w:cs="Times New Roman"/>
          <w:i/>
          <w:iCs/>
          <w:color w:val="auto"/>
        </w:rPr>
        <w:t> </w:t>
      </w:r>
      <w:r w:rsidRPr="003B0A32">
        <w:rPr>
          <w:rFonts w:ascii="Times New Roman" w:hAnsi="Times New Roman" w:cs="Times New Roman"/>
          <w:i/>
          <w:iCs/>
          <w:color w:val="auto"/>
        </w:rPr>
        <w:t xml:space="preserve">dnia 11 kwietnia 2003 r. o kształtowaniu ustroju rolnego. </w:t>
      </w:r>
    </w:p>
    <w:p w14:paraId="7FBA9BD1" w14:textId="541668C2" w:rsidR="00EF06C4" w:rsidRPr="003B0A32" w:rsidRDefault="00EF06C4" w:rsidP="003B0A32">
      <w:pPr>
        <w:pStyle w:val="Default"/>
        <w:spacing w:before="120" w:after="120" w:line="360" w:lineRule="auto"/>
        <w:jc w:val="both"/>
        <w:rPr>
          <w:rFonts w:ascii="Times New Roman" w:hAnsi="Times New Roman" w:cs="Times New Roman"/>
          <w:color w:val="auto"/>
        </w:rPr>
      </w:pPr>
      <w:r w:rsidRPr="003B0A32">
        <w:rPr>
          <w:rFonts w:ascii="Times New Roman" w:hAnsi="Times New Roman" w:cs="Times New Roman"/>
          <w:color w:val="auto"/>
        </w:rPr>
        <w:t xml:space="preserve">Kreowane przez ustawę z dnia 11 kwietnia 2003 r. </w:t>
      </w:r>
      <w:r w:rsidRPr="003B0A32">
        <w:rPr>
          <w:rFonts w:ascii="Times New Roman" w:hAnsi="Times New Roman" w:cs="Times New Roman"/>
          <w:i/>
          <w:color w:val="auto"/>
        </w:rPr>
        <w:t>o kształtowaniu ustroju rolnego</w:t>
      </w:r>
      <w:r w:rsidRPr="003B0A32">
        <w:rPr>
          <w:rFonts w:ascii="Times New Roman" w:hAnsi="Times New Roman" w:cs="Times New Roman"/>
          <w:color w:val="auto"/>
        </w:rPr>
        <w:t xml:space="preserve"> prawo nabycia różni się od prawa pierwokupu tym, ż</w:t>
      </w:r>
      <w:r w:rsidR="007666E2" w:rsidRPr="003B0A32">
        <w:rPr>
          <w:rFonts w:ascii="Times New Roman" w:hAnsi="Times New Roman" w:cs="Times New Roman"/>
          <w:color w:val="auto"/>
        </w:rPr>
        <w:t>e</w:t>
      </w:r>
      <w:r w:rsidRPr="003B0A32">
        <w:rPr>
          <w:rFonts w:ascii="Times New Roman" w:hAnsi="Times New Roman" w:cs="Times New Roman"/>
          <w:color w:val="auto"/>
        </w:rPr>
        <w:t xml:space="preserve"> w przypadku prawa pierwokupu umowa bezwarunkowa sprzedaży nieruchomości rolnej nie może być zawarta przed powiadomieniem uprawnionego do prawa pierwokupu i upływu terminu na jego wykonanie, natomiast nabycie nieruchomości rolnej na podstawie czynności prawnych</w:t>
      </w:r>
      <w:r w:rsidR="007666E2" w:rsidRPr="003B0A32">
        <w:rPr>
          <w:rFonts w:ascii="Times New Roman" w:hAnsi="Times New Roman" w:cs="Times New Roman"/>
          <w:color w:val="auto"/>
        </w:rPr>
        <w:t>,</w:t>
      </w:r>
      <w:r w:rsidRPr="003B0A32">
        <w:rPr>
          <w:rFonts w:ascii="Times New Roman" w:hAnsi="Times New Roman" w:cs="Times New Roman"/>
          <w:color w:val="auto"/>
        </w:rPr>
        <w:t xml:space="preserve"> do których odnosi się prawo nabycia, następuje bezwarunkowo, a jedynie istnieje</w:t>
      </w:r>
      <w:r w:rsidR="008539CB" w:rsidRPr="003B0A32">
        <w:rPr>
          <w:rFonts w:ascii="Times New Roman" w:hAnsi="Times New Roman" w:cs="Times New Roman"/>
          <w:color w:val="auto"/>
        </w:rPr>
        <w:t xml:space="preserve"> prawny obowiązek powiadomienia </w:t>
      </w:r>
      <w:r w:rsidRPr="003B0A32">
        <w:rPr>
          <w:rFonts w:ascii="Times New Roman" w:hAnsi="Times New Roman" w:cs="Times New Roman"/>
          <w:color w:val="auto"/>
        </w:rPr>
        <w:t>o</w:t>
      </w:r>
      <w:r w:rsidR="00273C9A" w:rsidRPr="003B0A32">
        <w:rPr>
          <w:rFonts w:ascii="Times New Roman" w:hAnsi="Times New Roman" w:cs="Times New Roman"/>
          <w:color w:val="auto"/>
        </w:rPr>
        <w:t> </w:t>
      </w:r>
      <w:r w:rsidRPr="003B0A32">
        <w:rPr>
          <w:rFonts w:ascii="Times New Roman" w:hAnsi="Times New Roman" w:cs="Times New Roman"/>
          <w:color w:val="auto"/>
        </w:rPr>
        <w:t>nich</w:t>
      </w:r>
      <w:r w:rsidR="00273C9A" w:rsidRPr="003B0A32">
        <w:rPr>
          <w:rFonts w:ascii="Times New Roman" w:hAnsi="Times New Roman" w:cs="Times New Roman"/>
          <w:color w:val="auto"/>
        </w:rPr>
        <w:t> </w:t>
      </w:r>
      <w:r w:rsidR="00A86EF9" w:rsidRPr="003B0A32">
        <w:rPr>
          <w:rFonts w:ascii="Times New Roman" w:hAnsi="Times New Roman" w:cs="Times New Roman"/>
          <w:color w:val="auto"/>
        </w:rPr>
        <w:t>KOWR</w:t>
      </w:r>
      <w:r w:rsidRPr="003B0A32">
        <w:rPr>
          <w:rFonts w:ascii="Times New Roman" w:hAnsi="Times New Roman" w:cs="Times New Roman"/>
          <w:color w:val="auto"/>
        </w:rPr>
        <w:t>. Prawo nabycia nieruchomości rolnej KOWR może wykonać w ciągu miesiąca od</w:t>
      </w:r>
      <w:r w:rsidR="00273C9A" w:rsidRPr="003B0A32">
        <w:rPr>
          <w:rFonts w:ascii="Times New Roman" w:hAnsi="Times New Roman" w:cs="Times New Roman"/>
          <w:color w:val="auto"/>
        </w:rPr>
        <w:t> </w:t>
      </w:r>
      <w:r w:rsidRPr="003B0A32">
        <w:rPr>
          <w:rFonts w:ascii="Times New Roman" w:hAnsi="Times New Roman" w:cs="Times New Roman"/>
          <w:color w:val="auto"/>
        </w:rPr>
        <w:t>otrzymania skutecznego zawiadomienia. Oświadczenie KOWR o nabyciu danej nieruchomości rolnej na</w:t>
      </w:r>
      <w:r w:rsidR="007E72DF" w:rsidRPr="003B0A32">
        <w:rPr>
          <w:rFonts w:ascii="Times New Roman" w:hAnsi="Times New Roman" w:cs="Times New Roman"/>
          <w:color w:val="auto"/>
        </w:rPr>
        <w:t> </w:t>
      </w:r>
      <w:r w:rsidRPr="003B0A32">
        <w:rPr>
          <w:rFonts w:ascii="Times New Roman" w:hAnsi="Times New Roman" w:cs="Times New Roman"/>
          <w:color w:val="auto"/>
        </w:rPr>
        <w:t xml:space="preserve">podstawie przysługującego prawa nabycia </w:t>
      </w:r>
      <w:r w:rsidR="007666E2" w:rsidRPr="003B0A32">
        <w:rPr>
          <w:rFonts w:ascii="Times New Roman" w:hAnsi="Times New Roman" w:cs="Times New Roman"/>
          <w:color w:val="auto"/>
        </w:rPr>
        <w:t xml:space="preserve">jest </w:t>
      </w:r>
      <w:r w:rsidRPr="003B0A32">
        <w:rPr>
          <w:rFonts w:ascii="Times New Roman" w:hAnsi="Times New Roman" w:cs="Times New Roman"/>
          <w:color w:val="auto"/>
        </w:rPr>
        <w:t>składane w formie aktu notarialnego. KOWR wysyła właścicielowi nieruchomości ww. oświadczenie przesyłką poleconą nadaną za</w:t>
      </w:r>
      <w:r w:rsidR="007E72DF" w:rsidRPr="003B0A32">
        <w:rPr>
          <w:rFonts w:ascii="Times New Roman" w:hAnsi="Times New Roman" w:cs="Times New Roman"/>
          <w:color w:val="auto"/>
        </w:rPr>
        <w:t> </w:t>
      </w:r>
      <w:r w:rsidRPr="003B0A32">
        <w:rPr>
          <w:rFonts w:ascii="Times New Roman" w:hAnsi="Times New Roman" w:cs="Times New Roman"/>
          <w:color w:val="auto"/>
        </w:rPr>
        <w:t>potwierdzeniem odbioru w</w:t>
      </w:r>
      <w:r w:rsidR="0045642A" w:rsidRPr="003B0A32">
        <w:rPr>
          <w:rFonts w:ascii="Times New Roman" w:hAnsi="Times New Roman" w:cs="Times New Roman"/>
          <w:color w:val="auto"/>
        </w:rPr>
        <w:t> </w:t>
      </w:r>
      <w:r w:rsidRPr="003B0A32">
        <w:rPr>
          <w:rFonts w:ascii="Times New Roman" w:hAnsi="Times New Roman" w:cs="Times New Roman"/>
          <w:color w:val="auto"/>
        </w:rPr>
        <w:t xml:space="preserve">placówce pocztowej operatora pocztowego </w:t>
      </w:r>
      <w:r w:rsidR="001657E4" w:rsidRPr="003B0A32">
        <w:rPr>
          <w:rFonts w:ascii="Times New Roman" w:hAnsi="Times New Roman" w:cs="Times New Roman"/>
          <w:color w:val="auto"/>
        </w:rPr>
        <w:t>w </w:t>
      </w:r>
      <w:r w:rsidRPr="003B0A32">
        <w:rPr>
          <w:rFonts w:ascii="Times New Roman" w:hAnsi="Times New Roman" w:cs="Times New Roman"/>
          <w:iCs/>
          <w:color w:val="auto"/>
        </w:rPr>
        <w:t>rozumieniu ustawy z</w:t>
      </w:r>
      <w:r w:rsidR="007E72DF" w:rsidRPr="003B0A32">
        <w:rPr>
          <w:rFonts w:ascii="Times New Roman" w:hAnsi="Times New Roman" w:cs="Times New Roman"/>
          <w:iCs/>
          <w:color w:val="auto"/>
        </w:rPr>
        <w:t> </w:t>
      </w:r>
      <w:r w:rsidRPr="003B0A32">
        <w:rPr>
          <w:rFonts w:ascii="Times New Roman" w:hAnsi="Times New Roman" w:cs="Times New Roman"/>
          <w:iCs/>
          <w:color w:val="auto"/>
        </w:rPr>
        <w:t xml:space="preserve">dnia 23 listopada 2012 r. – </w:t>
      </w:r>
      <w:r w:rsidRPr="003B0A32">
        <w:rPr>
          <w:rFonts w:ascii="Times New Roman" w:hAnsi="Times New Roman" w:cs="Times New Roman"/>
          <w:i/>
          <w:iCs/>
          <w:color w:val="auto"/>
        </w:rPr>
        <w:t>Prawo pocztowe</w:t>
      </w:r>
      <w:r w:rsidR="00A70B66" w:rsidRPr="003B0A32">
        <w:rPr>
          <w:rFonts w:ascii="Times New Roman" w:hAnsi="Times New Roman" w:cs="Times New Roman"/>
          <w:color w:val="auto"/>
        </w:rPr>
        <w:t xml:space="preserve"> (Dz. U. z 2020 r. poz. 1041</w:t>
      </w:r>
      <w:r w:rsidR="007666E2" w:rsidRPr="003B0A32">
        <w:rPr>
          <w:rFonts w:ascii="Times New Roman" w:hAnsi="Times New Roman" w:cs="Times New Roman"/>
          <w:color w:val="auto"/>
        </w:rPr>
        <w:t xml:space="preserve"> i 2320</w:t>
      </w:r>
      <w:r w:rsidR="00A70B66" w:rsidRPr="003B0A32">
        <w:rPr>
          <w:rFonts w:ascii="Times New Roman" w:hAnsi="Times New Roman" w:cs="Times New Roman"/>
          <w:color w:val="auto"/>
        </w:rPr>
        <w:t>)</w:t>
      </w:r>
      <w:r w:rsidRPr="003B0A32">
        <w:rPr>
          <w:rFonts w:ascii="Times New Roman" w:hAnsi="Times New Roman" w:cs="Times New Roman"/>
          <w:color w:val="auto"/>
        </w:rPr>
        <w:t>, a</w:t>
      </w:r>
      <w:r w:rsidR="008115E1" w:rsidRPr="003B0A32">
        <w:rPr>
          <w:rFonts w:ascii="Times New Roman" w:hAnsi="Times New Roman" w:cs="Times New Roman"/>
          <w:color w:val="auto"/>
        </w:rPr>
        <w:t> </w:t>
      </w:r>
      <w:r w:rsidRPr="003B0A32">
        <w:rPr>
          <w:rFonts w:ascii="Times New Roman" w:hAnsi="Times New Roman" w:cs="Times New Roman"/>
          <w:color w:val="auto"/>
        </w:rPr>
        <w:t>następnie publikuje na</w:t>
      </w:r>
      <w:r w:rsidR="0045642A" w:rsidRPr="003B0A32">
        <w:rPr>
          <w:rFonts w:ascii="Times New Roman" w:hAnsi="Times New Roman" w:cs="Times New Roman"/>
          <w:color w:val="auto"/>
        </w:rPr>
        <w:t> </w:t>
      </w:r>
      <w:r w:rsidRPr="003B0A32">
        <w:rPr>
          <w:rFonts w:ascii="Times New Roman" w:hAnsi="Times New Roman" w:cs="Times New Roman"/>
          <w:color w:val="auto"/>
        </w:rPr>
        <w:t>stronie podmiotowej w Biuletynie Informacji Publicznej KOWR. W</w:t>
      </w:r>
      <w:r w:rsidR="00DD5EBB">
        <w:rPr>
          <w:rFonts w:ascii="Times New Roman" w:hAnsi="Times New Roman" w:cs="Times New Roman"/>
          <w:color w:val="auto"/>
        </w:rPr>
        <w:t xml:space="preserve"> </w:t>
      </w:r>
      <w:r w:rsidRPr="003B0A32">
        <w:rPr>
          <w:rFonts w:ascii="Times New Roman" w:hAnsi="Times New Roman" w:cs="Times New Roman"/>
          <w:color w:val="auto"/>
        </w:rPr>
        <w:t>przypadku oceny, że</w:t>
      </w:r>
      <w:r w:rsidR="00DD5EBB">
        <w:rPr>
          <w:rFonts w:ascii="Times New Roman" w:hAnsi="Times New Roman" w:cs="Times New Roman"/>
          <w:color w:val="auto"/>
        </w:rPr>
        <w:t xml:space="preserve"> </w:t>
      </w:r>
      <w:r w:rsidRPr="003B0A32">
        <w:rPr>
          <w:rFonts w:ascii="Times New Roman" w:hAnsi="Times New Roman" w:cs="Times New Roman"/>
          <w:color w:val="auto"/>
        </w:rPr>
        <w:t>w</w:t>
      </w:r>
      <w:r w:rsidR="00DD5EBB">
        <w:rPr>
          <w:rFonts w:ascii="Times New Roman" w:hAnsi="Times New Roman" w:cs="Times New Roman"/>
          <w:color w:val="auto"/>
        </w:rPr>
        <w:t xml:space="preserve"> </w:t>
      </w:r>
      <w:r w:rsidRPr="003B0A32">
        <w:rPr>
          <w:rFonts w:ascii="Times New Roman" w:hAnsi="Times New Roman" w:cs="Times New Roman"/>
          <w:color w:val="auto"/>
        </w:rPr>
        <w:t>ramach zorganizowane</w:t>
      </w:r>
      <w:r w:rsidR="008115E1" w:rsidRPr="003B0A32">
        <w:rPr>
          <w:rFonts w:ascii="Times New Roman" w:hAnsi="Times New Roman" w:cs="Times New Roman"/>
          <w:color w:val="auto"/>
        </w:rPr>
        <w:t>j</w:t>
      </w:r>
      <w:r w:rsidR="008539CB" w:rsidRPr="003B0A32">
        <w:rPr>
          <w:rFonts w:ascii="Times New Roman" w:hAnsi="Times New Roman" w:cs="Times New Roman"/>
          <w:color w:val="auto"/>
        </w:rPr>
        <w:t xml:space="preserve"> części </w:t>
      </w:r>
      <w:r w:rsidRPr="003B0A32">
        <w:rPr>
          <w:rFonts w:ascii="Times New Roman" w:hAnsi="Times New Roman" w:cs="Times New Roman"/>
          <w:color w:val="auto"/>
        </w:rPr>
        <w:t>przedsiębiorstwa mamy do czynienia z</w:t>
      </w:r>
      <w:r w:rsidR="0045642A" w:rsidRPr="003B0A32">
        <w:rPr>
          <w:rFonts w:ascii="Times New Roman" w:hAnsi="Times New Roman" w:cs="Times New Roman"/>
          <w:color w:val="auto"/>
        </w:rPr>
        <w:t> </w:t>
      </w:r>
      <w:r w:rsidRPr="003B0A32">
        <w:rPr>
          <w:rFonts w:ascii="Times New Roman" w:hAnsi="Times New Roman" w:cs="Times New Roman"/>
          <w:color w:val="auto"/>
        </w:rPr>
        <w:t xml:space="preserve">nieruchomością rolną w rozumieniu ustawy </w:t>
      </w:r>
      <w:r w:rsidR="00A70B66" w:rsidRPr="003B0A32">
        <w:rPr>
          <w:rFonts w:ascii="Times New Roman" w:hAnsi="Times New Roman" w:cs="Times New Roman"/>
          <w:color w:val="auto"/>
        </w:rPr>
        <w:t>z dnia 11</w:t>
      </w:r>
      <w:r w:rsidR="00273C9A" w:rsidRPr="003B0A32">
        <w:rPr>
          <w:rFonts w:ascii="Times New Roman" w:hAnsi="Times New Roman" w:cs="Times New Roman"/>
          <w:color w:val="auto"/>
        </w:rPr>
        <w:t> </w:t>
      </w:r>
      <w:r w:rsidR="00A70B66" w:rsidRPr="003B0A32">
        <w:rPr>
          <w:rFonts w:ascii="Times New Roman" w:hAnsi="Times New Roman" w:cs="Times New Roman"/>
          <w:color w:val="auto"/>
        </w:rPr>
        <w:t xml:space="preserve">kwietnia 2003 r. </w:t>
      </w:r>
      <w:r w:rsidRPr="003B0A32">
        <w:rPr>
          <w:rFonts w:ascii="Times New Roman" w:hAnsi="Times New Roman" w:cs="Times New Roman"/>
          <w:i/>
          <w:color w:val="auto"/>
        </w:rPr>
        <w:t>o kształtowaniu ustroju rolnego</w:t>
      </w:r>
      <w:r w:rsidRPr="003B0A32">
        <w:rPr>
          <w:rFonts w:ascii="Times New Roman" w:hAnsi="Times New Roman" w:cs="Times New Roman"/>
          <w:color w:val="auto"/>
        </w:rPr>
        <w:t>, PKP PLK S.A. jako nabywca jest zobowiązana zawiadomić KOWR. W</w:t>
      </w:r>
      <w:r w:rsidR="0045642A" w:rsidRPr="003B0A32">
        <w:rPr>
          <w:rFonts w:ascii="Times New Roman" w:hAnsi="Times New Roman" w:cs="Times New Roman"/>
          <w:color w:val="auto"/>
        </w:rPr>
        <w:t> </w:t>
      </w:r>
      <w:r w:rsidRPr="003B0A32">
        <w:rPr>
          <w:rFonts w:ascii="Times New Roman" w:hAnsi="Times New Roman" w:cs="Times New Roman"/>
          <w:color w:val="auto"/>
        </w:rPr>
        <w:t>oparciu o</w:t>
      </w:r>
      <w:r w:rsidR="008115E1" w:rsidRPr="003B0A32">
        <w:rPr>
          <w:rFonts w:ascii="Times New Roman" w:hAnsi="Times New Roman" w:cs="Times New Roman"/>
          <w:color w:val="auto"/>
        </w:rPr>
        <w:t> </w:t>
      </w:r>
      <w:r w:rsidRPr="003B0A32">
        <w:rPr>
          <w:rFonts w:ascii="Times New Roman" w:hAnsi="Times New Roman" w:cs="Times New Roman"/>
          <w:color w:val="auto"/>
        </w:rPr>
        <w:t>wspólne stanowisko Ministerstwa Rolnictwa i</w:t>
      </w:r>
      <w:r w:rsidR="00273C9A" w:rsidRPr="003B0A32">
        <w:rPr>
          <w:rFonts w:ascii="Times New Roman" w:hAnsi="Times New Roman" w:cs="Times New Roman"/>
          <w:color w:val="auto"/>
        </w:rPr>
        <w:t> </w:t>
      </w:r>
      <w:r w:rsidRPr="003B0A32">
        <w:rPr>
          <w:rFonts w:ascii="Times New Roman" w:hAnsi="Times New Roman" w:cs="Times New Roman"/>
          <w:color w:val="auto"/>
        </w:rPr>
        <w:t>Rozwoju Wsi,</w:t>
      </w:r>
      <w:r w:rsidR="00DD5EBB">
        <w:rPr>
          <w:rFonts w:ascii="Times New Roman" w:hAnsi="Times New Roman" w:cs="Times New Roman"/>
          <w:color w:val="auto"/>
        </w:rPr>
        <w:t xml:space="preserve"> </w:t>
      </w:r>
      <w:r w:rsidR="00A70B66" w:rsidRPr="003B0A32">
        <w:rPr>
          <w:rFonts w:ascii="Times New Roman" w:hAnsi="Times New Roman" w:cs="Times New Roman"/>
          <w:color w:val="auto"/>
        </w:rPr>
        <w:t>KOWR</w:t>
      </w:r>
      <w:r w:rsidRPr="003B0A32">
        <w:rPr>
          <w:rFonts w:ascii="Times New Roman" w:hAnsi="Times New Roman" w:cs="Times New Roman"/>
          <w:color w:val="auto"/>
        </w:rPr>
        <w:t xml:space="preserve"> oraz Krajowej Rady Notarialnej z dnia 27</w:t>
      </w:r>
      <w:r w:rsidR="0045642A" w:rsidRPr="003B0A32">
        <w:rPr>
          <w:rFonts w:ascii="Times New Roman" w:hAnsi="Times New Roman" w:cs="Times New Roman"/>
          <w:color w:val="auto"/>
        </w:rPr>
        <w:t> </w:t>
      </w:r>
      <w:r w:rsidR="00A70B66" w:rsidRPr="003B0A32">
        <w:rPr>
          <w:rFonts w:ascii="Times New Roman" w:hAnsi="Times New Roman" w:cs="Times New Roman"/>
          <w:color w:val="auto"/>
        </w:rPr>
        <w:t>lutego</w:t>
      </w:r>
      <w:r w:rsidR="001657E4" w:rsidRPr="003B0A32">
        <w:rPr>
          <w:rFonts w:ascii="Times New Roman" w:hAnsi="Times New Roman" w:cs="Times New Roman"/>
          <w:color w:val="auto"/>
        </w:rPr>
        <w:t xml:space="preserve"> </w:t>
      </w:r>
      <w:r w:rsidRPr="003B0A32">
        <w:rPr>
          <w:rFonts w:ascii="Times New Roman" w:hAnsi="Times New Roman" w:cs="Times New Roman"/>
          <w:color w:val="auto"/>
        </w:rPr>
        <w:t xml:space="preserve">2020 r. w sprawie stosowania ustawy o kształtowaniu ustroju rolnego </w:t>
      </w:r>
      <w:r w:rsidR="007666E2" w:rsidRPr="003B0A32">
        <w:rPr>
          <w:rFonts w:ascii="Times New Roman" w:hAnsi="Times New Roman" w:cs="Times New Roman"/>
          <w:color w:val="auto"/>
        </w:rPr>
        <w:t xml:space="preserve">byłoby możliwe </w:t>
      </w:r>
      <w:r w:rsidRPr="003B0A32">
        <w:rPr>
          <w:rFonts w:ascii="Times New Roman" w:hAnsi="Times New Roman" w:cs="Times New Roman"/>
          <w:color w:val="auto"/>
        </w:rPr>
        <w:t xml:space="preserve">dokonanie zawiadomienia KOWR przez </w:t>
      </w:r>
      <w:r w:rsidR="008539CB" w:rsidRPr="003B0A32">
        <w:rPr>
          <w:rFonts w:ascii="Times New Roman" w:hAnsi="Times New Roman" w:cs="Times New Roman"/>
          <w:color w:val="auto"/>
        </w:rPr>
        <w:t>notariusza, co będzie traktowane</w:t>
      </w:r>
      <w:r w:rsidRPr="003B0A32">
        <w:rPr>
          <w:rFonts w:ascii="Times New Roman" w:hAnsi="Times New Roman" w:cs="Times New Roman"/>
          <w:color w:val="auto"/>
        </w:rPr>
        <w:t xml:space="preserve"> przez </w:t>
      </w:r>
      <w:r w:rsidRPr="003B0A32">
        <w:rPr>
          <w:rFonts w:ascii="Times New Roman" w:hAnsi="Times New Roman" w:cs="Times New Roman"/>
          <w:color w:val="auto"/>
        </w:rPr>
        <w:lastRenderedPageBreak/>
        <w:t>KOWR jako zawiadomienie dokonane przez nabywcę. W przypadku gruntów rolnych ustawy obowiązek zawiadomienia uprawnionego do</w:t>
      </w:r>
      <w:r w:rsidR="007E72DF" w:rsidRPr="003B0A32">
        <w:rPr>
          <w:rFonts w:ascii="Times New Roman" w:hAnsi="Times New Roman" w:cs="Times New Roman"/>
          <w:color w:val="auto"/>
        </w:rPr>
        <w:t> </w:t>
      </w:r>
      <w:r w:rsidRPr="003B0A32">
        <w:rPr>
          <w:rFonts w:ascii="Times New Roman" w:hAnsi="Times New Roman" w:cs="Times New Roman"/>
          <w:color w:val="auto"/>
        </w:rPr>
        <w:t xml:space="preserve">skorzystania z prawa nabycia obciąża notariusza sporządzającego dany akt notarialny. </w:t>
      </w:r>
    </w:p>
    <w:p w14:paraId="34F8ABC5" w14:textId="4143DA67" w:rsidR="00EF06C4" w:rsidRPr="003B0A32" w:rsidRDefault="00EF06C4" w:rsidP="003B0A32">
      <w:pPr>
        <w:pStyle w:val="Default"/>
        <w:spacing w:before="120" w:after="120" w:line="360" w:lineRule="auto"/>
        <w:jc w:val="both"/>
        <w:rPr>
          <w:rFonts w:ascii="Times New Roman" w:hAnsi="Times New Roman" w:cs="Times New Roman"/>
          <w:color w:val="auto"/>
        </w:rPr>
      </w:pPr>
      <w:r w:rsidRPr="003B0A32">
        <w:rPr>
          <w:rFonts w:ascii="Times New Roman" w:hAnsi="Times New Roman" w:cs="Times New Roman"/>
          <w:color w:val="auto"/>
        </w:rPr>
        <w:t>Należy też podkreślić, że od momentu podjęcia uchwały o podwyższeniu kapitału zakładowego o wnoszone wkłady niepieniężne termin na złożenie wniosku do Krajowego Rejestru Sądowego o rejestrację podwyższenia kapitału zakładowego, zgodnie z</w:t>
      </w:r>
      <w:r w:rsidR="00A70B66" w:rsidRPr="003B0A32">
        <w:rPr>
          <w:rFonts w:ascii="Times New Roman" w:hAnsi="Times New Roman" w:cs="Times New Roman"/>
          <w:color w:val="auto"/>
        </w:rPr>
        <w:t xml:space="preserve"> ustawą z</w:t>
      </w:r>
      <w:r w:rsidR="0045642A" w:rsidRPr="003B0A32">
        <w:rPr>
          <w:rFonts w:ascii="Times New Roman" w:hAnsi="Times New Roman" w:cs="Times New Roman"/>
          <w:color w:val="auto"/>
        </w:rPr>
        <w:t> </w:t>
      </w:r>
      <w:r w:rsidR="00A70B66" w:rsidRPr="003B0A32">
        <w:rPr>
          <w:rFonts w:ascii="Times New Roman" w:hAnsi="Times New Roman" w:cs="Times New Roman"/>
          <w:color w:val="auto"/>
        </w:rPr>
        <w:t>dnia 15 września 2000 r. –</w:t>
      </w:r>
      <w:r w:rsidRPr="003B0A32">
        <w:rPr>
          <w:rFonts w:ascii="Times New Roman" w:hAnsi="Times New Roman" w:cs="Times New Roman"/>
          <w:color w:val="auto"/>
        </w:rPr>
        <w:t xml:space="preserve"> </w:t>
      </w:r>
      <w:r w:rsidRPr="003B0A32">
        <w:rPr>
          <w:rFonts w:ascii="Times New Roman" w:hAnsi="Times New Roman" w:cs="Times New Roman"/>
          <w:i/>
          <w:color w:val="auto"/>
        </w:rPr>
        <w:t>Kodeks spółek handlowych</w:t>
      </w:r>
      <w:r w:rsidRPr="003B0A32">
        <w:rPr>
          <w:rFonts w:ascii="Times New Roman" w:hAnsi="Times New Roman" w:cs="Times New Roman"/>
          <w:color w:val="auto"/>
        </w:rPr>
        <w:t xml:space="preserve"> </w:t>
      </w:r>
      <w:r w:rsidR="00A70B66" w:rsidRPr="003B0A32">
        <w:rPr>
          <w:rFonts w:ascii="Times New Roman" w:hAnsi="Times New Roman" w:cs="Times New Roman"/>
          <w:color w:val="auto"/>
        </w:rPr>
        <w:t>(Dz. U. z 2020 r. poz. 1526, z</w:t>
      </w:r>
      <w:r w:rsidR="0045642A" w:rsidRPr="003B0A32">
        <w:rPr>
          <w:rFonts w:ascii="Times New Roman" w:hAnsi="Times New Roman" w:cs="Times New Roman"/>
          <w:color w:val="auto"/>
        </w:rPr>
        <w:t> </w:t>
      </w:r>
      <w:r w:rsidR="00A70B66" w:rsidRPr="003B0A32">
        <w:rPr>
          <w:rFonts w:ascii="Times New Roman" w:hAnsi="Times New Roman" w:cs="Times New Roman"/>
          <w:color w:val="auto"/>
        </w:rPr>
        <w:t>późn. zm.)</w:t>
      </w:r>
      <w:r w:rsidR="00EF6C76">
        <w:rPr>
          <w:rFonts w:ascii="Times New Roman" w:hAnsi="Times New Roman" w:cs="Times New Roman"/>
          <w:color w:val="auto"/>
        </w:rPr>
        <w:t>,</w:t>
      </w:r>
      <w:r w:rsidR="00A70B66" w:rsidRPr="003B0A32">
        <w:rPr>
          <w:rFonts w:ascii="Times New Roman" w:hAnsi="Times New Roman" w:cs="Times New Roman"/>
          <w:color w:val="auto"/>
        </w:rPr>
        <w:t xml:space="preserve"> </w:t>
      </w:r>
      <w:r w:rsidRPr="003B0A32">
        <w:rPr>
          <w:rFonts w:ascii="Times New Roman" w:hAnsi="Times New Roman" w:cs="Times New Roman"/>
          <w:color w:val="auto"/>
        </w:rPr>
        <w:t xml:space="preserve">wynosi 6 miesięcy. W tym czasie, a nawet krótszym (w harmonogramie </w:t>
      </w:r>
      <w:r w:rsidR="00A70B66" w:rsidRPr="003B0A32">
        <w:rPr>
          <w:rFonts w:ascii="Times New Roman" w:hAnsi="Times New Roman" w:cs="Times New Roman"/>
          <w:color w:val="auto"/>
        </w:rPr>
        <w:t>zorganizowanej części przedsiębiorstwa</w:t>
      </w:r>
      <w:r w:rsidRPr="003B0A32">
        <w:rPr>
          <w:rFonts w:ascii="Times New Roman" w:hAnsi="Times New Roman" w:cs="Times New Roman"/>
          <w:color w:val="auto"/>
        </w:rPr>
        <w:t xml:space="preserve"> określa się termin 5 miesięcy)</w:t>
      </w:r>
      <w:r w:rsidR="00EF6C76">
        <w:rPr>
          <w:rFonts w:ascii="Times New Roman" w:hAnsi="Times New Roman" w:cs="Times New Roman"/>
          <w:color w:val="auto"/>
        </w:rPr>
        <w:t>,</w:t>
      </w:r>
      <w:r w:rsidRPr="003B0A32">
        <w:rPr>
          <w:rFonts w:ascii="Times New Roman" w:hAnsi="Times New Roman" w:cs="Times New Roman"/>
          <w:color w:val="auto"/>
        </w:rPr>
        <w:t xml:space="preserve"> </w:t>
      </w:r>
      <w:r w:rsidR="007666E2" w:rsidRPr="003B0A32">
        <w:rPr>
          <w:rFonts w:ascii="Times New Roman" w:hAnsi="Times New Roman" w:cs="Times New Roman"/>
          <w:color w:val="auto"/>
        </w:rPr>
        <w:t xml:space="preserve">będzie </w:t>
      </w:r>
      <w:r w:rsidRPr="003B0A32">
        <w:rPr>
          <w:rFonts w:ascii="Times New Roman" w:hAnsi="Times New Roman" w:cs="Times New Roman"/>
          <w:color w:val="auto"/>
        </w:rPr>
        <w:t>konieczne zawarcie aktów notarialnych dla ponad 30 tys. działek ewidencyjnych. W trakcie przygotowywania aktów notarialnych, na podstawie zgromadzonych wówczas dokumentów, również rekomendacji notariusza sporządzającego dany akt notarialny i ustalenia, że mamy do czynienia z</w:t>
      </w:r>
      <w:r w:rsidR="00273C9A" w:rsidRPr="003B0A32">
        <w:rPr>
          <w:rFonts w:ascii="Times New Roman" w:hAnsi="Times New Roman" w:cs="Times New Roman"/>
          <w:color w:val="auto"/>
        </w:rPr>
        <w:t> </w:t>
      </w:r>
      <w:r w:rsidRPr="003B0A32">
        <w:rPr>
          <w:rFonts w:ascii="Times New Roman" w:hAnsi="Times New Roman" w:cs="Times New Roman"/>
          <w:color w:val="auto"/>
        </w:rPr>
        <w:t xml:space="preserve">nieruchomością rolną w rozumieniu ustawy z dnia 11 kwietnia 2003 r. </w:t>
      </w:r>
      <w:r w:rsidRPr="003B0A32">
        <w:rPr>
          <w:rFonts w:ascii="Times New Roman" w:hAnsi="Times New Roman" w:cs="Times New Roman"/>
          <w:i/>
          <w:color w:val="auto"/>
        </w:rPr>
        <w:t>o</w:t>
      </w:r>
      <w:r w:rsidR="0045642A" w:rsidRPr="003B0A32">
        <w:rPr>
          <w:rFonts w:ascii="Times New Roman" w:hAnsi="Times New Roman" w:cs="Times New Roman"/>
          <w:i/>
          <w:color w:val="auto"/>
        </w:rPr>
        <w:t> </w:t>
      </w:r>
      <w:r w:rsidRPr="003B0A32">
        <w:rPr>
          <w:rFonts w:ascii="Times New Roman" w:hAnsi="Times New Roman" w:cs="Times New Roman"/>
          <w:i/>
          <w:color w:val="auto"/>
        </w:rPr>
        <w:t>kształtowaniu ustroju rolnego</w:t>
      </w:r>
      <w:r w:rsidR="007666E2" w:rsidRPr="003B0A32">
        <w:rPr>
          <w:rFonts w:ascii="Times New Roman" w:hAnsi="Times New Roman" w:cs="Times New Roman"/>
          <w:i/>
          <w:color w:val="auto"/>
        </w:rPr>
        <w:t>,</w:t>
      </w:r>
      <w:r w:rsidRPr="003B0A32">
        <w:rPr>
          <w:rFonts w:ascii="Times New Roman" w:hAnsi="Times New Roman" w:cs="Times New Roman"/>
          <w:color w:val="auto"/>
        </w:rPr>
        <w:t xml:space="preserve"> </w:t>
      </w:r>
      <w:r w:rsidR="007666E2" w:rsidRPr="003B0A32">
        <w:rPr>
          <w:rFonts w:ascii="Times New Roman" w:hAnsi="Times New Roman" w:cs="Times New Roman"/>
          <w:color w:val="auto"/>
        </w:rPr>
        <w:t xml:space="preserve">będzie </w:t>
      </w:r>
      <w:r w:rsidRPr="003B0A32">
        <w:rPr>
          <w:rFonts w:ascii="Times New Roman" w:hAnsi="Times New Roman" w:cs="Times New Roman"/>
          <w:color w:val="auto"/>
        </w:rPr>
        <w:t>konieczne dokonanie zawiadomienia uprawnionego do</w:t>
      </w:r>
      <w:r w:rsidR="0045642A" w:rsidRPr="003B0A32">
        <w:rPr>
          <w:rFonts w:ascii="Times New Roman" w:hAnsi="Times New Roman" w:cs="Times New Roman"/>
          <w:color w:val="auto"/>
        </w:rPr>
        <w:t> </w:t>
      </w:r>
      <w:r w:rsidRPr="003B0A32">
        <w:rPr>
          <w:rFonts w:ascii="Times New Roman" w:hAnsi="Times New Roman" w:cs="Times New Roman"/>
          <w:color w:val="auto"/>
        </w:rPr>
        <w:t>wykonania prawa nabycia, który może wykonać swoje uprawnienie w ciągu miesiąca od</w:t>
      </w:r>
      <w:r w:rsidR="0045642A" w:rsidRPr="003B0A32">
        <w:rPr>
          <w:rFonts w:ascii="Times New Roman" w:hAnsi="Times New Roman" w:cs="Times New Roman"/>
          <w:color w:val="auto"/>
        </w:rPr>
        <w:t> </w:t>
      </w:r>
      <w:r w:rsidRPr="003B0A32">
        <w:rPr>
          <w:rFonts w:ascii="Times New Roman" w:hAnsi="Times New Roman" w:cs="Times New Roman"/>
          <w:color w:val="auto"/>
        </w:rPr>
        <w:t>zawiadomienia. Sytuacja ta spowoduje wydłużenie terminu, a tym samym może nie być możliwe dochowanie 6-ci</w:t>
      </w:r>
      <w:r w:rsidR="008115E1" w:rsidRPr="003B0A32">
        <w:rPr>
          <w:rFonts w:ascii="Times New Roman" w:hAnsi="Times New Roman" w:cs="Times New Roman"/>
          <w:color w:val="auto"/>
        </w:rPr>
        <w:t>o</w:t>
      </w:r>
      <w:r w:rsidRPr="003B0A32">
        <w:rPr>
          <w:rFonts w:ascii="Times New Roman" w:hAnsi="Times New Roman" w:cs="Times New Roman"/>
          <w:color w:val="auto"/>
        </w:rPr>
        <w:t xml:space="preserve"> miesięcznego terminu na</w:t>
      </w:r>
      <w:r w:rsidR="007E72DF" w:rsidRPr="003B0A32">
        <w:rPr>
          <w:rFonts w:ascii="Times New Roman" w:hAnsi="Times New Roman" w:cs="Times New Roman"/>
          <w:color w:val="auto"/>
        </w:rPr>
        <w:t> </w:t>
      </w:r>
      <w:r w:rsidRPr="003B0A32">
        <w:rPr>
          <w:rFonts w:ascii="Times New Roman" w:hAnsi="Times New Roman" w:cs="Times New Roman"/>
          <w:color w:val="auto"/>
        </w:rPr>
        <w:t>złożenie wniosku do KRS o rejestrację podwyższenia kapitału zakładowego. W</w:t>
      </w:r>
      <w:r w:rsidR="007E72DF" w:rsidRPr="003B0A32">
        <w:rPr>
          <w:rFonts w:ascii="Times New Roman" w:hAnsi="Times New Roman" w:cs="Times New Roman"/>
          <w:color w:val="auto"/>
        </w:rPr>
        <w:t> </w:t>
      </w:r>
      <w:r w:rsidRPr="003B0A32">
        <w:rPr>
          <w:rFonts w:ascii="Times New Roman" w:hAnsi="Times New Roman" w:cs="Times New Roman"/>
          <w:color w:val="auto"/>
        </w:rPr>
        <w:t>przypadku gdyby doszło do wykonania przez uprawnionego prawa nabycia</w:t>
      </w:r>
      <w:r w:rsidR="007666E2" w:rsidRPr="003B0A32">
        <w:rPr>
          <w:rFonts w:ascii="Times New Roman" w:hAnsi="Times New Roman" w:cs="Times New Roman"/>
          <w:color w:val="auto"/>
        </w:rPr>
        <w:t>,</w:t>
      </w:r>
      <w:r w:rsidRPr="003B0A32">
        <w:rPr>
          <w:rFonts w:ascii="Times New Roman" w:hAnsi="Times New Roman" w:cs="Times New Roman"/>
          <w:color w:val="auto"/>
        </w:rPr>
        <w:t xml:space="preserve"> może się również okazać, że konieczna mogłaby być zmiana uchwały o podwyższeniu kapitału zakładowego. </w:t>
      </w:r>
    </w:p>
    <w:p w14:paraId="0CDB85B2" w14:textId="1A639C6B" w:rsidR="00D55BD6" w:rsidRPr="003B0A32" w:rsidRDefault="008539CB" w:rsidP="003B0A32">
      <w:pPr>
        <w:spacing w:before="120" w:after="120" w:line="360" w:lineRule="auto"/>
        <w:jc w:val="both"/>
        <w:rPr>
          <w:rFonts w:ascii="Times New Roman" w:hAnsi="Times New Roman" w:cs="Times New Roman"/>
          <w:color w:val="auto"/>
          <w:sz w:val="24"/>
          <w:szCs w:val="24"/>
        </w:rPr>
      </w:pPr>
      <w:r w:rsidRPr="003B0A32">
        <w:rPr>
          <w:rFonts w:ascii="Times New Roman" w:hAnsi="Times New Roman" w:cs="Times New Roman"/>
          <w:color w:val="auto"/>
          <w:sz w:val="24"/>
          <w:szCs w:val="24"/>
        </w:rPr>
        <w:t>Jednocześnie należy wskazać, że w związku z wprowadzanymi</w:t>
      </w:r>
      <w:r w:rsidR="00D55BD6" w:rsidRPr="003B0A32">
        <w:rPr>
          <w:rFonts w:ascii="Times New Roman" w:hAnsi="Times New Roman" w:cs="Times New Roman"/>
          <w:color w:val="auto"/>
          <w:sz w:val="24"/>
          <w:szCs w:val="24"/>
        </w:rPr>
        <w:t xml:space="preserve"> wyłączenia od stosowania przepisów ustawy z </w:t>
      </w:r>
      <w:r w:rsidR="00EF6C76">
        <w:rPr>
          <w:rFonts w:ascii="Times New Roman" w:hAnsi="Times New Roman" w:cs="Times New Roman"/>
          <w:color w:val="auto"/>
          <w:sz w:val="24"/>
          <w:szCs w:val="24"/>
        </w:rPr>
        <w:t xml:space="preserve">dnia </w:t>
      </w:r>
      <w:r w:rsidR="00D55BD6" w:rsidRPr="003B0A32">
        <w:rPr>
          <w:rFonts w:ascii="Times New Roman" w:hAnsi="Times New Roman" w:cs="Times New Roman"/>
          <w:color w:val="auto"/>
          <w:sz w:val="24"/>
          <w:szCs w:val="24"/>
        </w:rPr>
        <w:t xml:space="preserve">11 kwietnia 2003 r. </w:t>
      </w:r>
      <w:r w:rsidRPr="003B0A32">
        <w:rPr>
          <w:rFonts w:ascii="Times New Roman" w:hAnsi="Times New Roman" w:cs="Times New Roman"/>
          <w:i/>
          <w:color w:val="auto"/>
          <w:sz w:val="24"/>
          <w:szCs w:val="24"/>
        </w:rPr>
        <w:t>o kształtowaniu ustroju rolnego</w:t>
      </w:r>
      <w:r w:rsidRPr="003B0A32">
        <w:rPr>
          <w:rFonts w:ascii="Times New Roman" w:hAnsi="Times New Roman" w:cs="Times New Roman"/>
          <w:color w:val="auto"/>
          <w:sz w:val="24"/>
          <w:szCs w:val="24"/>
        </w:rPr>
        <w:t xml:space="preserve"> </w:t>
      </w:r>
      <w:r w:rsidR="00D55BD6" w:rsidRPr="003B0A32">
        <w:rPr>
          <w:rFonts w:ascii="Times New Roman" w:hAnsi="Times New Roman" w:cs="Times New Roman"/>
          <w:color w:val="auto"/>
          <w:sz w:val="24"/>
          <w:szCs w:val="24"/>
        </w:rPr>
        <w:t>oraz ustawy z dnia 28 września 1991 r</w:t>
      </w:r>
      <w:r w:rsidRPr="003B0A32">
        <w:rPr>
          <w:rFonts w:ascii="Times New Roman" w:hAnsi="Times New Roman" w:cs="Times New Roman"/>
          <w:color w:val="auto"/>
          <w:sz w:val="24"/>
          <w:szCs w:val="24"/>
        </w:rPr>
        <w:t>.</w:t>
      </w:r>
      <w:r w:rsidR="00D55BD6" w:rsidRPr="003B0A32">
        <w:rPr>
          <w:rFonts w:ascii="Times New Roman" w:hAnsi="Times New Roman" w:cs="Times New Roman"/>
          <w:color w:val="auto"/>
          <w:sz w:val="24"/>
          <w:szCs w:val="24"/>
        </w:rPr>
        <w:t xml:space="preserve"> </w:t>
      </w:r>
      <w:r w:rsidR="00D55BD6" w:rsidRPr="003B0A32">
        <w:rPr>
          <w:rFonts w:ascii="Times New Roman" w:hAnsi="Times New Roman" w:cs="Times New Roman"/>
          <w:i/>
          <w:color w:val="auto"/>
          <w:sz w:val="24"/>
          <w:szCs w:val="24"/>
        </w:rPr>
        <w:t>o lasach</w:t>
      </w:r>
      <w:r w:rsidR="00D55BD6" w:rsidRPr="003B0A32">
        <w:rPr>
          <w:rFonts w:ascii="Times New Roman" w:hAnsi="Times New Roman" w:cs="Times New Roman"/>
          <w:color w:val="auto"/>
          <w:sz w:val="24"/>
          <w:szCs w:val="24"/>
        </w:rPr>
        <w:t xml:space="preserve"> nie jest </w:t>
      </w:r>
      <w:r w:rsidRPr="003B0A32">
        <w:rPr>
          <w:rFonts w:ascii="Times New Roman" w:hAnsi="Times New Roman" w:cs="Times New Roman"/>
          <w:color w:val="auto"/>
          <w:sz w:val="24"/>
          <w:szCs w:val="24"/>
        </w:rPr>
        <w:t>konieczne</w:t>
      </w:r>
      <w:r w:rsidR="00D55BD6" w:rsidRPr="003B0A32">
        <w:rPr>
          <w:rFonts w:ascii="Times New Roman" w:hAnsi="Times New Roman" w:cs="Times New Roman"/>
          <w:color w:val="auto"/>
          <w:sz w:val="24"/>
          <w:szCs w:val="24"/>
        </w:rPr>
        <w:t xml:space="preserve"> wprowadzenie przepisów przejściowych. Aktualnie bowiem nie są dokonywane żadne wyposażenia spółek na podstawie art. 17 ustawy o komercjalizacji</w:t>
      </w:r>
      <w:r w:rsidRPr="003B0A32">
        <w:rPr>
          <w:rFonts w:ascii="Times New Roman" w:hAnsi="Times New Roman" w:cs="Times New Roman"/>
          <w:color w:val="auto"/>
          <w:sz w:val="24"/>
          <w:szCs w:val="24"/>
        </w:rPr>
        <w:t xml:space="preserve"> PKP</w:t>
      </w:r>
      <w:r w:rsidR="00D55BD6" w:rsidRPr="003B0A32">
        <w:rPr>
          <w:rFonts w:ascii="Times New Roman" w:hAnsi="Times New Roman" w:cs="Times New Roman"/>
          <w:color w:val="auto"/>
          <w:sz w:val="24"/>
          <w:szCs w:val="24"/>
        </w:rPr>
        <w:t xml:space="preserve">, a jeżeli wszelkie przyszłe aporty zostaną zrealizowane już po wejściu </w:t>
      </w:r>
      <w:r w:rsidR="00D55BD6" w:rsidRPr="003B0A32">
        <w:rPr>
          <w:rFonts w:ascii="Times New Roman" w:hAnsi="Times New Roman" w:cs="Times New Roman"/>
          <w:color w:val="auto"/>
          <w:sz w:val="24"/>
          <w:szCs w:val="24"/>
        </w:rPr>
        <w:lastRenderedPageBreak/>
        <w:t xml:space="preserve">w życie projektowanych przepisów, to wówczas względem tych aportów nie będzie wątpliwości co do możliwości zastosowania </w:t>
      </w:r>
      <w:r w:rsidRPr="003B0A32">
        <w:rPr>
          <w:rFonts w:ascii="Times New Roman" w:hAnsi="Times New Roman" w:cs="Times New Roman"/>
          <w:color w:val="auto"/>
          <w:sz w:val="24"/>
          <w:szCs w:val="24"/>
        </w:rPr>
        <w:t>wprowadzanego</w:t>
      </w:r>
      <w:r w:rsidR="00D55BD6" w:rsidRPr="003B0A32">
        <w:rPr>
          <w:rFonts w:ascii="Times New Roman" w:hAnsi="Times New Roman" w:cs="Times New Roman"/>
          <w:color w:val="auto"/>
          <w:sz w:val="24"/>
          <w:szCs w:val="24"/>
        </w:rPr>
        <w:t xml:space="preserve"> wyłączenia. </w:t>
      </w:r>
    </w:p>
    <w:p w14:paraId="771CF671" w14:textId="75F889AE" w:rsidR="0012633F" w:rsidRPr="003B0A32" w:rsidRDefault="0012633F" w:rsidP="003B0A32">
      <w:pPr>
        <w:pStyle w:val="ZUSTzmustartykuempunktem"/>
        <w:spacing w:before="120" w:after="120"/>
        <w:ind w:left="0" w:firstLine="0"/>
        <w:rPr>
          <w:rFonts w:ascii="Times New Roman" w:hAnsi="Times New Roman" w:cs="Times New Roman"/>
          <w:szCs w:val="24"/>
        </w:rPr>
      </w:pPr>
      <w:r w:rsidRPr="003B0A32">
        <w:rPr>
          <w:rFonts w:ascii="Times New Roman" w:hAnsi="Times New Roman" w:cs="Times New Roman"/>
          <w:szCs w:val="24"/>
        </w:rPr>
        <w:t xml:space="preserve">Proponowane zmiany w zakresie dodania w ustawie </w:t>
      </w:r>
      <w:r w:rsidR="009D2D37" w:rsidRPr="003B0A32">
        <w:rPr>
          <w:rFonts w:ascii="Times New Roman" w:hAnsi="Times New Roman" w:cs="Times New Roman"/>
          <w:szCs w:val="24"/>
        </w:rPr>
        <w:t>o komercjalizacji PKP art. 24ba</w:t>
      </w:r>
      <w:r w:rsidR="00721325" w:rsidRPr="003B0A32">
        <w:rPr>
          <w:rFonts w:ascii="Times New Roman" w:hAnsi="Times New Roman" w:cs="Times New Roman"/>
          <w:szCs w:val="24"/>
        </w:rPr>
        <w:t xml:space="preserve"> i art. 24ca</w:t>
      </w:r>
      <w:r w:rsidR="00EF6C76">
        <w:rPr>
          <w:rFonts w:ascii="Times New Roman" w:hAnsi="Times New Roman" w:cs="Times New Roman"/>
          <w:szCs w:val="24"/>
        </w:rPr>
        <w:t>,</w:t>
      </w:r>
      <w:r w:rsidRPr="003B0A32">
        <w:rPr>
          <w:rFonts w:ascii="Times New Roman" w:hAnsi="Times New Roman" w:cs="Times New Roman"/>
          <w:szCs w:val="24"/>
        </w:rPr>
        <w:t xml:space="preserve"> co do zasady</w:t>
      </w:r>
      <w:r w:rsidR="00EF6C76">
        <w:rPr>
          <w:rFonts w:ascii="Times New Roman" w:hAnsi="Times New Roman" w:cs="Times New Roman"/>
          <w:szCs w:val="24"/>
        </w:rPr>
        <w:t>,</w:t>
      </w:r>
      <w:r w:rsidRPr="003B0A32">
        <w:rPr>
          <w:rFonts w:ascii="Times New Roman" w:hAnsi="Times New Roman" w:cs="Times New Roman"/>
          <w:szCs w:val="24"/>
        </w:rPr>
        <w:t xml:space="preserve"> są tożsame z obowiązującym stanem prawnym w latach wcześniejszych i oprócz poszerzenia katalogu podmiotowego o innych niż </w:t>
      </w:r>
      <w:r w:rsidR="008539CB" w:rsidRPr="003B0A32">
        <w:rPr>
          <w:rFonts w:ascii="Times New Roman" w:hAnsi="Times New Roman" w:cs="Times New Roman"/>
          <w:szCs w:val="24"/>
        </w:rPr>
        <w:t xml:space="preserve">PKP </w:t>
      </w:r>
      <w:r w:rsidRPr="003B0A32">
        <w:rPr>
          <w:rFonts w:ascii="Times New Roman" w:hAnsi="Times New Roman" w:cs="Times New Roman"/>
          <w:szCs w:val="24"/>
        </w:rPr>
        <w:t>PLK</w:t>
      </w:r>
      <w:r w:rsidR="008539CB" w:rsidRPr="003B0A32">
        <w:rPr>
          <w:rFonts w:ascii="Times New Roman" w:hAnsi="Times New Roman" w:cs="Times New Roman"/>
          <w:szCs w:val="24"/>
        </w:rPr>
        <w:t xml:space="preserve"> S.A.</w:t>
      </w:r>
      <w:r w:rsidRPr="003B0A32">
        <w:rPr>
          <w:rFonts w:ascii="Times New Roman" w:hAnsi="Times New Roman" w:cs="Times New Roman"/>
          <w:szCs w:val="24"/>
        </w:rPr>
        <w:t xml:space="preserve"> zarządców infrastruktury kolejowej, dotyczą</w:t>
      </w:r>
      <w:r w:rsidR="00EF6C76">
        <w:rPr>
          <w:rFonts w:ascii="Times New Roman" w:hAnsi="Times New Roman" w:cs="Times New Roman"/>
          <w:szCs w:val="24"/>
        </w:rPr>
        <w:t>,</w:t>
      </w:r>
      <w:r w:rsidRPr="003B0A32">
        <w:rPr>
          <w:rFonts w:ascii="Times New Roman" w:hAnsi="Times New Roman" w:cs="Times New Roman"/>
          <w:szCs w:val="24"/>
        </w:rPr>
        <w:t xml:space="preserve"> co do zasady</w:t>
      </w:r>
      <w:r w:rsidR="00EF6C76">
        <w:rPr>
          <w:rFonts w:ascii="Times New Roman" w:hAnsi="Times New Roman" w:cs="Times New Roman"/>
          <w:szCs w:val="24"/>
        </w:rPr>
        <w:t>,</w:t>
      </w:r>
      <w:r w:rsidRPr="003B0A32">
        <w:rPr>
          <w:rFonts w:ascii="Times New Roman" w:hAnsi="Times New Roman" w:cs="Times New Roman"/>
          <w:szCs w:val="24"/>
        </w:rPr>
        <w:t xml:space="preserve"> umożliwienia w latach 202</w:t>
      </w:r>
      <w:r w:rsidR="00F24AE1" w:rsidRPr="003B0A32">
        <w:rPr>
          <w:rFonts w:ascii="Times New Roman" w:hAnsi="Times New Roman" w:cs="Times New Roman"/>
          <w:szCs w:val="24"/>
        </w:rPr>
        <w:t>2</w:t>
      </w:r>
      <w:r w:rsidR="00EF6C76">
        <w:rPr>
          <w:rFonts w:ascii="Times New Roman" w:hAnsi="Times New Roman" w:cs="Times New Roman"/>
          <w:szCs w:val="24"/>
        </w:rPr>
        <w:t>–</w:t>
      </w:r>
      <w:r w:rsidRPr="003B0A32">
        <w:rPr>
          <w:rFonts w:ascii="Times New Roman" w:hAnsi="Times New Roman" w:cs="Times New Roman"/>
          <w:szCs w:val="24"/>
        </w:rPr>
        <w:t>2026 rozliczania podatku dochodowego od aportu oraz podatku od towarów i usług od czynszu z</w:t>
      </w:r>
      <w:r w:rsidR="0045642A" w:rsidRPr="003B0A32">
        <w:rPr>
          <w:rFonts w:ascii="Times New Roman" w:hAnsi="Times New Roman" w:cs="Times New Roman"/>
          <w:szCs w:val="24"/>
        </w:rPr>
        <w:t> </w:t>
      </w:r>
      <w:r w:rsidRPr="003B0A32">
        <w:rPr>
          <w:rFonts w:ascii="Times New Roman" w:hAnsi="Times New Roman" w:cs="Times New Roman"/>
          <w:szCs w:val="24"/>
        </w:rPr>
        <w:t>umowy D50 (umowa</w:t>
      </w:r>
      <w:r w:rsidR="00EF6C76">
        <w:rPr>
          <w:rFonts w:ascii="Times New Roman" w:hAnsi="Times New Roman" w:cs="Times New Roman"/>
          <w:szCs w:val="24"/>
        </w:rPr>
        <w:t>,</w:t>
      </w:r>
      <w:r w:rsidRPr="003B0A32">
        <w:rPr>
          <w:rFonts w:ascii="Times New Roman" w:hAnsi="Times New Roman" w:cs="Times New Roman"/>
          <w:szCs w:val="24"/>
        </w:rPr>
        <w:t xml:space="preserve"> na podstawie której PKP</w:t>
      </w:r>
      <w:r w:rsidR="008539CB" w:rsidRPr="003B0A32">
        <w:rPr>
          <w:rFonts w:ascii="Times New Roman" w:hAnsi="Times New Roman" w:cs="Times New Roman"/>
          <w:szCs w:val="24"/>
        </w:rPr>
        <w:t xml:space="preserve"> S.A.</w:t>
      </w:r>
      <w:r w:rsidRPr="003B0A32">
        <w:rPr>
          <w:rFonts w:ascii="Times New Roman" w:hAnsi="Times New Roman" w:cs="Times New Roman"/>
          <w:szCs w:val="24"/>
        </w:rPr>
        <w:t xml:space="preserve"> oddał</w:t>
      </w:r>
      <w:r w:rsidR="0042683B" w:rsidRPr="003B0A32">
        <w:rPr>
          <w:rFonts w:ascii="Times New Roman" w:hAnsi="Times New Roman" w:cs="Times New Roman"/>
          <w:szCs w:val="24"/>
        </w:rPr>
        <w:t>a</w:t>
      </w:r>
      <w:r w:rsidRPr="003B0A32">
        <w:rPr>
          <w:rFonts w:ascii="Times New Roman" w:hAnsi="Times New Roman" w:cs="Times New Roman"/>
          <w:szCs w:val="24"/>
        </w:rPr>
        <w:t xml:space="preserve"> </w:t>
      </w:r>
      <w:r w:rsidR="0042683B" w:rsidRPr="003B0A32">
        <w:rPr>
          <w:rFonts w:ascii="Times New Roman" w:hAnsi="Times New Roman" w:cs="Times New Roman"/>
          <w:szCs w:val="24"/>
        </w:rPr>
        <w:t>do korzystania środki składające się na linie kolejowe</w:t>
      </w:r>
      <w:r w:rsidRPr="003B0A32">
        <w:rPr>
          <w:rFonts w:ascii="Times New Roman" w:hAnsi="Times New Roman" w:cs="Times New Roman"/>
          <w:szCs w:val="24"/>
        </w:rPr>
        <w:t xml:space="preserve">) nie wprowadzają innych zmian. Konieczność umożliwienia finansowania akcjami </w:t>
      </w:r>
      <w:r w:rsidR="008539CB" w:rsidRPr="003B0A32">
        <w:rPr>
          <w:rFonts w:ascii="Times New Roman" w:hAnsi="Times New Roman" w:cs="Times New Roman"/>
          <w:szCs w:val="24"/>
        </w:rPr>
        <w:t xml:space="preserve">PKP PLK S.A. </w:t>
      </w:r>
      <w:r w:rsidRPr="003B0A32">
        <w:rPr>
          <w:rFonts w:ascii="Times New Roman" w:hAnsi="Times New Roman" w:cs="Times New Roman"/>
          <w:szCs w:val="24"/>
        </w:rPr>
        <w:t>zobowiązań podatkowych z tytułu podatku CIT wynika z okoliczności powstania zobowiązania podatkowego w związku z dokonaniem aportu. Wartość aportów będzie podlegać wycenie przez niezależny podmiot specjalizujący się w wycenach przedsiębiorstw oraz nieruchomości i będzie zależeć od</w:t>
      </w:r>
      <w:r w:rsidR="0045642A" w:rsidRPr="003B0A32">
        <w:rPr>
          <w:rFonts w:ascii="Times New Roman" w:hAnsi="Times New Roman" w:cs="Times New Roman"/>
          <w:szCs w:val="24"/>
        </w:rPr>
        <w:t> </w:t>
      </w:r>
      <w:r w:rsidRPr="003B0A32">
        <w:rPr>
          <w:rFonts w:ascii="Times New Roman" w:hAnsi="Times New Roman" w:cs="Times New Roman"/>
          <w:szCs w:val="24"/>
        </w:rPr>
        <w:t>przyjętych stawek rynkowych składników majątku wycenianego.</w:t>
      </w:r>
    </w:p>
    <w:p w14:paraId="549B2D16" w14:textId="521040AD" w:rsidR="0012633F" w:rsidRPr="003B0A32" w:rsidRDefault="009D2D37" w:rsidP="003B0A32">
      <w:pPr>
        <w:pStyle w:val="ZUSTzmustartykuempunktem"/>
        <w:spacing w:before="120" w:after="120"/>
        <w:ind w:left="0" w:firstLine="0"/>
        <w:rPr>
          <w:rFonts w:ascii="Times New Roman" w:hAnsi="Times New Roman" w:cs="Times New Roman"/>
          <w:szCs w:val="24"/>
        </w:rPr>
      </w:pPr>
      <w:r w:rsidRPr="003B0A32">
        <w:rPr>
          <w:rFonts w:ascii="Times New Roman" w:hAnsi="Times New Roman" w:cs="Times New Roman"/>
          <w:szCs w:val="24"/>
        </w:rPr>
        <w:t xml:space="preserve">Z kolei konieczność </w:t>
      </w:r>
      <w:r w:rsidR="0012633F" w:rsidRPr="003B0A32">
        <w:rPr>
          <w:rFonts w:ascii="Times New Roman" w:hAnsi="Times New Roman" w:cs="Times New Roman"/>
          <w:szCs w:val="24"/>
        </w:rPr>
        <w:t xml:space="preserve">umożliwienia finansowania akcjami </w:t>
      </w:r>
      <w:r w:rsidR="008539CB" w:rsidRPr="003B0A32">
        <w:rPr>
          <w:rFonts w:ascii="Times New Roman" w:hAnsi="Times New Roman" w:cs="Times New Roman"/>
          <w:szCs w:val="24"/>
        </w:rPr>
        <w:t>PKP PLK S.A.</w:t>
      </w:r>
      <w:r w:rsidR="0012633F" w:rsidRPr="003B0A32">
        <w:rPr>
          <w:rFonts w:ascii="Times New Roman" w:hAnsi="Times New Roman" w:cs="Times New Roman"/>
          <w:szCs w:val="24"/>
        </w:rPr>
        <w:t xml:space="preserve"> zobowiązań podatkowych z tytułu podatku VAT wynika z okoliczności, że w ramach umowy D50 PKP S.A. oddała spółce </w:t>
      </w:r>
      <w:r w:rsidR="008539CB" w:rsidRPr="003B0A32">
        <w:rPr>
          <w:rFonts w:ascii="Times New Roman" w:hAnsi="Times New Roman" w:cs="Times New Roman"/>
          <w:szCs w:val="24"/>
        </w:rPr>
        <w:t xml:space="preserve">PKP </w:t>
      </w:r>
      <w:r w:rsidR="0012633F" w:rsidRPr="003B0A32">
        <w:rPr>
          <w:rFonts w:ascii="Times New Roman" w:hAnsi="Times New Roman" w:cs="Times New Roman"/>
          <w:szCs w:val="24"/>
        </w:rPr>
        <w:t>PLK S.A. do odpłatnego korzystania składniki majątkowe składające się na linie kolejowe w rozumieniu przepisów ustawy</w:t>
      </w:r>
      <w:r w:rsidR="005E1A7F" w:rsidRPr="003B0A32">
        <w:rPr>
          <w:rFonts w:ascii="Times New Roman" w:hAnsi="Times New Roman" w:cs="Times New Roman"/>
          <w:szCs w:val="24"/>
        </w:rPr>
        <w:t xml:space="preserve"> z dnia 28 marca 2003 r</w:t>
      </w:r>
      <w:r w:rsidR="005E1A7F" w:rsidRPr="003B0A32">
        <w:rPr>
          <w:rFonts w:ascii="Times New Roman" w:hAnsi="Times New Roman" w:cs="Times New Roman"/>
          <w:i/>
          <w:szCs w:val="24"/>
        </w:rPr>
        <w:t>.</w:t>
      </w:r>
      <w:r w:rsidR="0012633F" w:rsidRPr="003B0A32">
        <w:rPr>
          <w:rFonts w:ascii="Times New Roman" w:hAnsi="Times New Roman" w:cs="Times New Roman"/>
          <w:i/>
          <w:szCs w:val="24"/>
        </w:rPr>
        <w:t xml:space="preserve"> o transporcie kolejowym</w:t>
      </w:r>
      <w:r w:rsidR="008539CB" w:rsidRPr="003B0A32">
        <w:rPr>
          <w:rFonts w:ascii="Times New Roman" w:hAnsi="Times New Roman" w:cs="Times New Roman"/>
          <w:i/>
          <w:szCs w:val="24"/>
        </w:rPr>
        <w:t xml:space="preserve"> </w:t>
      </w:r>
      <w:r w:rsidR="008539CB" w:rsidRPr="003B0A32">
        <w:rPr>
          <w:rFonts w:ascii="Times New Roman" w:hAnsi="Times New Roman" w:cs="Times New Roman"/>
          <w:szCs w:val="24"/>
        </w:rPr>
        <w:t>(Dz. U. z 2021 r. poz. 1984</w:t>
      </w:r>
      <w:r w:rsidR="007666E2" w:rsidRPr="003B0A32">
        <w:rPr>
          <w:rFonts w:ascii="Times New Roman" w:hAnsi="Times New Roman" w:cs="Times New Roman"/>
          <w:szCs w:val="24"/>
        </w:rPr>
        <w:t xml:space="preserve"> oraz z 2022 r. poz. 727</w:t>
      </w:r>
      <w:r w:rsidR="008539CB" w:rsidRPr="003B0A32">
        <w:rPr>
          <w:rFonts w:ascii="Times New Roman" w:hAnsi="Times New Roman" w:cs="Times New Roman"/>
          <w:szCs w:val="24"/>
        </w:rPr>
        <w:t>)</w:t>
      </w:r>
      <w:r w:rsidR="0012633F" w:rsidRPr="003B0A32">
        <w:rPr>
          <w:rFonts w:ascii="Times New Roman" w:hAnsi="Times New Roman" w:cs="Times New Roman"/>
          <w:szCs w:val="24"/>
        </w:rPr>
        <w:t xml:space="preserve"> oraz inne środki trwałe niezbędne do wykonywania funkcji zarządcy infrastruktury kolejowej. Czynsz</w:t>
      </w:r>
      <w:r w:rsidR="0045642A" w:rsidRPr="003B0A32">
        <w:rPr>
          <w:rFonts w:ascii="Times New Roman" w:hAnsi="Times New Roman" w:cs="Times New Roman"/>
          <w:szCs w:val="24"/>
        </w:rPr>
        <w:t> </w:t>
      </w:r>
      <w:r w:rsidR="0012633F" w:rsidRPr="003B0A32">
        <w:rPr>
          <w:rFonts w:ascii="Times New Roman" w:hAnsi="Times New Roman" w:cs="Times New Roman"/>
          <w:szCs w:val="24"/>
        </w:rPr>
        <w:t>z</w:t>
      </w:r>
      <w:r w:rsidR="0045642A" w:rsidRPr="003B0A32">
        <w:rPr>
          <w:rFonts w:ascii="Times New Roman" w:hAnsi="Times New Roman" w:cs="Times New Roman"/>
          <w:szCs w:val="24"/>
        </w:rPr>
        <w:t> </w:t>
      </w:r>
      <w:r w:rsidR="0012633F" w:rsidRPr="003B0A32">
        <w:rPr>
          <w:rFonts w:ascii="Times New Roman" w:hAnsi="Times New Roman" w:cs="Times New Roman"/>
          <w:szCs w:val="24"/>
        </w:rPr>
        <w:t>tyt</w:t>
      </w:r>
      <w:r w:rsidR="00636584" w:rsidRPr="003B0A32">
        <w:rPr>
          <w:rFonts w:ascii="Times New Roman" w:hAnsi="Times New Roman" w:cs="Times New Roman"/>
          <w:szCs w:val="24"/>
        </w:rPr>
        <w:t>ułu</w:t>
      </w:r>
      <w:r w:rsidR="0045642A" w:rsidRPr="003B0A32">
        <w:rPr>
          <w:rFonts w:ascii="Times New Roman" w:hAnsi="Times New Roman" w:cs="Times New Roman"/>
          <w:szCs w:val="24"/>
        </w:rPr>
        <w:t> </w:t>
      </w:r>
      <w:r w:rsidR="00F600D1" w:rsidRPr="003B0A32">
        <w:rPr>
          <w:rFonts w:ascii="Times New Roman" w:hAnsi="Times New Roman" w:cs="Times New Roman"/>
          <w:szCs w:val="24"/>
        </w:rPr>
        <w:t xml:space="preserve">korzystania </w:t>
      </w:r>
      <w:r w:rsidR="0012633F" w:rsidRPr="003B0A32">
        <w:rPr>
          <w:rFonts w:ascii="Times New Roman" w:hAnsi="Times New Roman" w:cs="Times New Roman"/>
          <w:szCs w:val="24"/>
        </w:rPr>
        <w:t xml:space="preserve">ze składników umowy został określony jako wysokość odpisów amortyzacyjnych dokonanych przez </w:t>
      </w:r>
      <w:r w:rsidR="004D483B" w:rsidRPr="003B0A32">
        <w:rPr>
          <w:rFonts w:ascii="Times New Roman" w:hAnsi="Times New Roman" w:cs="Times New Roman"/>
          <w:szCs w:val="24"/>
        </w:rPr>
        <w:t xml:space="preserve">PKP </w:t>
      </w:r>
      <w:r w:rsidR="0012633F" w:rsidRPr="003B0A32">
        <w:rPr>
          <w:rFonts w:ascii="Times New Roman" w:hAnsi="Times New Roman" w:cs="Times New Roman"/>
          <w:szCs w:val="24"/>
        </w:rPr>
        <w:t xml:space="preserve">PLK </w:t>
      </w:r>
      <w:r w:rsidR="004D483B" w:rsidRPr="003B0A32">
        <w:rPr>
          <w:rFonts w:ascii="Times New Roman" w:hAnsi="Times New Roman" w:cs="Times New Roman"/>
          <w:szCs w:val="24"/>
        </w:rPr>
        <w:t xml:space="preserve">S.A. </w:t>
      </w:r>
      <w:r w:rsidR="0012633F" w:rsidRPr="003B0A32">
        <w:rPr>
          <w:rFonts w:ascii="Times New Roman" w:hAnsi="Times New Roman" w:cs="Times New Roman"/>
          <w:szCs w:val="24"/>
        </w:rPr>
        <w:t>dla celów bilansowych dla składników</w:t>
      </w:r>
      <w:r w:rsidR="0042683B" w:rsidRPr="003B0A32">
        <w:rPr>
          <w:rFonts w:ascii="Times New Roman" w:hAnsi="Times New Roman" w:cs="Times New Roman"/>
          <w:szCs w:val="24"/>
        </w:rPr>
        <w:t xml:space="preserve"> majątkowych </w:t>
      </w:r>
      <w:r w:rsidR="0042683B" w:rsidRPr="003B0A32">
        <w:rPr>
          <w:rFonts w:ascii="Times New Roman" w:hAnsi="Times New Roman" w:cs="Times New Roman"/>
        </w:rPr>
        <w:t>tworzących linie kolejowe, określonych szczegółowo w załącznikach do umowy (składników, które nie są gruntami)</w:t>
      </w:r>
      <w:r w:rsidR="0012633F" w:rsidRPr="003B0A32">
        <w:rPr>
          <w:rFonts w:ascii="Times New Roman" w:hAnsi="Times New Roman" w:cs="Times New Roman"/>
          <w:szCs w:val="24"/>
        </w:rPr>
        <w:t xml:space="preserve">. Zgodnie z postanowieniami przedmiotowej umowy, które </w:t>
      </w:r>
      <w:r w:rsidR="0012633F" w:rsidRPr="003B0A32">
        <w:rPr>
          <w:rFonts w:ascii="Times New Roman" w:hAnsi="Times New Roman" w:cs="Times New Roman"/>
          <w:szCs w:val="24"/>
        </w:rPr>
        <w:lastRenderedPageBreak/>
        <w:t>wynikają z</w:t>
      </w:r>
      <w:r w:rsidR="004D483B" w:rsidRPr="003B0A32">
        <w:rPr>
          <w:rFonts w:ascii="Times New Roman" w:hAnsi="Times New Roman" w:cs="Times New Roman"/>
          <w:szCs w:val="24"/>
        </w:rPr>
        <w:t> </w:t>
      </w:r>
      <w:r w:rsidR="0012633F" w:rsidRPr="003B0A32">
        <w:rPr>
          <w:rFonts w:ascii="Times New Roman" w:hAnsi="Times New Roman" w:cs="Times New Roman"/>
          <w:szCs w:val="24"/>
        </w:rPr>
        <w:t xml:space="preserve">postanowień przepisu art. 17 ust. 8 ustawy o komercjalizacji </w:t>
      </w:r>
      <w:r w:rsidRPr="003B0A32">
        <w:rPr>
          <w:rFonts w:ascii="Times New Roman" w:hAnsi="Times New Roman" w:cs="Times New Roman"/>
          <w:szCs w:val="24"/>
        </w:rPr>
        <w:t>PKP</w:t>
      </w:r>
      <w:r w:rsidRPr="003B0A32">
        <w:rPr>
          <w:rFonts w:ascii="Times New Roman" w:hAnsi="Times New Roman" w:cs="Times New Roman"/>
          <w:i/>
          <w:szCs w:val="24"/>
        </w:rPr>
        <w:t xml:space="preserve"> </w:t>
      </w:r>
      <w:r w:rsidR="0012633F" w:rsidRPr="003B0A32">
        <w:rPr>
          <w:rFonts w:ascii="Times New Roman" w:hAnsi="Times New Roman" w:cs="Times New Roman"/>
          <w:szCs w:val="24"/>
        </w:rPr>
        <w:t xml:space="preserve">w brzmieniu obowiązującym przed dniem </w:t>
      </w:r>
      <w:r w:rsidRPr="003B0A32">
        <w:rPr>
          <w:rFonts w:ascii="Times New Roman" w:hAnsi="Times New Roman" w:cs="Times New Roman"/>
          <w:szCs w:val="24"/>
        </w:rPr>
        <w:t>25 </w:t>
      </w:r>
      <w:r w:rsidR="0012633F" w:rsidRPr="003B0A32">
        <w:rPr>
          <w:rFonts w:ascii="Times New Roman" w:hAnsi="Times New Roman" w:cs="Times New Roman"/>
          <w:szCs w:val="24"/>
        </w:rPr>
        <w:t xml:space="preserve">maja 2003 r., czynsz stanowi wierzytelność niewymagalną do czasu objęcia akcji w podwyższonym kapitale </w:t>
      </w:r>
      <w:r w:rsidR="00DA43D5" w:rsidRPr="003B0A32">
        <w:rPr>
          <w:rFonts w:ascii="Times New Roman" w:hAnsi="Times New Roman" w:cs="Times New Roman"/>
          <w:szCs w:val="24"/>
        </w:rPr>
        <w:t xml:space="preserve">PKP </w:t>
      </w:r>
      <w:r w:rsidR="0012633F" w:rsidRPr="003B0A32">
        <w:rPr>
          <w:rFonts w:ascii="Times New Roman" w:hAnsi="Times New Roman" w:cs="Times New Roman"/>
          <w:szCs w:val="24"/>
        </w:rPr>
        <w:t>PLK</w:t>
      </w:r>
      <w:r w:rsidR="00DA43D5" w:rsidRPr="003B0A32">
        <w:rPr>
          <w:rFonts w:ascii="Times New Roman" w:hAnsi="Times New Roman" w:cs="Times New Roman"/>
          <w:szCs w:val="24"/>
        </w:rPr>
        <w:t xml:space="preserve"> S.A.</w:t>
      </w:r>
      <w:r w:rsidR="0012633F" w:rsidRPr="003B0A32">
        <w:rPr>
          <w:rFonts w:ascii="Times New Roman" w:hAnsi="Times New Roman" w:cs="Times New Roman"/>
          <w:szCs w:val="24"/>
        </w:rPr>
        <w:t xml:space="preserve"> W momencie dokonania aportu PKP S.A. powinna wystawić </w:t>
      </w:r>
      <w:r w:rsidR="00DA43D5" w:rsidRPr="003B0A32">
        <w:rPr>
          <w:rFonts w:ascii="Times New Roman" w:hAnsi="Times New Roman" w:cs="Times New Roman"/>
          <w:szCs w:val="24"/>
        </w:rPr>
        <w:t xml:space="preserve">PKP </w:t>
      </w:r>
      <w:r w:rsidR="0012633F" w:rsidRPr="003B0A32">
        <w:rPr>
          <w:rFonts w:ascii="Times New Roman" w:hAnsi="Times New Roman" w:cs="Times New Roman"/>
          <w:szCs w:val="24"/>
        </w:rPr>
        <w:t xml:space="preserve">PLK </w:t>
      </w:r>
      <w:r w:rsidR="00DA43D5" w:rsidRPr="003B0A32">
        <w:rPr>
          <w:rFonts w:ascii="Times New Roman" w:hAnsi="Times New Roman" w:cs="Times New Roman"/>
          <w:szCs w:val="24"/>
        </w:rPr>
        <w:t xml:space="preserve">S.A. </w:t>
      </w:r>
      <w:r w:rsidR="0012633F" w:rsidRPr="003B0A32">
        <w:rPr>
          <w:rFonts w:ascii="Times New Roman" w:hAnsi="Times New Roman" w:cs="Times New Roman"/>
          <w:szCs w:val="24"/>
        </w:rPr>
        <w:t>fakturę, której kwota czynszu liczona jako amortyzacja byłaby objęta 23% stawką podatku VAT należną Skarbowi Państwa.</w:t>
      </w:r>
    </w:p>
    <w:p w14:paraId="601D98D4" w14:textId="41A86360" w:rsidR="0012633F" w:rsidRPr="003B0A32" w:rsidRDefault="0012633F" w:rsidP="00EF6C76">
      <w:pPr>
        <w:pStyle w:val="ZUSTzmustartykuempunktem"/>
        <w:spacing w:before="120"/>
        <w:ind w:left="0" w:firstLine="0"/>
        <w:rPr>
          <w:rFonts w:ascii="Times New Roman" w:hAnsi="Times New Roman" w:cs="Times New Roman"/>
          <w:szCs w:val="24"/>
        </w:rPr>
      </w:pPr>
      <w:r w:rsidRPr="003B0A32">
        <w:rPr>
          <w:rFonts w:ascii="Times New Roman" w:hAnsi="Times New Roman" w:cs="Times New Roman"/>
          <w:szCs w:val="24"/>
        </w:rPr>
        <w:t>Skutki podatkowe aportów do</w:t>
      </w:r>
      <w:r w:rsidR="006D1DB2" w:rsidRPr="003B0A32">
        <w:rPr>
          <w:rFonts w:ascii="Times New Roman" w:hAnsi="Times New Roman" w:cs="Times New Roman"/>
          <w:szCs w:val="24"/>
        </w:rPr>
        <w:t xml:space="preserve"> PKP</w:t>
      </w:r>
      <w:r w:rsidRPr="003B0A32">
        <w:rPr>
          <w:rFonts w:ascii="Times New Roman" w:hAnsi="Times New Roman" w:cs="Times New Roman"/>
          <w:szCs w:val="24"/>
        </w:rPr>
        <w:t xml:space="preserve"> PLK </w:t>
      </w:r>
      <w:r w:rsidR="006D1DB2" w:rsidRPr="003B0A32">
        <w:rPr>
          <w:rFonts w:ascii="Times New Roman" w:hAnsi="Times New Roman" w:cs="Times New Roman"/>
          <w:szCs w:val="24"/>
        </w:rPr>
        <w:t xml:space="preserve">S.A. </w:t>
      </w:r>
      <w:r w:rsidRPr="003B0A32">
        <w:rPr>
          <w:rFonts w:ascii="Times New Roman" w:hAnsi="Times New Roman" w:cs="Times New Roman"/>
          <w:szCs w:val="24"/>
        </w:rPr>
        <w:t>oraz rozliczenia czynszu z umowy D50 mogą przedstawiać się następująco:</w:t>
      </w:r>
    </w:p>
    <w:p w14:paraId="6A7CF62C" w14:textId="4B00C99A" w:rsidR="0012633F" w:rsidRPr="003B0A32" w:rsidRDefault="0012633F" w:rsidP="00EF6C76">
      <w:pPr>
        <w:pStyle w:val="ZUSTzmustartykuempunktem"/>
        <w:numPr>
          <w:ilvl w:val="0"/>
          <w:numId w:val="54"/>
        </w:numPr>
        <w:ind w:left="709" w:hanging="425"/>
        <w:rPr>
          <w:rFonts w:ascii="Times New Roman" w:hAnsi="Times New Roman" w:cs="Times New Roman"/>
          <w:szCs w:val="24"/>
        </w:rPr>
      </w:pPr>
      <w:r w:rsidRPr="003B0A32">
        <w:rPr>
          <w:rFonts w:ascii="Times New Roman" w:hAnsi="Times New Roman" w:cs="Times New Roman"/>
          <w:szCs w:val="24"/>
        </w:rPr>
        <w:t>podatek CIT od aportu: od 2.337,23 do 5.147,3 mln zł (w zależności od</w:t>
      </w:r>
      <w:r w:rsidR="00273C9A" w:rsidRPr="003B0A32">
        <w:rPr>
          <w:rFonts w:ascii="Times New Roman" w:hAnsi="Times New Roman" w:cs="Times New Roman"/>
          <w:szCs w:val="24"/>
        </w:rPr>
        <w:t> </w:t>
      </w:r>
      <w:r w:rsidRPr="003B0A32">
        <w:rPr>
          <w:rFonts w:ascii="Times New Roman" w:hAnsi="Times New Roman" w:cs="Times New Roman"/>
          <w:szCs w:val="24"/>
        </w:rPr>
        <w:t>przyjętych przez podmiot dokonujący wyceny, stawek rynkowych składników majątku wycenianego)</w:t>
      </w:r>
      <w:r w:rsidR="001E48F5" w:rsidRPr="003B0A32">
        <w:rPr>
          <w:rFonts w:ascii="Times New Roman" w:hAnsi="Times New Roman" w:cs="Times New Roman"/>
          <w:szCs w:val="24"/>
        </w:rPr>
        <w:t>,</w:t>
      </w:r>
    </w:p>
    <w:p w14:paraId="56FCEB2C" w14:textId="7842FBEC" w:rsidR="0012633F" w:rsidRPr="003B0A32" w:rsidRDefault="0012633F" w:rsidP="00EF6C76">
      <w:pPr>
        <w:pStyle w:val="ZUSTzmustartykuempunktem"/>
        <w:numPr>
          <w:ilvl w:val="0"/>
          <w:numId w:val="54"/>
        </w:numPr>
        <w:ind w:left="709" w:hanging="425"/>
        <w:rPr>
          <w:rFonts w:ascii="Times New Roman" w:hAnsi="Times New Roman" w:cs="Times New Roman"/>
          <w:szCs w:val="24"/>
        </w:rPr>
      </w:pPr>
      <w:r w:rsidRPr="003B0A32">
        <w:rPr>
          <w:rFonts w:ascii="Times New Roman" w:hAnsi="Times New Roman" w:cs="Times New Roman"/>
          <w:szCs w:val="24"/>
        </w:rPr>
        <w:t>podatek CIT od czynszu: ponad 400 mln zł</w:t>
      </w:r>
      <w:r w:rsidR="001E48F5" w:rsidRPr="003B0A32">
        <w:rPr>
          <w:rFonts w:ascii="Times New Roman" w:hAnsi="Times New Roman" w:cs="Times New Roman"/>
          <w:szCs w:val="24"/>
        </w:rPr>
        <w:t>,</w:t>
      </w:r>
    </w:p>
    <w:p w14:paraId="3FD6D41F" w14:textId="77777777" w:rsidR="0012633F" w:rsidRPr="003B0A32" w:rsidRDefault="0012633F" w:rsidP="00EF6C76">
      <w:pPr>
        <w:pStyle w:val="ZUSTzmustartykuempunktem"/>
        <w:numPr>
          <w:ilvl w:val="0"/>
          <w:numId w:val="54"/>
        </w:numPr>
        <w:ind w:left="709" w:hanging="425"/>
        <w:rPr>
          <w:rFonts w:ascii="Times New Roman" w:hAnsi="Times New Roman" w:cs="Times New Roman"/>
          <w:szCs w:val="24"/>
        </w:rPr>
      </w:pPr>
      <w:r w:rsidRPr="003B0A32">
        <w:rPr>
          <w:rFonts w:ascii="Times New Roman" w:hAnsi="Times New Roman" w:cs="Times New Roman"/>
          <w:szCs w:val="24"/>
        </w:rPr>
        <w:t xml:space="preserve">podatek VAT od czynszu: ponad 480 mln zł. </w:t>
      </w:r>
    </w:p>
    <w:p w14:paraId="2F947AA3" w14:textId="4A03F3E8" w:rsidR="0012633F" w:rsidRPr="003B0A32" w:rsidRDefault="0012633F" w:rsidP="00EF6C76">
      <w:pPr>
        <w:shd w:val="clear" w:color="auto" w:fill="FFFFFF"/>
        <w:spacing w:before="120" w:after="150" w:line="360" w:lineRule="auto"/>
        <w:jc w:val="both"/>
        <w:rPr>
          <w:rFonts w:ascii="Times New Roman" w:hAnsi="Times New Roman" w:cs="Times New Roman"/>
          <w:color w:val="auto"/>
          <w:sz w:val="24"/>
          <w:szCs w:val="24"/>
          <w:lang w:eastAsia="pl-PL"/>
        </w:rPr>
      </w:pPr>
      <w:r w:rsidRPr="003B0A32">
        <w:rPr>
          <w:rFonts w:ascii="Times New Roman" w:hAnsi="Times New Roman" w:cs="Times New Roman"/>
          <w:color w:val="auto"/>
          <w:sz w:val="24"/>
          <w:szCs w:val="24"/>
          <w:lang w:eastAsia="pl-PL"/>
        </w:rPr>
        <w:t>W art. 24ba ust. 1 utrzymano zasadę, ż</w:t>
      </w:r>
      <w:r w:rsidR="007666E2" w:rsidRPr="003B0A32">
        <w:rPr>
          <w:rFonts w:ascii="Times New Roman" w:hAnsi="Times New Roman" w:cs="Times New Roman"/>
          <w:color w:val="auto"/>
          <w:sz w:val="24"/>
          <w:szCs w:val="24"/>
          <w:lang w:eastAsia="pl-PL"/>
        </w:rPr>
        <w:t>e</w:t>
      </w:r>
      <w:r w:rsidRPr="003B0A32">
        <w:rPr>
          <w:rFonts w:ascii="Times New Roman" w:hAnsi="Times New Roman" w:cs="Times New Roman"/>
          <w:color w:val="auto"/>
          <w:sz w:val="24"/>
          <w:szCs w:val="24"/>
          <w:lang w:eastAsia="pl-PL"/>
        </w:rPr>
        <w:t xml:space="preserve"> zobowiązania podatkowe z tytułu podatku dochodowego od osób prawnych będą podlegały spłacie</w:t>
      </w:r>
      <w:r w:rsidR="00F4079B" w:rsidRPr="003B0A32">
        <w:rPr>
          <w:rFonts w:ascii="Times New Roman" w:hAnsi="Times New Roman" w:cs="Times New Roman"/>
          <w:color w:val="auto"/>
          <w:sz w:val="24"/>
          <w:szCs w:val="24"/>
        </w:rPr>
        <w:t xml:space="preserve"> </w:t>
      </w:r>
      <w:r w:rsidR="00F4079B" w:rsidRPr="003B0A32">
        <w:rPr>
          <w:rFonts w:ascii="Times New Roman" w:hAnsi="Times New Roman" w:cs="Times New Roman"/>
          <w:color w:val="auto"/>
          <w:sz w:val="24"/>
          <w:szCs w:val="24"/>
          <w:lang w:eastAsia="pl-PL"/>
        </w:rPr>
        <w:t xml:space="preserve">w drodze przeniesienia własności akcji </w:t>
      </w:r>
      <w:r w:rsidR="00F600D1" w:rsidRPr="003B0A32">
        <w:rPr>
          <w:rFonts w:ascii="Times New Roman" w:hAnsi="Times New Roman" w:cs="Times New Roman"/>
          <w:color w:val="auto"/>
          <w:sz w:val="24"/>
          <w:szCs w:val="24"/>
          <w:lang w:eastAsia="pl-PL"/>
        </w:rPr>
        <w:t xml:space="preserve">PKP </w:t>
      </w:r>
      <w:r w:rsidR="00F4079B" w:rsidRPr="003B0A32">
        <w:rPr>
          <w:rFonts w:ascii="Times New Roman" w:hAnsi="Times New Roman" w:cs="Times New Roman"/>
          <w:color w:val="auto"/>
          <w:sz w:val="24"/>
          <w:szCs w:val="24"/>
          <w:lang w:eastAsia="pl-PL"/>
        </w:rPr>
        <w:t>PLK S.A.</w:t>
      </w:r>
      <w:r w:rsidRPr="003B0A32">
        <w:rPr>
          <w:rFonts w:ascii="Times New Roman" w:hAnsi="Times New Roman" w:cs="Times New Roman"/>
          <w:color w:val="auto"/>
          <w:sz w:val="24"/>
          <w:szCs w:val="24"/>
          <w:lang w:eastAsia="pl-PL"/>
        </w:rPr>
        <w:t xml:space="preserve"> do wysokości podatku, jaki wygenerują operacje wniesienia wkładów niepieniężnych do spółek, o których mowa w art. 24ba ust. 2, oraz powstałe w wyniku rozliczenia czynszu z umowy o oddaniu do odpłatnego korzystania linii kolejowych oraz</w:t>
      </w:r>
      <w:r w:rsidR="00273C9A" w:rsidRPr="003B0A32">
        <w:rPr>
          <w:rFonts w:ascii="Times New Roman" w:hAnsi="Times New Roman" w:cs="Times New Roman"/>
          <w:color w:val="auto"/>
          <w:sz w:val="24"/>
          <w:szCs w:val="24"/>
          <w:lang w:eastAsia="pl-PL"/>
        </w:rPr>
        <w:t> </w:t>
      </w:r>
      <w:r w:rsidRPr="003B0A32">
        <w:rPr>
          <w:rFonts w:ascii="Times New Roman" w:hAnsi="Times New Roman" w:cs="Times New Roman"/>
          <w:color w:val="auto"/>
          <w:sz w:val="24"/>
          <w:szCs w:val="24"/>
          <w:lang w:eastAsia="pl-PL"/>
        </w:rPr>
        <w:t xml:space="preserve">innych nieruchomości niezbędnych do zarządzania liniami kolejowymi zawartych pomiędzy PKP S.A. i zarządcami infrastruktury kolejowej, m.in. </w:t>
      </w:r>
      <w:r w:rsidR="00F600D1" w:rsidRPr="003B0A32">
        <w:rPr>
          <w:rFonts w:ascii="Times New Roman" w:hAnsi="Times New Roman" w:cs="Times New Roman"/>
          <w:color w:val="auto"/>
          <w:sz w:val="24"/>
          <w:szCs w:val="24"/>
          <w:lang w:eastAsia="pl-PL"/>
        </w:rPr>
        <w:t xml:space="preserve">PKP </w:t>
      </w:r>
      <w:r w:rsidRPr="003B0A32">
        <w:rPr>
          <w:rFonts w:ascii="Times New Roman" w:hAnsi="Times New Roman" w:cs="Times New Roman"/>
          <w:color w:val="auto"/>
          <w:sz w:val="24"/>
          <w:szCs w:val="24"/>
          <w:lang w:eastAsia="pl-PL"/>
        </w:rPr>
        <w:t>PLK</w:t>
      </w:r>
      <w:r w:rsidR="00F600D1" w:rsidRPr="003B0A32">
        <w:rPr>
          <w:rFonts w:ascii="Times New Roman" w:hAnsi="Times New Roman" w:cs="Times New Roman"/>
          <w:color w:val="auto"/>
          <w:sz w:val="24"/>
          <w:szCs w:val="24"/>
          <w:lang w:eastAsia="pl-PL"/>
        </w:rPr>
        <w:t xml:space="preserve"> S.A</w:t>
      </w:r>
      <w:r w:rsidRPr="003B0A32">
        <w:rPr>
          <w:rFonts w:ascii="Times New Roman" w:hAnsi="Times New Roman" w:cs="Times New Roman"/>
          <w:color w:val="auto"/>
          <w:sz w:val="24"/>
          <w:szCs w:val="24"/>
          <w:lang w:eastAsia="pl-PL"/>
        </w:rPr>
        <w:t xml:space="preserve">. </w:t>
      </w:r>
      <w:r w:rsidR="00F97899" w:rsidRPr="003B0A32">
        <w:rPr>
          <w:rFonts w:ascii="Times New Roman" w:hAnsi="Times New Roman" w:cs="Times New Roman"/>
          <w:color w:val="auto"/>
          <w:sz w:val="24"/>
          <w:szCs w:val="24"/>
          <w:lang w:eastAsia="pl-PL"/>
        </w:rPr>
        <w:t>Umożliwienie zastosowania art. 24ba również w przypadku nabycia udziałów PKP Linia Hutnicza Szerokotorowa sp. z o.o., PKP Szybka Kolej Miejska w Trójmieście sp. z o.o. oraz innych spółek utworzonych na podstawie ustawy</w:t>
      </w:r>
      <w:r w:rsidR="00880559">
        <w:rPr>
          <w:rFonts w:ascii="Times New Roman" w:hAnsi="Times New Roman" w:cs="Times New Roman"/>
          <w:color w:val="auto"/>
          <w:sz w:val="24"/>
          <w:szCs w:val="24"/>
          <w:lang w:eastAsia="pl-PL"/>
        </w:rPr>
        <w:t>,</w:t>
      </w:r>
      <w:r w:rsidR="00F97899" w:rsidRPr="003B0A32">
        <w:rPr>
          <w:rFonts w:ascii="Times New Roman" w:hAnsi="Times New Roman" w:cs="Times New Roman"/>
          <w:color w:val="auto"/>
          <w:sz w:val="24"/>
          <w:szCs w:val="24"/>
          <w:lang w:eastAsia="pl-PL"/>
        </w:rPr>
        <w:t xml:space="preserve"> jak również nabycia </w:t>
      </w:r>
      <w:r w:rsidR="00EF6C76">
        <w:rPr>
          <w:rFonts w:ascii="Times New Roman" w:hAnsi="Times New Roman" w:cs="Times New Roman"/>
          <w:color w:val="auto"/>
          <w:sz w:val="24"/>
          <w:szCs w:val="24"/>
          <w:lang w:eastAsia="pl-PL"/>
        </w:rPr>
        <w:t>–</w:t>
      </w:r>
      <w:r w:rsidR="00F97899" w:rsidRPr="003B0A32">
        <w:rPr>
          <w:rFonts w:ascii="Times New Roman" w:hAnsi="Times New Roman" w:cs="Times New Roman"/>
          <w:color w:val="auto"/>
          <w:sz w:val="24"/>
          <w:szCs w:val="24"/>
          <w:lang w:eastAsia="pl-PL"/>
        </w:rPr>
        <w:t xml:space="preserve"> w zamian za wkłady niepieniężne </w:t>
      </w:r>
      <w:r w:rsidR="00880559">
        <w:rPr>
          <w:rFonts w:ascii="Times New Roman" w:hAnsi="Times New Roman" w:cs="Times New Roman"/>
          <w:color w:val="auto"/>
          <w:sz w:val="24"/>
          <w:szCs w:val="24"/>
          <w:lang w:eastAsia="pl-PL"/>
        </w:rPr>
        <w:t>–</w:t>
      </w:r>
      <w:r w:rsidR="00F97899" w:rsidRPr="003B0A32">
        <w:rPr>
          <w:rFonts w:ascii="Times New Roman" w:hAnsi="Times New Roman" w:cs="Times New Roman"/>
          <w:color w:val="auto"/>
          <w:sz w:val="24"/>
          <w:szCs w:val="24"/>
          <w:lang w:eastAsia="pl-PL"/>
        </w:rPr>
        <w:t xml:space="preserve"> akcji lub udziałów w spółkach prowadzących działalność w zakresie zarządzania infrastrukturą kolejową w rozumieniu przepisów </w:t>
      </w:r>
      <w:r w:rsidR="00F600D1" w:rsidRPr="003B0A32">
        <w:rPr>
          <w:rFonts w:ascii="Times New Roman" w:hAnsi="Times New Roman" w:cs="Times New Roman"/>
          <w:color w:val="auto"/>
          <w:sz w:val="24"/>
          <w:szCs w:val="24"/>
          <w:lang w:eastAsia="pl-PL"/>
        </w:rPr>
        <w:t xml:space="preserve">ustawy z dnia 28 marca 2003 r. </w:t>
      </w:r>
      <w:r w:rsidR="00F97899" w:rsidRPr="003B0A32">
        <w:rPr>
          <w:rFonts w:ascii="Times New Roman" w:hAnsi="Times New Roman" w:cs="Times New Roman"/>
          <w:i/>
          <w:color w:val="auto"/>
          <w:sz w:val="24"/>
          <w:szCs w:val="24"/>
          <w:lang w:eastAsia="pl-PL"/>
        </w:rPr>
        <w:t>o transporcie kolejowym</w:t>
      </w:r>
      <w:r w:rsidR="00F97899" w:rsidRPr="003B0A32">
        <w:rPr>
          <w:rFonts w:ascii="Times New Roman" w:hAnsi="Times New Roman" w:cs="Times New Roman"/>
          <w:color w:val="auto"/>
          <w:sz w:val="24"/>
          <w:szCs w:val="24"/>
          <w:lang w:eastAsia="pl-PL"/>
        </w:rPr>
        <w:t xml:space="preserve">, innych niż spółki, o których </w:t>
      </w:r>
      <w:r w:rsidR="00F97899" w:rsidRPr="003B0A32">
        <w:rPr>
          <w:rFonts w:ascii="Times New Roman" w:hAnsi="Times New Roman" w:cs="Times New Roman"/>
          <w:color w:val="auto"/>
          <w:sz w:val="24"/>
          <w:szCs w:val="24"/>
          <w:lang w:eastAsia="pl-PL"/>
        </w:rPr>
        <w:lastRenderedPageBreak/>
        <w:t>mowa w</w:t>
      </w:r>
      <w:r w:rsidR="00721325" w:rsidRPr="003B0A32">
        <w:rPr>
          <w:rFonts w:ascii="Times New Roman" w:hAnsi="Times New Roman" w:cs="Times New Roman"/>
          <w:color w:val="auto"/>
          <w:sz w:val="24"/>
          <w:szCs w:val="24"/>
          <w:lang w:eastAsia="pl-PL"/>
        </w:rPr>
        <w:t xml:space="preserve"> art. 24ba ust. 1</w:t>
      </w:r>
      <w:r w:rsidR="00F97899" w:rsidRPr="003B0A32">
        <w:rPr>
          <w:rFonts w:ascii="Times New Roman" w:hAnsi="Times New Roman" w:cs="Times New Roman"/>
          <w:color w:val="auto"/>
          <w:sz w:val="24"/>
          <w:szCs w:val="24"/>
          <w:lang w:eastAsia="pl-PL"/>
        </w:rPr>
        <w:t xml:space="preserve"> pkt 1, jest uzasadnione szczególnym charakterem tych spółek. Należy bowiem mieć na uwadze, że spółka PKP Szybka Kolej Miejska w Trójmieście sp. </w:t>
      </w:r>
      <w:r w:rsidR="00F600D1" w:rsidRPr="003B0A32">
        <w:rPr>
          <w:rFonts w:ascii="Times New Roman" w:hAnsi="Times New Roman" w:cs="Times New Roman"/>
          <w:color w:val="auto"/>
          <w:sz w:val="24"/>
          <w:szCs w:val="24"/>
          <w:lang w:eastAsia="pl-PL"/>
        </w:rPr>
        <w:t>z</w:t>
      </w:r>
      <w:r w:rsidR="00F97899" w:rsidRPr="003B0A32">
        <w:rPr>
          <w:rFonts w:ascii="Times New Roman" w:hAnsi="Times New Roman" w:cs="Times New Roman"/>
          <w:color w:val="auto"/>
          <w:sz w:val="24"/>
          <w:szCs w:val="24"/>
          <w:lang w:eastAsia="pl-PL"/>
        </w:rPr>
        <w:t> o.o.</w:t>
      </w:r>
      <w:r w:rsidR="00880559">
        <w:rPr>
          <w:rFonts w:ascii="Times New Roman" w:hAnsi="Times New Roman" w:cs="Times New Roman"/>
          <w:color w:val="auto"/>
          <w:sz w:val="24"/>
          <w:szCs w:val="24"/>
          <w:lang w:eastAsia="pl-PL"/>
        </w:rPr>
        <w:t>,</w:t>
      </w:r>
      <w:r w:rsidR="00F97899" w:rsidRPr="003B0A32">
        <w:rPr>
          <w:rFonts w:ascii="Times New Roman" w:hAnsi="Times New Roman" w:cs="Times New Roman"/>
          <w:color w:val="auto"/>
          <w:sz w:val="24"/>
          <w:szCs w:val="24"/>
          <w:lang w:eastAsia="pl-PL"/>
        </w:rPr>
        <w:t xml:space="preserve"> jak również PKP Linia Hutnicza Szerokotorowa sp. z o.o. powstały przed wejściem w życie ustawy o komercjalizacji </w:t>
      </w:r>
      <w:r w:rsidR="00F600D1" w:rsidRPr="003B0A32">
        <w:rPr>
          <w:rFonts w:ascii="Times New Roman" w:hAnsi="Times New Roman" w:cs="Times New Roman"/>
          <w:color w:val="auto"/>
          <w:sz w:val="24"/>
          <w:szCs w:val="24"/>
          <w:lang w:eastAsia="pl-PL"/>
        </w:rPr>
        <w:t>PKP</w:t>
      </w:r>
      <w:r w:rsidR="00F97899" w:rsidRPr="003B0A32">
        <w:rPr>
          <w:rFonts w:ascii="Times New Roman" w:hAnsi="Times New Roman" w:cs="Times New Roman"/>
          <w:color w:val="auto"/>
          <w:sz w:val="24"/>
          <w:szCs w:val="24"/>
          <w:lang w:eastAsia="pl-PL"/>
        </w:rPr>
        <w:t>. Z tego względu w sposób oczywisty przepisy art. 17 ustawy o</w:t>
      </w:r>
      <w:r w:rsidR="00F600D1" w:rsidRPr="003B0A32">
        <w:rPr>
          <w:rFonts w:ascii="Times New Roman" w:hAnsi="Times New Roman" w:cs="Times New Roman"/>
          <w:color w:val="auto"/>
          <w:sz w:val="24"/>
          <w:szCs w:val="24"/>
          <w:lang w:eastAsia="pl-PL"/>
        </w:rPr>
        <w:t xml:space="preserve"> komercjalizacji</w:t>
      </w:r>
      <w:r w:rsidR="00F97899" w:rsidRPr="003B0A32">
        <w:rPr>
          <w:rFonts w:ascii="Times New Roman" w:hAnsi="Times New Roman" w:cs="Times New Roman"/>
          <w:color w:val="auto"/>
          <w:sz w:val="24"/>
          <w:szCs w:val="24"/>
          <w:lang w:eastAsia="pl-PL"/>
        </w:rPr>
        <w:t xml:space="preserve"> PKP nie mogły znaleźć bezp</w:t>
      </w:r>
      <w:r w:rsidR="00F600D1" w:rsidRPr="003B0A32">
        <w:rPr>
          <w:rFonts w:ascii="Times New Roman" w:hAnsi="Times New Roman" w:cs="Times New Roman"/>
          <w:color w:val="auto"/>
          <w:sz w:val="24"/>
          <w:szCs w:val="24"/>
          <w:lang w:eastAsia="pl-PL"/>
        </w:rPr>
        <w:t>ośredniego zastosowania do tych</w:t>
      </w:r>
      <w:r w:rsidR="00F97899" w:rsidRPr="003B0A32">
        <w:rPr>
          <w:rFonts w:ascii="Times New Roman" w:hAnsi="Times New Roman" w:cs="Times New Roman"/>
          <w:color w:val="auto"/>
          <w:sz w:val="24"/>
          <w:szCs w:val="24"/>
          <w:lang w:eastAsia="pl-PL"/>
        </w:rPr>
        <w:t xml:space="preserve"> podmiotów. Nie oznacza to j</w:t>
      </w:r>
      <w:r w:rsidR="00F600D1" w:rsidRPr="003B0A32">
        <w:rPr>
          <w:rFonts w:ascii="Times New Roman" w:hAnsi="Times New Roman" w:cs="Times New Roman"/>
          <w:color w:val="auto"/>
          <w:sz w:val="24"/>
          <w:szCs w:val="24"/>
          <w:lang w:eastAsia="pl-PL"/>
        </w:rPr>
        <w:t>ednak, że ustawodawca pominął tę</w:t>
      </w:r>
      <w:r w:rsidR="00F97899" w:rsidRPr="003B0A32">
        <w:rPr>
          <w:rFonts w:ascii="Times New Roman" w:hAnsi="Times New Roman" w:cs="Times New Roman"/>
          <w:color w:val="auto"/>
          <w:sz w:val="24"/>
          <w:szCs w:val="24"/>
          <w:lang w:eastAsia="pl-PL"/>
        </w:rPr>
        <w:t xml:space="preserve"> kwestię, albowiem w art. 78a ustawy o </w:t>
      </w:r>
      <w:r w:rsidR="00F600D1" w:rsidRPr="003B0A32">
        <w:rPr>
          <w:rFonts w:ascii="Times New Roman" w:hAnsi="Times New Roman" w:cs="Times New Roman"/>
          <w:color w:val="auto"/>
          <w:sz w:val="24"/>
          <w:szCs w:val="24"/>
          <w:lang w:eastAsia="pl-PL"/>
        </w:rPr>
        <w:t xml:space="preserve">komercjalizacji </w:t>
      </w:r>
      <w:r w:rsidR="00F97899" w:rsidRPr="003B0A32">
        <w:rPr>
          <w:rFonts w:ascii="Times New Roman" w:hAnsi="Times New Roman" w:cs="Times New Roman"/>
          <w:color w:val="auto"/>
          <w:sz w:val="24"/>
          <w:szCs w:val="24"/>
          <w:lang w:eastAsia="pl-PL"/>
        </w:rPr>
        <w:t xml:space="preserve">PKP wskazano, że do przekazania mienia (w tym linii kolejowych oraz innych nieruchomości niezbędnych do zarządzania liniami kolejowymi) spółkom utworzonym przez PKP </w:t>
      </w:r>
      <w:r w:rsidR="00F600D1" w:rsidRPr="003B0A32">
        <w:rPr>
          <w:rFonts w:ascii="Times New Roman" w:hAnsi="Times New Roman" w:cs="Times New Roman"/>
          <w:color w:val="auto"/>
          <w:sz w:val="24"/>
          <w:szCs w:val="24"/>
          <w:lang w:eastAsia="pl-PL"/>
        </w:rPr>
        <w:t xml:space="preserve">S.A. </w:t>
      </w:r>
      <w:r w:rsidR="00F97899" w:rsidRPr="003B0A32">
        <w:rPr>
          <w:rFonts w:ascii="Times New Roman" w:hAnsi="Times New Roman" w:cs="Times New Roman"/>
          <w:color w:val="auto"/>
          <w:sz w:val="24"/>
          <w:szCs w:val="24"/>
          <w:lang w:eastAsia="pl-PL"/>
        </w:rPr>
        <w:t>do dnia, w którym skuteczny stał się wpis PKP S</w:t>
      </w:r>
      <w:r w:rsidR="00F600D1" w:rsidRPr="003B0A32">
        <w:rPr>
          <w:rFonts w:ascii="Times New Roman" w:hAnsi="Times New Roman" w:cs="Times New Roman"/>
          <w:color w:val="auto"/>
          <w:sz w:val="24"/>
          <w:szCs w:val="24"/>
          <w:lang w:eastAsia="pl-PL"/>
        </w:rPr>
        <w:t>.</w:t>
      </w:r>
      <w:r w:rsidR="00F97899" w:rsidRPr="003B0A32">
        <w:rPr>
          <w:rFonts w:ascii="Times New Roman" w:hAnsi="Times New Roman" w:cs="Times New Roman"/>
          <w:color w:val="auto"/>
          <w:sz w:val="24"/>
          <w:szCs w:val="24"/>
          <w:lang w:eastAsia="pl-PL"/>
        </w:rPr>
        <w:t>A</w:t>
      </w:r>
      <w:r w:rsidR="00F600D1" w:rsidRPr="003B0A32">
        <w:rPr>
          <w:rFonts w:ascii="Times New Roman" w:hAnsi="Times New Roman" w:cs="Times New Roman"/>
          <w:color w:val="auto"/>
          <w:sz w:val="24"/>
          <w:szCs w:val="24"/>
          <w:lang w:eastAsia="pl-PL"/>
        </w:rPr>
        <w:t>.</w:t>
      </w:r>
      <w:r w:rsidR="00F97899" w:rsidRPr="003B0A32">
        <w:rPr>
          <w:rFonts w:ascii="Times New Roman" w:hAnsi="Times New Roman" w:cs="Times New Roman"/>
          <w:color w:val="auto"/>
          <w:sz w:val="24"/>
          <w:szCs w:val="24"/>
          <w:lang w:eastAsia="pl-PL"/>
        </w:rPr>
        <w:t xml:space="preserve"> do rejestru handlowego</w:t>
      </w:r>
      <w:r w:rsidR="00721325" w:rsidRPr="003B0A32">
        <w:rPr>
          <w:rFonts w:ascii="Times New Roman" w:hAnsi="Times New Roman" w:cs="Times New Roman"/>
          <w:color w:val="auto"/>
          <w:sz w:val="24"/>
          <w:szCs w:val="24"/>
          <w:lang w:eastAsia="pl-PL"/>
        </w:rPr>
        <w:t>,</w:t>
      </w:r>
      <w:r w:rsidR="00F97899" w:rsidRPr="003B0A32">
        <w:rPr>
          <w:rFonts w:ascii="Times New Roman" w:hAnsi="Times New Roman" w:cs="Times New Roman"/>
          <w:color w:val="auto"/>
          <w:sz w:val="24"/>
          <w:szCs w:val="24"/>
          <w:lang w:eastAsia="pl-PL"/>
        </w:rPr>
        <w:t xml:space="preserve"> stosuje się odpowiednio zasady, warunki i tryb określone w art. 17. Na powyższej podstawie z tymi spółkami zostały zawarte umowy oddania do korzystania składników linii kolejowych</w:t>
      </w:r>
      <w:r w:rsidR="00F600D1" w:rsidRPr="003B0A32">
        <w:rPr>
          <w:rFonts w:ascii="Times New Roman" w:hAnsi="Times New Roman" w:cs="Times New Roman"/>
          <w:color w:val="auto"/>
          <w:sz w:val="24"/>
          <w:szCs w:val="24"/>
          <w:lang w:eastAsia="pl-PL"/>
        </w:rPr>
        <w:t xml:space="preserve"> na zasadach analogicznych </w:t>
      </w:r>
      <w:r w:rsidR="00880559">
        <w:rPr>
          <w:rFonts w:ascii="Times New Roman" w:hAnsi="Times New Roman" w:cs="Times New Roman"/>
          <w:color w:val="auto"/>
          <w:sz w:val="24"/>
          <w:szCs w:val="24"/>
          <w:lang w:eastAsia="pl-PL"/>
        </w:rPr>
        <w:t>do</w:t>
      </w:r>
      <w:r w:rsidR="00880559" w:rsidRPr="003B0A32">
        <w:rPr>
          <w:rFonts w:ascii="Times New Roman" w:hAnsi="Times New Roman" w:cs="Times New Roman"/>
          <w:color w:val="auto"/>
          <w:sz w:val="24"/>
          <w:szCs w:val="24"/>
          <w:lang w:eastAsia="pl-PL"/>
        </w:rPr>
        <w:t> </w:t>
      </w:r>
      <w:r w:rsidR="00F600D1" w:rsidRPr="003B0A32">
        <w:rPr>
          <w:rFonts w:ascii="Times New Roman" w:hAnsi="Times New Roman" w:cs="Times New Roman"/>
          <w:color w:val="auto"/>
          <w:sz w:val="24"/>
          <w:szCs w:val="24"/>
          <w:lang w:eastAsia="pl-PL"/>
        </w:rPr>
        <w:t>u</w:t>
      </w:r>
      <w:r w:rsidR="00F97899" w:rsidRPr="003B0A32">
        <w:rPr>
          <w:rFonts w:ascii="Times New Roman" w:hAnsi="Times New Roman" w:cs="Times New Roman"/>
          <w:color w:val="auto"/>
          <w:sz w:val="24"/>
          <w:szCs w:val="24"/>
          <w:lang w:eastAsia="pl-PL"/>
        </w:rPr>
        <w:t>mow</w:t>
      </w:r>
      <w:r w:rsidR="00880559">
        <w:rPr>
          <w:rFonts w:ascii="Times New Roman" w:hAnsi="Times New Roman" w:cs="Times New Roman"/>
          <w:color w:val="auto"/>
          <w:sz w:val="24"/>
          <w:szCs w:val="24"/>
          <w:lang w:eastAsia="pl-PL"/>
        </w:rPr>
        <w:t>y</w:t>
      </w:r>
      <w:r w:rsidR="00F97899" w:rsidRPr="003B0A32">
        <w:rPr>
          <w:rFonts w:ascii="Times New Roman" w:hAnsi="Times New Roman" w:cs="Times New Roman"/>
          <w:color w:val="auto"/>
          <w:sz w:val="24"/>
          <w:szCs w:val="24"/>
          <w:lang w:eastAsia="pl-PL"/>
        </w:rPr>
        <w:t xml:space="preserve"> D50, zawart</w:t>
      </w:r>
      <w:r w:rsidR="00880559">
        <w:rPr>
          <w:rFonts w:ascii="Times New Roman" w:hAnsi="Times New Roman" w:cs="Times New Roman"/>
          <w:color w:val="auto"/>
          <w:sz w:val="24"/>
          <w:szCs w:val="24"/>
          <w:lang w:eastAsia="pl-PL"/>
        </w:rPr>
        <w:t>ej</w:t>
      </w:r>
      <w:r w:rsidR="00F97899" w:rsidRPr="003B0A32">
        <w:rPr>
          <w:rFonts w:ascii="Times New Roman" w:hAnsi="Times New Roman" w:cs="Times New Roman"/>
          <w:color w:val="auto"/>
          <w:sz w:val="24"/>
          <w:szCs w:val="24"/>
          <w:lang w:eastAsia="pl-PL"/>
        </w:rPr>
        <w:t xml:space="preserve"> z </w:t>
      </w:r>
      <w:r w:rsidR="00F600D1" w:rsidRPr="003B0A32">
        <w:rPr>
          <w:rFonts w:ascii="Times New Roman" w:hAnsi="Times New Roman" w:cs="Times New Roman"/>
          <w:color w:val="auto"/>
          <w:sz w:val="24"/>
          <w:szCs w:val="24"/>
          <w:lang w:eastAsia="pl-PL"/>
        </w:rPr>
        <w:t xml:space="preserve">PKP </w:t>
      </w:r>
      <w:r w:rsidR="00F97899" w:rsidRPr="003B0A32">
        <w:rPr>
          <w:rFonts w:ascii="Times New Roman" w:hAnsi="Times New Roman" w:cs="Times New Roman"/>
          <w:color w:val="auto"/>
          <w:sz w:val="24"/>
          <w:szCs w:val="24"/>
          <w:lang w:eastAsia="pl-PL"/>
        </w:rPr>
        <w:t>PLK</w:t>
      </w:r>
      <w:r w:rsidR="00F600D1" w:rsidRPr="003B0A32">
        <w:rPr>
          <w:rFonts w:ascii="Times New Roman" w:hAnsi="Times New Roman" w:cs="Times New Roman"/>
          <w:color w:val="auto"/>
          <w:sz w:val="24"/>
          <w:szCs w:val="24"/>
          <w:lang w:eastAsia="pl-PL"/>
        </w:rPr>
        <w:t xml:space="preserve"> S.A</w:t>
      </w:r>
      <w:r w:rsidR="00F97899" w:rsidRPr="003B0A32">
        <w:rPr>
          <w:rFonts w:ascii="Times New Roman" w:hAnsi="Times New Roman" w:cs="Times New Roman"/>
          <w:color w:val="auto"/>
          <w:sz w:val="24"/>
          <w:szCs w:val="24"/>
          <w:lang w:eastAsia="pl-PL"/>
        </w:rPr>
        <w:t xml:space="preserve">. Z tego względu </w:t>
      </w:r>
      <w:r w:rsidR="007666E2" w:rsidRPr="003B0A32">
        <w:rPr>
          <w:rFonts w:ascii="Times New Roman" w:hAnsi="Times New Roman" w:cs="Times New Roman"/>
          <w:color w:val="auto"/>
          <w:sz w:val="24"/>
          <w:szCs w:val="24"/>
          <w:lang w:eastAsia="pl-PL"/>
        </w:rPr>
        <w:t xml:space="preserve">jest </w:t>
      </w:r>
      <w:r w:rsidR="00F97899" w:rsidRPr="003B0A32">
        <w:rPr>
          <w:rFonts w:ascii="Times New Roman" w:hAnsi="Times New Roman" w:cs="Times New Roman"/>
          <w:color w:val="auto"/>
          <w:sz w:val="24"/>
          <w:szCs w:val="24"/>
          <w:lang w:eastAsia="pl-PL"/>
        </w:rPr>
        <w:t>konieczne wprowadzenie przepisów umożliwiających rozliczenie czynszu z tychże umów w taki sam sposób</w:t>
      </w:r>
      <w:r w:rsidR="007666E2" w:rsidRPr="003B0A32">
        <w:rPr>
          <w:rFonts w:ascii="Times New Roman" w:hAnsi="Times New Roman" w:cs="Times New Roman"/>
          <w:color w:val="auto"/>
          <w:sz w:val="24"/>
          <w:szCs w:val="24"/>
          <w:lang w:eastAsia="pl-PL"/>
        </w:rPr>
        <w:t>,</w:t>
      </w:r>
      <w:r w:rsidR="00F97899" w:rsidRPr="003B0A32">
        <w:rPr>
          <w:rFonts w:ascii="Times New Roman" w:hAnsi="Times New Roman" w:cs="Times New Roman"/>
          <w:color w:val="auto"/>
          <w:sz w:val="24"/>
          <w:szCs w:val="24"/>
          <w:lang w:eastAsia="pl-PL"/>
        </w:rPr>
        <w:t xml:space="preserve"> jak w przypadku umowy z </w:t>
      </w:r>
      <w:r w:rsidR="00F600D1" w:rsidRPr="003B0A32">
        <w:rPr>
          <w:rFonts w:ascii="Times New Roman" w:hAnsi="Times New Roman" w:cs="Times New Roman"/>
          <w:color w:val="auto"/>
          <w:sz w:val="24"/>
          <w:szCs w:val="24"/>
          <w:lang w:eastAsia="pl-PL"/>
        </w:rPr>
        <w:t xml:space="preserve">PKP </w:t>
      </w:r>
      <w:r w:rsidR="00F97899" w:rsidRPr="003B0A32">
        <w:rPr>
          <w:rFonts w:ascii="Times New Roman" w:hAnsi="Times New Roman" w:cs="Times New Roman"/>
          <w:color w:val="auto"/>
          <w:sz w:val="24"/>
          <w:szCs w:val="24"/>
          <w:lang w:eastAsia="pl-PL"/>
        </w:rPr>
        <w:t>PLK</w:t>
      </w:r>
      <w:r w:rsidR="00F600D1" w:rsidRPr="003B0A32">
        <w:rPr>
          <w:rFonts w:ascii="Times New Roman" w:hAnsi="Times New Roman" w:cs="Times New Roman"/>
          <w:color w:val="auto"/>
          <w:sz w:val="24"/>
          <w:szCs w:val="24"/>
          <w:lang w:eastAsia="pl-PL"/>
        </w:rPr>
        <w:t xml:space="preserve"> S.A</w:t>
      </w:r>
      <w:r w:rsidR="00F97899" w:rsidRPr="003B0A32">
        <w:rPr>
          <w:rFonts w:ascii="Times New Roman" w:hAnsi="Times New Roman" w:cs="Times New Roman"/>
          <w:color w:val="auto"/>
          <w:sz w:val="24"/>
          <w:szCs w:val="24"/>
          <w:lang w:eastAsia="pl-PL"/>
        </w:rPr>
        <w:t>. Wprowadzenie możliwości zapłaty podatku CIT od aportów do nowych spółek infrastrukturalnych ma na celu umożliwienie realizacji nowych projektów infrastrukturalnych. Faktycznie mogą to być spółki, do których PKP S.A. będzie przystępować</w:t>
      </w:r>
      <w:r w:rsidR="007666E2" w:rsidRPr="003B0A32">
        <w:rPr>
          <w:rFonts w:ascii="Times New Roman" w:hAnsi="Times New Roman" w:cs="Times New Roman"/>
          <w:color w:val="auto"/>
          <w:sz w:val="24"/>
          <w:szCs w:val="24"/>
          <w:lang w:eastAsia="pl-PL"/>
        </w:rPr>
        <w:t>,</w:t>
      </w:r>
      <w:r w:rsidR="00F97899" w:rsidRPr="003B0A32">
        <w:rPr>
          <w:rFonts w:ascii="Times New Roman" w:hAnsi="Times New Roman" w:cs="Times New Roman"/>
          <w:color w:val="auto"/>
          <w:sz w:val="24"/>
          <w:szCs w:val="24"/>
          <w:lang w:eastAsia="pl-PL"/>
        </w:rPr>
        <w:t xml:space="preserve"> a nie utworzone przez PKP S.A. Jednakże należy mieć na uwadze, że wniesienie aportów do takich spółek infrastrukturalnych </w:t>
      </w:r>
      <w:r w:rsidR="007666E2" w:rsidRPr="003B0A32">
        <w:rPr>
          <w:rFonts w:ascii="Times New Roman" w:hAnsi="Times New Roman" w:cs="Times New Roman"/>
          <w:color w:val="auto"/>
          <w:sz w:val="24"/>
          <w:szCs w:val="24"/>
          <w:lang w:eastAsia="pl-PL"/>
        </w:rPr>
        <w:t xml:space="preserve">będzie </w:t>
      </w:r>
      <w:r w:rsidR="00F97899" w:rsidRPr="003B0A32">
        <w:rPr>
          <w:rFonts w:ascii="Times New Roman" w:hAnsi="Times New Roman" w:cs="Times New Roman"/>
          <w:color w:val="auto"/>
          <w:sz w:val="24"/>
          <w:szCs w:val="24"/>
          <w:lang w:eastAsia="pl-PL"/>
        </w:rPr>
        <w:t xml:space="preserve">wymagać zgody ministra </w:t>
      </w:r>
      <w:r w:rsidR="00F600D1" w:rsidRPr="003B0A32">
        <w:rPr>
          <w:rFonts w:ascii="Times New Roman" w:hAnsi="Times New Roman" w:cs="Times New Roman"/>
          <w:color w:val="auto"/>
          <w:sz w:val="24"/>
          <w:szCs w:val="24"/>
          <w:lang w:eastAsia="pl-PL"/>
        </w:rPr>
        <w:t xml:space="preserve">właściwego </w:t>
      </w:r>
      <w:r w:rsidR="00F97899" w:rsidRPr="003B0A32">
        <w:rPr>
          <w:rFonts w:ascii="Times New Roman" w:hAnsi="Times New Roman" w:cs="Times New Roman"/>
          <w:color w:val="auto"/>
          <w:sz w:val="24"/>
          <w:szCs w:val="24"/>
          <w:lang w:eastAsia="pl-PL"/>
        </w:rPr>
        <w:t>d</w:t>
      </w:r>
      <w:r w:rsidR="00F600D1" w:rsidRPr="003B0A32">
        <w:rPr>
          <w:rFonts w:ascii="Times New Roman" w:hAnsi="Times New Roman" w:cs="Times New Roman"/>
          <w:color w:val="auto"/>
          <w:sz w:val="24"/>
          <w:szCs w:val="24"/>
          <w:lang w:eastAsia="pl-PL"/>
        </w:rPr>
        <w:t>o spraw</w:t>
      </w:r>
      <w:r w:rsidR="00F97899" w:rsidRPr="003B0A32">
        <w:rPr>
          <w:rFonts w:ascii="Times New Roman" w:hAnsi="Times New Roman" w:cs="Times New Roman"/>
          <w:color w:val="auto"/>
          <w:sz w:val="24"/>
          <w:szCs w:val="24"/>
          <w:lang w:eastAsia="pl-PL"/>
        </w:rPr>
        <w:t xml:space="preserve"> transportu.</w:t>
      </w:r>
      <w:r w:rsidR="00F97899" w:rsidRPr="003B0A32">
        <w:rPr>
          <w:rFonts w:ascii="Times New Roman" w:hAnsi="Times New Roman" w:cs="Times New Roman"/>
          <w:b/>
          <w:color w:val="auto"/>
          <w:sz w:val="24"/>
          <w:szCs w:val="24"/>
          <w:lang w:eastAsia="pl-PL"/>
        </w:rPr>
        <w:t xml:space="preserve"> </w:t>
      </w:r>
      <w:r w:rsidR="007666E2" w:rsidRPr="003B0A32">
        <w:rPr>
          <w:rFonts w:ascii="Times New Roman" w:hAnsi="Times New Roman" w:cs="Times New Roman"/>
          <w:color w:val="auto"/>
          <w:sz w:val="24"/>
          <w:szCs w:val="24"/>
          <w:lang w:eastAsia="pl-PL"/>
        </w:rPr>
        <w:t>Zostało w</w:t>
      </w:r>
      <w:r w:rsidRPr="003B0A32">
        <w:rPr>
          <w:rFonts w:ascii="Times New Roman" w:hAnsi="Times New Roman" w:cs="Times New Roman"/>
          <w:color w:val="auto"/>
          <w:sz w:val="24"/>
          <w:szCs w:val="24"/>
          <w:lang w:eastAsia="pl-PL"/>
        </w:rPr>
        <w:t xml:space="preserve">prowadzone również ograniczenie czasowe </w:t>
      </w:r>
      <w:r w:rsidR="00880559">
        <w:rPr>
          <w:rFonts w:ascii="Times New Roman" w:hAnsi="Times New Roman" w:cs="Times New Roman"/>
          <w:color w:val="auto"/>
          <w:sz w:val="24"/>
          <w:szCs w:val="24"/>
          <w:lang w:eastAsia="pl-PL"/>
        </w:rPr>
        <w:t>–</w:t>
      </w:r>
      <w:r w:rsidRPr="003B0A32">
        <w:rPr>
          <w:rFonts w:ascii="Times New Roman" w:hAnsi="Times New Roman" w:cs="Times New Roman"/>
          <w:color w:val="auto"/>
          <w:sz w:val="24"/>
          <w:szCs w:val="24"/>
          <w:lang w:eastAsia="pl-PL"/>
        </w:rPr>
        <w:t xml:space="preserve"> spłata zobowiązań podatkowych na podstawie art.</w:t>
      </w:r>
      <w:r w:rsidR="00273C9A" w:rsidRPr="003B0A32">
        <w:rPr>
          <w:rFonts w:ascii="Times New Roman" w:hAnsi="Times New Roman" w:cs="Times New Roman"/>
          <w:color w:val="auto"/>
          <w:sz w:val="24"/>
          <w:szCs w:val="24"/>
          <w:lang w:eastAsia="pl-PL"/>
        </w:rPr>
        <w:t> </w:t>
      </w:r>
      <w:r w:rsidRPr="003B0A32">
        <w:rPr>
          <w:rFonts w:ascii="Times New Roman" w:hAnsi="Times New Roman" w:cs="Times New Roman"/>
          <w:color w:val="auto"/>
          <w:sz w:val="24"/>
          <w:szCs w:val="24"/>
          <w:lang w:eastAsia="pl-PL"/>
        </w:rPr>
        <w:t>24ba ust. 1 będzie dotyczyła zobowiązań powstałych</w:t>
      </w:r>
      <w:r w:rsidR="00721325" w:rsidRPr="003B0A32">
        <w:rPr>
          <w:rFonts w:ascii="Times New Roman" w:hAnsi="Times New Roman" w:cs="Times New Roman"/>
          <w:color w:val="auto"/>
          <w:sz w:val="24"/>
          <w:szCs w:val="24"/>
          <w:lang w:eastAsia="pl-PL"/>
        </w:rPr>
        <w:t xml:space="preserve"> w rozliczeniu</w:t>
      </w:r>
      <w:r w:rsidRPr="003B0A32">
        <w:rPr>
          <w:rFonts w:ascii="Times New Roman" w:hAnsi="Times New Roman" w:cs="Times New Roman"/>
          <w:color w:val="auto"/>
          <w:sz w:val="24"/>
          <w:szCs w:val="24"/>
          <w:lang w:eastAsia="pl-PL"/>
        </w:rPr>
        <w:t xml:space="preserve"> za lata 2022</w:t>
      </w:r>
      <w:r w:rsidR="00074641">
        <w:rPr>
          <w:rFonts w:ascii="Times New Roman" w:hAnsi="Times New Roman" w:cs="Times New Roman"/>
          <w:color w:val="auto"/>
          <w:sz w:val="24"/>
          <w:szCs w:val="24"/>
          <w:lang w:eastAsia="pl-PL"/>
        </w:rPr>
        <w:t>–</w:t>
      </w:r>
      <w:r w:rsidRPr="003B0A32">
        <w:rPr>
          <w:rFonts w:ascii="Times New Roman" w:hAnsi="Times New Roman" w:cs="Times New Roman"/>
          <w:color w:val="auto"/>
          <w:sz w:val="24"/>
          <w:szCs w:val="24"/>
          <w:lang w:eastAsia="pl-PL"/>
        </w:rPr>
        <w:t>2026.</w:t>
      </w:r>
    </w:p>
    <w:p w14:paraId="25A5B9D5" w14:textId="4E933103" w:rsidR="00367B4F" w:rsidRPr="003B0A32" w:rsidRDefault="0012633F" w:rsidP="003B0A32">
      <w:pPr>
        <w:shd w:val="clear" w:color="auto" w:fill="FFFFFF"/>
        <w:spacing w:before="120" w:after="150" w:line="360" w:lineRule="auto"/>
        <w:jc w:val="both"/>
        <w:rPr>
          <w:rFonts w:ascii="Times New Roman" w:hAnsi="Times New Roman" w:cs="Times New Roman"/>
          <w:color w:val="auto"/>
          <w:sz w:val="24"/>
          <w:szCs w:val="24"/>
          <w:lang w:eastAsia="pl-PL"/>
        </w:rPr>
      </w:pPr>
      <w:r w:rsidRPr="003B0A32">
        <w:rPr>
          <w:rFonts w:ascii="Times New Roman" w:hAnsi="Times New Roman" w:cs="Times New Roman"/>
          <w:color w:val="auto"/>
          <w:sz w:val="24"/>
          <w:szCs w:val="24"/>
          <w:lang w:eastAsia="pl-PL"/>
        </w:rPr>
        <w:t>W ust. 3 art. 24ba utrzymano zasadę, ż</w:t>
      </w:r>
      <w:r w:rsidR="007666E2" w:rsidRPr="003B0A32">
        <w:rPr>
          <w:rFonts w:ascii="Times New Roman" w:hAnsi="Times New Roman" w:cs="Times New Roman"/>
          <w:color w:val="auto"/>
          <w:sz w:val="24"/>
          <w:szCs w:val="24"/>
          <w:lang w:eastAsia="pl-PL"/>
        </w:rPr>
        <w:t>e</w:t>
      </w:r>
      <w:r w:rsidRPr="003B0A32">
        <w:rPr>
          <w:rFonts w:ascii="Times New Roman" w:hAnsi="Times New Roman" w:cs="Times New Roman"/>
          <w:color w:val="auto"/>
          <w:sz w:val="24"/>
          <w:szCs w:val="24"/>
          <w:lang w:eastAsia="pl-PL"/>
        </w:rPr>
        <w:t xml:space="preserve"> w latach 2022</w:t>
      </w:r>
      <w:r w:rsidR="00074641">
        <w:rPr>
          <w:rFonts w:ascii="Times New Roman" w:hAnsi="Times New Roman" w:cs="Times New Roman"/>
          <w:color w:val="auto"/>
          <w:sz w:val="24"/>
          <w:szCs w:val="24"/>
          <w:lang w:eastAsia="pl-PL"/>
        </w:rPr>
        <w:t>–</w:t>
      </w:r>
      <w:r w:rsidRPr="003B0A32">
        <w:rPr>
          <w:rFonts w:ascii="Times New Roman" w:hAnsi="Times New Roman" w:cs="Times New Roman"/>
          <w:color w:val="auto"/>
          <w:sz w:val="24"/>
          <w:szCs w:val="24"/>
          <w:lang w:eastAsia="pl-PL"/>
        </w:rPr>
        <w:t>2026 PKP S.A. nie będzie zobowiązana do wpłaty zaliczek na podatek dochodowy od osób prawnych do wysokości kwoty obliczonej zgodnie z ust. 2. Wprowadzenie tego przepisu jest konieczne z</w:t>
      </w:r>
      <w:r w:rsidR="0045642A" w:rsidRPr="003B0A32">
        <w:rPr>
          <w:rFonts w:ascii="Times New Roman" w:hAnsi="Times New Roman" w:cs="Times New Roman"/>
          <w:color w:val="auto"/>
          <w:sz w:val="24"/>
          <w:szCs w:val="24"/>
          <w:lang w:eastAsia="pl-PL"/>
        </w:rPr>
        <w:t> </w:t>
      </w:r>
      <w:r w:rsidRPr="003B0A32">
        <w:rPr>
          <w:rFonts w:ascii="Times New Roman" w:hAnsi="Times New Roman" w:cs="Times New Roman"/>
          <w:color w:val="auto"/>
          <w:sz w:val="24"/>
          <w:szCs w:val="24"/>
          <w:lang w:eastAsia="pl-PL"/>
        </w:rPr>
        <w:t xml:space="preserve">uwagi </w:t>
      </w:r>
      <w:r w:rsidR="001657E4" w:rsidRPr="003B0A32">
        <w:rPr>
          <w:rFonts w:ascii="Times New Roman" w:hAnsi="Times New Roman" w:cs="Times New Roman"/>
          <w:color w:val="auto"/>
          <w:sz w:val="24"/>
          <w:szCs w:val="24"/>
          <w:lang w:eastAsia="pl-PL"/>
        </w:rPr>
        <w:t>na </w:t>
      </w:r>
      <w:r w:rsidRPr="003B0A32">
        <w:rPr>
          <w:rFonts w:ascii="Times New Roman" w:hAnsi="Times New Roman" w:cs="Times New Roman"/>
          <w:color w:val="auto"/>
          <w:sz w:val="24"/>
          <w:szCs w:val="24"/>
          <w:lang w:eastAsia="pl-PL"/>
        </w:rPr>
        <w:t>fakt, ż</w:t>
      </w:r>
      <w:r w:rsidR="007666E2" w:rsidRPr="003B0A32">
        <w:rPr>
          <w:rFonts w:ascii="Times New Roman" w:hAnsi="Times New Roman" w:cs="Times New Roman"/>
          <w:color w:val="auto"/>
          <w:sz w:val="24"/>
          <w:szCs w:val="24"/>
          <w:lang w:eastAsia="pl-PL"/>
        </w:rPr>
        <w:t>e</w:t>
      </w:r>
      <w:r w:rsidRPr="003B0A32">
        <w:rPr>
          <w:rFonts w:ascii="Times New Roman" w:hAnsi="Times New Roman" w:cs="Times New Roman"/>
          <w:color w:val="auto"/>
          <w:sz w:val="24"/>
          <w:szCs w:val="24"/>
          <w:lang w:eastAsia="pl-PL"/>
        </w:rPr>
        <w:t xml:space="preserve"> zapłata w </w:t>
      </w:r>
      <w:r w:rsidRPr="003B0A32">
        <w:rPr>
          <w:rFonts w:ascii="Times New Roman" w:hAnsi="Times New Roman" w:cs="Times New Roman"/>
          <w:color w:val="auto"/>
          <w:sz w:val="24"/>
          <w:szCs w:val="24"/>
          <w:lang w:eastAsia="pl-PL"/>
        </w:rPr>
        <w:lastRenderedPageBreak/>
        <w:t>trakcie roku podatkowego zaliczki na podatek powoduje wygaśnięcie zobowiązania podatkowego w tej części, co z kolei skutkowałoby brakiem możliwości zapłaty podatku, wygenerowanego przez wniesienie aportów do spółek, o</w:t>
      </w:r>
      <w:r w:rsidR="0045642A" w:rsidRPr="003B0A32">
        <w:rPr>
          <w:rFonts w:ascii="Times New Roman" w:hAnsi="Times New Roman" w:cs="Times New Roman"/>
          <w:color w:val="auto"/>
          <w:sz w:val="24"/>
          <w:szCs w:val="24"/>
          <w:lang w:eastAsia="pl-PL"/>
        </w:rPr>
        <w:t> </w:t>
      </w:r>
      <w:r w:rsidRPr="003B0A32">
        <w:rPr>
          <w:rFonts w:ascii="Times New Roman" w:hAnsi="Times New Roman" w:cs="Times New Roman"/>
          <w:color w:val="auto"/>
          <w:sz w:val="24"/>
          <w:szCs w:val="24"/>
          <w:lang w:eastAsia="pl-PL"/>
        </w:rPr>
        <w:t xml:space="preserve">których mowa </w:t>
      </w:r>
      <w:r w:rsidR="001657E4" w:rsidRPr="003B0A32">
        <w:rPr>
          <w:rFonts w:ascii="Times New Roman" w:hAnsi="Times New Roman" w:cs="Times New Roman"/>
          <w:color w:val="auto"/>
          <w:sz w:val="24"/>
          <w:szCs w:val="24"/>
          <w:lang w:eastAsia="pl-PL"/>
        </w:rPr>
        <w:t>w </w:t>
      </w:r>
      <w:r w:rsidR="00721325" w:rsidRPr="003B0A32">
        <w:rPr>
          <w:rFonts w:ascii="Times New Roman" w:hAnsi="Times New Roman" w:cs="Times New Roman"/>
          <w:color w:val="auto"/>
          <w:sz w:val="24"/>
          <w:szCs w:val="24"/>
          <w:lang w:eastAsia="pl-PL"/>
        </w:rPr>
        <w:t xml:space="preserve">art. 24ba </w:t>
      </w:r>
      <w:r w:rsidRPr="003B0A32">
        <w:rPr>
          <w:rFonts w:ascii="Times New Roman" w:hAnsi="Times New Roman" w:cs="Times New Roman"/>
          <w:color w:val="auto"/>
          <w:sz w:val="24"/>
          <w:szCs w:val="24"/>
          <w:lang w:eastAsia="pl-PL"/>
        </w:rPr>
        <w:t xml:space="preserve">ust. 2, akcjami </w:t>
      </w:r>
      <w:r w:rsidR="007864A5" w:rsidRPr="003B0A32">
        <w:rPr>
          <w:rFonts w:ascii="Times New Roman" w:hAnsi="Times New Roman" w:cs="Times New Roman"/>
          <w:color w:val="auto"/>
          <w:sz w:val="24"/>
          <w:szCs w:val="24"/>
          <w:lang w:eastAsia="pl-PL"/>
        </w:rPr>
        <w:t xml:space="preserve">PKP </w:t>
      </w:r>
      <w:r w:rsidRPr="003B0A32">
        <w:rPr>
          <w:rFonts w:ascii="Times New Roman" w:hAnsi="Times New Roman" w:cs="Times New Roman"/>
          <w:color w:val="auto"/>
          <w:sz w:val="24"/>
          <w:szCs w:val="24"/>
          <w:lang w:eastAsia="pl-PL"/>
        </w:rPr>
        <w:t xml:space="preserve">PLK </w:t>
      </w:r>
      <w:r w:rsidR="007864A5" w:rsidRPr="003B0A32">
        <w:rPr>
          <w:rFonts w:ascii="Times New Roman" w:hAnsi="Times New Roman" w:cs="Times New Roman"/>
          <w:color w:val="auto"/>
          <w:sz w:val="24"/>
          <w:szCs w:val="24"/>
          <w:lang w:eastAsia="pl-PL"/>
        </w:rPr>
        <w:t xml:space="preserve">S.A. </w:t>
      </w:r>
      <w:r w:rsidRPr="003B0A32">
        <w:rPr>
          <w:rFonts w:ascii="Times New Roman" w:hAnsi="Times New Roman" w:cs="Times New Roman"/>
          <w:color w:val="auto"/>
          <w:sz w:val="24"/>
          <w:szCs w:val="24"/>
          <w:lang w:eastAsia="pl-PL"/>
        </w:rPr>
        <w:t xml:space="preserve">po zakończeniu roku podatkowego. </w:t>
      </w:r>
    </w:p>
    <w:p w14:paraId="2F08AB9F" w14:textId="1C8E154F" w:rsidR="00B17C48" w:rsidRPr="003B0A32" w:rsidRDefault="0012633F" w:rsidP="003B0A32">
      <w:pPr>
        <w:shd w:val="clear" w:color="auto" w:fill="FFFFFF"/>
        <w:spacing w:before="120" w:after="150" w:line="360" w:lineRule="auto"/>
        <w:jc w:val="both"/>
        <w:rPr>
          <w:rFonts w:ascii="Times New Roman" w:hAnsi="Times New Roman" w:cs="Times New Roman"/>
          <w:color w:val="auto"/>
          <w:sz w:val="24"/>
          <w:szCs w:val="24"/>
          <w:lang w:eastAsia="pl-PL"/>
        </w:rPr>
      </w:pPr>
      <w:r w:rsidRPr="003B0A32">
        <w:rPr>
          <w:rFonts w:ascii="Times New Roman" w:hAnsi="Times New Roman" w:cs="Times New Roman"/>
          <w:color w:val="auto"/>
          <w:sz w:val="24"/>
          <w:szCs w:val="24"/>
          <w:lang w:eastAsia="pl-PL"/>
        </w:rPr>
        <w:t>W art. 24ba ust. 4 utrzymano zasadę, ż</w:t>
      </w:r>
      <w:r w:rsidR="007666E2" w:rsidRPr="003B0A32">
        <w:rPr>
          <w:rFonts w:ascii="Times New Roman" w:hAnsi="Times New Roman" w:cs="Times New Roman"/>
          <w:color w:val="auto"/>
          <w:sz w:val="24"/>
          <w:szCs w:val="24"/>
          <w:lang w:eastAsia="pl-PL"/>
        </w:rPr>
        <w:t>e</w:t>
      </w:r>
      <w:r w:rsidRPr="003B0A32">
        <w:rPr>
          <w:rFonts w:ascii="Times New Roman" w:hAnsi="Times New Roman" w:cs="Times New Roman"/>
          <w:color w:val="auto"/>
          <w:sz w:val="24"/>
          <w:szCs w:val="24"/>
          <w:lang w:eastAsia="pl-PL"/>
        </w:rPr>
        <w:t xml:space="preserve"> PKP S</w:t>
      </w:r>
      <w:r w:rsidR="00074641">
        <w:rPr>
          <w:rFonts w:ascii="Times New Roman" w:hAnsi="Times New Roman" w:cs="Times New Roman"/>
          <w:color w:val="auto"/>
          <w:sz w:val="24"/>
          <w:szCs w:val="24"/>
          <w:lang w:eastAsia="pl-PL"/>
        </w:rPr>
        <w:t>.</w:t>
      </w:r>
      <w:r w:rsidRPr="003B0A32">
        <w:rPr>
          <w:rFonts w:ascii="Times New Roman" w:hAnsi="Times New Roman" w:cs="Times New Roman"/>
          <w:color w:val="auto"/>
          <w:sz w:val="24"/>
          <w:szCs w:val="24"/>
          <w:lang w:eastAsia="pl-PL"/>
        </w:rPr>
        <w:t>A</w:t>
      </w:r>
      <w:r w:rsidR="00074641">
        <w:rPr>
          <w:rFonts w:ascii="Times New Roman" w:hAnsi="Times New Roman" w:cs="Times New Roman"/>
          <w:color w:val="auto"/>
          <w:sz w:val="24"/>
          <w:szCs w:val="24"/>
          <w:lang w:eastAsia="pl-PL"/>
        </w:rPr>
        <w:t>.</w:t>
      </w:r>
      <w:r w:rsidRPr="003B0A32">
        <w:rPr>
          <w:rFonts w:ascii="Times New Roman" w:hAnsi="Times New Roman" w:cs="Times New Roman"/>
          <w:color w:val="auto"/>
          <w:sz w:val="24"/>
          <w:szCs w:val="24"/>
          <w:lang w:eastAsia="pl-PL"/>
        </w:rPr>
        <w:t xml:space="preserve"> zachowa prawo dokonania spłaty podatku należnego akcjami </w:t>
      </w:r>
      <w:r w:rsidR="000B1036" w:rsidRPr="003B0A32">
        <w:rPr>
          <w:rFonts w:ascii="Times New Roman" w:hAnsi="Times New Roman" w:cs="Times New Roman"/>
          <w:color w:val="auto"/>
          <w:sz w:val="24"/>
          <w:szCs w:val="24"/>
          <w:lang w:eastAsia="pl-PL"/>
        </w:rPr>
        <w:t xml:space="preserve">PKP </w:t>
      </w:r>
      <w:r w:rsidRPr="003B0A32">
        <w:rPr>
          <w:rFonts w:ascii="Times New Roman" w:hAnsi="Times New Roman" w:cs="Times New Roman"/>
          <w:color w:val="auto"/>
          <w:sz w:val="24"/>
          <w:szCs w:val="24"/>
          <w:lang w:eastAsia="pl-PL"/>
        </w:rPr>
        <w:t xml:space="preserve">PLK </w:t>
      </w:r>
      <w:r w:rsidR="000B1036" w:rsidRPr="003B0A32">
        <w:rPr>
          <w:rFonts w:ascii="Times New Roman" w:hAnsi="Times New Roman" w:cs="Times New Roman"/>
          <w:color w:val="auto"/>
          <w:sz w:val="24"/>
          <w:szCs w:val="24"/>
          <w:lang w:eastAsia="pl-PL"/>
        </w:rPr>
        <w:t xml:space="preserve">S.A. </w:t>
      </w:r>
      <w:r w:rsidRPr="003B0A32">
        <w:rPr>
          <w:rFonts w:ascii="Times New Roman" w:hAnsi="Times New Roman" w:cs="Times New Roman"/>
          <w:color w:val="auto"/>
          <w:sz w:val="24"/>
          <w:szCs w:val="24"/>
          <w:lang w:eastAsia="pl-PL"/>
        </w:rPr>
        <w:t xml:space="preserve">również w sytuacji dokonania zapłaty w ciągu roku podatkowego zaliczek z tytułu bieżącej działalności w wysokości, która uniemożliwiłaby spłatę podatku należnego akcjami </w:t>
      </w:r>
      <w:r w:rsidR="00F600D1" w:rsidRPr="003B0A32">
        <w:rPr>
          <w:rFonts w:ascii="Times New Roman" w:hAnsi="Times New Roman" w:cs="Times New Roman"/>
          <w:color w:val="auto"/>
          <w:sz w:val="24"/>
          <w:szCs w:val="24"/>
          <w:lang w:eastAsia="pl-PL"/>
        </w:rPr>
        <w:t xml:space="preserve">PKP PLK S.A. </w:t>
      </w:r>
      <w:r w:rsidRPr="003B0A32">
        <w:rPr>
          <w:rFonts w:ascii="Times New Roman" w:hAnsi="Times New Roman" w:cs="Times New Roman"/>
          <w:color w:val="auto"/>
          <w:sz w:val="24"/>
          <w:szCs w:val="24"/>
          <w:lang w:eastAsia="pl-PL"/>
        </w:rPr>
        <w:t xml:space="preserve">na zasadach ogólnych, wynikających z ustawy </w:t>
      </w:r>
      <w:r w:rsidR="00F600D1" w:rsidRPr="003B0A32">
        <w:rPr>
          <w:rFonts w:ascii="Times New Roman" w:hAnsi="Times New Roman" w:cs="Times New Roman"/>
          <w:color w:val="auto"/>
          <w:sz w:val="24"/>
          <w:szCs w:val="24"/>
          <w:lang w:eastAsia="pl-PL"/>
        </w:rPr>
        <w:t xml:space="preserve">z dnia 15 lutego 1992 r. </w:t>
      </w:r>
      <w:r w:rsidRPr="003B0A32">
        <w:rPr>
          <w:rFonts w:ascii="Times New Roman" w:hAnsi="Times New Roman" w:cs="Times New Roman"/>
          <w:i/>
          <w:color w:val="auto"/>
          <w:sz w:val="24"/>
          <w:szCs w:val="24"/>
          <w:lang w:eastAsia="pl-PL"/>
        </w:rPr>
        <w:t>o</w:t>
      </w:r>
      <w:r w:rsidR="007C1C8F" w:rsidRPr="003B0A32">
        <w:rPr>
          <w:rFonts w:ascii="Times New Roman" w:hAnsi="Times New Roman" w:cs="Times New Roman"/>
          <w:i/>
          <w:color w:val="auto"/>
          <w:sz w:val="24"/>
          <w:szCs w:val="24"/>
          <w:lang w:eastAsia="pl-PL"/>
        </w:rPr>
        <w:t> </w:t>
      </w:r>
      <w:r w:rsidRPr="003B0A32">
        <w:rPr>
          <w:rFonts w:ascii="Times New Roman" w:hAnsi="Times New Roman" w:cs="Times New Roman"/>
          <w:i/>
          <w:color w:val="auto"/>
          <w:sz w:val="24"/>
          <w:szCs w:val="24"/>
          <w:lang w:eastAsia="pl-PL"/>
        </w:rPr>
        <w:t>podatku dochodowym od osób prawnych</w:t>
      </w:r>
      <w:r w:rsidR="00F600D1" w:rsidRPr="003B0A32">
        <w:rPr>
          <w:rFonts w:ascii="Times New Roman" w:hAnsi="Times New Roman" w:cs="Times New Roman"/>
          <w:color w:val="auto"/>
          <w:sz w:val="24"/>
          <w:szCs w:val="24"/>
          <w:lang w:eastAsia="pl-PL"/>
        </w:rPr>
        <w:t xml:space="preserve"> (Dz. U. z </w:t>
      </w:r>
      <w:r w:rsidR="0042496A" w:rsidRPr="003B0A32">
        <w:rPr>
          <w:rFonts w:ascii="Times New Roman" w:hAnsi="Times New Roman" w:cs="Times New Roman"/>
          <w:color w:val="auto"/>
          <w:sz w:val="24"/>
          <w:szCs w:val="24"/>
          <w:lang w:eastAsia="pl-PL"/>
        </w:rPr>
        <w:t>2021 r. poz. 1800, z późn. zm.)</w:t>
      </w:r>
      <w:r w:rsidRPr="003B0A32">
        <w:rPr>
          <w:rFonts w:ascii="Times New Roman" w:hAnsi="Times New Roman" w:cs="Times New Roman"/>
          <w:color w:val="auto"/>
          <w:sz w:val="24"/>
          <w:szCs w:val="24"/>
          <w:lang w:eastAsia="pl-PL"/>
        </w:rPr>
        <w:t>. W takiej sytuacji nadwyżka zaliczek nad kwotą różnicy podatku należnego nad podatkiem podlegającym spłacie akcjami</w:t>
      </w:r>
      <w:r w:rsidR="005E44CB" w:rsidRPr="003B0A32">
        <w:rPr>
          <w:rFonts w:ascii="Times New Roman" w:hAnsi="Times New Roman" w:cs="Times New Roman"/>
          <w:color w:val="auto"/>
          <w:sz w:val="24"/>
          <w:szCs w:val="24"/>
          <w:lang w:eastAsia="pl-PL"/>
        </w:rPr>
        <w:t xml:space="preserve"> PKP</w:t>
      </w:r>
      <w:r w:rsidRPr="003B0A32">
        <w:rPr>
          <w:rFonts w:ascii="Times New Roman" w:hAnsi="Times New Roman" w:cs="Times New Roman"/>
          <w:color w:val="auto"/>
          <w:sz w:val="24"/>
          <w:szCs w:val="24"/>
          <w:lang w:eastAsia="pl-PL"/>
        </w:rPr>
        <w:t xml:space="preserve"> PLK</w:t>
      </w:r>
      <w:r w:rsidR="005E44CB" w:rsidRPr="003B0A32">
        <w:rPr>
          <w:rFonts w:ascii="Times New Roman" w:hAnsi="Times New Roman" w:cs="Times New Roman"/>
          <w:color w:val="auto"/>
          <w:sz w:val="24"/>
          <w:szCs w:val="24"/>
          <w:lang w:eastAsia="pl-PL"/>
        </w:rPr>
        <w:t xml:space="preserve"> S.A.</w:t>
      </w:r>
      <w:r w:rsidRPr="003B0A32">
        <w:rPr>
          <w:rFonts w:ascii="Times New Roman" w:hAnsi="Times New Roman" w:cs="Times New Roman"/>
          <w:color w:val="auto"/>
          <w:sz w:val="24"/>
          <w:szCs w:val="24"/>
          <w:lang w:eastAsia="pl-PL"/>
        </w:rPr>
        <w:t>, zgodnie z</w:t>
      </w:r>
      <w:r w:rsidR="00311DA4" w:rsidRPr="003B0A32">
        <w:rPr>
          <w:rFonts w:ascii="Times New Roman" w:hAnsi="Times New Roman" w:cs="Times New Roman"/>
          <w:color w:val="auto"/>
          <w:sz w:val="24"/>
          <w:szCs w:val="24"/>
          <w:lang w:eastAsia="pl-PL"/>
        </w:rPr>
        <w:t xml:space="preserve"> art. 24ba ust. 6</w:t>
      </w:r>
      <w:r w:rsidRPr="003B0A32">
        <w:rPr>
          <w:rFonts w:ascii="Times New Roman" w:hAnsi="Times New Roman" w:cs="Times New Roman"/>
          <w:color w:val="auto"/>
          <w:sz w:val="24"/>
          <w:szCs w:val="24"/>
          <w:lang w:eastAsia="pl-PL"/>
        </w:rPr>
        <w:t xml:space="preserve">, będzie podlegać zwrotowi w terminie przewidzianym w </w:t>
      </w:r>
      <w:r w:rsidR="00F4079B" w:rsidRPr="003B0A32">
        <w:rPr>
          <w:rFonts w:ascii="Times New Roman" w:hAnsi="Times New Roman" w:cs="Times New Roman"/>
          <w:color w:val="auto"/>
          <w:sz w:val="24"/>
          <w:szCs w:val="24"/>
          <w:lang w:eastAsia="pl-PL"/>
        </w:rPr>
        <w:t>ustawie z</w:t>
      </w:r>
      <w:r w:rsidR="00D23265" w:rsidRPr="003B0A32">
        <w:rPr>
          <w:rFonts w:ascii="Times New Roman" w:hAnsi="Times New Roman" w:cs="Times New Roman"/>
          <w:color w:val="auto"/>
          <w:sz w:val="24"/>
          <w:szCs w:val="24"/>
          <w:lang w:eastAsia="pl-PL"/>
        </w:rPr>
        <w:t> </w:t>
      </w:r>
      <w:r w:rsidR="00F65D07" w:rsidRPr="003B0A32">
        <w:rPr>
          <w:rFonts w:ascii="Times New Roman" w:hAnsi="Times New Roman" w:cs="Times New Roman"/>
          <w:color w:val="auto"/>
          <w:sz w:val="24"/>
          <w:szCs w:val="24"/>
          <w:lang w:eastAsia="pl-PL"/>
        </w:rPr>
        <w:t>dnia 29 sierpnia 1997 r. –</w:t>
      </w:r>
      <w:r w:rsidR="00F4079B" w:rsidRPr="003B0A32">
        <w:rPr>
          <w:rFonts w:ascii="Times New Roman" w:hAnsi="Times New Roman" w:cs="Times New Roman"/>
          <w:color w:val="auto"/>
          <w:sz w:val="24"/>
          <w:szCs w:val="24"/>
          <w:lang w:eastAsia="pl-PL"/>
        </w:rPr>
        <w:t xml:space="preserve"> </w:t>
      </w:r>
      <w:r w:rsidR="00F4079B" w:rsidRPr="003B0A32">
        <w:rPr>
          <w:rFonts w:ascii="Times New Roman" w:hAnsi="Times New Roman" w:cs="Times New Roman"/>
          <w:i/>
          <w:color w:val="auto"/>
          <w:sz w:val="24"/>
          <w:szCs w:val="24"/>
          <w:lang w:eastAsia="pl-PL"/>
        </w:rPr>
        <w:t>Ordynacja podatkowa</w:t>
      </w:r>
      <w:r w:rsidR="00F4079B" w:rsidRPr="003B0A32">
        <w:rPr>
          <w:rFonts w:ascii="Times New Roman" w:hAnsi="Times New Roman" w:cs="Times New Roman"/>
          <w:color w:val="auto"/>
          <w:sz w:val="24"/>
          <w:szCs w:val="24"/>
          <w:lang w:eastAsia="pl-PL"/>
        </w:rPr>
        <w:t xml:space="preserve"> (D</w:t>
      </w:r>
      <w:r w:rsidR="00F65D07" w:rsidRPr="003B0A32">
        <w:rPr>
          <w:rFonts w:ascii="Times New Roman" w:hAnsi="Times New Roman" w:cs="Times New Roman"/>
          <w:color w:val="auto"/>
          <w:sz w:val="24"/>
          <w:szCs w:val="24"/>
          <w:lang w:eastAsia="pl-PL"/>
        </w:rPr>
        <w:t>z. U. z 2021 r. poz. 1540, z póź</w:t>
      </w:r>
      <w:r w:rsidR="00F4079B" w:rsidRPr="003B0A32">
        <w:rPr>
          <w:rFonts w:ascii="Times New Roman" w:hAnsi="Times New Roman" w:cs="Times New Roman"/>
          <w:color w:val="auto"/>
          <w:sz w:val="24"/>
          <w:szCs w:val="24"/>
          <w:lang w:eastAsia="pl-PL"/>
        </w:rPr>
        <w:t>n. zm.)</w:t>
      </w:r>
      <w:r w:rsidR="00BA2947" w:rsidRPr="003B0A32">
        <w:rPr>
          <w:rFonts w:ascii="Times New Roman" w:hAnsi="Times New Roman" w:cs="Times New Roman"/>
          <w:color w:val="auto"/>
          <w:sz w:val="24"/>
          <w:szCs w:val="24"/>
          <w:lang w:eastAsia="pl-PL"/>
        </w:rPr>
        <w:t xml:space="preserve"> </w:t>
      </w:r>
      <w:r w:rsidRPr="003B0A32">
        <w:rPr>
          <w:rFonts w:ascii="Times New Roman" w:hAnsi="Times New Roman" w:cs="Times New Roman"/>
          <w:color w:val="auto"/>
          <w:sz w:val="24"/>
          <w:szCs w:val="24"/>
          <w:lang w:eastAsia="pl-PL"/>
        </w:rPr>
        <w:t>dla</w:t>
      </w:r>
      <w:r w:rsidR="0045642A" w:rsidRPr="003B0A32">
        <w:rPr>
          <w:rFonts w:ascii="Times New Roman" w:hAnsi="Times New Roman" w:cs="Times New Roman"/>
          <w:color w:val="auto"/>
          <w:sz w:val="24"/>
          <w:szCs w:val="24"/>
          <w:lang w:eastAsia="pl-PL"/>
        </w:rPr>
        <w:t> </w:t>
      </w:r>
      <w:r w:rsidRPr="003B0A32">
        <w:rPr>
          <w:rFonts w:ascii="Times New Roman" w:hAnsi="Times New Roman" w:cs="Times New Roman"/>
          <w:color w:val="auto"/>
          <w:sz w:val="24"/>
          <w:szCs w:val="24"/>
          <w:lang w:eastAsia="pl-PL"/>
        </w:rPr>
        <w:t>zwrotu nadpłaty.</w:t>
      </w:r>
      <w:r w:rsidR="00B17C48" w:rsidRPr="003B0A32">
        <w:rPr>
          <w:rFonts w:ascii="Times New Roman" w:hAnsi="Times New Roman" w:cs="Times New Roman"/>
          <w:color w:val="auto"/>
          <w:sz w:val="24"/>
          <w:szCs w:val="24"/>
          <w:lang w:eastAsia="pl-PL"/>
        </w:rPr>
        <w:t xml:space="preserve"> Przepis ten ma na celu wprowadzenie mechanizmu, który ma pozwolić na zachowanie prawa do dokonania zapłaty podatku, które wygenerują transakcje wniesienia aportu, akcjami PLK również w sytuacji dokonania zapłaty w ciągu roku podatkowego zaliczek z tytułu bieżącej działalności (zaliczanej do źródła przychodów kapitałowych) </w:t>
      </w:r>
      <w:r w:rsidR="00244054" w:rsidRPr="003B0A32">
        <w:rPr>
          <w:rFonts w:ascii="Times New Roman" w:hAnsi="Times New Roman" w:cs="Times New Roman"/>
          <w:color w:val="auto"/>
          <w:sz w:val="24"/>
          <w:szCs w:val="24"/>
          <w:lang w:eastAsia="pl-PL"/>
        </w:rPr>
        <w:t>w </w:t>
      </w:r>
      <w:r w:rsidR="00B17C48" w:rsidRPr="003B0A32">
        <w:rPr>
          <w:rFonts w:ascii="Times New Roman" w:hAnsi="Times New Roman" w:cs="Times New Roman"/>
          <w:color w:val="auto"/>
          <w:sz w:val="24"/>
          <w:szCs w:val="24"/>
          <w:lang w:eastAsia="pl-PL"/>
        </w:rPr>
        <w:t xml:space="preserve">wysokości, która uniemożliwiłaby spłatę podatku należnego akcjami </w:t>
      </w:r>
      <w:r w:rsidR="00311DA4" w:rsidRPr="003B0A32">
        <w:rPr>
          <w:rFonts w:ascii="Times New Roman" w:hAnsi="Times New Roman" w:cs="Times New Roman"/>
          <w:color w:val="auto"/>
          <w:sz w:val="24"/>
          <w:szCs w:val="24"/>
          <w:lang w:eastAsia="pl-PL"/>
        </w:rPr>
        <w:t xml:space="preserve">PKP </w:t>
      </w:r>
      <w:r w:rsidR="00B17C48" w:rsidRPr="003B0A32">
        <w:rPr>
          <w:rFonts w:ascii="Times New Roman" w:hAnsi="Times New Roman" w:cs="Times New Roman"/>
          <w:color w:val="auto"/>
          <w:sz w:val="24"/>
          <w:szCs w:val="24"/>
          <w:lang w:eastAsia="pl-PL"/>
        </w:rPr>
        <w:t>PLK</w:t>
      </w:r>
      <w:r w:rsidR="00311DA4" w:rsidRPr="003B0A32">
        <w:rPr>
          <w:rFonts w:ascii="Times New Roman" w:hAnsi="Times New Roman" w:cs="Times New Roman"/>
          <w:color w:val="auto"/>
          <w:sz w:val="24"/>
          <w:szCs w:val="24"/>
          <w:lang w:eastAsia="pl-PL"/>
        </w:rPr>
        <w:t xml:space="preserve"> S.A.</w:t>
      </w:r>
      <w:r w:rsidR="00B17C48" w:rsidRPr="003B0A32">
        <w:rPr>
          <w:rFonts w:ascii="Times New Roman" w:hAnsi="Times New Roman" w:cs="Times New Roman"/>
          <w:color w:val="auto"/>
          <w:sz w:val="24"/>
          <w:szCs w:val="24"/>
          <w:lang w:eastAsia="pl-PL"/>
        </w:rPr>
        <w:t xml:space="preserve"> na</w:t>
      </w:r>
      <w:r w:rsidR="00D23265" w:rsidRPr="003B0A32">
        <w:rPr>
          <w:rFonts w:ascii="Times New Roman" w:hAnsi="Times New Roman" w:cs="Times New Roman"/>
          <w:color w:val="auto"/>
          <w:sz w:val="24"/>
          <w:szCs w:val="24"/>
          <w:lang w:eastAsia="pl-PL"/>
        </w:rPr>
        <w:t> </w:t>
      </w:r>
      <w:r w:rsidR="00B17C48" w:rsidRPr="003B0A32">
        <w:rPr>
          <w:rFonts w:ascii="Times New Roman" w:hAnsi="Times New Roman" w:cs="Times New Roman"/>
          <w:color w:val="auto"/>
          <w:sz w:val="24"/>
          <w:szCs w:val="24"/>
          <w:lang w:eastAsia="pl-PL"/>
        </w:rPr>
        <w:t xml:space="preserve">zasadach ogólnych, wynikających z ustawy </w:t>
      </w:r>
      <w:r w:rsidR="00311DA4" w:rsidRPr="003B0A32">
        <w:rPr>
          <w:rFonts w:ascii="Times New Roman" w:hAnsi="Times New Roman" w:cs="Times New Roman"/>
          <w:color w:val="auto"/>
          <w:sz w:val="24"/>
          <w:szCs w:val="24"/>
          <w:lang w:eastAsia="pl-PL"/>
        </w:rPr>
        <w:t xml:space="preserve">z dnia 15 lutego 1992 r. </w:t>
      </w:r>
      <w:r w:rsidR="00B17C48" w:rsidRPr="003B0A32">
        <w:rPr>
          <w:rFonts w:ascii="Times New Roman" w:hAnsi="Times New Roman" w:cs="Times New Roman"/>
          <w:i/>
          <w:color w:val="auto"/>
          <w:sz w:val="24"/>
          <w:szCs w:val="24"/>
          <w:lang w:eastAsia="pl-PL"/>
        </w:rPr>
        <w:t>o podatku dochodowym od osób prawnych</w:t>
      </w:r>
      <w:r w:rsidR="00B17C48" w:rsidRPr="003B0A32">
        <w:rPr>
          <w:rFonts w:ascii="Times New Roman" w:hAnsi="Times New Roman" w:cs="Times New Roman"/>
          <w:color w:val="auto"/>
          <w:sz w:val="24"/>
          <w:szCs w:val="24"/>
          <w:lang w:eastAsia="pl-PL"/>
        </w:rPr>
        <w:t xml:space="preserve">. </w:t>
      </w:r>
    </w:p>
    <w:p w14:paraId="7AACCF25" w14:textId="14B0F3CF" w:rsidR="00B17C48" w:rsidRPr="003B0A32" w:rsidRDefault="00B17C48" w:rsidP="003B0A32">
      <w:pPr>
        <w:shd w:val="clear" w:color="auto" w:fill="FFFFFF"/>
        <w:spacing w:before="120" w:line="360" w:lineRule="auto"/>
        <w:jc w:val="both"/>
        <w:rPr>
          <w:rFonts w:ascii="Times New Roman" w:hAnsi="Times New Roman" w:cs="Times New Roman"/>
          <w:color w:val="auto"/>
          <w:sz w:val="24"/>
          <w:szCs w:val="24"/>
          <w:lang w:eastAsia="pl-PL"/>
        </w:rPr>
      </w:pPr>
      <w:r w:rsidRPr="003B0A32">
        <w:rPr>
          <w:rFonts w:ascii="Times New Roman" w:hAnsi="Times New Roman" w:cs="Times New Roman"/>
          <w:color w:val="auto"/>
          <w:sz w:val="24"/>
          <w:szCs w:val="24"/>
          <w:lang w:eastAsia="pl-PL"/>
        </w:rPr>
        <w:t xml:space="preserve">Przypadek taki może mieć miejsce </w:t>
      </w:r>
      <w:r w:rsidR="003B0A32" w:rsidRPr="003B0A32">
        <w:rPr>
          <w:rFonts w:ascii="Times New Roman" w:hAnsi="Times New Roman" w:cs="Times New Roman"/>
          <w:color w:val="auto"/>
          <w:sz w:val="24"/>
          <w:szCs w:val="24"/>
          <w:lang w:eastAsia="pl-PL"/>
        </w:rPr>
        <w:t xml:space="preserve">np. </w:t>
      </w:r>
      <w:r w:rsidRPr="003B0A32">
        <w:rPr>
          <w:rFonts w:ascii="Times New Roman" w:hAnsi="Times New Roman" w:cs="Times New Roman"/>
          <w:color w:val="auto"/>
          <w:sz w:val="24"/>
          <w:szCs w:val="24"/>
          <w:lang w:eastAsia="pl-PL"/>
        </w:rPr>
        <w:t>w sytuacji</w:t>
      </w:r>
      <w:r w:rsidR="003B0A32">
        <w:rPr>
          <w:rFonts w:ascii="Times New Roman" w:hAnsi="Times New Roman" w:cs="Times New Roman"/>
          <w:color w:val="auto"/>
          <w:sz w:val="24"/>
          <w:szCs w:val="24"/>
          <w:lang w:eastAsia="pl-PL"/>
        </w:rPr>
        <w:t>,</w:t>
      </w:r>
      <w:r w:rsidRPr="003B0A32">
        <w:rPr>
          <w:rFonts w:ascii="Times New Roman" w:hAnsi="Times New Roman" w:cs="Times New Roman"/>
          <w:color w:val="auto"/>
          <w:sz w:val="24"/>
          <w:szCs w:val="24"/>
          <w:lang w:eastAsia="pl-PL"/>
        </w:rPr>
        <w:t xml:space="preserve"> gdy:</w:t>
      </w:r>
    </w:p>
    <w:p w14:paraId="5293BD38" w14:textId="44AA653B" w:rsidR="00B17C48" w:rsidRPr="003B0A32" w:rsidRDefault="007666E2" w:rsidP="003B0A32">
      <w:pPr>
        <w:shd w:val="clear" w:color="auto" w:fill="FFFFFF"/>
        <w:spacing w:line="360" w:lineRule="auto"/>
        <w:ind w:left="567" w:hanging="567"/>
        <w:jc w:val="both"/>
        <w:rPr>
          <w:rFonts w:ascii="Times New Roman" w:hAnsi="Times New Roman" w:cs="Times New Roman"/>
          <w:color w:val="auto"/>
          <w:sz w:val="24"/>
          <w:szCs w:val="24"/>
          <w:lang w:eastAsia="pl-PL"/>
        </w:rPr>
      </w:pPr>
      <w:r w:rsidRPr="003B0A32">
        <w:rPr>
          <w:rFonts w:ascii="Times New Roman" w:hAnsi="Times New Roman" w:cs="Times New Roman"/>
          <w:color w:val="auto"/>
          <w:sz w:val="24"/>
          <w:szCs w:val="24"/>
          <w:lang w:eastAsia="pl-PL"/>
        </w:rPr>
        <w:t>1</w:t>
      </w:r>
      <w:r w:rsidR="00B17C48" w:rsidRPr="003B0A32">
        <w:rPr>
          <w:rFonts w:ascii="Times New Roman" w:hAnsi="Times New Roman" w:cs="Times New Roman"/>
          <w:color w:val="auto"/>
          <w:sz w:val="24"/>
          <w:szCs w:val="24"/>
          <w:lang w:eastAsia="pl-PL"/>
        </w:rPr>
        <w:t>)</w:t>
      </w:r>
      <w:r w:rsidR="00B17C48" w:rsidRPr="003B0A32">
        <w:rPr>
          <w:rFonts w:ascii="Times New Roman" w:hAnsi="Times New Roman" w:cs="Times New Roman"/>
          <w:color w:val="auto"/>
          <w:sz w:val="24"/>
          <w:szCs w:val="24"/>
          <w:lang w:eastAsia="pl-PL"/>
        </w:rPr>
        <w:tab/>
        <w:t>PKP będzie generować dochód ze źródła przychodów kapitałowych w ciągu kilku miesięcy roku podatkowego, w związku z czym będzie opłacać zaliczki na podatek,</w:t>
      </w:r>
    </w:p>
    <w:p w14:paraId="08CEF413" w14:textId="57FA5D7A" w:rsidR="00B17C48" w:rsidRPr="003B0A32" w:rsidRDefault="007D54BF" w:rsidP="003B0A32">
      <w:pPr>
        <w:shd w:val="clear" w:color="auto" w:fill="FFFFFF"/>
        <w:spacing w:line="360" w:lineRule="auto"/>
        <w:ind w:left="567" w:hanging="567"/>
        <w:jc w:val="both"/>
        <w:rPr>
          <w:rFonts w:ascii="Times New Roman" w:hAnsi="Times New Roman" w:cs="Times New Roman"/>
          <w:color w:val="auto"/>
          <w:sz w:val="24"/>
          <w:szCs w:val="24"/>
          <w:lang w:eastAsia="pl-PL"/>
        </w:rPr>
      </w:pPr>
      <w:r w:rsidRPr="003B0A32">
        <w:rPr>
          <w:rFonts w:ascii="Times New Roman" w:hAnsi="Times New Roman" w:cs="Times New Roman"/>
          <w:color w:val="auto"/>
          <w:sz w:val="24"/>
          <w:szCs w:val="24"/>
          <w:lang w:eastAsia="pl-PL"/>
        </w:rPr>
        <w:t>2</w:t>
      </w:r>
      <w:r w:rsidR="00B17C48" w:rsidRPr="003B0A32">
        <w:rPr>
          <w:rFonts w:ascii="Times New Roman" w:hAnsi="Times New Roman" w:cs="Times New Roman"/>
          <w:color w:val="auto"/>
          <w:sz w:val="24"/>
          <w:szCs w:val="24"/>
          <w:lang w:eastAsia="pl-PL"/>
        </w:rPr>
        <w:t>)</w:t>
      </w:r>
      <w:r w:rsidR="00B17C48" w:rsidRPr="003B0A32">
        <w:rPr>
          <w:rFonts w:ascii="Times New Roman" w:hAnsi="Times New Roman" w:cs="Times New Roman"/>
          <w:color w:val="auto"/>
          <w:sz w:val="24"/>
          <w:szCs w:val="24"/>
          <w:lang w:eastAsia="pl-PL"/>
        </w:rPr>
        <w:tab/>
        <w:t>następnie dokona transakcji (zaliczanych do tego samego źródła), k</w:t>
      </w:r>
      <w:r w:rsidR="001140F3" w:rsidRPr="003B0A32">
        <w:rPr>
          <w:rFonts w:ascii="Times New Roman" w:hAnsi="Times New Roman" w:cs="Times New Roman"/>
          <w:color w:val="auto"/>
          <w:sz w:val="24"/>
          <w:szCs w:val="24"/>
          <w:lang w:eastAsia="pl-PL"/>
        </w:rPr>
        <w:t xml:space="preserve">tóre przyniosą stratę </w:t>
      </w:r>
      <w:r w:rsidR="001140F3" w:rsidRPr="003B0A32">
        <w:rPr>
          <w:rFonts w:ascii="Times New Roman" w:hAnsi="Times New Roman" w:cs="Times New Roman"/>
          <w:color w:val="auto"/>
          <w:sz w:val="24"/>
          <w:szCs w:val="24"/>
          <w:lang w:eastAsia="pl-PL"/>
        </w:rPr>
        <w:lastRenderedPageBreak/>
        <w:t>podatkową</w:t>
      </w:r>
      <w:r w:rsidR="00B17C48" w:rsidRPr="003B0A32">
        <w:rPr>
          <w:rFonts w:ascii="Times New Roman" w:hAnsi="Times New Roman" w:cs="Times New Roman"/>
          <w:color w:val="auto"/>
          <w:sz w:val="24"/>
          <w:szCs w:val="24"/>
          <w:lang w:eastAsia="pl-PL"/>
        </w:rPr>
        <w:t>; strata podatkowa z tej transakcji skonsumuje wcześniejszy dochód podatkowy osiągany od początku roku</w:t>
      </w:r>
      <w:r w:rsidR="001140F3" w:rsidRPr="003B0A32">
        <w:rPr>
          <w:rFonts w:ascii="Times New Roman" w:hAnsi="Times New Roman" w:cs="Times New Roman"/>
          <w:color w:val="auto"/>
          <w:sz w:val="24"/>
          <w:szCs w:val="24"/>
          <w:lang w:eastAsia="pl-PL"/>
        </w:rPr>
        <w:t>,</w:t>
      </w:r>
    </w:p>
    <w:p w14:paraId="06763181" w14:textId="3AE0F161" w:rsidR="00B17C48" w:rsidRPr="003B0A32" w:rsidRDefault="007D54BF" w:rsidP="003B0A32">
      <w:pPr>
        <w:shd w:val="clear" w:color="auto" w:fill="FFFFFF"/>
        <w:spacing w:after="120" w:line="360" w:lineRule="auto"/>
        <w:ind w:left="567" w:hanging="567"/>
        <w:jc w:val="both"/>
        <w:rPr>
          <w:rFonts w:ascii="Times New Roman" w:hAnsi="Times New Roman" w:cs="Times New Roman"/>
          <w:color w:val="auto"/>
          <w:sz w:val="24"/>
          <w:szCs w:val="24"/>
          <w:lang w:eastAsia="pl-PL"/>
        </w:rPr>
      </w:pPr>
      <w:r w:rsidRPr="003B0A32">
        <w:rPr>
          <w:rFonts w:ascii="Times New Roman" w:hAnsi="Times New Roman" w:cs="Times New Roman"/>
          <w:color w:val="auto"/>
          <w:sz w:val="24"/>
          <w:szCs w:val="24"/>
          <w:lang w:eastAsia="pl-PL"/>
        </w:rPr>
        <w:t>3</w:t>
      </w:r>
      <w:r w:rsidR="00B17C48" w:rsidRPr="003B0A32">
        <w:rPr>
          <w:rFonts w:ascii="Times New Roman" w:hAnsi="Times New Roman" w:cs="Times New Roman"/>
          <w:color w:val="auto"/>
          <w:sz w:val="24"/>
          <w:szCs w:val="24"/>
          <w:lang w:eastAsia="pl-PL"/>
        </w:rPr>
        <w:t>)</w:t>
      </w:r>
      <w:r w:rsidR="00B17C48" w:rsidRPr="003B0A32">
        <w:rPr>
          <w:rFonts w:ascii="Times New Roman" w:hAnsi="Times New Roman" w:cs="Times New Roman"/>
          <w:color w:val="auto"/>
          <w:sz w:val="24"/>
          <w:szCs w:val="24"/>
          <w:lang w:eastAsia="pl-PL"/>
        </w:rPr>
        <w:tab/>
        <w:t>pod koniec roku podatkowego zostanie zarejestrowany aport do</w:t>
      </w:r>
      <w:r w:rsidR="00311DA4" w:rsidRPr="003B0A32">
        <w:rPr>
          <w:rFonts w:ascii="Times New Roman" w:hAnsi="Times New Roman" w:cs="Times New Roman"/>
          <w:color w:val="auto"/>
          <w:sz w:val="24"/>
          <w:szCs w:val="24"/>
          <w:lang w:eastAsia="pl-PL"/>
        </w:rPr>
        <w:t xml:space="preserve"> PKP</w:t>
      </w:r>
      <w:r w:rsidR="00B17C48" w:rsidRPr="003B0A32">
        <w:rPr>
          <w:rFonts w:ascii="Times New Roman" w:hAnsi="Times New Roman" w:cs="Times New Roman"/>
          <w:color w:val="auto"/>
          <w:sz w:val="24"/>
          <w:szCs w:val="24"/>
          <w:lang w:eastAsia="pl-PL"/>
        </w:rPr>
        <w:t xml:space="preserve"> PLK</w:t>
      </w:r>
      <w:r w:rsidR="00311DA4" w:rsidRPr="003B0A32">
        <w:rPr>
          <w:rFonts w:ascii="Times New Roman" w:hAnsi="Times New Roman" w:cs="Times New Roman"/>
          <w:color w:val="auto"/>
          <w:sz w:val="24"/>
          <w:szCs w:val="24"/>
          <w:lang w:eastAsia="pl-PL"/>
        </w:rPr>
        <w:t xml:space="preserve"> S.A.</w:t>
      </w:r>
      <w:r w:rsidR="00B17C48" w:rsidRPr="003B0A32">
        <w:rPr>
          <w:rFonts w:ascii="Times New Roman" w:hAnsi="Times New Roman" w:cs="Times New Roman"/>
          <w:color w:val="auto"/>
          <w:sz w:val="24"/>
          <w:szCs w:val="24"/>
          <w:lang w:eastAsia="pl-PL"/>
        </w:rPr>
        <w:t>, który wygeneruje dochód podatkowy.</w:t>
      </w:r>
    </w:p>
    <w:p w14:paraId="7F55E8F7" w14:textId="5966AA2D" w:rsidR="00B17C48" w:rsidRPr="003B0A32" w:rsidRDefault="00B17C48" w:rsidP="003B0A32">
      <w:pPr>
        <w:shd w:val="clear" w:color="auto" w:fill="FFFFFF"/>
        <w:spacing w:line="360" w:lineRule="auto"/>
        <w:jc w:val="both"/>
        <w:rPr>
          <w:rFonts w:ascii="Times New Roman" w:hAnsi="Times New Roman" w:cs="Times New Roman"/>
          <w:color w:val="auto"/>
          <w:sz w:val="24"/>
          <w:szCs w:val="24"/>
          <w:lang w:eastAsia="pl-PL"/>
        </w:rPr>
      </w:pPr>
      <w:r w:rsidRPr="003B0A32">
        <w:rPr>
          <w:rFonts w:ascii="Times New Roman" w:hAnsi="Times New Roman" w:cs="Times New Roman"/>
          <w:color w:val="auto"/>
          <w:sz w:val="24"/>
          <w:szCs w:val="24"/>
          <w:lang w:eastAsia="pl-PL"/>
        </w:rPr>
        <w:t>Brak mechanizmu z prze</w:t>
      </w:r>
      <w:r w:rsidR="00311DA4" w:rsidRPr="003B0A32">
        <w:rPr>
          <w:rFonts w:ascii="Times New Roman" w:hAnsi="Times New Roman" w:cs="Times New Roman"/>
          <w:color w:val="auto"/>
          <w:sz w:val="24"/>
          <w:szCs w:val="24"/>
          <w:lang w:eastAsia="pl-PL"/>
        </w:rPr>
        <w:t>pisu art. 24ba ust. 4 skutkowałby</w:t>
      </w:r>
      <w:r w:rsidRPr="003B0A32">
        <w:rPr>
          <w:rFonts w:ascii="Times New Roman" w:hAnsi="Times New Roman" w:cs="Times New Roman"/>
          <w:color w:val="auto"/>
          <w:sz w:val="24"/>
          <w:szCs w:val="24"/>
          <w:lang w:eastAsia="pl-PL"/>
        </w:rPr>
        <w:t xml:space="preserve"> zaliczeniem zaliczek opłaconych w ciągu roku podatkowego z bieżącej działalności Spółki na podatek wygenerowany przez aport do </w:t>
      </w:r>
      <w:r w:rsidR="00311DA4" w:rsidRPr="003B0A32">
        <w:rPr>
          <w:rFonts w:ascii="Times New Roman" w:hAnsi="Times New Roman" w:cs="Times New Roman"/>
          <w:color w:val="auto"/>
          <w:sz w:val="24"/>
          <w:szCs w:val="24"/>
          <w:lang w:eastAsia="pl-PL"/>
        </w:rPr>
        <w:t xml:space="preserve">PKP </w:t>
      </w:r>
      <w:r w:rsidRPr="003B0A32">
        <w:rPr>
          <w:rFonts w:ascii="Times New Roman" w:hAnsi="Times New Roman" w:cs="Times New Roman"/>
          <w:color w:val="auto"/>
          <w:sz w:val="24"/>
          <w:szCs w:val="24"/>
          <w:lang w:eastAsia="pl-PL"/>
        </w:rPr>
        <w:t>PLK</w:t>
      </w:r>
      <w:r w:rsidR="00311DA4" w:rsidRPr="003B0A32">
        <w:rPr>
          <w:rFonts w:ascii="Times New Roman" w:hAnsi="Times New Roman" w:cs="Times New Roman"/>
          <w:color w:val="auto"/>
          <w:sz w:val="24"/>
          <w:szCs w:val="24"/>
          <w:lang w:eastAsia="pl-PL"/>
        </w:rPr>
        <w:t xml:space="preserve"> S.A.</w:t>
      </w:r>
      <w:r w:rsidRPr="003B0A32">
        <w:rPr>
          <w:rFonts w:ascii="Times New Roman" w:hAnsi="Times New Roman" w:cs="Times New Roman"/>
          <w:color w:val="auto"/>
          <w:sz w:val="24"/>
          <w:szCs w:val="24"/>
          <w:lang w:eastAsia="pl-PL"/>
        </w:rPr>
        <w:t>, co nie powinno mieć miejsca</w:t>
      </w:r>
      <w:r w:rsidR="00074641">
        <w:rPr>
          <w:rFonts w:ascii="Times New Roman" w:hAnsi="Times New Roman" w:cs="Times New Roman"/>
          <w:color w:val="auto"/>
          <w:sz w:val="24"/>
          <w:szCs w:val="24"/>
          <w:lang w:eastAsia="pl-PL"/>
        </w:rPr>
        <w:t>,</w:t>
      </w:r>
      <w:r w:rsidRPr="003B0A32">
        <w:rPr>
          <w:rFonts w:ascii="Times New Roman" w:hAnsi="Times New Roman" w:cs="Times New Roman"/>
          <w:color w:val="auto"/>
          <w:sz w:val="24"/>
          <w:szCs w:val="24"/>
          <w:lang w:eastAsia="pl-PL"/>
        </w:rPr>
        <w:t xml:space="preserve"> albowiem PKP S</w:t>
      </w:r>
      <w:r w:rsidR="00311DA4" w:rsidRPr="003B0A32">
        <w:rPr>
          <w:rFonts w:ascii="Times New Roman" w:hAnsi="Times New Roman" w:cs="Times New Roman"/>
          <w:color w:val="auto"/>
          <w:sz w:val="24"/>
          <w:szCs w:val="24"/>
          <w:lang w:eastAsia="pl-PL"/>
        </w:rPr>
        <w:t>.</w:t>
      </w:r>
      <w:r w:rsidRPr="003B0A32">
        <w:rPr>
          <w:rFonts w:ascii="Times New Roman" w:hAnsi="Times New Roman" w:cs="Times New Roman"/>
          <w:color w:val="auto"/>
          <w:sz w:val="24"/>
          <w:szCs w:val="24"/>
          <w:lang w:eastAsia="pl-PL"/>
        </w:rPr>
        <w:t>A</w:t>
      </w:r>
      <w:r w:rsidR="00311DA4" w:rsidRPr="003B0A32">
        <w:rPr>
          <w:rFonts w:ascii="Times New Roman" w:hAnsi="Times New Roman" w:cs="Times New Roman"/>
          <w:color w:val="auto"/>
          <w:sz w:val="24"/>
          <w:szCs w:val="24"/>
          <w:lang w:eastAsia="pl-PL"/>
        </w:rPr>
        <w:t>.</w:t>
      </w:r>
      <w:r w:rsidRPr="003B0A32">
        <w:rPr>
          <w:rFonts w:ascii="Times New Roman" w:hAnsi="Times New Roman" w:cs="Times New Roman"/>
          <w:color w:val="auto"/>
          <w:sz w:val="24"/>
          <w:szCs w:val="24"/>
          <w:lang w:eastAsia="pl-PL"/>
        </w:rPr>
        <w:t xml:space="preserve"> powinna ten podatek zapłacić w całości akcjami </w:t>
      </w:r>
      <w:r w:rsidR="00311DA4" w:rsidRPr="003B0A32">
        <w:rPr>
          <w:rFonts w:ascii="Times New Roman" w:hAnsi="Times New Roman" w:cs="Times New Roman"/>
          <w:color w:val="auto"/>
          <w:sz w:val="24"/>
          <w:szCs w:val="24"/>
          <w:lang w:eastAsia="pl-PL"/>
        </w:rPr>
        <w:t xml:space="preserve">PKP </w:t>
      </w:r>
      <w:r w:rsidRPr="003B0A32">
        <w:rPr>
          <w:rFonts w:ascii="Times New Roman" w:hAnsi="Times New Roman" w:cs="Times New Roman"/>
          <w:color w:val="auto"/>
          <w:sz w:val="24"/>
          <w:szCs w:val="24"/>
          <w:lang w:eastAsia="pl-PL"/>
        </w:rPr>
        <w:t>PLK</w:t>
      </w:r>
      <w:r w:rsidR="00311DA4" w:rsidRPr="003B0A32">
        <w:rPr>
          <w:rFonts w:ascii="Times New Roman" w:hAnsi="Times New Roman" w:cs="Times New Roman"/>
          <w:color w:val="auto"/>
          <w:sz w:val="24"/>
          <w:szCs w:val="24"/>
          <w:lang w:eastAsia="pl-PL"/>
        </w:rPr>
        <w:t xml:space="preserve"> S.A</w:t>
      </w:r>
      <w:r w:rsidRPr="003B0A32">
        <w:rPr>
          <w:rFonts w:ascii="Times New Roman" w:hAnsi="Times New Roman" w:cs="Times New Roman"/>
          <w:color w:val="auto"/>
          <w:sz w:val="24"/>
          <w:szCs w:val="24"/>
          <w:lang w:eastAsia="pl-PL"/>
        </w:rPr>
        <w:t xml:space="preserve">. </w:t>
      </w:r>
    </w:p>
    <w:p w14:paraId="7B8AF0A4" w14:textId="3A5B15CC" w:rsidR="0012633F" w:rsidRPr="003B0A32" w:rsidRDefault="0012633F" w:rsidP="003B0A32">
      <w:pPr>
        <w:shd w:val="clear" w:color="auto" w:fill="FFFFFF"/>
        <w:spacing w:before="120" w:after="150" w:line="360" w:lineRule="auto"/>
        <w:jc w:val="both"/>
        <w:rPr>
          <w:rFonts w:ascii="Times New Roman" w:hAnsi="Times New Roman" w:cs="Times New Roman"/>
          <w:color w:val="auto"/>
          <w:sz w:val="24"/>
          <w:szCs w:val="24"/>
          <w:lang w:eastAsia="pl-PL"/>
        </w:rPr>
      </w:pPr>
      <w:r w:rsidRPr="003B0A32">
        <w:rPr>
          <w:rFonts w:ascii="Times New Roman" w:hAnsi="Times New Roman" w:cs="Times New Roman"/>
          <w:color w:val="auto"/>
          <w:sz w:val="24"/>
          <w:szCs w:val="24"/>
          <w:lang w:eastAsia="pl-PL"/>
        </w:rPr>
        <w:t>W art. 24ca ust. 1 utrzymano zasadę, ż</w:t>
      </w:r>
      <w:r w:rsidR="001E48F5" w:rsidRPr="003B0A32">
        <w:rPr>
          <w:rFonts w:ascii="Times New Roman" w:hAnsi="Times New Roman" w:cs="Times New Roman"/>
          <w:color w:val="auto"/>
          <w:sz w:val="24"/>
          <w:szCs w:val="24"/>
          <w:lang w:eastAsia="pl-PL"/>
        </w:rPr>
        <w:t>e</w:t>
      </w:r>
      <w:r w:rsidRPr="003B0A32">
        <w:rPr>
          <w:rFonts w:ascii="Times New Roman" w:hAnsi="Times New Roman" w:cs="Times New Roman"/>
          <w:color w:val="auto"/>
          <w:sz w:val="24"/>
          <w:szCs w:val="24"/>
          <w:lang w:eastAsia="pl-PL"/>
        </w:rPr>
        <w:t xml:space="preserve"> zobowiązania podatkowe z tytułu podatku od</w:t>
      </w:r>
      <w:r w:rsidR="0045642A" w:rsidRPr="003B0A32">
        <w:rPr>
          <w:rFonts w:ascii="Times New Roman" w:hAnsi="Times New Roman" w:cs="Times New Roman"/>
          <w:color w:val="auto"/>
          <w:sz w:val="24"/>
          <w:szCs w:val="24"/>
          <w:lang w:eastAsia="pl-PL"/>
        </w:rPr>
        <w:t> </w:t>
      </w:r>
      <w:r w:rsidR="00311DA4" w:rsidRPr="003B0A32">
        <w:rPr>
          <w:rFonts w:ascii="Times New Roman" w:hAnsi="Times New Roman" w:cs="Times New Roman"/>
          <w:color w:val="auto"/>
          <w:sz w:val="24"/>
          <w:szCs w:val="24"/>
          <w:lang w:eastAsia="pl-PL"/>
        </w:rPr>
        <w:t>towarów i usług wynikające</w:t>
      </w:r>
      <w:r w:rsidRPr="003B0A32">
        <w:rPr>
          <w:rFonts w:ascii="Times New Roman" w:hAnsi="Times New Roman" w:cs="Times New Roman"/>
          <w:color w:val="auto"/>
          <w:sz w:val="24"/>
          <w:szCs w:val="24"/>
          <w:lang w:eastAsia="pl-PL"/>
        </w:rPr>
        <w:t xml:space="preserve"> z rozliczenia umowy D50 zawartej między PKP S.A. a</w:t>
      </w:r>
      <w:r w:rsidR="0045642A" w:rsidRPr="003B0A32">
        <w:rPr>
          <w:rFonts w:ascii="Times New Roman" w:hAnsi="Times New Roman" w:cs="Times New Roman"/>
          <w:color w:val="auto"/>
          <w:sz w:val="24"/>
          <w:szCs w:val="24"/>
          <w:lang w:eastAsia="pl-PL"/>
        </w:rPr>
        <w:t> </w:t>
      </w:r>
      <w:r w:rsidR="00C81B4F" w:rsidRPr="003B0A32">
        <w:rPr>
          <w:rFonts w:ascii="Times New Roman" w:hAnsi="Times New Roman" w:cs="Times New Roman"/>
          <w:color w:val="auto"/>
          <w:sz w:val="24"/>
          <w:szCs w:val="24"/>
          <w:lang w:eastAsia="pl-PL"/>
        </w:rPr>
        <w:t xml:space="preserve">PKP </w:t>
      </w:r>
      <w:r w:rsidRPr="003B0A32">
        <w:rPr>
          <w:rFonts w:ascii="Times New Roman" w:hAnsi="Times New Roman" w:cs="Times New Roman"/>
          <w:color w:val="auto"/>
          <w:sz w:val="24"/>
          <w:szCs w:val="24"/>
          <w:lang w:eastAsia="pl-PL"/>
        </w:rPr>
        <w:t xml:space="preserve">PLK </w:t>
      </w:r>
      <w:r w:rsidR="00C81B4F" w:rsidRPr="003B0A32">
        <w:rPr>
          <w:rFonts w:ascii="Times New Roman" w:hAnsi="Times New Roman" w:cs="Times New Roman"/>
          <w:color w:val="auto"/>
          <w:sz w:val="24"/>
          <w:szCs w:val="24"/>
          <w:lang w:eastAsia="pl-PL"/>
        </w:rPr>
        <w:t>S.A.</w:t>
      </w:r>
      <w:r w:rsidR="003A59F5" w:rsidRPr="003B0A32">
        <w:rPr>
          <w:rFonts w:ascii="Times New Roman" w:hAnsi="Times New Roman" w:cs="Times New Roman"/>
          <w:color w:val="auto"/>
          <w:sz w:val="24"/>
          <w:szCs w:val="24"/>
          <w:lang w:eastAsia="pl-PL"/>
        </w:rPr>
        <w:t xml:space="preserve"> </w:t>
      </w:r>
      <w:r w:rsidRPr="003B0A32">
        <w:rPr>
          <w:rFonts w:ascii="Times New Roman" w:hAnsi="Times New Roman" w:cs="Times New Roman"/>
          <w:color w:val="auto"/>
          <w:sz w:val="24"/>
          <w:szCs w:val="24"/>
          <w:lang w:eastAsia="pl-PL"/>
        </w:rPr>
        <w:t xml:space="preserve">(jak również umowami zawartymi pomiędzy PKP S.A. a innymi zarządcami infrastruktury kolejowej, wskazanymi w art. 24ca) </w:t>
      </w:r>
      <w:r w:rsidR="001E48F5" w:rsidRPr="003B0A32">
        <w:rPr>
          <w:rFonts w:ascii="Times New Roman" w:hAnsi="Times New Roman" w:cs="Times New Roman"/>
          <w:color w:val="auto"/>
          <w:sz w:val="24"/>
          <w:szCs w:val="24"/>
          <w:lang w:eastAsia="pl-PL"/>
        </w:rPr>
        <w:t xml:space="preserve">będą </w:t>
      </w:r>
      <w:r w:rsidRPr="003B0A32">
        <w:rPr>
          <w:rFonts w:ascii="Times New Roman" w:hAnsi="Times New Roman" w:cs="Times New Roman"/>
          <w:color w:val="auto"/>
          <w:sz w:val="24"/>
          <w:szCs w:val="24"/>
          <w:lang w:eastAsia="pl-PL"/>
        </w:rPr>
        <w:t>podlegać spłacie w trybie przeniesienia własności akcji</w:t>
      </w:r>
      <w:r w:rsidR="003A59F5" w:rsidRPr="003B0A32">
        <w:rPr>
          <w:rFonts w:ascii="Times New Roman" w:hAnsi="Times New Roman" w:cs="Times New Roman"/>
          <w:color w:val="auto"/>
          <w:sz w:val="24"/>
          <w:szCs w:val="24"/>
          <w:lang w:eastAsia="pl-PL"/>
        </w:rPr>
        <w:t xml:space="preserve"> PKP</w:t>
      </w:r>
      <w:r w:rsidRPr="003B0A32">
        <w:rPr>
          <w:rFonts w:ascii="Times New Roman" w:hAnsi="Times New Roman" w:cs="Times New Roman"/>
          <w:color w:val="auto"/>
          <w:sz w:val="24"/>
          <w:szCs w:val="24"/>
          <w:lang w:eastAsia="pl-PL"/>
        </w:rPr>
        <w:t xml:space="preserve"> PLK</w:t>
      </w:r>
      <w:r w:rsidR="003A59F5" w:rsidRPr="003B0A32">
        <w:rPr>
          <w:rFonts w:ascii="Times New Roman" w:hAnsi="Times New Roman" w:cs="Times New Roman"/>
          <w:color w:val="auto"/>
          <w:sz w:val="24"/>
          <w:szCs w:val="24"/>
          <w:lang w:eastAsia="pl-PL"/>
        </w:rPr>
        <w:t xml:space="preserve"> S.A.</w:t>
      </w:r>
      <w:r w:rsidRPr="003B0A32">
        <w:rPr>
          <w:rFonts w:ascii="Times New Roman" w:hAnsi="Times New Roman" w:cs="Times New Roman"/>
          <w:color w:val="auto"/>
          <w:sz w:val="24"/>
          <w:szCs w:val="24"/>
          <w:lang w:eastAsia="pl-PL"/>
        </w:rPr>
        <w:t xml:space="preserve"> do wysokości kwoty odpowiadającej podatkowi należnemu powstałemu w</w:t>
      </w:r>
      <w:r w:rsidR="0045642A" w:rsidRPr="003B0A32">
        <w:rPr>
          <w:rFonts w:ascii="Times New Roman" w:hAnsi="Times New Roman" w:cs="Times New Roman"/>
          <w:color w:val="auto"/>
          <w:sz w:val="24"/>
          <w:szCs w:val="24"/>
          <w:lang w:eastAsia="pl-PL"/>
        </w:rPr>
        <w:t> </w:t>
      </w:r>
      <w:r w:rsidRPr="003B0A32">
        <w:rPr>
          <w:rFonts w:ascii="Times New Roman" w:hAnsi="Times New Roman" w:cs="Times New Roman"/>
          <w:color w:val="auto"/>
          <w:sz w:val="24"/>
          <w:szCs w:val="24"/>
          <w:lang w:eastAsia="pl-PL"/>
        </w:rPr>
        <w:t xml:space="preserve">związku z rozliczeniem tych umów. Przewiduje się ograniczenie czasowe spłaty zobowiązań w trybie art. 24c </w:t>
      </w:r>
      <w:r w:rsidR="00074641">
        <w:rPr>
          <w:rFonts w:ascii="Times New Roman" w:hAnsi="Times New Roman" w:cs="Times New Roman"/>
          <w:color w:val="auto"/>
          <w:sz w:val="24"/>
          <w:szCs w:val="24"/>
          <w:lang w:eastAsia="pl-PL"/>
        </w:rPr>
        <w:t>–</w:t>
      </w:r>
      <w:r w:rsidRPr="003B0A32">
        <w:rPr>
          <w:rFonts w:ascii="Times New Roman" w:hAnsi="Times New Roman" w:cs="Times New Roman"/>
          <w:color w:val="auto"/>
          <w:sz w:val="24"/>
          <w:szCs w:val="24"/>
          <w:lang w:eastAsia="pl-PL"/>
        </w:rPr>
        <w:t xml:space="preserve"> możliwość dokonania spłaty będzie dotyczyła zobowiązań z</w:t>
      </w:r>
      <w:r w:rsidR="0045642A" w:rsidRPr="003B0A32">
        <w:rPr>
          <w:rFonts w:ascii="Times New Roman" w:hAnsi="Times New Roman" w:cs="Times New Roman"/>
          <w:color w:val="auto"/>
          <w:sz w:val="24"/>
          <w:szCs w:val="24"/>
          <w:lang w:eastAsia="pl-PL"/>
        </w:rPr>
        <w:t> </w:t>
      </w:r>
      <w:r w:rsidRPr="003B0A32">
        <w:rPr>
          <w:rFonts w:ascii="Times New Roman" w:hAnsi="Times New Roman" w:cs="Times New Roman"/>
          <w:color w:val="auto"/>
          <w:sz w:val="24"/>
          <w:szCs w:val="24"/>
          <w:lang w:eastAsia="pl-PL"/>
        </w:rPr>
        <w:t>tytułu podatku od towarów i usług powstałych do dnia 31 grudnia 2026 r.</w:t>
      </w:r>
    </w:p>
    <w:p w14:paraId="1C3EB433" w14:textId="28EA67C9" w:rsidR="0012633F" w:rsidRPr="003B0A32" w:rsidRDefault="0012633F" w:rsidP="003B0A32">
      <w:pPr>
        <w:shd w:val="clear" w:color="auto" w:fill="FFFFFF"/>
        <w:spacing w:before="120" w:after="150" w:line="360" w:lineRule="auto"/>
        <w:jc w:val="both"/>
        <w:rPr>
          <w:rFonts w:ascii="Times New Roman" w:hAnsi="Times New Roman" w:cs="Times New Roman"/>
          <w:color w:val="auto"/>
          <w:sz w:val="24"/>
          <w:szCs w:val="24"/>
          <w:lang w:eastAsia="pl-PL"/>
        </w:rPr>
      </w:pPr>
      <w:r w:rsidRPr="003B0A32">
        <w:rPr>
          <w:rFonts w:ascii="Times New Roman" w:hAnsi="Times New Roman" w:cs="Times New Roman"/>
          <w:color w:val="auto"/>
          <w:sz w:val="24"/>
          <w:szCs w:val="24"/>
          <w:lang w:eastAsia="pl-PL"/>
        </w:rPr>
        <w:t xml:space="preserve">Wprawdzie polskie prawo podatkowe dopuszcza regulowanie podatków w trybie innym niż gotówkowym, jednakże zgodnie z art. 66 </w:t>
      </w:r>
      <w:r w:rsidR="00F4079B" w:rsidRPr="003B0A32">
        <w:rPr>
          <w:rFonts w:ascii="Times New Roman" w:hAnsi="Times New Roman" w:cs="Times New Roman"/>
          <w:color w:val="auto"/>
          <w:sz w:val="24"/>
          <w:szCs w:val="24"/>
          <w:lang w:eastAsia="pl-PL"/>
        </w:rPr>
        <w:t xml:space="preserve">ustawy </w:t>
      </w:r>
      <w:r w:rsidR="00F4079B" w:rsidRPr="003B0A32">
        <w:rPr>
          <w:rFonts w:ascii="Times New Roman" w:hAnsi="Times New Roman" w:cs="Times New Roman"/>
          <w:color w:val="auto"/>
          <w:sz w:val="24"/>
          <w:szCs w:val="24"/>
        </w:rPr>
        <w:t xml:space="preserve">z dnia 29 sierpnia 1997 r. – </w:t>
      </w:r>
      <w:r w:rsidR="00F4079B" w:rsidRPr="003B0A32">
        <w:rPr>
          <w:rFonts w:ascii="Times New Roman" w:hAnsi="Times New Roman" w:cs="Times New Roman"/>
          <w:i/>
          <w:color w:val="auto"/>
          <w:sz w:val="24"/>
          <w:szCs w:val="24"/>
        </w:rPr>
        <w:t>Ordynacja podatkowa</w:t>
      </w:r>
      <w:r w:rsidRPr="003B0A32">
        <w:rPr>
          <w:rFonts w:ascii="Times New Roman" w:hAnsi="Times New Roman" w:cs="Times New Roman"/>
          <w:color w:val="auto"/>
          <w:sz w:val="24"/>
          <w:szCs w:val="24"/>
          <w:lang w:eastAsia="pl-PL"/>
        </w:rPr>
        <w:t>, do skorzystania z</w:t>
      </w:r>
      <w:r w:rsidR="0045642A" w:rsidRPr="003B0A32">
        <w:rPr>
          <w:rFonts w:ascii="Times New Roman" w:hAnsi="Times New Roman" w:cs="Times New Roman"/>
          <w:color w:val="auto"/>
          <w:sz w:val="24"/>
          <w:szCs w:val="24"/>
          <w:lang w:eastAsia="pl-PL"/>
        </w:rPr>
        <w:t> </w:t>
      </w:r>
      <w:r w:rsidRPr="003B0A32">
        <w:rPr>
          <w:rFonts w:ascii="Times New Roman" w:hAnsi="Times New Roman" w:cs="Times New Roman"/>
          <w:color w:val="auto"/>
          <w:sz w:val="24"/>
          <w:szCs w:val="24"/>
          <w:lang w:eastAsia="pl-PL"/>
        </w:rPr>
        <w:t xml:space="preserve">możliwości uregulowania podatku przez przeniesienie własności rzeczy lub praw majątkowych jest konieczne powstanie zaległości podatkowej. </w:t>
      </w:r>
      <w:r w:rsidR="00311DA4" w:rsidRPr="003B0A32">
        <w:rPr>
          <w:rFonts w:ascii="Times New Roman" w:hAnsi="Times New Roman" w:cs="Times New Roman"/>
          <w:color w:val="auto"/>
          <w:sz w:val="24"/>
          <w:szCs w:val="24"/>
          <w:lang w:eastAsia="pl-PL"/>
        </w:rPr>
        <w:t>Ponadto</w:t>
      </w:r>
      <w:r w:rsidR="00DD5EBB">
        <w:rPr>
          <w:rFonts w:ascii="Times New Roman" w:hAnsi="Times New Roman" w:cs="Times New Roman"/>
          <w:color w:val="auto"/>
          <w:sz w:val="24"/>
          <w:szCs w:val="24"/>
          <w:lang w:eastAsia="pl-PL"/>
        </w:rPr>
        <w:t xml:space="preserve"> </w:t>
      </w:r>
      <w:r w:rsidRPr="003B0A32">
        <w:rPr>
          <w:rFonts w:ascii="Times New Roman" w:hAnsi="Times New Roman" w:cs="Times New Roman"/>
          <w:color w:val="auto"/>
          <w:sz w:val="24"/>
          <w:szCs w:val="24"/>
          <w:lang w:eastAsia="pl-PL"/>
        </w:rPr>
        <w:t>jest to</w:t>
      </w:r>
      <w:r w:rsidR="0045642A" w:rsidRPr="003B0A32">
        <w:rPr>
          <w:rFonts w:ascii="Times New Roman" w:hAnsi="Times New Roman" w:cs="Times New Roman"/>
          <w:color w:val="auto"/>
          <w:sz w:val="24"/>
          <w:szCs w:val="24"/>
          <w:lang w:eastAsia="pl-PL"/>
        </w:rPr>
        <w:t> </w:t>
      </w:r>
      <w:r w:rsidRPr="003B0A32">
        <w:rPr>
          <w:rFonts w:ascii="Times New Roman" w:hAnsi="Times New Roman" w:cs="Times New Roman"/>
          <w:color w:val="auto"/>
          <w:sz w:val="24"/>
          <w:szCs w:val="24"/>
          <w:lang w:eastAsia="pl-PL"/>
        </w:rPr>
        <w:t xml:space="preserve">skomplikowana i długotrwała procedura przeniesienia własności rzeczy lub praw majątkowych, </w:t>
      </w:r>
      <w:r w:rsidR="00327FD5" w:rsidRPr="003B0A32">
        <w:rPr>
          <w:rFonts w:ascii="Times New Roman" w:hAnsi="Times New Roman" w:cs="Times New Roman"/>
          <w:color w:val="auto"/>
          <w:sz w:val="24"/>
          <w:szCs w:val="24"/>
          <w:lang w:eastAsia="pl-PL"/>
        </w:rPr>
        <w:t>która</w:t>
      </w:r>
      <w:r w:rsidRPr="003B0A32">
        <w:rPr>
          <w:rFonts w:ascii="Times New Roman" w:hAnsi="Times New Roman" w:cs="Times New Roman"/>
          <w:color w:val="auto"/>
          <w:sz w:val="24"/>
          <w:szCs w:val="24"/>
          <w:lang w:eastAsia="pl-PL"/>
        </w:rPr>
        <w:t xml:space="preserve"> może skutkować powstaniem po stronie PKP S.A. dodatkowych kosztów (odsetki za zwłokę w zapłacie zobowiązań podatkowych), a także wiązać się może z</w:t>
      </w:r>
      <w:r w:rsidR="00EC23C6" w:rsidRPr="003B0A32">
        <w:rPr>
          <w:rFonts w:ascii="Times New Roman" w:hAnsi="Times New Roman" w:cs="Times New Roman"/>
          <w:color w:val="auto"/>
          <w:sz w:val="24"/>
          <w:szCs w:val="24"/>
          <w:lang w:eastAsia="pl-PL"/>
        </w:rPr>
        <w:t> </w:t>
      </w:r>
      <w:r w:rsidRPr="003B0A32">
        <w:rPr>
          <w:rFonts w:ascii="Times New Roman" w:hAnsi="Times New Roman" w:cs="Times New Roman"/>
          <w:color w:val="auto"/>
          <w:sz w:val="24"/>
          <w:szCs w:val="24"/>
          <w:lang w:eastAsia="pl-PL"/>
        </w:rPr>
        <w:t>dużym ryzykiem finansowym. W związku z tym, aby uniknąć dodatkowych kosztów oraz w</w:t>
      </w:r>
      <w:r w:rsidR="00EC23C6" w:rsidRPr="003B0A32">
        <w:rPr>
          <w:rFonts w:ascii="Times New Roman" w:hAnsi="Times New Roman" w:cs="Times New Roman"/>
          <w:color w:val="auto"/>
          <w:sz w:val="24"/>
          <w:szCs w:val="24"/>
          <w:lang w:eastAsia="pl-PL"/>
        </w:rPr>
        <w:t> </w:t>
      </w:r>
      <w:r w:rsidRPr="003B0A32">
        <w:rPr>
          <w:rFonts w:ascii="Times New Roman" w:hAnsi="Times New Roman" w:cs="Times New Roman"/>
          <w:color w:val="auto"/>
          <w:sz w:val="24"/>
          <w:szCs w:val="24"/>
          <w:lang w:eastAsia="pl-PL"/>
        </w:rPr>
        <w:t xml:space="preserve">celu przyspieszenia </w:t>
      </w:r>
      <w:r w:rsidRPr="003B0A32">
        <w:rPr>
          <w:rFonts w:ascii="Times New Roman" w:hAnsi="Times New Roman" w:cs="Times New Roman"/>
          <w:color w:val="auto"/>
          <w:sz w:val="24"/>
          <w:szCs w:val="24"/>
          <w:lang w:eastAsia="pl-PL"/>
        </w:rPr>
        <w:lastRenderedPageBreak/>
        <w:t>procesu restrukturyzacji majątkowej, proponuje się utrzymanie mechanizmów przewidujących możliwość zapłaty zobowiązań podatkowych w trybach wynikających z</w:t>
      </w:r>
      <w:r w:rsidR="00F3634C" w:rsidRPr="003B0A32">
        <w:rPr>
          <w:rFonts w:ascii="Times New Roman" w:hAnsi="Times New Roman" w:cs="Times New Roman"/>
          <w:color w:val="auto"/>
          <w:sz w:val="24"/>
          <w:szCs w:val="24"/>
          <w:lang w:eastAsia="pl-PL"/>
        </w:rPr>
        <w:t> </w:t>
      </w:r>
      <w:r w:rsidRPr="003B0A32">
        <w:rPr>
          <w:rFonts w:ascii="Times New Roman" w:hAnsi="Times New Roman" w:cs="Times New Roman"/>
          <w:color w:val="auto"/>
          <w:sz w:val="24"/>
          <w:szCs w:val="24"/>
          <w:lang w:eastAsia="pl-PL"/>
        </w:rPr>
        <w:t>art.</w:t>
      </w:r>
      <w:r w:rsidR="008D44A4" w:rsidRPr="003B0A32">
        <w:rPr>
          <w:rFonts w:ascii="Times New Roman" w:hAnsi="Times New Roman" w:cs="Times New Roman"/>
          <w:color w:val="auto"/>
          <w:sz w:val="24"/>
          <w:szCs w:val="24"/>
          <w:lang w:eastAsia="pl-PL"/>
        </w:rPr>
        <w:t> </w:t>
      </w:r>
      <w:r w:rsidRPr="003B0A32">
        <w:rPr>
          <w:rFonts w:ascii="Times New Roman" w:hAnsi="Times New Roman" w:cs="Times New Roman"/>
          <w:color w:val="auto"/>
          <w:sz w:val="24"/>
          <w:szCs w:val="24"/>
          <w:lang w:eastAsia="pl-PL"/>
        </w:rPr>
        <w:t xml:space="preserve">24ba i </w:t>
      </w:r>
      <w:r w:rsidR="00E87E4C" w:rsidRPr="003B0A32">
        <w:rPr>
          <w:rFonts w:ascii="Times New Roman" w:hAnsi="Times New Roman" w:cs="Times New Roman"/>
          <w:color w:val="auto"/>
          <w:sz w:val="24"/>
          <w:szCs w:val="24"/>
          <w:lang w:eastAsia="pl-PL"/>
        </w:rPr>
        <w:t xml:space="preserve">art. </w:t>
      </w:r>
      <w:r w:rsidRPr="003B0A32">
        <w:rPr>
          <w:rFonts w:ascii="Times New Roman" w:hAnsi="Times New Roman" w:cs="Times New Roman"/>
          <w:color w:val="auto"/>
          <w:sz w:val="24"/>
          <w:szCs w:val="24"/>
          <w:lang w:eastAsia="pl-PL"/>
        </w:rPr>
        <w:t>24ca. Przepisy te umożliwią zapłatę zobowiązań podatkowych, powstałych w</w:t>
      </w:r>
      <w:r w:rsidR="00F3634C" w:rsidRPr="003B0A32">
        <w:rPr>
          <w:rFonts w:ascii="Times New Roman" w:hAnsi="Times New Roman" w:cs="Times New Roman"/>
          <w:color w:val="auto"/>
          <w:sz w:val="24"/>
          <w:szCs w:val="24"/>
          <w:lang w:eastAsia="pl-PL"/>
        </w:rPr>
        <w:t> </w:t>
      </w:r>
      <w:r w:rsidRPr="003B0A32">
        <w:rPr>
          <w:rFonts w:ascii="Times New Roman" w:hAnsi="Times New Roman" w:cs="Times New Roman"/>
          <w:color w:val="auto"/>
          <w:sz w:val="24"/>
          <w:szCs w:val="24"/>
          <w:lang w:eastAsia="pl-PL"/>
        </w:rPr>
        <w:t>wyniku realizacji obowiązków ustawowo nałożonych na PKP S.A., przez</w:t>
      </w:r>
      <w:r w:rsidR="0045642A" w:rsidRPr="003B0A32">
        <w:rPr>
          <w:rFonts w:ascii="Times New Roman" w:hAnsi="Times New Roman" w:cs="Times New Roman"/>
          <w:color w:val="auto"/>
          <w:sz w:val="24"/>
          <w:szCs w:val="24"/>
          <w:lang w:eastAsia="pl-PL"/>
        </w:rPr>
        <w:t> </w:t>
      </w:r>
      <w:r w:rsidRPr="003B0A32">
        <w:rPr>
          <w:rFonts w:ascii="Times New Roman" w:hAnsi="Times New Roman" w:cs="Times New Roman"/>
          <w:color w:val="auto"/>
          <w:sz w:val="24"/>
          <w:szCs w:val="24"/>
          <w:lang w:eastAsia="pl-PL"/>
        </w:rPr>
        <w:t xml:space="preserve">przeniesienie własności akcji </w:t>
      </w:r>
      <w:r w:rsidR="00347E65" w:rsidRPr="003B0A32">
        <w:rPr>
          <w:rFonts w:ascii="Times New Roman" w:hAnsi="Times New Roman" w:cs="Times New Roman"/>
          <w:color w:val="auto"/>
          <w:sz w:val="24"/>
          <w:szCs w:val="24"/>
          <w:lang w:eastAsia="pl-PL"/>
        </w:rPr>
        <w:t xml:space="preserve">PKP </w:t>
      </w:r>
      <w:r w:rsidRPr="003B0A32">
        <w:rPr>
          <w:rFonts w:ascii="Times New Roman" w:hAnsi="Times New Roman" w:cs="Times New Roman"/>
          <w:color w:val="auto"/>
          <w:sz w:val="24"/>
          <w:szCs w:val="24"/>
          <w:lang w:eastAsia="pl-PL"/>
        </w:rPr>
        <w:t>PLK</w:t>
      </w:r>
      <w:r w:rsidR="00347E65" w:rsidRPr="003B0A32">
        <w:rPr>
          <w:rFonts w:ascii="Times New Roman" w:hAnsi="Times New Roman" w:cs="Times New Roman"/>
          <w:color w:val="auto"/>
          <w:sz w:val="24"/>
          <w:szCs w:val="24"/>
          <w:lang w:eastAsia="pl-PL"/>
        </w:rPr>
        <w:t xml:space="preserve"> S.A.</w:t>
      </w:r>
      <w:r w:rsidRPr="003B0A32">
        <w:rPr>
          <w:rFonts w:ascii="Times New Roman" w:hAnsi="Times New Roman" w:cs="Times New Roman"/>
          <w:color w:val="auto"/>
          <w:sz w:val="24"/>
          <w:szCs w:val="24"/>
          <w:lang w:eastAsia="pl-PL"/>
        </w:rPr>
        <w:t xml:space="preserve"> na rzecz Skarbu Państwa. </w:t>
      </w:r>
    </w:p>
    <w:p w14:paraId="78877E1B" w14:textId="69A05E3F" w:rsidR="00D8579D" w:rsidRPr="003B0A32" w:rsidRDefault="009C3554" w:rsidP="003B0A32">
      <w:pPr>
        <w:shd w:val="clear" w:color="auto" w:fill="FFFFFF"/>
        <w:spacing w:before="120" w:after="150" w:line="360" w:lineRule="auto"/>
        <w:jc w:val="both"/>
        <w:rPr>
          <w:rFonts w:ascii="Times New Roman" w:hAnsi="Times New Roman" w:cs="Times New Roman"/>
          <w:color w:val="auto"/>
          <w:sz w:val="24"/>
          <w:szCs w:val="24"/>
          <w:lang w:eastAsia="pl-PL"/>
        </w:rPr>
      </w:pPr>
      <w:r w:rsidRPr="003B0A32">
        <w:rPr>
          <w:rFonts w:ascii="Times New Roman" w:hAnsi="Times New Roman" w:cs="Times New Roman"/>
          <w:color w:val="auto"/>
          <w:sz w:val="24"/>
          <w:szCs w:val="24"/>
          <w:lang w:eastAsia="pl-PL"/>
        </w:rPr>
        <w:t>Z uwagi na znaczące zainteresowanie samorządów Programem Uzupełniania Lokalnej i</w:t>
      </w:r>
      <w:r w:rsidR="002E6E29" w:rsidRPr="003B0A32">
        <w:rPr>
          <w:rFonts w:ascii="Times New Roman" w:hAnsi="Times New Roman" w:cs="Times New Roman"/>
          <w:color w:val="auto"/>
          <w:sz w:val="24"/>
          <w:szCs w:val="24"/>
          <w:lang w:eastAsia="pl-PL"/>
        </w:rPr>
        <w:t> </w:t>
      </w:r>
      <w:r w:rsidRPr="003B0A32">
        <w:rPr>
          <w:rFonts w:ascii="Times New Roman" w:hAnsi="Times New Roman" w:cs="Times New Roman"/>
          <w:color w:val="auto"/>
          <w:sz w:val="24"/>
          <w:szCs w:val="24"/>
          <w:lang w:eastAsia="pl-PL"/>
        </w:rPr>
        <w:t xml:space="preserve">Regionalnej Infrastruktury Kolejowej – </w:t>
      </w:r>
      <w:r w:rsidR="009D4950">
        <w:rPr>
          <w:rFonts w:ascii="Times New Roman" w:hAnsi="Times New Roman" w:cs="Times New Roman"/>
          <w:color w:val="auto"/>
          <w:sz w:val="24"/>
          <w:szCs w:val="24"/>
          <w:lang w:eastAsia="pl-PL"/>
        </w:rPr>
        <w:t>Kolej+</w:t>
      </w:r>
      <w:r w:rsidRPr="003B0A32">
        <w:rPr>
          <w:rFonts w:ascii="Times New Roman" w:hAnsi="Times New Roman" w:cs="Times New Roman"/>
          <w:color w:val="auto"/>
          <w:sz w:val="24"/>
          <w:szCs w:val="24"/>
          <w:lang w:eastAsia="pl-PL"/>
        </w:rPr>
        <w:t xml:space="preserve"> do 2028 roku, który </w:t>
      </w:r>
      <w:r w:rsidR="001E48F5" w:rsidRPr="003B0A32">
        <w:rPr>
          <w:rFonts w:ascii="Times New Roman" w:hAnsi="Times New Roman" w:cs="Times New Roman"/>
          <w:color w:val="auto"/>
          <w:sz w:val="24"/>
          <w:szCs w:val="24"/>
          <w:lang w:eastAsia="pl-PL"/>
        </w:rPr>
        <w:t xml:space="preserve">jest </w:t>
      </w:r>
      <w:r w:rsidRPr="003B0A32">
        <w:rPr>
          <w:rFonts w:ascii="Times New Roman" w:hAnsi="Times New Roman" w:cs="Times New Roman"/>
          <w:color w:val="auto"/>
          <w:sz w:val="24"/>
          <w:szCs w:val="24"/>
          <w:lang w:eastAsia="pl-PL"/>
        </w:rPr>
        <w:t>finansowany m.in. ze środków z dokapitalizowania PKP PLK S</w:t>
      </w:r>
      <w:r w:rsidR="00327FD5" w:rsidRPr="003B0A32">
        <w:rPr>
          <w:rFonts w:ascii="Times New Roman" w:hAnsi="Times New Roman" w:cs="Times New Roman"/>
          <w:color w:val="auto"/>
          <w:sz w:val="24"/>
          <w:szCs w:val="24"/>
          <w:lang w:eastAsia="pl-PL"/>
        </w:rPr>
        <w:t>.</w:t>
      </w:r>
      <w:r w:rsidRPr="003B0A32">
        <w:rPr>
          <w:rFonts w:ascii="Times New Roman" w:hAnsi="Times New Roman" w:cs="Times New Roman"/>
          <w:color w:val="auto"/>
          <w:sz w:val="24"/>
          <w:szCs w:val="24"/>
          <w:lang w:eastAsia="pl-PL"/>
        </w:rPr>
        <w:t>A</w:t>
      </w:r>
      <w:r w:rsidR="00327FD5" w:rsidRPr="003B0A32">
        <w:rPr>
          <w:rFonts w:ascii="Times New Roman" w:hAnsi="Times New Roman" w:cs="Times New Roman"/>
          <w:color w:val="auto"/>
          <w:sz w:val="24"/>
          <w:szCs w:val="24"/>
          <w:lang w:eastAsia="pl-PL"/>
        </w:rPr>
        <w:t>.</w:t>
      </w:r>
      <w:r w:rsidRPr="003B0A32">
        <w:rPr>
          <w:rFonts w:ascii="Times New Roman" w:hAnsi="Times New Roman" w:cs="Times New Roman"/>
          <w:color w:val="auto"/>
          <w:sz w:val="24"/>
          <w:szCs w:val="24"/>
          <w:lang w:eastAsia="pl-PL"/>
        </w:rPr>
        <w:t xml:space="preserve"> w trybie art. 33w ustawy o komercjalizacji </w:t>
      </w:r>
      <w:r w:rsidR="009D2D37" w:rsidRPr="003B0A32">
        <w:rPr>
          <w:rFonts w:ascii="Times New Roman" w:hAnsi="Times New Roman" w:cs="Times New Roman"/>
          <w:color w:val="auto"/>
          <w:sz w:val="24"/>
          <w:szCs w:val="24"/>
          <w:lang w:eastAsia="pl-PL"/>
        </w:rPr>
        <w:t>PKP</w:t>
      </w:r>
      <w:r w:rsidRPr="003B0A32">
        <w:rPr>
          <w:rFonts w:ascii="Times New Roman" w:hAnsi="Times New Roman" w:cs="Times New Roman"/>
          <w:color w:val="auto"/>
          <w:sz w:val="24"/>
          <w:szCs w:val="24"/>
          <w:lang w:eastAsia="pl-PL"/>
        </w:rPr>
        <w:t>, obecny limit dokapitalizowania ustalony ustawą pozwala jedynie na realizację bardzo ograniczonej liczby projektów w stosunku do zapotrzebowania zgłoszonego przez samorządy w ramach naboru wniosków.</w:t>
      </w:r>
      <w:r w:rsidR="005E3B75" w:rsidRPr="003B0A32">
        <w:rPr>
          <w:rFonts w:ascii="Times New Roman" w:hAnsi="Times New Roman" w:cs="Times New Roman"/>
          <w:color w:val="auto"/>
          <w:sz w:val="24"/>
          <w:szCs w:val="24"/>
          <w:lang w:eastAsia="pl-PL"/>
        </w:rPr>
        <w:t xml:space="preserve"> Jednostki samorządu terytorialnego przedłożyły 47 projektów na kwotę 18 mld zł, które pozytywnie mogą wpłynąć na rozwój poszczególnych regionów Polski, tym </w:t>
      </w:r>
      <w:r w:rsidR="00327FD5" w:rsidRPr="003B0A32">
        <w:rPr>
          <w:rFonts w:ascii="Times New Roman" w:hAnsi="Times New Roman" w:cs="Times New Roman"/>
          <w:color w:val="auto"/>
          <w:sz w:val="24"/>
          <w:szCs w:val="24"/>
          <w:lang w:eastAsia="pl-PL"/>
        </w:rPr>
        <w:t xml:space="preserve">samym wpisując się w działania </w:t>
      </w:r>
      <w:r w:rsidR="005E3B75" w:rsidRPr="003B0A32">
        <w:rPr>
          <w:rFonts w:ascii="Times New Roman" w:hAnsi="Times New Roman" w:cs="Times New Roman"/>
          <w:color w:val="auto"/>
          <w:sz w:val="24"/>
          <w:szCs w:val="24"/>
          <w:lang w:eastAsia="pl-PL"/>
        </w:rPr>
        <w:t xml:space="preserve">na rzecz przeciwdziałania ich wykluczeniu komunikacyjnemu. Przedłożone projekty przedstawiają ciekawe rozwiązania infrastrukturalne umożliwiające usunięcie zaległości w rozbudowie, modernizacji i rewitalizacji infrastruktury transportowej oraz połączenie infrastrukturalne miejscowości o populacji powyżej 10 tys. osób, które nie posiadają dostępu do kolei pasażerskiej lub towarowej z miastami wojewódzkimi. W chwili obecnej zostały zabezpieczone środki na realizację Programu w wysokości 5,6 mld zł, co umożliwia realizację tylko części projektów, w tym liniowych i dokumentacyjnych. Dzięki zwiększonej alokacji </w:t>
      </w:r>
      <w:r w:rsidR="001E48F5" w:rsidRPr="003B0A32">
        <w:rPr>
          <w:rFonts w:ascii="Times New Roman" w:hAnsi="Times New Roman" w:cs="Times New Roman"/>
          <w:color w:val="auto"/>
          <w:sz w:val="24"/>
          <w:szCs w:val="24"/>
          <w:lang w:eastAsia="pl-PL"/>
        </w:rPr>
        <w:t xml:space="preserve">będzie </w:t>
      </w:r>
      <w:r w:rsidR="005E3B75" w:rsidRPr="003B0A32">
        <w:rPr>
          <w:rFonts w:ascii="Times New Roman" w:hAnsi="Times New Roman" w:cs="Times New Roman"/>
          <w:color w:val="auto"/>
          <w:sz w:val="24"/>
          <w:szCs w:val="24"/>
          <w:lang w:eastAsia="pl-PL"/>
        </w:rPr>
        <w:t xml:space="preserve">możliwa realizacja dodatkowych projektów, co przyczyni się do pełniejszej realizacji założeń Programu </w:t>
      </w:r>
      <w:r w:rsidR="009D4950">
        <w:rPr>
          <w:rFonts w:ascii="Times New Roman" w:hAnsi="Times New Roman" w:cs="Times New Roman"/>
          <w:color w:val="auto"/>
          <w:sz w:val="24"/>
          <w:szCs w:val="24"/>
          <w:lang w:eastAsia="pl-PL"/>
        </w:rPr>
        <w:t>Kolej+</w:t>
      </w:r>
      <w:r w:rsidR="005E3B75" w:rsidRPr="003B0A32">
        <w:rPr>
          <w:rFonts w:ascii="Times New Roman" w:hAnsi="Times New Roman" w:cs="Times New Roman"/>
          <w:color w:val="auto"/>
          <w:sz w:val="24"/>
          <w:szCs w:val="24"/>
          <w:lang w:eastAsia="pl-PL"/>
        </w:rPr>
        <w:t xml:space="preserve"> i pozytywnie wpłynie na sieć połączeń lokalnych miejscowości. </w:t>
      </w:r>
      <w:r w:rsidRPr="003B0A32">
        <w:rPr>
          <w:rFonts w:ascii="Times New Roman" w:hAnsi="Times New Roman" w:cs="Times New Roman"/>
          <w:color w:val="auto"/>
          <w:sz w:val="24"/>
          <w:szCs w:val="24"/>
          <w:lang w:eastAsia="pl-PL"/>
        </w:rPr>
        <w:t>Zidentyfikowane zapotrzebowanie na środki finansowe w</w:t>
      </w:r>
      <w:r w:rsidR="002E6E29" w:rsidRPr="003B0A32">
        <w:rPr>
          <w:rFonts w:ascii="Times New Roman" w:hAnsi="Times New Roman" w:cs="Times New Roman"/>
          <w:color w:val="auto"/>
          <w:sz w:val="24"/>
          <w:szCs w:val="24"/>
          <w:lang w:eastAsia="pl-PL"/>
        </w:rPr>
        <w:t> </w:t>
      </w:r>
      <w:r w:rsidRPr="003B0A32">
        <w:rPr>
          <w:rFonts w:ascii="Times New Roman" w:hAnsi="Times New Roman" w:cs="Times New Roman"/>
          <w:color w:val="auto"/>
          <w:sz w:val="24"/>
          <w:szCs w:val="24"/>
          <w:lang w:eastAsia="pl-PL"/>
        </w:rPr>
        <w:t>zakresie projektów, które potencjalnie kwalifikują się do wsparcia, przekracza z</w:t>
      </w:r>
      <w:r w:rsidR="009D2D37" w:rsidRPr="003B0A32">
        <w:rPr>
          <w:rFonts w:ascii="Times New Roman" w:hAnsi="Times New Roman" w:cs="Times New Roman"/>
          <w:color w:val="auto"/>
          <w:sz w:val="24"/>
          <w:szCs w:val="24"/>
          <w:lang w:eastAsia="pl-PL"/>
        </w:rPr>
        <w:t>nacząco możliwości finan</w:t>
      </w:r>
      <w:r w:rsidR="009D2D37" w:rsidRPr="003B0A32">
        <w:rPr>
          <w:rFonts w:ascii="Times New Roman" w:hAnsi="Times New Roman" w:cs="Times New Roman"/>
          <w:color w:val="auto"/>
          <w:sz w:val="24"/>
          <w:szCs w:val="24"/>
          <w:lang w:eastAsia="pl-PL"/>
        </w:rPr>
        <w:lastRenderedPageBreak/>
        <w:t>sowe ww.</w:t>
      </w:r>
      <w:r w:rsidRPr="003B0A32">
        <w:rPr>
          <w:rFonts w:ascii="Times New Roman" w:hAnsi="Times New Roman" w:cs="Times New Roman"/>
          <w:color w:val="auto"/>
          <w:sz w:val="24"/>
          <w:szCs w:val="24"/>
          <w:lang w:eastAsia="pl-PL"/>
        </w:rPr>
        <w:t xml:space="preserve"> Programu. W związku z tym niezbędne jest podjęcie działań umożliwiających właściwą realizację przedmiotowych projektów przez pozyskanie dodatkowych środków pochodzących ze skarbowych papierów wartościowych na podwyższenie kapitału zakładowego PKP PLK</w:t>
      </w:r>
      <w:r w:rsidR="00327FD5" w:rsidRPr="003B0A32">
        <w:rPr>
          <w:rFonts w:ascii="Times New Roman" w:hAnsi="Times New Roman" w:cs="Times New Roman"/>
          <w:color w:val="auto"/>
          <w:sz w:val="24"/>
          <w:szCs w:val="24"/>
          <w:lang w:eastAsia="pl-PL"/>
        </w:rPr>
        <w:t xml:space="preserve"> S.A</w:t>
      </w:r>
      <w:r w:rsidRPr="003B0A32">
        <w:rPr>
          <w:rFonts w:ascii="Times New Roman" w:hAnsi="Times New Roman" w:cs="Times New Roman"/>
          <w:color w:val="auto"/>
          <w:sz w:val="24"/>
          <w:szCs w:val="24"/>
          <w:lang w:eastAsia="pl-PL"/>
        </w:rPr>
        <w:t xml:space="preserve">. </w:t>
      </w:r>
      <w:r w:rsidR="005E3B75" w:rsidRPr="003B0A32">
        <w:rPr>
          <w:rFonts w:ascii="Times New Roman" w:hAnsi="Times New Roman" w:cs="Times New Roman"/>
          <w:color w:val="auto"/>
          <w:sz w:val="24"/>
          <w:szCs w:val="24"/>
          <w:lang w:eastAsia="pl-PL"/>
        </w:rPr>
        <w:t xml:space="preserve">Wartość nominalnych papierów wartościowych przygotowano w oparciu o symulację zapotrzebowania na środki zgłoszone przez PKP PLK S.A. na poszczególne lata przy założeniu realizacji większości projektów. Dodatkowo należy zaznaczyć, że zwiększona kwota dokapitalizowania w wysokości 11,2 mld zł stanowi maks. 85% wartości wydatków kwalifikowalnych poszczególnych projektów, natomiast jednostki samorządu terytorialnego w składanych oświadczeniach zobowiązują się do zapewnienia wkładu własnego w wysokości min. 15% wartości wydatków kwalifikowalnych oraz sfinansowania wydatków niekwalifikowalnych. </w:t>
      </w:r>
      <w:r w:rsidR="002E6E29" w:rsidRPr="003B0A32">
        <w:rPr>
          <w:rFonts w:ascii="Times New Roman" w:hAnsi="Times New Roman" w:cs="Times New Roman"/>
          <w:color w:val="auto"/>
          <w:sz w:val="24"/>
          <w:szCs w:val="24"/>
          <w:lang w:eastAsia="pl-PL"/>
        </w:rPr>
        <w:t>W tym celu</w:t>
      </w:r>
      <w:r w:rsidRPr="003B0A32">
        <w:rPr>
          <w:rFonts w:ascii="Times New Roman" w:hAnsi="Times New Roman" w:cs="Times New Roman"/>
          <w:color w:val="auto"/>
          <w:sz w:val="24"/>
          <w:szCs w:val="24"/>
          <w:lang w:eastAsia="pl-PL"/>
        </w:rPr>
        <w:t xml:space="preserve"> </w:t>
      </w:r>
      <w:r w:rsidR="00D8579D" w:rsidRPr="003B0A32">
        <w:rPr>
          <w:rFonts w:ascii="Times New Roman" w:hAnsi="Times New Roman" w:cs="Times New Roman"/>
          <w:color w:val="auto"/>
          <w:sz w:val="24"/>
          <w:szCs w:val="24"/>
          <w:lang w:eastAsia="pl-PL"/>
        </w:rPr>
        <w:t>zdecydowano się na</w:t>
      </w:r>
      <w:r w:rsidR="00DD5EBB">
        <w:rPr>
          <w:rFonts w:ascii="Times New Roman" w:hAnsi="Times New Roman" w:cs="Times New Roman"/>
          <w:color w:val="auto"/>
          <w:sz w:val="24"/>
          <w:szCs w:val="24"/>
          <w:lang w:eastAsia="pl-PL"/>
        </w:rPr>
        <w:t xml:space="preserve"> </w:t>
      </w:r>
      <w:r w:rsidR="00D8579D" w:rsidRPr="003B0A32">
        <w:rPr>
          <w:rFonts w:ascii="Times New Roman" w:hAnsi="Times New Roman" w:cs="Times New Roman"/>
          <w:color w:val="auto"/>
          <w:sz w:val="24"/>
          <w:szCs w:val="24"/>
          <w:lang w:eastAsia="pl-PL"/>
        </w:rPr>
        <w:t>zmiany w</w:t>
      </w:r>
      <w:r w:rsidR="002E6E29" w:rsidRPr="003B0A32">
        <w:rPr>
          <w:rFonts w:ascii="Times New Roman" w:hAnsi="Times New Roman" w:cs="Times New Roman"/>
          <w:color w:val="auto"/>
          <w:sz w:val="24"/>
          <w:szCs w:val="24"/>
          <w:lang w:eastAsia="pl-PL"/>
        </w:rPr>
        <w:t> </w:t>
      </w:r>
      <w:r w:rsidR="00D8579D" w:rsidRPr="003B0A32">
        <w:rPr>
          <w:rFonts w:ascii="Times New Roman" w:hAnsi="Times New Roman" w:cs="Times New Roman"/>
          <w:color w:val="auto"/>
          <w:sz w:val="24"/>
          <w:szCs w:val="24"/>
          <w:lang w:eastAsia="pl-PL"/>
        </w:rPr>
        <w:t>art. 33w ust. 1 i 2 oraz doda</w:t>
      </w:r>
      <w:r w:rsidR="002E6E29" w:rsidRPr="003B0A32">
        <w:rPr>
          <w:rFonts w:ascii="Times New Roman" w:hAnsi="Times New Roman" w:cs="Times New Roman"/>
          <w:color w:val="auto"/>
          <w:sz w:val="24"/>
          <w:szCs w:val="24"/>
          <w:lang w:eastAsia="pl-PL"/>
        </w:rPr>
        <w:t>nie</w:t>
      </w:r>
      <w:r w:rsidR="00D8579D" w:rsidRPr="003B0A32">
        <w:rPr>
          <w:rFonts w:ascii="Times New Roman" w:hAnsi="Times New Roman" w:cs="Times New Roman"/>
          <w:color w:val="auto"/>
          <w:sz w:val="24"/>
          <w:szCs w:val="24"/>
          <w:lang w:eastAsia="pl-PL"/>
        </w:rPr>
        <w:t xml:space="preserve"> now</w:t>
      </w:r>
      <w:r w:rsidR="002E6E29" w:rsidRPr="003B0A32">
        <w:rPr>
          <w:rFonts w:ascii="Times New Roman" w:hAnsi="Times New Roman" w:cs="Times New Roman"/>
          <w:color w:val="auto"/>
          <w:sz w:val="24"/>
          <w:szCs w:val="24"/>
          <w:lang w:eastAsia="pl-PL"/>
        </w:rPr>
        <w:t>ego</w:t>
      </w:r>
      <w:r w:rsidR="00D8579D" w:rsidRPr="003B0A32">
        <w:rPr>
          <w:rFonts w:ascii="Times New Roman" w:hAnsi="Times New Roman" w:cs="Times New Roman"/>
          <w:color w:val="auto"/>
          <w:sz w:val="24"/>
          <w:szCs w:val="24"/>
          <w:lang w:eastAsia="pl-PL"/>
        </w:rPr>
        <w:t xml:space="preserve"> ust. 2a w </w:t>
      </w:r>
      <w:r w:rsidR="00327FD5" w:rsidRPr="003B0A32">
        <w:rPr>
          <w:rFonts w:ascii="Times New Roman" w:hAnsi="Times New Roman" w:cs="Times New Roman"/>
          <w:color w:val="auto"/>
          <w:sz w:val="24"/>
          <w:szCs w:val="24"/>
          <w:lang w:eastAsia="pl-PL"/>
        </w:rPr>
        <w:t>u</w:t>
      </w:r>
      <w:r w:rsidR="00D8579D" w:rsidRPr="003B0A32">
        <w:rPr>
          <w:rFonts w:ascii="Times New Roman" w:hAnsi="Times New Roman" w:cs="Times New Roman"/>
          <w:color w:val="auto"/>
          <w:sz w:val="24"/>
          <w:szCs w:val="24"/>
          <w:lang w:eastAsia="pl-PL"/>
        </w:rPr>
        <w:t xml:space="preserve">stawie </w:t>
      </w:r>
      <w:r w:rsidR="00327FD5" w:rsidRPr="003B0A32">
        <w:rPr>
          <w:rFonts w:ascii="Times New Roman" w:hAnsi="Times New Roman" w:cs="Times New Roman"/>
          <w:color w:val="auto"/>
          <w:sz w:val="24"/>
          <w:szCs w:val="24"/>
          <w:lang w:eastAsia="pl-PL"/>
        </w:rPr>
        <w:t>o komercjalizacji PKP. Zmiana</w:t>
      </w:r>
      <w:r w:rsidR="00D8579D" w:rsidRPr="003B0A32">
        <w:rPr>
          <w:rFonts w:ascii="Times New Roman" w:hAnsi="Times New Roman" w:cs="Times New Roman"/>
          <w:color w:val="auto"/>
          <w:sz w:val="24"/>
          <w:szCs w:val="24"/>
          <w:lang w:eastAsia="pl-PL"/>
        </w:rPr>
        <w:t xml:space="preserve"> art. 33w ust. 1 ustawy o komercjalizacji </w:t>
      </w:r>
      <w:r w:rsidR="009D2D37" w:rsidRPr="003B0A32">
        <w:rPr>
          <w:rFonts w:ascii="Times New Roman" w:hAnsi="Times New Roman" w:cs="Times New Roman"/>
          <w:color w:val="auto"/>
          <w:sz w:val="24"/>
          <w:szCs w:val="24"/>
          <w:lang w:eastAsia="pl-PL"/>
        </w:rPr>
        <w:t>PKP</w:t>
      </w:r>
      <w:r w:rsidR="00D8579D" w:rsidRPr="003B0A32">
        <w:rPr>
          <w:rFonts w:ascii="Times New Roman" w:hAnsi="Times New Roman" w:cs="Times New Roman"/>
          <w:color w:val="auto"/>
          <w:sz w:val="24"/>
          <w:szCs w:val="24"/>
          <w:lang w:eastAsia="pl-PL"/>
        </w:rPr>
        <w:t xml:space="preserve"> polega na zmianie okresu umożliwienia przekazywania przez ministra właściwego do spraw finansów publicznych, na wniosek ministra właściwego do spraw transportu, na rzecz PKP PLK S.A., skarbowych papierów wart</w:t>
      </w:r>
      <w:r w:rsidR="00327FD5" w:rsidRPr="003B0A32">
        <w:rPr>
          <w:rFonts w:ascii="Times New Roman" w:hAnsi="Times New Roman" w:cs="Times New Roman"/>
          <w:color w:val="auto"/>
          <w:sz w:val="24"/>
          <w:szCs w:val="24"/>
          <w:lang w:eastAsia="pl-PL"/>
        </w:rPr>
        <w:t>ościowych, z 2020–2024 na 2020–</w:t>
      </w:r>
      <w:r w:rsidR="00D8579D" w:rsidRPr="003B0A32">
        <w:rPr>
          <w:rFonts w:ascii="Times New Roman" w:hAnsi="Times New Roman" w:cs="Times New Roman"/>
          <w:color w:val="auto"/>
          <w:sz w:val="24"/>
          <w:szCs w:val="24"/>
          <w:lang w:eastAsia="pl-PL"/>
        </w:rPr>
        <w:t>2027 z przeznaczeniem na podwyższenie kapitału zakładowego</w:t>
      </w:r>
      <w:r w:rsidR="00327FD5" w:rsidRPr="003B0A32">
        <w:rPr>
          <w:rFonts w:ascii="Times New Roman" w:hAnsi="Times New Roman" w:cs="Times New Roman"/>
          <w:color w:val="auto"/>
          <w:sz w:val="24"/>
          <w:szCs w:val="24"/>
          <w:lang w:eastAsia="pl-PL"/>
        </w:rPr>
        <w:t xml:space="preserve"> PKP</w:t>
      </w:r>
      <w:r w:rsidR="00D8579D" w:rsidRPr="003B0A32">
        <w:rPr>
          <w:rFonts w:ascii="Times New Roman" w:hAnsi="Times New Roman" w:cs="Times New Roman"/>
          <w:color w:val="auto"/>
          <w:sz w:val="24"/>
          <w:szCs w:val="24"/>
          <w:lang w:eastAsia="pl-PL"/>
        </w:rPr>
        <w:t xml:space="preserve"> PLK S</w:t>
      </w:r>
      <w:r w:rsidR="00327FD5" w:rsidRPr="003B0A32">
        <w:rPr>
          <w:rFonts w:ascii="Times New Roman" w:hAnsi="Times New Roman" w:cs="Times New Roman"/>
          <w:color w:val="auto"/>
          <w:sz w:val="24"/>
          <w:szCs w:val="24"/>
          <w:lang w:eastAsia="pl-PL"/>
        </w:rPr>
        <w:t>.</w:t>
      </w:r>
      <w:r w:rsidR="00D8579D" w:rsidRPr="003B0A32">
        <w:rPr>
          <w:rFonts w:ascii="Times New Roman" w:hAnsi="Times New Roman" w:cs="Times New Roman"/>
          <w:color w:val="auto"/>
          <w:sz w:val="24"/>
          <w:szCs w:val="24"/>
          <w:lang w:eastAsia="pl-PL"/>
        </w:rPr>
        <w:t xml:space="preserve">A. Zmiana w art. 33w w ust. 2 </w:t>
      </w:r>
      <w:r w:rsidR="00850075" w:rsidRPr="003B0A32">
        <w:rPr>
          <w:rFonts w:ascii="Times New Roman" w:hAnsi="Times New Roman" w:cs="Times New Roman"/>
          <w:color w:val="auto"/>
          <w:sz w:val="24"/>
          <w:szCs w:val="24"/>
          <w:lang w:eastAsia="pl-PL"/>
        </w:rPr>
        <w:t xml:space="preserve">ww. </w:t>
      </w:r>
      <w:r w:rsidR="00D8579D" w:rsidRPr="003B0A32">
        <w:rPr>
          <w:rFonts w:ascii="Times New Roman" w:hAnsi="Times New Roman" w:cs="Times New Roman"/>
          <w:color w:val="auto"/>
          <w:sz w:val="24"/>
          <w:szCs w:val="24"/>
          <w:lang w:eastAsia="pl-PL"/>
        </w:rPr>
        <w:t>ustawy polega na dodaniu pkt 6</w:t>
      </w:r>
      <w:r w:rsidR="00327FD5" w:rsidRPr="003B0A32">
        <w:rPr>
          <w:rFonts w:ascii="Times New Roman" w:hAnsi="Times New Roman" w:cs="Times New Roman"/>
          <w:color w:val="auto"/>
          <w:sz w:val="24"/>
          <w:szCs w:val="24"/>
          <w:lang w:eastAsia="pl-PL"/>
        </w:rPr>
        <w:t>–</w:t>
      </w:r>
      <w:r w:rsidR="00D8579D" w:rsidRPr="003B0A32">
        <w:rPr>
          <w:rFonts w:ascii="Times New Roman" w:hAnsi="Times New Roman" w:cs="Times New Roman"/>
          <w:color w:val="auto"/>
          <w:sz w:val="24"/>
          <w:szCs w:val="24"/>
          <w:lang w:eastAsia="pl-PL"/>
        </w:rPr>
        <w:t>8</w:t>
      </w:r>
      <w:r w:rsidR="00A86F30">
        <w:rPr>
          <w:rFonts w:ascii="Times New Roman" w:hAnsi="Times New Roman" w:cs="Times New Roman"/>
          <w:color w:val="auto"/>
          <w:sz w:val="24"/>
          <w:szCs w:val="24"/>
          <w:lang w:eastAsia="pl-PL"/>
        </w:rPr>
        <w:t>,</w:t>
      </w:r>
      <w:r w:rsidR="00D8579D" w:rsidRPr="003B0A32">
        <w:rPr>
          <w:rFonts w:ascii="Times New Roman" w:hAnsi="Times New Roman" w:cs="Times New Roman"/>
          <w:color w:val="auto"/>
          <w:sz w:val="24"/>
          <w:szCs w:val="24"/>
          <w:lang w:eastAsia="pl-PL"/>
        </w:rPr>
        <w:t xml:space="preserve"> w których określono łączną wartość nominalną skarbowych papierów wartościowych, o których mowa w ust. 1, </w:t>
      </w:r>
      <w:r w:rsidR="00850075" w:rsidRPr="003B0A32">
        <w:rPr>
          <w:rFonts w:ascii="Times New Roman" w:hAnsi="Times New Roman" w:cs="Times New Roman"/>
          <w:color w:val="auto"/>
          <w:sz w:val="24"/>
          <w:szCs w:val="24"/>
          <w:lang w:eastAsia="pl-PL"/>
        </w:rPr>
        <w:t xml:space="preserve">w podziale </w:t>
      </w:r>
      <w:r w:rsidR="00D8579D" w:rsidRPr="003B0A32">
        <w:rPr>
          <w:rFonts w:ascii="Times New Roman" w:hAnsi="Times New Roman" w:cs="Times New Roman"/>
          <w:color w:val="auto"/>
          <w:sz w:val="24"/>
          <w:szCs w:val="24"/>
          <w:lang w:eastAsia="pl-PL"/>
        </w:rPr>
        <w:t>na poszczególne lata</w:t>
      </w:r>
      <w:r w:rsidR="005B1D96" w:rsidRPr="003B0A32">
        <w:rPr>
          <w:rFonts w:ascii="Times New Roman" w:hAnsi="Times New Roman" w:cs="Times New Roman"/>
          <w:color w:val="auto"/>
          <w:sz w:val="24"/>
          <w:szCs w:val="24"/>
          <w:lang w:eastAsia="pl-PL"/>
        </w:rPr>
        <w:t>, a ponadto na zmianie wysokości wartości nominalnej skarbowych papierów wartościowych w 2024 r. z</w:t>
      </w:r>
      <w:r w:rsidR="002E6E29" w:rsidRPr="003B0A32">
        <w:rPr>
          <w:rFonts w:ascii="Times New Roman" w:hAnsi="Times New Roman" w:cs="Times New Roman"/>
          <w:color w:val="auto"/>
          <w:sz w:val="24"/>
          <w:szCs w:val="24"/>
          <w:lang w:eastAsia="pl-PL"/>
        </w:rPr>
        <w:t> </w:t>
      </w:r>
      <w:r w:rsidR="005B1D96" w:rsidRPr="003B0A32">
        <w:rPr>
          <w:rFonts w:ascii="Times New Roman" w:hAnsi="Times New Roman" w:cs="Times New Roman"/>
          <w:color w:val="auto"/>
          <w:sz w:val="24"/>
          <w:szCs w:val="24"/>
          <w:lang w:eastAsia="pl-PL"/>
        </w:rPr>
        <w:t>1</w:t>
      </w:r>
      <w:r w:rsidR="002E6E29" w:rsidRPr="003B0A32">
        <w:rPr>
          <w:rFonts w:ascii="Times New Roman" w:hAnsi="Times New Roman" w:cs="Times New Roman"/>
          <w:color w:val="auto"/>
          <w:sz w:val="24"/>
          <w:szCs w:val="24"/>
          <w:lang w:eastAsia="pl-PL"/>
        </w:rPr>
        <w:t> </w:t>
      </w:r>
      <w:r w:rsidR="005B1D96" w:rsidRPr="003B0A32">
        <w:rPr>
          <w:rFonts w:ascii="Times New Roman" w:hAnsi="Times New Roman" w:cs="Times New Roman"/>
          <w:color w:val="auto"/>
          <w:sz w:val="24"/>
          <w:szCs w:val="24"/>
          <w:lang w:eastAsia="pl-PL"/>
        </w:rPr>
        <w:t>700 000 000 zł na 2 540 000 000 zł</w:t>
      </w:r>
      <w:r w:rsidR="00D8579D" w:rsidRPr="003B0A32">
        <w:rPr>
          <w:rFonts w:ascii="Times New Roman" w:hAnsi="Times New Roman" w:cs="Times New Roman"/>
          <w:color w:val="auto"/>
          <w:sz w:val="24"/>
          <w:szCs w:val="24"/>
          <w:lang w:eastAsia="pl-PL"/>
        </w:rPr>
        <w:t xml:space="preserve">. </w:t>
      </w:r>
      <w:r w:rsidR="00926AC7" w:rsidRPr="003B0A32">
        <w:rPr>
          <w:rFonts w:ascii="Times New Roman" w:hAnsi="Times New Roman" w:cs="Times New Roman"/>
          <w:iCs/>
          <w:color w:val="auto"/>
          <w:sz w:val="24"/>
          <w:szCs w:val="24"/>
          <w:lang w:eastAsia="pl-PL"/>
        </w:rPr>
        <w:t>Ponadto wprowadza się możliwość przekazywania przez ministra właściwego do spraw finansów publicznych, na wniosek ministra właściwego do spraw transport</w:t>
      </w:r>
      <w:r w:rsidR="001E48F5" w:rsidRPr="003B0A32">
        <w:rPr>
          <w:rFonts w:ascii="Times New Roman" w:hAnsi="Times New Roman" w:cs="Times New Roman"/>
          <w:iCs/>
          <w:color w:val="auto"/>
          <w:sz w:val="24"/>
          <w:szCs w:val="24"/>
          <w:lang w:eastAsia="pl-PL"/>
        </w:rPr>
        <w:t>u</w:t>
      </w:r>
      <w:r w:rsidR="00926AC7" w:rsidRPr="003B0A32">
        <w:rPr>
          <w:rFonts w:ascii="Times New Roman" w:hAnsi="Times New Roman" w:cs="Times New Roman"/>
          <w:iCs/>
          <w:color w:val="auto"/>
          <w:sz w:val="24"/>
          <w:szCs w:val="24"/>
          <w:lang w:eastAsia="pl-PL"/>
        </w:rPr>
        <w:t xml:space="preserve">, w danym roku budżetowym na rzecz </w:t>
      </w:r>
      <w:r w:rsidR="00327FD5" w:rsidRPr="003B0A32">
        <w:rPr>
          <w:rFonts w:ascii="Times New Roman" w:hAnsi="Times New Roman" w:cs="Times New Roman"/>
          <w:iCs/>
          <w:color w:val="auto"/>
          <w:sz w:val="24"/>
          <w:szCs w:val="24"/>
          <w:lang w:eastAsia="pl-PL"/>
        </w:rPr>
        <w:t xml:space="preserve">PKP </w:t>
      </w:r>
      <w:r w:rsidR="00926AC7" w:rsidRPr="003B0A32">
        <w:rPr>
          <w:rFonts w:ascii="Times New Roman" w:hAnsi="Times New Roman" w:cs="Times New Roman"/>
          <w:iCs/>
          <w:color w:val="auto"/>
          <w:sz w:val="24"/>
          <w:szCs w:val="24"/>
          <w:lang w:eastAsia="pl-PL"/>
        </w:rPr>
        <w:t>PLK S</w:t>
      </w:r>
      <w:r w:rsidR="00327FD5" w:rsidRPr="003B0A32">
        <w:rPr>
          <w:rFonts w:ascii="Times New Roman" w:hAnsi="Times New Roman" w:cs="Times New Roman"/>
          <w:iCs/>
          <w:color w:val="auto"/>
          <w:sz w:val="24"/>
          <w:szCs w:val="24"/>
          <w:lang w:eastAsia="pl-PL"/>
        </w:rPr>
        <w:t>.</w:t>
      </w:r>
      <w:r w:rsidR="00926AC7" w:rsidRPr="003B0A32">
        <w:rPr>
          <w:rFonts w:ascii="Times New Roman" w:hAnsi="Times New Roman" w:cs="Times New Roman"/>
          <w:iCs/>
          <w:color w:val="auto"/>
          <w:sz w:val="24"/>
          <w:szCs w:val="24"/>
          <w:lang w:eastAsia="pl-PL"/>
        </w:rPr>
        <w:t>A</w:t>
      </w:r>
      <w:r w:rsidR="00327FD5" w:rsidRPr="003B0A32">
        <w:rPr>
          <w:rFonts w:ascii="Times New Roman" w:hAnsi="Times New Roman" w:cs="Times New Roman"/>
          <w:iCs/>
          <w:color w:val="auto"/>
          <w:sz w:val="24"/>
          <w:szCs w:val="24"/>
          <w:lang w:eastAsia="pl-PL"/>
        </w:rPr>
        <w:t>.</w:t>
      </w:r>
      <w:r w:rsidR="00926AC7" w:rsidRPr="003B0A32">
        <w:rPr>
          <w:rFonts w:ascii="Times New Roman" w:hAnsi="Times New Roman" w:cs="Times New Roman"/>
          <w:iCs/>
          <w:color w:val="auto"/>
          <w:sz w:val="24"/>
          <w:szCs w:val="24"/>
          <w:lang w:eastAsia="pl-PL"/>
        </w:rPr>
        <w:t xml:space="preserve"> skarbowych papierów wartościowych o wartości nominalnej większej niż określona w ust. 2 dla danego roku budżetowego – przy jednoczesnym uwzględnieniu przez ministra właściwego do spraw finansów publicznych aktualnego stanu wykorzystania określonego w ustawie budżetowej poziomu </w:t>
      </w:r>
      <w:r w:rsidR="00926AC7" w:rsidRPr="003B0A32">
        <w:rPr>
          <w:rFonts w:ascii="Times New Roman" w:hAnsi="Times New Roman" w:cs="Times New Roman"/>
          <w:iCs/>
          <w:color w:val="auto"/>
          <w:sz w:val="24"/>
          <w:szCs w:val="24"/>
          <w:lang w:eastAsia="pl-PL"/>
        </w:rPr>
        <w:lastRenderedPageBreak/>
        <w:t>limitu skarbowych papierów wartościowych. Rozwiązanie to pozwoli na ewentualną reakcję w przypadku zwiększonego zapotrzebowania na środki niezbędne do realizacji inwestycji w danym roku budżetowym. Dodano przy tym zastrzeżenie, że zmiana wartości nominalnej skarbowych papierów wartościowych planowanych do przekazania w danym roku budżetowym nie może powodować zmiany łącznej wartości nominalnej skarbowych papierów wartościowych wynikającej ze wszystkich lat wskazanych w ust. 2. W wyniku wejścia w życie projektowanych zmian kon</w:t>
      </w:r>
      <w:r w:rsidR="00327FD5" w:rsidRPr="003B0A32">
        <w:rPr>
          <w:rFonts w:ascii="Times New Roman" w:hAnsi="Times New Roman" w:cs="Times New Roman"/>
          <w:iCs/>
          <w:color w:val="auto"/>
          <w:sz w:val="24"/>
          <w:szCs w:val="24"/>
          <w:lang w:eastAsia="pl-PL"/>
        </w:rPr>
        <w:t>ieczna będzie aktualizacja u</w:t>
      </w:r>
      <w:r w:rsidR="00926AC7" w:rsidRPr="003B0A32">
        <w:rPr>
          <w:rFonts w:ascii="Times New Roman" w:hAnsi="Times New Roman" w:cs="Times New Roman"/>
          <w:iCs/>
          <w:color w:val="auto"/>
          <w:sz w:val="24"/>
          <w:szCs w:val="24"/>
          <w:lang w:eastAsia="pl-PL"/>
        </w:rPr>
        <w:t xml:space="preserve">chwały Rady Ministrów ustanawiającej Program Uzupełniania Lokalnej i Regionalnej Infrastruktury Kolejowej – </w:t>
      </w:r>
      <w:r w:rsidR="009D4950">
        <w:rPr>
          <w:rFonts w:ascii="Times New Roman" w:hAnsi="Times New Roman" w:cs="Times New Roman"/>
          <w:iCs/>
          <w:color w:val="auto"/>
          <w:sz w:val="24"/>
          <w:szCs w:val="24"/>
          <w:lang w:eastAsia="pl-PL"/>
        </w:rPr>
        <w:t>Kolej+</w:t>
      </w:r>
      <w:r w:rsidR="00926AC7" w:rsidRPr="003B0A32">
        <w:rPr>
          <w:rFonts w:ascii="Times New Roman" w:hAnsi="Times New Roman" w:cs="Times New Roman"/>
          <w:iCs/>
          <w:color w:val="auto"/>
          <w:sz w:val="24"/>
          <w:szCs w:val="24"/>
          <w:lang w:eastAsia="pl-PL"/>
        </w:rPr>
        <w:t xml:space="preserve"> do 2028 roku. Analogiczne aktualizacje będą niezbędne również w przypadku jakichkolwiek zmian limitów skarbowych papierów war</w:t>
      </w:r>
      <w:r w:rsidR="00327FD5" w:rsidRPr="003B0A32">
        <w:rPr>
          <w:rFonts w:ascii="Times New Roman" w:hAnsi="Times New Roman" w:cs="Times New Roman"/>
          <w:iCs/>
          <w:color w:val="auto"/>
          <w:sz w:val="24"/>
          <w:szCs w:val="24"/>
          <w:lang w:eastAsia="pl-PL"/>
        </w:rPr>
        <w:t>tościowych określonych w ust. 2</w:t>
      </w:r>
      <w:r w:rsidR="00926AC7" w:rsidRPr="003B0A32">
        <w:rPr>
          <w:rFonts w:ascii="Times New Roman" w:hAnsi="Times New Roman" w:cs="Times New Roman"/>
          <w:iCs/>
          <w:color w:val="auto"/>
          <w:sz w:val="24"/>
          <w:szCs w:val="24"/>
          <w:lang w:eastAsia="pl-PL"/>
        </w:rPr>
        <w:t>.</w:t>
      </w:r>
      <w:r w:rsidR="005E3B75" w:rsidRPr="003B0A32">
        <w:rPr>
          <w:rFonts w:ascii="Times New Roman" w:hAnsi="Times New Roman" w:cs="Times New Roman"/>
          <w:color w:val="auto"/>
          <w:sz w:val="24"/>
          <w:szCs w:val="24"/>
          <w:lang w:eastAsia="pl-PL"/>
        </w:rPr>
        <w:t xml:space="preserve"> </w:t>
      </w:r>
    </w:p>
    <w:p w14:paraId="1FC1A2EC" w14:textId="59DF36F5" w:rsidR="001C26D2" w:rsidRPr="003B0A32" w:rsidRDefault="00606504" w:rsidP="003B0A32">
      <w:pPr>
        <w:pStyle w:val="ZUSTzmustartykuempunktem"/>
        <w:spacing w:before="120" w:after="120"/>
        <w:ind w:left="0" w:firstLine="0"/>
        <w:rPr>
          <w:rFonts w:ascii="Times New Roman" w:hAnsi="Times New Roman" w:cs="Times New Roman"/>
          <w:szCs w:val="24"/>
        </w:rPr>
      </w:pPr>
      <w:r w:rsidRPr="003B0A32">
        <w:rPr>
          <w:rFonts w:ascii="Times New Roman" w:hAnsi="Times New Roman" w:cs="Times New Roman"/>
          <w:szCs w:val="24"/>
        </w:rPr>
        <w:t xml:space="preserve">Propozycja dodania art. 39e jest podyktowana koniecznością usprawnienia procesu </w:t>
      </w:r>
      <w:r w:rsidR="00536174" w:rsidRPr="003B0A32">
        <w:rPr>
          <w:rFonts w:ascii="Times New Roman" w:hAnsi="Times New Roman" w:cs="Times New Roman"/>
          <w:szCs w:val="24"/>
        </w:rPr>
        <w:t xml:space="preserve">restrukturyzacji mienia PKP S.A. pozostałego po dawnym przedsiębiorstwie państwowym, przede wszystkim </w:t>
      </w:r>
      <w:r w:rsidRPr="003B0A32">
        <w:rPr>
          <w:rFonts w:ascii="Times New Roman" w:hAnsi="Times New Roman" w:cs="Times New Roman"/>
          <w:szCs w:val="24"/>
        </w:rPr>
        <w:t xml:space="preserve">wyposażania spółki PKP PLK S.A. w majątek niezbędny do zarządzania liniami kolejowymi. Zgodnie z ustawą o komercjalizacji </w:t>
      </w:r>
      <w:r w:rsidR="00327FD5" w:rsidRPr="003B0A32">
        <w:rPr>
          <w:rFonts w:ascii="Times New Roman" w:hAnsi="Times New Roman" w:cs="Times New Roman"/>
          <w:szCs w:val="24"/>
        </w:rPr>
        <w:t>PKP</w:t>
      </w:r>
      <w:r w:rsidR="009D2D37" w:rsidRPr="003B0A32">
        <w:rPr>
          <w:rFonts w:ascii="Times New Roman" w:hAnsi="Times New Roman" w:cs="Times New Roman"/>
          <w:i/>
          <w:szCs w:val="24"/>
        </w:rPr>
        <w:t xml:space="preserve"> </w:t>
      </w:r>
      <w:r w:rsidRPr="003B0A32">
        <w:rPr>
          <w:rFonts w:ascii="Times New Roman" w:hAnsi="Times New Roman" w:cs="Times New Roman"/>
          <w:szCs w:val="24"/>
        </w:rPr>
        <w:t>PKP S.A. gospodaruje mieniem w szczególności przez wnoszenie do spółek, głównie utworzonych na</w:t>
      </w:r>
      <w:r w:rsidR="00273C9A" w:rsidRPr="003B0A32">
        <w:rPr>
          <w:rFonts w:ascii="Times New Roman" w:hAnsi="Times New Roman" w:cs="Times New Roman"/>
          <w:szCs w:val="24"/>
        </w:rPr>
        <w:t> </w:t>
      </w:r>
      <w:r w:rsidRPr="003B0A32">
        <w:rPr>
          <w:rFonts w:ascii="Times New Roman" w:hAnsi="Times New Roman" w:cs="Times New Roman"/>
          <w:szCs w:val="24"/>
        </w:rPr>
        <w:t>podstawie przepisów tej ustawy (spółki Grupy PKP), sprzedaż, oddawanie do odpłatnego korzystania w drodze umów prawa cywilnego, a także stosując inne, praw</w:t>
      </w:r>
      <w:r w:rsidR="00327FD5" w:rsidRPr="003B0A32">
        <w:rPr>
          <w:rFonts w:ascii="Times New Roman" w:hAnsi="Times New Roman" w:cs="Times New Roman"/>
          <w:szCs w:val="24"/>
        </w:rPr>
        <w:t>em przewidziane</w:t>
      </w:r>
      <w:r w:rsidRPr="003B0A32">
        <w:rPr>
          <w:rFonts w:ascii="Times New Roman" w:hAnsi="Times New Roman" w:cs="Times New Roman"/>
          <w:szCs w:val="24"/>
        </w:rPr>
        <w:t xml:space="preserve"> tryby zbycia zbędnego mienia. Na</w:t>
      </w:r>
      <w:r w:rsidR="00334A3A" w:rsidRPr="003B0A32">
        <w:rPr>
          <w:rFonts w:ascii="Times New Roman" w:hAnsi="Times New Roman" w:cs="Times New Roman"/>
          <w:szCs w:val="24"/>
        </w:rPr>
        <w:t> </w:t>
      </w:r>
      <w:r w:rsidRPr="003B0A32">
        <w:rPr>
          <w:rFonts w:ascii="Times New Roman" w:hAnsi="Times New Roman" w:cs="Times New Roman"/>
          <w:szCs w:val="24"/>
        </w:rPr>
        <w:t xml:space="preserve">podstawie art. 17 wspomnianej ustawy PKP S.A. została zobowiązana do </w:t>
      </w:r>
      <w:r w:rsidR="00536174" w:rsidRPr="003B0A32">
        <w:rPr>
          <w:rFonts w:ascii="Times New Roman" w:hAnsi="Times New Roman" w:cs="Times New Roman"/>
          <w:szCs w:val="24"/>
        </w:rPr>
        <w:t xml:space="preserve">wniesienia do spółek, o których mowa w art. 14 i art. 15 tej ustawy, wkładów niepieniężnych w postaci zespołu składników materialnych i niematerialnych wyodrębnionych z jej przedsiębiorstwa, niezbędnych do prowadzenia działalności w zakresie określonym w ustawie, tj. do prowadzenia działalności w zakresie kolejowych przewozów pasażerskich oraz kolejowych przewozów towarowych (art. 14 ust. 1) oraz działalności w zakresie zarządzania liniami kolejowymi, pod firmą „PKP Polskie Linie Kolejowe Spółka Akcyjna” (art. 15 ust. 1). </w:t>
      </w:r>
      <w:r w:rsidR="001C26D2" w:rsidRPr="003B0A32">
        <w:rPr>
          <w:rFonts w:ascii="Times New Roman" w:hAnsi="Times New Roman" w:cs="Times New Roman"/>
          <w:szCs w:val="24"/>
        </w:rPr>
        <w:t xml:space="preserve">Na </w:t>
      </w:r>
      <w:r w:rsidR="001C26D2" w:rsidRPr="003B0A32">
        <w:rPr>
          <w:rFonts w:ascii="Times New Roman" w:hAnsi="Times New Roman" w:cs="Times New Roman"/>
          <w:szCs w:val="24"/>
        </w:rPr>
        <w:lastRenderedPageBreak/>
        <w:t>podstawie art. 17 ww. ustawy PKP S</w:t>
      </w:r>
      <w:r w:rsidR="00A86F30">
        <w:rPr>
          <w:rFonts w:ascii="Times New Roman" w:hAnsi="Times New Roman" w:cs="Times New Roman"/>
          <w:szCs w:val="24"/>
        </w:rPr>
        <w:t>.</w:t>
      </w:r>
      <w:r w:rsidR="001C26D2" w:rsidRPr="003B0A32">
        <w:rPr>
          <w:rFonts w:ascii="Times New Roman" w:hAnsi="Times New Roman" w:cs="Times New Roman"/>
          <w:szCs w:val="24"/>
        </w:rPr>
        <w:t>A</w:t>
      </w:r>
      <w:r w:rsidR="00A86F30">
        <w:rPr>
          <w:rFonts w:ascii="Times New Roman" w:hAnsi="Times New Roman" w:cs="Times New Roman"/>
          <w:szCs w:val="24"/>
        </w:rPr>
        <w:t>.</w:t>
      </w:r>
      <w:r w:rsidR="001C26D2" w:rsidRPr="003B0A32">
        <w:rPr>
          <w:rFonts w:ascii="Times New Roman" w:hAnsi="Times New Roman" w:cs="Times New Roman"/>
          <w:szCs w:val="24"/>
        </w:rPr>
        <w:t xml:space="preserve"> wniosła również wkłady niepieniężne do spółek utworzonych na podstawie art. 78a tej ustawy prowadzących jednocześnie działalność w zakresie wykonywania przewozów kolejowych i zarządzania liniami kolejowymi o znaczeniu lokalnym. </w:t>
      </w:r>
    </w:p>
    <w:p w14:paraId="17F2C48E" w14:textId="019DC478" w:rsidR="00606504" w:rsidRPr="003B0A32" w:rsidRDefault="00606504" w:rsidP="003B0A32">
      <w:pPr>
        <w:pStyle w:val="ZUSTzmustartykuempunktem"/>
        <w:spacing w:before="120" w:after="120"/>
        <w:ind w:left="0" w:firstLine="0"/>
        <w:rPr>
          <w:rFonts w:ascii="Times New Roman" w:hAnsi="Times New Roman" w:cs="Times New Roman"/>
          <w:szCs w:val="24"/>
        </w:rPr>
      </w:pPr>
      <w:r w:rsidRPr="003B0A32">
        <w:rPr>
          <w:rFonts w:ascii="Times New Roman" w:hAnsi="Times New Roman" w:cs="Times New Roman"/>
          <w:szCs w:val="24"/>
        </w:rPr>
        <w:t xml:space="preserve">Istotną kwestią w ramach prowadzonego </w:t>
      </w:r>
      <w:r w:rsidR="00536174" w:rsidRPr="003B0A32">
        <w:rPr>
          <w:rFonts w:ascii="Times New Roman" w:hAnsi="Times New Roman" w:cs="Times New Roman"/>
          <w:szCs w:val="24"/>
        </w:rPr>
        <w:t xml:space="preserve">w tym celu </w:t>
      </w:r>
      <w:r w:rsidRPr="003B0A32">
        <w:rPr>
          <w:rFonts w:ascii="Times New Roman" w:hAnsi="Times New Roman" w:cs="Times New Roman"/>
          <w:szCs w:val="24"/>
        </w:rPr>
        <w:t xml:space="preserve">procesu </w:t>
      </w:r>
      <w:r w:rsidR="001C26D2" w:rsidRPr="003B0A32">
        <w:rPr>
          <w:rFonts w:ascii="Times New Roman" w:hAnsi="Times New Roman" w:cs="Times New Roman"/>
          <w:szCs w:val="24"/>
        </w:rPr>
        <w:t>pozostaje</w:t>
      </w:r>
      <w:r w:rsidRPr="003B0A32">
        <w:rPr>
          <w:rFonts w:ascii="Times New Roman" w:hAnsi="Times New Roman" w:cs="Times New Roman"/>
          <w:szCs w:val="24"/>
        </w:rPr>
        <w:t xml:space="preserve"> przeprowadzenie podziałów nieruchomości i utworzenie dla nowych nieruchomości odrębnych ksiąg wieczystych. </w:t>
      </w:r>
    </w:p>
    <w:p w14:paraId="576B48C3" w14:textId="439C54F3" w:rsidR="00606504" w:rsidRPr="003B0A32" w:rsidRDefault="00606504" w:rsidP="003B0A32">
      <w:pPr>
        <w:pStyle w:val="ZUSTzmustartykuempunktem"/>
        <w:spacing w:before="120" w:after="120"/>
        <w:ind w:left="0" w:firstLine="0"/>
        <w:rPr>
          <w:rFonts w:ascii="Times New Roman" w:hAnsi="Times New Roman" w:cs="Times New Roman"/>
          <w:szCs w:val="24"/>
        </w:rPr>
      </w:pPr>
      <w:r w:rsidRPr="003B0A32">
        <w:rPr>
          <w:rFonts w:ascii="Times New Roman" w:hAnsi="Times New Roman" w:cs="Times New Roman"/>
          <w:szCs w:val="24"/>
        </w:rPr>
        <w:t xml:space="preserve">W związku z interpretacją przepisu art. 21 ustawy z dnia 6 lipca 1982 r. </w:t>
      </w:r>
      <w:r w:rsidRPr="003B0A32">
        <w:rPr>
          <w:rFonts w:ascii="Times New Roman" w:hAnsi="Times New Roman" w:cs="Times New Roman"/>
          <w:i/>
          <w:szCs w:val="24"/>
        </w:rPr>
        <w:t>o księgach wieczystych i hipotece</w:t>
      </w:r>
      <w:r w:rsidRPr="003B0A32">
        <w:rPr>
          <w:rFonts w:ascii="Times New Roman" w:hAnsi="Times New Roman" w:cs="Times New Roman"/>
          <w:szCs w:val="24"/>
        </w:rPr>
        <w:t xml:space="preserve"> (Dz. U. z 2019 r. poz. 2204</w:t>
      </w:r>
      <w:r w:rsidR="00F4079B" w:rsidRPr="003B0A32">
        <w:rPr>
          <w:rFonts w:ascii="Times New Roman" w:hAnsi="Times New Roman" w:cs="Times New Roman"/>
          <w:szCs w:val="24"/>
        </w:rPr>
        <w:t>, z późn. zm.</w:t>
      </w:r>
      <w:r w:rsidRPr="003B0A32">
        <w:rPr>
          <w:rFonts w:ascii="Times New Roman" w:hAnsi="Times New Roman" w:cs="Times New Roman"/>
          <w:szCs w:val="24"/>
        </w:rPr>
        <w:t xml:space="preserve">) w brzmieniu: </w:t>
      </w:r>
      <w:r w:rsidRPr="003B0A32">
        <w:rPr>
          <w:rFonts w:ascii="Times New Roman" w:hAnsi="Times New Roman" w:cs="Times New Roman"/>
          <w:i/>
          <w:iCs/>
          <w:szCs w:val="24"/>
        </w:rPr>
        <w:t>właściciel kilku nieruchomości stanowiących całość gospodarczą lub graniczących z sobą może żądać połączenia ich w księdze wieczystej w jedną nieruchomość</w:t>
      </w:r>
      <w:r w:rsidRPr="003B0A32">
        <w:rPr>
          <w:rFonts w:ascii="Times New Roman" w:hAnsi="Times New Roman" w:cs="Times New Roman"/>
          <w:szCs w:val="24"/>
        </w:rPr>
        <w:t xml:space="preserve"> uprawnienie do łączenia lub</w:t>
      </w:r>
      <w:r w:rsidR="00273C9A" w:rsidRPr="003B0A32">
        <w:rPr>
          <w:rFonts w:ascii="Times New Roman" w:hAnsi="Times New Roman" w:cs="Times New Roman"/>
          <w:szCs w:val="24"/>
        </w:rPr>
        <w:t> </w:t>
      </w:r>
      <w:r w:rsidRPr="003B0A32">
        <w:rPr>
          <w:rFonts w:ascii="Times New Roman" w:hAnsi="Times New Roman" w:cs="Times New Roman"/>
          <w:szCs w:val="24"/>
        </w:rPr>
        <w:t>podziału nieruchomości przysługuje wyłącznie właścicielowi nieruchomości, a nie użytkownikowi wieczystemu (uchwała SN z dnia 7 kwietnia 2006 r., III CZP 24/06, OSNC 2007, nr 2, poz. 24, postanowienie SN z dnia 19 lutego 2003 r., V CK 278/02, nie publ., wyrok SN z dnia 8 listopada 2007 r., III CSK 183/07, Przegląd Sądowy 2008, nr 11</w:t>
      </w:r>
      <w:r w:rsidR="00074641">
        <w:rPr>
          <w:rFonts w:ascii="Times New Roman" w:hAnsi="Times New Roman" w:cs="Times New Roman"/>
          <w:szCs w:val="24"/>
        </w:rPr>
        <w:t>–</w:t>
      </w:r>
      <w:r w:rsidRPr="003B0A32">
        <w:rPr>
          <w:rFonts w:ascii="Times New Roman" w:hAnsi="Times New Roman" w:cs="Times New Roman"/>
          <w:szCs w:val="24"/>
        </w:rPr>
        <w:t>12, s. 195 i n., uchwała SN z dnia 13 marca 2015 r. sygn. akt III CZP 116/14). W uzasadnieniu wyroku z</w:t>
      </w:r>
      <w:r w:rsidR="0045642A" w:rsidRPr="003B0A32">
        <w:rPr>
          <w:rFonts w:ascii="Times New Roman" w:hAnsi="Times New Roman" w:cs="Times New Roman"/>
          <w:szCs w:val="24"/>
        </w:rPr>
        <w:t> </w:t>
      </w:r>
      <w:r w:rsidRPr="003B0A32">
        <w:rPr>
          <w:rFonts w:ascii="Times New Roman" w:hAnsi="Times New Roman" w:cs="Times New Roman"/>
          <w:szCs w:val="24"/>
        </w:rPr>
        <w:t>dnia 8 kwietnia 2016 r.</w:t>
      </w:r>
      <w:r w:rsidR="00721325" w:rsidRPr="003B0A32">
        <w:rPr>
          <w:rFonts w:ascii="Times New Roman" w:hAnsi="Times New Roman" w:cs="Times New Roman"/>
          <w:szCs w:val="24"/>
        </w:rPr>
        <w:t>,</w:t>
      </w:r>
      <w:r w:rsidRPr="003B0A32">
        <w:rPr>
          <w:rFonts w:ascii="Times New Roman" w:hAnsi="Times New Roman" w:cs="Times New Roman"/>
          <w:szCs w:val="24"/>
        </w:rPr>
        <w:t xml:space="preserve"> sygn. akt</w:t>
      </w:r>
      <w:r w:rsidR="00DD5EBB">
        <w:rPr>
          <w:rFonts w:ascii="Times New Roman" w:hAnsi="Times New Roman" w:cs="Times New Roman"/>
          <w:szCs w:val="24"/>
        </w:rPr>
        <w:t xml:space="preserve"> </w:t>
      </w:r>
      <w:r w:rsidRPr="003B0A32">
        <w:rPr>
          <w:rFonts w:ascii="Times New Roman" w:hAnsi="Times New Roman" w:cs="Times New Roman"/>
          <w:szCs w:val="24"/>
        </w:rPr>
        <w:t>I CSK 259/15</w:t>
      </w:r>
      <w:r w:rsidR="00721325" w:rsidRPr="003B0A32">
        <w:rPr>
          <w:rFonts w:ascii="Times New Roman" w:hAnsi="Times New Roman" w:cs="Times New Roman"/>
          <w:szCs w:val="24"/>
        </w:rPr>
        <w:t>,</w:t>
      </w:r>
      <w:r w:rsidRPr="003B0A32">
        <w:rPr>
          <w:rFonts w:ascii="Times New Roman" w:hAnsi="Times New Roman" w:cs="Times New Roman"/>
          <w:szCs w:val="24"/>
        </w:rPr>
        <w:t xml:space="preserve"> Sąd Najwyższy podkreślił, że uprawnienie do łączenia lub podziału nieruchomości przysługuje wyłącznie właścicielowi nieruchomości, a</w:t>
      </w:r>
      <w:r w:rsidR="0045642A" w:rsidRPr="003B0A32">
        <w:rPr>
          <w:rFonts w:ascii="Times New Roman" w:hAnsi="Times New Roman" w:cs="Times New Roman"/>
          <w:szCs w:val="24"/>
        </w:rPr>
        <w:t> </w:t>
      </w:r>
      <w:r w:rsidRPr="003B0A32">
        <w:rPr>
          <w:rFonts w:ascii="Times New Roman" w:hAnsi="Times New Roman" w:cs="Times New Roman"/>
          <w:szCs w:val="24"/>
        </w:rPr>
        <w:t xml:space="preserve">nie użytkownikowi wieczystemu. Sąd zauważył, że przeciwny, lecz odosobniony pogląd dopuszczający możliwość łączenia nieruchomości także na wniosek użytkownika wieczystego zajął Sąd Najwyższy w postanowieniu z </w:t>
      </w:r>
      <w:r w:rsidR="00532E92" w:rsidRPr="003B0A32">
        <w:rPr>
          <w:rFonts w:ascii="Times New Roman" w:hAnsi="Times New Roman" w:cs="Times New Roman"/>
          <w:szCs w:val="24"/>
        </w:rPr>
        <w:t xml:space="preserve">dnia </w:t>
      </w:r>
      <w:r w:rsidRPr="003B0A32">
        <w:rPr>
          <w:rFonts w:ascii="Times New Roman" w:hAnsi="Times New Roman" w:cs="Times New Roman"/>
          <w:szCs w:val="24"/>
        </w:rPr>
        <w:t>23</w:t>
      </w:r>
      <w:r w:rsidR="00F4079B" w:rsidRPr="003B0A32">
        <w:rPr>
          <w:rFonts w:ascii="Times New Roman" w:hAnsi="Times New Roman" w:cs="Times New Roman"/>
          <w:szCs w:val="24"/>
        </w:rPr>
        <w:t xml:space="preserve"> stycznia </w:t>
      </w:r>
      <w:r w:rsidRPr="003B0A32">
        <w:rPr>
          <w:rFonts w:ascii="Times New Roman" w:hAnsi="Times New Roman" w:cs="Times New Roman"/>
          <w:szCs w:val="24"/>
        </w:rPr>
        <w:t xml:space="preserve">2013 r. Poglądu tego jednak sąd orzekający w sprawie I CSK 259/15 nie podzielił. </w:t>
      </w:r>
    </w:p>
    <w:p w14:paraId="75B59E19" w14:textId="5F73BA54" w:rsidR="00606504" w:rsidRPr="003B0A32" w:rsidRDefault="00606504" w:rsidP="003B0A32">
      <w:pPr>
        <w:pStyle w:val="ZUSTzmustartykuempunktem"/>
        <w:spacing w:before="120" w:after="120"/>
        <w:ind w:left="0" w:firstLine="0"/>
        <w:rPr>
          <w:rFonts w:ascii="Times New Roman" w:hAnsi="Times New Roman" w:cs="Times New Roman"/>
          <w:szCs w:val="24"/>
        </w:rPr>
      </w:pPr>
      <w:r w:rsidRPr="003B0A32">
        <w:rPr>
          <w:rFonts w:ascii="Times New Roman" w:hAnsi="Times New Roman" w:cs="Times New Roman"/>
          <w:szCs w:val="24"/>
        </w:rPr>
        <w:t xml:space="preserve">Z uwagi na to, że PKP S.A. przysługuje prawo użytkowania do nieruchomości Skarbu Państwa, </w:t>
      </w:r>
      <w:r w:rsidR="00CF3BEC" w:rsidRPr="003B0A32">
        <w:rPr>
          <w:rFonts w:ascii="Times New Roman" w:hAnsi="Times New Roman" w:cs="Times New Roman"/>
          <w:szCs w:val="24"/>
        </w:rPr>
        <w:t xml:space="preserve">lub nieruchomości jednostek samorządu terytorialnego, </w:t>
      </w:r>
      <w:r w:rsidRPr="003B0A32">
        <w:rPr>
          <w:rFonts w:ascii="Times New Roman" w:hAnsi="Times New Roman" w:cs="Times New Roman"/>
          <w:szCs w:val="24"/>
        </w:rPr>
        <w:t xml:space="preserve">które będą przedmiotem przekazania </w:t>
      </w:r>
      <w:r w:rsidRPr="003B0A32">
        <w:rPr>
          <w:rFonts w:ascii="Times New Roman" w:hAnsi="Times New Roman" w:cs="Times New Roman"/>
          <w:szCs w:val="24"/>
        </w:rPr>
        <w:lastRenderedPageBreak/>
        <w:t>do PKP PLK S.A., wyłączenie części nieruchomości z księgi wieczystej i założenie dla niej nowej księgi wieczystej lub połączenie kilku nieruchomości w całość gospodarczą wymagałoby każdorazowego wystąpienia z</w:t>
      </w:r>
      <w:r w:rsidR="0045642A" w:rsidRPr="003B0A32">
        <w:rPr>
          <w:rFonts w:ascii="Times New Roman" w:hAnsi="Times New Roman" w:cs="Times New Roman"/>
          <w:szCs w:val="24"/>
        </w:rPr>
        <w:t> </w:t>
      </w:r>
      <w:r w:rsidRPr="003B0A32">
        <w:rPr>
          <w:rFonts w:ascii="Times New Roman" w:hAnsi="Times New Roman" w:cs="Times New Roman"/>
          <w:szCs w:val="24"/>
        </w:rPr>
        <w:t>wnioskiem właściwego starosty</w:t>
      </w:r>
      <w:r w:rsidR="00FC5B95" w:rsidRPr="003B0A32">
        <w:rPr>
          <w:rFonts w:ascii="Times New Roman" w:hAnsi="Times New Roman" w:cs="Times New Roman"/>
        </w:rPr>
        <w:t xml:space="preserve"> lub właściwego przedstawiciela jednostki samorządu terytorialnego (wójta, burmistrza, prezydenta miasta w przypadku gruntów będących własnością gmin),</w:t>
      </w:r>
      <w:r w:rsidRPr="003B0A32">
        <w:rPr>
          <w:rFonts w:ascii="Times New Roman" w:hAnsi="Times New Roman" w:cs="Times New Roman"/>
          <w:szCs w:val="24"/>
        </w:rPr>
        <w:t xml:space="preserve"> co mając na uwadze specyfikę nieruchomości zajętych pod linie kolejowe, oznaczałoby przewlekłość procesu przekazania majątku. Zasadnym zatem jest </w:t>
      </w:r>
      <w:r w:rsidR="00532E92" w:rsidRPr="003B0A32">
        <w:rPr>
          <w:rFonts w:ascii="Times New Roman" w:hAnsi="Times New Roman" w:cs="Times New Roman"/>
          <w:szCs w:val="24"/>
        </w:rPr>
        <w:t>dodanie</w:t>
      </w:r>
      <w:r w:rsidRPr="003B0A32">
        <w:rPr>
          <w:rFonts w:ascii="Times New Roman" w:hAnsi="Times New Roman" w:cs="Times New Roman"/>
          <w:szCs w:val="24"/>
        </w:rPr>
        <w:t xml:space="preserve"> przepisu</w:t>
      </w:r>
      <w:r w:rsidR="00197DDA" w:rsidRPr="003B0A32">
        <w:rPr>
          <w:rFonts w:ascii="Times New Roman" w:hAnsi="Times New Roman" w:cs="Times New Roman"/>
          <w:szCs w:val="24"/>
        </w:rPr>
        <w:t xml:space="preserve"> szczególnego</w:t>
      </w:r>
      <w:r w:rsidRPr="003B0A32">
        <w:rPr>
          <w:rFonts w:ascii="Times New Roman" w:hAnsi="Times New Roman" w:cs="Times New Roman"/>
          <w:szCs w:val="24"/>
        </w:rPr>
        <w:t>, który wprowadzałby wyjątek od</w:t>
      </w:r>
      <w:r w:rsidR="00273C9A" w:rsidRPr="003B0A32">
        <w:rPr>
          <w:rFonts w:ascii="Times New Roman" w:hAnsi="Times New Roman" w:cs="Times New Roman"/>
          <w:szCs w:val="24"/>
        </w:rPr>
        <w:t> </w:t>
      </w:r>
      <w:r w:rsidRPr="003B0A32">
        <w:rPr>
          <w:rFonts w:ascii="Times New Roman" w:hAnsi="Times New Roman" w:cs="Times New Roman"/>
          <w:szCs w:val="24"/>
        </w:rPr>
        <w:t>zasady utrwalonej w orzecznictwie sądowym</w:t>
      </w:r>
      <w:r w:rsidR="00197DDA" w:rsidRPr="003B0A32">
        <w:rPr>
          <w:rFonts w:ascii="Times New Roman" w:hAnsi="Times New Roman" w:cs="Times New Roman"/>
          <w:szCs w:val="24"/>
        </w:rPr>
        <w:t xml:space="preserve"> i uprawniałby PKP S.A. bądź </w:t>
      </w:r>
      <w:r w:rsidR="00536174" w:rsidRPr="003B0A32">
        <w:rPr>
          <w:rFonts w:ascii="Times New Roman" w:hAnsi="Times New Roman" w:cs="Times New Roman"/>
          <w:szCs w:val="24"/>
        </w:rPr>
        <w:t>spółki</w:t>
      </w:r>
      <w:r w:rsidR="00FC250A">
        <w:rPr>
          <w:rFonts w:ascii="Times New Roman" w:hAnsi="Times New Roman" w:cs="Times New Roman"/>
          <w:szCs w:val="24"/>
        </w:rPr>
        <w:t>,</w:t>
      </w:r>
      <w:r w:rsidR="00536174" w:rsidRPr="003B0A32">
        <w:rPr>
          <w:rFonts w:ascii="Times New Roman" w:hAnsi="Times New Roman" w:cs="Times New Roman"/>
          <w:szCs w:val="24"/>
        </w:rPr>
        <w:t xml:space="preserve"> do których PKP S</w:t>
      </w:r>
      <w:r w:rsidR="00532E92" w:rsidRPr="003B0A32">
        <w:rPr>
          <w:rFonts w:ascii="Times New Roman" w:hAnsi="Times New Roman" w:cs="Times New Roman"/>
          <w:szCs w:val="24"/>
        </w:rPr>
        <w:t>.</w:t>
      </w:r>
      <w:r w:rsidR="00536174" w:rsidRPr="003B0A32">
        <w:rPr>
          <w:rFonts w:ascii="Times New Roman" w:hAnsi="Times New Roman" w:cs="Times New Roman"/>
          <w:szCs w:val="24"/>
        </w:rPr>
        <w:t>A</w:t>
      </w:r>
      <w:r w:rsidR="00532E92" w:rsidRPr="003B0A32">
        <w:rPr>
          <w:rFonts w:ascii="Times New Roman" w:hAnsi="Times New Roman" w:cs="Times New Roman"/>
          <w:szCs w:val="24"/>
        </w:rPr>
        <w:t>.</w:t>
      </w:r>
      <w:r w:rsidR="00536174" w:rsidRPr="003B0A32">
        <w:rPr>
          <w:rFonts w:ascii="Times New Roman" w:hAnsi="Times New Roman" w:cs="Times New Roman"/>
          <w:szCs w:val="24"/>
        </w:rPr>
        <w:t xml:space="preserve"> wniosła, na podstawie ustawy, nieruchomości w ramach wkładu niepieniężnego, </w:t>
      </w:r>
      <w:r w:rsidR="00197DDA" w:rsidRPr="003B0A32">
        <w:rPr>
          <w:rFonts w:ascii="Times New Roman" w:hAnsi="Times New Roman" w:cs="Times New Roman"/>
          <w:szCs w:val="24"/>
        </w:rPr>
        <w:t>do złożenia stosownego wniosku do sądu wieczystoksięgowego</w:t>
      </w:r>
      <w:r w:rsidRPr="003B0A32">
        <w:rPr>
          <w:rFonts w:ascii="Times New Roman" w:hAnsi="Times New Roman" w:cs="Times New Roman"/>
          <w:szCs w:val="24"/>
        </w:rPr>
        <w:t>.</w:t>
      </w:r>
    </w:p>
    <w:p w14:paraId="4D288B86" w14:textId="2970A960" w:rsidR="00A10945" w:rsidRPr="003B0A32" w:rsidRDefault="00A10945" w:rsidP="003B0A32">
      <w:pPr>
        <w:suppressAutoHyphens/>
        <w:spacing w:after="240" w:line="360" w:lineRule="auto"/>
        <w:jc w:val="both"/>
        <w:rPr>
          <w:rFonts w:ascii="Times New Roman" w:eastAsia="SimSun" w:hAnsi="Times New Roman" w:cs="Times New Roman"/>
          <w:color w:val="auto"/>
          <w:kern w:val="1"/>
          <w:sz w:val="24"/>
          <w:szCs w:val="24"/>
          <w:lang w:eastAsia="ar-SA"/>
        </w:rPr>
      </w:pPr>
      <w:bookmarkStart w:id="2" w:name="uzasadnienia_czesc_776_VII"/>
      <w:bookmarkEnd w:id="1"/>
      <w:bookmarkEnd w:id="2"/>
      <w:r w:rsidRPr="003B0A32">
        <w:rPr>
          <w:rFonts w:ascii="Times New Roman" w:eastAsia="SimSun" w:hAnsi="Times New Roman" w:cs="Times New Roman"/>
          <w:color w:val="auto"/>
          <w:kern w:val="1"/>
          <w:sz w:val="24"/>
          <w:szCs w:val="24"/>
          <w:lang w:eastAsia="ar-SA"/>
        </w:rPr>
        <w:t xml:space="preserve">W odniesieniu do projektowanych rozwiązań nie ma konieczności </w:t>
      </w:r>
      <w:r w:rsidR="009D2D37" w:rsidRPr="003B0A32">
        <w:rPr>
          <w:rFonts w:ascii="Times New Roman" w:eastAsia="SimSun" w:hAnsi="Times New Roman" w:cs="Times New Roman"/>
          <w:color w:val="auto"/>
          <w:kern w:val="1"/>
          <w:sz w:val="24"/>
          <w:szCs w:val="24"/>
          <w:lang w:eastAsia="ar-SA"/>
        </w:rPr>
        <w:t xml:space="preserve">dodawania </w:t>
      </w:r>
      <w:r w:rsidR="000A47B6" w:rsidRPr="003B0A32">
        <w:rPr>
          <w:rFonts w:ascii="Times New Roman" w:eastAsia="SimSun" w:hAnsi="Times New Roman" w:cs="Times New Roman"/>
          <w:color w:val="auto"/>
          <w:kern w:val="1"/>
          <w:sz w:val="24"/>
          <w:szCs w:val="24"/>
          <w:lang w:eastAsia="ar-SA"/>
        </w:rPr>
        <w:t xml:space="preserve">przepisów przejściowych, ponieważ ustawa nie wywiera </w:t>
      </w:r>
      <w:r w:rsidRPr="003B0A32">
        <w:rPr>
          <w:rFonts w:ascii="Times New Roman" w:eastAsia="SimSun" w:hAnsi="Times New Roman" w:cs="Times New Roman"/>
          <w:color w:val="auto"/>
          <w:kern w:val="1"/>
          <w:sz w:val="24"/>
          <w:szCs w:val="24"/>
          <w:lang w:eastAsia="ar-SA"/>
        </w:rPr>
        <w:t>wpływ</w:t>
      </w:r>
      <w:r w:rsidR="000A47B6" w:rsidRPr="003B0A32">
        <w:rPr>
          <w:rFonts w:ascii="Times New Roman" w:eastAsia="SimSun" w:hAnsi="Times New Roman" w:cs="Times New Roman"/>
          <w:color w:val="auto"/>
          <w:kern w:val="1"/>
          <w:sz w:val="24"/>
          <w:szCs w:val="24"/>
          <w:lang w:eastAsia="ar-SA"/>
        </w:rPr>
        <w:t>u</w:t>
      </w:r>
      <w:r w:rsidRPr="003B0A32">
        <w:rPr>
          <w:rFonts w:ascii="Times New Roman" w:eastAsia="SimSun" w:hAnsi="Times New Roman" w:cs="Times New Roman"/>
          <w:color w:val="auto"/>
          <w:kern w:val="1"/>
          <w:sz w:val="24"/>
          <w:szCs w:val="24"/>
          <w:lang w:eastAsia="ar-SA"/>
        </w:rPr>
        <w:t xml:space="preserve"> na stosunki powstałe pod działaniem </w:t>
      </w:r>
      <w:r w:rsidR="000A47B6" w:rsidRPr="003B0A32">
        <w:rPr>
          <w:rFonts w:ascii="Times New Roman" w:eastAsia="SimSun" w:hAnsi="Times New Roman" w:cs="Times New Roman"/>
          <w:color w:val="auto"/>
          <w:kern w:val="1"/>
          <w:sz w:val="24"/>
          <w:szCs w:val="24"/>
          <w:lang w:eastAsia="ar-SA"/>
        </w:rPr>
        <w:t xml:space="preserve">dotychczasowych przepisów </w:t>
      </w:r>
      <w:r w:rsidRPr="003B0A32">
        <w:rPr>
          <w:rFonts w:ascii="Times New Roman" w:eastAsia="SimSun" w:hAnsi="Times New Roman" w:cs="Times New Roman"/>
          <w:color w:val="auto"/>
          <w:kern w:val="1"/>
          <w:sz w:val="24"/>
          <w:szCs w:val="24"/>
          <w:lang w:eastAsia="ar-SA"/>
        </w:rPr>
        <w:t>ustawy</w:t>
      </w:r>
      <w:r w:rsidR="000A47B6" w:rsidRPr="003B0A32">
        <w:rPr>
          <w:rFonts w:ascii="Times New Roman" w:eastAsia="SimSun" w:hAnsi="Times New Roman" w:cs="Times New Roman"/>
          <w:color w:val="auto"/>
          <w:kern w:val="1"/>
          <w:sz w:val="24"/>
          <w:szCs w:val="24"/>
          <w:lang w:eastAsia="ar-SA"/>
        </w:rPr>
        <w:t xml:space="preserve"> </w:t>
      </w:r>
      <w:r w:rsidR="00D332B2" w:rsidRPr="003B0A32">
        <w:rPr>
          <w:rFonts w:ascii="Times New Roman" w:eastAsia="SimSun" w:hAnsi="Times New Roman" w:cs="Times New Roman"/>
          <w:color w:val="auto"/>
          <w:kern w:val="1"/>
          <w:sz w:val="24"/>
          <w:szCs w:val="24"/>
          <w:lang w:eastAsia="ar-SA"/>
        </w:rPr>
        <w:t>i stwarza nową sytuację prawną, a projektowane rozwiązania dotyczą kwestii rozporządzenia mieniem pomiędzy dwoma spółkami Skarbu Państwa</w:t>
      </w:r>
      <w:r w:rsidR="009D2D37" w:rsidRPr="003B0A32">
        <w:rPr>
          <w:rFonts w:ascii="Times New Roman" w:eastAsia="SimSun" w:hAnsi="Times New Roman" w:cs="Times New Roman"/>
          <w:color w:val="auto"/>
          <w:kern w:val="1"/>
          <w:sz w:val="24"/>
          <w:szCs w:val="24"/>
          <w:lang w:eastAsia="ar-SA"/>
        </w:rPr>
        <w:t>, po wejściu w życie projektowanej regulacji</w:t>
      </w:r>
      <w:r w:rsidR="00D332B2" w:rsidRPr="003B0A32">
        <w:rPr>
          <w:rFonts w:ascii="Times New Roman" w:eastAsia="SimSun" w:hAnsi="Times New Roman" w:cs="Times New Roman"/>
          <w:color w:val="auto"/>
          <w:kern w:val="1"/>
          <w:sz w:val="24"/>
          <w:szCs w:val="24"/>
          <w:lang w:eastAsia="ar-SA"/>
        </w:rPr>
        <w:t>.</w:t>
      </w:r>
    </w:p>
    <w:p w14:paraId="2925BC82" w14:textId="50E987C1" w:rsidR="005C4CE1" w:rsidRPr="003B0A32" w:rsidRDefault="00630453" w:rsidP="003B0A32">
      <w:pPr>
        <w:suppressAutoHyphens/>
        <w:spacing w:after="240" w:line="360" w:lineRule="auto"/>
        <w:jc w:val="both"/>
        <w:rPr>
          <w:rFonts w:ascii="Times New Roman" w:eastAsia="SimSun" w:hAnsi="Times New Roman" w:cs="Times New Roman"/>
          <w:color w:val="auto"/>
          <w:kern w:val="1"/>
          <w:sz w:val="24"/>
          <w:szCs w:val="24"/>
          <w:lang w:eastAsia="ar-SA"/>
        </w:rPr>
      </w:pPr>
      <w:r w:rsidRPr="003B0A32">
        <w:rPr>
          <w:rFonts w:ascii="Times New Roman" w:eastAsia="SimSun" w:hAnsi="Times New Roman" w:cs="Times New Roman"/>
          <w:color w:val="auto"/>
          <w:kern w:val="1"/>
          <w:sz w:val="24"/>
          <w:szCs w:val="24"/>
          <w:lang w:eastAsia="ar-SA"/>
        </w:rPr>
        <w:t>Proponowane rozwiązania wejdą w życie po upływie 1</w:t>
      </w:r>
      <w:r w:rsidR="00C63E4D" w:rsidRPr="003B0A32">
        <w:rPr>
          <w:rFonts w:ascii="Times New Roman" w:eastAsia="SimSun" w:hAnsi="Times New Roman" w:cs="Times New Roman"/>
          <w:color w:val="auto"/>
          <w:kern w:val="1"/>
          <w:sz w:val="24"/>
          <w:szCs w:val="24"/>
          <w:lang w:eastAsia="ar-SA"/>
        </w:rPr>
        <w:t>4 dni od dnia ogłoszenia ustawy.</w:t>
      </w:r>
      <w:r w:rsidRPr="003B0A32">
        <w:rPr>
          <w:rFonts w:ascii="Times New Roman" w:eastAsia="SimSun" w:hAnsi="Times New Roman" w:cs="Times New Roman"/>
          <w:color w:val="auto"/>
          <w:kern w:val="1"/>
          <w:sz w:val="24"/>
          <w:szCs w:val="24"/>
          <w:lang w:eastAsia="ar-SA"/>
        </w:rPr>
        <w:t xml:space="preserve"> </w:t>
      </w:r>
      <w:r w:rsidR="005C4CE1" w:rsidRPr="003B0A32">
        <w:rPr>
          <w:rFonts w:ascii="Times New Roman" w:eastAsia="SimSun" w:hAnsi="Times New Roman" w:cs="Times New Roman"/>
          <w:color w:val="auto"/>
          <w:kern w:val="1"/>
          <w:sz w:val="24"/>
          <w:szCs w:val="24"/>
          <w:lang w:eastAsia="ar-SA"/>
        </w:rPr>
        <w:t>Termin wejścia w życie ustawy odpowiada ogólnej zasadzie określającej termin wejścia w życie aktów normatywnych zawierających przepisy powszechnie obowiązujące, wynika</w:t>
      </w:r>
      <w:r w:rsidR="00532E92" w:rsidRPr="003B0A32">
        <w:rPr>
          <w:rFonts w:ascii="Times New Roman" w:eastAsia="SimSun" w:hAnsi="Times New Roman" w:cs="Times New Roman"/>
          <w:color w:val="auto"/>
          <w:kern w:val="1"/>
          <w:sz w:val="24"/>
          <w:szCs w:val="24"/>
          <w:lang w:eastAsia="ar-SA"/>
        </w:rPr>
        <w:t>jącej</w:t>
      </w:r>
      <w:r w:rsidR="005C4CE1" w:rsidRPr="003B0A32">
        <w:rPr>
          <w:rFonts w:ascii="Times New Roman" w:eastAsia="SimSun" w:hAnsi="Times New Roman" w:cs="Times New Roman"/>
          <w:color w:val="auto"/>
          <w:kern w:val="1"/>
          <w:sz w:val="24"/>
          <w:szCs w:val="24"/>
          <w:lang w:eastAsia="ar-SA"/>
        </w:rPr>
        <w:t xml:space="preserve"> z art. 4 ust. 1 ustawy z dnia 20 lipca 2000 r. </w:t>
      </w:r>
      <w:r w:rsidR="005C4CE1" w:rsidRPr="003B0A32">
        <w:rPr>
          <w:rFonts w:ascii="Times New Roman" w:eastAsia="SimSun" w:hAnsi="Times New Roman" w:cs="Times New Roman"/>
          <w:i/>
          <w:color w:val="auto"/>
          <w:kern w:val="1"/>
          <w:sz w:val="24"/>
          <w:szCs w:val="24"/>
          <w:lang w:eastAsia="ar-SA"/>
        </w:rPr>
        <w:t xml:space="preserve">o ogłaszaniu aktów normatywnych </w:t>
      </w:r>
      <w:r w:rsidR="00E87E4C" w:rsidRPr="003B0A32">
        <w:rPr>
          <w:rFonts w:ascii="Times New Roman" w:eastAsia="SimSun" w:hAnsi="Times New Roman" w:cs="Times New Roman"/>
          <w:i/>
          <w:color w:val="auto"/>
          <w:kern w:val="1"/>
          <w:sz w:val="24"/>
          <w:szCs w:val="24"/>
          <w:lang w:eastAsia="ar-SA"/>
        </w:rPr>
        <w:t>i </w:t>
      </w:r>
      <w:r w:rsidR="005C4CE1" w:rsidRPr="003B0A32">
        <w:rPr>
          <w:rFonts w:ascii="Times New Roman" w:eastAsia="SimSun" w:hAnsi="Times New Roman" w:cs="Times New Roman"/>
          <w:i/>
          <w:color w:val="auto"/>
          <w:kern w:val="1"/>
          <w:sz w:val="24"/>
          <w:szCs w:val="24"/>
          <w:lang w:eastAsia="ar-SA"/>
        </w:rPr>
        <w:t>niektórych innych aktów prawnych</w:t>
      </w:r>
      <w:r w:rsidR="00E35A20" w:rsidRPr="003B0A32">
        <w:rPr>
          <w:rFonts w:ascii="Times New Roman" w:eastAsia="SimSun" w:hAnsi="Times New Roman" w:cs="Times New Roman"/>
          <w:color w:val="auto"/>
          <w:kern w:val="1"/>
          <w:sz w:val="24"/>
          <w:szCs w:val="24"/>
          <w:lang w:eastAsia="ar-SA"/>
        </w:rPr>
        <w:t xml:space="preserve"> (Dz. U. z 2019 r. poz. 1461)</w:t>
      </w:r>
      <w:r w:rsidR="005C4CE1" w:rsidRPr="003B0A32">
        <w:rPr>
          <w:rFonts w:ascii="Times New Roman" w:eastAsia="SimSun" w:hAnsi="Times New Roman" w:cs="Times New Roman"/>
          <w:color w:val="auto"/>
          <w:kern w:val="1"/>
          <w:sz w:val="24"/>
          <w:szCs w:val="24"/>
          <w:lang w:eastAsia="ar-SA"/>
        </w:rPr>
        <w:t>. Zważywszy na fakt, ż</w:t>
      </w:r>
      <w:r w:rsidR="001E48F5" w:rsidRPr="003B0A32">
        <w:rPr>
          <w:rFonts w:ascii="Times New Roman" w:eastAsia="SimSun" w:hAnsi="Times New Roman" w:cs="Times New Roman"/>
          <w:color w:val="auto"/>
          <w:kern w:val="1"/>
          <w:sz w:val="24"/>
          <w:szCs w:val="24"/>
          <w:lang w:eastAsia="ar-SA"/>
        </w:rPr>
        <w:t>e</w:t>
      </w:r>
      <w:r w:rsidR="00A14200" w:rsidRPr="003B0A32">
        <w:rPr>
          <w:rFonts w:ascii="Times New Roman" w:eastAsia="SimSun" w:hAnsi="Times New Roman" w:cs="Times New Roman"/>
          <w:color w:val="auto"/>
          <w:kern w:val="1"/>
          <w:sz w:val="24"/>
          <w:szCs w:val="24"/>
          <w:lang w:eastAsia="ar-SA"/>
        </w:rPr>
        <w:t> </w:t>
      </w:r>
      <w:r w:rsidR="009108B1" w:rsidRPr="003B0A32">
        <w:rPr>
          <w:rFonts w:ascii="Times New Roman" w:eastAsia="SimSun" w:hAnsi="Times New Roman" w:cs="Times New Roman"/>
          <w:color w:val="auto"/>
          <w:kern w:val="1"/>
          <w:sz w:val="24"/>
          <w:szCs w:val="24"/>
          <w:lang w:eastAsia="ar-SA"/>
        </w:rPr>
        <w:t>projektowane rozwiązania dotyczą kwestii rozporządzenia mieniem pomiędzy dwoma spółkami Skarbu Państwa, a projekt ustawy nie wywołuje skutków pomiędzy jaki</w:t>
      </w:r>
      <w:r w:rsidR="00532E92" w:rsidRPr="003B0A32">
        <w:rPr>
          <w:rFonts w:ascii="Times New Roman" w:eastAsia="SimSun" w:hAnsi="Times New Roman" w:cs="Times New Roman"/>
          <w:color w:val="auto"/>
          <w:kern w:val="1"/>
          <w:sz w:val="24"/>
          <w:szCs w:val="24"/>
          <w:lang w:eastAsia="ar-SA"/>
        </w:rPr>
        <w:t>mikolwiek innymi podmiotami, 14–dniowa</w:t>
      </w:r>
      <w:r w:rsidR="009108B1" w:rsidRPr="003B0A32">
        <w:rPr>
          <w:rFonts w:ascii="Times New Roman" w:eastAsia="SimSun" w:hAnsi="Times New Roman" w:cs="Times New Roman"/>
          <w:color w:val="auto"/>
          <w:kern w:val="1"/>
          <w:sz w:val="24"/>
          <w:szCs w:val="24"/>
          <w:lang w:eastAsia="ar-SA"/>
        </w:rPr>
        <w:t xml:space="preserve"> </w:t>
      </w:r>
      <w:r w:rsidR="009108B1" w:rsidRPr="003B0A32">
        <w:rPr>
          <w:rFonts w:ascii="Times New Roman" w:eastAsia="SimSun" w:hAnsi="Times New Roman" w:cs="Times New Roman"/>
          <w:i/>
          <w:color w:val="auto"/>
          <w:kern w:val="1"/>
          <w:sz w:val="24"/>
          <w:szCs w:val="24"/>
          <w:lang w:eastAsia="ar-SA"/>
        </w:rPr>
        <w:t>vacatio legis</w:t>
      </w:r>
      <w:r w:rsidR="00532E92" w:rsidRPr="003B0A32">
        <w:rPr>
          <w:rFonts w:ascii="Times New Roman" w:eastAsia="SimSun" w:hAnsi="Times New Roman" w:cs="Times New Roman"/>
          <w:color w:val="auto"/>
          <w:kern w:val="1"/>
          <w:sz w:val="24"/>
          <w:szCs w:val="24"/>
          <w:lang w:eastAsia="ar-SA"/>
        </w:rPr>
        <w:t xml:space="preserve"> jest wystarczająca</w:t>
      </w:r>
      <w:r w:rsidR="009108B1" w:rsidRPr="003B0A32">
        <w:rPr>
          <w:rFonts w:ascii="Times New Roman" w:eastAsia="SimSun" w:hAnsi="Times New Roman" w:cs="Times New Roman"/>
          <w:color w:val="auto"/>
          <w:kern w:val="1"/>
          <w:sz w:val="24"/>
          <w:szCs w:val="24"/>
          <w:lang w:eastAsia="ar-SA"/>
        </w:rPr>
        <w:t xml:space="preserve">. </w:t>
      </w:r>
    </w:p>
    <w:p w14:paraId="787AC085" w14:textId="0EBFD133" w:rsidR="00532E92" w:rsidRPr="003B0A32" w:rsidRDefault="000D72BB" w:rsidP="003B0A32">
      <w:pPr>
        <w:spacing w:after="240" w:line="360" w:lineRule="auto"/>
        <w:jc w:val="both"/>
        <w:rPr>
          <w:rFonts w:ascii="Times New Roman" w:eastAsia="SimSun" w:hAnsi="Times New Roman" w:cs="Times New Roman"/>
          <w:color w:val="auto"/>
          <w:kern w:val="1"/>
          <w:sz w:val="24"/>
          <w:szCs w:val="24"/>
          <w:lang w:eastAsia="ar-SA"/>
        </w:rPr>
      </w:pPr>
      <w:r w:rsidRPr="003B0A32">
        <w:rPr>
          <w:rFonts w:ascii="Times New Roman" w:eastAsia="SimSun" w:hAnsi="Times New Roman" w:cs="Times New Roman"/>
          <w:color w:val="auto"/>
          <w:kern w:val="1"/>
          <w:sz w:val="24"/>
          <w:szCs w:val="24"/>
          <w:lang w:eastAsia="ar-SA"/>
        </w:rPr>
        <w:lastRenderedPageBreak/>
        <w:t xml:space="preserve">Projekt ustawy </w:t>
      </w:r>
      <w:r w:rsidRPr="003B0A32">
        <w:rPr>
          <w:rFonts w:ascii="Times New Roman" w:hAnsi="Times New Roman" w:cs="Times New Roman"/>
          <w:color w:val="auto"/>
          <w:kern w:val="1"/>
          <w:sz w:val="24"/>
          <w:szCs w:val="24"/>
        </w:rPr>
        <w:t>nie podlega notyfikacji</w:t>
      </w:r>
      <w:r w:rsidRPr="003B0A32">
        <w:rPr>
          <w:rFonts w:ascii="Times New Roman" w:eastAsia="SimSun" w:hAnsi="Times New Roman" w:cs="Times New Roman"/>
          <w:color w:val="auto"/>
          <w:kern w:val="1"/>
          <w:sz w:val="24"/>
          <w:szCs w:val="24"/>
          <w:lang w:eastAsia="ar-SA"/>
        </w:rPr>
        <w:t xml:space="preserve"> w trybie przewidzianym w rozporządzeniu Rady Ministrów z dnia 23 grudnia 2002 r. </w:t>
      </w:r>
      <w:r w:rsidRPr="003B0A32">
        <w:rPr>
          <w:rFonts w:ascii="Times New Roman" w:eastAsia="SimSun" w:hAnsi="Times New Roman" w:cs="Times New Roman"/>
          <w:i/>
          <w:color w:val="auto"/>
          <w:kern w:val="1"/>
          <w:sz w:val="24"/>
          <w:szCs w:val="24"/>
          <w:lang w:eastAsia="ar-SA"/>
        </w:rPr>
        <w:t>w sprawie sposobu funkcjonowania krajowego systemu notyfikacji norm i aktów prawnych</w:t>
      </w:r>
      <w:r w:rsidR="00EF245C">
        <w:rPr>
          <w:rFonts w:ascii="Times New Roman" w:eastAsia="SimSun" w:hAnsi="Times New Roman" w:cs="Times New Roman"/>
          <w:color w:val="auto"/>
          <w:kern w:val="1"/>
          <w:sz w:val="24"/>
          <w:szCs w:val="24"/>
          <w:lang w:eastAsia="ar-SA"/>
        </w:rPr>
        <w:t xml:space="preserve"> (Dz. U. poz. 2039 </w:t>
      </w:r>
      <w:r w:rsidR="003B19EF">
        <w:rPr>
          <w:rFonts w:ascii="Times New Roman" w:eastAsia="SimSun" w:hAnsi="Times New Roman" w:cs="Times New Roman"/>
          <w:color w:val="auto"/>
          <w:kern w:val="1"/>
          <w:sz w:val="24"/>
          <w:szCs w:val="24"/>
          <w:lang w:eastAsia="ar-SA"/>
        </w:rPr>
        <w:t>oraz z 2004 r. poz. 597</w:t>
      </w:r>
      <w:r w:rsidRPr="003B0A32">
        <w:rPr>
          <w:rFonts w:ascii="Times New Roman" w:eastAsia="SimSun" w:hAnsi="Times New Roman" w:cs="Times New Roman"/>
          <w:color w:val="auto"/>
          <w:kern w:val="1"/>
          <w:sz w:val="24"/>
          <w:szCs w:val="24"/>
          <w:lang w:eastAsia="ar-SA"/>
        </w:rPr>
        <w:t>).</w:t>
      </w:r>
    </w:p>
    <w:p w14:paraId="693D2E51" w14:textId="22BC37CA" w:rsidR="000D72BB" w:rsidRPr="003B0A32" w:rsidRDefault="000D72BB" w:rsidP="003B0A32">
      <w:pPr>
        <w:suppressAutoHyphens/>
        <w:spacing w:after="120" w:line="360" w:lineRule="auto"/>
        <w:jc w:val="both"/>
        <w:rPr>
          <w:rFonts w:ascii="Times New Roman" w:eastAsia="SimSun" w:hAnsi="Times New Roman" w:cs="Times New Roman"/>
          <w:color w:val="auto"/>
          <w:kern w:val="1"/>
          <w:sz w:val="24"/>
          <w:szCs w:val="24"/>
          <w:lang w:eastAsia="ar-SA"/>
        </w:rPr>
      </w:pPr>
      <w:r w:rsidRPr="003B0A32">
        <w:rPr>
          <w:rFonts w:ascii="Times New Roman" w:eastAsia="SimSun" w:hAnsi="Times New Roman" w:cs="Times New Roman"/>
          <w:color w:val="auto"/>
          <w:kern w:val="1"/>
          <w:sz w:val="24"/>
          <w:szCs w:val="24"/>
          <w:lang w:eastAsia="ar-SA"/>
        </w:rPr>
        <w:t>Projekt ustawy nie wymaga przedstawienia właściwym organom i instytucjom Unii</w:t>
      </w:r>
      <w:r w:rsidR="009056C5" w:rsidRPr="003B0A32">
        <w:rPr>
          <w:rFonts w:ascii="Times New Roman" w:eastAsia="SimSun" w:hAnsi="Times New Roman" w:cs="Times New Roman"/>
          <w:color w:val="auto"/>
          <w:kern w:val="1"/>
          <w:sz w:val="24"/>
          <w:szCs w:val="24"/>
          <w:lang w:eastAsia="ar-SA"/>
        </w:rPr>
        <w:t> </w:t>
      </w:r>
      <w:r w:rsidRPr="003B0A32">
        <w:rPr>
          <w:rFonts w:ascii="Times New Roman" w:eastAsia="SimSun" w:hAnsi="Times New Roman" w:cs="Times New Roman"/>
          <w:color w:val="auto"/>
          <w:kern w:val="1"/>
          <w:sz w:val="24"/>
          <w:szCs w:val="24"/>
          <w:lang w:eastAsia="ar-SA"/>
        </w:rPr>
        <w:t xml:space="preserve">Europejskiej, w tym Europejskiemu Bankowi Centralnemu, w celu uzyskania opinii, dokonania powiadomienia, konsultacji albo uzgodnienia. </w:t>
      </w:r>
    </w:p>
    <w:p w14:paraId="0019255E" w14:textId="5FBB420A" w:rsidR="000D72BB" w:rsidRPr="003B0A32" w:rsidRDefault="000D72BB" w:rsidP="003B0A32">
      <w:pPr>
        <w:suppressAutoHyphens/>
        <w:spacing w:after="120" w:line="360" w:lineRule="auto"/>
        <w:jc w:val="both"/>
        <w:rPr>
          <w:rFonts w:ascii="Times New Roman" w:eastAsia="SimSun" w:hAnsi="Times New Roman" w:cs="Times New Roman"/>
          <w:color w:val="auto"/>
          <w:kern w:val="1"/>
          <w:sz w:val="24"/>
          <w:szCs w:val="24"/>
          <w:lang w:eastAsia="ar-SA"/>
        </w:rPr>
      </w:pPr>
      <w:r w:rsidRPr="003B0A32">
        <w:rPr>
          <w:rFonts w:ascii="Times New Roman" w:eastAsia="SimSun" w:hAnsi="Times New Roman" w:cs="Times New Roman"/>
          <w:color w:val="auto"/>
          <w:kern w:val="1"/>
          <w:sz w:val="24"/>
          <w:szCs w:val="24"/>
          <w:lang w:eastAsia="ar-SA"/>
        </w:rPr>
        <w:t>Projekt ustawy jest zgodny z prawem Unii Europejskiej.</w:t>
      </w:r>
    </w:p>
    <w:p w14:paraId="37B30479" w14:textId="75C0105D" w:rsidR="00D401F2" w:rsidRPr="003B0A32" w:rsidRDefault="00D401F2" w:rsidP="003B0A32">
      <w:pPr>
        <w:suppressAutoHyphens/>
        <w:spacing w:after="120" w:line="360" w:lineRule="auto"/>
        <w:jc w:val="both"/>
        <w:rPr>
          <w:rFonts w:ascii="Times New Roman" w:eastAsia="SimSun" w:hAnsi="Times New Roman" w:cs="Times New Roman"/>
          <w:color w:val="auto"/>
          <w:kern w:val="1"/>
          <w:sz w:val="24"/>
          <w:szCs w:val="24"/>
          <w:lang w:eastAsia="ar-SA"/>
        </w:rPr>
      </w:pPr>
      <w:r w:rsidRPr="003B0A32">
        <w:rPr>
          <w:rFonts w:ascii="Times New Roman" w:eastAsia="SimSun" w:hAnsi="Times New Roman" w:cs="Times New Roman"/>
          <w:color w:val="auto"/>
          <w:kern w:val="1"/>
          <w:sz w:val="24"/>
          <w:szCs w:val="24"/>
          <w:lang w:eastAsia="ar-SA"/>
        </w:rPr>
        <w:t xml:space="preserve">Zgodnie z ustawą z dnia 7 lipca 2005 r. </w:t>
      </w:r>
      <w:r w:rsidRPr="003B0A32">
        <w:rPr>
          <w:rFonts w:ascii="Times New Roman" w:eastAsia="SimSun" w:hAnsi="Times New Roman" w:cs="Times New Roman"/>
          <w:i/>
          <w:color w:val="auto"/>
          <w:kern w:val="1"/>
          <w:sz w:val="24"/>
          <w:szCs w:val="24"/>
          <w:lang w:eastAsia="ar-SA"/>
        </w:rPr>
        <w:t>o działalności lobbingowej w procesie stanowienia prawa</w:t>
      </w:r>
      <w:r w:rsidRPr="003B0A32">
        <w:rPr>
          <w:rFonts w:ascii="Times New Roman" w:eastAsia="SimSun" w:hAnsi="Times New Roman" w:cs="Times New Roman"/>
          <w:color w:val="auto"/>
          <w:kern w:val="1"/>
          <w:sz w:val="24"/>
          <w:szCs w:val="24"/>
          <w:lang w:eastAsia="ar-SA"/>
        </w:rPr>
        <w:t xml:space="preserve"> (Dz. U. z 2017 r. poz. 248) oraz stosownie do postanowień § 52 uchwały nr 190 Rady Ministrów z dnia 29 października 2013 r. – </w:t>
      </w:r>
      <w:r w:rsidRPr="003B0A32">
        <w:rPr>
          <w:rFonts w:ascii="Times New Roman" w:eastAsia="SimSun" w:hAnsi="Times New Roman" w:cs="Times New Roman"/>
          <w:i/>
          <w:color w:val="auto"/>
          <w:kern w:val="1"/>
          <w:sz w:val="24"/>
          <w:szCs w:val="24"/>
          <w:lang w:eastAsia="ar-SA"/>
        </w:rPr>
        <w:t>Regulamin pracy Rady Ministrów</w:t>
      </w:r>
      <w:r w:rsidRPr="003B0A32">
        <w:rPr>
          <w:rFonts w:ascii="Times New Roman" w:eastAsia="SimSun" w:hAnsi="Times New Roman" w:cs="Times New Roman"/>
          <w:color w:val="auto"/>
          <w:kern w:val="1"/>
          <w:sz w:val="24"/>
          <w:szCs w:val="24"/>
          <w:lang w:eastAsia="ar-SA"/>
        </w:rPr>
        <w:t xml:space="preserve"> (M.P. z 20</w:t>
      </w:r>
      <w:r w:rsidR="00721325" w:rsidRPr="003B0A32">
        <w:rPr>
          <w:rFonts w:ascii="Times New Roman" w:eastAsia="SimSun" w:hAnsi="Times New Roman" w:cs="Times New Roman"/>
          <w:color w:val="auto"/>
          <w:kern w:val="1"/>
          <w:sz w:val="24"/>
          <w:szCs w:val="24"/>
          <w:lang w:eastAsia="ar-SA"/>
        </w:rPr>
        <w:t>22</w:t>
      </w:r>
      <w:r w:rsidRPr="003B0A32">
        <w:rPr>
          <w:rFonts w:ascii="Times New Roman" w:eastAsia="SimSun" w:hAnsi="Times New Roman" w:cs="Times New Roman"/>
          <w:color w:val="auto"/>
          <w:kern w:val="1"/>
          <w:sz w:val="24"/>
          <w:szCs w:val="24"/>
          <w:lang w:eastAsia="ar-SA"/>
        </w:rPr>
        <w:t xml:space="preserve"> r. poz. </w:t>
      </w:r>
      <w:r w:rsidR="00721325" w:rsidRPr="003B0A32">
        <w:rPr>
          <w:rFonts w:ascii="Times New Roman" w:eastAsia="SimSun" w:hAnsi="Times New Roman" w:cs="Times New Roman"/>
          <w:color w:val="auto"/>
          <w:kern w:val="1"/>
          <w:sz w:val="24"/>
          <w:szCs w:val="24"/>
          <w:lang w:eastAsia="ar-SA"/>
        </w:rPr>
        <w:t>348</w:t>
      </w:r>
      <w:r w:rsidRPr="003B0A32">
        <w:rPr>
          <w:rFonts w:ascii="Times New Roman" w:eastAsia="SimSun" w:hAnsi="Times New Roman" w:cs="Times New Roman"/>
          <w:color w:val="auto"/>
          <w:kern w:val="1"/>
          <w:sz w:val="24"/>
          <w:szCs w:val="24"/>
          <w:lang w:eastAsia="ar-SA"/>
        </w:rPr>
        <w:t>) projekt ustawy zosta</w:t>
      </w:r>
      <w:r w:rsidR="00B8613E" w:rsidRPr="003B0A32">
        <w:rPr>
          <w:rFonts w:ascii="Times New Roman" w:eastAsia="SimSun" w:hAnsi="Times New Roman" w:cs="Times New Roman"/>
          <w:color w:val="auto"/>
          <w:kern w:val="1"/>
          <w:sz w:val="24"/>
          <w:szCs w:val="24"/>
          <w:lang w:eastAsia="ar-SA"/>
        </w:rPr>
        <w:t xml:space="preserve">ł </w:t>
      </w:r>
      <w:r w:rsidRPr="003B0A32">
        <w:rPr>
          <w:rFonts w:ascii="Times New Roman" w:eastAsia="SimSun" w:hAnsi="Times New Roman" w:cs="Times New Roman"/>
          <w:color w:val="auto"/>
          <w:kern w:val="1"/>
          <w:sz w:val="24"/>
          <w:szCs w:val="24"/>
          <w:lang w:eastAsia="ar-SA"/>
        </w:rPr>
        <w:t>udostępniony w Biuletynie Informacji Publicznej Rządowego Centrum Legislacji w serwisie Rządowy Proces Legislacyjny.</w:t>
      </w:r>
    </w:p>
    <w:p w14:paraId="2B4B4775" w14:textId="7B62E7A0" w:rsidR="00BA2947" w:rsidRPr="003B0A32" w:rsidRDefault="00BA2947" w:rsidP="003B0A32">
      <w:pPr>
        <w:suppressAutoHyphens/>
        <w:spacing w:after="240" w:line="360" w:lineRule="auto"/>
        <w:jc w:val="both"/>
        <w:rPr>
          <w:rFonts w:ascii="Times New Roman" w:eastAsia="SimSun" w:hAnsi="Times New Roman" w:cs="Times New Roman"/>
          <w:color w:val="auto"/>
          <w:kern w:val="1"/>
          <w:sz w:val="24"/>
          <w:szCs w:val="24"/>
          <w:lang w:eastAsia="ar-SA"/>
        </w:rPr>
      </w:pPr>
      <w:r w:rsidRPr="003B0A32">
        <w:rPr>
          <w:rFonts w:ascii="Times New Roman" w:eastAsia="SimSun" w:hAnsi="Times New Roman" w:cs="Times New Roman"/>
          <w:color w:val="auto"/>
          <w:kern w:val="1"/>
          <w:sz w:val="24"/>
          <w:szCs w:val="24"/>
          <w:lang w:eastAsia="ar-SA"/>
        </w:rPr>
        <w:t>Nie ma możliwości osiągnięcia celów projektu za pomocą innych środków niż zmiana przedmiotowej ustawy.</w:t>
      </w:r>
    </w:p>
    <w:sectPr w:rsidR="00BA2947" w:rsidRPr="003B0A32" w:rsidSect="003B0A32">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309FB6" w14:textId="77777777" w:rsidR="002D08A9" w:rsidRDefault="002D08A9" w:rsidP="00422339">
      <w:r>
        <w:separator/>
      </w:r>
    </w:p>
  </w:endnote>
  <w:endnote w:type="continuationSeparator" w:id="0">
    <w:p w14:paraId="4764D465" w14:textId="77777777" w:rsidR="002D08A9" w:rsidRDefault="002D08A9" w:rsidP="004223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07989434"/>
      <w:docPartObj>
        <w:docPartGallery w:val="Page Numbers (Bottom of Page)"/>
        <w:docPartUnique/>
      </w:docPartObj>
    </w:sdtPr>
    <w:sdtEndPr>
      <w:rPr>
        <w:rFonts w:ascii="Times New Roman" w:hAnsi="Times New Roman" w:cs="Times New Roman"/>
        <w:sz w:val="24"/>
        <w:szCs w:val="24"/>
      </w:rPr>
    </w:sdtEndPr>
    <w:sdtContent>
      <w:p w14:paraId="34F1F31E" w14:textId="4BC9535F" w:rsidR="003B0A32" w:rsidRPr="003B0A32" w:rsidRDefault="003B0A32">
        <w:pPr>
          <w:pStyle w:val="Stopka"/>
          <w:jc w:val="center"/>
          <w:rPr>
            <w:rFonts w:ascii="Times New Roman" w:hAnsi="Times New Roman" w:cs="Times New Roman"/>
            <w:sz w:val="24"/>
            <w:szCs w:val="24"/>
          </w:rPr>
        </w:pPr>
        <w:r w:rsidRPr="003B0A32">
          <w:rPr>
            <w:rFonts w:ascii="Times New Roman" w:hAnsi="Times New Roman" w:cs="Times New Roman"/>
            <w:sz w:val="24"/>
            <w:szCs w:val="24"/>
          </w:rPr>
          <w:fldChar w:fldCharType="begin"/>
        </w:r>
        <w:r w:rsidRPr="003B0A32">
          <w:rPr>
            <w:rFonts w:ascii="Times New Roman" w:hAnsi="Times New Roman" w:cs="Times New Roman"/>
            <w:sz w:val="24"/>
            <w:szCs w:val="24"/>
          </w:rPr>
          <w:instrText>PAGE   \* MERGEFORMAT</w:instrText>
        </w:r>
        <w:r w:rsidRPr="003B0A32">
          <w:rPr>
            <w:rFonts w:ascii="Times New Roman" w:hAnsi="Times New Roman" w:cs="Times New Roman"/>
            <w:sz w:val="24"/>
            <w:szCs w:val="24"/>
          </w:rPr>
          <w:fldChar w:fldCharType="separate"/>
        </w:r>
        <w:r w:rsidR="000A02B4">
          <w:rPr>
            <w:rFonts w:ascii="Times New Roman" w:hAnsi="Times New Roman" w:cs="Times New Roman"/>
            <w:noProof/>
            <w:sz w:val="24"/>
            <w:szCs w:val="24"/>
          </w:rPr>
          <w:t>15</w:t>
        </w:r>
        <w:r w:rsidRPr="003B0A32">
          <w:rPr>
            <w:rFonts w:ascii="Times New Roman" w:hAnsi="Times New Roman" w:cs="Times New Roman"/>
            <w:sz w:val="24"/>
            <w:szCs w:val="24"/>
          </w:rPr>
          <w:fldChar w:fldCharType="end"/>
        </w:r>
      </w:p>
    </w:sdtContent>
  </w:sdt>
  <w:p w14:paraId="06B1ED6C" w14:textId="77777777" w:rsidR="008F3408" w:rsidRPr="008A6553" w:rsidRDefault="008F3408">
    <w:pPr>
      <w:pStyle w:val="Stopka"/>
      <w:rPr>
        <w:rFonts w:ascii="Times New Roman" w:hAnsi="Times New Roman" w:cs="Times New Roman"/>
        <w:color w:val="auto"/>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EEC42F" w14:textId="77777777" w:rsidR="002D08A9" w:rsidRDefault="002D08A9" w:rsidP="00422339">
      <w:r>
        <w:separator/>
      </w:r>
    </w:p>
  </w:footnote>
  <w:footnote w:type="continuationSeparator" w:id="0">
    <w:p w14:paraId="609E2176" w14:textId="77777777" w:rsidR="002D08A9" w:rsidRDefault="002D08A9" w:rsidP="00422339">
      <w:r>
        <w:continuationSeparator/>
      </w:r>
    </w:p>
  </w:footnote>
  <w:footnote w:id="1">
    <w:p w14:paraId="39B80FEE" w14:textId="5AE11CCA" w:rsidR="008F3408" w:rsidRPr="000D72BB" w:rsidRDefault="008F3408" w:rsidP="00EF06C4">
      <w:pPr>
        <w:pStyle w:val="Default"/>
        <w:jc w:val="both"/>
        <w:rPr>
          <w:rFonts w:ascii="Times New Roman" w:hAnsi="Times New Roman" w:cs="Times New Roman"/>
          <w:color w:val="auto"/>
          <w:sz w:val="20"/>
          <w:szCs w:val="20"/>
        </w:rPr>
      </w:pPr>
      <w:r w:rsidRPr="000D72BB">
        <w:rPr>
          <w:rStyle w:val="Odwoanieprzypisudolnego"/>
          <w:rFonts w:ascii="Times New Roman" w:hAnsi="Times New Roman"/>
          <w:sz w:val="20"/>
          <w:szCs w:val="20"/>
        </w:rPr>
        <w:footnoteRef/>
      </w:r>
      <w:r w:rsidR="00A70B66" w:rsidRPr="000D72BB">
        <w:rPr>
          <w:rFonts w:ascii="Times New Roman" w:hAnsi="Times New Roman" w:cs="Times New Roman"/>
          <w:color w:val="auto"/>
          <w:vertAlign w:val="superscript"/>
        </w:rPr>
        <w:t>)</w:t>
      </w:r>
      <w:r w:rsidRPr="000D72BB">
        <w:rPr>
          <w:rFonts w:ascii="Times New Roman" w:hAnsi="Times New Roman" w:cs="Times New Roman"/>
          <w:sz w:val="20"/>
          <w:szCs w:val="20"/>
        </w:rPr>
        <w:t xml:space="preserve"> Komentarz do KC z 20 grudnia 2018 r. Autor fragmentu: Pawlak Władysław</w:t>
      </w:r>
      <w:r w:rsidR="00A70B66" w:rsidRPr="000D72BB">
        <w:rPr>
          <w:rFonts w:ascii="Times New Roman" w:hAnsi="Times New Roman" w:cs="Times New Roman"/>
          <w:sz w:val="20"/>
          <w:szCs w:val="20"/>
        </w:rPr>
        <w:t xml:space="preserve">. </w:t>
      </w:r>
      <w:r w:rsidRPr="000D72BB">
        <w:rPr>
          <w:rFonts w:ascii="Times New Roman" w:hAnsi="Times New Roman" w:cs="Times New Roman"/>
          <w:sz w:val="20"/>
          <w:szCs w:val="20"/>
        </w:rPr>
        <w:t>Pozostali autorzy komentarza:</w:t>
      </w:r>
      <w:r w:rsidR="00A70B66" w:rsidRPr="000D72BB">
        <w:rPr>
          <w:rFonts w:ascii="Times New Roman" w:hAnsi="Times New Roman" w:cs="Times New Roman"/>
          <w:sz w:val="20"/>
          <w:szCs w:val="20"/>
        </w:rPr>
        <w:t xml:space="preserve"> </w:t>
      </w:r>
      <w:r w:rsidRPr="000D72BB">
        <w:rPr>
          <w:rFonts w:ascii="Times New Roman" w:hAnsi="Times New Roman" w:cs="Times New Roman"/>
          <w:sz w:val="20"/>
          <w:szCs w:val="20"/>
        </w:rPr>
        <w:t>Gudowski Jacek (red.) Dziurda Marcin</w:t>
      </w:r>
      <w:r w:rsidR="00A70B66" w:rsidRPr="000D72BB">
        <w:rPr>
          <w:rFonts w:ascii="Times New Roman" w:hAnsi="Times New Roman" w:cs="Times New Roman"/>
          <w:sz w:val="20"/>
          <w:szCs w:val="20"/>
        </w:rPr>
        <w:t>,</w:t>
      </w:r>
      <w:r w:rsidRPr="000D72BB">
        <w:rPr>
          <w:rFonts w:ascii="Times New Roman" w:hAnsi="Times New Roman" w:cs="Times New Roman"/>
          <w:sz w:val="20"/>
          <w:szCs w:val="20"/>
        </w:rPr>
        <w:t xml:space="preserve"> Janiszewska Beata</w:t>
      </w:r>
      <w:r w:rsidR="00A70B66" w:rsidRPr="000D72BB">
        <w:rPr>
          <w:rFonts w:ascii="Times New Roman" w:hAnsi="Times New Roman" w:cs="Times New Roman"/>
          <w:sz w:val="20"/>
          <w:szCs w:val="20"/>
        </w:rPr>
        <w:t>,</w:t>
      </w:r>
      <w:r w:rsidRPr="000D72BB">
        <w:rPr>
          <w:rFonts w:ascii="Times New Roman" w:hAnsi="Times New Roman" w:cs="Times New Roman"/>
          <w:sz w:val="20"/>
          <w:szCs w:val="20"/>
        </w:rPr>
        <w:t xml:space="preserve"> Łukańko Bernard</w:t>
      </w:r>
      <w:r w:rsidR="00A70B66" w:rsidRPr="000D72BB">
        <w:rPr>
          <w:rFonts w:ascii="Times New Roman" w:hAnsi="Times New Roman" w:cs="Times New Roman"/>
          <w:sz w:val="20"/>
          <w:szCs w:val="20"/>
        </w:rPr>
        <w:t>,</w:t>
      </w:r>
      <w:r w:rsidRPr="000D72BB">
        <w:rPr>
          <w:rFonts w:ascii="Times New Roman" w:hAnsi="Times New Roman" w:cs="Times New Roman"/>
          <w:sz w:val="20"/>
          <w:szCs w:val="20"/>
        </w:rPr>
        <w:t xml:space="preserve"> Panfil Karolina</w:t>
      </w:r>
      <w:r w:rsidR="00A70B66" w:rsidRPr="000D72BB">
        <w:rPr>
          <w:rFonts w:ascii="Times New Roman" w:hAnsi="Times New Roman" w:cs="Times New Roman"/>
          <w:sz w:val="20"/>
          <w:szCs w:val="20"/>
        </w:rPr>
        <w:t>,</w:t>
      </w:r>
      <w:r w:rsidRPr="000D72BB">
        <w:rPr>
          <w:rFonts w:ascii="Times New Roman" w:hAnsi="Times New Roman" w:cs="Times New Roman"/>
          <w:sz w:val="20"/>
          <w:szCs w:val="20"/>
        </w:rPr>
        <w:t xml:space="preserve"> Pilich Mateusz</w:t>
      </w:r>
      <w:r w:rsidR="00A70B66" w:rsidRPr="000D72BB">
        <w:rPr>
          <w:rFonts w:ascii="Times New Roman" w:hAnsi="Times New Roman" w:cs="Times New Roman"/>
          <w:sz w:val="20"/>
          <w:szCs w:val="20"/>
        </w:rPr>
        <w:t>,</w:t>
      </w:r>
      <w:r w:rsidRPr="000D72BB">
        <w:rPr>
          <w:rFonts w:ascii="Times New Roman" w:hAnsi="Times New Roman" w:cs="Times New Roman"/>
          <w:sz w:val="20"/>
          <w:szCs w:val="20"/>
        </w:rPr>
        <w:t xml:space="preserve"> Rycko Nikodem</w:t>
      </w:r>
      <w:r w:rsidR="00A70B66" w:rsidRPr="000D72BB">
        <w:rPr>
          <w:rFonts w:ascii="Times New Roman" w:hAnsi="Times New Roman" w:cs="Times New Roman"/>
          <w:sz w:val="20"/>
          <w:szCs w:val="20"/>
        </w:rPr>
        <w:t>,</w:t>
      </w:r>
      <w:r w:rsidRPr="000D72BB">
        <w:rPr>
          <w:rFonts w:ascii="Times New Roman" w:hAnsi="Times New Roman" w:cs="Times New Roman"/>
          <w:sz w:val="20"/>
          <w:szCs w:val="20"/>
        </w:rPr>
        <w:t xml:space="preserve"> Trzaskowski Roman</w:t>
      </w:r>
      <w:r w:rsidR="00A70B66" w:rsidRPr="000D72BB">
        <w:rPr>
          <w:rFonts w:ascii="Times New Roman" w:hAnsi="Times New Roman" w:cs="Times New Roman"/>
          <w:color w:val="auto"/>
          <w:sz w:val="20"/>
          <w:szCs w:val="20"/>
        </w:rPr>
        <w:t>.</w:t>
      </w:r>
      <w:r w:rsidRPr="000D72BB">
        <w:rPr>
          <w:rFonts w:ascii="Times New Roman" w:hAnsi="Times New Roman" w:cs="Times New Roman"/>
          <w:color w:val="auto"/>
          <w:sz w:val="20"/>
          <w:szCs w:val="20"/>
        </w:rPr>
        <w:t xml:space="preserve"> </w:t>
      </w:r>
    </w:p>
    <w:p w14:paraId="6547E83D" w14:textId="77777777" w:rsidR="008F3408" w:rsidRDefault="008F3408" w:rsidP="00EF06C4">
      <w:pPr>
        <w:pStyle w:val="Tekstprzypisudolneg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C2621"/>
    <w:multiLevelType w:val="multilevel"/>
    <w:tmpl w:val="D556F36C"/>
    <w:lvl w:ilvl="0">
      <w:start w:val="1"/>
      <w:numFmt w:val="decimal"/>
      <w:lvlText w:val="%1."/>
      <w:lvlJc w:val="left"/>
      <w:pPr>
        <w:ind w:left="0" w:firstLine="0"/>
      </w:pPr>
      <w:rPr>
        <w:rFonts w:hint="default"/>
        <w:b/>
        <w:bCs/>
        <w:i w:val="0"/>
        <w:iCs w:val="0"/>
        <w:smallCaps w:val="0"/>
        <w:strike w:val="0"/>
        <w:color w:val="000000"/>
        <w:spacing w:val="0"/>
        <w:w w:val="100"/>
        <w:position w:val="0"/>
        <w:sz w:val="24"/>
        <w:szCs w:val="24"/>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 w15:restartNumberingAfterBreak="0">
    <w:nsid w:val="066500DE"/>
    <w:multiLevelType w:val="hybridMultilevel"/>
    <w:tmpl w:val="D4DC7AB2"/>
    <w:lvl w:ilvl="0" w:tplc="64A80A4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717243E"/>
    <w:multiLevelType w:val="hybridMultilevel"/>
    <w:tmpl w:val="85B012F0"/>
    <w:lvl w:ilvl="0" w:tplc="DAC6A19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7591DD3"/>
    <w:multiLevelType w:val="hybridMultilevel"/>
    <w:tmpl w:val="2D80F21C"/>
    <w:lvl w:ilvl="0" w:tplc="E5523414">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7EA3C17"/>
    <w:multiLevelType w:val="hybridMultilevel"/>
    <w:tmpl w:val="4FF60908"/>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 w15:restartNumberingAfterBreak="0">
    <w:nsid w:val="08E27C0E"/>
    <w:multiLevelType w:val="hybridMultilevel"/>
    <w:tmpl w:val="521A0376"/>
    <w:lvl w:ilvl="0" w:tplc="B380AFAE">
      <w:start w:val="1"/>
      <w:numFmt w:val="lowerLetter"/>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6" w15:restartNumberingAfterBreak="0">
    <w:nsid w:val="0B4F0BBD"/>
    <w:multiLevelType w:val="hybridMultilevel"/>
    <w:tmpl w:val="52DA06AC"/>
    <w:lvl w:ilvl="0" w:tplc="D0FE27A6">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 w15:restartNumberingAfterBreak="0">
    <w:nsid w:val="10391EEA"/>
    <w:multiLevelType w:val="hybridMultilevel"/>
    <w:tmpl w:val="61182AD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5811BFB"/>
    <w:multiLevelType w:val="hybridMultilevel"/>
    <w:tmpl w:val="927ADD1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5DF53D7"/>
    <w:multiLevelType w:val="hybridMultilevel"/>
    <w:tmpl w:val="6964B8D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15F45ED2"/>
    <w:multiLevelType w:val="hybridMultilevel"/>
    <w:tmpl w:val="E3360950"/>
    <w:lvl w:ilvl="0" w:tplc="2D96241E">
      <w:start w:val="1"/>
      <w:numFmt w:val="decimal"/>
      <w:lvlText w:val="%1)"/>
      <w:lvlJc w:val="left"/>
      <w:pPr>
        <w:ind w:left="717" w:hanging="360"/>
      </w:pPr>
      <w:rPr>
        <w:rFonts w:hint="default"/>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11" w15:restartNumberingAfterBreak="0">
    <w:nsid w:val="17CC34E3"/>
    <w:multiLevelType w:val="multilevel"/>
    <w:tmpl w:val="CD3E8220"/>
    <w:lvl w:ilvl="0">
      <w:start w:val="3"/>
      <w:numFmt w:val="decimal"/>
      <w:lvlText w:val="%1."/>
      <w:lvlJc w:val="left"/>
      <w:pPr>
        <w:ind w:left="273" w:firstLine="0"/>
      </w:pPr>
      <w:rPr>
        <w:rFonts w:hint="default"/>
        <w:b/>
        <w:bCs/>
        <w:i w:val="0"/>
        <w:iCs w:val="0"/>
        <w:smallCaps w:val="0"/>
        <w:strike w:val="0"/>
        <w:color w:val="000000"/>
        <w:spacing w:val="0"/>
        <w:w w:val="100"/>
        <w:position w:val="0"/>
        <w:sz w:val="24"/>
        <w:szCs w:val="24"/>
        <w:u w:val="none"/>
        <w:lang w:val="pl-PL" w:eastAsia="pl-PL" w:bidi="pl-PL"/>
      </w:rPr>
    </w:lvl>
    <w:lvl w:ilvl="1">
      <w:numFmt w:val="decimal"/>
      <w:lvlText w:val=""/>
      <w:lvlJc w:val="left"/>
      <w:pPr>
        <w:ind w:left="273" w:firstLine="0"/>
      </w:pPr>
      <w:rPr>
        <w:rFonts w:hint="default"/>
      </w:rPr>
    </w:lvl>
    <w:lvl w:ilvl="2">
      <w:numFmt w:val="decimal"/>
      <w:lvlText w:val=""/>
      <w:lvlJc w:val="left"/>
      <w:pPr>
        <w:ind w:left="273" w:firstLine="0"/>
      </w:pPr>
      <w:rPr>
        <w:rFonts w:hint="default"/>
      </w:rPr>
    </w:lvl>
    <w:lvl w:ilvl="3">
      <w:numFmt w:val="decimal"/>
      <w:lvlText w:val=""/>
      <w:lvlJc w:val="left"/>
      <w:pPr>
        <w:ind w:left="273" w:firstLine="0"/>
      </w:pPr>
      <w:rPr>
        <w:rFonts w:hint="default"/>
      </w:rPr>
    </w:lvl>
    <w:lvl w:ilvl="4">
      <w:numFmt w:val="decimal"/>
      <w:lvlText w:val=""/>
      <w:lvlJc w:val="left"/>
      <w:pPr>
        <w:ind w:left="273" w:firstLine="0"/>
      </w:pPr>
      <w:rPr>
        <w:rFonts w:hint="default"/>
      </w:rPr>
    </w:lvl>
    <w:lvl w:ilvl="5">
      <w:numFmt w:val="decimal"/>
      <w:lvlText w:val=""/>
      <w:lvlJc w:val="left"/>
      <w:pPr>
        <w:ind w:left="273" w:firstLine="0"/>
      </w:pPr>
      <w:rPr>
        <w:rFonts w:hint="default"/>
      </w:rPr>
    </w:lvl>
    <w:lvl w:ilvl="6">
      <w:numFmt w:val="decimal"/>
      <w:lvlText w:val=""/>
      <w:lvlJc w:val="left"/>
      <w:pPr>
        <w:ind w:left="273" w:firstLine="0"/>
      </w:pPr>
      <w:rPr>
        <w:rFonts w:hint="default"/>
      </w:rPr>
    </w:lvl>
    <w:lvl w:ilvl="7">
      <w:numFmt w:val="decimal"/>
      <w:lvlText w:val=""/>
      <w:lvlJc w:val="left"/>
      <w:pPr>
        <w:ind w:left="273" w:firstLine="0"/>
      </w:pPr>
      <w:rPr>
        <w:rFonts w:hint="default"/>
      </w:rPr>
    </w:lvl>
    <w:lvl w:ilvl="8">
      <w:numFmt w:val="decimal"/>
      <w:lvlText w:val=""/>
      <w:lvlJc w:val="left"/>
      <w:pPr>
        <w:ind w:left="273" w:firstLine="0"/>
      </w:pPr>
      <w:rPr>
        <w:rFonts w:hint="default"/>
      </w:rPr>
    </w:lvl>
  </w:abstractNum>
  <w:abstractNum w:abstractNumId="12" w15:restartNumberingAfterBreak="0">
    <w:nsid w:val="1AB95EE5"/>
    <w:multiLevelType w:val="hybridMultilevel"/>
    <w:tmpl w:val="7FF2063C"/>
    <w:lvl w:ilvl="0" w:tplc="D5826300">
      <w:start w:val="1"/>
      <w:numFmt w:val="decimal"/>
      <w:lvlText w:val="%1)"/>
      <w:lvlJc w:val="left"/>
      <w:pPr>
        <w:ind w:left="750" w:hanging="39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C646E58"/>
    <w:multiLevelType w:val="hybridMultilevel"/>
    <w:tmpl w:val="847E6456"/>
    <w:lvl w:ilvl="0" w:tplc="D43CAF38">
      <w:start w:val="1"/>
      <w:numFmt w:val="lowerLetter"/>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14" w15:restartNumberingAfterBreak="0">
    <w:nsid w:val="1C896FB1"/>
    <w:multiLevelType w:val="hybridMultilevel"/>
    <w:tmpl w:val="694E2F70"/>
    <w:lvl w:ilvl="0" w:tplc="0415000B">
      <w:start w:val="1"/>
      <w:numFmt w:val="bullet"/>
      <w:lvlText w:val=""/>
      <w:lvlJc w:val="left"/>
      <w:pPr>
        <w:ind w:left="1080" w:hanging="360"/>
      </w:pPr>
      <w:rPr>
        <w:rFonts w:ascii="Wingdings" w:hAnsi="Wingdings" w:hint="default"/>
      </w:rPr>
    </w:lvl>
    <w:lvl w:ilvl="1" w:tplc="04150003">
      <w:start w:val="1"/>
      <w:numFmt w:val="bullet"/>
      <w:lvlText w:val="o"/>
      <w:lvlJc w:val="left"/>
      <w:pPr>
        <w:ind w:left="1800" w:hanging="360"/>
      </w:pPr>
      <w:rPr>
        <w:rFonts w:ascii="Courier New" w:hAnsi="Courier New" w:cs="Courier New" w:hint="default"/>
      </w:rPr>
    </w:lvl>
    <w:lvl w:ilvl="2" w:tplc="04150005">
      <w:start w:val="1"/>
      <w:numFmt w:val="bullet"/>
      <w:lvlText w:val=""/>
      <w:lvlJc w:val="left"/>
      <w:pPr>
        <w:ind w:left="2520" w:hanging="360"/>
      </w:pPr>
      <w:rPr>
        <w:rFonts w:ascii="Wingdings" w:hAnsi="Wingdings" w:hint="default"/>
      </w:rPr>
    </w:lvl>
    <w:lvl w:ilvl="3" w:tplc="04150001">
      <w:start w:val="1"/>
      <w:numFmt w:val="bullet"/>
      <w:lvlText w:val=""/>
      <w:lvlJc w:val="left"/>
      <w:pPr>
        <w:ind w:left="3240" w:hanging="360"/>
      </w:pPr>
      <w:rPr>
        <w:rFonts w:ascii="Symbol" w:hAnsi="Symbol" w:hint="default"/>
      </w:rPr>
    </w:lvl>
    <w:lvl w:ilvl="4" w:tplc="04150003">
      <w:start w:val="1"/>
      <w:numFmt w:val="bullet"/>
      <w:lvlText w:val="o"/>
      <w:lvlJc w:val="left"/>
      <w:pPr>
        <w:ind w:left="3960" w:hanging="360"/>
      </w:pPr>
      <w:rPr>
        <w:rFonts w:ascii="Courier New" w:hAnsi="Courier New" w:cs="Courier New" w:hint="default"/>
      </w:rPr>
    </w:lvl>
    <w:lvl w:ilvl="5" w:tplc="04150005">
      <w:start w:val="1"/>
      <w:numFmt w:val="bullet"/>
      <w:lvlText w:val=""/>
      <w:lvlJc w:val="left"/>
      <w:pPr>
        <w:ind w:left="4680" w:hanging="360"/>
      </w:pPr>
      <w:rPr>
        <w:rFonts w:ascii="Wingdings" w:hAnsi="Wingdings" w:hint="default"/>
      </w:rPr>
    </w:lvl>
    <w:lvl w:ilvl="6" w:tplc="04150001">
      <w:start w:val="1"/>
      <w:numFmt w:val="bullet"/>
      <w:lvlText w:val=""/>
      <w:lvlJc w:val="left"/>
      <w:pPr>
        <w:ind w:left="5400" w:hanging="360"/>
      </w:pPr>
      <w:rPr>
        <w:rFonts w:ascii="Symbol" w:hAnsi="Symbol" w:hint="default"/>
      </w:rPr>
    </w:lvl>
    <w:lvl w:ilvl="7" w:tplc="04150003">
      <w:start w:val="1"/>
      <w:numFmt w:val="bullet"/>
      <w:lvlText w:val="o"/>
      <w:lvlJc w:val="left"/>
      <w:pPr>
        <w:ind w:left="6120" w:hanging="360"/>
      </w:pPr>
      <w:rPr>
        <w:rFonts w:ascii="Courier New" w:hAnsi="Courier New" w:cs="Courier New" w:hint="default"/>
      </w:rPr>
    </w:lvl>
    <w:lvl w:ilvl="8" w:tplc="04150005">
      <w:start w:val="1"/>
      <w:numFmt w:val="bullet"/>
      <w:lvlText w:val=""/>
      <w:lvlJc w:val="left"/>
      <w:pPr>
        <w:ind w:left="6840" w:hanging="360"/>
      </w:pPr>
      <w:rPr>
        <w:rFonts w:ascii="Wingdings" w:hAnsi="Wingdings" w:hint="default"/>
      </w:rPr>
    </w:lvl>
  </w:abstractNum>
  <w:abstractNum w:abstractNumId="15" w15:restartNumberingAfterBreak="0">
    <w:nsid w:val="20C84DD3"/>
    <w:multiLevelType w:val="hybridMultilevel"/>
    <w:tmpl w:val="61EE481C"/>
    <w:lvl w:ilvl="0" w:tplc="D1D2F124">
      <w:start w:val="1"/>
      <w:numFmt w:val="decimal"/>
      <w:lvlText w:val="%1)"/>
      <w:lvlJc w:val="left"/>
      <w:pPr>
        <w:ind w:left="720" w:hanging="360"/>
      </w:pPr>
      <w:rPr>
        <w:color w:val="00206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6635166"/>
    <w:multiLevelType w:val="hybridMultilevel"/>
    <w:tmpl w:val="8CB0D802"/>
    <w:lvl w:ilvl="0" w:tplc="45CAD0CA">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7" w15:restartNumberingAfterBreak="0">
    <w:nsid w:val="2D2F2309"/>
    <w:multiLevelType w:val="hybridMultilevel"/>
    <w:tmpl w:val="7C52CFE0"/>
    <w:lvl w:ilvl="0" w:tplc="04150011">
      <w:start w:val="1"/>
      <w:numFmt w:val="decimal"/>
      <w:lvlText w:val="%1)"/>
      <w:lvlJc w:val="left"/>
      <w:pPr>
        <w:ind w:left="720" w:hanging="360"/>
      </w:pPr>
    </w:lvl>
    <w:lvl w:ilvl="1" w:tplc="7DC804E8">
      <w:start w:val="1"/>
      <w:numFmt w:val="lowerLetter"/>
      <w:lvlText w:val="%2)"/>
      <w:lvlJc w:val="left"/>
      <w:pPr>
        <w:ind w:left="1545" w:hanging="46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EA66477"/>
    <w:multiLevelType w:val="hybridMultilevel"/>
    <w:tmpl w:val="0A06D346"/>
    <w:lvl w:ilvl="0" w:tplc="843C962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05327E4"/>
    <w:multiLevelType w:val="hybridMultilevel"/>
    <w:tmpl w:val="082CC0D0"/>
    <w:lvl w:ilvl="0" w:tplc="18782740">
      <w:start w:val="1"/>
      <w:numFmt w:val="low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0" w15:restartNumberingAfterBreak="0">
    <w:nsid w:val="30684BAF"/>
    <w:multiLevelType w:val="hybridMultilevel"/>
    <w:tmpl w:val="046CF28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38238AD"/>
    <w:multiLevelType w:val="hybridMultilevel"/>
    <w:tmpl w:val="E5EC0A56"/>
    <w:lvl w:ilvl="0" w:tplc="6F2C6CD6">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4060F29"/>
    <w:multiLevelType w:val="hybridMultilevel"/>
    <w:tmpl w:val="A56CC77A"/>
    <w:lvl w:ilvl="0" w:tplc="04150015">
      <w:start w:val="1"/>
      <w:numFmt w:val="upperLetter"/>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4927375"/>
    <w:multiLevelType w:val="hybridMultilevel"/>
    <w:tmpl w:val="78387AA6"/>
    <w:lvl w:ilvl="0" w:tplc="4D647622">
      <w:start w:val="1"/>
      <w:numFmt w:val="decimal"/>
      <w:lvlText w:val="%1)"/>
      <w:lvlJc w:val="left"/>
      <w:pPr>
        <w:ind w:left="757" w:hanging="360"/>
      </w:pPr>
      <w:rPr>
        <w:rFonts w:hint="default"/>
      </w:rPr>
    </w:lvl>
    <w:lvl w:ilvl="1" w:tplc="04150019" w:tentative="1">
      <w:start w:val="1"/>
      <w:numFmt w:val="lowerLetter"/>
      <w:lvlText w:val="%2."/>
      <w:lvlJc w:val="left"/>
      <w:pPr>
        <w:ind w:left="1477" w:hanging="360"/>
      </w:pPr>
    </w:lvl>
    <w:lvl w:ilvl="2" w:tplc="0415001B" w:tentative="1">
      <w:start w:val="1"/>
      <w:numFmt w:val="lowerRoman"/>
      <w:lvlText w:val="%3."/>
      <w:lvlJc w:val="right"/>
      <w:pPr>
        <w:ind w:left="2197" w:hanging="180"/>
      </w:pPr>
    </w:lvl>
    <w:lvl w:ilvl="3" w:tplc="0415000F" w:tentative="1">
      <w:start w:val="1"/>
      <w:numFmt w:val="decimal"/>
      <w:lvlText w:val="%4."/>
      <w:lvlJc w:val="left"/>
      <w:pPr>
        <w:ind w:left="2917" w:hanging="360"/>
      </w:pPr>
    </w:lvl>
    <w:lvl w:ilvl="4" w:tplc="04150019" w:tentative="1">
      <w:start w:val="1"/>
      <w:numFmt w:val="lowerLetter"/>
      <w:lvlText w:val="%5."/>
      <w:lvlJc w:val="left"/>
      <w:pPr>
        <w:ind w:left="3637" w:hanging="360"/>
      </w:pPr>
    </w:lvl>
    <w:lvl w:ilvl="5" w:tplc="0415001B" w:tentative="1">
      <w:start w:val="1"/>
      <w:numFmt w:val="lowerRoman"/>
      <w:lvlText w:val="%6."/>
      <w:lvlJc w:val="right"/>
      <w:pPr>
        <w:ind w:left="4357" w:hanging="180"/>
      </w:pPr>
    </w:lvl>
    <w:lvl w:ilvl="6" w:tplc="0415000F" w:tentative="1">
      <w:start w:val="1"/>
      <w:numFmt w:val="decimal"/>
      <w:lvlText w:val="%7."/>
      <w:lvlJc w:val="left"/>
      <w:pPr>
        <w:ind w:left="5077" w:hanging="360"/>
      </w:pPr>
    </w:lvl>
    <w:lvl w:ilvl="7" w:tplc="04150019" w:tentative="1">
      <w:start w:val="1"/>
      <w:numFmt w:val="lowerLetter"/>
      <w:lvlText w:val="%8."/>
      <w:lvlJc w:val="left"/>
      <w:pPr>
        <w:ind w:left="5797" w:hanging="360"/>
      </w:pPr>
    </w:lvl>
    <w:lvl w:ilvl="8" w:tplc="0415001B" w:tentative="1">
      <w:start w:val="1"/>
      <w:numFmt w:val="lowerRoman"/>
      <w:lvlText w:val="%9."/>
      <w:lvlJc w:val="right"/>
      <w:pPr>
        <w:ind w:left="6517" w:hanging="180"/>
      </w:pPr>
    </w:lvl>
  </w:abstractNum>
  <w:abstractNum w:abstractNumId="24" w15:restartNumberingAfterBreak="0">
    <w:nsid w:val="389A2DD3"/>
    <w:multiLevelType w:val="hybridMultilevel"/>
    <w:tmpl w:val="815E5B2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8A00EFE"/>
    <w:multiLevelType w:val="hybridMultilevel"/>
    <w:tmpl w:val="D752FC9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C1C420D"/>
    <w:multiLevelType w:val="hybridMultilevel"/>
    <w:tmpl w:val="69EC208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3C206201"/>
    <w:multiLevelType w:val="hybridMultilevel"/>
    <w:tmpl w:val="FFC003A8"/>
    <w:lvl w:ilvl="0" w:tplc="9EB86098">
      <w:start w:val="1"/>
      <w:numFmt w:val="lowerLetter"/>
      <w:lvlText w:val="%1."/>
      <w:lvlJc w:val="left"/>
      <w:pPr>
        <w:ind w:left="720" w:hanging="360"/>
      </w:pPr>
      <w:rPr>
        <w:rFonts w:ascii="Times New Roman" w:hAnsi="Times New Roman" w:cs="Times New Roman" w:hint="default"/>
        <w:color w:val="00206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3EDA7454"/>
    <w:multiLevelType w:val="hybridMultilevel"/>
    <w:tmpl w:val="5EF2F920"/>
    <w:lvl w:ilvl="0" w:tplc="1EA640FC">
      <w:start w:val="1"/>
      <w:numFmt w:val="decimal"/>
      <w:lvlText w:val="%1"/>
      <w:lvlJc w:val="left"/>
      <w:pPr>
        <w:ind w:left="720" w:hanging="360"/>
      </w:pPr>
      <w:rPr>
        <w:rFonts w:hint="default"/>
      </w:rPr>
    </w:lvl>
    <w:lvl w:ilvl="1" w:tplc="C1021112">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40205392"/>
    <w:multiLevelType w:val="hybridMultilevel"/>
    <w:tmpl w:val="DF30DF6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419A7F7C"/>
    <w:multiLevelType w:val="hybridMultilevel"/>
    <w:tmpl w:val="6FFEFFC6"/>
    <w:lvl w:ilvl="0" w:tplc="E5523414">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41D96EB8"/>
    <w:multiLevelType w:val="hybridMultilevel"/>
    <w:tmpl w:val="F8E89316"/>
    <w:lvl w:ilvl="0" w:tplc="04150017">
      <w:start w:val="1"/>
      <w:numFmt w:val="lowerLetter"/>
      <w:lvlText w:val="%1)"/>
      <w:lvlJc w:val="left"/>
      <w:pPr>
        <w:ind w:left="1093" w:hanging="360"/>
      </w:pPr>
    </w:lvl>
    <w:lvl w:ilvl="1" w:tplc="1B70EF58">
      <w:start w:val="1"/>
      <w:numFmt w:val="decimal"/>
      <w:lvlText w:val="%2."/>
      <w:lvlJc w:val="left"/>
      <w:pPr>
        <w:ind w:left="1813" w:hanging="360"/>
      </w:pPr>
      <w:rPr>
        <w:rFonts w:asciiTheme="minorHAnsi" w:hAnsiTheme="minorHAnsi" w:cstheme="minorHAnsi" w:hint="default"/>
      </w:rPr>
    </w:lvl>
    <w:lvl w:ilvl="2" w:tplc="59D6C582">
      <w:start w:val="1"/>
      <w:numFmt w:val="decimal"/>
      <w:lvlText w:val="%3)"/>
      <w:lvlJc w:val="left"/>
      <w:pPr>
        <w:ind w:left="2713" w:hanging="360"/>
      </w:pPr>
      <w:rPr>
        <w:rFonts w:hint="default"/>
      </w:rPr>
    </w:lvl>
    <w:lvl w:ilvl="3" w:tplc="0415000F" w:tentative="1">
      <w:start w:val="1"/>
      <w:numFmt w:val="decimal"/>
      <w:lvlText w:val="%4."/>
      <w:lvlJc w:val="left"/>
      <w:pPr>
        <w:ind w:left="3253" w:hanging="360"/>
      </w:pPr>
    </w:lvl>
    <w:lvl w:ilvl="4" w:tplc="04150019" w:tentative="1">
      <w:start w:val="1"/>
      <w:numFmt w:val="lowerLetter"/>
      <w:lvlText w:val="%5."/>
      <w:lvlJc w:val="left"/>
      <w:pPr>
        <w:ind w:left="3973" w:hanging="360"/>
      </w:pPr>
    </w:lvl>
    <w:lvl w:ilvl="5" w:tplc="0415001B" w:tentative="1">
      <w:start w:val="1"/>
      <w:numFmt w:val="lowerRoman"/>
      <w:lvlText w:val="%6."/>
      <w:lvlJc w:val="right"/>
      <w:pPr>
        <w:ind w:left="4693" w:hanging="180"/>
      </w:pPr>
    </w:lvl>
    <w:lvl w:ilvl="6" w:tplc="0415000F" w:tentative="1">
      <w:start w:val="1"/>
      <w:numFmt w:val="decimal"/>
      <w:lvlText w:val="%7."/>
      <w:lvlJc w:val="left"/>
      <w:pPr>
        <w:ind w:left="5413" w:hanging="360"/>
      </w:pPr>
    </w:lvl>
    <w:lvl w:ilvl="7" w:tplc="04150019" w:tentative="1">
      <w:start w:val="1"/>
      <w:numFmt w:val="lowerLetter"/>
      <w:lvlText w:val="%8."/>
      <w:lvlJc w:val="left"/>
      <w:pPr>
        <w:ind w:left="6133" w:hanging="360"/>
      </w:pPr>
    </w:lvl>
    <w:lvl w:ilvl="8" w:tplc="0415001B" w:tentative="1">
      <w:start w:val="1"/>
      <w:numFmt w:val="lowerRoman"/>
      <w:lvlText w:val="%9."/>
      <w:lvlJc w:val="right"/>
      <w:pPr>
        <w:ind w:left="6853" w:hanging="180"/>
      </w:pPr>
    </w:lvl>
  </w:abstractNum>
  <w:abstractNum w:abstractNumId="32" w15:restartNumberingAfterBreak="0">
    <w:nsid w:val="4351394E"/>
    <w:multiLevelType w:val="hybridMultilevel"/>
    <w:tmpl w:val="9EC2072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4B216640"/>
    <w:multiLevelType w:val="hybridMultilevel"/>
    <w:tmpl w:val="C570E0AC"/>
    <w:lvl w:ilvl="0" w:tplc="05FCDB7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4B764054"/>
    <w:multiLevelType w:val="hybridMultilevel"/>
    <w:tmpl w:val="EFDA3BEA"/>
    <w:lvl w:ilvl="0" w:tplc="D7685EAA">
      <w:start w:val="1"/>
      <w:numFmt w:val="decimal"/>
      <w:lvlText w:val="%1)"/>
      <w:lvlJc w:val="left"/>
      <w:pPr>
        <w:ind w:left="720" w:hanging="360"/>
      </w:pPr>
      <w:rPr>
        <w:rFonts w:hint="default"/>
        <w:color w:val="00206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4BC50AE7"/>
    <w:multiLevelType w:val="hybridMultilevel"/>
    <w:tmpl w:val="5C50E72E"/>
    <w:lvl w:ilvl="0" w:tplc="04150011">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4FF06AA1"/>
    <w:multiLevelType w:val="hybridMultilevel"/>
    <w:tmpl w:val="B3368B92"/>
    <w:lvl w:ilvl="0" w:tplc="47FAA67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50B02E9A"/>
    <w:multiLevelType w:val="hybridMultilevel"/>
    <w:tmpl w:val="4CFCB512"/>
    <w:lvl w:ilvl="0" w:tplc="F8F0ACE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51EC0D98"/>
    <w:multiLevelType w:val="hybridMultilevel"/>
    <w:tmpl w:val="2098CC36"/>
    <w:lvl w:ilvl="0" w:tplc="E5523414">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532D29EA"/>
    <w:multiLevelType w:val="hybridMultilevel"/>
    <w:tmpl w:val="34DC536E"/>
    <w:lvl w:ilvl="0" w:tplc="04C42C26">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533F5FED"/>
    <w:multiLevelType w:val="hybridMultilevel"/>
    <w:tmpl w:val="5ADC2980"/>
    <w:lvl w:ilvl="0" w:tplc="FDD22590">
      <w:start w:val="1"/>
      <w:numFmt w:val="decimal"/>
      <w:lvlText w:val="%1)"/>
      <w:lvlJc w:val="left"/>
      <w:pPr>
        <w:ind w:left="717" w:hanging="360"/>
      </w:pPr>
      <w:rPr>
        <w:rFonts w:hint="default"/>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41" w15:restartNumberingAfterBreak="0">
    <w:nsid w:val="54A75A48"/>
    <w:multiLevelType w:val="hybridMultilevel"/>
    <w:tmpl w:val="4AA8718A"/>
    <w:lvl w:ilvl="0" w:tplc="F3AA4F1C">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58D7799D"/>
    <w:multiLevelType w:val="hybridMultilevel"/>
    <w:tmpl w:val="88D24174"/>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5A7162D9"/>
    <w:multiLevelType w:val="hybridMultilevel"/>
    <w:tmpl w:val="0E02B14E"/>
    <w:lvl w:ilvl="0" w:tplc="4282C7D0">
      <w:start w:val="1"/>
      <w:numFmt w:val="decimal"/>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44" w15:restartNumberingAfterBreak="0">
    <w:nsid w:val="5AF9477E"/>
    <w:multiLevelType w:val="hybridMultilevel"/>
    <w:tmpl w:val="BDBAFE3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5CF72A0A"/>
    <w:multiLevelType w:val="hybridMultilevel"/>
    <w:tmpl w:val="EA821A5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647C258B"/>
    <w:multiLevelType w:val="hybridMultilevel"/>
    <w:tmpl w:val="1AAA2CE2"/>
    <w:lvl w:ilvl="0" w:tplc="FFFFFFFF">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7" w15:restartNumberingAfterBreak="0">
    <w:nsid w:val="691761F1"/>
    <w:multiLevelType w:val="hybridMultilevel"/>
    <w:tmpl w:val="6A0E2748"/>
    <w:lvl w:ilvl="0" w:tplc="04150011">
      <w:start w:val="1"/>
      <w:numFmt w:val="decimal"/>
      <w:lvlText w:val="%1)"/>
      <w:lvlJc w:val="left"/>
      <w:pPr>
        <w:ind w:left="1117" w:hanging="360"/>
      </w:pPr>
    </w:lvl>
    <w:lvl w:ilvl="1" w:tplc="04150019" w:tentative="1">
      <w:start w:val="1"/>
      <w:numFmt w:val="lowerLetter"/>
      <w:lvlText w:val="%2."/>
      <w:lvlJc w:val="left"/>
      <w:pPr>
        <w:ind w:left="1837" w:hanging="360"/>
      </w:pPr>
    </w:lvl>
    <w:lvl w:ilvl="2" w:tplc="0415001B" w:tentative="1">
      <w:start w:val="1"/>
      <w:numFmt w:val="lowerRoman"/>
      <w:lvlText w:val="%3."/>
      <w:lvlJc w:val="right"/>
      <w:pPr>
        <w:ind w:left="2557" w:hanging="180"/>
      </w:pPr>
    </w:lvl>
    <w:lvl w:ilvl="3" w:tplc="0415000F" w:tentative="1">
      <w:start w:val="1"/>
      <w:numFmt w:val="decimal"/>
      <w:lvlText w:val="%4."/>
      <w:lvlJc w:val="left"/>
      <w:pPr>
        <w:ind w:left="3277" w:hanging="360"/>
      </w:pPr>
    </w:lvl>
    <w:lvl w:ilvl="4" w:tplc="04150019" w:tentative="1">
      <w:start w:val="1"/>
      <w:numFmt w:val="lowerLetter"/>
      <w:lvlText w:val="%5."/>
      <w:lvlJc w:val="left"/>
      <w:pPr>
        <w:ind w:left="3997" w:hanging="360"/>
      </w:pPr>
    </w:lvl>
    <w:lvl w:ilvl="5" w:tplc="0415001B" w:tentative="1">
      <w:start w:val="1"/>
      <w:numFmt w:val="lowerRoman"/>
      <w:lvlText w:val="%6."/>
      <w:lvlJc w:val="right"/>
      <w:pPr>
        <w:ind w:left="4717" w:hanging="180"/>
      </w:pPr>
    </w:lvl>
    <w:lvl w:ilvl="6" w:tplc="0415000F" w:tentative="1">
      <w:start w:val="1"/>
      <w:numFmt w:val="decimal"/>
      <w:lvlText w:val="%7."/>
      <w:lvlJc w:val="left"/>
      <w:pPr>
        <w:ind w:left="5437" w:hanging="360"/>
      </w:pPr>
    </w:lvl>
    <w:lvl w:ilvl="7" w:tplc="04150019" w:tentative="1">
      <w:start w:val="1"/>
      <w:numFmt w:val="lowerLetter"/>
      <w:lvlText w:val="%8."/>
      <w:lvlJc w:val="left"/>
      <w:pPr>
        <w:ind w:left="6157" w:hanging="360"/>
      </w:pPr>
    </w:lvl>
    <w:lvl w:ilvl="8" w:tplc="0415001B" w:tentative="1">
      <w:start w:val="1"/>
      <w:numFmt w:val="lowerRoman"/>
      <w:lvlText w:val="%9."/>
      <w:lvlJc w:val="right"/>
      <w:pPr>
        <w:ind w:left="6877" w:hanging="180"/>
      </w:pPr>
    </w:lvl>
  </w:abstractNum>
  <w:abstractNum w:abstractNumId="48" w15:restartNumberingAfterBreak="0">
    <w:nsid w:val="697449CC"/>
    <w:multiLevelType w:val="hybridMultilevel"/>
    <w:tmpl w:val="C63EB516"/>
    <w:lvl w:ilvl="0" w:tplc="27147FC8">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49" w15:restartNumberingAfterBreak="0">
    <w:nsid w:val="6AC9720B"/>
    <w:multiLevelType w:val="hybridMultilevel"/>
    <w:tmpl w:val="AEC4232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6B236DE1"/>
    <w:multiLevelType w:val="hybridMultilevel"/>
    <w:tmpl w:val="FCE20686"/>
    <w:lvl w:ilvl="0" w:tplc="81A40116">
      <w:start w:val="1"/>
      <w:numFmt w:val="decimal"/>
      <w:lvlText w:val="%1)"/>
      <w:lvlJc w:val="left"/>
      <w:pPr>
        <w:ind w:left="720" w:hanging="360"/>
      </w:pPr>
      <w:rPr>
        <w:rFonts w:asciiTheme="minorHAnsi" w:hAnsiTheme="minorHAnsi" w:cstheme="minorHAnsi" w:hint="default"/>
        <w:color w:val="00206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6BCF387D"/>
    <w:multiLevelType w:val="hybridMultilevel"/>
    <w:tmpl w:val="C6C4077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6BE20FA1"/>
    <w:multiLevelType w:val="hybridMultilevel"/>
    <w:tmpl w:val="21087DD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6C8577D4"/>
    <w:multiLevelType w:val="hybridMultilevel"/>
    <w:tmpl w:val="8B56DE7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6D193982"/>
    <w:multiLevelType w:val="hybridMultilevel"/>
    <w:tmpl w:val="FF12E128"/>
    <w:lvl w:ilvl="0" w:tplc="69486E66">
      <w:start w:val="1"/>
      <w:numFmt w:val="decimal"/>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55" w15:restartNumberingAfterBreak="0">
    <w:nsid w:val="6FD804F8"/>
    <w:multiLevelType w:val="hybridMultilevel"/>
    <w:tmpl w:val="5212EC8C"/>
    <w:lvl w:ilvl="0" w:tplc="96605A1C">
      <w:start w:val="1"/>
      <w:numFmt w:val="lowerLetter"/>
      <w:lvlText w:val="%1)"/>
      <w:lvlJc w:val="left"/>
      <w:pPr>
        <w:ind w:left="1185" w:hanging="465"/>
      </w:pPr>
      <w:rPr>
        <w:rFonts w:cs="Arial"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6" w15:restartNumberingAfterBreak="0">
    <w:nsid w:val="71615CBF"/>
    <w:multiLevelType w:val="hybridMultilevel"/>
    <w:tmpl w:val="71B24386"/>
    <w:lvl w:ilvl="0" w:tplc="F408774C">
      <w:start w:val="1"/>
      <w:numFmt w:val="lowerLetter"/>
      <w:lvlText w:val="%1)"/>
      <w:lvlJc w:val="left"/>
      <w:pPr>
        <w:ind w:left="1440" w:hanging="360"/>
      </w:pPr>
      <w:rPr>
        <w:rFonts w:ascii="Times New Roman" w:hAnsi="Times New Roman" w:cs="Times New Roman" w:hint="default"/>
        <w:color w:val="auto"/>
      </w:rPr>
    </w:lvl>
    <w:lvl w:ilvl="1" w:tplc="C49C2F28">
      <w:start w:val="1"/>
      <w:numFmt w:val="decimal"/>
      <w:lvlText w:val="%2)"/>
      <w:lvlJc w:val="left"/>
      <w:pPr>
        <w:ind w:left="2160" w:hanging="360"/>
      </w:pPr>
      <w:rPr>
        <w:rFonts w:hint="default"/>
      </w:r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7" w15:restartNumberingAfterBreak="0">
    <w:nsid w:val="762544A3"/>
    <w:multiLevelType w:val="hybridMultilevel"/>
    <w:tmpl w:val="C3FC37F4"/>
    <w:lvl w:ilvl="0" w:tplc="04150011">
      <w:start w:val="1"/>
      <w:numFmt w:val="decimal"/>
      <w:lvlText w:val="%1)"/>
      <w:lvlJc w:val="left"/>
      <w:pPr>
        <w:ind w:left="1080" w:hanging="360"/>
      </w:pPr>
      <w:rPr>
        <w:rFonts w:hint="default"/>
      </w:rPr>
    </w:lvl>
    <w:lvl w:ilvl="1" w:tplc="04150003">
      <w:start w:val="1"/>
      <w:numFmt w:val="bullet"/>
      <w:lvlText w:val="o"/>
      <w:lvlJc w:val="left"/>
      <w:pPr>
        <w:ind w:left="1800" w:hanging="360"/>
      </w:pPr>
      <w:rPr>
        <w:rFonts w:ascii="Courier New" w:hAnsi="Courier New" w:cs="Courier New" w:hint="default"/>
      </w:rPr>
    </w:lvl>
    <w:lvl w:ilvl="2" w:tplc="04150005">
      <w:start w:val="1"/>
      <w:numFmt w:val="bullet"/>
      <w:lvlText w:val=""/>
      <w:lvlJc w:val="left"/>
      <w:pPr>
        <w:ind w:left="2520" w:hanging="360"/>
      </w:pPr>
      <w:rPr>
        <w:rFonts w:ascii="Wingdings" w:hAnsi="Wingdings" w:hint="default"/>
      </w:rPr>
    </w:lvl>
    <w:lvl w:ilvl="3" w:tplc="04150001">
      <w:start w:val="1"/>
      <w:numFmt w:val="bullet"/>
      <w:lvlText w:val=""/>
      <w:lvlJc w:val="left"/>
      <w:pPr>
        <w:ind w:left="3240" w:hanging="360"/>
      </w:pPr>
      <w:rPr>
        <w:rFonts w:ascii="Symbol" w:hAnsi="Symbol" w:hint="default"/>
      </w:rPr>
    </w:lvl>
    <w:lvl w:ilvl="4" w:tplc="04150003">
      <w:start w:val="1"/>
      <w:numFmt w:val="bullet"/>
      <w:lvlText w:val="o"/>
      <w:lvlJc w:val="left"/>
      <w:pPr>
        <w:ind w:left="3960" w:hanging="360"/>
      </w:pPr>
      <w:rPr>
        <w:rFonts w:ascii="Courier New" w:hAnsi="Courier New" w:cs="Courier New" w:hint="default"/>
      </w:rPr>
    </w:lvl>
    <w:lvl w:ilvl="5" w:tplc="04150005">
      <w:start w:val="1"/>
      <w:numFmt w:val="bullet"/>
      <w:lvlText w:val=""/>
      <w:lvlJc w:val="left"/>
      <w:pPr>
        <w:ind w:left="4680" w:hanging="360"/>
      </w:pPr>
      <w:rPr>
        <w:rFonts w:ascii="Wingdings" w:hAnsi="Wingdings" w:hint="default"/>
      </w:rPr>
    </w:lvl>
    <w:lvl w:ilvl="6" w:tplc="04150001">
      <w:start w:val="1"/>
      <w:numFmt w:val="bullet"/>
      <w:lvlText w:val=""/>
      <w:lvlJc w:val="left"/>
      <w:pPr>
        <w:ind w:left="5400" w:hanging="360"/>
      </w:pPr>
      <w:rPr>
        <w:rFonts w:ascii="Symbol" w:hAnsi="Symbol" w:hint="default"/>
      </w:rPr>
    </w:lvl>
    <w:lvl w:ilvl="7" w:tplc="04150003">
      <w:start w:val="1"/>
      <w:numFmt w:val="bullet"/>
      <w:lvlText w:val="o"/>
      <w:lvlJc w:val="left"/>
      <w:pPr>
        <w:ind w:left="6120" w:hanging="360"/>
      </w:pPr>
      <w:rPr>
        <w:rFonts w:ascii="Courier New" w:hAnsi="Courier New" w:cs="Courier New" w:hint="default"/>
      </w:rPr>
    </w:lvl>
    <w:lvl w:ilvl="8" w:tplc="04150005">
      <w:start w:val="1"/>
      <w:numFmt w:val="bullet"/>
      <w:lvlText w:val=""/>
      <w:lvlJc w:val="left"/>
      <w:pPr>
        <w:ind w:left="6840" w:hanging="360"/>
      </w:pPr>
      <w:rPr>
        <w:rFonts w:ascii="Wingdings" w:hAnsi="Wingdings" w:hint="default"/>
      </w:rPr>
    </w:lvl>
  </w:abstractNum>
  <w:abstractNum w:abstractNumId="58" w15:restartNumberingAfterBreak="0">
    <w:nsid w:val="76B831D9"/>
    <w:multiLevelType w:val="hybridMultilevel"/>
    <w:tmpl w:val="01E2AFB6"/>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9" w15:restartNumberingAfterBreak="0">
    <w:nsid w:val="7E1B2292"/>
    <w:multiLevelType w:val="hybridMultilevel"/>
    <w:tmpl w:val="135640E8"/>
    <w:lvl w:ilvl="0" w:tplc="0415000F">
      <w:start w:val="1"/>
      <w:numFmt w:val="decimal"/>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60" w15:restartNumberingAfterBreak="0">
    <w:nsid w:val="7F746B27"/>
    <w:multiLevelType w:val="hybridMultilevel"/>
    <w:tmpl w:val="1F90500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41"/>
  </w:num>
  <w:num w:numId="4">
    <w:abstractNumId w:val="24"/>
  </w:num>
  <w:num w:numId="5">
    <w:abstractNumId w:val="32"/>
  </w:num>
  <w:num w:numId="6">
    <w:abstractNumId w:val="56"/>
  </w:num>
  <w:num w:numId="7">
    <w:abstractNumId w:val="26"/>
  </w:num>
  <w:num w:numId="8">
    <w:abstractNumId w:val="47"/>
  </w:num>
  <w:num w:numId="9">
    <w:abstractNumId w:val="25"/>
  </w:num>
  <w:num w:numId="10">
    <w:abstractNumId w:val="15"/>
  </w:num>
  <w:num w:numId="11">
    <w:abstractNumId w:val="16"/>
  </w:num>
  <w:num w:numId="12">
    <w:abstractNumId w:val="55"/>
  </w:num>
  <w:num w:numId="13">
    <w:abstractNumId w:val="53"/>
  </w:num>
  <w:num w:numId="14">
    <w:abstractNumId w:val="18"/>
  </w:num>
  <w:num w:numId="15">
    <w:abstractNumId w:val="10"/>
  </w:num>
  <w:num w:numId="16">
    <w:abstractNumId w:val="17"/>
  </w:num>
  <w:num w:numId="17">
    <w:abstractNumId w:val="31"/>
  </w:num>
  <w:num w:numId="18">
    <w:abstractNumId w:val="36"/>
  </w:num>
  <w:num w:numId="19">
    <w:abstractNumId w:val="2"/>
  </w:num>
  <w:num w:numId="20">
    <w:abstractNumId w:val="50"/>
  </w:num>
  <w:num w:numId="21">
    <w:abstractNumId w:val="45"/>
  </w:num>
  <w:num w:numId="22">
    <w:abstractNumId w:val="51"/>
  </w:num>
  <w:num w:numId="23">
    <w:abstractNumId w:val="42"/>
  </w:num>
  <w:num w:numId="24">
    <w:abstractNumId w:val="33"/>
  </w:num>
  <w:num w:numId="25">
    <w:abstractNumId w:val="22"/>
  </w:num>
  <w:num w:numId="26">
    <w:abstractNumId w:val="38"/>
  </w:num>
  <w:num w:numId="27">
    <w:abstractNumId w:val="3"/>
  </w:num>
  <w:num w:numId="28">
    <w:abstractNumId w:val="30"/>
  </w:num>
  <w:num w:numId="29">
    <w:abstractNumId w:val="27"/>
  </w:num>
  <w:num w:numId="30">
    <w:abstractNumId w:val="37"/>
  </w:num>
  <w:num w:numId="31">
    <w:abstractNumId w:val="34"/>
  </w:num>
  <w:num w:numId="32">
    <w:abstractNumId w:val="35"/>
  </w:num>
  <w:num w:numId="33">
    <w:abstractNumId w:val="6"/>
  </w:num>
  <w:num w:numId="34">
    <w:abstractNumId w:val="58"/>
  </w:num>
  <w:num w:numId="35">
    <w:abstractNumId w:val="23"/>
  </w:num>
  <w:num w:numId="36">
    <w:abstractNumId w:val="29"/>
  </w:num>
  <w:num w:numId="37">
    <w:abstractNumId w:val="8"/>
  </w:num>
  <w:num w:numId="38">
    <w:abstractNumId w:val="12"/>
  </w:num>
  <w:num w:numId="39">
    <w:abstractNumId w:val="40"/>
  </w:num>
  <w:num w:numId="40">
    <w:abstractNumId w:val="49"/>
  </w:num>
  <w:num w:numId="41">
    <w:abstractNumId w:val="14"/>
  </w:num>
  <w:num w:numId="42">
    <w:abstractNumId w:val="57"/>
  </w:num>
  <w:num w:numId="43">
    <w:abstractNumId w:val="28"/>
  </w:num>
  <w:num w:numId="44">
    <w:abstractNumId w:val="44"/>
  </w:num>
  <w:num w:numId="45">
    <w:abstractNumId w:val="48"/>
  </w:num>
  <w:num w:numId="46">
    <w:abstractNumId w:val="19"/>
  </w:num>
  <w:num w:numId="47">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7"/>
  </w:num>
  <w:num w:numId="50">
    <w:abstractNumId w:val="0"/>
  </w:num>
  <w:num w:numId="51">
    <w:abstractNumId w:val="39"/>
  </w:num>
  <w:num w:numId="5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54"/>
  </w:num>
  <w:num w:numId="56">
    <w:abstractNumId w:val="11"/>
  </w:num>
  <w:num w:numId="57">
    <w:abstractNumId w:val="52"/>
  </w:num>
  <w:num w:numId="58">
    <w:abstractNumId w:val="9"/>
  </w:num>
  <w:num w:numId="59">
    <w:abstractNumId w:val="52"/>
  </w:num>
  <w:num w:numId="60">
    <w:abstractNumId w:val="60"/>
  </w:num>
  <w:num w:numId="61">
    <w:abstractNumId w:val="21"/>
  </w:num>
  <w:num w:numId="62">
    <w:abstractNumId w:val="54"/>
  </w:num>
  <w:num w:numId="63">
    <w:abstractNumId w:val="59"/>
  </w:num>
  <w:num w:numId="64">
    <w:abstractNumId w:val="20"/>
  </w:num>
  <w:num w:numId="65">
    <w:abstractNumId w:val="46"/>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4"/>
  <w:doNotTrackFormatting/>
  <w:defaultTabStop w:val="397"/>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2339"/>
    <w:rsid w:val="00000688"/>
    <w:rsid w:val="000007F0"/>
    <w:rsid w:val="00001299"/>
    <w:rsid w:val="000021A4"/>
    <w:rsid w:val="000023D7"/>
    <w:rsid w:val="000023F6"/>
    <w:rsid w:val="000025D5"/>
    <w:rsid w:val="00002882"/>
    <w:rsid w:val="000028BA"/>
    <w:rsid w:val="00003094"/>
    <w:rsid w:val="0000313D"/>
    <w:rsid w:val="00003D13"/>
    <w:rsid w:val="00003E15"/>
    <w:rsid w:val="00004067"/>
    <w:rsid w:val="00004CE4"/>
    <w:rsid w:val="00005394"/>
    <w:rsid w:val="00005651"/>
    <w:rsid w:val="0000635E"/>
    <w:rsid w:val="000073DD"/>
    <w:rsid w:val="00010ED3"/>
    <w:rsid w:val="00011C5E"/>
    <w:rsid w:val="00011FF0"/>
    <w:rsid w:val="000121E9"/>
    <w:rsid w:val="0001275F"/>
    <w:rsid w:val="000128BA"/>
    <w:rsid w:val="000129A8"/>
    <w:rsid w:val="0001302E"/>
    <w:rsid w:val="0001351C"/>
    <w:rsid w:val="000135CA"/>
    <w:rsid w:val="00013E6F"/>
    <w:rsid w:val="00014A1E"/>
    <w:rsid w:val="00015436"/>
    <w:rsid w:val="00015BE9"/>
    <w:rsid w:val="0001725E"/>
    <w:rsid w:val="0001729A"/>
    <w:rsid w:val="00017594"/>
    <w:rsid w:val="00020214"/>
    <w:rsid w:val="00020A19"/>
    <w:rsid w:val="00021D49"/>
    <w:rsid w:val="00022DCA"/>
    <w:rsid w:val="000232CC"/>
    <w:rsid w:val="000238F6"/>
    <w:rsid w:val="00023E4E"/>
    <w:rsid w:val="00023E84"/>
    <w:rsid w:val="00023EDC"/>
    <w:rsid w:val="0002417B"/>
    <w:rsid w:val="00024C2D"/>
    <w:rsid w:val="00024F10"/>
    <w:rsid w:val="00025192"/>
    <w:rsid w:val="00026492"/>
    <w:rsid w:val="000264BC"/>
    <w:rsid w:val="00026941"/>
    <w:rsid w:val="00026F75"/>
    <w:rsid w:val="0002792D"/>
    <w:rsid w:val="00027BAE"/>
    <w:rsid w:val="00027C41"/>
    <w:rsid w:val="00027E8A"/>
    <w:rsid w:val="000300A5"/>
    <w:rsid w:val="00030AFF"/>
    <w:rsid w:val="00030B2E"/>
    <w:rsid w:val="00030FBE"/>
    <w:rsid w:val="00031544"/>
    <w:rsid w:val="00031739"/>
    <w:rsid w:val="0003288A"/>
    <w:rsid w:val="00033971"/>
    <w:rsid w:val="00033AA7"/>
    <w:rsid w:val="0003400A"/>
    <w:rsid w:val="00034107"/>
    <w:rsid w:val="000345D7"/>
    <w:rsid w:val="000345E1"/>
    <w:rsid w:val="0003487C"/>
    <w:rsid w:val="000354FE"/>
    <w:rsid w:val="00035973"/>
    <w:rsid w:val="00035B43"/>
    <w:rsid w:val="0003647B"/>
    <w:rsid w:val="00036745"/>
    <w:rsid w:val="00036AC1"/>
    <w:rsid w:val="00036B63"/>
    <w:rsid w:val="000370D5"/>
    <w:rsid w:val="000379D8"/>
    <w:rsid w:val="00037A0B"/>
    <w:rsid w:val="000406C0"/>
    <w:rsid w:val="000407C5"/>
    <w:rsid w:val="00040B77"/>
    <w:rsid w:val="000413C0"/>
    <w:rsid w:val="00041BB9"/>
    <w:rsid w:val="00042689"/>
    <w:rsid w:val="000428E1"/>
    <w:rsid w:val="00042A5A"/>
    <w:rsid w:val="00042AE0"/>
    <w:rsid w:val="00042B28"/>
    <w:rsid w:val="00043045"/>
    <w:rsid w:val="0004305F"/>
    <w:rsid w:val="0004364D"/>
    <w:rsid w:val="00044447"/>
    <w:rsid w:val="000444A8"/>
    <w:rsid w:val="00044A9E"/>
    <w:rsid w:val="000461F0"/>
    <w:rsid w:val="000509E5"/>
    <w:rsid w:val="00050F65"/>
    <w:rsid w:val="000515BD"/>
    <w:rsid w:val="000516F3"/>
    <w:rsid w:val="00051BB3"/>
    <w:rsid w:val="000520B0"/>
    <w:rsid w:val="00053014"/>
    <w:rsid w:val="00055174"/>
    <w:rsid w:val="00055A09"/>
    <w:rsid w:val="00056777"/>
    <w:rsid w:val="00056A01"/>
    <w:rsid w:val="00057097"/>
    <w:rsid w:val="00057368"/>
    <w:rsid w:val="000600F6"/>
    <w:rsid w:val="00061406"/>
    <w:rsid w:val="000621BA"/>
    <w:rsid w:val="000626DD"/>
    <w:rsid w:val="000635AA"/>
    <w:rsid w:val="000645E3"/>
    <w:rsid w:val="00064EA6"/>
    <w:rsid w:val="00066031"/>
    <w:rsid w:val="0006624E"/>
    <w:rsid w:val="00066919"/>
    <w:rsid w:val="00066DF1"/>
    <w:rsid w:val="000670AF"/>
    <w:rsid w:val="00067417"/>
    <w:rsid w:val="00067516"/>
    <w:rsid w:val="000703E8"/>
    <w:rsid w:val="00070511"/>
    <w:rsid w:val="000706E8"/>
    <w:rsid w:val="0007088E"/>
    <w:rsid w:val="000713E2"/>
    <w:rsid w:val="00071924"/>
    <w:rsid w:val="00071DA3"/>
    <w:rsid w:val="00071E8D"/>
    <w:rsid w:val="00071EAA"/>
    <w:rsid w:val="00072E49"/>
    <w:rsid w:val="00073484"/>
    <w:rsid w:val="000738C6"/>
    <w:rsid w:val="00074641"/>
    <w:rsid w:val="00074E88"/>
    <w:rsid w:val="00075009"/>
    <w:rsid w:val="000755CB"/>
    <w:rsid w:val="000764F1"/>
    <w:rsid w:val="0007666C"/>
    <w:rsid w:val="000766E8"/>
    <w:rsid w:val="000768AF"/>
    <w:rsid w:val="00077B73"/>
    <w:rsid w:val="00080060"/>
    <w:rsid w:val="00080103"/>
    <w:rsid w:val="00080265"/>
    <w:rsid w:val="00080A49"/>
    <w:rsid w:val="00081AD5"/>
    <w:rsid w:val="00082081"/>
    <w:rsid w:val="00082375"/>
    <w:rsid w:val="00082F1A"/>
    <w:rsid w:val="00083521"/>
    <w:rsid w:val="000844EE"/>
    <w:rsid w:val="00084526"/>
    <w:rsid w:val="00084A64"/>
    <w:rsid w:val="00085787"/>
    <w:rsid w:val="0008617B"/>
    <w:rsid w:val="00086AA7"/>
    <w:rsid w:val="0008781A"/>
    <w:rsid w:val="00087AF4"/>
    <w:rsid w:val="000907F8"/>
    <w:rsid w:val="00091559"/>
    <w:rsid w:val="000917AC"/>
    <w:rsid w:val="000918A0"/>
    <w:rsid w:val="00092C57"/>
    <w:rsid w:val="0009332A"/>
    <w:rsid w:val="00093A10"/>
    <w:rsid w:val="000940CB"/>
    <w:rsid w:val="000948B9"/>
    <w:rsid w:val="00094E34"/>
    <w:rsid w:val="00095168"/>
    <w:rsid w:val="00095731"/>
    <w:rsid w:val="00096B13"/>
    <w:rsid w:val="00097470"/>
    <w:rsid w:val="00097504"/>
    <w:rsid w:val="00097662"/>
    <w:rsid w:val="000A02B4"/>
    <w:rsid w:val="000A0C1A"/>
    <w:rsid w:val="000A204A"/>
    <w:rsid w:val="000A27D0"/>
    <w:rsid w:val="000A2D39"/>
    <w:rsid w:val="000A2EE5"/>
    <w:rsid w:val="000A406F"/>
    <w:rsid w:val="000A47B6"/>
    <w:rsid w:val="000A4E2F"/>
    <w:rsid w:val="000A4F3E"/>
    <w:rsid w:val="000A52CC"/>
    <w:rsid w:val="000A628C"/>
    <w:rsid w:val="000A6420"/>
    <w:rsid w:val="000A6645"/>
    <w:rsid w:val="000A693B"/>
    <w:rsid w:val="000A7B0C"/>
    <w:rsid w:val="000B1036"/>
    <w:rsid w:val="000B1958"/>
    <w:rsid w:val="000B3701"/>
    <w:rsid w:val="000B38BB"/>
    <w:rsid w:val="000B39DF"/>
    <w:rsid w:val="000B4C64"/>
    <w:rsid w:val="000B5987"/>
    <w:rsid w:val="000B5FDD"/>
    <w:rsid w:val="000B6691"/>
    <w:rsid w:val="000B76AD"/>
    <w:rsid w:val="000B7E96"/>
    <w:rsid w:val="000B7FB4"/>
    <w:rsid w:val="000C063A"/>
    <w:rsid w:val="000C1E56"/>
    <w:rsid w:val="000C24AF"/>
    <w:rsid w:val="000C2ABD"/>
    <w:rsid w:val="000C3CBB"/>
    <w:rsid w:val="000C5017"/>
    <w:rsid w:val="000C5FF3"/>
    <w:rsid w:val="000C6812"/>
    <w:rsid w:val="000C6874"/>
    <w:rsid w:val="000C6F46"/>
    <w:rsid w:val="000C759D"/>
    <w:rsid w:val="000C7F88"/>
    <w:rsid w:val="000D2008"/>
    <w:rsid w:val="000D2AB6"/>
    <w:rsid w:val="000D2BD7"/>
    <w:rsid w:val="000D316C"/>
    <w:rsid w:val="000D4529"/>
    <w:rsid w:val="000D4FC0"/>
    <w:rsid w:val="000D5F2D"/>
    <w:rsid w:val="000D60CB"/>
    <w:rsid w:val="000D6367"/>
    <w:rsid w:val="000D6F9B"/>
    <w:rsid w:val="000D706D"/>
    <w:rsid w:val="000D72BB"/>
    <w:rsid w:val="000D72D8"/>
    <w:rsid w:val="000D7676"/>
    <w:rsid w:val="000D7CE7"/>
    <w:rsid w:val="000D7D0B"/>
    <w:rsid w:val="000E0326"/>
    <w:rsid w:val="000E0750"/>
    <w:rsid w:val="000E176A"/>
    <w:rsid w:val="000E2239"/>
    <w:rsid w:val="000E2260"/>
    <w:rsid w:val="000E298A"/>
    <w:rsid w:val="000E2F74"/>
    <w:rsid w:val="000E3C04"/>
    <w:rsid w:val="000E52F1"/>
    <w:rsid w:val="000E602C"/>
    <w:rsid w:val="000E6937"/>
    <w:rsid w:val="000F00F1"/>
    <w:rsid w:val="000F0D86"/>
    <w:rsid w:val="000F1BCC"/>
    <w:rsid w:val="000F1F81"/>
    <w:rsid w:val="000F234F"/>
    <w:rsid w:val="000F247E"/>
    <w:rsid w:val="000F2EAF"/>
    <w:rsid w:val="000F3040"/>
    <w:rsid w:val="000F36AD"/>
    <w:rsid w:val="000F3700"/>
    <w:rsid w:val="000F38D8"/>
    <w:rsid w:val="000F3ADF"/>
    <w:rsid w:val="000F4297"/>
    <w:rsid w:val="000F44A1"/>
    <w:rsid w:val="000F47D3"/>
    <w:rsid w:val="000F4A6A"/>
    <w:rsid w:val="000F502B"/>
    <w:rsid w:val="000F53F3"/>
    <w:rsid w:val="000F5671"/>
    <w:rsid w:val="000F69E3"/>
    <w:rsid w:val="000F7389"/>
    <w:rsid w:val="000F74CA"/>
    <w:rsid w:val="000F7E9A"/>
    <w:rsid w:val="000F7F28"/>
    <w:rsid w:val="0010004B"/>
    <w:rsid w:val="001006E2"/>
    <w:rsid w:val="00100D1A"/>
    <w:rsid w:val="00100EB3"/>
    <w:rsid w:val="00101741"/>
    <w:rsid w:val="001022C7"/>
    <w:rsid w:val="00102E9F"/>
    <w:rsid w:val="00103006"/>
    <w:rsid w:val="00103066"/>
    <w:rsid w:val="001036F6"/>
    <w:rsid w:val="00103E12"/>
    <w:rsid w:val="00103F22"/>
    <w:rsid w:val="00104042"/>
    <w:rsid w:val="001040A5"/>
    <w:rsid w:val="001041C6"/>
    <w:rsid w:val="0010435E"/>
    <w:rsid w:val="00104759"/>
    <w:rsid w:val="001048AD"/>
    <w:rsid w:val="00104C56"/>
    <w:rsid w:val="00105A64"/>
    <w:rsid w:val="00106863"/>
    <w:rsid w:val="0010689D"/>
    <w:rsid w:val="001075BA"/>
    <w:rsid w:val="00107A7A"/>
    <w:rsid w:val="00107DC0"/>
    <w:rsid w:val="001103FD"/>
    <w:rsid w:val="00110BC7"/>
    <w:rsid w:val="00110C5A"/>
    <w:rsid w:val="00111AB0"/>
    <w:rsid w:val="00111FC3"/>
    <w:rsid w:val="00112393"/>
    <w:rsid w:val="00113B4B"/>
    <w:rsid w:val="00113D82"/>
    <w:rsid w:val="00113E52"/>
    <w:rsid w:val="001140F3"/>
    <w:rsid w:val="001142D9"/>
    <w:rsid w:val="0011442F"/>
    <w:rsid w:val="00115192"/>
    <w:rsid w:val="00115B32"/>
    <w:rsid w:val="00116B3A"/>
    <w:rsid w:val="00117042"/>
    <w:rsid w:val="001171A0"/>
    <w:rsid w:val="001179C3"/>
    <w:rsid w:val="00120424"/>
    <w:rsid w:val="001211FD"/>
    <w:rsid w:val="001213C3"/>
    <w:rsid w:val="001213E1"/>
    <w:rsid w:val="001216ED"/>
    <w:rsid w:val="00121BAF"/>
    <w:rsid w:val="00121DE7"/>
    <w:rsid w:val="001227BB"/>
    <w:rsid w:val="00122E22"/>
    <w:rsid w:val="00123295"/>
    <w:rsid w:val="00123BA4"/>
    <w:rsid w:val="001240B9"/>
    <w:rsid w:val="001244BB"/>
    <w:rsid w:val="0012462D"/>
    <w:rsid w:val="00124668"/>
    <w:rsid w:val="001255C5"/>
    <w:rsid w:val="001257F6"/>
    <w:rsid w:val="0012621E"/>
    <w:rsid w:val="001262AC"/>
    <w:rsid w:val="0012633F"/>
    <w:rsid w:val="00126B46"/>
    <w:rsid w:val="00126C43"/>
    <w:rsid w:val="0012784A"/>
    <w:rsid w:val="00130779"/>
    <w:rsid w:val="00130DE0"/>
    <w:rsid w:val="0013181B"/>
    <w:rsid w:val="00131D93"/>
    <w:rsid w:val="00132CB5"/>
    <w:rsid w:val="00133809"/>
    <w:rsid w:val="00134413"/>
    <w:rsid w:val="0013494D"/>
    <w:rsid w:val="0013504E"/>
    <w:rsid w:val="00135F78"/>
    <w:rsid w:val="00136B8F"/>
    <w:rsid w:val="00136CF9"/>
    <w:rsid w:val="0013715E"/>
    <w:rsid w:val="001376BD"/>
    <w:rsid w:val="00137781"/>
    <w:rsid w:val="00140D58"/>
    <w:rsid w:val="00140F93"/>
    <w:rsid w:val="001410BA"/>
    <w:rsid w:val="001410CB"/>
    <w:rsid w:val="00141324"/>
    <w:rsid w:val="00141D0A"/>
    <w:rsid w:val="00142DB4"/>
    <w:rsid w:val="00143518"/>
    <w:rsid w:val="00143B7F"/>
    <w:rsid w:val="00143CF2"/>
    <w:rsid w:val="00144AE3"/>
    <w:rsid w:val="00144E94"/>
    <w:rsid w:val="00145370"/>
    <w:rsid w:val="00146203"/>
    <w:rsid w:val="00146401"/>
    <w:rsid w:val="00146F94"/>
    <w:rsid w:val="001475FC"/>
    <w:rsid w:val="00147FE2"/>
    <w:rsid w:val="001505DD"/>
    <w:rsid w:val="00150ACE"/>
    <w:rsid w:val="0015110E"/>
    <w:rsid w:val="00151DB4"/>
    <w:rsid w:val="001520D4"/>
    <w:rsid w:val="0015396B"/>
    <w:rsid w:val="00154274"/>
    <w:rsid w:val="00154F9B"/>
    <w:rsid w:val="001553A0"/>
    <w:rsid w:val="00155469"/>
    <w:rsid w:val="00155615"/>
    <w:rsid w:val="0015773C"/>
    <w:rsid w:val="00157BB6"/>
    <w:rsid w:val="0016107E"/>
    <w:rsid w:val="001613A4"/>
    <w:rsid w:val="001616F8"/>
    <w:rsid w:val="00161CC5"/>
    <w:rsid w:val="001621A8"/>
    <w:rsid w:val="001622D4"/>
    <w:rsid w:val="0016245C"/>
    <w:rsid w:val="00162482"/>
    <w:rsid w:val="001625B8"/>
    <w:rsid w:val="00162A63"/>
    <w:rsid w:val="00162AF2"/>
    <w:rsid w:val="0016366F"/>
    <w:rsid w:val="00163D47"/>
    <w:rsid w:val="001646D6"/>
    <w:rsid w:val="001648A7"/>
    <w:rsid w:val="0016498D"/>
    <w:rsid w:val="001652C5"/>
    <w:rsid w:val="00165753"/>
    <w:rsid w:val="001657E4"/>
    <w:rsid w:val="00165CCF"/>
    <w:rsid w:val="001671FB"/>
    <w:rsid w:val="001672CA"/>
    <w:rsid w:val="00167584"/>
    <w:rsid w:val="0017066F"/>
    <w:rsid w:val="00170961"/>
    <w:rsid w:val="00170DD1"/>
    <w:rsid w:val="00170F67"/>
    <w:rsid w:val="0017116A"/>
    <w:rsid w:val="00171478"/>
    <w:rsid w:val="001715A8"/>
    <w:rsid w:val="00171822"/>
    <w:rsid w:val="00171890"/>
    <w:rsid w:val="0017275C"/>
    <w:rsid w:val="001729C5"/>
    <w:rsid w:val="00172C10"/>
    <w:rsid w:val="00172D22"/>
    <w:rsid w:val="00173039"/>
    <w:rsid w:val="00174BCB"/>
    <w:rsid w:val="00174C78"/>
    <w:rsid w:val="00175451"/>
    <w:rsid w:val="00175700"/>
    <w:rsid w:val="001759C3"/>
    <w:rsid w:val="001761EC"/>
    <w:rsid w:val="00176720"/>
    <w:rsid w:val="00176FA7"/>
    <w:rsid w:val="00177024"/>
    <w:rsid w:val="0017724F"/>
    <w:rsid w:val="00177DB9"/>
    <w:rsid w:val="0018012F"/>
    <w:rsid w:val="0018102A"/>
    <w:rsid w:val="0018110A"/>
    <w:rsid w:val="0018173E"/>
    <w:rsid w:val="00182287"/>
    <w:rsid w:val="00182837"/>
    <w:rsid w:val="00182CCB"/>
    <w:rsid w:val="00182D93"/>
    <w:rsid w:val="00182F43"/>
    <w:rsid w:val="00183A2D"/>
    <w:rsid w:val="00184248"/>
    <w:rsid w:val="001842A9"/>
    <w:rsid w:val="001853D8"/>
    <w:rsid w:val="001855B5"/>
    <w:rsid w:val="00185638"/>
    <w:rsid w:val="001864DD"/>
    <w:rsid w:val="001866C6"/>
    <w:rsid w:val="00186EBF"/>
    <w:rsid w:val="00186F7E"/>
    <w:rsid w:val="00187235"/>
    <w:rsid w:val="00187DD1"/>
    <w:rsid w:val="0019120B"/>
    <w:rsid w:val="00191BC3"/>
    <w:rsid w:val="00192478"/>
    <w:rsid w:val="0019254F"/>
    <w:rsid w:val="00192E67"/>
    <w:rsid w:val="00192E78"/>
    <w:rsid w:val="001931AF"/>
    <w:rsid w:val="00193A48"/>
    <w:rsid w:val="00194D64"/>
    <w:rsid w:val="00194E3E"/>
    <w:rsid w:val="001955E2"/>
    <w:rsid w:val="00197DDA"/>
    <w:rsid w:val="00197E85"/>
    <w:rsid w:val="00197FD1"/>
    <w:rsid w:val="001A020A"/>
    <w:rsid w:val="001A022B"/>
    <w:rsid w:val="001A04EA"/>
    <w:rsid w:val="001A089F"/>
    <w:rsid w:val="001A0CFC"/>
    <w:rsid w:val="001A18E9"/>
    <w:rsid w:val="001A1B20"/>
    <w:rsid w:val="001A277C"/>
    <w:rsid w:val="001A27A5"/>
    <w:rsid w:val="001A2D5C"/>
    <w:rsid w:val="001A31F4"/>
    <w:rsid w:val="001A335D"/>
    <w:rsid w:val="001A33A2"/>
    <w:rsid w:val="001A433D"/>
    <w:rsid w:val="001A51D3"/>
    <w:rsid w:val="001A5361"/>
    <w:rsid w:val="001A5544"/>
    <w:rsid w:val="001A55A1"/>
    <w:rsid w:val="001A75C2"/>
    <w:rsid w:val="001A75FE"/>
    <w:rsid w:val="001A7718"/>
    <w:rsid w:val="001A7BE6"/>
    <w:rsid w:val="001B033B"/>
    <w:rsid w:val="001B189E"/>
    <w:rsid w:val="001B2EEC"/>
    <w:rsid w:val="001B37C4"/>
    <w:rsid w:val="001B4717"/>
    <w:rsid w:val="001B479E"/>
    <w:rsid w:val="001B5692"/>
    <w:rsid w:val="001B64AA"/>
    <w:rsid w:val="001B65C8"/>
    <w:rsid w:val="001B6A23"/>
    <w:rsid w:val="001B6BAC"/>
    <w:rsid w:val="001C1E10"/>
    <w:rsid w:val="001C26D2"/>
    <w:rsid w:val="001C2B4D"/>
    <w:rsid w:val="001C2B72"/>
    <w:rsid w:val="001C5150"/>
    <w:rsid w:val="001C554A"/>
    <w:rsid w:val="001D06EC"/>
    <w:rsid w:val="001D092D"/>
    <w:rsid w:val="001D0A9F"/>
    <w:rsid w:val="001D0BE8"/>
    <w:rsid w:val="001D0EB1"/>
    <w:rsid w:val="001D1210"/>
    <w:rsid w:val="001D13C0"/>
    <w:rsid w:val="001D1A97"/>
    <w:rsid w:val="001D20DC"/>
    <w:rsid w:val="001D21F9"/>
    <w:rsid w:val="001D4433"/>
    <w:rsid w:val="001D519F"/>
    <w:rsid w:val="001D55A3"/>
    <w:rsid w:val="001D5816"/>
    <w:rsid w:val="001D5970"/>
    <w:rsid w:val="001D5F12"/>
    <w:rsid w:val="001D61EE"/>
    <w:rsid w:val="001D68BC"/>
    <w:rsid w:val="001D6C5E"/>
    <w:rsid w:val="001D6CEA"/>
    <w:rsid w:val="001D7525"/>
    <w:rsid w:val="001D75C2"/>
    <w:rsid w:val="001E0EBD"/>
    <w:rsid w:val="001E1064"/>
    <w:rsid w:val="001E153B"/>
    <w:rsid w:val="001E1ADD"/>
    <w:rsid w:val="001E3114"/>
    <w:rsid w:val="001E3F02"/>
    <w:rsid w:val="001E3F04"/>
    <w:rsid w:val="001E48F5"/>
    <w:rsid w:val="001E4E14"/>
    <w:rsid w:val="001E5736"/>
    <w:rsid w:val="001E5A0C"/>
    <w:rsid w:val="001E5D4F"/>
    <w:rsid w:val="001E6804"/>
    <w:rsid w:val="001E6887"/>
    <w:rsid w:val="001E7152"/>
    <w:rsid w:val="001E716F"/>
    <w:rsid w:val="001E71E9"/>
    <w:rsid w:val="001E72EB"/>
    <w:rsid w:val="001E7AB7"/>
    <w:rsid w:val="001E7F3A"/>
    <w:rsid w:val="001F177F"/>
    <w:rsid w:val="001F1A35"/>
    <w:rsid w:val="001F1C83"/>
    <w:rsid w:val="001F2D51"/>
    <w:rsid w:val="001F2E20"/>
    <w:rsid w:val="001F3221"/>
    <w:rsid w:val="001F3B92"/>
    <w:rsid w:val="001F4198"/>
    <w:rsid w:val="001F472B"/>
    <w:rsid w:val="001F5EEB"/>
    <w:rsid w:val="001F6394"/>
    <w:rsid w:val="001F699C"/>
    <w:rsid w:val="001F6E99"/>
    <w:rsid w:val="001F7613"/>
    <w:rsid w:val="00201A3F"/>
    <w:rsid w:val="00201F88"/>
    <w:rsid w:val="002029C2"/>
    <w:rsid w:val="0020387E"/>
    <w:rsid w:val="002038CA"/>
    <w:rsid w:val="00203B88"/>
    <w:rsid w:val="00203D14"/>
    <w:rsid w:val="00203E81"/>
    <w:rsid w:val="00204F55"/>
    <w:rsid w:val="0020595E"/>
    <w:rsid w:val="00205A8F"/>
    <w:rsid w:val="002061D4"/>
    <w:rsid w:val="002064C0"/>
    <w:rsid w:val="0020653A"/>
    <w:rsid w:val="00206B0D"/>
    <w:rsid w:val="002076DD"/>
    <w:rsid w:val="0021032D"/>
    <w:rsid w:val="00211104"/>
    <w:rsid w:val="002111F6"/>
    <w:rsid w:val="002114E7"/>
    <w:rsid w:val="002115DC"/>
    <w:rsid w:val="0021201D"/>
    <w:rsid w:val="00212D3F"/>
    <w:rsid w:val="00213B83"/>
    <w:rsid w:val="002145F5"/>
    <w:rsid w:val="00214A5F"/>
    <w:rsid w:val="002156EA"/>
    <w:rsid w:val="00215AAC"/>
    <w:rsid w:val="00215BAA"/>
    <w:rsid w:val="00215DA4"/>
    <w:rsid w:val="00215EA6"/>
    <w:rsid w:val="00215EC1"/>
    <w:rsid w:val="002169A8"/>
    <w:rsid w:val="00216E9D"/>
    <w:rsid w:val="0021761C"/>
    <w:rsid w:val="00217E0E"/>
    <w:rsid w:val="002204DE"/>
    <w:rsid w:val="00220AB2"/>
    <w:rsid w:val="00220DBA"/>
    <w:rsid w:val="00221037"/>
    <w:rsid w:val="002217D7"/>
    <w:rsid w:val="00222563"/>
    <w:rsid w:val="002235D0"/>
    <w:rsid w:val="00224DA0"/>
    <w:rsid w:val="002250EA"/>
    <w:rsid w:val="002251F7"/>
    <w:rsid w:val="0022557D"/>
    <w:rsid w:val="00225AD9"/>
    <w:rsid w:val="00225E52"/>
    <w:rsid w:val="002263A6"/>
    <w:rsid w:val="002300AA"/>
    <w:rsid w:val="002309A6"/>
    <w:rsid w:val="00231504"/>
    <w:rsid w:val="00231F64"/>
    <w:rsid w:val="002329CD"/>
    <w:rsid w:val="00232D58"/>
    <w:rsid w:val="0023450E"/>
    <w:rsid w:val="002349B0"/>
    <w:rsid w:val="002351D4"/>
    <w:rsid w:val="002355D1"/>
    <w:rsid w:val="002364AB"/>
    <w:rsid w:val="00236721"/>
    <w:rsid w:val="0023690B"/>
    <w:rsid w:val="0023711A"/>
    <w:rsid w:val="00237441"/>
    <w:rsid w:val="002379C6"/>
    <w:rsid w:val="00237BAB"/>
    <w:rsid w:val="00237DDA"/>
    <w:rsid w:val="0024037D"/>
    <w:rsid w:val="00241745"/>
    <w:rsid w:val="002417DE"/>
    <w:rsid w:val="00241B37"/>
    <w:rsid w:val="00241E12"/>
    <w:rsid w:val="00241EA3"/>
    <w:rsid w:val="00241FEE"/>
    <w:rsid w:val="00242336"/>
    <w:rsid w:val="00242888"/>
    <w:rsid w:val="00243617"/>
    <w:rsid w:val="00243C08"/>
    <w:rsid w:val="00243FC1"/>
    <w:rsid w:val="00244054"/>
    <w:rsid w:val="00244481"/>
    <w:rsid w:val="00244C8A"/>
    <w:rsid w:val="00245C11"/>
    <w:rsid w:val="002473D6"/>
    <w:rsid w:val="00247BE6"/>
    <w:rsid w:val="00250B44"/>
    <w:rsid w:val="0025164D"/>
    <w:rsid w:val="00251D74"/>
    <w:rsid w:val="002526C0"/>
    <w:rsid w:val="002532CD"/>
    <w:rsid w:val="002532EE"/>
    <w:rsid w:val="00253A58"/>
    <w:rsid w:val="002541E3"/>
    <w:rsid w:val="00254453"/>
    <w:rsid w:val="002547FA"/>
    <w:rsid w:val="00254811"/>
    <w:rsid w:val="00255B63"/>
    <w:rsid w:val="00255B76"/>
    <w:rsid w:val="002560D4"/>
    <w:rsid w:val="00256500"/>
    <w:rsid w:val="00256EBD"/>
    <w:rsid w:val="00257079"/>
    <w:rsid w:val="002573DA"/>
    <w:rsid w:val="0025765F"/>
    <w:rsid w:val="002577EE"/>
    <w:rsid w:val="00257E0B"/>
    <w:rsid w:val="00260D42"/>
    <w:rsid w:val="0026116B"/>
    <w:rsid w:val="0026168F"/>
    <w:rsid w:val="00262256"/>
    <w:rsid w:val="00262630"/>
    <w:rsid w:val="00263369"/>
    <w:rsid w:val="002636B2"/>
    <w:rsid w:val="00264191"/>
    <w:rsid w:val="00264AA6"/>
    <w:rsid w:val="00264E95"/>
    <w:rsid w:val="00265E32"/>
    <w:rsid w:val="00265E6E"/>
    <w:rsid w:val="00266147"/>
    <w:rsid w:val="0026638A"/>
    <w:rsid w:val="0026662C"/>
    <w:rsid w:val="00267120"/>
    <w:rsid w:val="00267A90"/>
    <w:rsid w:val="00270988"/>
    <w:rsid w:val="0027098C"/>
    <w:rsid w:val="00270B57"/>
    <w:rsid w:val="0027107E"/>
    <w:rsid w:val="00271B49"/>
    <w:rsid w:val="00272088"/>
    <w:rsid w:val="00272ADA"/>
    <w:rsid w:val="0027304D"/>
    <w:rsid w:val="002730EF"/>
    <w:rsid w:val="00273ACC"/>
    <w:rsid w:val="00273C9A"/>
    <w:rsid w:val="00274320"/>
    <w:rsid w:val="002746AC"/>
    <w:rsid w:val="00274E47"/>
    <w:rsid w:val="002759F4"/>
    <w:rsid w:val="00276D62"/>
    <w:rsid w:val="002770A3"/>
    <w:rsid w:val="00277562"/>
    <w:rsid w:val="002808FD"/>
    <w:rsid w:val="00282321"/>
    <w:rsid w:val="002823CF"/>
    <w:rsid w:val="00282DE4"/>
    <w:rsid w:val="00282FA2"/>
    <w:rsid w:val="002831F3"/>
    <w:rsid w:val="00283FC3"/>
    <w:rsid w:val="00284453"/>
    <w:rsid w:val="002847A9"/>
    <w:rsid w:val="002848EA"/>
    <w:rsid w:val="002849CD"/>
    <w:rsid w:val="0028537D"/>
    <w:rsid w:val="00285A87"/>
    <w:rsid w:val="00286EB1"/>
    <w:rsid w:val="002873C3"/>
    <w:rsid w:val="00287514"/>
    <w:rsid w:val="00287564"/>
    <w:rsid w:val="00287691"/>
    <w:rsid w:val="002877E3"/>
    <w:rsid w:val="0029025C"/>
    <w:rsid w:val="00291C32"/>
    <w:rsid w:val="002920A4"/>
    <w:rsid w:val="00292568"/>
    <w:rsid w:val="002942B0"/>
    <w:rsid w:val="002946B8"/>
    <w:rsid w:val="0029482D"/>
    <w:rsid w:val="00294FA3"/>
    <w:rsid w:val="00295227"/>
    <w:rsid w:val="0029598F"/>
    <w:rsid w:val="002959D2"/>
    <w:rsid w:val="00295DF8"/>
    <w:rsid w:val="00295F86"/>
    <w:rsid w:val="0029689E"/>
    <w:rsid w:val="00296CDC"/>
    <w:rsid w:val="00297CDF"/>
    <w:rsid w:val="002A0D1B"/>
    <w:rsid w:val="002A2207"/>
    <w:rsid w:val="002A3011"/>
    <w:rsid w:val="002A32BF"/>
    <w:rsid w:val="002A4624"/>
    <w:rsid w:val="002A4CE4"/>
    <w:rsid w:val="002A4F9F"/>
    <w:rsid w:val="002A5325"/>
    <w:rsid w:val="002A61C4"/>
    <w:rsid w:val="002A679A"/>
    <w:rsid w:val="002A6B8C"/>
    <w:rsid w:val="002A6BB6"/>
    <w:rsid w:val="002A6EAA"/>
    <w:rsid w:val="002A7B82"/>
    <w:rsid w:val="002A7B8C"/>
    <w:rsid w:val="002B06FD"/>
    <w:rsid w:val="002B0AFF"/>
    <w:rsid w:val="002B0C0C"/>
    <w:rsid w:val="002B0C37"/>
    <w:rsid w:val="002B0FE0"/>
    <w:rsid w:val="002B100A"/>
    <w:rsid w:val="002B121E"/>
    <w:rsid w:val="002B1779"/>
    <w:rsid w:val="002B1F88"/>
    <w:rsid w:val="002B28EF"/>
    <w:rsid w:val="002B2D6A"/>
    <w:rsid w:val="002B4366"/>
    <w:rsid w:val="002B4A20"/>
    <w:rsid w:val="002B4DE5"/>
    <w:rsid w:val="002B6053"/>
    <w:rsid w:val="002B64EE"/>
    <w:rsid w:val="002B72CB"/>
    <w:rsid w:val="002B795B"/>
    <w:rsid w:val="002B7CAA"/>
    <w:rsid w:val="002C1402"/>
    <w:rsid w:val="002C1E84"/>
    <w:rsid w:val="002C2EFF"/>
    <w:rsid w:val="002C3729"/>
    <w:rsid w:val="002C3D32"/>
    <w:rsid w:val="002C518C"/>
    <w:rsid w:val="002C5EDF"/>
    <w:rsid w:val="002C6A6B"/>
    <w:rsid w:val="002C6D88"/>
    <w:rsid w:val="002C7BED"/>
    <w:rsid w:val="002D08A9"/>
    <w:rsid w:val="002D15F5"/>
    <w:rsid w:val="002D1959"/>
    <w:rsid w:val="002D1D3A"/>
    <w:rsid w:val="002D2C89"/>
    <w:rsid w:val="002D3133"/>
    <w:rsid w:val="002D33FF"/>
    <w:rsid w:val="002D379D"/>
    <w:rsid w:val="002D3D52"/>
    <w:rsid w:val="002D402B"/>
    <w:rsid w:val="002D4A1E"/>
    <w:rsid w:val="002D4A31"/>
    <w:rsid w:val="002D545A"/>
    <w:rsid w:val="002D5DEA"/>
    <w:rsid w:val="002D5FF8"/>
    <w:rsid w:val="002D600E"/>
    <w:rsid w:val="002D63EA"/>
    <w:rsid w:val="002D6559"/>
    <w:rsid w:val="002D67A1"/>
    <w:rsid w:val="002D6EE9"/>
    <w:rsid w:val="002D72EC"/>
    <w:rsid w:val="002D7AF3"/>
    <w:rsid w:val="002E0033"/>
    <w:rsid w:val="002E05C3"/>
    <w:rsid w:val="002E0A11"/>
    <w:rsid w:val="002E0E0D"/>
    <w:rsid w:val="002E1111"/>
    <w:rsid w:val="002E17D5"/>
    <w:rsid w:val="002E1838"/>
    <w:rsid w:val="002E18D5"/>
    <w:rsid w:val="002E1CD6"/>
    <w:rsid w:val="002E35C8"/>
    <w:rsid w:val="002E500F"/>
    <w:rsid w:val="002E53E1"/>
    <w:rsid w:val="002E56F3"/>
    <w:rsid w:val="002E663E"/>
    <w:rsid w:val="002E6A34"/>
    <w:rsid w:val="002E6B2C"/>
    <w:rsid w:val="002E6D0B"/>
    <w:rsid w:val="002E6E29"/>
    <w:rsid w:val="002E7187"/>
    <w:rsid w:val="002E72F9"/>
    <w:rsid w:val="002E7C17"/>
    <w:rsid w:val="002F09F0"/>
    <w:rsid w:val="002F13B6"/>
    <w:rsid w:val="002F182A"/>
    <w:rsid w:val="002F1B7C"/>
    <w:rsid w:val="002F220C"/>
    <w:rsid w:val="002F304A"/>
    <w:rsid w:val="002F307D"/>
    <w:rsid w:val="002F3324"/>
    <w:rsid w:val="002F3383"/>
    <w:rsid w:val="002F341A"/>
    <w:rsid w:val="002F45A1"/>
    <w:rsid w:val="002F4E28"/>
    <w:rsid w:val="002F62B1"/>
    <w:rsid w:val="002F65B9"/>
    <w:rsid w:val="002F72A8"/>
    <w:rsid w:val="002F737E"/>
    <w:rsid w:val="002F78E0"/>
    <w:rsid w:val="002F7BA7"/>
    <w:rsid w:val="00300446"/>
    <w:rsid w:val="00301E9F"/>
    <w:rsid w:val="00302343"/>
    <w:rsid w:val="003024EA"/>
    <w:rsid w:val="00302942"/>
    <w:rsid w:val="00302DEC"/>
    <w:rsid w:val="00303277"/>
    <w:rsid w:val="00303466"/>
    <w:rsid w:val="00303505"/>
    <w:rsid w:val="00305B6C"/>
    <w:rsid w:val="00305DBF"/>
    <w:rsid w:val="00306A4A"/>
    <w:rsid w:val="00306A9B"/>
    <w:rsid w:val="003074F0"/>
    <w:rsid w:val="0031016D"/>
    <w:rsid w:val="00310686"/>
    <w:rsid w:val="00310961"/>
    <w:rsid w:val="003109CC"/>
    <w:rsid w:val="00311003"/>
    <w:rsid w:val="00311095"/>
    <w:rsid w:val="00311DA4"/>
    <w:rsid w:val="00312259"/>
    <w:rsid w:val="003123D0"/>
    <w:rsid w:val="00313225"/>
    <w:rsid w:val="003139BE"/>
    <w:rsid w:val="00313EE4"/>
    <w:rsid w:val="00314306"/>
    <w:rsid w:val="0031441E"/>
    <w:rsid w:val="00314869"/>
    <w:rsid w:val="00314A6D"/>
    <w:rsid w:val="00314F85"/>
    <w:rsid w:val="003152D6"/>
    <w:rsid w:val="00315F0A"/>
    <w:rsid w:val="003169A7"/>
    <w:rsid w:val="003169AC"/>
    <w:rsid w:val="003173FC"/>
    <w:rsid w:val="003202D3"/>
    <w:rsid w:val="003209A2"/>
    <w:rsid w:val="00320A3D"/>
    <w:rsid w:val="003217C8"/>
    <w:rsid w:val="003220D1"/>
    <w:rsid w:val="00322A6D"/>
    <w:rsid w:val="0032304C"/>
    <w:rsid w:val="00323939"/>
    <w:rsid w:val="003242E1"/>
    <w:rsid w:val="003246DA"/>
    <w:rsid w:val="003250C5"/>
    <w:rsid w:val="0032597B"/>
    <w:rsid w:val="00325A4A"/>
    <w:rsid w:val="0032615E"/>
    <w:rsid w:val="00326B1B"/>
    <w:rsid w:val="00327676"/>
    <w:rsid w:val="00327FD5"/>
    <w:rsid w:val="0033008F"/>
    <w:rsid w:val="003302F5"/>
    <w:rsid w:val="0033052C"/>
    <w:rsid w:val="00330747"/>
    <w:rsid w:val="0033264C"/>
    <w:rsid w:val="0033279B"/>
    <w:rsid w:val="003327D6"/>
    <w:rsid w:val="003328BA"/>
    <w:rsid w:val="003349E8"/>
    <w:rsid w:val="00334A3A"/>
    <w:rsid w:val="00335936"/>
    <w:rsid w:val="003362EE"/>
    <w:rsid w:val="00336A26"/>
    <w:rsid w:val="00336BCF"/>
    <w:rsid w:val="00336C0D"/>
    <w:rsid w:val="0033744D"/>
    <w:rsid w:val="003403B7"/>
    <w:rsid w:val="003408F8"/>
    <w:rsid w:val="00340D27"/>
    <w:rsid w:val="00340D91"/>
    <w:rsid w:val="00341140"/>
    <w:rsid w:val="00341401"/>
    <w:rsid w:val="003418A9"/>
    <w:rsid w:val="00342432"/>
    <w:rsid w:val="0034295A"/>
    <w:rsid w:val="00342BB3"/>
    <w:rsid w:val="0034342B"/>
    <w:rsid w:val="00343469"/>
    <w:rsid w:val="0034377F"/>
    <w:rsid w:val="00343784"/>
    <w:rsid w:val="00343CE7"/>
    <w:rsid w:val="00344237"/>
    <w:rsid w:val="00344A70"/>
    <w:rsid w:val="0034501F"/>
    <w:rsid w:val="00345413"/>
    <w:rsid w:val="00345A50"/>
    <w:rsid w:val="00345DC9"/>
    <w:rsid w:val="00345DDC"/>
    <w:rsid w:val="00346050"/>
    <w:rsid w:val="003475AA"/>
    <w:rsid w:val="00347A94"/>
    <w:rsid w:val="00347E65"/>
    <w:rsid w:val="00350779"/>
    <w:rsid w:val="00351C00"/>
    <w:rsid w:val="00351D05"/>
    <w:rsid w:val="00351D82"/>
    <w:rsid w:val="00351F31"/>
    <w:rsid w:val="0035298D"/>
    <w:rsid w:val="00352C7A"/>
    <w:rsid w:val="00353772"/>
    <w:rsid w:val="00355002"/>
    <w:rsid w:val="0035535E"/>
    <w:rsid w:val="00362A2D"/>
    <w:rsid w:val="00363E6A"/>
    <w:rsid w:val="00365765"/>
    <w:rsid w:val="003657BF"/>
    <w:rsid w:val="003662BB"/>
    <w:rsid w:val="00366603"/>
    <w:rsid w:val="003666DF"/>
    <w:rsid w:val="00366DF9"/>
    <w:rsid w:val="00366EE0"/>
    <w:rsid w:val="00367999"/>
    <w:rsid w:val="00367B4F"/>
    <w:rsid w:val="00367CC5"/>
    <w:rsid w:val="0037004C"/>
    <w:rsid w:val="0037077B"/>
    <w:rsid w:val="00371189"/>
    <w:rsid w:val="0037125E"/>
    <w:rsid w:val="00371D86"/>
    <w:rsid w:val="00372BA6"/>
    <w:rsid w:val="00372BBD"/>
    <w:rsid w:val="0037351C"/>
    <w:rsid w:val="0037484A"/>
    <w:rsid w:val="00374E9E"/>
    <w:rsid w:val="00375001"/>
    <w:rsid w:val="00375581"/>
    <w:rsid w:val="003758C9"/>
    <w:rsid w:val="00375E69"/>
    <w:rsid w:val="00376386"/>
    <w:rsid w:val="00376782"/>
    <w:rsid w:val="00376FE5"/>
    <w:rsid w:val="00377FD5"/>
    <w:rsid w:val="0038050F"/>
    <w:rsid w:val="00380A33"/>
    <w:rsid w:val="00380B4F"/>
    <w:rsid w:val="00380DA9"/>
    <w:rsid w:val="00381632"/>
    <w:rsid w:val="00381831"/>
    <w:rsid w:val="00381F55"/>
    <w:rsid w:val="00382594"/>
    <w:rsid w:val="00382A3B"/>
    <w:rsid w:val="0038330B"/>
    <w:rsid w:val="00383B06"/>
    <w:rsid w:val="00383B73"/>
    <w:rsid w:val="00384ED2"/>
    <w:rsid w:val="003850EB"/>
    <w:rsid w:val="0038584F"/>
    <w:rsid w:val="00385B6E"/>
    <w:rsid w:val="00385C6E"/>
    <w:rsid w:val="00385D9B"/>
    <w:rsid w:val="003863FA"/>
    <w:rsid w:val="00386BBC"/>
    <w:rsid w:val="0038723B"/>
    <w:rsid w:val="00387B9F"/>
    <w:rsid w:val="00391188"/>
    <w:rsid w:val="00391F96"/>
    <w:rsid w:val="00392A2F"/>
    <w:rsid w:val="00392AAD"/>
    <w:rsid w:val="003930F3"/>
    <w:rsid w:val="0039347B"/>
    <w:rsid w:val="003934B3"/>
    <w:rsid w:val="00393843"/>
    <w:rsid w:val="00393A1C"/>
    <w:rsid w:val="00393B03"/>
    <w:rsid w:val="00393C3F"/>
    <w:rsid w:val="00393FC8"/>
    <w:rsid w:val="0039533A"/>
    <w:rsid w:val="00395E01"/>
    <w:rsid w:val="00396A9D"/>
    <w:rsid w:val="00396CDE"/>
    <w:rsid w:val="00396F6A"/>
    <w:rsid w:val="003975F2"/>
    <w:rsid w:val="00397B8D"/>
    <w:rsid w:val="003A185A"/>
    <w:rsid w:val="003A1A3B"/>
    <w:rsid w:val="003A1C6C"/>
    <w:rsid w:val="003A2567"/>
    <w:rsid w:val="003A479E"/>
    <w:rsid w:val="003A59F5"/>
    <w:rsid w:val="003A5D05"/>
    <w:rsid w:val="003A640D"/>
    <w:rsid w:val="003A64C2"/>
    <w:rsid w:val="003A7098"/>
    <w:rsid w:val="003A7E43"/>
    <w:rsid w:val="003A7F5D"/>
    <w:rsid w:val="003B0088"/>
    <w:rsid w:val="003B08DE"/>
    <w:rsid w:val="003B09E1"/>
    <w:rsid w:val="003B0A32"/>
    <w:rsid w:val="003B15E8"/>
    <w:rsid w:val="003B19EF"/>
    <w:rsid w:val="003B1D4E"/>
    <w:rsid w:val="003B205B"/>
    <w:rsid w:val="003B2249"/>
    <w:rsid w:val="003B2EA1"/>
    <w:rsid w:val="003B3AF1"/>
    <w:rsid w:val="003B4959"/>
    <w:rsid w:val="003B49B4"/>
    <w:rsid w:val="003B4C8D"/>
    <w:rsid w:val="003B4E54"/>
    <w:rsid w:val="003B56C9"/>
    <w:rsid w:val="003B5B24"/>
    <w:rsid w:val="003B64DB"/>
    <w:rsid w:val="003B6DC5"/>
    <w:rsid w:val="003B75B0"/>
    <w:rsid w:val="003B7987"/>
    <w:rsid w:val="003B7E8B"/>
    <w:rsid w:val="003C0040"/>
    <w:rsid w:val="003C1325"/>
    <w:rsid w:val="003C1BEA"/>
    <w:rsid w:val="003C1EB9"/>
    <w:rsid w:val="003C26EE"/>
    <w:rsid w:val="003C30D3"/>
    <w:rsid w:val="003C3738"/>
    <w:rsid w:val="003C3CAA"/>
    <w:rsid w:val="003C49B1"/>
    <w:rsid w:val="003C4D7E"/>
    <w:rsid w:val="003C506A"/>
    <w:rsid w:val="003C57EB"/>
    <w:rsid w:val="003C6444"/>
    <w:rsid w:val="003C6854"/>
    <w:rsid w:val="003C6AA8"/>
    <w:rsid w:val="003C6AC0"/>
    <w:rsid w:val="003C6EA0"/>
    <w:rsid w:val="003C713A"/>
    <w:rsid w:val="003C7764"/>
    <w:rsid w:val="003C7902"/>
    <w:rsid w:val="003C7AC4"/>
    <w:rsid w:val="003D082E"/>
    <w:rsid w:val="003D0C84"/>
    <w:rsid w:val="003D1BAB"/>
    <w:rsid w:val="003D244B"/>
    <w:rsid w:val="003D254E"/>
    <w:rsid w:val="003D2AE7"/>
    <w:rsid w:val="003D2EAA"/>
    <w:rsid w:val="003D3093"/>
    <w:rsid w:val="003D3351"/>
    <w:rsid w:val="003D3C81"/>
    <w:rsid w:val="003D447E"/>
    <w:rsid w:val="003D47A5"/>
    <w:rsid w:val="003D490E"/>
    <w:rsid w:val="003D4E24"/>
    <w:rsid w:val="003D51B1"/>
    <w:rsid w:val="003D542E"/>
    <w:rsid w:val="003D5804"/>
    <w:rsid w:val="003D5A32"/>
    <w:rsid w:val="003D63F7"/>
    <w:rsid w:val="003D6981"/>
    <w:rsid w:val="003D6ADA"/>
    <w:rsid w:val="003D73EA"/>
    <w:rsid w:val="003E087F"/>
    <w:rsid w:val="003E09B7"/>
    <w:rsid w:val="003E0D23"/>
    <w:rsid w:val="003E110E"/>
    <w:rsid w:val="003E1188"/>
    <w:rsid w:val="003E1A16"/>
    <w:rsid w:val="003E1E51"/>
    <w:rsid w:val="003E1E5F"/>
    <w:rsid w:val="003E369D"/>
    <w:rsid w:val="003E41BF"/>
    <w:rsid w:val="003E4BC3"/>
    <w:rsid w:val="003E50EE"/>
    <w:rsid w:val="003E51D7"/>
    <w:rsid w:val="003E5549"/>
    <w:rsid w:val="003E58C6"/>
    <w:rsid w:val="003E5B02"/>
    <w:rsid w:val="003E5C4C"/>
    <w:rsid w:val="003E6351"/>
    <w:rsid w:val="003E75C6"/>
    <w:rsid w:val="003E7800"/>
    <w:rsid w:val="003E7957"/>
    <w:rsid w:val="003F00A9"/>
    <w:rsid w:val="003F0783"/>
    <w:rsid w:val="003F20E5"/>
    <w:rsid w:val="003F263E"/>
    <w:rsid w:val="003F2836"/>
    <w:rsid w:val="003F29D7"/>
    <w:rsid w:val="003F2B91"/>
    <w:rsid w:val="003F2D38"/>
    <w:rsid w:val="003F31C7"/>
    <w:rsid w:val="003F45AE"/>
    <w:rsid w:val="003F4613"/>
    <w:rsid w:val="003F46C1"/>
    <w:rsid w:val="003F4C6C"/>
    <w:rsid w:val="003F4CCA"/>
    <w:rsid w:val="003F569C"/>
    <w:rsid w:val="003F5F76"/>
    <w:rsid w:val="003F61C7"/>
    <w:rsid w:val="003F6289"/>
    <w:rsid w:val="003F640F"/>
    <w:rsid w:val="003F6523"/>
    <w:rsid w:val="003F7571"/>
    <w:rsid w:val="00400028"/>
    <w:rsid w:val="0040076E"/>
    <w:rsid w:val="0040123C"/>
    <w:rsid w:val="0040151C"/>
    <w:rsid w:val="00402C79"/>
    <w:rsid w:val="00403437"/>
    <w:rsid w:val="00404460"/>
    <w:rsid w:val="00404856"/>
    <w:rsid w:val="00404A28"/>
    <w:rsid w:val="00405108"/>
    <w:rsid w:val="00405490"/>
    <w:rsid w:val="0040550B"/>
    <w:rsid w:val="00405890"/>
    <w:rsid w:val="00405AF2"/>
    <w:rsid w:val="00406138"/>
    <w:rsid w:val="00407495"/>
    <w:rsid w:val="00407707"/>
    <w:rsid w:val="00407FA2"/>
    <w:rsid w:val="004103E6"/>
    <w:rsid w:val="00410631"/>
    <w:rsid w:val="00410661"/>
    <w:rsid w:val="00411583"/>
    <w:rsid w:val="004119D2"/>
    <w:rsid w:val="00411A39"/>
    <w:rsid w:val="00411E6C"/>
    <w:rsid w:val="00412E5B"/>
    <w:rsid w:val="0041309F"/>
    <w:rsid w:val="00413370"/>
    <w:rsid w:val="004141BA"/>
    <w:rsid w:val="00414EAF"/>
    <w:rsid w:val="004156BA"/>
    <w:rsid w:val="0041608E"/>
    <w:rsid w:val="004162A4"/>
    <w:rsid w:val="00416521"/>
    <w:rsid w:val="004168B3"/>
    <w:rsid w:val="00416DF6"/>
    <w:rsid w:val="00417168"/>
    <w:rsid w:val="004171D5"/>
    <w:rsid w:val="00417258"/>
    <w:rsid w:val="0041783E"/>
    <w:rsid w:val="00417C6B"/>
    <w:rsid w:val="00417F48"/>
    <w:rsid w:val="004205E3"/>
    <w:rsid w:val="0042098E"/>
    <w:rsid w:val="0042154F"/>
    <w:rsid w:val="0042217F"/>
    <w:rsid w:val="00422339"/>
    <w:rsid w:val="00422915"/>
    <w:rsid w:val="00422E84"/>
    <w:rsid w:val="0042331F"/>
    <w:rsid w:val="00424458"/>
    <w:rsid w:val="004246FD"/>
    <w:rsid w:val="0042496A"/>
    <w:rsid w:val="00424B6A"/>
    <w:rsid w:val="00424C68"/>
    <w:rsid w:val="0042534C"/>
    <w:rsid w:val="00425360"/>
    <w:rsid w:val="00425A95"/>
    <w:rsid w:val="0042618F"/>
    <w:rsid w:val="0042683B"/>
    <w:rsid w:val="004269C8"/>
    <w:rsid w:val="0042736D"/>
    <w:rsid w:val="00427549"/>
    <w:rsid w:val="004303AE"/>
    <w:rsid w:val="00430E7D"/>
    <w:rsid w:val="004315F1"/>
    <w:rsid w:val="004317F1"/>
    <w:rsid w:val="004322A4"/>
    <w:rsid w:val="00432323"/>
    <w:rsid w:val="0043238A"/>
    <w:rsid w:val="00432E2F"/>
    <w:rsid w:val="00433018"/>
    <w:rsid w:val="00434012"/>
    <w:rsid w:val="00434658"/>
    <w:rsid w:val="00435CC3"/>
    <w:rsid w:val="00436634"/>
    <w:rsid w:val="004366A1"/>
    <w:rsid w:val="0043679A"/>
    <w:rsid w:val="00437176"/>
    <w:rsid w:val="00437B13"/>
    <w:rsid w:val="0044007C"/>
    <w:rsid w:val="00441648"/>
    <w:rsid w:val="00442565"/>
    <w:rsid w:val="0044319B"/>
    <w:rsid w:val="004437C3"/>
    <w:rsid w:val="00443B70"/>
    <w:rsid w:val="004447AC"/>
    <w:rsid w:val="00445053"/>
    <w:rsid w:val="00445767"/>
    <w:rsid w:val="0044609A"/>
    <w:rsid w:val="00446140"/>
    <w:rsid w:val="004464AE"/>
    <w:rsid w:val="0044678B"/>
    <w:rsid w:val="004473FE"/>
    <w:rsid w:val="00450325"/>
    <w:rsid w:val="00450633"/>
    <w:rsid w:val="00451D5F"/>
    <w:rsid w:val="00452196"/>
    <w:rsid w:val="00453443"/>
    <w:rsid w:val="004536A7"/>
    <w:rsid w:val="00453D87"/>
    <w:rsid w:val="00453FDF"/>
    <w:rsid w:val="004554C7"/>
    <w:rsid w:val="00455623"/>
    <w:rsid w:val="00455630"/>
    <w:rsid w:val="0045642A"/>
    <w:rsid w:val="00456590"/>
    <w:rsid w:val="00457265"/>
    <w:rsid w:val="00457728"/>
    <w:rsid w:val="00457EF6"/>
    <w:rsid w:val="00461495"/>
    <w:rsid w:val="004621FB"/>
    <w:rsid w:val="00462B3E"/>
    <w:rsid w:val="004635CB"/>
    <w:rsid w:val="004636F8"/>
    <w:rsid w:val="00464B47"/>
    <w:rsid w:val="00464BC2"/>
    <w:rsid w:val="00465291"/>
    <w:rsid w:val="00465558"/>
    <w:rsid w:val="004658B6"/>
    <w:rsid w:val="00466B4F"/>
    <w:rsid w:val="004671A6"/>
    <w:rsid w:val="004673A2"/>
    <w:rsid w:val="004675BB"/>
    <w:rsid w:val="004676FF"/>
    <w:rsid w:val="00467E20"/>
    <w:rsid w:val="0047024D"/>
    <w:rsid w:val="0047040D"/>
    <w:rsid w:val="00470DCA"/>
    <w:rsid w:val="004711D0"/>
    <w:rsid w:val="00471342"/>
    <w:rsid w:val="004719B8"/>
    <w:rsid w:val="00471D92"/>
    <w:rsid w:val="00472745"/>
    <w:rsid w:val="00472E2E"/>
    <w:rsid w:val="00473019"/>
    <w:rsid w:val="00473119"/>
    <w:rsid w:val="00473924"/>
    <w:rsid w:val="004745E5"/>
    <w:rsid w:val="00474807"/>
    <w:rsid w:val="0047480A"/>
    <w:rsid w:val="004756BA"/>
    <w:rsid w:val="00475A00"/>
    <w:rsid w:val="00475E04"/>
    <w:rsid w:val="00476326"/>
    <w:rsid w:val="00477044"/>
    <w:rsid w:val="00480DBE"/>
    <w:rsid w:val="00480EDD"/>
    <w:rsid w:val="00481F3D"/>
    <w:rsid w:val="0048290E"/>
    <w:rsid w:val="004836A7"/>
    <w:rsid w:val="00483C69"/>
    <w:rsid w:val="00483CED"/>
    <w:rsid w:val="00484278"/>
    <w:rsid w:val="00485815"/>
    <w:rsid w:val="00485921"/>
    <w:rsid w:val="00485948"/>
    <w:rsid w:val="0048621A"/>
    <w:rsid w:val="0048714A"/>
    <w:rsid w:val="00487344"/>
    <w:rsid w:val="004878A2"/>
    <w:rsid w:val="00490ED0"/>
    <w:rsid w:val="00490EE1"/>
    <w:rsid w:val="00492AD2"/>
    <w:rsid w:val="004930E4"/>
    <w:rsid w:val="00493386"/>
    <w:rsid w:val="004934BF"/>
    <w:rsid w:val="004938C9"/>
    <w:rsid w:val="00493EB5"/>
    <w:rsid w:val="00493F40"/>
    <w:rsid w:val="00495412"/>
    <w:rsid w:val="00495A1E"/>
    <w:rsid w:val="00495A4D"/>
    <w:rsid w:val="00495A81"/>
    <w:rsid w:val="00496AFB"/>
    <w:rsid w:val="004971C6"/>
    <w:rsid w:val="00497995"/>
    <w:rsid w:val="00497E4F"/>
    <w:rsid w:val="004A0172"/>
    <w:rsid w:val="004A0968"/>
    <w:rsid w:val="004A09F2"/>
    <w:rsid w:val="004A112D"/>
    <w:rsid w:val="004A2726"/>
    <w:rsid w:val="004A281F"/>
    <w:rsid w:val="004A2F62"/>
    <w:rsid w:val="004A3555"/>
    <w:rsid w:val="004A35C1"/>
    <w:rsid w:val="004A3A90"/>
    <w:rsid w:val="004A4479"/>
    <w:rsid w:val="004A45F2"/>
    <w:rsid w:val="004A4770"/>
    <w:rsid w:val="004A50D0"/>
    <w:rsid w:val="004A5181"/>
    <w:rsid w:val="004A54DB"/>
    <w:rsid w:val="004A555C"/>
    <w:rsid w:val="004A6018"/>
    <w:rsid w:val="004A6BAF"/>
    <w:rsid w:val="004A6CC7"/>
    <w:rsid w:val="004A6E1A"/>
    <w:rsid w:val="004A7479"/>
    <w:rsid w:val="004B0216"/>
    <w:rsid w:val="004B0863"/>
    <w:rsid w:val="004B0CD6"/>
    <w:rsid w:val="004B1453"/>
    <w:rsid w:val="004B1A87"/>
    <w:rsid w:val="004B22CC"/>
    <w:rsid w:val="004B2667"/>
    <w:rsid w:val="004B3601"/>
    <w:rsid w:val="004B3FB9"/>
    <w:rsid w:val="004B47C3"/>
    <w:rsid w:val="004B4FE8"/>
    <w:rsid w:val="004B5833"/>
    <w:rsid w:val="004B5947"/>
    <w:rsid w:val="004B5A9F"/>
    <w:rsid w:val="004B62BF"/>
    <w:rsid w:val="004B67B7"/>
    <w:rsid w:val="004B7137"/>
    <w:rsid w:val="004B72B9"/>
    <w:rsid w:val="004B7752"/>
    <w:rsid w:val="004B7DC8"/>
    <w:rsid w:val="004C0D4E"/>
    <w:rsid w:val="004C103E"/>
    <w:rsid w:val="004C1FEC"/>
    <w:rsid w:val="004C2FEF"/>
    <w:rsid w:val="004C308F"/>
    <w:rsid w:val="004C37B9"/>
    <w:rsid w:val="004C4217"/>
    <w:rsid w:val="004C4473"/>
    <w:rsid w:val="004C54E3"/>
    <w:rsid w:val="004C6723"/>
    <w:rsid w:val="004C6876"/>
    <w:rsid w:val="004C6CE1"/>
    <w:rsid w:val="004C6E35"/>
    <w:rsid w:val="004C78AF"/>
    <w:rsid w:val="004C7A8D"/>
    <w:rsid w:val="004C7C76"/>
    <w:rsid w:val="004D0A57"/>
    <w:rsid w:val="004D0B2F"/>
    <w:rsid w:val="004D0E74"/>
    <w:rsid w:val="004D1280"/>
    <w:rsid w:val="004D2207"/>
    <w:rsid w:val="004D287D"/>
    <w:rsid w:val="004D295A"/>
    <w:rsid w:val="004D3810"/>
    <w:rsid w:val="004D3887"/>
    <w:rsid w:val="004D3ACD"/>
    <w:rsid w:val="004D3DBD"/>
    <w:rsid w:val="004D3F72"/>
    <w:rsid w:val="004D483B"/>
    <w:rsid w:val="004D58A6"/>
    <w:rsid w:val="004D5D8D"/>
    <w:rsid w:val="004D61E3"/>
    <w:rsid w:val="004D6E04"/>
    <w:rsid w:val="004D7FC0"/>
    <w:rsid w:val="004E0273"/>
    <w:rsid w:val="004E06BD"/>
    <w:rsid w:val="004E0F92"/>
    <w:rsid w:val="004E14E3"/>
    <w:rsid w:val="004E1554"/>
    <w:rsid w:val="004E15D8"/>
    <w:rsid w:val="004E22AA"/>
    <w:rsid w:val="004E24A2"/>
    <w:rsid w:val="004E28B6"/>
    <w:rsid w:val="004E39DE"/>
    <w:rsid w:val="004E4588"/>
    <w:rsid w:val="004E4DA9"/>
    <w:rsid w:val="004E4F62"/>
    <w:rsid w:val="004E5018"/>
    <w:rsid w:val="004E5370"/>
    <w:rsid w:val="004E5D9C"/>
    <w:rsid w:val="004E62F7"/>
    <w:rsid w:val="004E689B"/>
    <w:rsid w:val="004E69A6"/>
    <w:rsid w:val="004E706D"/>
    <w:rsid w:val="004E71F4"/>
    <w:rsid w:val="004E7298"/>
    <w:rsid w:val="004E7B56"/>
    <w:rsid w:val="004F0002"/>
    <w:rsid w:val="004F0559"/>
    <w:rsid w:val="004F09CB"/>
    <w:rsid w:val="004F0DB6"/>
    <w:rsid w:val="004F2465"/>
    <w:rsid w:val="004F2600"/>
    <w:rsid w:val="004F46DB"/>
    <w:rsid w:val="004F5055"/>
    <w:rsid w:val="004F529A"/>
    <w:rsid w:val="004F717D"/>
    <w:rsid w:val="004F75EA"/>
    <w:rsid w:val="004F7E27"/>
    <w:rsid w:val="00500875"/>
    <w:rsid w:val="00500F55"/>
    <w:rsid w:val="0050112E"/>
    <w:rsid w:val="00501310"/>
    <w:rsid w:val="0050149C"/>
    <w:rsid w:val="005017D5"/>
    <w:rsid w:val="005025DA"/>
    <w:rsid w:val="00502A17"/>
    <w:rsid w:val="005031C9"/>
    <w:rsid w:val="0050334B"/>
    <w:rsid w:val="0050364F"/>
    <w:rsid w:val="00504039"/>
    <w:rsid w:val="005044A7"/>
    <w:rsid w:val="00505287"/>
    <w:rsid w:val="00505C2B"/>
    <w:rsid w:val="00505D77"/>
    <w:rsid w:val="005063AD"/>
    <w:rsid w:val="00506980"/>
    <w:rsid w:val="00506C0F"/>
    <w:rsid w:val="0050706C"/>
    <w:rsid w:val="00507393"/>
    <w:rsid w:val="005100B0"/>
    <w:rsid w:val="00510228"/>
    <w:rsid w:val="0051062B"/>
    <w:rsid w:val="00510C38"/>
    <w:rsid w:val="00511B82"/>
    <w:rsid w:val="00511C74"/>
    <w:rsid w:val="005122DB"/>
    <w:rsid w:val="005126B5"/>
    <w:rsid w:val="00512E38"/>
    <w:rsid w:val="00512F32"/>
    <w:rsid w:val="005130CE"/>
    <w:rsid w:val="00514CAB"/>
    <w:rsid w:val="00516157"/>
    <w:rsid w:val="00516472"/>
    <w:rsid w:val="00516A8B"/>
    <w:rsid w:val="00520081"/>
    <w:rsid w:val="005200A8"/>
    <w:rsid w:val="0052061B"/>
    <w:rsid w:val="00520D3C"/>
    <w:rsid w:val="005211CD"/>
    <w:rsid w:val="00521348"/>
    <w:rsid w:val="00521BCD"/>
    <w:rsid w:val="005220DA"/>
    <w:rsid w:val="0052289A"/>
    <w:rsid w:val="00523308"/>
    <w:rsid w:val="005234E9"/>
    <w:rsid w:val="005246C8"/>
    <w:rsid w:val="0052690F"/>
    <w:rsid w:val="00527F1C"/>
    <w:rsid w:val="0053047E"/>
    <w:rsid w:val="005326EE"/>
    <w:rsid w:val="00532B69"/>
    <w:rsid w:val="00532E92"/>
    <w:rsid w:val="00533237"/>
    <w:rsid w:val="005333B9"/>
    <w:rsid w:val="00533463"/>
    <w:rsid w:val="00534505"/>
    <w:rsid w:val="005356E7"/>
    <w:rsid w:val="00535716"/>
    <w:rsid w:val="005359D2"/>
    <w:rsid w:val="00535B4B"/>
    <w:rsid w:val="00536174"/>
    <w:rsid w:val="005366C2"/>
    <w:rsid w:val="00537FFD"/>
    <w:rsid w:val="00540D98"/>
    <w:rsid w:val="00541414"/>
    <w:rsid w:val="00541BC6"/>
    <w:rsid w:val="0054230D"/>
    <w:rsid w:val="00542CD8"/>
    <w:rsid w:val="0054300B"/>
    <w:rsid w:val="00543510"/>
    <w:rsid w:val="00543AB2"/>
    <w:rsid w:val="00543BF1"/>
    <w:rsid w:val="00544284"/>
    <w:rsid w:val="0054435B"/>
    <w:rsid w:val="0054436F"/>
    <w:rsid w:val="0054488A"/>
    <w:rsid w:val="00544FDA"/>
    <w:rsid w:val="00545B43"/>
    <w:rsid w:val="00545F36"/>
    <w:rsid w:val="00546B9D"/>
    <w:rsid w:val="00547C26"/>
    <w:rsid w:val="00550502"/>
    <w:rsid w:val="0055053A"/>
    <w:rsid w:val="00550BA5"/>
    <w:rsid w:val="00550D7C"/>
    <w:rsid w:val="005515FA"/>
    <w:rsid w:val="00552236"/>
    <w:rsid w:val="0055233F"/>
    <w:rsid w:val="00552555"/>
    <w:rsid w:val="005537A3"/>
    <w:rsid w:val="00554DDA"/>
    <w:rsid w:val="005550EE"/>
    <w:rsid w:val="00555104"/>
    <w:rsid w:val="00555B11"/>
    <w:rsid w:val="005561F5"/>
    <w:rsid w:val="005563E8"/>
    <w:rsid w:val="00556E0E"/>
    <w:rsid w:val="00556E56"/>
    <w:rsid w:val="005579D6"/>
    <w:rsid w:val="00557A00"/>
    <w:rsid w:val="00557BE1"/>
    <w:rsid w:val="0056058A"/>
    <w:rsid w:val="00560C62"/>
    <w:rsid w:val="00560EB7"/>
    <w:rsid w:val="005613DF"/>
    <w:rsid w:val="0056222E"/>
    <w:rsid w:val="0056269A"/>
    <w:rsid w:val="0056356D"/>
    <w:rsid w:val="00563676"/>
    <w:rsid w:val="00563AE8"/>
    <w:rsid w:val="005643A3"/>
    <w:rsid w:val="005643DE"/>
    <w:rsid w:val="00564429"/>
    <w:rsid w:val="0056479B"/>
    <w:rsid w:val="00564B6E"/>
    <w:rsid w:val="00564DE7"/>
    <w:rsid w:val="00564F4F"/>
    <w:rsid w:val="00564F8D"/>
    <w:rsid w:val="0056555A"/>
    <w:rsid w:val="0056659A"/>
    <w:rsid w:val="005666B8"/>
    <w:rsid w:val="0056685D"/>
    <w:rsid w:val="0056767C"/>
    <w:rsid w:val="00567CFA"/>
    <w:rsid w:val="00567FD9"/>
    <w:rsid w:val="00570594"/>
    <w:rsid w:val="005706FF"/>
    <w:rsid w:val="00570944"/>
    <w:rsid w:val="00570E76"/>
    <w:rsid w:val="0057182A"/>
    <w:rsid w:val="00571958"/>
    <w:rsid w:val="00571CB8"/>
    <w:rsid w:val="00572E15"/>
    <w:rsid w:val="00573759"/>
    <w:rsid w:val="00573805"/>
    <w:rsid w:val="0057409C"/>
    <w:rsid w:val="0057447F"/>
    <w:rsid w:val="00575B9C"/>
    <w:rsid w:val="00575C58"/>
    <w:rsid w:val="005776F4"/>
    <w:rsid w:val="00577BC1"/>
    <w:rsid w:val="00580E7A"/>
    <w:rsid w:val="00580F10"/>
    <w:rsid w:val="0058106F"/>
    <w:rsid w:val="00581201"/>
    <w:rsid w:val="00581218"/>
    <w:rsid w:val="005815FD"/>
    <w:rsid w:val="005818A4"/>
    <w:rsid w:val="00581B58"/>
    <w:rsid w:val="00581C71"/>
    <w:rsid w:val="00581E31"/>
    <w:rsid w:val="00582899"/>
    <w:rsid w:val="00582E41"/>
    <w:rsid w:val="00583303"/>
    <w:rsid w:val="0058357B"/>
    <w:rsid w:val="00584EF1"/>
    <w:rsid w:val="00585B15"/>
    <w:rsid w:val="00585B9D"/>
    <w:rsid w:val="00585C11"/>
    <w:rsid w:val="00585D77"/>
    <w:rsid w:val="0058689A"/>
    <w:rsid w:val="00586B5F"/>
    <w:rsid w:val="00586F51"/>
    <w:rsid w:val="00586FB2"/>
    <w:rsid w:val="0058737C"/>
    <w:rsid w:val="005874EC"/>
    <w:rsid w:val="005875B5"/>
    <w:rsid w:val="005875C0"/>
    <w:rsid w:val="00587989"/>
    <w:rsid w:val="00587C0E"/>
    <w:rsid w:val="00587C64"/>
    <w:rsid w:val="00587E44"/>
    <w:rsid w:val="0059021B"/>
    <w:rsid w:val="00591F51"/>
    <w:rsid w:val="0059265D"/>
    <w:rsid w:val="00592D16"/>
    <w:rsid w:val="00593CA9"/>
    <w:rsid w:val="00594701"/>
    <w:rsid w:val="00594B73"/>
    <w:rsid w:val="00594BBC"/>
    <w:rsid w:val="00595E2B"/>
    <w:rsid w:val="005960F1"/>
    <w:rsid w:val="00596BB5"/>
    <w:rsid w:val="00596D4A"/>
    <w:rsid w:val="0059713C"/>
    <w:rsid w:val="005972D5"/>
    <w:rsid w:val="00597378"/>
    <w:rsid w:val="005A08D2"/>
    <w:rsid w:val="005A0A41"/>
    <w:rsid w:val="005A1829"/>
    <w:rsid w:val="005A2ADE"/>
    <w:rsid w:val="005A2D3D"/>
    <w:rsid w:val="005A2F6E"/>
    <w:rsid w:val="005A34F4"/>
    <w:rsid w:val="005A366D"/>
    <w:rsid w:val="005A3BA9"/>
    <w:rsid w:val="005A4F2C"/>
    <w:rsid w:val="005A5723"/>
    <w:rsid w:val="005A5D3C"/>
    <w:rsid w:val="005A5E25"/>
    <w:rsid w:val="005A6B10"/>
    <w:rsid w:val="005A7040"/>
    <w:rsid w:val="005B06B8"/>
    <w:rsid w:val="005B0B6B"/>
    <w:rsid w:val="005B0E00"/>
    <w:rsid w:val="005B0F01"/>
    <w:rsid w:val="005B1AE2"/>
    <w:rsid w:val="005B1CAC"/>
    <w:rsid w:val="005B1D96"/>
    <w:rsid w:val="005B2494"/>
    <w:rsid w:val="005B2D4B"/>
    <w:rsid w:val="005B2D74"/>
    <w:rsid w:val="005B3F78"/>
    <w:rsid w:val="005B42A6"/>
    <w:rsid w:val="005B47E5"/>
    <w:rsid w:val="005B4DFB"/>
    <w:rsid w:val="005B4E35"/>
    <w:rsid w:val="005B5C0C"/>
    <w:rsid w:val="005B5CAC"/>
    <w:rsid w:val="005B6760"/>
    <w:rsid w:val="005B678B"/>
    <w:rsid w:val="005B68A6"/>
    <w:rsid w:val="005B6EDC"/>
    <w:rsid w:val="005B7F54"/>
    <w:rsid w:val="005C00E2"/>
    <w:rsid w:val="005C06DC"/>
    <w:rsid w:val="005C0C74"/>
    <w:rsid w:val="005C15DE"/>
    <w:rsid w:val="005C16E2"/>
    <w:rsid w:val="005C1A2A"/>
    <w:rsid w:val="005C2287"/>
    <w:rsid w:val="005C23B3"/>
    <w:rsid w:val="005C2991"/>
    <w:rsid w:val="005C346A"/>
    <w:rsid w:val="005C381E"/>
    <w:rsid w:val="005C3C28"/>
    <w:rsid w:val="005C4076"/>
    <w:rsid w:val="005C4405"/>
    <w:rsid w:val="005C4CE1"/>
    <w:rsid w:val="005C536F"/>
    <w:rsid w:val="005C5455"/>
    <w:rsid w:val="005C59D6"/>
    <w:rsid w:val="005C5CC0"/>
    <w:rsid w:val="005C68F4"/>
    <w:rsid w:val="005C71DB"/>
    <w:rsid w:val="005C7E1E"/>
    <w:rsid w:val="005D067F"/>
    <w:rsid w:val="005D0C30"/>
    <w:rsid w:val="005D0EBE"/>
    <w:rsid w:val="005D17DC"/>
    <w:rsid w:val="005D18F2"/>
    <w:rsid w:val="005D2115"/>
    <w:rsid w:val="005D3BC8"/>
    <w:rsid w:val="005D3F0F"/>
    <w:rsid w:val="005D41FC"/>
    <w:rsid w:val="005D4714"/>
    <w:rsid w:val="005D5F0A"/>
    <w:rsid w:val="005D5F88"/>
    <w:rsid w:val="005D606E"/>
    <w:rsid w:val="005D6189"/>
    <w:rsid w:val="005D69B2"/>
    <w:rsid w:val="005D6A40"/>
    <w:rsid w:val="005D6CF3"/>
    <w:rsid w:val="005D709D"/>
    <w:rsid w:val="005E03B0"/>
    <w:rsid w:val="005E043C"/>
    <w:rsid w:val="005E0BBF"/>
    <w:rsid w:val="005E0F2E"/>
    <w:rsid w:val="005E126A"/>
    <w:rsid w:val="005E1A7F"/>
    <w:rsid w:val="005E1F00"/>
    <w:rsid w:val="005E33B1"/>
    <w:rsid w:val="005E395D"/>
    <w:rsid w:val="005E3990"/>
    <w:rsid w:val="005E3B75"/>
    <w:rsid w:val="005E44CB"/>
    <w:rsid w:val="005E4C2F"/>
    <w:rsid w:val="005E4C43"/>
    <w:rsid w:val="005E57EE"/>
    <w:rsid w:val="005E5D02"/>
    <w:rsid w:val="005E6158"/>
    <w:rsid w:val="005E7AF1"/>
    <w:rsid w:val="005F079A"/>
    <w:rsid w:val="005F0886"/>
    <w:rsid w:val="005F09C7"/>
    <w:rsid w:val="005F1F5E"/>
    <w:rsid w:val="005F2936"/>
    <w:rsid w:val="005F2C1B"/>
    <w:rsid w:val="005F2FAA"/>
    <w:rsid w:val="005F3596"/>
    <w:rsid w:val="005F35DE"/>
    <w:rsid w:val="005F3F23"/>
    <w:rsid w:val="005F4B79"/>
    <w:rsid w:val="005F4CE8"/>
    <w:rsid w:val="005F4EF4"/>
    <w:rsid w:val="005F5091"/>
    <w:rsid w:val="005F5174"/>
    <w:rsid w:val="005F621A"/>
    <w:rsid w:val="005F70BF"/>
    <w:rsid w:val="005F75B7"/>
    <w:rsid w:val="005F79CA"/>
    <w:rsid w:val="0060027D"/>
    <w:rsid w:val="00600506"/>
    <w:rsid w:val="0060095D"/>
    <w:rsid w:val="006019B4"/>
    <w:rsid w:val="00601BDE"/>
    <w:rsid w:val="00601D7C"/>
    <w:rsid w:val="006030B9"/>
    <w:rsid w:val="00604273"/>
    <w:rsid w:val="00605638"/>
    <w:rsid w:val="00605B3E"/>
    <w:rsid w:val="00606504"/>
    <w:rsid w:val="00606A72"/>
    <w:rsid w:val="00606F6C"/>
    <w:rsid w:val="006070D0"/>
    <w:rsid w:val="006074E1"/>
    <w:rsid w:val="00607CA4"/>
    <w:rsid w:val="00607E95"/>
    <w:rsid w:val="00610645"/>
    <w:rsid w:val="00611728"/>
    <w:rsid w:val="006117BF"/>
    <w:rsid w:val="00611D9F"/>
    <w:rsid w:val="00612706"/>
    <w:rsid w:val="00612B6A"/>
    <w:rsid w:val="00612B7E"/>
    <w:rsid w:val="00612C17"/>
    <w:rsid w:val="00612F09"/>
    <w:rsid w:val="0061396C"/>
    <w:rsid w:val="00613D40"/>
    <w:rsid w:val="006142E5"/>
    <w:rsid w:val="00614800"/>
    <w:rsid w:val="00616F1D"/>
    <w:rsid w:val="0061742A"/>
    <w:rsid w:val="006175F5"/>
    <w:rsid w:val="00617926"/>
    <w:rsid w:val="00617AF9"/>
    <w:rsid w:val="00617B25"/>
    <w:rsid w:val="00617E24"/>
    <w:rsid w:val="006207F5"/>
    <w:rsid w:val="006214EB"/>
    <w:rsid w:val="00621B49"/>
    <w:rsid w:val="00621C28"/>
    <w:rsid w:val="00622052"/>
    <w:rsid w:val="0062206D"/>
    <w:rsid w:val="006220A4"/>
    <w:rsid w:val="006226A1"/>
    <w:rsid w:val="00622E8B"/>
    <w:rsid w:val="00622FC6"/>
    <w:rsid w:val="006233B1"/>
    <w:rsid w:val="006244CA"/>
    <w:rsid w:val="006245BF"/>
    <w:rsid w:val="00624E02"/>
    <w:rsid w:val="00626114"/>
    <w:rsid w:val="00626BA9"/>
    <w:rsid w:val="00627999"/>
    <w:rsid w:val="00630453"/>
    <w:rsid w:val="00630F33"/>
    <w:rsid w:val="006316E4"/>
    <w:rsid w:val="00631743"/>
    <w:rsid w:val="00631CA7"/>
    <w:rsid w:val="00631F8A"/>
    <w:rsid w:val="006320DC"/>
    <w:rsid w:val="006322C8"/>
    <w:rsid w:val="00632637"/>
    <w:rsid w:val="006328F3"/>
    <w:rsid w:val="00632D4A"/>
    <w:rsid w:val="0063390B"/>
    <w:rsid w:val="006339C2"/>
    <w:rsid w:val="00633CA1"/>
    <w:rsid w:val="00634BD3"/>
    <w:rsid w:val="00634DA3"/>
    <w:rsid w:val="00635BF1"/>
    <w:rsid w:val="00635F23"/>
    <w:rsid w:val="006360BB"/>
    <w:rsid w:val="00636584"/>
    <w:rsid w:val="00636F4F"/>
    <w:rsid w:val="00636FFC"/>
    <w:rsid w:val="00637107"/>
    <w:rsid w:val="0063744D"/>
    <w:rsid w:val="006400CC"/>
    <w:rsid w:val="0064040B"/>
    <w:rsid w:val="006418A3"/>
    <w:rsid w:val="00642161"/>
    <w:rsid w:val="00642AE4"/>
    <w:rsid w:val="00642D0E"/>
    <w:rsid w:val="00642DE0"/>
    <w:rsid w:val="00643056"/>
    <w:rsid w:val="0064316E"/>
    <w:rsid w:val="00643302"/>
    <w:rsid w:val="00643E08"/>
    <w:rsid w:val="006444C8"/>
    <w:rsid w:val="00644C8B"/>
    <w:rsid w:val="00644E2C"/>
    <w:rsid w:val="006453E3"/>
    <w:rsid w:val="006455E8"/>
    <w:rsid w:val="00645612"/>
    <w:rsid w:val="006458F0"/>
    <w:rsid w:val="00645D25"/>
    <w:rsid w:val="006467A4"/>
    <w:rsid w:val="0065025F"/>
    <w:rsid w:val="00651B03"/>
    <w:rsid w:val="006520C1"/>
    <w:rsid w:val="0065366A"/>
    <w:rsid w:val="00653ADC"/>
    <w:rsid w:val="00653AFA"/>
    <w:rsid w:val="00653BB6"/>
    <w:rsid w:val="00653EBE"/>
    <w:rsid w:val="0065588D"/>
    <w:rsid w:val="0065614C"/>
    <w:rsid w:val="00656223"/>
    <w:rsid w:val="00656D58"/>
    <w:rsid w:val="00656D86"/>
    <w:rsid w:val="00656F3E"/>
    <w:rsid w:val="006577D6"/>
    <w:rsid w:val="00657844"/>
    <w:rsid w:val="00657CF5"/>
    <w:rsid w:val="00657DC1"/>
    <w:rsid w:val="0066229F"/>
    <w:rsid w:val="006622A4"/>
    <w:rsid w:val="00662767"/>
    <w:rsid w:val="006632CF"/>
    <w:rsid w:val="00665106"/>
    <w:rsid w:val="00665161"/>
    <w:rsid w:val="00665252"/>
    <w:rsid w:val="00665637"/>
    <w:rsid w:val="00665FBF"/>
    <w:rsid w:val="00666469"/>
    <w:rsid w:val="0066690C"/>
    <w:rsid w:val="00666965"/>
    <w:rsid w:val="00666F5D"/>
    <w:rsid w:val="006672BF"/>
    <w:rsid w:val="00667BF7"/>
    <w:rsid w:val="006700BA"/>
    <w:rsid w:val="00670844"/>
    <w:rsid w:val="0067197B"/>
    <w:rsid w:val="00671D3E"/>
    <w:rsid w:val="00671EEB"/>
    <w:rsid w:val="006733EA"/>
    <w:rsid w:val="00673D8C"/>
    <w:rsid w:val="00674180"/>
    <w:rsid w:val="00674315"/>
    <w:rsid w:val="00674DDD"/>
    <w:rsid w:val="006753AD"/>
    <w:rsid w:val="00675B45"/>
    <w:rsid w:val="006770DB"/>
    <w:rsid w:val="006771FE"/>
    <w:rsid w:val="00677DBB"/>
    <w:rsid w:val="00680DD7"/>
    <w:rsid w:val="00681049"/>
    <w:rsid w:val="00681B88"/>
    <w:rsid w:val="00681BDC"/>
    <w:rsid w:val="00681DBA"/>
    <w:rsid w:val="00682B30"/>
    <w:rsid w:val="00682E08"/>
    <w:rsid w:val="0068318E"/>
    <w:rsid w:val="006845DF"/>
    <w:rsid w:val="00684C51"/>
    <w:rsid w:val="00684EB2"/>
    <w:rsid w:val="0068506D"/>
    <w:rsid w:val="00685C88"/>
    <w:rsid w:val="00686630"/>
    <w:rsid w:val="00686996"/>
    <w:rsid w:val="006869BB"/>
    <w:rsid w:val="006870CD"/>
    <w:rsid w:val="00687D01"/>
    <w:rsid w:val="00690849"/>
    <w:rsid w:val="00690A71"/>
    <w:rsid w:val="00691706"/>
    <w:rsid w:val="00691F7E"/>
    <w:rsid w:val="00693B9E"/>
    <w:rsid w:val="00693DDD"/>
    <w:rsid w:val="00694DFB"/>
    <w:rsid w:val="00694FA7"/>
    <w:rsid w:val="00695330"/>
    <w:rsid w:val="006953C8"/>
    <w:rsid w:val="00695671"/>
    <w:rsid w:val="0069618F"/>
    <w:rsid w:val="00696E1A"/>
    <w:rsid w:val="00696F6B"/>
    <w:rsid w:val="006973C8"/>
    <w:rsid w:val="006975FC"/>
    <w:rsid w:val="006A0A04"/>
    <w:rsid w:val="006A1625"/>
    <w:rsid w:val="006A17B5"/>
    <w:rsid w:val="006A17D5"/>
    <w:rsid w:val="006A1FFF"/>
    <w:rsid w:val="006A2774"/>
    <w:rsid w:val="006A2AA8"/>
    <w:rsid w:val="006A3219"/>
    <w:rsid w:val="006A35B6"/>
    <w:rsid w:val="006A44E6"/>
    <w:rsid w:val="006A4A27"/>
    <w:rsid w:val="006A4CD2"/>
    <w:rsid w:val="006A5CB8"/>
    <w:rsid w:val="006A6554"/>
    <w:rsid w:val="006A6768"/>
    <w:rsid w:val="006A687A"/>
    <w:rsid w:val="006B04C7"/>
    <w:rsid w:val="006B08DE"/>
    <w:rsid w:val="006B1087"/>
    <w:rsid w:val="006B10F2"/>
    <w:rsid w:val="006B1827"/>
    <w:rsid w:val="006B19C0"/>
    <w:rsid w:val="006B260F"/>
    <w:rsid w:val="006B292A"/>
    <w:rsid w:val="006B3A8A"/>
    <w:rsid w:val="006B3B27"/>
    <w:rsid w:val="006B3F71"/>
    <w:rsid w:val="006B616E"/>
    <w:rsid w:val="006B6A4F"/>
    <w:rsid w:val="006B7754"/>
    <w:rsid w:val="006B77C3"/>
    <w:rsid w:val="006C098C"/>
    <w:rsid w:val="006C0CD3"/>
    <w:rsid w:val="006C0DAD"/>
    <w:rsid w:val="006C0EF1"/>
    <w:rsid w:val="006C1612"/>
    <w:rsid w:val="006C1690"/>
    <w:rsid w:val="006C1728"/>
    <w:rsid w:val="006C1763"/>
    <w:rsid w:val="006C1B7A"/>
    <w:rsid w:val="006C3516"/>
    <w:rsid w:val="006C4086"/>
    <w:rsid w:val="006C4559"/>
    <w:rsid w:val="006C4800"/>
    <w:rsid w:val="006C4812"/>
    <w:rsid w:val="006C618C"/>
    <w:rsid w:val="006C6D47"/>
    <w:rsid w:val="006D09E6"/>
    <w:rsid w:val="006D1534"/>
    <w:rsid w:val="006D1DB2"/>
    <w:rsid w:val="006D200E"/>
    <w:rsid w:val="006D2167"/>
    <w:rsid w:val="006D249B"/>
    <w:rsid w:val="006D29E9"/>
    <w:rsid w:val="006D37D1"/>
    <w:rsid w:val="006D4AF3"/>
    <w:rsid w:val="006D521C"/>
    <w:rsid w:val="006D5734"/>
    <w:rsid w:val="006D5EF6"/>
    <w:rsid w:val="006D66E4"/>
    <w:rsid w:val="006D673F"/>
    <w:rsid w:val="006D6AB1"/>
    <w:rsid w:val="006D6F28"/>
    <w:rsid w:val="006D6F98"/>
    <w:rsid w:val="006D70AD"/>
    <w:rsid w:val="006D7114"/>
    <w:rsid w:val="006D77CA"/>
    <w:rsid w:val="006E02B5"/>
    <w:rsid w:val="006E08A1"/>
    <w:rsid w:val="006E0CDD"/>
    <w:rsid w:val="006E1495"/>
    <w:rsid w:val="006E15E7"/>
    <w:rsid w:val="006E16A4"/>
    <w:rsid w:val="006E1F67"/>
    <w:rsid w:val="006E24A7"/>
    <w:rsid w:val="006E258C"/>
    <w:rsid w:val="006E2CC8"/>
    <w:rsid w:val="006E3F8A"/>
    <w:rsid w:val="006E451E"/>
    <w:rsid w:val="006E45A1"/>
    <w:rsid w:val="006E490A"/>
    <w:rsid w:val="006E5C1D"/>
    <w:rsid w:val="006E64F2"/>
    <w:rsid w:val="006E6B96"/>
    <w:rsid w:val="006E6CB7"/>
    <w:rsid w:val="006E786B"/>
    <w:rsid w:val="006E7DF6"/>
    <w:rsid w:val="006F053F"/>
    <w:rsid w:val="006F06EB"/>
    <w:rsid w:val="006F1695"/>
    <w:rsid w:val="006F1792"/>
    <w:rsid w:val="006F1932"/>
    <w:rsid w:val="006F2512"/>
    <w:rsid w:val="006F32DF"/>
    <w:rsid w:val="006F38AB"/>
    <w:rsid w:val="006F47D7"/>
    <w:rsid w:val="006F47E9"/>
    <w:rsid w:val="006F5A0B"/>
    <w:rsid w:val="006F5D93"/>
    <w:rsid w:val="006F5F02"/>
    <w:rsid w:val="006F68A5"/>
    <w:rsid w:val="006F69ED"/>
    <w:rsid w:val="006F725E"/>
    <w:rsid w:val="006F76FE"/>
    <w:rsid w:val="006F78A3"/>
    <w:rsid w:val="006F7B35"/>
    <w:rsid w:val="006F7FBD"/>
    <w:rsid w:val="00700B05"/>
    <w:rsid w:val="00700FDF"/>
    <w:rsid w:val="00701A20"/>
    <w:rsid w:val="0070204A"/>
    <w:rsid w:val="00702561"/>
    <w:rsid w:val="00702970"/>
    <w:rsid w:val="00702DA0"/>
    <w:rsid w:val="00702E4C"/>
    <w:rsid w:val="0070336C"/>
    <w:rsid w:val="00703514"/>
    <w:rsid w:val="00703B61"/>
    <w:rsid w:val="00703CCA"/>
    <w:rsid w:val="00704805"/>
    <w:rsid w:val="007057EE"/>
    <w:rsid w:val="00705986"/>
    <w:rsid w:val="00705E26"/>
    <w:rsid w:val="007063AB"/>
    <w:rsid w:val="0070685A"/>
    <w:rsid w:val="00706E14"/>
    <w:rsid w:val="007071E7"/>
    <w:rsid w:val="00707334"/>
    <w:rsid w:val="0070742F"/>
    <w:rsid w:val="0070765B"/>
    <w:rsid w:val="0070774F"/>
    <w:rsid w:val="0071056D"/>
    <w:rsid w:val="00710739"/>
    <w:rsid w:val="00710A43"/>
    <w:rsid w:val="00711F80"/>
    <w:rsid w:val="00711FD1"/>
    <w:rsid w:val="007131B9"/>
    <w:rsid w:val="00713B2B"/>
    <w:rsid w:val="00714521"/>
    <w:rsid w:val="00714B13"/>
    <w:rsid w:val="00714B38"/>
    <w:rsid w:val="00714BF5"/>
    <w:rsid w:val="007150DB"/>
    <w:rsid w:val="0071570E"/>
    <w:rsid w:val="007157C2"/>
    <w:rsid w:val="00715C21"/>
    <w:rsid w:val="0071607E"/>
    <w:rsid w:val="00716225"/>
    <w:rsid w:val="007164B8"/>
    <w:rsid w:val="00717026"/>
    <w:rsid w:val="0072040E"/>
    <w:rsid w:val="0072054B"/>
    <w:rsid w:val="007208E6"/>
    <w:rsid w:val="00720AC7"/>
    <w:rsid w:val="00721154"/>
    <w:rsid w:val="00721325"/>
    <w:rsid w:val="00722032"/>
    <w:rsid w:val="00722F45"/>
    <w:rsid w:val="007234DD"/>
    <w:rsid w:val="0072433A"/>
    <w:rsid w:val="0072447F"/>
    <w:rsid w:val="007245F0"/>
    <w:rsid w:val="00724864"/>
    <w:rsid w:val="007258AD"/>
    <w:rsid w:val="00725A4B"/>
    <w:rsid w:val="00726AF5"/>
    <w:rsid w:val="00726B6F"/>
    <w:rsid w:val="00730908"/>
    <w:rsid w:val="00731700"/>
    <w:rsid w:val="007318CD"/>
    <w:rsid w:val="00732201"/>
    <w:rsid w:val="007322C9"/>
    <w:rsid w:val="00732BDB"/>
    <w:rsid w:val="0073322F"/>
    <w:rsid w:val="00733317"/>
    <w:rsid w:val="0073335D"/>
    <w:rsid w:val="00733402"/>
    <w:rsid w:val="00733868"/>
    <w:rsid w:val="00733874"/>
    <w:rsid w:val="00733D2E"/>
    <w:rsid w:val="00733E88"/>
    <w:rsid w:val="00734196"/>
    <w:rsid w:val="00735205"/>
    <w:rsid w:val="00735B8F"/>
    <w:rsid w:val="00735F8F"/>
    <w:rsid w:val="007375C0"/>
    <w:rsid w:val="00737AD0"/>
    <w:rsid w:val="00737AF6"/>
    <w:rsid w:val="0074005A"/>
    <w:rsid w:val="007404A4"/>
    <w:rsid w:val="00740637"/>
    <w:rsid w:val="00740799"/>
    <w:rsid w:val="0074099E"/>
    <w:rsid w:val="00741747"/>
    <w:rsid w:val="00741CE8"/>
    <w:rsid w:val="007422F8"/>
    <w:rsid w:val="0074231F"/>
    <w:rsid w:val="00743475"/>
    <w:rsid w:val="007436D9"/>
    <w:rsid w:val="00743D97"/>
    <w:rsid w:val="0074435A"/>
    <w:rsid w:val="00744A7D"/>
    <w:rsid w:val="00745346"/>
    <w:rsid w:val="007467BF"/>
    <w:rsid w:val="00746A9E"/>
    <w:rsid w:val="00746E53"/>
    <w:rsid w:val="00747992"/>
    <w:rsid w:val="00747B17"/>
    <w:rsid w:val="00747E7D"/>
    <w:rsid w:val="0075072C"/>
    <w:rsid w:val="00750C11"/>
    <w:rsid w:val="00750E1F"/>
    <w:rsid w:val="007515D5"/>
    <w:rsid w:val="0075182C"/>
    <w:rsid w:val="00752080"/>
    <w:rsid w:val="00752417"/>
    <w:rsid w:val="007526FF"/>
    <w:rsid w:val="0075282D"/>
    <w:rsid w:val="00752C57"/>
    <w:rsid w:val="00752E7A"/>
    <w:rsid w:val="00752EE0"/>
    <w:rsid w:val="007533A6"/>
    <w:rsid w:val="0075377B"/>
    <w:rsid w:val="0075464C"/>
    <w:rsid w:val="00754E55"/>
    <w:rsid w:val="007557C1"/>
    <w:rsid w:val="0075612B"/>
    <w:rsid w:val="00756171"/>
    <w:rsid w:val="00757546"/>
    <w:rsid w:val="0075796A"/>
    <w:rsid w:val="00757F17"/>
    <w:rsid w:val="007609E0"/>
    <w:rsid w:val="00761409"/>
    <w:rsid w:val="007616F0"/>
    <w:rsid w:val="00761826"/>
    <w:rsid w:val="007621B3"/>
    <w:rsid w:val="007628F9"/>
    <w:rsid w:val="00763580"/>
    <w:rsid w:val="007635FC"/>
    <w:rsid w:val="007638B1"/>
    <w:rsid w:val="00764075"/>
    <w:rsid w:val="007642E1"/>
    <w:rsid w:val="007648DE"/>
    <w:rsid w:val="007650F9"/>
    <w:rsid w:val="0076531C"/>
    <w:rsid w:val="007659A8"/>
    <w:rsid w:val="007666E2"/>
    <w:rsid w:val="00767105"/>
    <w:rsid w:val="00767737"/>
    <w:rsid w:val="007700D5"/>
    <w:rsid w:val="00770618"/>
    <w:rsid w:val="00771CC1"/>
    <w:rsid w:val="007720D3"/>
    <w:rsid w:val="00772224"/>
    <w:rsid w:val="00772B35"/>
    <w:rsid w:val="00772CC8"/>
    <w:rsid w:val="00773631"/>
    <w:rsid w:val="0077382D"/>
    <w:rsid w:val="00773E5F"/>
    <w:rsid w:val="00773F00"/>
    <w:rsid w:val="007745BB"/>
    <w:rsid w:val="007751A4"/>
    <w:rsid w:val="00775706"/>
    <w:rsid w:val="00775E84"/>
    <w:rsid w:val="0077662E"/>
    <w:rsid w:val="007766C7"/>
    <w:rsid w:val="00776B3C"/>
    <w:rsid w:val="00777D2F"/>
    <w:rsid w:val="00777EEE"/>
    <w:rsid w:val="00777F81"/>
    <w:rsid w:val="00780A31"/>
    <w:rsid w:val="00780E8E"/>
    <w:rsid w:val="00781DF5"/>
    <w:rsid w:val="007822F3"/>
    <w:rsid w:val="007824C0"/>
    <w:rsid w:val="007826EF"/>
    <w:rsid w:val="0078375F"/>
    <w:rsid w:val="00783794"/>
    <w:rsid w:val="00784456"/>
    <w:rsid w:val="00784662"/>
    <w:rsid w:val="00784E1B"/>
    <w:rsid w:val="00785150"/>
    <w:rsid w:val="007851E6"/>
    <w:rsid w:val="007851F9"/>
    <w:rsid w:val="00785C86"/>
    <w:rsid w:val="00785F8E"/>
    <w:rsid w:val="007864A5"/>
    <w:rsid w:val="007867B2"/>
    <w:rsid w:val="00786AE4"/>
    <w:rsid w:val="0078757E"/>
    <w:rsid w:val="00787DB9"/>
    <w:rsid w:val="00790D38"/>
    <w:rsid w:val="007917BD"/>
    <w:rsid w:val="00791BA5"/>
    <w:rsid w:val="00791D12"/>
    <w:rsid w:val="00793AA4"/>
    <w:rsid w:val="00793CA1"/>
    <w:rsid w:val="00793F3E"/>
    <w:rsid w:val="007941D1"/>
    <w:rsid w:val="00794444"/>
    <w:rsid w:val="00794467"/>
    <w:rsid w:val="00794AB7"/>
    <w:rsid w:val="00794F59"/>
    <w:rsid w:val="007958E0"/>
    <w:rsid w:val="007959D3"/>
    <w:rsid w:val="007967A8"/>
    <w:rsid w:val="00797BC6"/>
    <w:rsid w:val="00797DBF"/>
    <w:rsid w:val="007A0592"/>
    <w:rsid w:val="007A1ACE"/>
    <w:rsid w:val="007A2E7F"/>
    <w:rsid w:val="007A2F8D"/>
    <w:rsid w:val="007A3F31"/>
    <w:rsid w:val="007A57B9"/>
    <w:rsid w:val="007A58A0"/>
    <w:rsid w:val="007A6186"/>
    <w:rsid w:val="007A6706"/>
    <w:rsid w:val="007A6EE4"/>
    <w:rsid w:val="007A795C"/>
    <w:rsid w:val="007B048A"/>
    <w:rsid w:val="007B1261"/>
    <w:rsid w:val="007B17AB"/>
    <w:rsid w:val="007B1A10"/>
    <w:rsid w:val="007B1BD6"/>
    <w:rsid w:val="007B2878"/>
    <w:rsid w:val="007B3F62"/>
    <w:rsid w:val="007B429A"/>
    <w:rsid w:val="007B4742"/>
    <w:rsid w:val="007B5068"/>
    <w:rsid w:val="007B5394"/>
    <w:rsid w:val="007B5C0D"/>
    <w:rsid w:val="007B66A8"/>
    <w:rsid w:val="007B6879"/>
    <w:rsid w:val="007B6A83"/>
    <w:rsid w:val="007B7927"/>
    <w:rsid w:val="007B7B58"/>
    <w:rsid w:val="007B7D94"/>
    <w:rsid w:val="007C0A4E"/>
    <w:rsid w:val="007C0A74"/>
    <w:rsid w:val="007C0AA2"/>
    <w:rsid w:val="007C1074"/>
    <w:rsid w:val="007C1596"/>
    <w:rsid w:val="007C1B6A"/>
    <w:rsid w:val="007C1BD3"/>
    <w:rsid w:val="007C1C8F"/>
    <w:rsid w:val="007C1F69"/>
    <w:rsid w:val="007C25DE"/>
    <w:rsid w:val="007C2DA0"/>
    <w:rsid w:val="007C538C"/>
    <w:rsid w:val="007C5C68"/>
    <w:rsid w:val="007C5D78"/>
    <w:rsid w:val="007C65BA"/>
    <w:rsid w:val="007C67D5"/>
    <w:rsid w:val="007C773D"/>
    <w:rsid w:val="007C7C9C"/>
    <w:rsid w:val="007D1F2A"/>
    <w:rsid w:val="007D21F6"/>
    <w:rsid w:val="007D22BB"/>
    <w:rsid w:val="007D2532"/>
    <w:rsid w:val="007D2CBA"/>
    <w:rsid w:val="007D2EBA"/>
    <w:rsid w:val="007D3B47"/>
    <w:rsid w:val="007D3C9E"/>
    <w:rsid w:val="007D412E"/>
    <w:rsid w:val="007D430A"/>
    <w:rsid w:val="007D451D"/>
    <w:rsid w:val="007D4DAF"/>
    <w:rsid w:val="007D54BF"/>
    <w:rsid w:val="007D5A02"/>
    <w:rsid w:val="007D5B9D"/>
    <w:rsid w:val="007D5E5A"/>
    <w:rsid w:val="007D6841"/>
    <w:rsid w:val="007D692B"/>
    <w:rsid w:val="007D6DE9"/>
    <w:rsid w:val="007D7034"/>
    <w:rsid w:val="007D7921"/>
    <w:rsid w:val="007E06B3"/>
    <w:rsid w:val="007E0CCD"/>
    <w:rsid w:val="007E0FE0"/>
    <w:rsid w:val="007E10A4"/>
    <w:rsid w:val="007E10D5"/>
    <w:rsid w:val="007E17CD"/>
    <w:rsid w:val="007E30D2"/>
    <w:rsid w:val="007E46C3"/>
    <w:rsid w:val="007E4795"/>
    <w:rsid w:val="007E4C5B"/>
    <w:rsid w:val="007E4CCB"/>
    <w:rsid w:val="007E5363"/>
    <w:rsid w:val="007E56DF"/>
    <w:rsid w:val="007E5CB1"/>
    <w:rsid w:val="007E5FB4"/>
    <w:rsid w:val="007E61B4"/>
    <w:rsid w:val="007E6416"/>
    <w:rsid w:val="007E66C3"/>
    <w:rsid w:val="007E6ABF"/>
    <w:rsid w:val="007E6AEE"/>
    <w:rsid w:val="007E72DF"/>
    <w:rsid w:val="007E7B69"/>
    <w:rsid w:val="007E7D9E"/>
    <w:rsid w:val="007F1004"/>
    <w:rsid w:val="007F10B4"/>
    <w:rsid w:val="007F26E0"/>
    <w:rsid w:val="007F396A"/>
    <w:rsid w:val="007F3A04"/>
    <w:rsid w:val="007F3D40"/>
    <w:rsid w:val="007F5D33"/>
    <w:rsid w:val="007F5DAC"/>
    <w:rsid w:val="007F64E8"/>
    <w:rsid w:val="007F68BE"/>
    <w:rsid w:val="007F6EF9"/>
    <w:rsid w:val="007F6FFF"/>
    <w:rsid w:val="00800771"/>
    <w:rsid w:val="00800E63"/>
    <w:rsid w:val="00800EC0"/>
    <w:rsid w:val="0080130D"/>
    <w:rsid w:val="00801F12"/>
    <w:rsid w:val="00802070"/>
    <w:rsid w:val="00802ECE"/>
    <w:rsid w:val="008035DD"/>
    <w:rsid w:val="00803A5B"/>
    <w:rsid w:val="00805982"/>
    <w:rsid w:val="008059ED"/>
    <w:rsid w:val="0080645A"/>
    <w:rsid w:val="0080672B"/>
    <w:rsid w:val="00806E17"/>
    <w:rsid w:val="00807849"/>
    <w:rsid w:val="00810771"/>
    <w:rsid w:val="0081107B"/>
    <w:rsid w:val="0081112D"/>
    <w:rsid w:val="008115E1"/>
    <w:rsid w:val="00812A1B"/>
    <w:rsid w:val="00813006"/>
    <w:rsid w:val="00813303"/>
    <w:rsid w:val="00813CC8"/>
    <w:rsid w:val="00814DA6"/>
    <w:rsid w:val="0081527C"/>
    <w:rsid w:val="00815513"/>
    <w:rsid w:val="008159B1"/>
    <w:rsid w:val="00816401"/>
    <w:rsid w:val="008179D4"/>
    <w:rsid w:val="008202C3"/>
    <w:rsid w:val="0082092B"/>
    <w:rsid w:val="008219FF"/>
    <w:rsid w:val="00822353"/>
    <w:rsid w:val="00822C48"/>
    <w:rsid w:val="00823707"/>
    <w:rsid w:val="00824BDA"/>
    <w:rsid w:val="00824F4C"/>
    <w:rsid w:val="00824F4D"/>
    <w:rsid w:val="00824F8C"/>
    <w:rsid w:val="00826AE1"/>
    <w:rsid w:val="0082745F"/>
    <w:rsid w:val="00827BA4"/>
    <w:rsid w:val="00831661"/>
    <w:rsid w:val="00831A9D"/>
    <w:rsid w:val="008320E8"/>
    <w:rsid w:val="008322CB"/>
    <w:rsid w:val="00832727"/>
    <w:rsid w:val="00832A98"/>
    <w:rsid w:val="00832BB9"/>
    <w:rsid w:val="00832C13"/>
    <w:rsid w:val="00832DB1"/>
    <w:rsid w:val="00832F56"/>
    <w:rsid w:val="00832FBB"/>
    <w:rsid w:val="008337E8"/>
    <w:rsid w:val="008342B9"/>
    <w:rsid w:val="008346E1"/>
    <w:rsid w:val="0083518D"/>
    <w:rsid w:val="00835262"/>
    <w:rsid w:val="008357A9"/>
    <w:rsid w:val="00835B49"/>
    <w:rsid w:val="00835EED"/>
    <w:rsid w:val="0083716F"/>
    <w:rsid w:val="00837483"/>
    <w:rsid w:val="00837CF0"/>
    <w:rsid w:val="00841695"/>
    <w:rsid w:val="00841D22"/>
    <w:rsid w:val="008438E4"/>
    <w:rsid w:val="00843D10"/>
    <w:rsid w:val="00844133"/>
    <w:rsid w:val="00844614"/>
    <w:rsid w:val="00844F48"/>
    <w:rsid w:val="008455F2"/>
    <w:rsid w:val="00846836"/>
    <w:rsid w:val="00846922"/>
    <w:rsid w:val="00846B85"/>
    <w:rsid w:val="00846C23"/>
    <w:rsid w:val="00846CC5"/>
    <w:rsid w:val="00847470"/>
    <w:rsid w:val="00850075"/>
    <w:rsid w:val="00850211"/>
    <w:rsid w:val="0085033B"/>
    <w:rsid w:val="008505E8"/>
    <w:rsid w:val="00850764"/>
    <w:rsid w:val="0085122F"/>
    <w:rsid w:val="008517C0"/>
    <w:rsid w:val="00851EA0"/>
    <w:rsid w:val="0085256C"/>
    <w:rsid w:val="008526A2"/>
    <w:rsid w:val="00852A98"/>
    <w:rsid w:val="00852AC9"/>
    <w:rsid w:val="0085301A"/>
    <w:rsid w:val="008530DE"/>
    <w:rsid w:val="008533FD"/>
    <w:rsid w:val="0085367C"/>
    <w:rsid w:val="008539CB"/>
    <w:rsid w:val="0085426D"/>
    <w:rsid w:val="008542FA"/>
    <w:rsid w:val="008547D8"/>
    <w:rsid w:val="0085483C"/>
    <w:rsid w:val="008549DB"/>
    <w:rsid w:val="0085509F"/>
    <w:rsid w:val="008554CB"/>
    <w:rsid w:val="00856443"/>
    <w:rsid w:val="00856794"/>
    <w:rsid w:val="00856901"/>
    <w:rsid w:val="00856DF2"/>
    <w:rsid w:val="00856F37"/>
    <w:rsid w:val="008570EF"/>
    <w:rsid w:val="00857CAA"/>
    <w:rsid w:val="00860515"/>
    <w:rsid w:val="008606BB"/>
    <w:rsid w:val="0086097B"/>
    <w:rsid w:val="00860D24"/>
    <w:rsid w:val="00862894"/>
    <w:rsid w:val="008629F5"/>
    <w:rsid w:val="00862DD9"/>
    <w:rsid w:val="00862E85"/>
    <w:rsid w:val="008632B2"/>
    <w:rsid w:val="00864B8D"/>
    <w:rsid w:val="008656AD"/>
    <w:rsid w:val="0086676E"/>
    <w:rsid w:val="008678B7"/>
    <w:rsid w:val="008679E1"/>
    <w:rsid w:val="0087078E"/>
    <w:rsid w:val="00871338"/>
    <w:rsid w:val="008713BE"/>
    <w:rsid w:val="00872B86"/>
    <w:rsid w:val="008738AE"/>
    <w:rsid w:val="00873FF3"/>
    <w:rsid w:val="00874AA2"/>
    <w:rsid w:val="00874F54"/>
    <w:rsid w:val="0087579A"/>
    <w:rsid w:val="00875FB5"/>
    <w:rsid w:val="00876B6E"/>
    <w:rsid w:val="00877B55"/>
    <w:rsid w:val="0088016E"/>
    <w:rsid w:val="00880559"/>
    <w:rsid w:val="008805E5"/>
    <w:rsid w:val="00880DAC"/>
    <w:rsid w:val="00880F96"/>
    <w:rsid w:val="008814F0"/>
    <w:rsid w:val="008835CE"/>
    <w:rsid w:val="0088460A"/>
    <w:rsid w:val="00884C25"/>
    <w:rsid w:val="00884E8C"/>
    <w:rsid w:val="008855D3"/>
    <w:rsid w:val="00885D29"/>
    <w:rsid w:val="0088620A"/>
    <w:rsid w:val="00886891"/>
    <w:rsid w:val="00887248"/>
    <w:rsid w:val="00887F47"/>
    <w:rsid w:val="00890E46"/>
    <w:rsid w:val="00891562"/>
    <w:rsid w:val="0089185F"/>
    <w:rsid w:val="00891CF6"/>
    <w:rsid w:val="00891E86"/>
    <w:rsid w:val="00892659"/>
    <w:rsid w:val="008926A3"/>
    <w:rsid w:val="008931DB"/>
    <w:rsid w:val="00893207"/>
    <w:rsid w:val="008932D1"/>
    <w:rsid w:val="008935FC"/>
    <w:rsid w:val="008946F4"/>
    <w:rsid w:val="008953DB"/>
    <w:rsid w:val="0089566A"/>
    <w:rsid w:val="00896759"/>
    <w:rsid w:val="008A04E5"/>
    <w:rsid w:val="008A0673"/>
    <w:rsid w:val="008A0787"/>
    <w:rsid w:val="008A099A"/>
    <w:rsid w:val="008A1FA5"/>
    <w:rsid w:val="008A2294"/>
    <w:rsid w:val="008A25AF"/>
    <w:rsid w:val="008A3204"/>
    <w:rsid w:val="008A38E4"/>
    <w:rsid w:val="008A3953"/>
    <w:rsid w:val="008A403D"/>
    <w:rsid w:val="008A4434"/>
    <w:rsid w:val="008A5916"/>
    <w:rsid w:val="008A59D4"/>
    <w:rsid w:val="008A5AA7"/>
    <w:rsid w:val="008A64A1"/>
    <w:rsid w:val="008A6553"/>
    <w:rsid w:val="008A6A10"/>
    <w:rsid w:val="008A71CA"/>
    <w:rsid w:val="008A74E8"/>
    <w:rsid w:val="008A7AEC"/>
    <w:rsid w:val="008B01E3"/>
    <w:rsid w:val="008B0276"/>
    <w:rsid w:val="008B0CBD"/>
    <w:rsid w:val="008B101B"/>
    <w:rsid w:val="008B17F5"/>
    <w:rsid w:val="008B27CB"/>
    <w:rsid w:val="008B27E1"/>
    <w:rsid w:val="008B29B2"/>
    <w:rsid w:val="008B3095"/>
    <w:rsid w:val="008B34B9"/>
    <w:rsid w:val="008B393C"/>
    <w:rsid w:val="008B3BC7"/>
    <w:rsid w:val="008B48AF"/>
    <w:rsid w:val="008B4F4F"/>
    <w:rsid w:val="008B501E"/>
    <w:rsid w:val="008B5028"/>
    <w:rsid w:val="008B55A0"/>
    <w:rsid w:val="008B5748"/>
    <w:rsid w:val="008B5B41"/>
    <w:rsid w:val="008B6183"/>
    <w:rsid w:val="008B6B0A"/>
    <w:rsid w:val="008B70C1"/>
    <w:rsid w:val="008B76D4"/>
    <w:rsid w:val="008C195B"/>
    <w:rsid w:val="008C1D3B"/>
    <w:rsid w:val="008C2B8A"/>
    <w:rsid w:val="008C2BA3"/>
    <w:rsid w:val="008C35FB"/>
    <w:rsid w:val="008C3711"/>
    <w:rsid w:val="008C3E71"/>
    <w:rsid w:val="008C4044"/>
    <w:rsid w:val="008C45F8"/>
    <w:rsid w:val="008C4E26"/>
    <w:rsid w:val="008C508E"/>
    <w:rsid w:val="008C542B"/>
    <w:rsid w:val="008C5CE9"/>
    <w:rsid w:val="008C63E4"/>
    <w:rsid w:val="008C7130"/>
    <w:rsid w:val="008C72CF"/>
    <w:rsid w:val="008C75EC"/>
    <w:rsid w:val="008C7B01"/>
    <w:rsid w:val="008D0A6A"/>
    <w:rsid w:val="008D0E1A"/>
    <w:rsid w:val="008D18CA"/>
    <w:rsid w:val="008D27DB"/>
    <w:rsid w:val="008D2E2A"/>
    <w:rsid w:val="008D2F05"/>
    <w:rsid w:val="008D30FF"/>
    <w:rsid w:val="008D32A6"/>
    <w:rsid w:val="008D36BC"/>
    <w:rsid w:val="008D44A4"/>
    <w:rsid w:val="008D4558"/>
    <w:rsid w:val="008D4696"/>
    <w:rsid w:val="008D4CFD"/>
    <w:rsid w:val="008D530B"/>
    <w:rsid w:val="008D5722"/>
    <w:rsid w:val="008D5851"/>
    <w:rsid w:val="008D5A21"/>
    <w:rsid w:val="008D6404"/>
    <w:rsid w:val="008D703A"/>
    <w:rsid w:val="008D77EE"/>
    <w:rsid w:val="008D7A4D"/>
    <w:rsid w:val="008E03FB"/>
    <w:rsid w:val="008E130F"/>
    <w:rsid w:val="008E1869"/>
    <w:rsid w:val="008E1B87"/>
    <w:rsid w:val="008E1D89"/>
    <w:rsid w:val="008E2826"/>
    <w:rsid w:val="008E2AB3"/>
    <w:rsid w:val="008E3C0B"/>
    <w:rsid w:val="008E4347"/>
    <w:rsid w:val="008E437D"/>
    <w:rsid w:val="008E44B9"/>
    <w:rsid w:val="008E44F4"/>
    <w:rsid w:val="008E519B"/>
    <w:rsid w:val="008E53D4"/>
    <w:rsid w:val="008E545C"/>
    <w:rsid w:val="008E6498"/>
    <w:rsid w:val="008E690F"/>
    <w:rsid w:val="008E6F13"/>
    <w:rsid w:val="008E6FCE"/>
    <w:rsid w:val="008E728A"/>
    <w:rsid w:val="008E74BA"/>
    <w:rsid w:val="008E7613"/>
    <w:rsid w:val="008E7783"/>
    <w:rsid w:val="008F04AC"/>
    <w:rsid w:val="008F17DC"/>
    <w:rsid w:val="008F206A"/>
    <w:rsid w:val="008F2127"/>
    <w:rsid w:val="008F2168"/>
    <w:rsid w:val="008F268D"/>
    <w:rsid w:val="008F295C"/>
    <w:rsid w:val="008F3408"/>
    <w:rsid w:val="008F3425"/>
    <w:rsid w:val="008F3525"/>
    <w:rsid w:val="008F36A4"/>
    <w:rsid w:val="008F3F92"/>
    <w:rsid w:val="008F46CE"/>
    <w:rsid w:val="008F496A"/>
    <w:rsid w:val="008F52D5"/>
    <w:rsid w:val="008F5C18"/>
    <w:rsid w:val="008F62E7"/>
    <w:rsid w:val="008F65BC"/>
    <w:rsid w:val="008F6E82"/>
    <w:rsid w:val="008F769E"/>
    <w:rsid w:val="008F78FD"/>
    <w:rsid w:val="009003FC"/>
    <w:rsid w:val="0090140F"/>
    <w:rsid w:val="00901A6E"/>
    <w:rsid w:val="00901BB0"/>
    <w:rsid w:val="009029BD"/>
    <w:rsid w:val="00902EE2"/>
    <w:rsid w:val="00903648"/>
    <w:rsid w:val="00903DAF"/>
    <w:rsid w:val="00904614"/>
    <w:rsid w:val="00904968"/>
    <w:rsid w:val="009049C2"/>
    <w:rsid w:val="00905182"/>
    <w:rsid w:val="009054C4"/>
    <w:rsid w:val="009056C5"/>
    <w:rsid w:val="00906466"/>
    <w:rsid w:val="00906B9D"/>
    <w:rsid w:val="00907001"/>
    <w:rsid w:val="00907749"/>
    <w:rsid w:val="009078E2"/>
    <w:rsid w:val="00907D15"/>
    <w:rsid w:val="009104FC"/>
    <w:rsid w:val="009108B1"/>
    <w:rsid w:val="009113E4"/>
    <w:rsid w:val="00911442"/>
    <w:rsid w:val="009117F3"/>
    <w:rsid w:val="00911B7B"/>
    <w:rsid w:val="00911E59"/>
    <w:rsid w:val="00912E80"/>
    <w:rsid w:val="0091310A"/>
    <w:rsid w:val="00913D14"/>
    <w:rsid w:val="0091450F"/>
    <w:rsid w:val="00914545"/>
    <w:rsid w:val="00914A8E"/>
    <w:rsid w:val="00914E79"/>
    <w:rsid w:val="0091513C"/>
    <w:rsid w:val="00915781"/>
    <w:rsid w:val="00916085"/>
    <w:rsid w:val="009166CC"/>
    <w:rsid w:val="00917C5A"/>
    <w:rsid w:val="009200A0"/>
    <w:rsid w:val="00920203"/>
    <w:rsid w:val="0092027A"/>
    <w:rsid w:val="00920780"/>
    <w:rsid w:val="00920F25"/>
    <w:rsid w:val="00921380"/>
    <w:rsid w:val="0092161C"/>
    <w:rsid w:val="00921681"/>
    <w:rsid w:val="00921CE0"/>
    <w:rsid w:val="00921FB7"/>
    <w:rsid w:val="0092237F"/>
    <w:rsid w:val="00922760"/>
    <w:rsid w:val="00922E03"/>
    <w:rsid w:val="00922E6D"/>
    <w:rsid w:val="00923016"/>
    <w:rsid w:val="0092322C"/>
    <w:rsid w:val="009233A3"/>
    <w:rsid w:val="00923AF6"/>
    <w:rsid w:val="00923C3A"/>
    <w:rsid w:val="009246BF"/>
    <w:rsid w:val="0092490F"/>
    <w:rsid w:val="00924B04"/>
    <w:rsid w:val="00925762"/>
    <w:rsid w:val="0092591F"/>
    <w:rsid w:val="0092596D"/>
    <w:rsid w:val="00926269"/>
    <w:rsid w:val="0092688A"/>
    <w:rsid w:val="00926ABE"/>
    <w:rsid w:val="00926AC7"/>
    <w:rsid w:val="00926F4C"/>
    <w:rsid w:val="00927133"/>
    <w:rsid w:val="009276C1"/>
    <w:rsid w:val="00927782"/>
    <w:rsid w:val="00927A70"/>
    <w:rsid w:val="00930C93"/>
    <w:rsid w:val="00930D25"/>
    <w:rsid w:val="00930FE4"/>
    <w:rsid w:val="00931379"/>
    <w:rsid w:val="00931832"/>
    <w:rsid w:val="00932163"/>
    <w:rsid w:val="009339E5"/>
    <w:rsid w:val="00933BB1"/>
    <w:rsid w:val="00934A58"/>
    <w:rsid w:val="00934A6E"/>
    <w:rsid w:val="00934AFC"/>
    <w:rsid w:val="009356C6"/>
    <w:rsid w:val="00936330"/>
    <w:rsid w:val="00936F8F"/>
    <w:rsid w:val="0093734C"/>
    <w:rsid w:val="0093737F"/>
    <w:rsid w:val="009375A1"/>
    <w:rsid w:val="00937CF5"/>
    <w:rsid w:val="00940067"/>
    <w:rsid w:val="00940745"/>
    <w:rsid w:val="009411F9"/>
    <w:rsid w:val="009417C0"/>
    <w:rsid w:val="00942275"/>
    <w:rsid w:val="00942B35"/>
    <w:rsid w:val="009442D7"/>
    <w:rsid w:val="00944765"/>
    <w:rsid w:val="009448CC"/>
    <w:rsid w:val="00945DE0"/>
    <w:rsid w:val="00947542"/>
    <w:rsid w:val="009502FB"/>
    <w:rsid w:val="009505E2"/>
    <w:rsid w:val="00950BDE"/>
    <w:rsid w:val="00951338"/>
    <w:rsid w:val="00951388"/>
    <w:rsid w:val="0095146A"/>
    <w:rsid w:val="00951DC8"/>
    <w:rsid w:val="00951F07"/>
    <w:rsid w:val="0095243E"/>
    <w:rsid w:val="00952572"/>
    <w:rsid w:val="00952E8F"/>
    <w:rsid w:val="009530B6"/>
    <w:rsid w:val="0095356F"/>
    <w:rsid w:val="009539D2"/>
    <w:rsid w:val="00953AD6"/>
    <w:rsid w:val="00954304"/>
    <w:rsid w:val="00954EFA"/>
    <w:rsid w:val="00954FD2"/>
    <w:rsid w:val="00955723"/>
    <w:rsid w:val="00956B8E"/>
    <w:rsid w:val="00956DC2"/>
    <w:rsid w:val="00957AEB"/>
    <w:rsid w:val="009608B7"/>
    <w:rsid w:val="00961457"/>
    <w:rsid w:val="00961FE0"/>
    <w:rsid w:val="009628CA"/>
    <w:rsid w:val="00963657"/>
    <w:rsid w:val="00963892"/>
    <w:rsid w:val="00963E1F"/>
    <w:rsid w:val="00964802"/>
    <w:rsid w:val="0096487C"/>
    <w:rsid w:val="00964C55"/>
    <w:rsid w:val="00964CD4"/>
    <w:rsid w:val="00964FA6"/>
    <w:rsid w:val="0096521F"/>
    <w:rsid w:val="009655D7"/>
    <w:rsid w:val="00966390"/>
    <w:rsid w:val="009665B9"/>
    <w:rsid w:val="0096691C"/>
    <w:rsid w:val="00966AE3"/>
    <w:rsid w:val="00966D9D"/>
    <w:rsid w:val="00967786"/>
    <w:rsid w:val="00967DB5"/>
    <w:rsid w:val="00970057"/>
    <w:rsid w:val="00970430"/>
    <w:rsid w:val="0097058D"/>
    <w:rsid w:val="00970952"/>
    <w:rsid w:val="00970B30"/>
    <w:rsid w:val="00971445"/>
    <w:rsid w:val="00971542"/>
    <w:rsid w:val="00971FDE"/>
    <w:rsid w:val="009720E7"/>
    <w:rsid w:val="00972B53"/>
    <w:rsid w:val="009730FD"/>
    <w:rsid w:val="009731A1"/>
    <w:rsid w:val="009746CB"/>
    <w:rsid w:val="0097489B"/>
    <w:rsid w:val="00974BD0"/>
    <w:rsid w:val="00974DE7"/>
    <w:rsid w:val="00975844"/>
    <w:rsid w:val="00975913"/>
    <w:rsid w:val="00975CED"/>
    <w:rsid w:val="009760F0"/>
    <w:rsid w:val="00977A48"/>
    <w:rsid w:val="00977C39"/>
    <w:rsid w:val="00977C3E"/>
    <w:rsid w:val="00977EA1"/>
    <w:rsid w:val="00980868"/>
    <w:rsid w:val="009811AE"/>
    <w:rsid w:val="00981492"/>
    <w:rsid w:val="00981606"/>
    <w:rsid w:val="00981860"/>
    <w:rsid w:val="00982728"/>
    <w:rsid w:val="00982B5A"/>
    <w:rsid w:val="00982C2C"/>
    <w:rsid w:val="009830CE"/>
    <w:rsid w:val="009835B8"/>
    <w:rsid w:val="00983AD3"/>
    <w:rsid w:val="00984283"/>
    <w:rsid w:val="00984545"/>
    <w:rsid w:val="00984F35"/>
    <w:rsid w:val="00985D0D"/>
    <w:rsid w:val="00987564"/>
    <w:rsid w:val="00990041"/>
    <w:rsid w:val="0099147F"/>
    <w:rsid w:val="0099177B"/>
    <w:rsid w:val="00991CBE"/>
    <w:rsid w:val="00991DA5"/>
    <w:rsid w:val="009929A4"/>
    <w:rsid w:val="00992B5C"/>
    <w:rsid w:val="009937E7"/>
    <w:rsid w:val="00993A89"/>
    <w:rsid w:val="00994319"/>
    <w:rsid w:val="00994FEF"/>
    <w:rsid w:val="009957F5"/>
    <w:rsid w:val="00995AC4"/>
    <w:rsid w:val="00995F1F"/>
    <w:rsid w:val="0099654A"/>
    <w:rsid w:val="00996C62"/>
    <w:rsid w:val="009979FD"/>
    <w:rsid w:val="009A0290"/>
    <w:rsid w:val="009A04A4"/>
    <w:rsid w:val="009A04DC"/>
    <w:rsid w:val="009A068E"/>
    <w:rsid w:val="009A0A8E"/>
    <w:rsid w:val="009A0ACA"/>
    <w:rsid w:val="009A0D35"/>
    <w:rsid w:val="009A115E"/>
    <w:rsid w:val="009A1161"/>
    <w:rsid w:val="009A213F"/>
    <w:rsid w:val="009A250A"/>
    <w:rsid w:val="009A294C"/>
    <w:rsid w:val="009A2BE0"/>
    <w:rsid w:val="009A2D17"/>
    <w:rsid w:val="009A2F37"/>
    <w:rsid w:val="009A30BC"/>
    <w:rsid w:val="009A3F39"/>
    <w:rsid w:val="009A4F41"/>
    <w:rsid w:val="009A62C6"/>
    <w:rsid w:val="009A6E33"/>
    <w:rsid w:val="009A7F51"/>
    <w:rsid w:val="009B003B"/>
    <w:rsid w:val="009B034C"/>
    <w:rsid w:val="009B0471"/>
    <w:rsid w:val="009B0CD9"/>
    <w:rsid w:val="009B0DD3"/>
    <w:rsid w:val="009B1142"/>
    <w:rsid w:val="009B17BD"/>
    <w:rsid w:val="009B1DCB"/>
    <w:rsid w:val="009B1EF6"/>
    <w:rsid w:val="009B2359"/>
    <w:rsid w:val="009B2375"/>
    <w:rsid w:val="009B29FF"/>
    <w:rsid w:val="009B33D4"/>
    <w:rsid w:val="009B33F5"/>
    <w:rsid w:val="009B3692"/>
    <w:rsid w:val="009B38A4"/>
    <w:rsid w:val="009B3978"/>
    <w:rsid w:val="009B3B64"/>
    <w:rsid w:val="009B3E00"/>
    <w:rsid w:val="009B570D"/>
    <w:rsid w:val="009B5F2D"/>
    <w:rsid w:val="009B6108"/>
    <w:rsid w:val="009B6C03"/>
    <w:rsid w:val="009B716E"/>
    <w:rsid w:val="009B71B0"/>
    <w:rsid w:val="009C01DC"/>
    <w:rsid w:val="009C0598"/>
    <w:rsid w:val="009C0624"/>
    <w:rsid w:val="009C0C81"/>
    <w:rsid w:val="009C0D3B"/>
    <w:rsid w:val="009C2345"/>
    <w:rsid w:val="009C2460"/>
    <w:rsid w:val="009C3518"/>
    <w:rsid w:val="009C3554"/>
    <w:rsid w:val="009C357C"/>
    <w:rsid w:val="009C3F62"/>
    <w:rsid w:val="009C46E1"/>
    <w:rsid w:val="009C52A7"/>
    <w:rsid w:val="009C5A85"/>
    <w:rsid w:val="009C5EAE"/>
    <w:rsid w:val="009C689A"/>
    <w:rsid w:val="009C6A09"/>
    <w:rsid w:val="009C6ADC"/>
    <w:rsid w:val="009C6CC1"/>
    <w:rsid w:val="009C72FD"/>
    <w:rsid w:val="009C7692"/>
    <w:rsid w:val="009C7952"/>
    <w:rsid w:val="009D1429"/>
    <w:rsid w:val="009D2406"/>
    <w:rsid w:val="009D28D4"/>
    <w:rsid w:val="009D2CAA"/>
    <w:rsid w:val="009D2D37"/>
    <w:rsid w:val="009D3F78"/>
    <w:rsid w:val="009D4950"/>
    <w:rsid w:val="009D4F73"/>
    <w:rsid w:val="009D5410"/>
    <w:rsid w:val="009D57F7"/>
    <w:rsid w:val="009D6107"/>
    <w:rsid w:val="009D6589"/>
    <w:rsid w:val="009D6F35"/>
    <w:rsid w:val="009D7415"/>
    <w:rsid w:val="009D7CD6"/>
    <w:rsid w:val="009E0200"/>
    <w:rsid w:val="009E07B9"/>
    <w:rsid w:val="009E0899"/>
    <w:rsid w:val="009E1074"/>
    <w:rsid w:val="009E11F3"/>
    <w:rsid w:val="009E1280"/>
    <w:rsid w:val="009E15B2"/>
    <w:rsid w:val="009E1C67"/>
    <w:rsid w:val="009E203F"/>
    <w:rsid w:val="009E24D2"/>
    <w:rsid w:val="009E2530"/>
    <w:rsid w:val="009E267E"/>
    <w:rsid w:val="009E288D"/>
    <w:rsid w:val="009E3D43"/>
    <w:rsid w:val="009E598A"/>
    <w:rsid w:val="009E6026"/>
    <w:rsid w:val="009E6C5A"/>
    <w:rsid w:val="009E76AA"/>
    <w:rsid w:val="009F01E8"/>
    <w:rsid w:val="009F13B9"/>
    <w:rsid w:val="009F1685"/>
    <w:rsid w:val="009F1EFD"/>
    <w:rsid w:val="009F22A9"/>
    <w:rsid w:val="009F35FC"/>
    <w:rsid w:val="009F3F93"/>
    <w:rsid w:val="009F40AE"/>
    <w:rsid w:val="009F4248"/>
    <w:rsid w:val="009F495D"/>
    <w:rsid w:val="009F4C78"/>
    <w:rsid w:val="009F4FD8"/>
    <w:rsid w:val="009F55BB"/>
    <w:rsid w:val="009F5B72"/>
    <w:rsid w:val="009F5E9B"/>
    <w:rsid w:val="009F6403"/>
    <w:rsid w:val="009F75AE"/>
    <w:rsid w:val="009F787C"/>
    <w:rsid w:val="00A00412"/>
    <w:rsid w:val="00A005B6"/>
    <w:rsid w:val="00A00CEF"/>
    <w:rsid w:val="00A01363"/>
    <w:rsid w:val="00A01857"/>
    <w:rsid w:val="00A0190A"/>
    <w:rsid w:val="00A03465"/>
    <w:rsid w:val="00A03779"/>
    <w:rsid w:val="00A037A3"/>
    <w:rsid w:val="00A0394B"/>
    <w:rsid w:val="00A03BED"/>
    <w:rsid w:val="00A044B7"/>
    <w:rsid w:val="00A04574"/>
    <w:rsid w:val="00A0486B"/>
    <w:rsid w:val="00A051E0"/>
    <w:rsid w:val="00A06372"/>
    <w:rsid w:val="00A07AA3"/>
    <w:rsid w:val="00A10247"/>
    <w:rsid w:val="00A10945"/>
    <w:rsid w:val="00A10B38"/>
    <w:rsid w:val="00A10E71"/>
    <w:rsid w:val="00A10FB4"/>
    <w:rsid w:val="00A112AA"/>
    <w:rsid w:val="00A11937"/>
    <w:rsid w:val="00A12011"/>
    <w:rsid w:val="00A12EB0"/>
    <w:rsid w:val="00A138BE"/>
    <w:rsid w:val="00A13A0A"/>
    <w:rsid w:val="00A1413F"/>
    <w:rsid w:val="00A14200"/>
    <w:rsid w:val="00A14903"/>
    <w:rsid w:val="00A14C57"/>
    <w:rsid w:val="00A14E7D"/>
    <w:rsid w:val="00A14FEC"/>
    <w:rsid w:val="00A152D6"/>
    <w:rsid w:val="00A16348"/>
    <w:rsid w:val="00A1677D"/>
    <w:rsid w:val="00A16F4D"/>
    <w:rsid w:val="00A17354"/>
    <w:rsid w:val="00A1746E"/>
    <w:rsid w:val="00A1779D"/>
    <w:rsid w:val="00A17864"/>
    <w:rsid w:val="00A17A0D"/>
    <w:rsid w:val="00A17B20"/>
    <w:rsid w:val="00A2014E"/>
    <w:rsid w:val="00A228E4"/>
    <w:rsid w:val="00A22A40"/>
    <w:rsid w:val="00A22E84"/>
    <w:rsid w:val="00A22F42"/>
    <w:rsid w:val="00A23269"/>
    <w:rsid w:val="00A237F7"/>
    <w:rsid w:val="00A23B81"/>
    <w:rsid w:val="00A24330"/>
    <w:rsid w:val="00A249A2"/>
    <w:rsid w:val="00A2520C"/>
    <w:rsid w:val="00A253A9"/>
    <w:rsid w:val="00A25CC0"/>
    <w:rsid w:val="00A25F48"/>
    <w:rsid w:val="00A263A2"/>
    <w:rsid w:val="00A27028"/>
    <w:rsid w:val="00A270B2"/>
    <w:rsid w:val="00A27DE6"/>
    <w:rsid w:val="00A30B58"/>
    <w:rsid w:val="00A31239"/>
    <w:rsid w:val="00A3151F"/>
    <w:rsid w:val="00A317E1"/>
    <w:rsid w:val="00A32C5F"/>
    <w:rsid w:val="00A3333F"/>
    <w:rsid w:val="00A33536"/>
    <w:rsid w:val="00A34146"/>
    <w:rsid w:val="00A34CF5"/>
    <w:rsid w:val="00A34F13"/>
    <w:rsid w:val="00A34F9E"/>
    <w:rsid w:val="00A35033"/>
    <w:rsid w:val="00A35627"/>
    <w:rsid w:val="00A35FB5"/>
    <w:rsid w:val="00A361AE"/>
    <w:rsid w:val="00A36690"/>
    <w:rsid w:val="00A36BDA"/>
    <w:rsid w:val="00A373F4"/>
    <w:rsid w:val="00A37CF7"/>
    <w:rsid w:val="00A37FE5"/>
    <w:rsid w:val="00A40052"/>
    <w:rsid w:val="00A406E2"/>
    <w:rsid w:val="00A41120"/>
    <w:rsid w:val="00A41A3E"/>
    <w:rsid w:val="00A41F61"/>
    <w:rsid w:val="00A4230B"/>
    <w:rsid w:val="00A42721"/>
    <w:rsid w:val="00A42E0E"/>
    <w:rsid w:val="00A43FCC"/>
    <w:rsid w:val="00A4410D"/>
    <w:rsid w:val="00A441A8"/>
    <w:rsid w:val="00A4475C"/>
    <w:rsid w:val="00A4528C"/>
    <w:rsid w:val="00A45EBF"/>
    <w:rsid w:val="00A460CC"/>
    <w:rsid w:val="00A47522"/>
    <w:rsid w:val="00A47575"/>
    <w:rsid w:val="00A50143"/>
    <w:rsid w:val="00A5088B"/>
    <w:rsid w:val="00A50BA2"/>
    <w:rsid w:val="00A50EFD"/>
    <w:rsid w:val="00A50F5C"/>
    <w:rsid w:val="00A5101B"/>
    <w:rsid w:val="00A5111B"/>
    <w:rsid w:val="00A51AA1"/>
    <w:rsid w:val="00A51C94"/>
    <w:rsid w:val="00A52314"/>
    <w:rsid w:val="00A52596"/>
    <w:rsid w:val="00A52CFF"/>
    <w:rsid w:val="00A52E1D"/>
    <w:rsid w:val="00A53896"/>
    <w:rsid w:val="00A54005"/>
    <w:rsid w:val="00A54C7A"/>
    <w:rsid w:val="00A55749"/>
    <w:rsid w:val="00A55D24"/>
    <w:rsid w:val="00A564CE"/>
    <w:rsid w:val="00A567C3"/>
    <w:rsid w:val="00A57890"/>
    <w:rsid w:val="00A57DDD"/>
    <w:rsid w:val="00A604CD"/>
    <w:rsid w:val="00A60642"/>
    <w:rsid w:val="00A60D56"/>
    <w:rsid w:val="00A60DE0"/>
    <w:rsid w:val="00A61700"/>
    <w:rsid w:val="00A6254A"/>
    <w:rsid w:val="00A62CF0"/>
    <w:rsid w:val="00A62F87"/>
    <w:rsid w:val="00A63585"/>
    <w:rsid w:val="00A64031"/>
    <w:rsid w:val="00A64F06"/>
    <w:rsid w:val="00A6580A"/>
    <w:rsid w:val="00A66C32"/>
    <w:rsid w:val="00A66E1A"/>
    <w:rsid w:val="00A66FDA"/>
    <w:rsid w:val="00A709DD"/>
    <w:rsid w:val="00A70B66"/>
    <w:rsid w:val="00A71CDA"/>
    <w:rsid w:val="00A71D96"/>
    <w:rsid w:val="00A721FC"/>
    <w:rsid w:val="00A7243D"/>
    <w:rsid w:val="00A7251F"/>
    <w:rsid w:val="00A73182"/>
    <w:rsid w:val="00A735F6"/>
    <w:rsid w:val="00A73E39"/>
    <w:rsid w:val="00A74CCF"/>
    <w:rsid w:val="00A752BE"/>
    <w:rsid w:val="00A754B3"/>
    <w:rsid w:val="00A775FA"/>
    <w:rsid w:val="00A812EE"/>
    <w:rsid w:val="00A82C2D"/>
    <w:rsid w:val="00A8375F"/>
    <w:rsid w:val="00A838F3"/>
    <w:rsid w:val="00A839AE"/>
    <w:rsid w:val="00A83B98"/>
    <w:rsid w:val="00A8446D"/>
    <w:rsid w:val="00A84562"/>
    <w:rsid w:val="00A84FF7"/>
    <w:rsid w:val="00A85AF0"/>
    <w:rsid w:val="00A85DE7"/>
    <w:rsid w:val="00A86015"/>
    <w:rsid w:val="00A861D2"/>
    <w:rsid w:val="00A86EF9"/>
    <w:rsid w:val="00A86F30"/>
    <w:rsid w:val="00A87229"/>
    <w:rsid w:val="00A903A5"/>
    <w:rsid w:val="00A90976"/>
    <w:rsid w:val="00A90B9D"/>
    <w:rsid w:val="00A90C48"/>
    <w:rsid w:val="00A9148E"/>
    <w:rsid w:val="00A91562"/>
    <w:rsid w:val="00A91657"/>
    <w:rsid w:val="00A91783"/>
    <w:rsid w:val="00A91AA3"/>
    <w:rsid w:val="00A92884"/>
    <w:rsid w:val="00A92971"/>
    <w:rsid w:val="00A94D63"/>
    <w:rsid w:val="00A9533C"/>
    <w:rsid w:val="00A96330"/>
    <w:rsid w:val="00A963AD"/>
    <w:rsid w:val="00A9697B"/>
    <w:rsid w:val="00A96EDE"/>
    <w:rsid w:val="00A9729E"/>
    <w:rsid w:val="00A97A4D"/>
    <w:rsid w:val="00A97E25"/>
    <w:rsid w:val="00A97F0F"/>
    <w:rsid w:val="00AA025E"/>
    <w:rsid w:val="00AA0358"/>
    <w:rsid w:val="00AA0588"/>
    <w:rsid w:val="00AA072D"/>
    <w:rsid w:val="00AA1D67"/>
    <w:rsid w:val="00AA1F95"/>
    <w:rsid w:val="00AA2EDF"/>
    <w:rsid w:val="00AA3A13"/>
    <w:rsid w:val="00AA3FBF"/>
    <w:rsid w:val="00AA4FDF"/>
    <w:rsid w:val="00AA54DA"/>
    <w:rsid w:val="00AA59E1"/>
    <w:rsid w:val="00AA5D72"/>
    <w:rsid w:val="00AA622F"/>
    <w:rsid w:val="00AA64B4"/>
    <w:rsid w:val="00AA68FC"/>
    <w:rsid w:val="00AA6E59"/>
    <w:rsid w:val="00AA721E"/>
    <w:rsid w:val="00AA742C"/>
    <w:rsid w:val="00AB0BFA"/>
    <w:rsid w:val="00AB112A"/>
    <w:rsid w:val="00AB1BA4"/>
    <w:rsid w:val="00AB1E87"/>
    <w:rsid w:val="00AB29C4"/>
    <w:rsid w:val="00AB3B8C"/>
    <w:rsid w:val="00AB43EE"/>
    <w:rsid w:val="00AB49A0"/>
    <w:rsid w:val="00AB4C62"/>
    <w:rsid w:val="00AB4EF7"/>
    <w:rsid w:val="00AB59A3"/>
    <w:rsid w:val="00AB5F95"/>
    <w:rsid w:val="00AB6343"/>
    <w:rsid w:val="00AB63F6"/>
    <w:rsid w:val="00AB6CEB"/>
    <w:rsid w:val="00AB724F"/>
    <w:rsid w:val="00AB72DC"/>
    <w:rsid w:val="00AB7620"/>
    <w:rsid w:val="00AB7804"/>
    <w:rsid w:val="00AB7D63"/>
    <w:rsid w:val="00AC0024"/>
    <w:rsid w:val="00AC047C"/>
    <w:rsid w:val="00AC0F48"/>
    <w:rsid w:val="00AC130E"/>
    <w:rsid w:val="00AC1C39"/>
    <w:rsid w:val="00AC2425"/>
    <w:rsid w:val="00AC2627"/>
    <w:rsid w:val="00AC2D6A"/>
    <w:rsid w:val="00AC30B0"/>
    <w:rsid w:val="00AC31F1"/>
    <w:rsid w:val="00AC32AF"/>
    <w:rsid w:val="00AC35A0"/>
    <w:rsid w:val="00AC3F4C"/>
    <w:rsid w:val="00AC5086"/>
    <w:rsid w:val="00AC52A6"/>
    <w:rsid w:val="00AC55C1"/>
    <w:rsid w:val="00AC5602"/>
    <w:rsid w:val="00AC6417"/>
    <w:rsid w:val="00AC6B26"/>
    <w:rsid w:val="00AC6B48"/>
    <w:rsid w:val="00AC77C3"/>
    <w:rsid w:val="00AC78CB"/>
    <w:rsid w:val="00AD1848"/>
    <w:rsid w:val="00AD1D06"/>
    <w:rsid w:val="00AD1E72"/>
    <w:rsid w:val="00AD3008"/>
    <w:rsid w:val="00AD3669"/>
    <w:rsid w:val="00AD398F"/>
    <w:rsid w:val="00AD3D80"/>
    <w:rsid w:val="00AD3F4F"/>
    <w:rsid w:val="00AD4B30"/>
    <w:rsid w:val="00AD50E5"/>
    <w:rsid w:val="00AD5694"/>
    <w:rsid w:val="00AD75A2"/>
    <w:rsid w:val="00AD77FD"/>
    <w:rsid w:val="00AD7874"/>
    <w:rsid w:val="00AD7D8E"/>
    <w:rsid w:val="00AE0236"/>
    <w:rsid w:val="00AE089B"/>
    <w:rsid w:val="00AE0DBE"/>
    <w:rsid w:val="00AE1422"/>
    <w:rsid w:val="00AE2889"/>
    <w:rsid w:val="00AE384A"/>
    <w:rsid w:val="00AE391F"/>
    <w:rsid w:val="00AE49A1"/>
    <w:rsid w:val="00AE4B93"/>
    <w:rsid w:val="00AE4E57"/>
    <w:rsid w:val="00AE4EA7"/>
    <w:rsid w:val="00AE52ED"/>
    <w:rsid w:val="00AE597E"/>
    <w:rsid w:val="00AE5C4E"/>
    <w:rsid w:val="00AE63B1"/>
    <w:rsid w:val="00AE6537"/>
    <w:rsid w:val="00AE681A"/>
    <w:rsid w:val="00AE72AF"/>
    <w:rsid w:val="00AE790B"/>
    <w:rsid w:val="00AF0B97"/>
    <w:rsid w:val="00AF124A"/>
    <w:rsid w:val="00AF2073"/>
    <w:rsid w:val="00AF20F4"/>
    <w:rsid w:val="00AF297D"/>
    <w:rsid w:val="00AF2C5D"/>
    <w:rsid w:val="00AF307D"/>
    <w:rsid w:val="00AF33E9"/>
    <w:rsid w:val="00AF3551"/>
    <w:rsid w:val="00AF36A2"/>
    <w:rsid w:val="00AF3AC7"/>
    <w:rsid w:val="00AF3ED0"/>
    <w:rsid w:val="00AF3F29"/>
    <w:rsid w:val="00AF4CC1"/>
    <w:rsid w:val="00AF4CD7"/>
    <w:rsid w:val="00AF4D67"/>
    <w:rsid w:val="00AF558B"/>
    <w:rsid w:val="00AF57C2"/>
    <w:rsid w:val="00AF58DC"/>
    <w:rsid w:val="00AF58E7"/>
    <w:rsid w:val="00AF619A"/>
    <w:rsid w:val="00AF637B"/>
    <w:rsid w:val="00AF670F"/>
    <w:rsid w:val="00AF6B9C"/>
    <w:rsid w:val="00AF6BD5"/>
    <w:rsid w:val="00B0012A"/>
    <w:rsid w:val="00B00482"/>
    <w:rsid w:val="00B00498"/>
    <w:rsid w:val="00B00A4C"/>
    <w:rsid w:val="00B01234"/>
    <w:rsid w:val="00B015B5"/>
    <w:rsid w:val="00B0298D"/>
    <w:rsid w:val="00B03B66"/>
    <w:rsid w:val="00B040FA"/>
    <w:rsid w:val="00B0457B"/>
    <w:rsid w:val="00B047BE"/>
    <w:rsid w:val="00B04BB3"/>
    <w:rsid w:val="00B04E9D"/>
    <w:rsid w:val="00B055B8"/>
    <w:rsid w:val="00B05FF9"/>
    <w:rsid w:val="00B062EF"/>
    <w:rsid w:val="00B067DF"/>
    <w:rsid w:val="00B06944"/>
    <w:rsid w:val="00B075CE"/>
    <w:rsid w:val="00B0765E"/>
    <w:rsid w:val="00B07BB7"/>
    <w:rsid w:val="00B10C72"/>
    <w:rsid w:val="00B115BE"/>
    <w:rsid w:val="00B115F0"/>
    <w:rsid w:val="00B11D0E"/>
    <w:rsid w:val="00B11D85"/>
    <w:rsid w:val="00B121F9"/>
    <w:rsid w:val="00B1383A"/>
    <w:rsid w:val="00B13F5A"/>
    <w:rsid w:val="00B145F2"/>
    <w:rsid w:val="00B15438"/>
    <w:rsid w:val="00B1548C"/>
    <w:rsid w:val="00B1598C"/>
    <w:rsid w:val="00B15D97"/>
    <w:rsid w:val="00B169BF"/>
    <w:rsid w:val="00B17C48"/>
    <w:rsid w:val="00B17DCE"/>
    <w:rsid w:val="00B17E24"/>
    <w:rsid w:val="00B20BE2"/>
    <w:rsid w:val="00B21CAA"/>
    <w:rsid w:val="00B22EF7"/>
    <w:rsid w:val="00B22F12"/>
    <w:rsid w:val="00B22FEF"/>
    <w:rsid w:val="00B23107"/>
    <w:rsid w:val="00B237BF"/>
    <w:rsid w:val="00B23AD0"/>
    <w:rsid w:val="00B24829"/>
    <w:rsid w:val="00B249F3"/>
    <w:rsid w:val="00B24E6A"/>
    <w:rsid w:val="00B253F4"/>
    <w:rsid w:val="00B257C3"/>
    <w:rsid w:val="00B263A3"/>
    <w:rsid w:val="00B26754"/>
    <w:rsid w:val="00B26804"/>
    <w:rsid w:val="00B2788C"/>
    <w:rsid w:val="00B307D5"/>
    <w:rsid w:val="00B313DE"/>
    <w:rsid w:val="00B315E0"/>
    <w:rsid w:val="00B3194E"/>
    <w:rsid w:val="00B3197C"/>
    <w:rsid w:val="00B31CC6"/>
    <w:rsid w:val="00B32AB2"/>
    <w:rsid w:val="00B33546"/>
    <w:rsid w:val="00B33A52"/>
    <w:rsid w:val="00B347D5"/>
    <w:rsid w:val="00B34933"/>
    <w:rsid w:val="00B36318"/>
    <w:rsid w:val="00B36635"/>
    <w:rsid w:val="00B36EBE"/>
    <w:rsid w:val="00B3755C"/>
    <w:rsid w:val="00B3771D"/>
    <w:rsid w:val="00B3793B"/>
    <w:rsid w:val="00B37FF0"/>
    <w:rsid w:val="00B40D58"/>
    <w:rsid w:val="00B40E6B"/>
    <w:rsid w:val="00B4173E"/>
    <w:rsid w:val="00B41D95"/>
    <w:rsid w:val="00B41FEB"/>
    <w:rsid w:val="00B46049"/>
    <w:rsid w:val="00B4676F"/>
    <w:rsid w:val="00B4770D"/>
    <w:rsid w:val="00B51317"/>
    <w:rsid w:val="00B513E8"/>
    <w:rsid w:val="00B52298"/>
    <w:rsid w:val="00B52903"/>
    <w:rsid w:val="00B531EB"/>
    <w:rsid w:val="00B535BE"/>
    <w:rsid w:val="00B53BCE"/>
    <w:rsid w:val="00B541D7"/>
    <w:rsid w:val="00B552C8"/>
    <w:rsid w:val="00B55ED0"/>
    <w:rsid w:val="00B56019"/>
    <w:rsid w:val="00B562F7"/>
    <w:rsid w:val="00B56E8F"/>
    <w:rsid w:val="00B574AD"/>
    <w:rsid w:val="00B57D7C"/>
    <w:rsid w:val="00B57FDC"/>
    <w:rsid w:val="00B6062D"/>
    <w:rsid w:val="00B60F37"/>
    <w:rsid w:val="00B61601"/>
    <w:rsid w:val="00B61EF0"/>
    <w:rsid w:val="00B629F0"/>
    <w:rsid w:val="00B62A6A"/>
    <w:rsid w:val="00B630A0"/>
    <w:rsid w:val="00B642C7"/>
    <w:rsid w:val="00B643E6"/>
    <w:rsid w:val="00B64558"/>
    <w:rsid w:val="00B646AF"/>
    <w:rsid w:val="00B6576B"/>
    <w:rsid w:val="00B657C7"/>
    <w:rsid w:val="00B65BD1"/>
    <w:rsid w:val="00B65D14"/>
    <w:rsid w:val="00B664A2"/>
    <w:rsid w:val="00B6697A"/>
    <w:rsid w:val="00B66C97"/>
    <w:rsid w:val="00B67354"/>
    <w:rsid w:val="00B67A5D"/>
    <w:rsid w:val="00B701C5"/>
    <w:rsid w:val="00B706AE"/>
    <w:rsid w:val="00B70872"/>
    <w:rsid w:val="00B71315"/>
    <w:rsid w:val="00B72C88"/>
    <w:rsid w:val="00B72CB0"/>
    <w:rsid w:val="00B7378B"/>
    <w:rsid w:val="00B741E0"/>
    <w:rsid w:val="00B74314"/>
    <w:rsid w:val="00B74A1B"/>
    <w:rsid w:val="00B756EC"/>
    <w:rsid w:val="00B7741C"/>
    <w:rsid w:val="00B80BBB"/>
    <w:rsid w:val="00B83914"/>
    <w:rsid w:val="00B83C7D"/>
    <w:rsid w:val="00B83CFA"/>
    <w:rsid w:val="00B83E82"/>
    <w:rsid w:val="00B84438"/>
    <w:rsid w:val="00B846AC"/>
    <w:rsid w:val="00B84BC0"/>
    <w:rsid w:val="00B84BD0"/>
    <w:rsid w:val="00B85A33"/>
    <w:rsid w:val="00B860B6"/>
    <w:rsid w:val="00B8613E"/>
    <w:rsid w:val="00B87CFC"/>
    <w:rsid w:val="00B9000D"/>
    <w:rsid w:val="00B90516"/>
    <w:rsid w:val="00B914F7"/>
    <w:rsid w:val="00B92382"/>
    <w:rsid w:val="00B92464"/>
    <w:rsid w:val="00B92AC9"/>
    <w:rsid w:val="00B934A5"/>
    <w:rsid w:val="00B940FA"/>
    <w:rsid w:val="00B94312"/>
    <w:rsid w:val="00B94DDB"/>
    <w:rsid w:val="00B950F9"/>
    <w:rsid w:val="00B9576E"/>
    <w:rsid w:val="00B95A79"/>
    <w:rsid w:val="00B96FD7"/>
    <w:rsid w:val="00BA0057"/>
    <w:rsid w:val="00BA0144"/>
    <w:rsid w:val="00BA09E0"/>
    <w:rsid w:val="00BA12D2"/>
    <w:rsid w:val="00BA1E88"/>
    <w:rsid w:val="00BA1F78"/>
    <w:rsid w:val="00BA2947"/>
    <w:rsid w:val="00BA33CE"/>
    <w:rsid w:val="00BA3BE0"/>
    <w:rsid w:val="00BA4104"/>
    <w:rsid w:val="00BA5A24"/>
    <w:rsid w:val="00BA66AF"/>
    <w:rsid w:val="00BA79E2"/>
    <w:rsid w:val="00BB06CC"/>
    <w:rsid w:val="00BB0BA4"/>
    <w:rsid w:val="00BB145D"/>
    <w:rsid w:val="00BB1611"/>
    <w:rsid w:val="00BB188A"/>
    <w:rsid w:val="00BB1E4B"/>
    <w:rsid w:val="00BB446B"/>
    <w:rsid w:val="00BB477C"/>
    <w:rsid w:val="00BB501E"/>
    <w:rsid w:val="00BB54CA"/>
    <w:rsid w:val="00BB5D1C"/>
    <w:rsid w:val="00BB5D61"/>
    <w:rsid w:val="00BB60A8"/>
    <w:rsid w:val="00BB746D"/>
    <w:rsid w:val="00BB793B"/>
    <w:rsid w:val="00BB7B40"/>
    <w:rsid w:val="00BC0912"/>
    <w:rsid w:val="00BC0B38"/>
    <w:rsid w:val="00BC0B59"/>
    <w:rsid w:val="00BC13C8"/>
    <w:rsid w:val="00BC2C10"/>
    <w:rsid w:val="00BC2D23"/>
    <w:rsid w:val="00BC2FBF"/>
    <w:rsid w:val="00BC31B2"/>
    <w:rsid w:val="00BC33D9"/>
    <w:rsid w:val="00BC3AC1"/>
    <w:rsid w:val="00BC4812"/>
    <w:rsid w:val="00BC4EE9"/>
    <w:rsid w:val="00BC527A"/>
    <w:rsid w:val="00BC6070"/>
    <w:rsid w:val="00BC615F"/>
    <w:rsid w:val="00BC6BAC"/>
    <w:rsid w:val="00BC6C38"/>
    <w:rsid w:val="00BC6F34"/>
    <w:rsid w:val="00BC7126"/>
    <w:rsid w:val="00BC748E"/>
    <w:rsid w:val="00BC749A"/>
    <w:rsid w:val="00BC7887"/>
    <w:rsid w:val="00BC78AD"/>
    <w:rsid w:val="00BD01E1"/>
    <w:rsid w:val="00BD0E7D"/>
    <w:rsid w:val="00BD0F08"/>
    <w:rsid w:val="00BD15B1"/>
    <w:rsid w:val="00BD19FB"/>
    <w:rsid w:val="00BD2D7A"/>
    <w:rsid w:val="00BD353C"/>
    <w:rsid w:val="00BD3645"/>
    <w:rsid w:val="00BD441E"/>
    <w:rsid w:val="00BD44B2"/>
    <w:rsid w:val="00BD4562"/>
    <w:rsid w:val="00BD468D"/>
    <w:rsid w:val="00BD4725"/>
    <w:rsid w:val="00BD48C2"/>
    <w:rsid w:val="00BD4F60"/>
    <w:rsid w:val="00BD5A40"/>
    <w:rsid w:val="00BD6096"/>
    <w:rsid w:val="00BD6182"/>
    <w:rsid w:val="00BD6DAA"/>
    <w:rsid w:val="00BE0258"/>
    <w:rsid w:val="00BE06DA"/>
    <w:rsid w:val="00BE0EC9"/>
    <w:rsid w:val="00BE120A"/>
    <w:rsid w:val="00BE1431"/>
    <w:rsid w:val="00BE1706"/>
    <w:rsid w:val="00BE171A"/>
    <w:rsid w:val="00BE206A"/>
    <w:rsid w:val="00BE2198"/>
    <w:rsid w:val="00BE267E"/>
    <w:rsid w:val="00BE28D4"/>
    <w:rsid w:val="00BE2940"/>
    <w:rsid w:val="00BE2B52"/>
    <w:rsid w:val="00BE2D09"/>
    <w:rsid w:val="00BE2F5F"/>
    <w:rsid w:val="00BE2F71"/>
    <w:rsid w:val="00BE3238"/>
    <w:rsid w:val="00BE32DE"/>
    <w:rsid w:val="00BE4625"/>
    <w:rsid w:val="00BE551C"/>
    <w:rsid w:val="00BE5781"/>
    <w:rsid w:val="00BE6133"/>
    <w:rsid w:val="00BE70FC"/>
    <w:rsid w:val="00BE7B20"/>
    <w:rsid w:val="00BE7F3A"/>
    <w:rsid w:val="00BF0022"/>
    <w:rsid w:val="00BF0309"/>
    <w:rsid w:val="00BF051C"/>
    <w:rsid w:val="00BF1512"/>
    <w:rsid w:val="00BF184C"/>
    <w:rsid w:val="00BF1911"/>
    <w:rsid w:val="00BF1CA5"/>
    <w:rsid w:val="00BF1DAB"/>
    <w:rsid w:val="00BF24A5"/>
    <w:rsid w:val="00BF27F6"/>
    <w:rsid w:val="00BF366A"/>
    <w:rsid w:val="00BF4284"/>
    <w:rsid w:val="00BF42DA"/>
    <w:rsid w:val="00BF57BF"/>
    <w:rsid w:val="00BF7D5D"/>
    <w:rsid w:val="00BF7E3C"/>
    <w:rsid w:val="00BF7E6B"/>
    <w:rsid w:val="00C01485"/>
    <w:rsid w:val="00C01981"/>
    <w:rsid w:val="00C01CA4"/>
    <w:rsid w:val="00C02665"/>
    <w:rsid w:val="00C02BD9"/>
    <w:rsid w:val="00C032DA"/>
    <w:rsid w:val="00C03E27"/>
    <w:rsid w:val="00C052C5"/>
    <w:rsid w:val="00C05E2D"/>
    <w:rsid w:val="00C05EC1"/>
    <w:rsid w:val="00C062F1"/>
    <w:rsid w:val="00C06FF3"/>
    <w:rsid w:val="00C0776D"/>
    <w:rsid w:val="00C07CBB"/>
    <w:rsid w:val="00C10B64"/>
    <w:rsid w:val="00C1116F"/>
    <w:rsid w:val="00C118A8"/>
    <w:rsid w:val="00C11AA1"/>
    <w:rsid w:val="00C11D6F"/>
    <w:rsid w:val="00C12B72"/>
    <w:rsid w:val="00C12E1E"/>
    <w:rsid w:val="00C1360B"/>
    <w:rsid w:val="00C13990"/>
    <w:rsid w:val="00C14161"/>
    <w:rsid w:val="00C14835"/>
    <w:rsid w:val="00C14C00"/>
    <w:rsid w:val="00C1509B"/>
    <w:rsid w:val="00C15CE8"/>
    <w:rsid w:val="00C15DEB"/>
    <w:rsid w:val="00C15FA7"/>
    <w:rsid w:val="00C16070"/>
    <w:rsid w:val="00C16258"/>
    <w:rsid w:val="00C16317"/>
    <w:rsid w:val="00C1632E"/>
    <w:rsid w:val="00C16839"/>
    <w:rsid w:val="00C1777A"/>
    <w:rsid w:val="00C2003A"/>
    <w:rsid w:val="00C217D2"/>
    <w:rsid w:val="00C229C4"/>
    <w:rsid w:val="00C22CDA"/>
    <w:rsid w:val="00C22EE5"/>
    <w:rsid w:val="00C23201"/>
    <w:rsid w:val="00C235E5"/>
    <w:rsid w:val="00C23923"/>
    <w:rsid w:val="00C23AB7"/>
    <w:rsid w:val="00C23B58"/>
    <w:rsid w:val="00C24354"/>
    <w:rsid w:val="00C2449E"/>
    <w:rsid w:val="00C247BA"/>
    <w:rsid w:val="00C24898"/>
    <w:rsid w:val="00C2550A"/>
    <w:rsid w:val="00C255DB"/>
    <w:rsid w:val="00C259D5"/>
    <w:rsid w:val="00C26199"/>
    <w:rsid w:val="00C26665"/>
    <w:rsid w:val="00C276D5"/>
    <w:rsid w:val="00C27A28"/>
    <w:rsid w:val="00C309EA"/>
    <w:rsid w:val="00C31187"/>
    <w:rsid w:val="00C313ED"/>
    <w:rsid w:val="00C31BA5"/>
    <w:rsid w:val="00C31BAD"/>
    <w:rsid w:val="00C31F83"/>
    <w:rsid w:val="00C32276"/>
    <w:rsid w:val="00C336C3"/>
    <w:rsid w:val="00C35678"/>
    <w:rsid w:val="00C35CFD"/>
    <w:rsid w:val="00C3652B"/>
    <w:rsid w:val="00C37DFE"/>
    <w:rsid w:val="00C37F02"/>
    <w:rsid w:val="00C405C2"/>
    <w:rsid w:val="00C40F51"/>
    <w:rsid w:val="00C410C0"/>
    <w:rsid w:val="00C41922"/>
    <w:rsid w:val="00C41D32"/>
    <w:rsid w:val="00C42231"/>
    <w:rsid w:val="00C4484A"/>
    <w:rsid w:val="00C4498F"/>
    <w:rsid w:val="00C45325"/>
    <w:rsid w:val="00C45623"/>
    <w:rsid w:val="00C457FB"/>
    <w:rsid w:val="00C45F64"/>
    <w:rsid w:val="00C473FE"/>
    <w:rsid w:val="00C4741B"/>
    <w:rsid w:val="00C47CF4"/>
    <w:rsid w:val="00C50C5C"/>
    <w:rsid w:val="00C51543"/>
    <w:rsid w:val="00C51A35"/>
    <w:rsid w:val="00C51D3E"/>
    <w:rsid w:val="00C5290E"/>
    <w:rsid w:val="00C52B16"/>
    <w:rsid w:val="00C52B35"/>
    <w:rsid w:val="00C53595"/>
    <w:rsid w:val="00C542F8"/>
    <w:rsid w:val="00C5493E"/>
    <w:rsid w:val="00C54A6A"/>
    <w:rsid w:val="00C54B50"/>
    <w:rsid w:val="00C5666A"/>
    <w:rsid w:val="00C56BE8"/>
    <w:rsid w:val="00C56C55"/>
    <w:rsid w:val="00C576DE"/>
    <w:rsid w:val="00C57A8C"/>
    <w:rsid w:val="00C57DEA"/>
    <w:rsid w:val="00C57FB9"/>
    <w:rsid w:val="00C60125"/>
    <w:rsid w:val="00C60B84"/>
    <w:rsid w:val="00C60D53"/>
    <w:rsid w:val="00C618FC"/>
    <w:rsid w:val="00C61D82"/>
    <w:rsid w:val="00C620EE"/>
    <w:rsid w:val="00C63A7F"/>
    <w:rsid w:val="00C63E4D"/>
    <w:rsid w:val="00C64510"/>
    <w:rsid w:val="00C64632"/>
    <w:rsid w:val="00C648CC"/>
    <w:rsid w:val="00C648E2"/>
    <w:rsid w:val="00C653C8"/>
    <w:rsid w:val="00C65E4D"/>
    <w:rsid w:val="00C661DE"/>
    <w:rsid w:val="00C6670E"/>
    <w:rsid w:val="00C66D04"/>
    <w:rsid w:val="00C66F94"/>
    <w:rsid w:val="00C6748F"/>
    <w:rsid w:val="00C67AF5"/>
    <w:rsid w:val="00C67C77"/>
    <w:rsid w:val="00C67CCD"/>
    <w:rsid w:val="00C67E9E"/>
    <w:rsid w:val="00C7007F"/>
    <w:rsid w:val="00C703E0"/>
    <w:rsid w:val="00C7121A"/>
    <w:rsid w:val="00C721F8"/>
    <w:rsid w:val="00C73696"/>
    <w:rsid w:val="00C73FFD"/>
    <w:rsid w:val="00C744AE"/>
    <w:rsid w:val="00C74AAE"/>
    <w:rsid w:val="00C7564B"/>
    <w:rsid w:val="00C75A94"/>
    <w:rsid w:val="00C75CEC"/>
    <w:rsid w:val="00C763CA"/>
    <w:rsid w:val="00C76F0D"/>
    <w:rsid w:val="00C77078"/>
    <w:rsid w:val="00C7731D"/>
    <w:rsid w:val="00C77A00"/>
    <w:rsid w:val="00C77FF5"/>
    <w:rsid w:val="00C80721"/>
    <w:rsid w:val="00C8082F"/>
    <w:rsid w:val="00C80AD5"/>
    <w:rsid w:val="00C80C7C"/>
    <w:rsid w:val="00C81012"/>
    <w:rsid w:val="00C816AF"/>
    <w:rsid w:val="00C81700"/>
    <w:rsid w:val="00C81B4F"/>
    <w:rsid w:val="00C823F9"/>
    <w:rsid w:val="00C83A1B"/>
    <w:rsid w:val="00C8445A"/>
    <w:rsid w:val="00C84C61"/>
    <w:rsid w:val="00C84CB1"/>
    <w:rsid w:val="00C84EA7"/>
    <w:rsid w:val="00C850B0"/>
    <w:rsid w:val="00C85144"/>
    <w:rsid w:val="00C8799B"/>
    <w:rsid w:val="00C87C34"/>
    <w:rsid w:val="00C87E87"/>
    <w:rsid w:val="00C902C6"/>
    <w:rsid w:val="00C90719"/>
    <w:rsid w:val="00C91DE8"/>
    <w:rsid w:val="00C91EBC"/>
    <w:rsid w:val="00C92752"/>
    <w:rsid w:val="00C9301B"/>
    <w:rsid w:val="00C93FCA"/>
    <w:rsid w:val="00C94FCF"/>
    <w:rsid w:val="00C9548A"/>
    <w:rsid w:val="00C9585B"/>
    <w:rsid w:val="00C96AA0"/>
    <w:rsid w:val="00C975C6"/>
    <w:rsid w:val="00C97750"/>
    <w:rsid w:val="00C97AA1"/>
    <w:rsid w:val="00C97B30"/>
    <w:rsid w:val="00C97E0C"/>
    <w:rsid w:val="00CA05D7"/>
    <w:rsid w:val="00CA0696"/>
    <w:rsid w:val="00CA0F87"/>
    <w:rsid w:val="00CA174A"/>
    <w:rsid w:val="00CA201D"/>
    <w:rsid w:val="00CA2228"/>
    <w:rsid w:val="00CA22A1"/>
    <w:rsid w:val="00CA27A0"/>
    <w:rsid w:val="00CA2C31"/>
    <w:rsid w:val="00CA2E28"/>
    <w:rsid w:val="00CA3EE9"/>
    <w:rsid w:val="00CA4133"/>
    <w:rsid w:val="00CA493F"/>
    <w:rsid w:val="00CA4EFE"/>
    <w:rsid w:val="00CA57C7"/>
    <w:rsid w:val="00CA6255"/>
    <w:rsid w:val="00CA63B2"/>
    <w:rsid w:val="00CA6966"/>
    <w:rsid w:val="00CA6AA2"/>
    <w:rsid w:val="00CA6C61"/>
    <w:rsid w:val="00CA6E06"/>
    <w:rsid w:val="00CA7029"/>
    <w:rsid w:val="00CA7683"/>
    <w:rsid w:val="00CA7A62"/>
    <w:rsid w:val="00CB078D"/>
    <w:rsid w:val="00CB084E"/>
    <w:rsid w:val="00CB189F"/>
    <w:rsid w:val="00CB1954"/>
    <w:rsid w:val="00CB1AEB"/>
    <w:rsid w:val="00CB1CCA"/>
    <w:rsid w:val="00CB2319"/>
    <w:rsid w:val="00CB2DE0"/>
    <w:rsid w:val="00CB3069"/>
    <w:rsid w:val="00CB38BF"/>
    <w:rsid w:val="00CB3EB3"/>
    <w:rsid w:val="00CB4267"/>
    <w:rsid w:val="00CB5099"/>
    <w:rsid w:val="00CB59FE"/>
    <w:rsid w:val="00CB641F"/>
    <w:rsid w:val="00CB64C0"/>
    <w:rsid w:val="00CB6515"/>
    <w:rsid w:val="00CB7AA1"/>
    <w:rsid w:val="00CC063C"/>
    <w:rsid w:val="00CC064B"/>
    <w:rsid w:val="00CC1A36"/>
    <w:rsid w:val="00CC1A65"/>
    <w:rsid w:val="00CC1BFD"/>
    <w:rsid w:val="00CC207D"/>
    <w:rsid w:val="00CC248A"/>
    <w:rsid w:val="00CC29BA"/>
    <w:rsid w:val="00CC31C7"/>
    <w:rsid w:val="00CC348E"/>
    <w:rsid w:val="00CC4F63"/>
    <w:rsid w:val="00CC4FCB"/>
    <w:rsid w:val="00CC5077"/>
    <w:rsid w:val="00CC568E"/>
    <w:rsid w:val="00CC6313"/>
    <w:rsid w:val="00CC6356"/>
    <w:rsid w:val="00CC7000"/>
    <w:rsid w:val="00CC71DA"/>
    <w:rsid w:val="00CC7241"/>
    <w:rsid w:val="00CD171B"/>
    <w:rsid w:val="00CD1905"/>
    <w:rsid w:val="00CD1D4A"/>
    <w:rsid w:val="00CD1F54"/>
    <w:rsid w:val="00CD3382"/>
    <w:rsid w:val="00CD3582"/>
    <w:rsid w:val="00CD3808"/>
    <w:rsid w:val="00CD46D9"/>
    <w:rsid w:val="00CD53E4"/>
    <w:rsid w:val="00CD6036"/>
    <w:rsid w:val="00CD615A"/>
    <w:rsid w:val="00CD61B4"/>
    <w:rsid w:val="00CD62B0"/>
    <w:rsid w:val="00CD7052"/>
    <w:rsid w:val="00CE024B"/>
    <w:rsid w:val="00CE037C"/>
    <w:rsid w:val="00CE0AC8"/>
    <w:rsid w:val="00CE0FBA"/>
    <w:rsid w:val="00CE1230"/>
    <w:rsid w:val="00CE16AA"/>
    <w:rsid w:val="00CE1CF7"/>
    <w:rsid w:val="00CE4897"/>
    <w:rsid w:val="00CE4E99"/>
    <w:rsid w:val="00CE51F2"/>
    <w:rsid w:val="00CE5D74"/>
    <w:rsid w:val="00CE641C"/>
    <w:rsid w:val="00CE6C4F"/>
    <w:rsid w:val="00CE6D62"/>
    <w:rsid w:val="00CE709B"/>
    <w:rsid w:val="00CE7283"/>
    <w:rsid w:val="00CE76F4"/>
    <w:rsid w:val="00CE77B6"/>
    <w:rsid w:val="00CF1661"/>
    <w:rsid w:val="00CF1C71"/>
    <w:rsid w:val="00CF3135"/>
    <w:rsid w:val="00CF3894"/>
    <w:rsid w:val="00CF3BEC"/>
    <w:rsid w:val="00CF3D11"/>
    <w:rsid w:val="00CF415F"/>
    <w:rsid w:val="00CF4D75"/>
    <w:rsid w:val="00CF4E63"/>
    <w:rsid w:val="00CF56A8"/>
    <w:rsid w:val="00CF7B40"/>
    <w:rsid w:val="00D00E68"/>
    <w:rsid w:val="00D01526"/>
    <w:rsid w:val="00D01C1E"/>
    <w:rsid w:val="00D02CAB"/>
    <w:rsid w:val="00D0377D"/>
    <w:rsid w:val="00D0413B"/>
    <w:rsid w:val="00D06AC5"/>
    <w:rsid w:val="00D072CC"/>
    <w:rsid w:val="00D106B2"/>
    <w:rsid w:val="00D115B1"/>
    <w:rsid w:val="00D11603"/>
    <w:rsid w:val="00D118CC"/>
    <w:rsid w:val="00D11D25"/>
    <w:rsid w:val="00D12029"/>
    <w:rsid w:val="00D123DA"/>
    <w:rsid w:val="00D12DC5"/>
    <w:rsid w:val="00D136E8"/>
    <w:rsid w:val="00D139C3"/>
    <w:rsid w:val="00D14230"/>
    <w:rsid w:val="00D149B8"/>
    <w:rsid w:val="00D14B70"/>
    <w:rsid w:val="00D155F7"/>
    <w:rsid w:val="00D15603"/>
    <w:rsid w:val="00D1564B"/>
    <w:rsid w:val="00D15666"/>
    <w:rsid w:val="00D156A1"/>
    <w:rsid w:val="00D15EFC"/>
    <w:rsid w:val="00D165F1"/>
    <w:rsid w:val="00D1674E"/>
    <w:rsid w:val="00D16B8D"/>
    <w:rsid w:val="00D16C96"/>
    <w:rsid w:val="00D17016"/>
    <w:rsid w:val="00D1776F"/>
    <w:rsid w:val="00D17A6C"/>
    <w:rsid w:val="00D23060"/>
    <w:rsid w:val="00D23265"/>
    <w:rsid w:val="00D23FA8"/>
    <w:rsid w:val="00D243F4"/>
    <w:rsid w:val="00D24609"/>
    <w:rsid w:val="00D24CEC"/>
    <w:rsid w:val="00D256C7"/>
    <w:rsid w:val="00D25786"/>
    <w:rsid w:val="00D259D8"/>
    <w:rsid w:val="00D25C7A"/>
    <w:rsid w:val="00D2641F"/>
    <w:rsid w:val="00D26DD3"/>
    <w:rsid w:val="00D27D64"/>
    <w:rsid w:val="00D27F6C"/>
    <w:rsid w:val="00D3022B"/>
    <w:rsid w:val="00D31998"/>
    <w:rsid w:val="00D31B6B"/>
    <w:rsid w:val="00D32C50"/>
    <w:rsid w:val="00D32CAE"/>
    <w:rsid w:val="00D33140"/>
    <w:rsid w:val="00D331D5"/>
    <w:rsid w:val="00D332B2"/>
    <w:rsid w:val="00D3367C"/>
    <w:rsid w:val="00D3436B"/>
    <w:rsid w:val="00D34957"/>
    <w:rsid w:val="00D34A54"/>
    <w:rsid w:val="00D35211"/>
    <w:rsid w:val="00D355C1"/>
    <w:rsid w:val="00D36CE4"/>
    <w:rsid w:val="00D36D20"/>
    <w:rsid w:val="00D373D2"/>
    <w:rsid w:val="00D401EF"/>
    <w:rsid w:val="00D401F2"/>
    <w:rsid w:val="00D402E8"/>
    <w:rsid w:val="00D40D94"/>
    <w:rsid w:val="00D413ED"/>
    <w:rsid w:val="00D41556"/>
    <w:rsid w:val="00D41CDB"/>
    <w:rsid w:val="00D4342D"/>
    <w:rsid w:val="00D43723"/>
    <w:rsid w:val="00D44877"/>
    <w:rsid w:val="00D44EB9"/>
    <w:rsid w:val="00D457B5"/>
    <w:rsid w:val="00D46623"/>
    <w:rsid w:val="00D4673B"/>
    <w:rsid w:val="00D46756"/>
    <w:rsid w:val="00D47AC5"/>
    <w:rsid w:val="00D47FD6"/>
    <w:rsid w:val="00D501D2"/>
    <w:rsid w:val="00D508AA"/>
    <w:rsid w:val="00D515FC"/>
    <w:rsid w:val="00D525AE"/>
    <w:rsid w:val="00D52673"/>
    <w:rsid w:val="00D526A3"/>
    <w:rsid w:val="00D530E6"/>
    <w:rsid w:val="00D53396"/>
    <w:rsid w:val="00D536B3"/>
    <w:rsid w:val="00D538E4"/>
    <w:rsid w:val="00D53DB3"/>
    <w:rsid w:val="00D53DC1"/>
    <w:rsid w:val="00D54B20"/>
    <w:rsid w:val="00D54B4E"/>
    <w:rsid w:val="00D54EE6"/>
    <w:rsid w:val="00D55BD6"/>
    <w:rsid w:val="00D56444"/>
    <w:rsid w:val="00D56A8B"/>
    <w:rsid w:val="00D571CB"/>
    <w:rsid w:val="00D5737C"/>
    <w:rsid w:val="00D5746C"/>
    <w:rsid w:val="00D57609"/>
    <w:rsid w:val="00D576B0"/>
    <w:rsid w:val="00D57767"/>
    <w:rsid w:val="00D579A5"/>
    <w:rsid w:val="00D57BF6"/>
    <w:rsid w:val="00D57C36"/>
    <w:rsid w:val="00D57ED3"/>
    <w:rsid w:val="00D603D6"/>
    <w:rsid w:val="00D60572"/>
    <w:rsid w:val="00D60C64"/>
    <w:rsid w:val="00D60E0A"/>
    <w:rsid w:val="00D6112B"/>
    <w:rsid w:val="00D61214"/>
    <w:rsid w:val="00D615A9"/>
    <w:rsid w:val="00D618FA"/>
    <w:rsid w:val="00D61ECC"/>
    <w:rsid w:val="00D62836"/>
    <w:rsid w:val="00D628A3"/>
    <w:rsid w:val="00D62A25"/>
    <w:rsid w:val="00D63803"/>
    <w:rsid w:val="00D63B95"/>
    <w:rsid w:val="00D63E10"/>
    <w:rsid w:val="00D642D7"/>
    <w:rsid w:val="00D64529"/>
    <w:rsid w:val="00D65253"/>
    <w:rsid w:val="00D6555A"/>
    <w:rsid w:val="00D657CB"/>
    <w:rsid w:val="00D65D7F"/>
    <w:rsid w:val="00D660E7"/>
    <w:rsid w:val="00D66E86"/>
    <w:rsid w:val="00D70633"/>
    <w:rsid w:val="00D70925"/>
    <w:rsid w:val="00D70A5C"/>
    <w:rsid w:val="00D721DF"/>
    <w:rsid w:val="00D7256B"/>
    <w:rsid w:val="00D72582"/>
    <w:rsid w:val="00D72DB2"/>
    <w:rsid w:val="00D73195"/>
    <w:rsid w:val="00D732E3"/>
    <w:rsid w:val="00D73EE2"/>
    <w:rsid w:val="00D74210"/>
    <w:rsid w:val="00D743D6"/>
    <w:rsid w:val="00D749A3"/>
    <w:rsid w:val="00D74EDA"/>
    <w:rsid w:val="00D753D6"/>
    <w:rsid w:val="00D75607"/>
    <w:rsid w:val="00D768BF"/>
    <w:rsid w:val="00D77102"/>
    <w:rsid w:val="00D77132"/>
    <w:rsid w:val="00D77576"/>
    <w:rsid w:val="00D77CB2"/>
    <w:rsid w:val="00D77FDB"/>
    <w:rsid w:val="00D80322"/>
    <w:rsid w:val="00D809E9"/>
    <w:rsid w:val="00D80F37"/>
    <w:rsid w:val="00D817B9"/>
    <w:rsid w:val="00D82406"/>
    <w:rsid w:val="00D82DE0"/>
    <w:rsid w:val="00D83228"/>
    <w:rsid w:val="00D83400"/>
    <w:rsid w:val="00D852F5"/>
    <w:rsid w:val="00D8579D"/>
    <w:rsid w:val="00D9014B"/>
    <w:rsid w:val="00D90B10"/>
    <w:rsid w:val="00D91AF2"/>
    <w:rsid w:val="00D9221A"/>
    <w:rsid w:val="00D922E6"/>
    <w:rsid w:val="00D92574"/>
    <w:rsid w:val="00D92BBA"/>
    <w:rsid w:val="00D93D9F"/>
    <w:rsid w:val="00D94AC4"/>
    <w:rsid w:val="00D96829"/>
    <w:rsid w:val="00D96E2A"/>
    <w:rsid w:val="00D970BA"/>
    <w:rsid w:val="00DA0131"/>
    <w:rsid w:val="00DA0870"/>
    <w:rsid w:val="00DA0B0D"/>
    <w:rsid w:val="00DA0EA3"/>
    <w:rsid w:val="00DA0F30"/>
    <w:rsid w:val="00DA18DA"/>
    <w:rsid w:val="00DA18FA"/>
    <w:rsid w:val="00DA1BC7"/>
    <w:rsid w:val="00DA1CA2"/>
    <w:rsid w:val="00DA35AF"/>
    <w:rsid w:val="00DA3E7A"/>
    <w:rsid w:val="00DA43D5"/>
    <w:rsid w:val="00DA44E6"/>
    <w:rsid w:val="00DA4CC5"/>
    <w:rsid w:val="00DA50B3"/>
    <w:rsid w:val="00DA5412"/>
    <w:rsid w:val="00DA60B6"/>
    <w:rsid w:val="00DA69DC"/>
    <w:rsid w:val="00DA6E6F"/>
    <w:rsid w:val="00DA72C9"/>
    <w:rsid w:val="00DA79AA"/>
    <w:rsid w:val="00DA7E8F"/>
    <w:rsid w:val="00DB1151"/>
    <w:rsid w:val="00DB22C9"/>
    <w:rsid w:val="00DB295E"/>
    <w:rsid w:val="00DB3998"/>
    <w:rsid w:val="00DB3D47"/>
    <w:rsid w:val="00DB40EE"/>
    <w:rsid w:val="00DB4AAA"/>
    <w:rsid w:val="00DB4AD8"/>
    <w:rsid w:val="00DB52B9"/>
    <w:rsid w:val="00DB54A4"/>
    <w:rsid w:val="00DB572F"/>
    <w:rsid w:val="00DB6429"/>
    <w:rsid w:val="00DB68C8"/>
    <w:rsid w:val="00DB6A5E"/>
    <w:rsid w:val="00DB7015"/>
    <w:rsid w:val="00DB78E5"/>
    <w:rsid w:val="00DC07A2"/>
    <w:rsid w:val="00DC1115"/>
    <w:rsid w:val="00DC13EF"/>
    <w:rsid w:val="00DC21B1"/>
    <w:rsid w:val="00DC302E"/>
    <w:rsid w:val="00DC42F4"/>
    <w:rsid w:val="00DC481C"/>
    <w:rsid w:val="00DC4FE5"/>
    <w:rsid w:val="00DC55E1"/>
    <w:rsid w:val="00DC6973"/>
    <w:rsid w:val="00DC702A"/>
    <w:rsid w:val="00DC758F"/>
    <w:rsid w:val="00DD153B"/>
    <w:rsid w:val="00DD1D2D"/>
    <w:rsid w:val="00DD20BB"/>
    <w:rsid w:val="00DD244F"/>
    <w:rsid w:val="00DD281C"/>
    <w:rsid w:val="00DD346F"/>
    <w:rsid w:val="00DD3FC1"/>
    <w:rsid w:val="00DD4184"/>
    <w:rsid w:val="00DD4719"/>
    <w:rsid w:val="00DD4A1C"/>
    <w:rsid w:val="00DD55C1"/>
    <w:rsid w:val="00DD5B75"/>
    <w:rsid w:val="00DD5EBB"/>
    <w:rsid w:val="00DD6790"/>
    <w:rsid w:val="00DD714D"/>
    <w:rsid w:val="00DD7B3A"/>
    <w:rsid w:val="00DE1089"/>
    <w:rsid w:val="00DE1785"/>
    <w:rsid w:val="00DE21D8"/>
    <w:rsid w:val="00DE35DA"/>
    <w:rsid w:val="00DE415F"/>
    <w:rsid w:val="00DE4ECC"/>
    <w:rsid w:val="00DE4F4F"/>
    <w:rsid w:val="00DE55C8"/>
    <w:rsid w:val="00DE5AAC"/>
    <w:rsid w:val="00DE5B59"/>
    <w:rsid w:val="00DE64AE"/>
    <w:rsid w:val="00DF00C7"/>
    <w:rsid w:val="00DF0467"/>
    <w:rsid w:val="00DF0521"/>
    <w:rsid w:val="00DF0709"/>
    <w:rsid w:val="00DF07D9"/>
    <w:rsid w:val="00DF0D4C"/>
    <w:rsid w:val="00DF1263"/>
    <w:rsid w:val="00DF12A1"/>
    <w:rsid w:val="00DF21B4"/>
    <w:rsid w:val="00DF2526"/>
    <w:rsid w:val="00DF271E"/>
    <w:rsid w:val="00DF2D38"/>
    <w:rsid w:val="00DF3925"/>
    <w:rsid w:val="00DF3B05"/>
    <w:rsid w:val="00DF3E03"/>
    <w:rsid w:val="00DF4A0C"/>
    <w:rsid w:val="00DF4D71"/>
    <w:rsid w:val="00DF4EEF"/>
    <w:rsid w:val="00DF54E5"/>
    <w:rsid w:val="00DF59A2"/>
    <w:rsid w:val="00DF5BF9"/>
    <w:rsid w:val="00DF65DC"/>
    <w:rsid w:val="00DF7737"/>
    <w:rsid w:val="00E00716"/>
    <w:rsid w:val="00E00840"/>
    <w:rsid w:val="00E00DDC"/>
    <w:rsid w:val="00E00E40"/>
    <w:rsid w:val="00E026E1"/>
    <w:rsid w:val="00E02735"/>
    <w:rsid w:val="00E02BA3"/>
    <w:rsid w:val="00E02D41"/>
    <w:rsid w:val="00E03AD7"/>
    <w:rsid w:val="00E03B49"/>
    <w:rsid w:val="00E03D76"/>
    <w:rsid w:val="00E03EEE"/>
    <w:rsid w:val="00E041AE"/>
    <w:rsid w:val="00E047B1"/>
    <w:rsid w:val="00E04815"/>
    <w:rsid w:val="00E04E35"/>
    <w:rsid w:val="00E053B3"/>
    <w:rsid w:val="00E05525"/>
    <w:rsid w:val="00E0556E"/>
    <w:rsid w:val="00E06007"/>
    <w:rsid w:val="00E0609C"/>
    <w:rsid w:val="00E06DC8"/>
    <w:rsid w:val="00E07187"/>
    <w:rsid w:val="00E0719B"/>
    <w:rsid w:val="00E072EA"/>
    <w:rsid w:val="00E07587"/>
    <w:rsid w:val="00E07BA6"/>
    <w:rsid w:val="00E10E31"/>
    <w:rsid w:val="00E118A7"/>
    <w:rsid w:val="00E11CFB"/>
    <w:rsid w:val="00E11D8D"/>
    <w:rsid w:val="00E11F0C"/>
    <w:rsid w:val="00E121F3"/>
    <w:rsid w:val="00E12EB4"/>
    <w:rsid w:val="00E1434A"/>
    <w:rsid w:val="00E14D5E"/>
    <w:rsid w:val="00E16326"/>
    <w:rsid w:val="00E16AA6"/>
    <w:rsid w:val="00E16CBE"/>
    <w:rsid w:val="00E1764F"/>
    <w:rsid w:val="00E17B68"/>
    <w:rsid w:val="00E20160"/>
    <w:rsid w:val="00E20522"/>
    <w:rsid w:val="00E20EB1"/>
    <w:rsid w:val="00E21248"/>
    <w:rsid w:val="00E213F1"/>
    <w:rsid w:val="00E217EE"/>
    <w:rsid w:val="00E221A7"/>
    <w:rsid w:val="00E22450"/>
    <w:rsid w:val="00E22AC6"/>
    <w:rsid w:val="00E22CDB"/>
    <w:rsid w:val="00E23287"/>
    <w:rsid w:val="00E2372A"/>
    <w:rsid w:val="00E24237"/>
    <w:rsid w:val="00E24F18"/>
    <w:rsid w:val="00E25233"/>
    <w:rsid w:val="00E2538F"/>
    <w:rsid w:val="00E25BC3"/>
    <w:rsid w:val="00E25E7A"/>
    <w:rsid w:val="00E2713E"/>
    <w:rsid w:val="00E279B9"/>
    <w:rsid w:val="00E304F6"/>
    <w:rsid w:val="00E30601"/>
    <w:rsid w:val="00E321F0"/>
    <w:rsid w:val="00E32553"/>
    <w:rsid w:val="00E32FC4"/>
    <w:rsid w:val="00E334D5"/>
    <w:rsid w:val="00E337B6"/>
    <w:rsid w:val="00E34228"/>
    <w:rsid w:val="00E35A20"/>
    <w:rsid w:val="00E35D96"/>
    <w:rsid w:val="00E35EC2"/>
    <w:rsid w:val="00E366BD"/>
    <w:rsid w:val="00E3672B"/>
    <w:rsid w:val="00E36D34"/>
    <w:rsid w:val="00E37265"/>
    <w:rsid w:val="00E376DA"/>
    <w:rsid w:val="00E4006A"/>
    <w:rsid w:val="00E407A3"/>
    <w:rsid w:val="00E40E75"/>
    <w:rsid w:val="00E410B0"/>
    <w:rsid w:val="00E41837"/>
    <w:rsid w:val="00E41ABB"/>
    <w:rsid w:val="00E41D37"/>
    <w:rsid w:val="00E42A65"/>
    <w:rsid w:val="00E42C0E"/>
    <w:rsid w:val="00E43B4B"/>
    <w:rsid w:val="00E44061"/>
    <w:rsid w:val="00E441B3"/>
    <w:rsid w:val="00E44D8E"/>
    <w:rsid w:val="00E45651"/>
    <w:rsid w:val="00E4603D"/>
    <w:rsid w:val="00E47063"/>
    <w:rsid w:val="00E47FDC"/>
    <w:rsid w:val="00E50008"/>
    <w:rsid w:val="00E506E9"/>
    <w:rsid w:val="00E51822"/>
    <w:rsid w:val="00E52A92"/>
    <w:rsid w:val="00E53CE0"/>
    <w:rsid w:val="00E54A5C"/>
    <w:rsid w:val="00E551D3"/>
    <w:rsid w:val="00E5564C"/>
    <w:rsid w:val="00E56003"/>
    <w:rsid w:val="00E56667"/>
    <w:rsid w:val="00E56E70"/>
    <w:rsid w:val="00E5779D"/>
    <w:rsid w:val="00E60069"/>
    <w:rsid w:val="00E60152"/>
    <w:rsid w:val="00E60C58"/>
    <w:rsid w:val="00E60D42"/>
    <w:rsid w:val="00E61589"/>
    <w:rsid w:val="00E618A3"/>
    <w:rsid w:val="00E61B4C"/>
    <w:rsid w:val="00E620C8"/>
    <w:rsid w:val="00E62976"/>
    <w:rsid w:val="00E63249"/>
    <w:rsid w:val="00E6363F"/>
    <w:rsid w:val="00E6378C"/>
    <w:rsid w:val="00E64529"/>
    <w:rsid w:val="00E647CE"/>
    <w:rsid w:val="00E64840"/>
    <w:rsid w:val="00E6494A"/>
    <w:rsid w:val="00E64D93"/>
    <w:rsid w:val="00E65A70"/>
    <w:rsid w:val="00E66B57"/>
    <w:rsid w:val="00E66F72"/>
    <w:rsid w:val="00E676C8"/>
    <w:rsid w:val="00E7002D"/>
    <w:rsid w:val="00E70155"/>
    <w:rsid w:val="00E701D2"/>
    <w:rsid w:val="00E709A7"/>
    <w:rsid w:val="00E70BBF"/>
    <w:rsid w:val="00E71223"/>
    <w:rsid w:val="00E71963"/>
    <w:rsid w:val="00E719E7"/>
    <w:rsid w:val="00E719FC"/>
    <w:rsid w:val="00E71B33"/>
    <w:rsid w:val="00E71BB2"/>
    <w:rsid w:val="00E71FEC"/>
    <w:rsid w:val="00E72A19"/>
    <w:rsid w:val="00E72B85"/>
    <w:rsid w:val="00E72C5A"/>
    <w:rsid w:val="00E73033"/>
    <w:rsid w:val="00E7329F"/>
    <w:rsid w:val="00E7350B"/>
    <w:rsid w:val="00E73A1E"/>
    <w:rsid w:val="00E74152"/>
    <w:rsid w:val="00E74429"/>
    <w:rsid w:val="00E754AB"/>
    <w:rsid w:val="00E75B82"/>
    <w:rsid w:val="00E7619B"/>
    <w:rsid w:val="00E7688F"/>
    <w:rsid w:val="00E76941"/>
    <w:rsid w:val="00E76D4B"/>
    <w:rsid w:val="00E772F7"/>
    <w:rsid w:val="00E80EF7"/>
    <w:rsid w:val="00E819BB"/>
    <w:rsid w:val="00E81AF3"/>
    <w:rsid w:val="00E81B97"/>
    <w:rsid w:val="00E827FC"/>
    <w:rsid w:val="00E831F0"/>
    <w:rsid w:val="00E832D4"/>
    <w:rsid w:val="00E85442"/>
    <w:rsid w:val="00E85BBC"/>
    <w:rsid w:val="00E86090"/>
    <w:rsid w:val="00E86EB5"/>
    <w:rsid w:val="00E87E4C"/>
    <w:rsid w:val="00E901DF"/>
    <w:rsid w:val="00E90322"/>
    <w:rsid w:val="00E9175A"/>
    <w:rsid w:val="00E917B6"/>
    <w:rsid w:val="00E921B1"/>
    <w:rsid w:val="00E93098"/>
    <w:rsid w:val="00E93255"/>
    <w:rsid w:val="00E934EE"/>
    <w:rsid w:val="00E938C3"/>
    <w:rsid w:val="00E939A0"/>
    <w:rsid w:val="00E953CA"/>
    <w:rsid w:val="00E95434"/>
    <w:rsid w:val="00E95A99"/>
    <w:rsid w:val="00E96AD8"/>
    <w:rsid w:val="00E96B68"/>
    <w:rsid w:val="00EA119B"/>
    <w:rsid w:val="00EA1345"/>
    <w:rsid w:val="00EA1A75"/>
    <w:rsid w:val="00EA1B9A"/>
    <w:rsid w:val="00EA1DD6"/>
    <w:rsid w:val="00EA2674"/>
    <w:rsid w:val="00EA2BD0"/>
    <w:rsid w:val="00EA2F92"/>
    <w:rsid w:val="00EA3DA5"/>
    <w:rsid w:val="00EA47B2"/>
    <w:rsid w:val="00EA4EA8"/>
    <w:rsid w:val="00EA5567"/>
    <w:rsid w:val="00EA568C"/>
    <w:rsid w:val="00EA58BF"/>
    <w:rsid w:val="00EA6D65"/>
    <w:rsid w:val="00EA71BE"/>
    <w:rsid w:val="00EB145E"/>
    <w:rsid w:val="00EB181B"/>
    <w:rsid w:val="00EB315D"/>
    <w:rsid w:val="00EB3187"/>
    <w:rsid w:val="00EB3810"/>
    <w:rsid w:val="00EB3CDE"/>
    <w:rsid w:val="00EB3E34"/>
    <w:rsid w:val="00EB4191"/>
    <w:rsid w:val="00EB4709"/>
    <w:rsid w:val="00EB5599"/>
    <w:rsid w:val="00EB6B0C"/>
    <w:rsid w:val="00EB6B0D"/>
    <w:rsid w:val="00EB6CB3"/>
    <w:rsid w:val="00EC00EB"/>
    <w:rsid w:val="00EC0587"/>
    <w:rsid w:val="00EC0FE8"/>
    <w:rsid w:val="00EC12E4"/>
    <w:rsid w:val="00EC149D"/>
    <w:rsid w:val="00EC23C6"/>
    <w:rsid w:val="00EC2CF8"/>
    <w:rsid w:val="00EC359F"/>
    <w:rsid w:val="00EC4991"/>
    <w:rsid w:val="00EC49C9"/>
    <w:rsid w:val="00EC4AA8"/>
    <w:rsid w:val="00EC4BBC"/>
    <w:rsid w:val="00EC4E6D"/>
    <w:rsid w:val="00EC5C7D"/>
    <w:rsid w:val="00EC67B3"/>
    <w:rsid w:val="00EC7CBD"/>
    <w:rsid w:val="00EC7DF0"/>
    <w:rsid w:val="00EC7F1D"/>
    <w:rsid w:val="00ED0723"/>
    <w:rsid w:val="00ED09DC"/>
    <w:rsid w:val="00ED0B6A"/>
    <w:rsid w:val="00ED0CEC"/>
    <w:rsid w:val="00ED18A2"/>
    <w:rsid w:val="00ED1CBB"/>
    <w:rsid w:val="00ED20F7"/>
    <w:rsid w:val="00ED2DF5"/>
    <w:rsid w:val="00ED313E"/>
    <w:rsid w:val="00ED334E"/>
    <w:rsid w:val="00ED38B9"/>
    <w:rsid w:val="00ED3A24"/>
    <w:rsid w:val="00ED680A"/>
    <w:rsid w:val="00ED6C39"/>
    <w:rsid w:val="00ED7082"/>
    <w:rsid w:val="00ED7D5C"/>
    <w:rsid w:val="00EE097E"/>
    <w:rsid w:val="00EE0E59"/>
    <w:rsid w:val="00EE18B1"/>
    <w:rsid w:val="00EE1ABD"/>
    <w:rsid w:val="00EE1F5C"/>
    <w:rsid w:val="00EE206A"/>
    <w:rsid w:val="00EE2729"/>
    <w:rsid w:val="00EE311D"/>
    <w:rsid w:val="00EE3A8A"/>
    <w:rsid w:val="00EE59B9"/>
    <w:rsid w:val="00EE62FB"/>
    <w:rsid w:val="00EE691F"/>
    <w:rsid w:val="00EE6B96"/>
    <w:rsid w:val="00EE7213"/>
    <w:rsid w:val="00EE72B3"/>
    <w:rsid w:val="00EE7537"/>
    <w:rsid w:val="00EE7701"/>
    <w:rsid w:val="00EE7DBD"/>
    <w:rsid w:val="00EF0263"/>
    <w:rsid w:val="00EF02AB"/>
    <w:rsid w:val="00EF04E9"/>
    <w:rsid w:val="00EF06C4"/>
    <w:rsid w:val="00EF0803"/>
    <w:rsid w:val="00EF0811"/>
    <w:rsid w:val="00EF100A"/>
    <w:rsid w:val="00EF1511"/>
    <w:rsid w:val="00EF245C"/>
    <w:rsid w:val="00EF351B"/>
    <w:rsid w:val="00EF3C5C"/>
    <w:rsid w:val="00EF3C83"/>
    <w:rsid w:val="00EF3F9E"/>
    <w:rsid w:val="00EF42E7"/>
    <w:rsid w:val="00EF56A5"/>
    <w:rsid w:val="00EF6AD0"/>
    <w:rsid w:val="00EF6C76"/>
    <w:rsid w:val="00F00E17"/>
    <w:rsid w:val="00F01140"/>
    <w:rsid w:val="00F01420"/>
    <w:rsid w:val="00F01D38"/>
    <w:rsid w:val="00F01E29"/>
    <w:rsid w:val="00F022E6"/>
    <w:rsid w:val="00F02737"/>
    <w:rsid w:val="00F03A12"/>
    <w:rsid w:val="00F03C52"/>
    <w:rsid w:val="00F04869"/>
    <w:rsid w:val="00F04874"/>
    <w:rsid w:val="00F05113"/>
    <w:rsid w:val="00F05406"/>
    <w:rsid w:val="00F0563D"/>
    <w:rsid w:val="00F05CA9"/>
    <w:rsid w:val="00F05D78"/>
    <w:rsid w:val="00F05E64"/>
    <w:rsid w:val="00F06233"/>
    <w:rsid w:val="00F0647A"/>
    <w:rsid w:val="00F06789"/>
    <w:rsid w:val="00F0722F"/>
    <w:rsid w:val="00F07260"/>
    <w:rsid w:val="00F076AF"/>
    <w:rsid w:val="00F07F5A"/>
    <w:rsid w:val="00F1137A"/>
    <w:rsid w:val="00F114A5"/>
    <w:rsid w:val="00F11A2E"/>
    <w:rsid w:val="00F11AD5"/>
    <w:rsid w:val="00F12652"/>
    <w:rsid w:val="00F142D6"/>
    <w:rsid w:val="00F1475E"/>
    <w:rsid w:val="00F14942"/>
    <w:rsid w:val="00F151F0"/>
    <w:rsid w:val="00F1688B"/>
    <w:rsid w:val="00F16DE3"/>
    <w:rsid w:val="00F17622"/>
    <w:rsid w:val="00F17959"/>
    <w:rsid w:val="00F17978"/>
    <w:rsid w:val="00F200CB"/>
    <w:rsid w:val="00F20227"/>
    <w:rsid w:val="00F2052F"/>
    <w:rsid w:val="00F20D9E"/>
    <w:rsid w:val="00F2169D"/>
    <w:rsid w:val="00F21ADD"/>
    <w:rsid w:val="00F21FA5"/>
    <w:rsid w:val="00F22A61"/>
    <w:rsid w:val="00F24974"/>
    <w:rsid w:val="00F24AE1"/>
    <w:rsid w:val="00F24CC7"/>
    <w:rsid w:val="00F24D36"/>
    <w:rsid w:val="00F24E1A"/>
    <w:rsid w:val="00F256D2"/>
    <w:rsid w:val="00F261EC"/>
    <w:rsid w:val="00F26782"/>
    <w:rsid w:val="00F2683E"/>
    <w:rsid w:val="00F271C1"/>
    <w:rsid w:val="00F27428"/>
    <w:rsid w:val="00F27D44"/>
    <w:rsid w:val="00F305EF"/>
    <w:rsid w:val="00F30925"/>
    <w:rsid w:val="00F30B0D"/>
    <w:rsid w:val="00F30CD2"/>
    <w:rsid w:val="00F322F1"/>
    <w:rsid w:val="00F32633"/>
    <w:rsid w:val="00F327B6"/>
    <w:rsid w:val="00F32DF9"/>
    <w:rsid w:val="00F33216"/>
    <w:rsid w:val="00F332F8"/>
    <w:rsid w:val="00F33F82"/>
    <w:rsid w:val="00F34086"/>
    <w:rsid w:val="00F34838"/>
    <w:rsid w:val="00F3634C"/>
    <w:rsid w:val="00F368F0"/>
    <w:rsid w:val="00F36CE3"/>
    <w:rsid w:val="00F37075"/>
    <w:rsid w:val="00F37BBD"/>
    <w:rsid w:val="00F40782"/>
    <w:rsid w:val="00F4079B"/>
    <w:rsid w:val="00F408FE"/>
    <w:rsid w:val="00F40B36"/>
    <w:rsid w:val="00F41A45"/>
    <w:rsid w:val="00F4247E"/>
    <w:rsid w:val="00F427FC"/>
    <w:rsid w:val="00F43023"/>
    <w:rsid w:val="00F4347A"/>
    <w:rsid w:val="00F43D96"/>
    <w:rsid w:val="00F449F6"/>
    <w:rsid w:val="00F452E4"/>
    <w:rsid w:val="00F4536F"/>
    <w:rsid w:val="00F45568"/>
    <w:rsid w:val="00F45F87"/>
    <w:rsid w:val="00F4618B"/>
    <w:rsid w:val="00F46702"/>
    <w:rsid w:val="00F469EA"/>
    <w:rsid w:val="00F46F44"/>
    <w:rsid w:val="00F47342"/>
    <w:rsid w:val="00F508EE"/>
    <w:rsid w:val="00F50C94"/>
    <w:rsid w:val="00F51974"/>
    <w:rsid w:val="00F51AEE"/>
    <w:rsid w:val="00F52039"/>
    <w:rsid w:val="00F52A6D"/>
    <w:rsid w:val="00F533B1"/>
    <w:rsid w:val="00F533B4"/>
    <w:rsid w:val="00F53771"/>
    <w:rsid w:val="00F538FB"/>
    <w:rsid w:val="00F543CD"/>
    <w:rsid w:val="00F544B8"/>
    <w:rsid w:val="00F547FE"/>
    <w:rsid w:val="00F54E8D"/>
    <w:rsid w:val="00F558E6"/>
    <w:rsid w:val="00F56043"/>
    <w:rsid w:val="00F569A9"/>
    <w:rsid w:val="00F56A52"/>
    <w:rsid w:val="00F5755D"/>
    <w:rsid w:val="00F57C1D"/>
    <w:rsid w:val="00F600D1"/>
    <w:rsid w:val="00F60321"/>
    <w:rsid w:val="00F604E9"/>
    <w:rsid w:val="00F6112E"/>
    <w:rsid w:val="00F6122B"/>
    <w:rsid w:val="00F612EB"/>
    <w:rsid w:val="00F618C6"/>
    <w:rsid w:val="00F61EB3"/>
    <w:rsid w:val="00F622F2"/>
    <w:rsid w:val="00F62377"/>
    <w:rsid w:val="00F62A54"/>
    <w:rsid w:val="00F637B2"/>
    <w:rsid w:val="00F6400B"/>
    <w:rsid w:val="00F64211"/>
    <w:rsid w:val="00F6437F"/>
    <w:rsid w:val="00F64853"/>
    <w:rsid w:val="00F64AB0"/>
    <w:rsid w:val="00F65A59"/>
    <w:rsid w:val="00F65CFE"/>
    <w:rsid w:val="00F65D07"/>
    <w:rsid w:val="00F65F3D"/>
    <w:rsid w:val="00F6758D"/>
    <w:rsid w:val="00F67CAE"/>
    <w:rsid w:val="00F70769"/>
    <w:rsid w:val="00F71795"/>
    <w:rsid w:val="00F721E3"/>
    <w:rsid w:val="00F730B7"/>
    <w:rsid w:val="00F73199"/>
    <w:rsid w:val="00F73799"/>
    <w:rsid w:val="00F73B1E"/>
    <w:rsid w:val="00F7448C"/>
    <w:rsid w:val="00F7544F"/>
    <w:rsid w:val="00F760C0"/>
    <w:rsid w:val="00F761AE"/>
    <w:rsid w:val="00F7636A"/>
    <w:rsid w:val="00F76E7A"/>
    <w:rsid w:val="00F77077"/>
    <w:rsid w:val="00F77907"/>
    <w:rsid w:val="00F800E5"/>
    <w:rsid w:val="00F80163"/>
    <w:rsid w:val="00F802B0"/>
    <w:rsid w:val="00F80CD7"/>
    <w:rsid w:val="00F820CA"/>
    <w:rsid w:val="00F82476"/>
    <w:rsid w:val="00F82629"/>
    <w:rsid w:val="00F82666"/>
    <w:rsid w:val="00F82847"/>
    <w:rsid w:val="00F82D1C"/>
    <w:rsid w:val="00F8336E"/>
    <w:rsid w:val="00F83B46"/>
    <w:rsid w:val="00F840D7"/>
    <w:rsid w:val="00F84577"/>
    <w:rsid w:val="00F846B6"/>
    <w:rsid w:val="00F849DC"/>
    <w:rsid w:val="00F84E3A"/>
    <w:rsid w:val="00F85033"/>
    <w:rsid w:val="00F863B3"/>
    <w:rsid w:val="00F86453"/>
    <w:rsid w:val="00F86C93"/>
    <w:rsid w:val="00F86CA1"/>
    <w:rsid w:val="00F86E00"/>
    <w:rsid w:val="00F9006B"/>
    <w:rsid w:val="00F90AE0"/>
    <w:rsid w:val="00F90D96"/>
    <w:rsid w:val="00F91087"/>
    <w:rsid w:val="00F91B47"/>
    <w:rsid w:val="00F91C0C"/>
    <w:rsid w:val="00F92026"/>
    <w:rsid w:val="00F920AC"/>
    <w:rsid w:val="00F924FB"/>
    <w:rsid w:val="00F926AE"/>
    <w:rsid w:val="00F92B5E"/>
    <w:rsid w:val="00F93B0C"/>
    <w:rsid w:val="00F9417E"/>
    <w:rsid w:val="00F951DC"/>
    <w:rsid w:val="00F96E5D"/>
    <w:rsid w:val="00F97899"/>
    <w:rsid w:val="00F97B11"/>
    <w:rsid w:val="00FA0DBE"/>
    <w:rsid w:val="00FA150F"/>
    <w:rsid w:val="00FA16CF"/>
    <w:rsid w:val="00FA1873"/>
    <w:rsid w:val="00FA2283"/>
    <w:rsid w:val="00FA2899"/>
    <w:rsid w:val="00FA418B"/>
    <w:rsid w:val="00FA5362"/>
    <w:rsid w:val="00FA59EB"/>
    <w:rsid w:val="00FA5DDB"/>
    <w:rsid w:val="00FA60BF"/>
    <w:rsid w:val="00FA62D9"/>
    <w:rsid w:val="00FA6F55"/>
    <w:rsid w:val="00FA764E"/>
    <w:rsid w:val="00FA77E2"/>
    <w:rsid w:val="00FA7BDA"/>
    <w:rsid w:val="00FB06C9"/>
    <w:rsid w:val="00FB077D"/>
    <w:rsid w:val="00FB0951"/>
    <w:rsid w:val="00FB09E9"/>
    <w:rsid w:val="00FB100B"/>
    <w:rsid w:val="00FB16BD"/>
    <w:rsid w:val="00FB24F7"/>
    <w:rsid w:val="00FB2654"/>
    <w:rsid w:val="00FB2DD3"/>
    <w:rsid w:val="00FB308C"/>
    <w:rsid w:val="00FB34FC"/>
    <w:rsid w:val="00FB36DB"/>
    <w:rsid w:val="00FB39D8"/>
    <w:rsid w:val="00FB443E"/>
    <w:rsid w:val="00FB4DFF"/>
    <w:rsid w:val="00FB635D"/>
    <w:rsid w:val="00FB7864"/>
    <w:rsid w:val="00FB7FD8"/>
    <w:rsid w:val="00FC0849"/>
    <w:rsid w:val="00FC11C6"/>
    <w:rsid w:val="00FC1948"/>
    <w:rsid w:val="00FC1AC5"/>
    <w:rsid w:val="00FC250A"/>
    <w:rsid w:val="00FC2664"/>
    <w:rsid w:val="00FC2750"/>
    <w:rsid w:val="00FC2A4C"/>
    <w:rsid w:val="00FC2B9E"/>
    <w:rsid w:val="00FC2C04"/>
    <w:rsid w:val="00FC2E33"/>
    <w:rsid w:val="00FC3521"/>
    <w:rsid w:val="00FC367D"/>
    <w:rsid w:val="00FC36CE"/>
    <w:rsid w:val="00FC381D"/>
    <w:rsid w:val="00FC434B"/>
    <w:rsid w:val="00FC568F"/>
    <w:rsid w:val="00FC5B95"/>
    <w:rsid w:val="00FC5CF4"/>
    <w:rsid w:val="00FC5DCE"/>
    <w:rsid w:val="00FC6AAA"/>
    <w:rsid w:val="00FC705B"/>
    <w:rsid w:val="00FC77BC"/>
    <w:rsid w:val="00FC7F4D"/>
    <w:rsid w:val="00FD008C"/>
    <w:rsid w:val="00FD012C"/>
    <w:rsid w:val="00FD017F"/>
    <w:rsid w:val="00FD0343"/>
    <w:rsid w:val="00FD082C"/>
    <w:rsid w:val="00FD0967"/>
    <w:rsid w:val="00FD17AA"/>
    <w:rsid w:val="00FD284C"/>
    <w:rsid w:val="00FD45EF"/>
    <w:rsid w:val="00FD499F"/>
    <w:rsid w:val="00FD4C27"/>
    <w:rsid w:val="00FD4F7C"/>
    <w:rsid w:val="00FD52AE"/>
    <w:rsid w:val="00FD5387"/>
    <w:rsid w:val="00FD568A"/>
    <w:rsid w:val="00FD56F9"/>
    <w:rsid w:val="00FD596D"/>
    <w:rsid w:val="00FD5BE1"/>
    <w:rsid w:val="00FD6024"/>
    <w:rsid w:val="00FD7807"/>
    <w:rsid w:val="00FD7995"/>
    <w:rsid w:val="00FE083A"/>
    <w:rsid w:val="00FE091A"/>
    <w:rsid w:val="00FE12B4"/>
    <w:rsid w:val="00FE1358"/>
    <w:rsid w:val="00FE2659"/>
    <w:rsid w:val="00FE2A05"/>
    <w:rsid w:val="00FE2C98"/>
    <w:rsid w:val="00FE37B7"/>
    <w:rsid w:val="00FE3F33"/>
    <w:rsid w:val="00FE4012"/>
    <w:rsid w:val="00FE49B5"/>
    <w:rsid w:val="00FE5780"/>
    <w:rsid w:val="00FE5C78"/>
    <w:rsid w:val="00FE5D21"/>
    <w:rsid w:val="00FE60C8"/>
    <w:rsid w:val="00FE6416"/>
    <w:rsid w:val="00FE647B"/>
    <w:rsid w:val="00FE6948"/>
    <w:rsid w:val="00FE7251"/>
    <w:rsid w:val="00FF06C0"/>
    <w:rsid w:val="00FF070A"/>
    <w:rsid w:val="00FF1804"/>
    <w:rsid w:val="00FF19FA"/>
    <w:rsid w:val="00FF1B67"/>
    <w:rsid w:val="00FF3999"/>
    <w:rsid w:val="00FF39E1"/>
    <w:rsid w:val="00FF4018"/>
    <w:rsid w:val="00FF427C"/>
    <w:rsid w:val="00FF427F"/>
    <w:rsid w:val="00FF5756"/>
    <w:rsid w:val="00FF5D0B"/>
    <w:rsid w:val="00FF6443"/>
    <w:rsid w:val="00FF6592"/>
    <w:rsid w:val="00FF783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6FD9FD"/>
  <w15:docId w15:val="{9D977A59-FEC6-4ED0-A214-813BA4A33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heme="minorHAnsi" w:hAnsi="Calibri" w:cstheme="minorHAnsi"/>
        <w:color w:val="002060"/>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422339"/>
    <w:pPr>
      <w:widowControl w:val="0"/>
      <w:autoSpaceDE w:val="0"/>
      <w:autoSpaceDN w:val="0"/>
      <w:adjustRightInd w:val="0"/>
      <w:spacing w:after="0" w:line="240" w:lineRule="auto"/>
    </w:pPr>
  </w:style>
  <w:style w:type="paragraph" w:styleId="Nagwek1">
    <w:name w:val="heading 1"/>
    <w:basedOn w:val="Normalny"/>
    <w:next w:val="Normalny"/>
    <w:link w:val="Nagwek1Znak"/>
    <w:uiPriority w:val="9"/>
    <w:qFormat/>
    <w:rsid w:val="00225E52"/>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gwek2">
    <w:name w:val="heading 2"/>
    <w:basedOn w:val="Normalny"/>
    <w:next w:val="Normalny"/>
    <w:link w:val="Nagwek2Znak"/>
    <w:qFormat/>
    <w:rsid w:val="0034342B"/>
    <w:pPr>
      <w:keepNext/>
      <w:tabs>
        <w:tab w:val="right" w:pos="6237"/>
        <w:tab w:val="left" w:pos="6379"/>
        <w:tab w:val="right" w:pos="7938"/>
        <w:tab w:val="right" w:pos="8505"/>
      </w:tabs>
      <w:overflowPunct w:val="0"/>
      <w:ind w:firstLine="3686"/>
      <w:textAlignment w:val="baseline"/>
      <w:outlineLvl w:val="1"/>
    </w:pPr>
    <w:rPr>
      <w:rFonts w:ascii="Times New Roman" w:eastAsia="Times New Roman" w:hAnsi="Times New Roman" w:cs="Times New Roman"/>
      <w:b/>
      <w:color w:val="auto"/>
      <w:szCs w:val="20"/>
      <w:lang w:eastAsia="pl-PL"/>
    </w:rPr>
  </w:style>
  <w:style w:type="paragraph" w:styleId="Nagwek3">
    <w:name w:val="heading 3"/>
    <w:basedOn w:val="Normalny"/>
    <w:next w:val="Normalny"/>
    <w:link w:val="Nagwek3Znak"/>
    <w:uiPriority w:val="9"/>
    <w:unhideWhenUsed/>
    <w:qFormat/>
    <w:rsid w:val="00225E52"/>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unhideWhenUsed/>
    <w:qFormat/>
    <w:rsid w:val="005A4F2C"/>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422339"/>
    <w:pPr>
      <w:widowControl/>
      <w:autoSpaceDE/>
      <w:autoSpaceDN/>
      <w:adjustRightInd/>
      <w:spacing w:after="200" w:line="276" w:lineRule="auto"/>
      <w:ind w:left="720"/>
      <w:contextualSpacing/>
    </w:pPr>
    <w:rPr>
      <w:rFonts w:ascii="Arial" w:hAnsi="Arial" w:cs="Arial"/>
      <w:color w:val="262626" w:themeColor="text1" w:themeTint="D9"/>
      <w:sz w:val="22"/>
    </w:rPr>
  </w:style>
  <w:style w:type="character" w:styleId="Odwoanieprzypisudolnego">
    <w:name w:val="footnote reference"/>
    <w:aliases w:val="SUPERS,Footnote Reference Superscript,BVI fnr,Footnote symbol,Footnote,(Footnote Reference),Footnote reference number,note TESI,EN Footnote Reference,Voetnootverwijzing,Times 10 Point,Exposant 3 Point,Appel note de bas de"/>
    <w:rsid w:val="00422339"/>
    <w:rPr>
      <w:rFonts w:cs="Times New Roman"/>
      <w:vertAlign w:val="superscript"/>
    </w:rPr>
  </w:style>
  <w:style w:type="paragraph" w:customStyle="1" w:styleId="ODNONIKtreodnonika">
    <w:name w:val="ODNOŚNIK – treść odnośnika"/>
    <w:uiPriority w:val="19"/>
    <w:qFormat/>
    <w:rsid w:val="00422339"/>
    <w:pPr>
      <w:spacing w:after="0" w:line="240" w:lineRule="auto"/>
      <w:ind w:left="284" w:hanging="284"/>
      <w:jc w:val="both"/>
    </w:pPr>
    <w:rPr>
      <w:rFonts w:ascii="Times New Roman" w:eastAsiaTheme="minorEastAsia" w:hAnsi="Times New Roman" w:cs="Arial"/>
      <w:szCs w:val="20"/>
      <w:lang w:eastAsia="pl-PL"/>
    </w:rPr>
  </w:style>
  <w:style w:type="character" w:customStyle="1" w:styleId="IGindeksgrny">
    <w:name w:val="_IG_ – indeks górny"/>
    <w:basedOn w:val="Domylnaczcionkaakapitu"/>
    <w:uiPriority w:val="2"/>
    <w:qFormat/>
    <w:rsid w:val="00422339"/>
    <w:rPr>
      <w:b w:val="0"/>
      <w:bCs w:val="0"/>
      <w:i w:val="0"/>
      <w:iCs w:val="0"/>
      <w:vanish w:val="0"/>
      <w:webHidden w:val="0"/>
      <w:spacing w:val="0"/>
      <w:vertAlign w:val="superscript"/>
      <w:specVanish w:val="0"/>
    </w:rPr>
  </w:style>
  <w:style w:type="paragraph" w:customStyle="1" w:styleId="ZARTzmartartykuempunktem">
    <w:name w:val="Z/ART(§) – zm. art. (§) artykułem (punktem)"/>
    <w:basedOn w:val="Normalny"/>
    <w:uiPriority w:val="30"/>
    <w:qFormat/>
    <w:rsid w:val="00422339"/>
    <w:pPr>
      <w:widowControl/>
      <w:suppressAutoHyphens/>
      <w:spacing w:line="360" w:lineRule="auto"/>
      <w:ind w:left="510" w:firstLine="510"/>
      <w:jc w:val="both"/>
    </w:pPr>
    <w:rPr>
      <w:rFonts w:ascii="Times" w:eastAsiaTheme="minorEastAsia" w:hAnsi="Times" w:cs="Arial"/>
      <w:sz w:val="24"/>
    </w:rPr>
  </w:style>
  <w:style w:type="character" w:styleId="Hipercze">
    <w:name w:val="Hyperlink"/>
    <w:basedOn w:val="Domylnaczcionkaakapitu"/>
    <w:uiPriority w:val="99"/>
    <w:unhideWhenUsed/>
    <w:rsid w:val="00674DDD"/>
    <w:rPr>
      <w:color w:val="0000FF"/>
      <w:u w:val="single"/>
    </w:rPr>
  </w:style>
  <w:style w:type="character" w:customStyle="1" w:styleId="alb">
    <w:name w:val="a_lb"/>
    <w:basedOn w:val="Domylnaczcionkaakapitu"/>
    <w:rsid w:val="00A152D6"/>
  </w:style>
  <w:style w:type="paragraph" w:styleId="NormalnyWeb">
    <w:name w:val="Normal (Web)"/>
    <w:basedOn w:val="Normalny"/>
    <w:uiPriority w:val="99"/>
    <w:unhideWhenUsed/>
    <w:rsid w:val="00A152D6"/>
    <w:pPr>
      <w:widowControl/>
      <w:autoSpaceDE/>
      <w:autoSpaceDN/>
      <w:adjustRightInd/>
      <w:spacing w:before="100" w:beforeAutospacing="1" w:after="100" w:afterAutospacing="1"/>
    </w:pPr>
    <w:rPr>
      <w:rFonts w:ascii="Times New Roman" w:hAnsi="Times New Roman"/>
      <w:sz w:val="24"/>
    </w:rPr>
  </w:style>
  <w:style w:type="paragraph" w:customStyle="1" w:styleId="text-justify">
    <w:name w:val="text-justify"/>
    <w:basedOn w:val="Normalny"/>
    <w:rsid w:val="00A152D6"/>
    <w:pPr>
      <w:widowControl/>
      <w:autoSpaceDE/>
      <w:autoSpaceDN/>
      <w:adjustRightInd/>
      <w:spacing w:before="100" w:beforeAutospacing="1" w:after="100" w:afterAutospacing="1"/>
    </w:pPr>
    <w:rPr>
      <w:rFonts w:ascii="Times New Roman" w:hAnsi="Times New Roman"/>
      <w:sz w:val="24"/>
    </w:rPr>
  </w:style>
  <w:style w:type="paragraph" w:styleId="Nagwek">
    <w:name w:val="header"/>
    <w:basedOn w:val="Normalny"/>
    <w:link w:val="NagwekZnak"/>
    <w:uiPriority w:val="99"/>
    <w:unhideWhenUsed/>
    <w:rsid w:val="00880DAC"/>
    <w:pPr>
      <w:tabs>
        <w:tab w:val="center" w:pos="4536"/>
        <w:tab w:val="right" w:pos="9072"/>
      </w:tabs>
    </w:pPr>
  </w:style>
  <w:style w:type="character" w:customStyle="1" w:styleId="NagwekZnak">
    <w:name w:val="Nagłówek Znak"/>
    <w:basedOn w:val="Domylnaczcionkaakapitu"/>
    <w:link w:val="Nagwek"/>
    <w:uiPriority w:val="99"/>
    <w:rsid w:val="00880DAC"/>
    <w:rPr>
      <w:rFonts w:ascii="Verdana" w:eastAsia="Times New Roman" w:hAnsi="Verdana" w:cs="Times New Roman"/>
      <w:sz w:val="20"/>
      <w:szCs w:val="20"/>
      <w:lang w:eastAsia="pl-PL"/>
    </w:rPr>
  </w:style>
  <w:style w:type="paragraph" w:styleId="Stopka">
    <w:name w:val="footer"/>
    <w:basedOn w:val="Normalny"/>
    <w:link w:val="StopkaZnak"/>
    <w:uiPriority w:val="99"/>
    <w:unhideWhenUsed/>
    <w:rsid w:val="00880DAC"/>
    <w:pPr>
      <w:tabs>
        <w:tab w:val="center" w:pos="4536"/>
        <w:tab w:val="right" w:pos="9072"/>
      </w:tabs>
    </w:pPr>
  </w:style>
  <w:style w:type="character" w:customStyle="1" w:styleId="StopkaZnak">
    <w:name w:val="Stopka Znak"/>
    <w:basedOn w:val="Domylnaczcionkaakapitu"/>
    <w:link w:val="Stopka"/>
    <w:uiPriority w:val="99"/>
    <w:rsid w:val="00880DAC"/>
    <w:rPr>
      <w:rFonts w:ascii="Verdana" w:eastAsia="Times New Roman" w:hAnsi="Verdana" w:cs="Times New Roman"/>
      <w:sz w:val="20"/>
      <w:szCs w:val="20"/>
      <w:lang w:eastAsia="pl-PL"/>
    </w:rPr>
  </w:style>
  <w:style w:type="character" w:customStyle="1" w:styleId="fn-ref">
    <w:name w:val="fn-ref"/>
    <w:basedOn w:val="Domylnaczcionkaakapitu"/>
    <w:rsid w:val="00852AC9"/>
  </w:style>
  <w:style w:type="paragraph" w:customStyle="1" w:styleId="ARTartustawynprozporzdzenia">
    <w:name w:val="ART(§) – art. ustawy (§ np. rozporządzenia)"/>
    <w:uiPriority w:val="11"/>
    <w:qFormat/>
    <w:rsid w:val="009F5B72"/>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character" w:customStyle="1" w:styleId="Ppogrubienie">
    <w:name w:val="_P_ – pogrubienie"/>
    <w:basedOn w:val="Domylnaczcionkaakapitu"/>
    <w:uiPriority w:val="1"/>
    <w:qFormat/>
    <w:rsid w:val="009F5B72"/>
    <w:rPr>
      <w:b/>
    </w:rPr>
  </w:style>
  <w:style w:type="paragraph" w:styleId="Tekstdymka">
    <w:name w:val="Balloon Text"/>
    <w:basedOn w:val="Normalny"/>
    <w:link w:val="TekstdymkaZnak"/>
    <w:uiPriority w:val="99"/>
    <w:semiHidden/>
    <w:unhideWhenUsed/>
    <w:rsid w:val="00581B58"/>
    <w:rPr>
      <w:rFonts w:ascii="Segoe UI" w:hAnsi="Segoe UI" w:cs="Segoe UI"/>
      <w:sz w:val="18"/>
      <w:szCs w:val="18"/>
    </w:rPr>
  </w:style>
  <w:style w:type="character" w:customStyle="1" w:styleId="TekstdymkaZnak">
    <w:name w:val="Tekst dymka Znak"/>
    <w:basedOn w:val="Domylnaczcionkaakapitu"/>
    <w:link w:val="Tekstdymka"/>
    <w:uiPriority w:val="99"/>
    <w:semiHidden/>
    <w:rsid w:val="00581B58"/>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B92382"/>
    <w:rPr>
      <w:sz w:val="16"/>
      <w:szCs w:val="16"/>
    </w:rPr>
  </w:style>
  <w:style w:type="paragraph" w:styleId="Tekstkomentarza">
    <w:name w:val="annotation text"/>
    <w:basedOn w:val="Normalny"/>
    <w:link w:val="TekstkomentarzaZnak"/>
    <w:uiPriority w:val="99"/>
    <w:unhideWhenUsed/>
    <w:rsid w:val="00B92382"/>
  </w:style>
  <w:style w:type="character" w:customStyle="1" w:styleId="TekstkomentarzaZnak">
    <w:name w:val="Tekst komentarza Znak"/>
    <w:basedOn w:val="Domylnaczcionkaakapitu"/>
    <w:link w:val="Tekstkomentarza"/>
    <w:uiPriority w:val="99"/>
    <w:rsid w:val="00B92382"/>
    <w:rPr>
      <w:rFonts w:ascii="Verdana" w:eastAsia="Times New Roman" w:hAnsi="Verdana"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B92382"/>
    <w:rPr>
      <w:b/>
      <w:bCs/>
    </w:rPr>
  </w:style>
  <w:style w:type="character" w:customStyle="1" w:styleId="TematkomentarzaZnak">
    <w:name w:val="Temat komentarza Znak"/>
    <w:basedOn w:val="TekstkomentarzaZnak"/>
    <w:link w:val="Tematkomentarza"/>
    <w:uiPriority w:val="99"/>
    <w:semiHidden/>
    <w:rsid w:val="00B92382"/>
    <w:rPr>
      <w:rFonts w:ascii="Verdana" w:eastAsia="Times New Roman" w:hAnsi="Verdana" w:cs="Times New Roman"/>
      <w:b/>
      <w:bCs/>
      <w:sz w:val="20"/>
      <w:szCs w:val="20"/>
      <w:lang w:eastAsia="pl-PL"/>
    </w:rPr>
  </w:style>
  <w:style w:type="character" w:customStyle="1" w:styleId="csec-nr">
    <w:name w:val="c_sec-nr"/>
    <w:basedOn w:val="Domylnaczcionkaakapitu"/>
    <w:rsid w:val="003662BB"/>
  </w:style>
  <w:style w:type="character" w:customStyle="1" w:styleId="alb-s">
    <w:name w:val="a_lb-s"/>
    <w:basedOn w:val="Domylnaczcionkaakapitu"/>
    <w:rsid w:val="003662BB"/>
  </w:style>
  <w:style w:type="paragraph" w:styleId="Tekstprzypisudolnego">
    <w:name w:val="footnote text"/>
    <w:basedOn w:val="Normalny"/>
    <w:link w:val="TekstprzypisudolnegoZnak"/>
    <w:unhideWhenUsed/>
    <w:rsid w:val="00A564CE"/>
  </w:style>
  <w:style w:type="character" w:customStyle="1" w:styleId="TekstprzypisudolnegoZnak">
    <w:name w:val="Tekst przypisu dolnego Znak"/>
    <w:basedOn w:val="Domylnaczcionkaakapitu"/>
    <w:link w:val="Tekstprzypisudolnego"/>
    <w:rsid w:val="00A564CE"/>
    <w:rPr>
      <w:rFonts w:ascii="Verdana" w:eastAsia="Times New Roman" w:hAnsi="Verdana" w:cs="Times New Roman"/>
      <w:sz w:val="20"/>
      <w:szCs w:val="20"/>
      <w:lang w:eastAsia="pl-PL"/>
    </w:rPr>
  </w:style>
  <w:style w:type="paragraph" w:customStyle="1" w:styleId="HeaderStyle">
    <w:name w:val="HeaderStyle"/>
    <w:rsid w:val="00F14942"/>
    <w:pPr>
      <w:spacing w:after="200" w:line="240" w:lineRule="auto"/>
      <w:jc w:val="center"/>
    </w:pPr>
    <w:rPr>
      <w:rFonts w:ascii="Arial" w:eastAsia="Arial" w:hAnsi="Arial" w:cs="Arial"/>
      <w:b/>
      <w:color w:val="000000" w:themeColor="text1"/>
      <w:sz w:val="24"/>
      <w:lang w:eastAsia="pl-PL"/>
    </w:rPr>
  </w:style>
  <w:style w:type="character" w:customStyle="1" w:styleId="Nagwek2Znak">
    <w:name w:val="Nagłówek 2 Znak"/>
    <w:basedOn w:val="Domylnaczcionkaakapitu"/>
    <w:link w:val="Nagwek2"/>
    <w:rsid w:val="0034342B"/>
    <w:rPr>
      <w:rFonts w:ascii="Times New Roman" w:eastAsia="Times New Roman" w:hAnsi="Times New Roman" w:cs="Times New Roman"/>
      <w:b/>
      <w:color w:val="auto"/>
      <w:szCs w:val="20"/>
      <w:lang w:eastAsia="pl-PL"/>
    </w:rPr>
  </w:style>
  <w:style w:type="paragraph" w:styleId="Tekstprzypisukocowego">
    <w:name w:val="endnote text"/>
    <w:basedOn w:val="Normalny"/>
    <w:link w:val="TekstprzypisukocowegoZnak"/>
    <w:uiPriority w:val="99"/>
    <w:semiHidden/>
    <w:unhideWhenUsed/>
    <w:rsid w:val="00EA2BD0"/>
    <w:rPr>
      <w:szCs w:val="20"/>
    </w:rPr>
  </w:style>
  <w:style w:type="character" w:customStyle="1" w:styleId="TekstprzypisukocowegoZnak">
    <w:name w:val="Tekst przypisu końcowego Znak"/>
    <w:basedOn w:val="Domylnaczcionkaakapitu"/>
    <w:link w:val="Tekstprzypisukocowego"/>
    <w:uiPriority w:val="99"/>
    <w:semiHidden/>
    <w:rsid w:val="00EA2BD0"/>
    <w:rPr>
      <w:szCs w:val="20"/>
    </w:rPr>
  </w:style>
  <w:style w:type="character" w:styleId="Odwoanieprzypisukocowego">
    <w:name w:val="endnote reference"/>
    <w:basedOn w:val="Domylnaczcionkaakapitu"/>
    <w:uiPriority w:val="99"/>
    <w:semiHidden/>
    <w:unhideWhenUsed/>
    <w:rsid w:val="00EA2BD0"/>
    <w:rPr>
      <w:vertAlign w:val="superscript"/>
    </w:rPr>
  </w:style>
  <w:style w:type="character" w:customStyle="1" w:styleId="Nagwek1Znak">
    <w:name w:val="Nagłówek 1 Znak"/>
    <w:basedOn w:val="Domylnaczcionkaakapitu"/>
    <w:link w:val="Nagwek1"/>
    <w:uiPriority w:val="9"/>
    <w:rsid w:val="00225E52"/>
    <w:rPr>
      <w:rFonts w:asciiTheme="majorHAnsi" w:eastAsiaTheme="majorEastAsia" w:hAnsiTheme="majorHAnsi" w:cstheme="majorBidi"/>
      <w:color w:val="2E74B5" w:themeColor="accent1" w:themeShade="BF"/>
      <w:sz w:val="32"/>
      <w:szCs w:val="32"/>
    </w:rPr>
  </w:style>
  <w:style w:type="character" w:customStyle="1" w:styleId="Nagwek3Znak">
    <w:name w:val="Nagłówek 3 Znak"/>
    <w:basedOn w:val="Domylnaczcionkaakapitu"/>
    <w:link w:val="Nagwek3"/>
    <w:uiPriority w:val="9"/>
    <w:rsid w:val="00225E52"/>
    <w:rPr>
      <w:rFonts w:asciiTheme="majorHAnsi" w:eastAsiaTheme="majorEastAsia" w:hAnsiTheme="majorHAnsi" w:cstheme="majorBidi"/>
      <w:color w:val="1F4D78" w:themeColor="accent1" w:themeShade="7F"/>
      <w:sz w:val="24"/>
      <w:szCs w:val="24"/>
    </w:rPr>
  </w:style>
  <w:style w:type="paragraph" w:styleId="Spistreci1">
    <w:name w:val="toc 1"/>
    <w:basedOn w:val="Normalny"/>
    <w:next w:val="Normalny"/>
    <w:autoRedefine/>
    <w:uiPriority w:val="39"/>
    <w:unhideWhenUsed/>
    <w:rsid w:val="00225E52"/>
    <w:pPr>
      <w:spacing w:after="100"/>
    </w:pPr>
  </w:style>
  <w:style w:type="paragraph" w:styleId="Spistreci2">
    <w:name w:val="toc 2"/>
    <w:basedOn w:val="Normalny"/>
    <w:next w:val="Normalny"/>
    <w:autoRedefine/>
    <w:uiPriority w:val="39"/>
    <w:unhideWhenUsed/>
    <w:rsid w:val="00225E52"/>
    <w:pPr>
      <w:spacing w:after="100"/>
      <w:ind w:left="200"/>
    </w:pPr>
  </w:style>
  <w:style w:type="paragraph" w:styleId="Spistreci3">
    <w:name w:val="toc 3"/>
    <w:basedOn w:val="Normalny"/>
    <w:next w:val="Normalny"/>
    <w:autoRedefine/>
    <w:uiPriority w:val="39"/>
    <w:unhideWhenUsed/>
    <w:rsid w:val="00225E52"/>
    <w:pPr>
      <w:spacing w:after="100"/>
      <w:ind w:left="400"/>
    </w:pPr>
  </w:style>
  <w:style w:type="paragraph" w:customStyle="1" w:styleId="TitleStyle">
    <w:name w:val="TitleStyle"/>
    <w:rsid w:val="001A1B20"/>
    <w:pPr>
      <w:spacing w:after="200" w:line="240" w:lineRule="auto"/>
    </w:pPr>
    <w:rPr>
      <w:rFonts w:ascii="Arial" w:eastAsia="Arial" w:hAnsi="Arial" w:cs="Arial"/>
      <w:b/>
      <w:color w:val="000000" w:themeColor="text1"/>
      <w:sz w:val="24"/>
      <w:lang w:eastAsia="pl-PL"/>
    </w:rPr>
  </w:style>
  <w:style w:type="character" w:customStyle="1" w:styleId="Nagwek4Znak">
    <w:name w:val="Nagłówek 4 Znak"/>
    <w:basedOn w:val="Domylnaczcionkaakapitu"/>
    <w:link w:val="Nagwek4"/>
    <w:uiPriority w:val="9"/>
    <w:rsid w:val="005A4F2C"/>
    <w:rPr>
      <w:rFonts w:asciiTheme="majorHAnsi" w:eastAsiaTheme="majorEastAsia" w:hAnsiTheme="majorHAnsi" w:cstheme="majorBidi"/>
      <w:i/>
      <w:iCs/>
      <w:color w:val="2E74B5" w:themeColor="accent1" w:themeShade="BF"/>
    </w:rPr>
  </w:style>
  <w:style w:type="paragraph" w:styleId="Spistreci4">
    <w:name w:val="toc 4"/>
    <w:basedOn w:val="Normalny"/>
    <w:next w:val="Normalny"/>
    <w:autoRedefine/>
    <w:uiPriority w:val="39"/>
    <w:unhideWhenUsed/>
    <w:rsid w:val="0021032D"/>
    <w:pPr>
      <w:spacing w:after="100"/>
      <w:ind w:left="600"/>
    </w:pPr>
  </w:style>
  <w:style w:type="character" w:customStyle="1" w:styleId="wyrokwyroktk">
    <w:name w:val="wyrok_wyroktk"/>
    <w:basedOn w:val="Domylnaczcionkaakapitu"/>
    <w:rsid w:val="0001351C"/>
  </w:style>
  <w:style w:type="character" w:customStyle="1" w:styleId="Teksttreci2">
    <w:name w:val="Tekst treści (2)_"/>
    <w:basedOn w:val="Domylnaczcionkaakapitu"/>
    <w:link w:val="Teksttreci20"/>
    <w:rsid w:val="0058106F"/>
    <w:rPr>
      <w:rFonts w:ascii="Arial" w:eastAsia="Arial" w:hAnsi="Arial" w:cs="Arial"/>
      <w:szCs w:val="20"/>
      <w:shd w:val="clear" w:color="auto" w:fill="FFFFFF"/>
    </w:rPr>
  </w:style>
  <w:style w:type="paragraph" w:customStyle="1" w:styleId="Teksttreci20">
    <w:name w:val="Tekst treści (2)"/>
    <w:basedOn w:val="Normalny"/>
    <w:link w:val="Teksttreci2"/>
    <w:rsid w:val="0058106F"/>
    <w:pPr>
      <w:shd w:val="clear" w:color="auto" w:fill="FFFFFF"/>
      <w:autoSpaceDE/>
      <w:autoSpaceDN/>
      <w:adjustRightInd/>
      <w:spacing w:after="180" w:line="230" w:lineRule="exact"/>
      <w:ind w:hanging="380"/>
      <w:jc w:val="both"/>
    </w:pPr>
    <w:rPr>
      <w:rFonts w:ascii="Arial" w:eastAsia="Arial" w:hAnsi="Arial" w:cs="Arial"/>
      <w:szCs w:val="20"/>
    </w:rPr>
  </w:style>
  <w:style w:type="character" w:customStyle="1" w:styleId="Nagwek10">
    <w:name w:val="Nagłówek #1_"/>
    <w:basedOn w:val="Domylnaczcionkaakapitu"/>
    <w:link w:val="Nagwek11"/>
    <w:rsid w:val="0058106F"/>
    <w:rPr>
      <w:rFonts w:ascii="Times New Roman" w:eastAsia="Times New Roman" w:hAnsi="Times New Roman" w:cs="Times New Roman"/>
      <w:b/>
      <w:bCs/>
      <w:shd w:val="clear" w:color="auto" w:fill="FFFFFF"/>
    </w:rPr>
  </w:style>
  <w:style w:type="paragraph" w:customStyle="1" w:styleId="Nagwek11">
    <w:name w:val="Nagłówek #1"/>
    <w:basedOn w:val="Normalny"/>
    <w:link w:val="Nagwek10"/>
    <w:rsid w:val="0058106F"/>
    <w:pPr>
      <w:shd w:val="clear" w:color="auto" w:fill="FFFFFF"/>
      <w:autoSpaceDE/>
      <w:autoSpaceDN/>
      <w:adjustRightInd/>
      <w:spacing w:before="180" w:after="180" w:line="317" w:lineRule="exact"/>
      <w:jc w:val="both"/>
      <w:outlineLvl w:val="0"/>
    </w:pPr>
    <w:rPr>
      <w:rFonts w:ascii="Times New Roman" w:eastAsia="Times New Roman" w:hAnsi="Times New Roman" w:cs="Times New Roman"/>
      <w:b/>
      <w:bCs/>
    </w:rPr>
  </w:style>
  <w:style w:type="paragraph" w:customStyle="1" w:styleId="ZUSTzmustartykuempunktem">
    <w:name w:val="Z/UST(§) – zm. ust. (§) artykułem (punktem)"/>
    <w:basedOn w:val="Normalny"/>
    <w:uiPriority w:val="30"/>
    <w:qFormat/>
    <w:rsid w:val="0058106F"/>
    <w:pPr>
      <w:widowControl/>
      <w:suppressAutoHyphens/>
      <w:spacing w:line="360" w:lineRule="auto"/>
      <w:ind w:left="510" w:firstLine="510"/>
      <w:jc w:val="both"/>
    </w:pPr>
    <w:rPr>
      <w:rFonts w:ascii="Times" w:eastAsiaTheme="minorEastAsia" w:hAnsi="Times" w:cs="Arial"/>
      <w:color w:val="auto"/>
      <w:sz w:val="24"/>
      <w:szCs w:val="20"/>
      <w:lang w:eastAsia="pl-PL"/>
    </w:rPr>
  </w:style>
  <w:style w:type="paragraph" w:customStyle="1" w:styleId="ZLITUSTzmustliter">
    <w:name w:val="Z_LIT/UST(§) – zm. ust. (§) literą"/>
    <w:basedOn w:val="Normalny"/>
    <w:uiPriority w:val="46"/>
    <w:qFormat/>
    <w:rsid w:val="00682B30"/>
    <w:pPr>
      <w:widowControl/>
      <w:suppressAutoHyphens/>
      <w:spacing w:line="360" w:lineRule="auto"/>
      <w:ind w:left="987" w:firstLine="510"/>
      <w:jc w:val="both"/>
    </w:pPr>
    <w:rPr>
      <w:rFonts w:ascii="Times" w:eastAsiaTheme="minorEastAsia" w:hAnsi="Times" w:cs="Arial"/>
      <w:bCs/>
      <w:color w:val="auto"/>
      <w:sz w:val="24"/>
      <w:szCs w:val="20"/>
      <w:lang w:eastAsia="pl-PL"/>
    </w:rPr>
  </w:style>
  <w:style w:type="paragraph" w:customStyle="1" w:styleId="Default">
    <w:name w:val="Default"/>
    <w:rsid w:val="00EF06C4"/>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59901">
      <w:bodyDiv w:val="1"/>
      <w:marLeft w:val="0"/>
      <w:marRight w:val="0"/>
      <w:marTop w:val="0"/>
      <w:marBottom w:val="0"/>
      <w:divBdr>
        <w:top w:val="none" w:sz="0" w:space="0" w:color="auto"/>
        <w:left w:val="none" w:sz="0" w:space="0" w:color="auto"/>
        <w:bottom w:val="none" w:sz="0" w:space="0" w:color="auto"/>
        <w:right w:val="none" w:sz="0" w:space="0" w:color="auto"/>
      </w:divBdr>
    </w:div>
    <w:div w:id="27530229">
      <w:bodyDiv w:val="1"/>
      <w:marLeft w:val="0"/>
      <w:marRight w:val="0"/>
      <w:marTop w:val="0"/>
      <w:marBottom w:val="0"/>
      <w:divBdr>
        <w:top w:val="none" w:sz="0" w:space="0" w:color="auto"/>
        <w:left w:val="none" w:sz="0" w:space="0" w:color="auto"/>
        <w:bottom w:val="none" w:sz="0" w:space="0" w:color="auto"/>
        <w:right w:val="none" w:sz="0" w:space="0" w:color="auto"/>
      </w:divBdr>
      <w:divsChild>
        <w:div w:id="799302652">
          <w:marLeft w:val="0"/>
          <w:marRight w:val="0"/>
          <w:marTop w:val="0"/>
          <w:marBottom w:val="0"/>
          <w:divBdr>
            <w:top w:val="none" w:sz="0" w:space="0" w:color="auto"/>
            <w:left w:val="none" w:sz="0" w:space="0" w:color="auto"/>
            <w:bottom w:val="none" w:sz="0" w:space="0" w:color="auto"/>
            <w:right w:val="none" w:sz="0" w:space="0" w:color="auto"/>
          </w:divBdr>
        </w:div>
        <w:div w:id="966660525">
          <w:marLeft w:val="0"/>
          <w:marRight w:val="0"/>
          <w:marTop w:val="0"/>
          <w:marBottom w:val="0"/>
          <w:divBdr>
            <w:top w:val="none" w:sz="0" w:space="0" w:color="auto"/>
            <w:left w:val="none" w:sz="0" w:space="0" w:color="auto"/>
            <w:bottom w:val="none" w:sz="0" w:space="0" w:color="auto"/>
            <w:right w:val="none" w:sz="0" w:space="0" w:color="auto"/>
          </w:divBdr>
        </w:div>
        <w:div w:id="1520894956">
          <w:marLeft w:val="0"/>
          <w:marRight w:val="0"/>
          <w:marTop w:val="0"/>
          <w:marBottom w:val="0"/>
          <w:divBdr>
            <w:top w:val="none" w:sz="0" w:space="0" w:color="auto"/>
            <w:left w:val="none" w:sz="0" w:space="0" w:color="auto"/>
            <w:bottom w:val="none" w:sz="0" w:space="0" w:color="auto"/>
            <w:right w:val="none" w:sz="0" w:space="0" w:color="auto"/>
          </w:divBdr>
        </w:div>
      </w:divsChild>
    </w:div>
    <w:div w:id="77217686">
      <w:bodyDiv w:val="1"/>
      <w:marLeft w:val="0"/>
      <w:marRight w:val="0"/>
      <w:marTop w:val="0"/>
      <w:marBottom w:val="0"/>
      <w:divBdr>
        <w:top w:val="none" w:sz="0" w:space="0" w:color="auto"/>
        <w:left w:val="none" w:sz="0" w:space="0" w:color="auto"/>
        <w:bottom w:val="none" w:sz="0" w:space="0" w:color="auto"/>
        <w:right w:val="none" w:sz="0" w:space="0" w:color="auto"/>
      </w:divBdr>
    </w:div>
    <w:div w:id="98257685">
      <w:bodyDiv w:val="1"/>
      <w:marLeft w:val="0"/>
      <w:marRight w:val="0"/>
      <w:marTop w:val="0"/>
      <w:marBottom w:val="0"/>
      <w:divBdr>
        <w:top w:val="none" w:sz="0" w:space="0" w:color="auto"/>
        <w:left w:val="none" w:sz="0" w:space="0" w:color="auto"/>
        <w:bottom w:val="none" w:sz="0" w:space="0" w:color="auto"/>
        <w:right w:val="none" w:sz="0" w:space="0" w:color="auto"/>
      </w:divBdr>
      <w:divsChild>
        <w:div w:id="694693057">
          <w:marLeft w:val="0"/>
          <w:marRight w:val="0"/>
          <w:marTop w:val="0"/>
          <w:marBottom w:val="0"/>
          <w:divBdr>
            <w:top w:val="none" w:sz="0" w:space="0" w:color="auto"/>
            <w:left w:val="none" w:sz="0" w:space="0" w:color="auto"/>
            <w:bottom w:val="none" w:sz="0" w:space="0" w:color="auto"/>
            <w:right w:val="none" w:sz="0" w:space="0" w:color="auto"/>
          </w:divBdr>
          <w:divsChild>
            <w:div w:id="1225797099">
              <w:marLeft w:val="0"/>
              <w:marRight w:val="0"/>
              <w:marTop w:val="0"/>
              <w:marBottom w:val="0"/>
              <w:divBdr>
                <w:top w:val="none" w:sz="0" w:space="0" w:color="auto"/>
                <w:left w:val="none" w:sz="0" w:space="0" w:color="auto"/>
                <w:bottom w:val="none" w:sz="0" w:space="0" w:color="auto"/>
                <w:right w:val="none" w:sz="0" w:space="0" w:color="auto"/>
              </w:divBdr>
            </w:div>
            <w:div w:id="1542592732">
              <w:marLeft w:val="0"/>
              <w:marRight w:val="0"/>
              <w:marTop w:val="0"/>
              <w:marBottom w:val="0"/>
              <w:divBdr>
                <w:top w:val="none" w:sz="0" w:space="0" w:color="auto"/>
                <w:left w:val="none" w:sz="0" w:space="0" w:color="auto"/>
                <w:bottom w:val="none" w:sz="0" w:space="0" w:color="auto"/>
                <w:right w:val="none" w:sz="0" w:space="0" w:color="auto"/>
              </w:divBdr>
            </w:div>
          </w:divsChild>
        </w:div>
        <w:div w:id="694892909">
          <w:marLeft w:val="0"/>
          <w:marRight w:val="0"/>
          <w:marTop w:val="0"/>
          <w:marBottom w:val="0"/>
          <w:divBdr>
            <w:top w:val="none" w:sz="0" w:space="0" w:color="auto"/>
            <w:left w:val="none" w:sz="0" w:space="0" w:color="auto"/>
            <w:bottom w:val="none" w:sz="0" w:space="0" w:color="auto"/>
            <w:right w:val="none" w:sz="0" w:space="0" w:color="auto"/>
          </w:divBdr>
          <w:divsChild>
            <w:div w:id="828667613">
              <w:marLeft w:val="0"/>
              <w:marRight w:val="0"/>
              <w:marTop w:val="0"/>
              <w:marBottom w:val="0"/>
              <w:divBdr>
                <w:top w:val="none" w:sz="0" w:space="0" w:color="auto"/>
                <w:left w:val="none" w:sz="0" w:space="0" w:color="auto"/>
                <w:bottom w:val="none" w:sz="0" w:space="0" w:color="auto"/>
                <w:right w:val="none" w:sz="0" w:space="0" w:color="auto"/>
              </w:divBdr>
            </w:div>
            <w:div w:id="926813466">
              <w:marLeft w:val="0"/>
              <w:marRight w:val="0"/>
              <w:marTop w:val="0"/>
              <w:marBottom w:val="0"/>
              <w:divBdr>
                <w:top w:val="none" w:sz="0" w:space="0" w:color="auto"/>
                <w:left w:val="none" w:sz="0" w:space="0" w:color="auto"/>
                <w:bottom w:val="none" w:sz="0" w:space="0" w:color="auto"/>
                <w:right w:val="none" w:sz="0" w:space="0" w:color="auto"/>
              </w:divBdr>
            </w:div>
          </w:divsChild>
        </w:div>
        <w:div w:id="1737823585">
          <w:marLeft w:val="0"/>
          <w:marRight w:val="0"/>
          <w:marTop w:val="0"/>
          <w:marBottom w:val="0"/>
          <w:divBdr>
            <w:top w:val="none" w:sz="0" w:space="0" w:color="auto"/>
            <w:left w:val="none" w:sz="0" w:space="0" w:color="auto"/>
            <w:bottom w:val="none" w:sz="0" w:space="0" w:color="auto"/>
            <w:right w:val="none" w:sz="0" w:space="0" w:color="auto"/>
          </w:divBdr>
          <w:divsChild>
            <w:div w:id="1899433467">
              <w:marLeft w:val="0"/>
              <w:marRight w:val="0"/>
              <w:marTop w:val="0"/>
              <w:marBottom w:val="0"/>
              <w:divBdr>
                <w:top w:val="none" w:sz="0" w:space="0" w:color="auto"/>
                <w:left w:val="none" w:sz="0" w:space="0" w:color="auto"/>
                <w:bottom w:val="none" w:sz="0" w:space="0" w:color="auto"/>
                <w:right w:val="none" w:sz="0" w:space="0" w:color="auto"/>
              </w:divBdr>
            </w:div>
          </w:divsChild>
        </w:div>
        <w:div w:id="1976135727">
          <w:marLeft w:val="0"/>
          <w:marRight w:val="0"/>
          <w:marTop w:val="0"/>
          <w:marBottom w:val="0"/>
          <w:divBdr>
            <w:top w:val="none" w:sz="0" w:space="0" w:color="auto"/>
            <w:left w:val="none" w:sz="0" w:space="0" w:color="auto"/>
            <w:bottom w:val="none" w:sz="0" w:space="0" w:color="auto"/>
            <w:right w:val="none" w:sz="0" w:space="0" w:color="auto"/>
          </w:divBdr>
          <w:divsChild>
            <w:div w:id="502013844">
              <w:marLeft w:val="0"/>
              <w:marRight w:val="0"/>
              <w:marTop w:val="0"/>
              <w:marBottom w:val="0"/>
              <w:divBdr>
                <w:top w:val="none" w:sz="0" w:space="0" w:color="auto"/>
                <w:left w:val="none" w:sz="0" w:space="0" w:color="auto"/>
                <w:bottom w:val="none" w:sz="0" w:space="0" w:color="auto"/>
                <w:right w:val="none" w:sz="0" w:space="0" w:color="auto"/>
              </w:divBdr>
            </w:div>
            <w:div w:id="1969972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132515">
      <w:bodyDiv w:val="1"/>
      <w:marLeft w:val="0"/>
      <w:marRight w:val="0"/>
      <w:marTop w:val="0"/>
      <w:marBottom w:val="0"/>
      <w:divBdr>
        <w:top w:val="none" w:sz="0" w:space="0" w:color="auto"/>
        <w:left w:val="none" w:sz="0" w:space="0" w:color="auto"/>
        <w:bottom w:val="none" w:sz="0" w:space="0" w:color="auto"/>
        <w:right w:val="none" w:sz="0" w:space="0" w:color="auto"/>
      </w:divBdr>
      <w:divsChild>
        <w:div w:id="316957339">
          <w:marLeft w:val="0"/>
          <w:marRight w:val="0"/>
          <w:marTop w:val="0"/>
          <w:marBottom w:val="0"/>
          <w:divBdr>
            <w:top w:val="none" w:sz="0" w:space="0" w:color="auto"/>
            <w:left w:val="none" w:sz="0" w:space="0" w:color="auto"/>
            <w:bottom w:val="none" w:sz="0" w:space="0" w:color="auto"/>
            <w:right w:val="none" w:sz="0" w:space="0" w:color="auto"/>
          </w:divBdr>
        </w:div>
        <w:div w:id="1606234990">
          <w:marLeft w:val="0"/>
          <w:marRight w:val="0"/>
          <w:marTop w:val="0"/>
          <w:marBottom w:val="0"/>
          <w:divBdr>
            <w:top w:val="none" w:sz="0" w:space="0" w:color="auto"/>
            <w:left w:val="none" w:sz="0" w:space="0" w:color="auto"/>
            <w:bottom w:val="none" w:sz="0" w:space="0" w:color="auto"/>
            <w:right w:val="none" w:sz="0" w:space="0" w:color="auto"/>
          </w:divBdr>
        </w:div>
        <w:div w:id="1630670511">
          <w:marLeft w:val="0"/>
          <w:marRight w:val="0"/>
          <w:marTop w:val="0"/>
          <w:marBottom w:val="0"/>
          <w:divBdr>
            <w:top w:val="none" w:sz="0" w:space="0" w:color="auto"/>
            <w:left w:val="none" w:sz="0" w:space="0" w:color="auto"/>
            <w:bottom w:val="none" w:sz="0" w:space="0" w:color="auto"/>
            <w:right w:val="none" w:sz="0" w:space="0" w:color="auto"/>
          </w:divBdr>
          <w:divsChild>
            <w:div w:id="989139138">
              <w:marLeft w:val="0"/>
              <w:marRight w:val="0"/>
              <w:marTop w:val="0"/>
              <w:marBottom w:val="0"/>
              <w:divBdr>
                <w:top w:val="none" w:sz="0" w:space="0" w:color="auto"/>
                <w:left w:val="none" w:sz="0" w:space="0" w:color="auto"/>
                <w:bottom w:val="none" w:sz="0" w:space="0" w:color="auto"/>
                <w:right w:val="none" w:sz="0" w:space="0" w:color="auto"/>
              </w:divBdr>
            </w:div>
            <w:div w:id="1561790381">
              <w:marLeft w:val="0"/>
              <w:marRight w:val="0"/>
              <w:marTop w:val="0"/>
              <w:marBottom w:val="0"/>
              <w:divBdr>
                <w:top w:val="none" w:sz="0" w:space="0" w:color="auto"/>
                <w:left w:val="none" w:sz="0" w:space="0" w:color="auto"/>
                <w:bottom w:val="none" w:sz="0" w:space="0" w:color="auto"/>
                <w:right w:val="none" w:sz="0" w:space="0" w:color="auto"/>
              </w:divBdr>
            </w:div>
            <w:div w:id="2051226169">
              <w:marLeft w:val="0"/>
              <w:marRight w:val="0"/>
              <w:marTop w:val="0"/>
              <w:marBottom w:val="0"/>
              <w:divBdr>
                <w:top w:val="none" w:sz="0" w:space="0" w:color="auto"/>
                <w:left w:val="none" w:sz="0" w:space="0" w:color="auto"/>
                <w:bottom w:val="none" w:sz="0" w:space="0" w:color="auto"/>
                <w:right w:val="none" w:sz="0" w:space="0" w:color="auto"/>
              </w:divBdr>
            </w:div>
          </w:divsChild>
        </w:div>
        <w:div w:id="1634753132">
          <w:marLeft w:val="0"/>
          <w:marRight w:val="0"/>
          <w:marTop w:val="0"/>
          <w:marBottom w:val="0"/>
          <w:divBdr>
            <w:top w:val="none" w:sz="0" w:space="0" w:color="auto"/>
            <w:left w:val="none" w:sz="0" w:space="0" w:color="auto"/>
            <w:bottom w:val="none" w:sz="0" w:space="0" w:color="auto"/>
            <w:right w:val="none" w:sz="0" w:space="0" w:color="auto"/>
          </w:divBdr>
        </w:div>
        <w:div w:id="1637103205">
          <w:marLeft w:val="0"/>
          <w:marRight w:val="0"/>
          <w:marTop w:val="0"/>
          <w:marBottom w:val="0"/>
          <w:divBdr>
            <w:top w:val="none" w:sz="0" w:space="0" w:color="auto"/>
            <w:left w:val="none" w:sz="0" w:space="0" w:color="auto"/>
            <w:bottom w:val="none" w:sz="0" w:space="0" w:color="auto"/>
            <w:right w:val="none" w:sz="0" w:space="0" w:color="auto"/>
          </w:divBdr>
        </w:div>
        <w:div w:id="1983457896">
          <w:marLeft w:val="0"/>
          <w:marRight w:val="0"/>
          <w:marTop w:val="0"/>
          <w:marBottom w:val="0"/>
          <w:divBdr>
            <w:top w:val="none" w:sz="0" w:space="0" w:color="auto"/>
            <w:left w:val="none" w:sz="0" w:space="0" w:color="auto"/>
            <w:bottom w:val="none" w:sz="0" w:space="0" w:color="auto"/>
            <w:right w:val="none" w:sz="0" w:space="0" w:color="auto"/>
          </w:divBdr>
        </w:div>
      </w:divsChild>
    </w:div>
    <w:div w:id="149714489">
      <w:bodyDiv w:val="1"/>
      <w:marLeft w:val="0"/>
      <w:marRight w:val="0"/>
      <w:marTop w:val="0"/>
      <w:marBottom w:val="0"/>
      <w:divBdr>
        <w:top w:val="none" w:sz="0" w:space="0" w:color="auto"/>
        <w:left w:val="none" w:sz="0" w:space="0" w:color="auto"/>
        <w:bottom w:val="none" w:sz="0" w:space="0" w:color="auto"/>
        <w:right w:val="none" w:sz="0" w:space="0" w:color="auto"/>
      </w:divBdr>
    </w:div>
    <w:div w:id="163514970">
      <w:bodyDiv w:val="1"/>
      <w:marLeft w:val="0"/>
      <w:marRight w:val="0"/>
      <w:marTop w:val="0"/>
      <w:marBottom w:val="0"/>
      <w:divBdr>
        <w:top w:val="none" w:sz="0" w:space="0" w:color="auto"/>
        <w:left w:val="none" w:sz="0" w:space="0" w:color="auto"/>
        <w:bottom w:val="none" w:sz="0" w:space="0" w:color="auto"/>
        <w:right w:val="none" w:sz="0" w:space="0" w:color="auto"/>
      </w:divBdr>
      <w:divsChild>
        <w:div w:id="149447257">
          <w:marLeft w:val="0"/>
          <w:marRight w:val="0"/>
          <w:marTop w:val="0"/>
          <w:marBottom w:val="0"/>
          <w:divBdr>
            <w:top w:val="none" w:sz="0" w:space="0" w:color="auto"/>
            <w:left w:val="none" w:sz="0" w:space="0" w:color="auto"/>
            <w:bottom w:val="none" w:sz="0" w:space="0" w:color="auto"/>
            <w:right w:val="none" w:sz="0" w:space="0" w:color="auto"/>
          </w:divBdr>
        </w:div>
        <w:div w:id="391121368">
          <w:marLeft w:val="0"/>
          <w:marRight w:val="0"/>
          <w:marTop w:val="0"/>
          <w:marBottom w:val="0"/>
          <w:divBdr>
            <w:top w:val="none" w:sz="0" w:space="0" w:color="auto"/>
            <w:left w:val="none" w:sz="0" w:space="0" w:color="auto"/>
            <w:bottom w:val="none" w:sz="0" w:space="0" w:color="auto"/>
            <w:right w:val="none" w:sz="0" w:space="0" w:color="auto"/>
          </w:divBdr>
        </w:div>
        <w:div w:id="743531839">
          <w:marLeft w:val="0"/>
          <w:marRight w:val="0"/>
          <w:marTop w:val="0"/>
          <w:marBottom w:val="0"/>
          <w:divBdr>
            <w:top w:val="none" w:sz="0" w:space="0" w:color="auto"/>
            <w:left w:val="none" w:sz="0" w:space="0" w:color="auto"/>
            <w:bottom w:val="none" w:sz="0" w:space="0" w:color="auto"/>
            <w:right w:val="none" w:sz="0" w:space="0" w:color="auto"/>
          </w:divBdr>
        </w:div>
        <w:div w:id="1473911293">
          <w:marLeft w:val="0"/>
          <w:marRight w:val="0"/>
          <w:marTop w:val="0"/>
          <w:marBottom w:val="0"/>
          <w:divBdr>
            <w:top w:val="none" w:sz="0" w:space="0" w:color="auto"/>
            <w:left w:val="none" w:sz="0" w:space="0" w:color="auto"/>
            <w:bottom w:val="none" w:sz="0" w:space="0" w:color="auto"/>
            <w:right w:val="none" w:sz="0" w:space="0" w:color="auto"/>
          </w:divBdr>
        </w:div>
        <w:div w:id="1701009608">
          <w:marLeft w:val="0"/>
          <w:marRight w:val="0"/>
          <w:marTop w:val="0"/>
          <w:marBottom w:val="0"/>
          <w:divBdr>
            <w:top w:val="none" w:sz="0" w:space="0" w:color="auto"/>
            <w:left w:val="none" w:sz="0" w:space="0" w:color="auto"/>
            <w:bottom w:val="none" w:sz="0" w:space="0" w:color="auto"/>
            <w:right w:val="none" w:sz="0" w:space="0" w:color="auto"/>
          </w:divBdr>
        </w:div>
      </w:divsChild>
    </w:div>
    <w:div w:id="199780186">
      <w:bodyDiv w:val="1"/>
      <w:marLeft w:val="0"/>
      <w:marRight w:val="0"/>
      <w:marTop w:val="0"/>
      <w:marBottom w:val="0"/>
      <w:divBdr>
        <w:top w:val="none" w:sz="0" w:space="0" w:color="auto"/>
        <w:left w:val="none" w:sz="0" w:space="0" w:color="auto"/>
        <w:bottom w:val="none" w:sz="0" w:space="0" w:color="auto"/>
        <w:right w:val="none" w:sz="0" w:space="0" w:color="auto"/>
      </w:divBdr>
      <w:divsChild>
        <w:div w:id="13505804">
          <w:marLeft w:val="0"/>
          <w:marRight w:val="0"/>
          <w:marTop w:val="0"/>
          <w:marBottom w:val="0"/>
          <w:divBdr>
            <w:top w:val="none" w:sz="0" w:space="0" w:color="auto"/>
            <w:left w:val="none" w:sz="0" w:space="0" w:color="auto"/>
            <w:bottom w:val="none" w:sz="0" w:space="0" w:color="auto"/>
            <w:right w:val="none" w:sz="0" w:space="0" w:color="auto"/>
          </w:divBdr>
          <w:divsChild>
            <w:div w:id="204483940">
              <w:marLeft w:val="0"/>
              <w:marRight w:val="0"/>
              <w:marTop w:val="0"/>
              <w:marBottom w:val="0"/>
              <w:divBdr>
                <w:top w:val="none" w:sz="0" w:space="0" w:color="auto"/>
                <w:left w:val="none" w:sz="0" w:space="0" w:color="auto"/>
                <w:bottom w:val="none" w:sz="0" w:space="0" w:color="auto"/>
                <w:right w:val="none" w:sz="0" w:space="0" w:color="auto"/>
              </w:divBdr>
            </w:div>
            <w:div w:id="345911504">
              <w:marLeft w:val="0"/>
              <w:marRight w:val="0"/>
              <w:marTop w:val="0"/>
              <w:marBottom w:val="0"/>
              <w:divBdr>
                <w:top w:val="none" w:sz="0" w:space="0" w:color="auto"/>
                <w:left w:val="none" w:sz="0" w:space="0" w:color="auto"/>
                <w:bottom w:val="none" w:sz="0" w:space="0" w:color="auto"/>
                <w:right w:val="none" w:sz="0" w:space="0" w:color="auto"/>
              </w:divBdr>
              <w:divsChild>
                <w:div w:id="1438596841">
                  <w:marLeft w:val="0"/>
                  <w:marRight w:val="0"/>
                  <w:marTop w:val="0"/>
                  <w:marBottom w:val="0"/>
                  <w:divBdr>
                    <w:top w:val="none" w:sz="0" w:space="0" w:color="auto"/>
                    <w:left w:val="none" w:sz="0" w:space="0" w:color="auto"/>
                    <w:bottom w:val="none" w:sz="0" w:space="0" w:color="auto"/>
                    <w:right w:val="none" w:sz="0" w:space="0" w:color="auto"/>
                  </w:divBdr>
                </w:div>
                <w:div w:id="1557161363">
                  <w:marLeft w:val="0"/>
                  <w:marRight w:val="0"/>
                  <w:marTop w:val="0"/>
                  <w:marBottom w:val="0"/>
                  <w:divBdr>
                    <w:top w:val="none" w:sz="0" w:space="0" w:color="auto"/>
                    <w:left w:val="none" w:sz="0" w:space="0" w:color="auto"/>
                    <w:bottom w:val="none" w:sz="0" w:space="0" w:color="auto"/>
                    <w:right w:val="none" w:sz="0" w:space="0" w:color="auto"/>
                  </w:divBdr>
                </w:div>
              </w:divsChild>
            </w:div>
            <w:div w:id="679820072">
              <w:marLeft w:val="0"/>
              <w:marRight w:val="0"/>
              <w:marTop w:val="0"/>
              <w:marBottom w:val="0"/>
              <w:divBdr>
                <w:top w:val="none" w:sz="0" w:space="0" w:color="auto"/>
                <w:left w:val="none" w:sz="0" w:space="0" w:color="auto"/>
                <w:bottom w:val="none" w:sz="0" w:space="0" w:color="auto"/>
                <w:right w:val="none" w:sz="0" w:space="0" w:color="auto"/>
              </w:divBdr>
            </w:div>
            <w:div w:id="800194815">
              <w:marLeft w:val="0"/>
              <w:marRight w:val="0"/>
              <w:marTop w:val="0"/>
              <w:marBottom w:val="0"/>
              <w:divBdr>
                <w:top w:val="none" w:sz="0" w:space="0" w:color="auto"/>
                <w:left w:val="none" w:sz="0" w:space="0" w:color="auto"/>
                <w:bottom w:val="none" w:sz="0" w:space="0" w:color="auto"/>
                <w:right w:val="none" w:sz="0" w:space="0" w:color="auto"/>
              </w:divBdr>
            </w:div>
            <w:div w:id="870262721">
              <w:marLeft w:val="0"/>
              <w:marRight w:val="0"/>
              <w:marTop w:val="0"/>
              <w:marBottom w:val="0"/>
              <w:divBdr>
                <w:top w:val="none" w:sz="0" w:space="0" w:color="auto"/>
                <w:left w:val="none" w:sz="0" w:space="0" w:color="auto"/>
                <w:bottom w:val="none" w:sz="0" w:space="0" w:color="auto"/>
                <w:right w:val="none" w:sz="0" w:space="0" w:color="auto"/>
              </w:divBdr>
            </w:div>
            <w:div w:id="948701771">
              <w:marLeft w:val="0"/>
              <w:marRight w:val="0"/>
              <w:marTop w:val="0"/>
              <w:marBottom w:val="0"/>
              <w:divBdr>
                <w:top w:val="none" w:sz="0" w:space="0" w:color="auto"/>
                <w:left w:val="none" w:sz="0" w:space="0" w:color="auto"/>
                <w:bottom w:val="none" w:sz="0" w:space="0" w:color="auto"/>
                <w:right w:val="none" w:sz="0" w:space="0" w:color="auto"/>
              </w:divBdr>
            </w:div>
            <w:div w:id="1547719950">
              <w:marLeft w:val="0"/>
              <w:marRight w:val="0"/>
              <w:marTop w:val="0"/>
              <w:marBottom w:val="0"/>
              <w:divBdr>
                <w:top w:val="none" w:sz="0" w:space="0" w:color="auto"/>
                <w:left w:val="none" w:sz="0" w:space="0" w:color="auto"/>
                <w:bottom w:val="none" w:sz="0" w:space="0" w:color="auto"/>
                <w:right w:val="none" w:sz="0" w:space="0" w:color="auto"/>
              </w:divBdr>
            </w:div>
            <w:div w:id="1560553977">
              <w:marLeft w:val="0"/>
              <w:marRight w:val="0"/>
              <w:marTop w:val="0"/>
              <w:marBottom w:val="0"/>
              <w:divBdr>
                <w:top w:val="none" w:sz="0" w:space="0" w:color="auto"/>
                <w:left w:val="none" w:sz="0" w:space="0" w:color="auto"/>
                <w:bottom w:val="none" w:sz="0" w:space="0" w:color="auto"/>
                <w:right w:val="none" w:sz="0" w:space="0" w:color="auto"/>
              </w:divBdr>
            </w:div>
            <w:div w:id="1755778713">
              <w:marLeft w:val="0"/>
              <w:marRight w:val="0"/>
              <w:marTop w:val="0"/>
              <w:marBottom w:val="0"/>
              <w:divBdr>
                <w:top w:val="none" w:sz="0" w:space="0" w:color="auto"/>
                <w:left w:val="none" w:sz="0" w:space="0" w:color="auto"/>
                <w:bottom w:val="none" w:sz="0" w:space="0" w:color="auto"/>
                <w:right w:val="none" w:sz="0" w:space="0" w:color="auto"/>
              </w:divBdr>
            </w:div>
          </w:divsChild>
        </w:div>
        <w:div w:id="194273910">
          <w:marLeft w:val="0"/>
          <w:marRight w:val="0"/>
          <w:marTop w:val="0"/>
          <w:marBottom w:val="0"/>
          <w:divBdr>
            <w:top w:val="none" w:sz="0" w:space="0" w:color="auto"/>
            <w:left w:val="none" w:sz="0" w:space="0" w:color="auto"/>
            <w:bottom w:val="none" w:sz="0" w:space="0" w:color="auto"/>
            <w:right w:val="none" w:sz="0" w:space="0" w:color="auto"/>
          </w:divBdr>
        </w:div>
        <w:div w:id="801194126">
          <w:marLeft w:val="0"/>
          <w:marRight w:val="0"/>
          <w:marTop w:val="0"/>
          <w:marBottom w:val="0"/>
          <w:divBdr>
            <w:top w:val="none" w:sz="0" w:space="0" w:color="auto"/>
            <w:left w:val="none" w:sz="0" w:space="0" w:color="auto"/>
            <w:bottom w:val="none" w:sz="0" w:space="0" w:color="auto"/>
            <w:right w:val="none" w:sz="0" w:space="0" w:color="auto"/>
          </w:divBdr>
          <w:divsChild>
            <w:div w:id="78985510">
              <w:marLeft w:val="0"/>
              <w:marRight w:val="0"/>
              <w:marTop w:val="0"/>
              <w:marBottom w:val="0"/>
              <w:divBdr>
                <w:top w:val="none" w:sz="0" w:space="0" w:color="auto"/>
                <w:left w:val="none" w:sz="0" w:space="0" w:color="auto"/>
                <w:bottom w:val="none" w:sz="0" w:space="0" w:color="auto"/>
                <w:right w:val="none" w:sz="0" w:space="0" w:color="auto"/>
              </w:divBdr>
              <w:divsChild>
                <w:div w:id="492259995">
                  <w:marLeft w:val="0"/>
                  <w:marRight w:val="0"/>
                  <w:marTop w:val="0"/>
                  <w:marBottom w:val="0"/>
                  <w:divBdr>
                    <w:top w:val="none" w:sz="0" w:space="0" w:color="auto"/>
                    <w:left w:val="none" w:sz="0" w:space="0" w:color="auto"/>
                    <w:bottom w:val="none" w:sz="0" w:space="0" w:color="auto"/>
                    <w:right w:val="none" w:sz="0" w:space="0" w:color="auto"/>
                  </w:divBdr>
                </w:div>
                <w:div w:id="866259288">
                  <w:marLeft w:val="0"/>
                  <w:marRight w:val="0"/>
                  <w:marTop w:val="0"/>
                  <w:marBottom w:val="0"/>
                  <w:divBdr>
                    <w:top w:val="none" w:sz="0" w:space="0" w:color="auto"/>
                    <w:left w:val="none" w:sz="0" w:space="0" w:color="auto"/>
                    <w:bottom w:val="none" w:sz="0" w:space="0" w:color="auto"/>
                    <w:right w:val="none" w:sz="0" w:space="0" w:color="auto"/>
                  </w:divBdr>
                </w:div>
                <w:div w:id="1461996186">
                  <w:marLeft w:val="0"/>
                  <w:marRight w:val="0"/>
                  <w:marTop w:val="0"/>
                  <w:marBottom w:val="0"/>
                  <w:divBdr>
                    <w:top w:val="none" w:sz="0" w:space="0" w:color="auto"/>
                    <w:left w:val="none" w:sz="0" w:space="0" w:color="auto"/>
                    <w:bottom w:val="none" w:sz="0" w:space="0" w:color="auto"/>
                    <w:right w:val="none" w:sz="0" w:space="0" w:color="auto"/>
                  </w:divBdr>
                </w:div>
                <w:div w:id="1969235741">
                  <w:marLeft w:val="0"/>
                  <w:marRight w:val="0"/>
                  <w:marTop w:val="0"/>
                  <w:marBottom w:val="0"/>
                  <w:divBdr>
                    <w:top w:val="none" w:sz="0" w:space="0" w:color="auto"/>
                    <w:left w:val="none" w:sz="0" w:space="0" w:color="auto"/>
                    <w:bottom w:val="none" w:sz="0" w:space="0" w:color="auto"/>
                    <w:right w:val="none" w:sz="0" w:space="0" w:color="auto"/>
                  </w:divBdr>
                </w:div>
                <w:div w:id="1981886253">
                  <w:marLeft w:val="0"/>
                  <w:marRight w:val="0"/>
                  <w:marTop w:val="0"/>
                  <w:marBottom w:val="0"/>
                  <w:divBdr>
                    <w:top w:val="none" w:sz="0" w:space="0" w:color="auto"/>
                    <w:left w:val="none" w:sz="0" w:space="0" w:color="auto"/>
                    <w:bottom w:val="none" w:sz="0" w:space="0" w:color="auto"/>
                    <w:right w:val="none" w:sz="0" w:space="0" w:color="auto"/>
                  </w:divBdr>
                </w:div>
              </w:divsChild>
            </w:div>
            <w:div w:id="128977678">
              <w:marLeft w:val="0"/>
              <w:marRight w:val="0"/>
              <w:marTop w:val="0"/>
              <w:marBottom w:val="0"/>
              <w:divBdr>
                <w:top w:val="none" w:sz="0" w:space="0" w:color="auto"/>
                <w:left w:val="none" w:sz="0" w:space="0" w:color="auto"/>
                <w:bottom w:val="none" w:sz="0" w:space="0" w:color="auto"/>
                <w:right w:val="none" w:sz="0" w:space="0" w:color="auto"/>
              </w:divBdr>
            </w:div>
            <w:div w:id="192037569">
              <w:marLeft w:val="0"/>
              <w:marRight w:val="0"/>
              <w:marTop w:val="0"/>
              <w:marBottom w:val="0"/>
              <w:divBdr>
                <w:top w:val="none" w:sz="0" w:space="0" w:color="auto"/>
                <w:left w:val="none" w:sz="0" w:space="0" w:color="auto"/>
                <w:bottom w:val="none" w:sz="0" w:space="0" w:color="auto"/>
                <w:right w:val="none" w:sz="0" w:space="0" w:color="auto"/>
              </w:divBdr>
            </w:div>
            <w:div w:id="280458145">
              <w:marLeft w:val="0"/>
              <w:marRight w:val="0"/>
              <w:marTop w:val="0"/>
              <w:marBottom w:val="0"/>
              <w:divBdr>
                <w:top w:val="none" w:sz="0" w:space="0" w:color="auto"/>
                <w:left w:val="none" w:sz="0" w:space="0" w:color="auto"/>
                <w:bottom w:val="none" w:sz="0" w:space="0" w:color="auto"/>
                <w:right w:val="none" w:sz="0" w:space="0" w:color="auto"/>
              </w:divBdr>
            </w:div>
            <w:div w:id="513033059">
              <w:marLeft w:val="0"/>
              <w:marRight w:val="0"/>
              <w:marTop w:val="0"/>
              <w:marBottom w:val="0"/>
              <w:divBdr>
                <w:top w:val="none" w:sz="0" w:space="0" w:color="auto"/>
                <w:left w:val="none" w:sz="0" w:space="0" w:color="auto"/>
                <w:bottom w:val="none" w:sz="0" w:space="0" w:color="auto"/>
                <w:right w:val="none" w:sz="0" w:space="0" w:color="auto"/>
              </w:divBdr>
            </w:div>
            <w:div w:id="843012331">
              <w:marLeft w:val="0"/>
              <w:marRight w:val="0"/>
              <w:marTop w:val="0"/>
              <w:marBottom w:val="0"/>
              <w:divBdr>
                <w:top w:val="none" w:sz="0" w:space="0" w:color="auto"/>
                <w:left w:val="none" w:sz="0" w:space="0" w:color="auto"/>
                <w:bottom w:val="none" w:sz="0" w:space="0" w:color="auto"/>
                <w:right w:val="none" w:sz="0" w:space="0" w:color="auto"/>
              </w:divBdr>
            </w:div>
            <w:div w:id="998732392">
              <w:marLeft w:val="0"/>
              <w:marRight w:val="0"/>
              <w:marTop w:val="0"/>
              <w:marBottom w:val="0"/>
              <w:divBdr>
                <w:top w:val="none" w:sz="0" w:space="0" w:color="auto"/>
                <w:left w:val="none" w:sz="0" w:space="0" w:color="auto"/>
                <w:bottom w:val="none" w:sz="0" w:space="0" w:color="auto"/>
                <w:right w:val="none" w:sz="0" w:space="0" w:color="auto"/>
              </w:divBdr>
            </w:div>
            <w:div w:id="1046484650">
              <w:marLeft w:val="0"/>
              <w:marRight w:val="0"/>
              <w:marTop w:val="0"/>
              <w:marBottom w:val="0"/>
              <w:divBdr>
                <w:top w:val="none" w:sz="0" w:space="0" w:color="auto"/>
                <w:left w:val="none" w:sz="0" w:space="0" w:color="auto"/>
                <w:bottom w:val="none" w:sz="0" w:space="0" w:color="auto"/>
                <w:right w:val="none" w:sz="0" w:space="0" w:color="auto"/>
              </w:divBdr>
            </w:div>
            <w:div w:id="1161390035">
              <w:marLeft w:val="0"/>
              <w:marRight w:val="0"/>
              <w:marTop w:val="0"/>
              <w:marBottom w:val="0"/>
              <w:divBdr>
                <w:top w:val="none" w:sz="0" w:space="0" w:color="auto"/>
                <w:left w:val="none" w:sz="0" w:space="0" w:color="auto"/>
                <w:bottom w:val="none" w:sz="0" w:space="0" w:color="auto"/>
                <w:right w:val="none" w:sz="0" w:space="0" w:color="auto"/>
              </w:divBdr>
            </w:div>
            <w:div w:id="1203902377">
              <w:marLeft w:val="0"/>
              <w:marRight w:val="0"/>
              <w:marTop w:val="0"/>
              <w:marBottom w:val="0"/>
              <w:divBdr>
                <w:top w:val="none" w:sz="0" w:space="0" w:color="auto"/>
                <w:left w:val="none" w:sz="0" w:space="0" w:color="auto"/>
                <w:bottom w:val="none" w:sz="0" w:space="0" w:color="auto"/>
                <w:right w:val="none" w:sz="0" w:space="0" w:color="auto"/>
              </w:divBdr>
            </w:div>
            <w:div w:id="1239095914">
              <w:marLeft w:val="0"/>
              <w:marRight w:val="0"/>
              <w:marTop w:val="0"/>
              <w:marBottom w:val="0"/>
              <w:divBdr>
                <w:top w:val="none" w:sz="0" w:space="0" w:color="auto"/>
                <w:left w:val="none" w:sz="0" w:space="0" w:color="auto"/>
                <w:bottom w:val="none" w:sz="0" w:space="0" w:color="auto"/>
                <w:right w:val="none" w:sz="0" w:space="0" w:color="auto"/>
              </w:divBdr>
            </w:div>
            <w:div w:id="1447430938">
              <w:marLeft w:val="0"/>
              <w:marRight w:val="0"/>
              <w:marTop w:val="0"/>
              <w:marBottom w:val="0"/>
              <w:divBdr>
                <w:top w:val="none" w:sz="0" w:space="0" w:color="auto"/>
                <w:left w:val="none" w:sz="0" w:space="0" w:color="auto"/>
                <w:bottom w:val="none" w:sz="0" w:space="0" w:color="auto"/>
                <w:right w:val="none" w:sz="0" w:space="0" w:color="auto"/>
              </w:divBdr>
              <w:divsChild>
                <w:div w:id="4063238">
                  <w:marLeft w:val="0"/>
                  <w:marRight w:val="0"/>
                  <w:marTop w:val="0"/>
                  <w:marBottom w:val="0"/>
                  <w:divBdr>
                    <w:top w:val="none" w:sz="0" w:space="0" w:color="auto"/>
                    <w:left w:val="none" w:sz="0" w:space="0" w:color="auto"/>
                    <w:bottom w:val="none" w:sz="0" w:space="0" w:color="auto"/>
                    <w:right w:val="none" w:sz="0" w:space="0" w:color="auto"/>
                  </w:divBdr>
                </w:div>
                <w:div w:id="1770857220">
                  <w:marLeft w:val="0"/>
                  <w:marRight w:val="0"/>
                  <w:marTop w:val="0"/>
                  <w:marBottom w:val="0"/>
                  <w:divBdr>
                    <w:top w:val="none" w:sz="0" w:space="0" w:color="auto"/>
                    <w:left w:val="none" w:sz="0" w:space="0" w:color="auto"/>
                    <w:bottom w:val="none" w:sz="0" w:space="0" w:color="auto"/>
                    <w:right w:val="none" w:sz="0" w:space="0" w:color="auto"/>
                  </w:divBdr>
                </w:div>
                <w:div w:id="1848515788">
                  <w:marLeft w:val="0"/>
                  <w:marRight w:val="0"/>
                  <w:marTop w:val="0"/>
                  <w:marBottom w:val="0"/>
                  <w:divBdr>
                    <w:top w:val="none" w:sz="0" w:space="0" w:color="auto"/>
                    <w:left w:val="none" w:sz="0" w:space="0" w:color="auto"/>
                    <w:bottom w:val="none" w:sz="0" w:space="0" w:color="auto"/>
                    <w:right w:val="none" w:sz="0" w:space="0" w:color="auto"/>
                  </w:divBdr>
                </w:div>
              </w:divsChild>
            </w:div>
            <w:div w:id="1603412971">
              <w:marLeft w:val="0"/>
              <w:marRight w:val="0"/>
              <w:marTop w:val="0"/>
              <w:marBottom w:val="0"/>
              <w:divBdr>
                <w:top w:val="none" w:sz="0" w:space="0" w:color="auto"/>
                <w:left w:val="none" w:sz="0" w:space="0" w:color="auto"/>
                <w:bottom w:val="none" w:sz="0" w:space="0" w:color="auto"/>
                <w:right w:val="none" w:sz="0" w:space="0" w:color="auto"/>
              </w:divBdr>
            </w:div>
            <w:div w:id="1612780127">
              <w:marLeft w:val="0"/>
              <w:marRight w:val="0"/>
              <w:marTop w:val="0"/>
              <w:marBottom w:val="0"/>
              <w:divBdr>
                <w:top w:val="none" w:sz="0" w:space="0" w:color="auto"/>
                <w:left w:val="none" w:sz="0" w:space="0" w:color="auto"/>
                <w:bottom w:val="none" w:sz="0" w:space="0" w:color="auto"/>
                <w:right w:val="none" w:sz="0" w:space="0" w:color="auto"/>
              </w:divBdr>
            </w:div>
            <w:div w:id="1635602076">
              <w:marLeft w:val="0"/>
              <w:marRight w:val="0"/>
              <w:marTop w:val="0"/>
              <w:marBottom w:val="0"/>
              <w:divBdr>
                <w:top w:val="none" w:sz="0" w:space="0" w:color="auto"/>
                <w:left w:val="none" w:sz="0" w:space="0" w:color="auto"/>
                <w:bottom w:val="none" w:sz="0" w:space="0" w:color="auto"/>
                <w:right w:val="none" w:sz="0" w:space="0" w:color="auto"/>
              </w:divBdr>
              <w:divsChild>
                <w:div w:id="681518248">
                  <w:marLeft w:val="0"/>
                  <w:marRight w:val="0"/>
                  <w:marTop w:val="0"/>
                  <w:marBottom w:val="0"/>
                  <w:divBdr>
                    <w:top w:val="none" w:sz="0" w:space="0" w:color="auto"/>
                    <w:left w:val="none" w:sz="0" w:space="0" w:color="auto"/>
                    <w:bottom w:val="none" w:sz="0" w:space="0" w:color="auto"/>
                    <w:right w:val="none" w:sz="0" w:space="0" w:color="auto"/>
                  </w:divBdr>
                  <w:divsChild>
                    <w:div w:id="274868722">
                      <w:marLeft w:val="0"/>
                      <w:marRight w:val="0"/>
                      <w:marTop w:val="0"/>
                      <w:marBottom w:val="0"/>
                      <w:divBdr>
                        <w:top w:val="none" w:sz="0" w:space="0" w:color="auto"/>
                        <w:left w:val="none" w:sz="0" w:space="0" w:color="auto"/>
                        <w:bottom w:val="none" w:sz="0" w:space="0" w:color="auto"/>
                        <w:right w:val="none" w:sz="0" w:space="0" w:color="auto"/>
                      </w:divBdr>
                    </w:div>
                    <w:div w:id="1106925405">
                      <w:marLeft w:val="0"/>
                      <w:marRight w:val="0"/>
                      <w:marTop w:val="0"/>
                      <w:marBottom w:val="0"/>
                      <w:divBdr>
                        <w:top w:val="none" w:sz="0" w:space="0" w:color="auto"/>
                        <w:left w:val="none" w:sz="0" w:space="0" w:color="auto"/>
                        <w:bottom w:val="none" w:sz="0" w:space="0" w:color="auto"/>
                        <w:right w:val="none" w:sz="0" w:space="0" w:color="auto"/>
                      </w:divBdr>
                    </w:div>
                  </w:divsChild>
                </w:div>
                <w:div w:id="1168793093">
                  <w:marLeft w:val="0"/>
                  <w:marRight w:val="0"/>
                  <w:marTop w:val="0"/>
                  <w:marBottom w:val="0"/>
                  <w:divBdr>
                    <w:top w:val="none" w:sz="0" w:space="0" w:color="auto"/>
                    <w:left w:val="none" w:sz="0" w:space="0" w:color="auto"/>
                    <w:bottom w:val="none" w:sz="0" w:space="0" w:color="auto"/>
                    <w:right w:val="none" w:sz="0" w:space="0" w:color="auto"/>
                  </w:divBdr>
                </w:div>
                <w:div w:id="2046757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640678">
          <w:marLeft w:val="0"/>
          <w:marRight w:val="0"/>
          <w:marTop w:val="0"/>
          <w:marBottom w:val="0"/>
          <w:divBdr>
            <w:top w:val="none" w:sz="0" w:space="0" w:color="auto"/>
            <w:left w:val="none" w:sz="0" w:space="0" w:color="auto"/>
            <w:bottom w:val="none" w:sz="0" w:space="0" w:color="auto"/>
            <w:right w:val="none" w:sz="0" w:space="0" w:color="auto"/>
          </w:divBdr>
          <w:divsChild>
            <w:div w:id="144860449">
              <w:marLeft w:val="0"/>
              <w:marRight w:val="0"/>
              <w:marTop w:val="0"/>
              <w:marBottom w:val="0"/>
              <w:divBdr>
                <w:top w:val="none" w:sz="0" w:space="0" w:color="auto"/>
                <w:left w:val="none" w:sz="0" w:space="0" w:color="auto"/>
                <w:bottom w:val="none" w:sz="0" w:space="0" w:color="auto"/>
                <w:right w:val="none" w:sz="0" w:space="0" w:color="auto"/>
              </w:divBdr>
            </w:div>
            <w:div w:id="529101955">
              <w:marLeft w:val="0"/>
              <w:marRight w:val="0"/>
              <w:marTop w:val="0"/>
              <w:marBottom w:val="0"/>
              <w:divBdr>
                <w:top w:val="none" w:sz="0" w:space="0" w:color="auto"/>
                <w:left w:val="none" w:sz="0" w:space="0" w:color="auto"/>
                <w:bottom w:val="none" w:sz="0" w:space="0" w:color="auto"/>
                <w:right w:val="none" w:sz="0" w:space="0" w:color="auto"/>
              </w:divBdr>
            </w:div>
            <w:div w:id="567427181">
              <w:marLeft w:val="0"/>
              <w:marRight w:val="0"/>
              <w:marTop w:val="0"/>
              <w:marBottom w:val="0"/>
              <w:divBdr>
                <w:top w:val="none" w:sz="0" w:space="0" w:color="auto"/>
                <w:left w:val="none" w:sz="0" w:space="0" w:color="auto"/>
                <w:bottom w:val="none" w:sz="0" w:space="0" w:color="auto"/>
                <w:right w:val="none" w:sz="0" w:space="0" w:color="auto"/>
              </w:divBdr>
            </w:div>
            <w:div w:id="722757555">
              <w:marLeft w:val="0"/>
              <w:marRight w:val="0"/>
              <w:marTop w:val="0"/>
              <w:marBottom w:val="0"/>
              <w:divBdr>
                <w:top w:val="none" w:sz="0" w:space="0" w:color="auto"/>
                <w:left w:val="none" w:sz="0" w:space="0" w:color="auto"/>
                <w:bottom w:val="none" w:sz="0" w:space="0" w:color="auto"/>
                <w:right w:val="none" w:sz="0" w:space="0" w:color="auto"/>
              </w:divBdr>
            </w:div>
            <w:div w:id="723139106">
              <w:marLeft w:val="0"/>
              <w:marRight w:val="0"/>
              <w:marTop w:val="0"/>
              <w:marBottom w:val="0"/>
              <w:divBdr>
                <w:top w:val="none" w:sz="0" w:space="0" w:color="auto"/>
                <w:left w:val="none" w:sz="0" w:space="0" w:color="auto"/>
                <w:bottom w:val="none" w:sz="0" w:space="0" w:color="auto"/>
                <w:right w:val="none" w:sz="0" w:space="0" w:color="auto"/>
              </w:divBdr>
            </w:div>
            <w:div w:id="818814414">
              <w:marLeft w:val="0"/>
              <w:marRight w:val="0"/>
              <w:marTop w:val="0"/>
              <w:marBottom w:val="0"/>
              <w:divBdr>
                <w:top w:val="none" w:sz="0" w:space="0" w:color="auto"/>
                <w:left w:val="none" w:sz="0" w:space="0" w:color="auto"/>
                <w:bottom w:val="none" w:sz="0" w:space="0" w:color="auto"/>
                <w:right w:val="none" w:sz="0" w:space="0" w:color="auto"/>
              </w:divBdr>
            </w:div>
            <w:div w:id="1071318023">
              <w:marLeft w:val="0"/>
              <w:marRight w:val="0"/>
              <w:marTop w:val="0"/>
              <w:marBottom w:val="0"/>
              <w:divBdr>
                <w:top w:val="none" w:sz="0" w:space="0" w:color="auto"/>
                <w:left w:val="none" w:sz="0" w:space="0" w:color="auto"/>
                <w:bottom w:val="none" w:sz="0" w:space="0" w:color="auto"/>
                <w:right w:val="none" w:sz="0" w:space="0" w:color="auto"/>
              </w:divBdr>
            </w:div>
            <w:div w:id="1204248920">
              <w:marLeft w:val="0"/>
              <w:marRight w:val="0"/>
              <w:marTop w:val="0"/>
              <w:marBottom w:val="0"/>
              <w:divBdr>
                <w:top w:val="none" w:sz="0" w:space="0" w:color="auto"/>
                <w:left w:val="none" w:sz="0" w:space="0" w:color="auto"/>
                <w:bottom w:val="none" w:sz="0" w:space="0" w:color="auto"/>
                <w:right w:val="none" w:sz="0" w:space="0" w:color="auto"/>
              </w:divBdr>
            </w:div>
            <w:div w:id="1524399150">
              <w:marLeft w:val="0"/>
              <w:marRight w:val="0"/>
              <w:marTop w:val="0"/>
              <w:marBottom w:val="0"/>
              <w:divBdr>
                <w:top w:val="none" w:sz="0" w:space="0" w:color="auto"/>
                <w:left w:val="none" w:sz="0" w:space="0" w:color="auto"/>
                <w:bottom w:val="none" w:sz="0" w:space="0" w:color="auto"/>
                <w:right w:val="none" w:sz="0" w:space="0" w:color="auto"/>
              </w:divBdr>
            </w:div>
            <w:div w:id="1917393663">
              <w:marLeft w:val="0"/>
              <w:marRight w:val="0"/>
              <w:marTop w:val="0"/>
              <w:marBottom w:val="0"/>
              <w:divBdr>
                <w:top w:val="none" w:sz="0" w:space="0" w:color="auto"/>
                <w:left w:val="none" w:sz="0" w:space="0" w:color="auto"/>
                <w:bottom w:val="none" w:sz="0" w:space="0" w:color="auto"/>
                <w:right w:val="none" w:sz="0" w:space="0" w:color="auto"/>
              </w:divBdr>
            </w:div>
            <w:div w:id="1946306643">
              <w:marLeft w:val="0"/>
              <w:marRight w:val="0"/>
              <w:marTop w:val="0"/>
              <w:marBottom w:val="0"/>
              <w:divBdr>
                <w:top w:val="none" w:sz="0" w:space="0" w:color="auto"/>
                <w:left w:val="none" w:sz="0" w:space="0" w:color="auto"/>
                <w:bottom w:val="none" w:sz="0" w:space="0" w:color="auto"/>
                <w:right w:val="none" w:sz="0" w:space="0" w:color="auto"/>
              </w:divBdr>
            </w:div>
            <w:div w:id="2052344435">
              <w:marLeft w:val="0"/>
              <w:marRight w:val="0"/>
              <w:marTop w:val="0"/>
              <w:marBottom w:val="0"/>
              <w:divBdr>
                <w:top w:val="none" w:sz="0" w:space="0" w:color="auto"/>
                <w:left w:val="none" w:sz="0" w:space="0" w:color="auto"/>
                <w:bottom w:val="none" w:sz="0" w:space="0" w:color="auto"/>
                <w:right w:val="none" w:sz="0" w:space="0" w:color="auto"/>
              </w:divBdr>
            </w:div>
          </w:divsChild>
        </w:div>
        <w:div w:id="999844655">
          <w:marLeft w:val="0"/>
          <w:marRight w:val="0"/>
          <w:marTop w:val="0"/>
          <w:marBottom w:val="0"/>
          <w:divBdr>
            <w:top w:val="none" w:sz="0" w:space="0" w:color="auto"/>
            <w:left w:val="none" w:sz="0" w:space="0" w:color="auto"/>
            <w:bottom w:val="none" w:sz="0" w:space="0" w:color="auto"/>
            <w:right w:val="none" w:sz="0" w:space="0" w:color="auto"/>
          </w:divBdr>
        </w:div>
        <w:div w:id="1856650923">
          <w:marLeft w:val="0"/>
          <w:marRight w:val="0"/>
          <w:marTop w:val="0"/>
          <w:marBottom w:val="0"/>
          <w:divBdr>
            <w:top w:val="none" w:sz="0" w:space="0" w:color="auto"/>
            <w:left w:val="none" w:sz="0" w:space="0" w:color="auto"/>
            <w:bottom w:val="none" w:sz="0" w:space="0" w:color="auto"/>
            <w:right w:val="none" w:sz="0" w:space="0" w:color="auto"/>
          </w:divBdr>
          <w:divsChild>
            <w:div w:id="663356176">
              <w:marLeft w:val="0"/>
              <w:marRight w:val="0"/>
              <w:marTop w:val="0"/>
              <w:marBottom w:val="0"/>
              <w:divBdr>
                <w:top w:val="none" w:sz="0" w:space="0" w:color="auto"/>
                <w:left w:val="none" w:sz="0" w:space="0" w:color="auto"/>
                <w:bottom w:val="none" w:sz="0" w:space="0" w:color="auto"/>
                <w:right w:val="none" w:sz="0" w:space="0" w:color="auto"/>
              </w:divBdr>
            </w:div>
            <w:div w:id="859658380">
              <w:marLeft w:val="0"/>
              <w:marRight w:val="0"/>
              <w:marTop w:val="0"/>
              <w:marBottom w:val="0"/>
              <w:divBdr>
                <w:top w:val="none" w:sz="0" w:space="0" w:color="auto"/>
                <w:left w:val="none" w:sz="0" w:space="0" w:color="auto"/>
                <w:bottom w:val="none" w:sz="0" w:space="0" w:color="auto"/>
                <w:right w:val="none" w:sz="0" w:space="0" w:color="auto"/>
              </w:divBdr>
            </w:div>
            <w:div w:id="873888468">
              <w:marLeft w:val="0"/>
              <w:marRight w:val="0"/>
              <w:marTop w:val="0"/>
              <w:marBottom w:val="0"/>
              <w:divBdr>
                <w:top w:val="none" w:sz="0" w:space="0" w:color="auto"/>
                <w:left w:val="none" w:sz="0" w:space="0" w:color="auto"/>
                <w:bottom w:val="none" w:sz="0" w:space="0" w:color="auto"/>
                <w:right w:val="none" w:sz="0" w:space="0" w:color="auto"/>
              </w:divBdr>
            </w:div>
            <w:div w:id="1204750675">
              <w:marLeft w:val="0"/>
              <w:marRight w:val="0"/>
              <w:marTop w:val="0"/>
              <w:marBottom w:val="0"/>
              <w:divBdr>
                <w:top w:val="none" w:sz="0" w:space="0" w:color="auto"/>
                <w:left w:val="none" w:sz="0" w:space="0" w:color="auto"/>
                <w:bottom w:val="none" w:sz="0" w:space="0" w:color="auto"/>
                <w:right w:val="none" w:sz="0" w:space="0" w:color="auto"/>
              </w:divBdr>
            </w:div>
            <w:div w:id="1944919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2341011">
      <w:bodyDiv w:val="1"/>
      <w:marLeft w:val="0"/>
      <w:marRight w:val="0"/>
      <w:marTop w:val="0"/>
      <w:marBottom w:val="0"/>
      <w:divBdr>
        <w:top w:val="none" w:sz="0" w:space="0" w:color="auto"/>
        <w:left w:val="none" w:sz="0" w:space="0" w:color="auto"/>
        <w:bottom w:val="none" w:sz="0" w:space="0" w:color="auto"/>
        <w:right w:val="none" w:sz="0" w:space="0" w:color="auto"/>
      </w:divBdr>
    </w:div>
    <w:div w:id="282930185">
      <w:bodyDiv w:val="1"/>
      <w:marLeft w:val="0"/>
      <w:marRight w:val="0"/>
      <w:marTop w:val="0"/>
      <w:marBottom w:val="0"/>
      <w:divBdr>
        <w:top w:val="none" w:sz="0" w:space="0" w:color="auto"/>
        <w:left w:val="none" w:sz="0" w:space="0" w:color="auto"/>
        <w:bottom w:val="none" w:sz="0" w:space="0" w:color="auto"/>
        <w:right w:val="none" w:sz="0" w:space="0" w:color="auto"/>
      </w:divBdr>
      <w:divsChild>
        <w:div w:id="275985644">
          <w:marLeft w:val="0"/>
          <w:marRight w:val="0"/>
          <w:marTop w:val="0"/>
          <w:marBottom w:val="0"/>
          <w:divBdr>
            <w:top w:val="none" w:sz="0" w:space="0" w:color="auto"/>
            <w:left w:val="none" w:sz="0" w:space="0" w:color="auto"/>
            <w:bottom w:val="none" w:sz="0" w:space="0" w:color="auto"/>
            <w:right w:val="none" w:sz="0" w:space="0" w:color="auto"/>
          </w:divBdr>
        </w:div>
        <w:div w:id="896278255">
          <w:marLeft w:val="0"/>
          <w:marRight w:val="0"/>
          <w:marTop w:val="0"/>
          <w:marBottom w:val="0"/>
          <w:divBdr>
            <w:top w:val="none" w:sz="0" w:space="0" w:color="auto"/>
            <w:left w:val="none" w:sz="0" w:space="0" w:color="auto"/>
            <w:bottom w:val="none" w:sz="0" w:space="0" w:color="auto"/>
            <w:right w:val="none" w:sz="0" w:space="0" w:color="auto"/>
          </w:divBdr>
        </w:div>
        <w:div w:id="1486170012">
          <w:marLeft w:val="0"/>
          <w:marRight w:val="0"/>
          <w:marTop w:val="0"/>
          <w:marBottom w:val="0"/>
          <w:divBdr>
            <w:top w:val="none" w:sz="0" w:space="0" w:color="auto"/>
            <w:left w:val="none" w:sz="0" w:space="0" w:color="auto"/>
            <w:bottom w:val="none" w:sz="0" w:space="0" w:color="auto"/>
            <w:right w:val="none" w:sz="0" w:space="0" w:color="auto"/>
          </w:divBdr>
        </w:div>
        <w:div w:id="1666517624">
          <w:marLeft w:val="0"/>
          <w:marRight w:val="0"/>
          <w:marTop w:val="0"/>
          <w:marBottom w:val="0"/>
          <w:divBdr>
            <w:top w:val="none" w:sz="0" w:space="0" w:color="auto"/>
            <w:left w:val="none" w:sz="0" w:space="0" w:color="auto"/>
            <w:bottom w:val="none" w:sz="0" w:space="0" w:color="auto"/>
            <w:right w:val="none" w:sz="0" w:space="0" w:color="auto"/>
          </w:divBdr>
        </w:div>
      </w:divsChild>
    </w:div>
    <w:div w:id="398790171">
      <w:bodyDiv w:val="1"/>
      <w:marLeft w:val="0"/>
      <w:marRight w:val="0"/>
      <w:marTop w:val="0"/>
      <w:marBottom w:val="0"/>
      <w:divBdr>
        <w:top w:val="none" w:sz="0" w:space="0" w:color="auto"/>
        <w:left w:val="none" w:sz="0" w:space="0" w:color="auto"/>
        <w:bottom w:val="none" w:sz="0" w:space="0" w:color="auto"/>
        <w:right w:val="none" w:sz="0" w:space="0" w:color="auto"/>
      </w:divBdr>
    </w:div>
    <w:div w:id="456023590">
      <w:bodyDiv w:val="1"/>
      <w:marLeft w:val="0"/>
      <w:marRight w:val="0"/>
      <w:marTop w:val="0"/>
      <w:marBottom w:val="0"/>
      <w:divBdr>
        <w:top w:val="none" w:sz="0" w:space="0" w:color="auto"/>
        <w:left w:val="none" w:sz="0" w:space="0" w:color="auto"/>
        <w:bottom w:val="none" w:sz="0" w:space="0" w:color="auto"/>
        <w:right w:val="none" w:sz="0" w:space="0" w:color="auto"/>
      </w:divBdr>
      <w:divsChild>
        <w:div w:id="926110065">
          <w:marLeft w:val="0"/>
          <w:marRight w:val="0"/>
          <w:marTop w:val="0"/>
          <w:marBottom w:val="0"/>
          <w:divBdr>
            <w:top w:val="none" w:sz="0" w:space="0" w:color="auto"/>
            <w:left w:val="none" w:sz="0" w:space="0" w:color="auto"/>
            <w:bottom w:val="none" w:sz="0" w:space="0" w:color="auto"/>
            <w:right w:val="none" w:sz="0" w:space="0" w:color="auto"/>
          </w:divBdr>
        </w:div>
        <w:div w:id="1658800100">
          <w:marLeft w:val="0"/>
          <w:marRight w:val="0"/>
          <w:marTop w:val="0"/>
          <w:marBottom w:val="0"/>
          <w:divBdr>
            <w:top w:val="none" w:sz="0" w:space="0" w:color="auto"/>
            <w:left w:val="none" w:sz="0" w:space="0" w:color="auto"/>
            <w:bottom w:val="none" w:sz="0" w:space="0" w:color="auto"/>
            <w:right w:val="none" w:sz="0" w:space="0" w:color="auto"/>
          </w:divBdr>
          <w:divsChild>
            <w:div w:id="797115342">
              <w:marLeft w:val="0"/>
              <w:marRight w:val="0"/>
              <w:marTop w:val="0"/>
              <w:marBottom w:val="0"/>
              <w:divBdr>
                <w:top w:val="none" w:sz="0" w:space="0" w:color="auto"/>
                <w:left w:val="none" w:sz="0" w:space="0" w:color="auto"/>
                <w:bottom w:val="none" w:sz="0" w:space="0" w:color="auto"/>
                <w:right w:val="none" w:sz="0" w:space="0" w:color="auto"/>
              </w:divBdr>
            </w:div>
            <w:div w:id="802843752">
              <w:marLeft w:val="0"/>
              <w:marRight w:val="0"/>
              <w:marTop w:val="0"/>
              <w:marBottom w:val="0"/>
              <w:divBdr>
                <w:top w:val="none" w:sz="0" w:space="0" w:color="auto"/>
                <w:left w:val="none" w:sz="0" w:space="0" w:color="auto"/>
                <w:bottom w:val="none" w:sz="0" w:space="0" w:color="auto"/>
                <w:right w:val="none" w:sz="0" w:space="0" w:color="auto"/>
              </w:divBdr>
            </w:div>
            <w:div w:id="1578006831">
              <w:marLeft w:val="0"/>
              <w:marRight w:val="0"/>
              <w:marTop w:val="0"/>
              <w:marBottom w:val="0"/>
              <w:divBdr>
                <w:top w:val="none" w:sz="0" w:space="0" w:color="auto"/>
                <w:left w:val="none" w:sz="0" w:space="0" w:color="auto"/>
                <w:bottom w:val="none" w:sz="0" w:space="0" w:color="auto"/>
                <w:right w:val="none" w:sz="0" w:space="0" w:color="auto"/>
              </w:divBdr>
            </w:div>
            <w:div w:id="1736735949">
              <w:marLeft w:val="0"/>
              <w:marRight w:val="0"/>
              <w:marTop w:val="0"/>
              <w:marBottom w:val="0"/>
              <w:divBdr>
                <w:top w:val="none" w:sz="0" w:space="0" w:color="auto"/>
                <w:left w:val="none" w:sz="0" w:space="0" w:color="auto"/>
                <w:bottom w:val="none" w:sz="0" w:space="0" w:color="auto"/>
                <w:right w:val="none" w:sz="0" w:space="0" w:color="auto"/>
              </w:divBdr>
            </w:div>
            <w:div w:id="1978144120">
              <w:marLeft w:val="0"/>
              <w:marRight w:val="0"/>
              <w:marTop w:val="0"/>
              <w:marBottom w:val="0"/>
              <w:divBdr>
                <w:top w:val="none" w:sz="0" w:space="0" w:color="auto"/>
                <w:left w:val="none" w:sz="0" w:space="0" w:color="auto"/>
                <w:bottom w:val="none" w:sz="0" w:space="0" w:color="auto"/>
                <w:right w:val="none" w:sz="0" w:space="0" w:color="auto"/>
              </w:divBdr>
            </w:div>
            <w:div w:id="2096239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6578916">
      <w:bodyDiv w:val="1"/>
      <w:marLeft w:val="0"/>
      <w:marRight w:val="0"/>
      <w:marTop w:val="0"/>
      <w:marBottom w:val="0"/>
      <w:divBdr>
        <w:top w:val="none" w:sz="0" w:space="0" w:color="auto"/>
        <w:left w:val="none" w:sz="0" w:space="0" w:color="auto"/>
        <w:bottom w:val="none" w:sz="0" w:space="0" w:color="auto"/>
        <w:right w:val="none" w:sz="0" w:space="0" w:color="auto"/>
      </w:divBdr>
      <w:divsChild>
        <w:div w:id="415516417">
          <w:marLeft w:val="0"/>
          <w:marRight w:val="0"/>
          <w:marTop w:val="0"/>
          <w:marBottom w:val="0"/>
          <w:divBdr>
            <w:top w:val="none" w:sz="0" w:space="0" w:color="auto"/>
            <w:left w:val="none" w:sz="0" w:space="0" w:color="auto"/>
            <w:bottom w:val="none" w:sz="0" w:space="0" w:color="auto"/>
            <w:right w:val="none" w:sz="0" w:space="0" w:color="auto"/>
          </w:divBdr>
          <w:divsChild>
            <w:div w:id="761803463">
              <w:marLeft w:val="0"/>
              <w:marRight w:val="0"/>
              <w:marTop w:val="0"/>
              <w:marBottom w:val="0"/>
              <w:divBdr>
                <w:top w:val="none" w:sz="0" w:space="0" w:color="auto"/>
                <w:left w:val="none" w:sz="0" w:space="0" w:color="auto"/>
                <w:bottom w:val="none" w:sz="0" w:space="0" w:color="auto"/>
                <w:right w:val="none" w:sz="0" w:space="0" w:color="auto"/>
              </w:divBdr>
            </w:div>
          </w:divsChild>
        </w:div>
        <w:div w:id="974914394">
          <w:marLeft w:val="0"/>
          <w:marRight w:val="0"/>
          <w:marTop w:val="0"/>
          <w:marBottom w:val="0"/>
          <w:divBdr>
            <w:top w:val="none" w:sz="0" w:space="0" w:color="auto"/>
            <w:left w:val="none" w:sz="0" w:space="0" w:color="auto"/>
            <w:bottom w:val="none" w:sz="0" w:space="0" w:color="auto"/>
            <w:right w:val="none" w:sz="0" w:space="0" w:color="auto"/>
          </w:divBdr>
        </w:div>
      </w:divsChild>
    </w:div>
    <w:div w:id="480342280">
      <w:bodyDiv w:val="1"/>
      <w:marLeft w:val="0"/>
      <w:marRight w:val="0"/>
      <w:marTop w:val="0"/>
      <w:marBottom w:val="0"/>
      <w:divBdr>
        <w:top w:val="none" w:sz="0" w:space="0" w:color="auto"/>
        <w:left w:val="none" w:sz="0" w:space="0" w:color="auto"/>
        <w:bottom w:val="none" w:sz="0" w:space="0" w:color="auto"/>
        <w:right w:val="none" w:sz="0" w:space="0" w:color="auto"/>
      </w:divBdr>
      <w:divsChild>
        <w:div w:id="404766360">
          <w:marLeft w:val="0"/>
          <w:marRight w:val="0"/>
          <w:marTop w:val="0"/>
          <w:marBottom w:val="0"/>
          <w:divBdr>
            <w:top w:val="none" w:sz="0" w:space="0" w:color="auto"/>
            <w:left w:val="none" w:sz="0" w:space="0" w:color="auto"/>
            <w:bottom w:val="none" w:sz="0" w:space="0" w:color="auto"/>
            <w:right w:val="none" w:sz="0" w:space="0" w:color="auto"/>
          </w:divBdr>
          <w:divsChild>
            <w:div w:id="655837640">
              <w:marLeft w:val="0"/>
              <w:marRight w:val="0"/>
              <w:marTop w:val="0"/>
              <w:marBottom w:val="0"/>
              <w:divBdr>
                <w:top w:val="none" w:sz="0" w:space="0" w:color="auto"/>
                <w:left w:val="none" w:sz="0" w:space="0" w:color="auto"/>
                <w:bottom w:val="none" w:sz="0" w:space="0" w:color="auto"/>
                <w:right w:val="none" w:sz="0" w:space="0" w:color="auto"/>
              </w:divBdr>
            </w:div>
            <w:div w:id="756251577">
              <w:marLeft w:val="0"/>
              <w:marRight w:val="0"/>
              <w:marTop w:val="0"/>
              <w:marBottom w:val="0"/>
              <w:divBdr>
                <w:top w:val="none" w:sz="0" w:space="0" w:color="auto"/>
                <w:left w:val="none" w:sz="0" w:space="0" w:color="auto"/>
                <w:bottom w:val="none" w:sz="0" w:space="0" w:color="auto"/>
                <w:right w:val="none" w:sz="0" w:space="0" w:color="auto"/>
              </w:divBdr>
            </w:div>
            <w:div w:id="1320616858">
              <w:marLeft w:val="0"/>
              <w:marRight w:val="0"/>
              <w:marTop w:val="0"/>
              <w:marBottom w:val="0"/>
              <w:divBdr>
                <w:top w:val="none" w:sz="0" w:space="0" w:color="auto"/>
                <w:left w:val="none" w:sz="0" w:space="0" w:color="auto"/>
                <w:bottom w:val="none" w:sz="0" w:space="0" w:color="auto"/>
                <w:right w:val="none" w:sz="0" w:space="0" w:color="auto"/>
              </w:divBdr>
            </w:div>
          </w:divsChild>
        </w:div>
        <w:div w:id="457797449">
          <w:marLeft w:val="0"/>
          <w:marRight w:val="0"/>
          <w:marTop w:val="0"/>
          <w:marBottom w:val="0"/>
          <w:divBdr>
            <w:top w:val="none" w:sz="0" w:space="0" w:color="auto"/>
            <w:left w:val="none" w:sz="0" w:space="0" w:color="auto"/>
            <w:bottom w:val="none" w:sz="0" w:space="0" w:color="auto"/>
            <w:right w:val="none" w:sz="0" w:space="0" w:color="auto"/>
          </w:divBdr>
        </w:div>
        <w:div w:id="601835689">
          <w:marLeft w:val="0"/>
          <w:marRight w:val="0"/>
          <w:marTop w:val="0"/>
          <w:marBottom w:val="0"/>
          <w:divBdr>
            <w:top w:val="none" w:sz="0" w:space="0" w:color="auto"/>
            <w:left w:val="none" w:sz="0" w:space="0" w:color="auto"/>
            <w:bottom w:val="none" w:sz="0" w:space="0" w:color="auto"/>
            <w:right w:val="none" w:sz="0" w:space="0" w:color="auto"/>
          </w:divBdr>
          <w:divsChild>
            <w:div w:id="40056698">
              <w:marLeft w:val="0"/>
              <w:marRight w:val="0"/>
              <w:marTop w:val="0"/>
              <w:marBottom w:val="0"/>
              <w:divBdr>
                <w:top w:val="none" w:sz="0" w:space="0" w:color="auto"/>
                <w:left w:val="none" w:sz="0" w:space="0" w:color="auto"/>
                <w:bottom w:val="none" w:sz="0" w:space="0" w:color="auto"/>
                <w:right w:val="none" w:sz="0" w:space="0" w:color="auto"/>
              </w:divBdr>
            </w:div>
            <w:div w:id="1734549600">
              <w:marLeft w:val="0"/>
              <w:marRight w:val="0"/>
              <w:marTop w:val="0"/>
              <w:marBottom w:val="0"/>
              <w:divBdr>
                <w:top w:val="none" w:sz="0" w:space="0" w:color="auto"/>
                <w:left w:val="none" w:sz="0" w:space="0" w:color="auto"/>
                <w:bottom w:val="none" w:sz="0" w:space="0" w:color="auto"/>
                <w:right w:val="none" w:sz="0" w:space="0" w:color="auto"/>
              </w:divBdr>
            </w:div>
          </w:divsChild>
        </w:div>
        <w:div w:id="1536846543">
          <w:marLeft w:val="0"/>
          <w:marRight w:val="0"/>
          <w:marTop w:val="0"/>
          <w:marBottom w:val="0"/>
          <w:divBdr>
            <w:top w:val="none" w:sz="0" w:space="0" w:color="auto"/>
            <w:left w:val="none" w:sz="0" w:space="0" w:color="auto"/>
            <w:bottom w:val="none" w:sz="0" w:space="0" w:color="auto"/>
            <w:right w:val="none" w:sz="0" w:space="0" w:color="auto"/>
          </w:divBdr>
        </w:div>
        <w:div w:id="1772122513">
          <w:marLeft w:val="0"/>
          <w:marRight w:val="0"/>
          <w:marTop w:val="0"/>
          <w:marBottom w:val="0"/>
          <w:divBdr>
            <w:top w:val="none" w:sz="0" w:space="0" w:color="auto"/>
            <w:left w:val="none" w:sz="0" w:space="0" w:color="auto"/>
            <w:bottom w:val="none" w:sz="0" w:space="0" w:color="auto"/>
            <w:right w:val="none" w:sz="0" w:space="0" w:color="auto"/>
          </w:divBdr>
        </w:div>
      </w:divsChild>
    </w:div>
    <w:div w:id="541139536">
      <w:bodyDiv w:val="1"/>
      <w:marLeft w:val="0"/>
      <w:marRight w:val="0"/>
      <w:marTop w:val="0"/>
      <w:marBottom w:val="0"/>
      <w:divBdr>
        <w:top w:val="none" w:sz="0" w:space="0" w:color="auto"/>
        <w:left w:val="none" w:sz="0" w:space="0" w:color="auto"/>
        <w:bottom w:val="none" w:sz="0" w:space="0" w:color="auto"/>
        <w:right w:val="none" w:sz="0" w:space="0" w:color="auto"/>
      </w:divBdr>
    </w:div>
    <w:div w:id="570696905">
      <w:bodyDiv w:val="1"/>
      <w:marLeft w:val="0"/>
      <w:marRight w:val="0"/>
      <w:marTop w:val="0"/>
      <w:marBottom w:val="0"/>
      <w:divBdr>
        <w:top w:val="none" w:sz="0" w:space="0" w:color="auto"/>
        <w:left w:val="none" w:sz="0" w:space="0" w:color="auto"/>
        <w:bottom w:val="none" w:sz="0" w:space="0" w:color="auto"/>
        <w:right w:val="none" w:sz="0" w:space="0" w:color="auto"/>
      </w:divBdr>
    </w:div>
    <w:div w:id="697203271">
      <w:bodyDiv w:val="1"/>
      <w:marLeft w:val="0"/>
      <w:marRight w:val="0"/>
      <w:marTop w:val="0"/>
      <w:marBottom w:val="0"/>
      <w:divBdr>
        <w:top w:val="none" w:sz="0" w:space="0" w:color="auto"/>
        <w:left w:val="none" w:sz="0" w:space="0" w:color="auto"/>
        <w:bottom w:val="none" w:sz="0" w:space="0" w:color="auto"/>
        <w:right w:val="none" w:sz="0" w:space="0" w:color="auto"/>
      </w:divBdr>
      <w:divsChild>
        <w:div w:id="391852282">
          <w:marLeft w:val="0"/>
          <w:marRight w:val="0"/>
          <w:marTop w:val="0"/>
          <w:marBottom w:val="0"/>
          <w:divBdr>
            <w:top w:val="none" w:sz="0" w:space="0" w:color="auto"/>
            <w:left w:val="none" w:sz="0" w:space="0" w:color="auto"/>
            <w:bottom w:val="none" w:sz="0" w:space="0" w:color="auto"/>
            <w:right w:val="none" w:sz="0" w:space="0" w:color="auto"/>
          </w:divBdr>
          <w:divsChild>
            <w:div w:id="152260751">
              <w:marLeft w:val="0"/>
              <w:marRight w:val="0"/>
              <w:marTop w:val="0"/>
              <w:marBottom w:val="0"/>
              <w:divBdr>
                <w:top w:val="none" w:sz="0" w:space="0" w:color="auto"/>
                <w:left w:val="none" w:sz="0" w:space="0" w:color="auto"/>
                <w:bottom w:val="none" w:sz="0" w:space="0" w:color="auto"/>
                <w:right w:val="none" w:sz="0" w:space="0" w:color="auto"/>
              </w:divBdr>
            </w:div>
            <w:div w:id="913591722">
              <w:marLeft w:val="0"/>
              <w:marRight w:val="0"/>
              <w:marTop w:val="0"/>
              <w:marBottom w:val="0"/>
              <w:divBdr>
                <w:top w:val="none" w:sz="0" w:space="0" w:color="auto"/>
                <w:left w:val="none" w:sz="0" w:space="0" w:color="auto"/>
                <w:bottom w:val="none" w:sz="0" w:space="0" w:color="auto"/>
                <w:right w:val="none" w:sz="0" w:space="0" w:color="auto"/>
              </w:divBdr>
            </w:div>
          </w:divsChild>
        </w:div>
        <w:div w:id="1079251343">
          <w:marLeft w:val="0"/>
          <w:marRight w:val="0"/>
          <w:marTop w:val="0"/>
          <w:marBottom w:val="0"/>
          <w:divBdr>
            <w:top w:val="none" w:sz="0" w:space="0" w:color="auto"/>
            <w:left w:val="none" w:sz="0" w:space="0" w:color="auto"/>
            <w:bottom w:val="none" w:sz="0" w:space="0" w:color="auto"/>
            <w:right w:val="none" w:sz="0" w:space="0" w:color="auto"/>
          </w:divBdr>
          <w:divsChild>
            <w:div w:id="233011895">
              <w:marLeft w:val="0"/>
              <w:marRight w:val="0"/>
              <w:marTop w:val="0"/>
              <w:marBottom w:val="0"/>
              <w:divBdr>
                <w:top w:val="none" w:sz="0" w:space="0" w:color="auto"/>
                <w:left w:val="none" w:sz="0" w:space="0" w:color="auto"/>
                <w:bottom w:val="none" w:sz="0" w:space="0" w:color="auto"/>
                <w:right w:val="none" w:sz="0" w:space="0" w:color="auto"/>
              </w:divBdr>
            </w:div>
            <w:div w:id="1881163496">
              <w:marLeft w:val="0"/>
              <w:marRight w:val="0"/>
              <w:marTop w:val="0"/>
              <w:marBottom w:val="0"/>
              <w:divBdr>
                <w:top w:val="none" w:sz="0" w:space="0" w:color="auto"/>
                <w:left w:val="none" w:sz="0" w:space="0" w:color="auto"/>
                <w:bottom w:val="none" w:sz="0" w:space="0" w:color="auto"/>
                <w:right w:val="none" w:sz="0" w:space="0" w:color="auto"/>
              </w:divBdr>
            </w:div>
          </w:divsChild>
        </w:div>
        <w:div w:id="1330329307">
          <w:marLeft w:val="0"/>
          <w:marRight w:val="0"/>
          <w:marTop w:val="0"/>
          <w:marBottom w:val="0"/>
          <w:divBdr>
            <w:top w:val="none" w:sz="0" w:space="0" w:color="auto"/>
            <w:left w:val="none" w:sz="0" w:space="0" w:color="auto"/>
            <w:bottom w:val="none" w:sz="0" w:space="0" w:color="auto"/>
            <w:right w:val="none" w:sz="0" w:space="0" w:color="auto"/>
          </w:divBdr>
          <w:divsChild>
            <w:div w:id="24211302">
              <w:marLeft w:val="0"/>
              <w:marRight w:val="0"/>
              <w:marTop w:val="0"/>
              <w:marBottom w:val="0"/>
              <w:divBdr>
                <w:top w:val="none" w:sz="0" w:space="0" w:color="auto"/>
                <w:left w:val="none" w:sz="0" w:space="0" w:color="auto"/>
                <w:bottom w:val="none" w:sz="0" w:space="0" w:color="auto"/>
                <w:right w:val="none" w:sz="0" w:space="0" w:color="auto"/>
              </w:divBdr>
            </w:div>
          </w:divsChild>
        </w:div>
        <w:div w:id="1393771433">
          <w:marLeft w:val="0"/>
          <w:marRight w:val="0"/>
          <w:marTop w:val="0"/>
          <w:marBottom w:val="0"/>
          <w:divBdr>
            <w:top w:val="none" w:sz="0" w:space="0" w:color="auto"/>
            <w:left w:val="none" w:sz="0" w:space="0" w:color="auto"/>
            <w:bottom w:val="none" w:sz="0" w:space="0" w:color="auto"/>
            <w:right w:val="none" w:sz="0" w:space="0" w:color="auto"/>
          </w:divBdr>
          <w:divsChild>
            <w:div w:id="464742743">
              <w:marLeft w:val="0"/>
              <w:marRight w:val="0"/>
              <w:marTop w:val="0"/>
              <w:marBottom w:val="0"/>
              <w:divBdr>
                <w:top w:val="none" w:sz="0" w:space="0" w:color="auto"/>
                <w:left w:val="none" w:sz="0" w:space="0" w:color="auto"/>
                <w:bottom w:val="none" w:sz="0" w:space="0" w:color="auto"/>
                <w:right w:val="none" w:sz="0" w:space="0" w:color="auto"/>
              </w:divBdr>
            </w:div>
            <w:div w:id="1813986055">
              <w:marLeft w:val="0"/>
              <w:marRight w:val="0"/>
              <w:marTop w:val="0"/>
              <w:marBottom w:val="0"/>
              <w:divBdr>
                <w:top w:val="none" w:sz="0" w:space="0" w:color="auto"/>
                <w:left w:val="none" w:sz="0" w:space="0" w:color="auto"/>
                <w:bottom w:val="none" w:sz="0" w:space="0" w:color="auto"/>
                <w:right w:val="none" w:sz="0" w:space="0" w:color="auto"/>
              </w:divBdr>
            </w:div>
          </w:divsChild>
        </w:div>
        <w:div w:id="1430079327">
          <w:marLeft w:val="0"/>
          <w:marRight w:val="0"/>
          <w:marTop w:val="0"/>
          <w:marBottom w:val="0"/>
          <w:divBdr>
            <w:top w:val="none" w:sz="0" w:space="0" w:color="auto"/>
            <w:left w:val="none" w:sz="0" w:space="0" w:color="auto"/>
            <w:bottom w:val="none" w:sz="0" w:space="0" w:color="auto"/>
            <w:right w:val="none" w:sz="0" w:space="0" w:color="auto"/>
          </w:divBdr>
          <w:divsChild>
            <w:div w:id="944187744">
              <w:marLeft w:val="0"/>
              <w:marRight w:val="0"/>
              <w:marTop w:val="0"/>
              <w:marBottom w:val="0"/>
              <w:divBdr>
                <w:top w:val="none" w:sz="0" w:space="0" w:color="auto"/>
                <w:left w:val="none" w:sz="0" w:space="0" w:color="auto"/>
                <w:bottom w:val="none" w:sz="0" w:space="0" w:color="auto"/>
                <w:right w:val="none" w:sz="0" w:space="0" w:color="auto"/>
              </w:divBdr>
            </w:div>
            <w:div w:id="1730029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353981">
      <w:bodyDiv w:val="1"/>
      <w:marLeft w:val="0"/>
      <w:marRight w:val="0"/>
      <w:marTop w:val="0"/>
      <w:marBottom w:val="0"/>
      <w:divBdr>
        <w:top w:val="none" w:sz="0" w:space="0" w:color="auto"/>
        <w:left w:val="none" w:sz="0" w:space="0" w:color="auto"/>
        <w:bottom w:val="none" w:sz="0" w:space="0" w:color="auto"/>
        <w:right w:val="none" w:sz="0" w:space="0" w:color="auto"/>
      </w:divBdr>
      <w:divsChild>
        <w:div w:id="474684450">
          <w:marLeft w:val="0"/>
          <w:marRight w:val="0"/>
          <w:marTop w:val="0"/>
          <w:marBottom w:val="0"/>
          <w:divBdr>
            <w:top w:val="none" w:sz="0" w:space="0" w:color="auto"/>
            <w:left w:val="none" w:sz="0" w:space="0" w:color="auto"/>
            <w:bottom w:val="none" w:sz="0" w:space="0" w:color="auto"/>
            <w:right w:val="none" w:sz="0" w:space="0" w:color="auto"/>
          </w:divBdr>
        </w:div>
        <w:div w:id="1536234182">
          <w:marLeft w:val="0"/>
          <w:marRight w:val="0"/>
          <w:marTop w:val="0"/>
          <w:marBottom w:val="0"/>
          <w:divBdr>
            <w:top w:val="none" w:sz="0" w:space="0" w:color="auto"/>
            <w:left w:val="none" w:sz="0" w:space="0" w:color="auto"/>
            <w:bottom w:val="none" w:sz="0" w:space="0" w:color="auto"/>
            <w:right w:val="none" w:sz="0" w:space="0" w:color="auto"/>
          </w:divBdr>
          <w:divsChild>
            <w:div w:id="302084757">
              <w:marLeft w:val="0"/>
              <w:marRight w:val="0"/>
              <w:marTop w:val="0"/>
              <w:marBottom w:val="0"/>
              <w:divBdr>
                <w:top w:val="none" w:sz="0" w:space="0" w:color="auto"/>
                <w:left w:val="none" w:sz="0" w:space="0" w:color="auto"/>
                <w:bottom w:val="none" w:sz="0" w:space="0" w:color="auto"/>
                <w:right w:val="none" w:sz="0" w:space="0" w:color="auto"/>
              </w:divBdr>
            </w:div>
            <w:div w:id="704672751">
              <w:marLeft w:val="0"/>
              <w:marRight w:val="0"/>
              <w:marTop w:val="0"/>
              <w:marBottom w:val="0"/>
              <w:divBdr>
                <w:top w:val="none" w:sz="0" w:space="0" w:color="auto"/>
                <w:left w:val="none" w:sz="0" w:space="0" w:color="auto"/>
                <w:bottom w:val="none" w:sz="0" w:space="0" w:color="auto"/>
                <w:right w:val="none" w:sz="0" w:space="0" w:color="auto"/>
              </w:divBdr>
            </w:div>
            <w:div w:id="964969831">
              <w:marLeft w:val="0"/>
              <w:marRight w:val="0"/>
              <w:marTop w:val="0"/>
              <w:marBottom w:val="0"/>
              <w:divBdr>
                <w:top w:val="none" w:sz="0" w:space="0" w:color="auto"/>
                <w:left w:val="none" w:sz="0" w:space="0" w:color="auto"/>
                <w:bottom w:val="none" w:sz="0" w:space="0" w:color="auto"/>
                <w:right w:val="none" w:sz="0" w:space="0" w:color="auto"/>
              </w:divBdr>
            </w:div>
            <w:div w:id="1130975629">
              <w:marLeft w:val="0"/>
              <w:marRight w:val="0"/>
              <w:marTop w:val="0"/>
              <w:marBottom w:val="0"/>
              <w:divBdr>
                <w:top w:val="none" w:sz="0" w:space="0" w:color="auto"/>
                <w:left w:val="none" w:sz="0" w:space="0" w:color="auto"/>
                <w:bottom w:val="none" w:sz="0" w:space="0" w:color="auto"/>
                <w:right w:val="none" w:sz="0" w:space="0" w:color="auto"/>
              </w:divBdr>
            </w:div>
            <w:div w:id="1339578152">
              <w:marLeft w:val="0"/>
              <w:marRight w:val="0"/>
              <w:marTop w:val="0"/>
              <w:marBottom w:val="0"/>
              <w:divBdr>
                <w:top w:val="none" w:sz="0" w:space="0" w:color="auto"/>
                <w:left w:val="none" w:sz="0" w:space="0" w:color="auto"/>
                <w:bottom w:val="none" w:sz="0" w:space="0" w:color="auto"/>
                <w:right w:val="none" w:sz="0" w:space="0" w:color="auto"/>
              </w:divBdr>
            </w:div>
          </w:divsChild>
        </w:div>
        <w:div w:id="1595238578">
          <w:marLeft w:val="0"/>
          <w:marRight w:val="0"/>
          <w:marTop w:val="0"/>
          <w:marBottom w:val="0"/>
          <w:divBdr>
            <w:top w:val="none" w:sz="0" w:space="0" w:color="auto"/>
            <w:left w:val="none" w:sz="0" w:space="0" w:color="auto"/>
            <w:bottom w:val="none" w:sz="0" w:space="0" w:color="auto"/>
            <w:right w:val="none" w:sz="0" w:space="0" w:color="auto"/>
          </w:divBdr>
        </w:div>
        <w:div w:id="1707213349">
          <w:marLeft w:val="0"/>
          <w:marRight w:val="0"/>
          <w:marTop w:val="0"/>
          <w:marBottom w:val="0"/>
          <w:divBdr>
            <w:top w:val="none" w:sz="0" w:space="0" w:color="auto"/>
            <w:left w:val="none" w:sz="0" w:space="0" w:color="auto"/>
            <w:bottom w:val="none" w:sz="0" w:space="0" w:color="auto"/>
            <w:right w:val="none" w:sz="0" w:space="0" w:color="auto"/>
          </w:divBdr>
        </w:div>
        <w:div w:id="1764494973">
          <w:marLeft w:val="0"/>
          <w:marRight w:val="0"/>
          <w:marTop w:val="0"/>
          <w:marBottom w:val="0"/>
          <w:divBdr>
            <w:top w:val="none" w:sz="0" w:space="0" w:color="auto"/>
            <w:left w:val="none" w:sz="0" w:space="0" w:color="auto"/>
            <w:bottom w:val="none" w:sz="0" w:space="0" w:color="auto"/>
            <w:right w:val="none" w:sz="0" w:space="0" w:color="auto"/>
          </w:divBdr>
        </w:div>
        <w:div w:id="1913079125">
          <w:marLeft w:val="0"/>
          <w:marRight w:val="0"/>
          <w:marTop w:val="0"/>
          <w:marBottom w:val="0"/>
          <w:divBdr>
            <w:top w:val="none" w:sz="0" w:space="0" w:color="auto"/>
            <w:left w:val="none" w:sz="0" w:space="0" w:color="auto"/>
            <w:bottom w:val="none" w:sz="0" w:space="0" w:color="auto"/>
            <w:right w:val="none" w:sz="0" w:space="0" w:color="auto"/>
          </w:divBdr>
        </w:div>
        <w:div w:id="2014449171">
          <w:marLeft w:val="0"/>
          <w:marRight w:val="0"/>
          <w:marTop w:val="0"/>
          <w:marBottom w:val="0"/>
          <w:divBdr>
            <w:top w:val="none" w:sz="0" w:space="0" w:color="auto"/>
            <w:left w:val="none" w:sz="0" w:space="0" w:color="auto"/>
            <w:bottom w:val="none" w:sz="0" w:space="0" w:color="auto"/>
            <w:right w:val="none" w:sz="0" w:space="0" w:color="auto"/>
          </w:divBdr>
          <w:divsChild>
            <w:div w:id="593710512">
              <w:marLeft w:val="0"/>
              <w:marRight w:val="0"/>
              <w:marTop w:val="0"/>
              <w:marBottom w:val="0"/>
              <w:divBdr>
                <w:top w:val="none" w:sz="0" w:space="0" w:color="auto"/>
                <w:left w:val="none" w:sz="0" w:space="0" w:color="auto"/>
                <w:bottom w:val="none" w:sz="0" w:space="0" w:color="auto"/>
                <w:right w:val="none" w:sz="0" w:space="0" w:color="auto"/>
              </w:divBdr>
              <w:divsChild>
                <w:div w:id="751392775">
                  <w:marLeft w:val="0"/>
                  <w:marRight w:val="0"/>
                  <w:marTop w:val="0"/>
                  <w:marBottom w:val="0"/>
                  <w:divBdr>
                    <w:top w:val="none" w:sz="0" w:space="0" w:color="auto"/>
                    <w:left w:val="none" w:sz="0" w:space="0" w:color="auto"/>
                    <w:bottom w:val="none" w:sz="0" w:space="0" w:color="auto"/>
                    <w:right w:val="none" w:sz="0" w:space="0" w:color="auto"/>
                  </w:divBdr>
                </w:div>
                <w:div w:id="901450205">
                  <w:marLeft w:val="0"/>
                  <w:marRight w:val="0"/>
                  <w:marTop w:val="0"/>
                  <w:marBottom w:val="0"/>
                  <w:divBdr>
                    <w:top w:val="none" w:sz="0" w:space="0" w:color="auto"/>
                    <w:left w:val="none" w:sz="0" w:space="0" w:color="auto"/>
                    <w:bottom w:val="none" w:sz="0" w:space="0" w:color="auto"/>
                    <w:right w:val="none" w:sz="0" w:space="0" w:color="auto"/>
                  </w:divBdr>
                </w:div>
                <w:div w:id="1944610167">
                  <w:marLeft w:val="0"/>
                  <w:marRight w:val="0"/>
                  <w:marTop w:val="0"/>
                  <w:marBottom w:val="0"/>
                  <w:divBdr>
                    <w:top w:val="none" w:sz="0" w:space="0" w:color="auto"/>
                    <w:left w:val="none" w:sz="0" w:space="0" w:color="auto"/>
                    <w:bottom w:val="none" w:sz="0" w:space="0" w:color="auto"/>
                    <w:right w:val="none" w:sz="0" w:space="0" w:color="auto"/>
                  </w:divBdr>
                </w:div>
              </w:divsChild>
            </w:div>
            <w:div w:id="1251157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504610">
      <w:bodyDiv w:val="1"/>
      <w:marLeft w:val="0"/>
      <w:marRight w:val="0"/>
      <w:marTop w:val="0"/>
      <w:marBottom w:val="0"/>
      <w:divBdr>
        <w:top w:val="none" w:sz="0" w:space="0" w:color="auto"/>
        <w:left w:val="none" w:sz="0" w:space="0" w:color="auto"/>
        <w:bottom w:val="none" w:sz="0" w:space="0" w:color="auto"/>
        <w:right w:val="none" w:sz="0" w:space="0" w:color="auto"/>
      </w:divBdr>
    </w:div>
    <w:div w:id="781001237">
      <w:bodyDiv w:val="1"/>
      <w:marLeft w:val="0"/>
      <w:marRight w:val="0"/>
      <w:marTop w:val="0"/>
      <w:marBottom w:val="0"/>
      <w:divBdr>
        <w:top w:val="none" w:sz="0" w:space="0" w:color="auto"/>
        <w:left w:val="none" w:sz="0" w:space="0" w:color="auto"/>
        <w:bottom w:val="none" w:sz="0" w:space="0" w:color="auto"/>
        <w:right w:val="none" w:sz="0" w:space="0" w:color="auto"/>
      </w:divBdr>
      <w:divsChild>
        <w:div w:id="125318025">
          <w:marLeft w:val="0"/>
          <w:marRight w:val="0"/>
          <w:marTop w:val="0"/>
          <w:marBottom w:val="0"/>
          <w:divBdr>
            <w:top w:val="none" w:sz="0" w:space="0" w:color="auto"/>
            <w:left w:val="none" w:sz="0" w:space="0" w:color="auto"/>
            <w:bottom w:val="none" w:sz="0" w:space="0" w:color="auto"/>
            <w:right w:val="none" w:sz="0" w:space="0" w:color="auto"/>
          </w:divBdr>
        </w:div>
        <w:div w:id="471215988">
          <w:marLeft w:val="0"/>
          <w:marRight w:val="0"/>
          <w:marTop w:val="0"/>
          <w:marBottom w:val="0"/>
          <w:divBdr>
            <w:top w:val="none" w:sz="0" w:space="0" w:color="auto"/>
            <w:left w:val="none" w:sz="0" w:space="0" w:color="auto"/>
            <w:bottom w:val="none" w:sz="0" w:space="0" w:color="auto"/>
            <w:right w:val="none" w:sz="0" w:space="0" w:color="auto"/>
          </w:divBdr>
        </w:div>
        <w:div w:id="512108164">
          <w:marLeft w:val="0"/>
          <w:marRight w:val="0"/>
          <w:marTop w:val="0"/>
          <w:marBottom w:val="0"/>
          <w:divBdr>
            <w:top w:val="none" w:sz="0" w:space="0" w:color="auto"/>
            <w:left w:val="none" w:sz="0" w:space="0" w:color="auto"/>
            <w:bottom w:val="none" w:sz="0" w:space="0" w:color="auto"/>
            <w:right w:val="none" w:sz="0" w:space="0" w:color="auto"/>
          </w:divBdr>
        </w:div>
        <w:div w:id="1388990567">
          <w:marLeft w:val="0"/>
          <w:marRight w:val="0"/>
          <w:marTop w:val="0"/>
          <w:marBottom w:val="0"/>
          <w:divBdr>
            <w:top w:val="none" w:sz="0" w:space="0" w:color="auto"/>
            <w:left w:val="none" w:sz="0" w:space="0" w:color="auto"/>
            <w:bottom w:val="none" w:sz="0" w:space="0" w:color="auto"/>
            <w:right w:val="none" w:sz="0" w:space="0" w:color="auto"/>
          </w:divBdr>
        </w:div>
      </w:divsChild>
    </w:div>
    <w:div w:id="784349870">
      <w:bodyDiv w:val="1"/>
      <w:marLeft w:val="0"/>
      <w:marRight w:val="0"/>
      <w:marTop w:val="0"/>
      <w:marBottom w:val="0"/>
      <w:divBdr>
        <w:top w:val="none" w:sz="0" w:space="0" w:color="auto"/>
        <w:left w:val="none" w:sz="0" w:space="0" w:color="auto"/>
        <w:bottom w:val="none" w:sz="0" w:space="0" w:color="auto"/>
        <w:right w:val="none" w:sz="0" w:space="0" w:color="auto"/>
      </w:divBdr>
      <w:divsChild>
        <w:div w:id="455759909">
          <w:marLeft w:val="0"/>
          <w:marRight w:val="0"/>
          <w:marTop w:val="0"/>
          <w:marBottom w:val="0"/>
          <w:divBdr>
            <w:top w:val="none" w:sz="0" w:space="0" w:color="auto"/>
            <w:left w:val="none" w:sz="0" w:space="0" w:color="auto"/>
            <w:bottom w:val="none" w:sz="0" w:space="0" w:color="auto"/>
            <w:right w:val="none" w:sz="0" w:space="0" w:color="auto"/>
          </w:divBdr>
        </w:div>
        <w:div w:id="697589804">
          <w:marLeft w:val="0"/>
          <w:marRight w:val="0"/>
          <w:marTop w:val="0"/>
          <w:marBottom w:val="0"/>
          <w:divBdr>
            <w:top w:val="none" w:sz="0" w:space="0" w:color="auto"/>
            <w:left w:val="none" w:sz="0" w:space="0" w:color="auto"/>
            <w:bottom w:val="none" w:sz="0" w:space="0" w:color="auto"/>
            <w:right w:val="none" w:sz="0" w:space="0" w:color="auto"/>
          </w:divBdr>
        </w:div>
        <w:div w:id="1264144700">
          <w:marLeft w:val="0"/>
          <w:marRight w:val="0"/>
          <w:marTop w:val="0"/>
          <w:marBottom w:val="0"/>
          <w:divBdr>
            <w:top w:val="none" w:sz="0" w:space="0" w:color="auto"/>
            <w:left w:val="none" w:sz="0" w:space="0" w:color="auto"/>
            <w:bottom w:val="none" w:sz="0" w:space="0" w:color="auto"/>
            <w:right w:val="none" w:sz="0" w:space="0" w:color="auto"/>
          </w:divBdr>
        </w:div>
        <w:div w:id="1885949746">
          <w:marLeft w:val="0"/>
          <w:marRight w:val="0"/>
          <w:marTop w:val="0"/>
          <w:marBottom w:val="0"/>
          <w:divBdr>
            <w:top w:val="none" w:sz="0" w:space="0" w:color="auto"/>
            <w:left w:val="none" w:sz="0" w:space="0" w:color="auto"/>
            <w:bottom w:val="none" w:sz="0" w:space="0" w:color="auto"/>
            <w:right w:val="none" w:sz="0" w:space="0" w:color="auto"/>
          </w:divBdr>
        </w:div>
      </w:divsChild>
    </w:div>
    <w:div w:id="793984470">
      <w:bodyDiv w:val="1"/>
      <w:marLeft w:val="0"/>
      <w:marRight w:val="0"/>
      <w:marTop w:val="0"/>
      <w:marBottom w:val="0"/>
      <w:divBdr>
        <w:top w:val="none" w:sz="0" w:space="0" w:color="auto"/>
        <w:left w:val="none" w:sz="0" w:space="0" w:color="auto"/>
        <w:bottom w:val="none" w:sz="0" w:space="0" w:color="auto"/>
        <w:right w:val="none" w:sz="0" w:space="0" w:color="auto"/>
      </w:divBdr>
    </w:div>
    <w:div w:id="802650556">
      <w:bodyDiv w:val="1"/>
      <w:marLeft w:val="0"/>
      <w:marRight w:val="0"/>
      <w:marTop w:val="0"/>
      <w:marBottom w:val="0"/>
      <w:divBdr>
        <w:top w:val="none" w:sz="0" w:space="0" w:color="auto"/>
        <w:left w:val="none" w:sz="0" w:space="0" w:color="auto"/>
        <w:bottom w:val="none" w:sz="0" w:space="0" w:color="auto"/>
        <w:right w:val="none" w:sz="0" w:space="0" w:color="auto"/>
      </w:divBdr>
      <w:divsChild>
        <w:div w:id="469440078">
          <w:marLeft w:val="0"/>
          <w:marRight w:val="0"/>
          <w:marTop w:val="0"/>
          <w:marBottom w:val="0"/>
          <w:divBdr>
            <w:top w:val="none" w:sz="0" w:space="0" w:color="auto"/>
            <w:left w:val="none" w:sz="0" w:space="0" w:color="auto"/>
            <w:bottom w:val="none" w:sz="0" w:space="0" w:color="auto"/>
            <w:right w:val="none" w:sz="0" w:space="0" w:color="auto"/>
          </w:divBdr>
        </w:div>
        <w:div w:id="672342109">
          <w:marLeft w:val="0"/>
          <w:marRight w:val="0"/>
          <w:marTop w:val="0"/>
          <w:marBottom w:val="0"/>
          <w:divBdr>
            <w:top w:val="none" w:sz="0" w:space="0" w:color="auto"/>
            <w:left w:val="none" w:sz="0" w:space="0" w:color="auto"/>
            <w:bottom w:val="none" w:sz="0" w:space="0" w:color="auto"/>
            <w:right w:val="none" w:sz="0" w:space="0" w:color="auto"/>
          </w:divBdr>
        </w:div>
        <w:div w:id="943876643">
          <w:marLeft w:val="0"/>
          <w:marRight w:val="0"/>
          <w:marTop w:val="0"/>
          <w:marBottom w:val="0"/>
          <w:divBdr>
            <w:top w:val="none" w:sz="0" w:space="0" w:color="auto"/>
            <w:left w:val="none" w:sz="0" w:space="0" w:color="auto"/>
            <w:bottom w:val="none" w:sz="0" w:space="0" w:color="auto"/>
            <w:right w:val="none" w:sz="0" w:space="0" w:color="auto"/>
          </w:divBdr>
        </w:div>
        <w:div w:id="1066611230">
          <w:marLeft w:val="0"/>
          <w:marRight w:val="0"/>
          <w:marTop w:val="0"/>
          <w:marBottom w:val="0"/>
          <w:divBdr>
            <w:top w:val="none" w:sz="0" w:space="0" w:color="auto"/>
            <w:left w:val="none" w:sz="0" w:space="0" w:color="auto"/>
            <w:bottom w:val="none" w:sz="0" w:space="0" w:color="auto"/>
            <w:right w:val="none" w:sz="0" w:space="0" w:color="auto"/>
          </w:divBdr>
        </w:div>
        <w:div w:id="1094017317">
          <w:marLeft w:val="0"/>
          <w:marRight w:val="0"/>
          <w:marTop w:val="0"/>
          <w:marBottom w:val="0"/>
          <w:divBdr>
            <w:top w:val="none" w:sz="0" w:space="0" w:color="auto"/>
            <w:left w:val="none" w:sz="0" w:space="0" w:color="auto"/>
            <w:bottom w:val="none" w:sz="0" w:space="0" w:color="auto"/>
            <w:right w:val="none" w:sz="0" w:space="0" w:color="auto"/>
          </w:divBdr>
        </w:div>
        <w:div w:id="1621957284">
          <w:marLeft w:val="0"/>
          <w:marRight w:val="0"/>
          <w:marTop w:val="0"/>
          <w:marBottom w:val="0"/>
          <w:divBdr>
            <w:top w:val="none" w:sz="0" w:space="0" w:color="auto"/>
            <w:left w:val="none" w:sz="0" w:space="0" w:color="auto"/>
            <w:bottom w:val="none" w:sz="0" w:space="0" w:color="auto"/>
            <w:right w:val="none" w:sz="0" w:space="0" w:color="auto"/>
          </w:divBdr>
        </w:div>
        <w:div w:id="1749116297">
          <w:marLeft w:val="0"/>
          <w:marRight w:val="0"/>
          <w:marTop w:val="0"/>
          <w:marBottom w:val="0"/>
          <w:divBdr>
            <w:top w:val="none" w:sz="0" w:space="0" w:color="auto"/>
            <w:left w:val="none" w:sz="0" w:space="0" w:color="auto"/>
            <w:bottom w:val="none" w:sz="0" w:space="0" w:color="auto"/>
            <w:right w:val="none" w:sz="0" w:space="0" w:color="auto"/>
          </w:divBdr>
        </w:div>
        <w:div w:id="1825126375">
          <w:marLeft w:val="0"/>
          <w:marRight w:val="0"/>
          <w:marTop w:val="0"/>
          <w:marBottom w:val="0"/>
          <w:divBdr>
            <w:top w:val="none" w:sz="0" w:space="0" w:color="auto"/>
            <w:left w:val="none" w:sz="0" w:space="0" w:color="auto"/>
            <w:bottom w:val="none" w:sz="0" w:space="0" w:color="auto"/>
            <w:right w:val="none" w:sz="0" w:space="0" w:color="auto"/>
          </w:divBdr>
        </w:div>
      </w:divsChild>
    </w:div>
    <w:div w:id="833372261">
      <w:bodyDiv w:val="1"/>
      <w:marLeft w:val="0"/>
      <w:marRight w:val="0"/>
      <w:marTop w:val="0"/>
      <w:marBottom w:val="0"/>
      <w:divBdr>
        <w:top w:val="none" w:sz="0" w:space="0" w:color="auto"/>
        <w:left w:val="none" w:sz="0" w:space="0" w:color="auto"/>
        <w:bottom w:val="none" w:sz="0" w:space="0" w:color="auto"/>
        <w:right w:val="none" w:sz="0" w:space="0" w:color="auto"/>
      </w:divBdr>
      <w:divsChild>
        <w:div w:id="815949397">
          <w:marLeft w:val="0"/>
          <w:marRight w:val="0"/>
          <w:marTop w:val="0"/>
          <w:marBottom w:val="0"/>
          <w:divBdr>
            <w:top w:val="none" w:sz="0" w:space="0" w:color="auto"/>
            <w:left w:val="none" w:sz="0" w:space="0" w:color="auto"/>
            <w:bottom w:val="none" w:sz="0" w:space="0" w:color="auto"/>
            <w:right w:val="none" w:sz="0" w:space="0" w:color="auto"/>
          </w:divBdr>
        </w:div>
        <w:div w:id="897327164">
          <w:marLeft w:val="0"/>
          <w:marRight w:val="0"/>
          <w:marTop w:val="0"/>
          <w:marBottom w:val="0"/>
          <w:divBdr>
            <w:top w:val="none" w:sz="0" w:space="0" w:color="auto"/>
            <w:left w:val="none" w:sz="0" w:space="0" w:color="auto"/>
            <w:bottom w:val="none" w:sz="0" w:space="0" w:color="auto"/>
            <w:right w:val="none" w:sz="0" w:space="0" w:color="auto"/>
          </w:divBdr>
        </w:div>
        <w:div w:id="1056589793">
          <w:marLeft w:val="0"/>
          <w:marRight w:val="0"/>
          <w:marTop w:val="0"/>
          <w:marBottom w:val="0"/>
          <w:divBdr>
            <w:top w:val="none" w:sz="0" w:space="0" w:color="auto"/>
            <w:left w:val="none" w:sz="0" w:space="0" w:color="auto"/>
            <w:bottom w:val="none" w:sz="0" w:space="0" w:color="auto"/>
            <w:right w:val="none" w:sz="0" w:space="0" w:color="auto"/>
          </w:divBdr>
        </w:div>
        <w:div w:id="1946451908">
          <w:marLeft w:val="0"/>
          <w:marRight w:val="0"/>
          <w:marTop w:val="0"/>
          <w:marBottom w:val="0"/>
          <w:divBdr>
            <w:top w:val="none" w:sz="0" w:space="0" w:color="auto"/>
            <w:left w:val="none" w:sz="0" w:space="0" w:color="auto"/>
            <w:bottom w:val="none" w:sz="0" w:space="0" w:color="auto"/>
            <w:right w:val="none" w:sz="0" w:space="0" w:color="auto"/>
          </w:divBdr>
        </w:div>
      </w:divsChild>
    </w:div>
    <w:div w:id="846208336">
      <w:bodyDiv w:val="1"/>
      <w:marLeft w:val="0"/>
      <w:marRight w:val="0"/>
      <w:marTop w:val="0"/>
      <w:marBottom w:val="0"/>
      <w:divBdr>
        <w:top w:val="none" w:sz="0" w:space="0" w:color="auto"/>
        <w:left w:val="none" w:sz="0" w:space="0" w:color="auto"/>
        <w:bottom w:val="none" w:sz="0" w:space="0" w:color="auto"/>
        <w:right w:val="none" w:sz="0" w:space="0" w:color="auto"/>
      </w:divBdr>
      <w:divsChild>
        <w:div w:id="131756618">
          <w:marLeft w:val="0"/>
          <w:marRight w:val="0"/>
          <w:marTop w:val="0"/>
          <w:marBottom w:val="0"/>
          <w:divBdr>
            <w:top w:val="none" w:sz="0" w:space="0" w:color="auto"/>
            <w:left w:val="none" w:sz="0" w:space="0" w:color="auto"/>
            <w:bottom w:val="none" w:sz="0" w:space="0" w:color="auto"/>
            <w:right w:val="none" w:sz="0" w:space="0" w:color="auto"/>
          </w:divBdr>
        </w:div>
        <w:div w:id="1209761638">
          <w:marLeft w:val="0"/>
          <w:marRight w:val="0"/>
          <w:marTop w:val="0"/>
          <w:marBottom w:val="0"/>
          <w:divBdr>
            <w:top w:val="none" w:sz="0" w:space="0" w:color="auto"/>
            <w:left w:val="none" w:sz="0" w:space="0" w:color="auto"/>
            <w:bottom w:val="none" w:sz="0" w:space="0" w:color="auto"/>
            <w:right w:val="none" w:sz="0" w:space="0" w:color="auto"/>
          </w:divBdr>
        </w:div>
        <w:div w:id="1713848793">
          <w:marLeft w:val="0"/>
          <w:marRight w:val="0"/>
          <w:marTop w:val="0"/>
          <w:marBottom w:val="0"/>
          <w:divBdr>
            <w:top w:val="none" w:sz="0" w:space="0" w:color="auto"/>
            <w:left w:val="none" w:sz="0" w:space="0" w:color="auto"/>
            <w:bottom w:val="none" w:sz="0" w:space="0" w:color="auto"/>
            <w:right w:val="none" w:sz="0" w:space="0" w:color="auto"/>
          </w:divBdr>
        </w:div>
      </w:divsChild>
    </w:div>
    <w:div w:id="919604891">
      <w:bodyDiv w:val="1"/>
      <w:marLeft w:val="0"/>
      <w:marRight w:val="0"/>
      <w:marTop w:val="0"/>
      <w:marBottom w:val="0"/>
      <w:divBdr>
        <w:top w:val="none" w:sz="0" w:space="0" w:color="auto"/>
        <w:left w:val="none" w:sz="0" w:space="0" w:color="auto"/>
        <w:bottom w:val="none" w:sz="0" w:space="0" w:color="auto"/>
        <w:right w:val="none" w:sz="0" w:space="0" w:color="auto"/>
      </w:divBdr>
      <w:divsChild>
        <w:div w:id="69621289">
          <w:marLeft w:val="0"/>
          <w:marRight w:val="0"/>
          <w:marTop w:val="0"/>
          <w:marBottom w:val="0"/>
          <w:divBdr>
            <w:top w:val="none" w:sz="0" w:space="0" w:color="auto"/>
            <w:left w:val="none" w:sz="0" w:space="0" w:color="auto"/>
            <w:bottom w:val="none" w:sz="0" w:space="0" w:color="auto"/>
            <w:right w:val="none" w:sz="0" w:space="0" w:color="auto"/>
          </w:divBdr>
        </w:div>
        <w:div w:id="1164857004">
          <w:marLeft w:val="0"/>
          <w:marRight w:val="0"/>
          <w:marTop w:val="0"/>
          <w:marBottom w:val="0"/>
          <w:divBdr>
            <w:top w:val="none" w:sz="0" w:space="0" w:color="auto"/>
            <w:left w:val="none" w:sz="0" w:space="0" w:color="auto"/>
            <w:bottom w:val="none" w:sz="0" w:space="0" w:color="auto"/>
            <w:right w:val="none" w:sz="0" w:space="0" w:color="auto"/>
          </w:divBdr>
        </w:div>
        <w:div w:id="2050035655">
          <w:marLeft w:val="0"/>
          <w:marRight w:val="0"/>
          <w:marTop w:val="0"/>
          <w:marBottom w:val="0"/>
          <w:divBdr>
            <w:top w:val="none" w:sz="0" w:space="0" w:color="auto"/>
            <w:left w:val="none" w:sz="0" w:space="0" w:color="auto"/>
            <w:bottom w:val="none" w:sz="0" w:space="0" w:color="auto"/>
            <w:right w:val="none" w:sz="0" w:space="0" w:color="auto"/>
          </w:divBdr>
        </w:div>
      </w:divsChild>
    </w:div>
    <w:div w:id="979727735">
      <w:bodyDiv w:val="1"/>
      <w:marLeft w:val="0"/>
      <w:marRight w:val="0"/>
      <w:marTop w:val="0"/>
      <w:marBottom w:val="0"/>
      <w:divBdr>
        <w:top w:val="none" w:sz="0" w:space="0" w:color="auto"/>
        <w:left w:val="none" w:sz="0" w:space="0" w:color="auto"/>
        <w:bottom w:val="none" w:sz="0" w:space="0" w:color="auto"/>
        <w:right w:val="none" w:sz="0" w:space="0" w:color="auto"/>
      </w:divBdr>
      <w:divsChild>
        <w:div w:id="850679165">
          <w:marLeft w:val="0"/>
          <w:marRight w:val="0"/>
          <w:marTop w:val="0"/>
          <w:marBottom w:val="0"/>
          <w:divBdr>
            <w:top w:val="none" w:sz="0" w:space="0" w:color="auto"/>
            <w:left w:val="none" w:sz="0" w:space="0" w:color="auto"/>
            <w:bottom w:val="none" w:sz="0" w:space="0" w:color="auto"/>
            <w:right w:val="none" w:sz="0" w:space="0" w:color="auto"/>
          </w:divBdr>
        </w:div>
        <w:div w:id="853689917">
          <w:marLeft w:val="0"/>
          <w:marRight w:val="0"/>
          <w:marTop w:val="0"/>
          <w:marBottom w:val="0"/>
          <w:divBdr>
            <w:top w:val="none" w:sz="0" w:space="0" w:color="auto"/>
            <w:left w:val="none" w:sz="0" w:space="0" w:color="auto"/>
            <w:bottom w:val="none" w:sz="0" w:space="0" w:color="auto"/>
            <w:right w:val="none" w:sz="0" w:space="0" w:color="auto"/>
          </w:divBdr>
        </w:div>
      </w:divsChild>
    </w:div>
    <w:div w:id="1098213233">
      <w:bodyDiv w:val="1"/>
      <w:marLeft w:val="0"/>
      <w:marRight w:val="0"/>
      <w:marTop w:val="0"/>
      <w:marBottom w:val="0"/>
      <w:divBdr>
        <w:top w:val="none" w:sz="0" w:space="0" w:color="auto"/>
        <w:left w:val="none" w:sz="0" w:space="0" w:color="auto"/>
        <w:bottom w:val="none" w:sz="0" w:space="0" w:color="auto"/>
        <w:right w:val="none" w:sz="0" w:space="0" w:color="auto"/>
      </w:divBdr>
    </w:div>
    <w:div w:id="1099914757">
      <w:bodyDiv w:val="1"/>
      <w:marLeft w:val="0"/>
      <w:marRight w:val="0"/>
      <w:marTop w:val="0"/>
      <w:marBottom w:val="0"/>
      <w:divBdr>
        <w:top w:val="none" w:sz="0" w:space="0" w:color="auto"/>
        <w:left w:val="none" w:sz="0" w:space="0" w:color="auto"/>
        <w:bottom w:val="none" w:sz="0" w:space="0" w:color="auto"/>
        <w:right w:val="none" w:sz="0" w:space="0" w:color="auto"/>
      </w:divBdr>
    </w:div>
    <w:div w:id="1162426383">
      <w:bodyDiv w:val="1"/>
      <w:marLeft w:val="0"/>
      <w:marRight w:val="0"/>
      <w:marTop w:val="0"/>
      <w:marBottom w:val="0"/>
      <w:divBdr>
        <w:top w:val="none" w:sz="0" w:space="0" w:color="auto"/>
        <w:left w:val="none" w:sz="0" w:space="0" w:color="auto"/>
        <w:bottom w:val="none" w:sz="0" w:space="0" w:color="auto"/>
        <w:right w:val="none" w:sz="0" w:space="0" w:color="auto"/>
      </w:divBdr>
      <w:divsChild>
        <w:div w:id="837886369">
          <w:marLeft w:val="0"/>
          <w:marRight w:val="0"/>
          <w:marTop w:val="0"/>
          <w:marBottom w:val="0"/>
          <w:divBdr>
            <w:top w:val="none" w:sz="0" w:space="0" w:color="auto"/>
            <w:left w:val="none" w:sz="0" w:space="0" w:color="auto"/>
            <w:bottom w:val="none" w:sz="0" w:space="0" w:color="auto"/>
            <w:right w:val="none" w:sz="0" w:space="0" w:color="auto"/>
          </w:divBdr>
        </w:div>
        <w:div w:id="931397694">
          <w:marLeft w:val="0"/>
          <w:marRight w:val="0"/>
          <w:marTop w:val="0"/>
          <w:marBottom w:val="0"/>
          <w:divBdr>
            <w:top w:val="none" w:sz="0" w:space="0" w:color="auto"/>
            <w:left w:val="none" w:sz="0" w:space="0" w:color="auto"/>
            <w:bottom w:val="none" w:sz="0" w:space="0" w:color="auto"/>
            <w:right w:val="none" w:sz="0" w:space="0" w:color="auto"/>
          </w:divBdr>
        </w:div>
      </w:divsChild>
    </w:div>
    <w:div w:id="1192377885">
      <w:bodyDiv w:val="1"/>
      <w:marLeft w:val="0"/>
      <w:marRight w:val="0"/>
      <w:marTop w:val="0"/>
      <w:marBottom w:val="0"/>
      <w:divBdr>
        <w:top w:val="none" w:sz="0" w:space="0" w:color="auto"/>
        <w:left w:val="none" w:sz="0" w:space="0" w:color="auto"/>
        <w:bottom w:val="none" w:sz="0" w:space="0" w:color="auto"/>
        <w:right w:val="none" w:sz="0" w:space="0" w:color="auto"/>
      </w:divBdr>
      <w:divsChild>
        <w:div w:id="1263295438">
          <w:marLeft w:val="0"/>
          <w:marRight w:val="0"/>
          <w:marTop w:val="0"/>
          <w:marBottom w:val="0"/>
          <w:divBdr>
            <w:top w:val="none" w:sz="0" w:space="0" w:color="auto"/>
            <w:left w:val="none" w:sz="0" w:space="0" w:color="auto"/>
            <w:bottom w:val="none" w:sz="0" w:space="0" w:color="auto"/>
            <w:right w:val="none" w:sz="0" w:space="0" w:color="auto"/>
          </w:divBdr>
          <w:divsChild>
            <w:div w:id="10380813">
              <w:marLeft w:val="0"/>
              <w:marRight w:val="0"/>
              <w:marTop w:val="0"/>
              <w:marBottom w:val="0"/>
              <w:divBdr>
                <w:top w:val="none" w:sz="0" w:space="0" w:color="auto"/>
                <w:left w:val="none" w:sz="0" w:space="0" w:color="auto"/>
                <w:bottom w:val="none" w:sz="0" w:space="0" w:color="auto"/>
                <w:right w:val="none" w:sz="0" w:space="0" w:color="auto"/>
              </w:divBdr>
              <w:divsChild>
                <w:div w:id="1140464575">
                  <w:marLeft w:val="0"/>
                  <w:marRight w:val="0"/>
                  <w:marTop w:val="0"/>
                  <w:marBottom w:val="0"/>
                  <w:divBdr>
                    <w:top w:val="none" w:sz="0" w:space="0" w:color="auto"/>
                    <w:left w:val="none" w:sz="0" w:space="0" w:color="auto"/>
                    <w:bottom w:val="none" w:sz="0" w:space="0" w:color="auto"/>
                    <w:right w:val="none" w:sz="0" w:space="0" w:color="auto"/>
                  </w:divBdr>
                  <w:divsChild>
                    <w:div w:id="552278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573327">
              <w:marLeft w:val="0"/>
              <w:marRight w:val="0"/>
              <w:marTop w:val="0"/>
              <w:marBottom w:val="0"/>
              <w:divBdr>
                <w:top w:val="none" w:sz="0" w:space="0" w:color="auto"/>
                <w:left w:val="none" w:sz="0" w:space="0" w:color="auto"/>
                <w:bottom w:val="none" w:sz="0" w:space="0" w:color="auto"/>
                <w:right w:val="none" w:sz="0" w:space="0" w:color="auto"/>
              </w:divBdr>
              <w:divsChild>
                <w:div w:id="817764390">
                  <w:marLeft w:val="0"/>
                  <w:marRight w:val="0"/>
                  <w:marTop w:val="0"/>
                  <w:marBottom w:val="0"/>
                  <w:divBdr>
                    <w:top w:val="none" w:sz="0" w:space="0" w:color="auto"/>
                    <w:left w:val="none" w:sz="0" w:space="0" w:color="auto"/>
                    <w:bottom w:val="none" w:sz="0" w:space="0" w:color="auto"/>
                    <w:right w:val="none" w:sz="0" w:space="0" w:color="auto"/>
                  </w:divBdr>
                  <w:divsChild>
                    <w:div w:id="1599413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342117">
              <w:marLeft w:val="0"/>
              <w:marRight w:val="0"/>
              <w:marTop w:val="0"/>
              <w:marBottom w:val="0"/>
              <w:divBdr>
                <w:top w:val="none" w:sz="0" w:space="0" w:color="auto"/>
                <w:left w:val="none" w:sz="0" w:space="0" w:color="auto"/>
                <w:bottom w:val="none" w:sz="0" w:space="0" w:color="auto"/>
                <w:right w:val="none" w:sz="0" w:space="0" w:color="auto"/>
              </w:divBdr>
              <w:divsChild>
                <w:div w:id="1564754475">
                  <w:marLeft w:val="0"/>
                  <w:marRight w:val="0"/>
                  <w:marTop w:val="0"/>
                  <w:marBottom w:val="0"/>
                  <w:divBdr>
                    <w:top w:val="none" w:sz="0" w:space="0" w:color="auto"/>
                    <w:left w:val="none" w:sz="0" w:space="0" w:color="auto"/>
                    <w:bottom w:val="none" w:sz="0" w:space="0" w:color="auto"/>
                    <w:right w:val="none" w:sz="0" w:space="0" w:color="auto"/>
                  </w:divBdr>
                  <w:divsChild>
                    <w:div w:id="1558858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53244">
              <w:marLeft w:val="0"/>
              <w:marRight w:val="0"/>
              <w:marTop w:val="0"/>
              <w:marBottom w:val="0"/>
              <w:divBdr>
                <w:top w:val="none" w:sz="0" w:space="0" w:color="auto"/>
                <w:left w:val="none" w:sz="0" w:space="0" w:color="auto"/>
                <w:bottom w:val="none" w:sz="0" w:space="0" w:color="auto"/>
                <w:right w:val="none" w:sz="0" w:space="0" w:color="auto"/>
              </w:divBdr>
              <w:divsChild>
                <w:div w:id="949974168">
                  <w:marLeft w:val="0"/>
                  <w:marRight w:val="0"/>
                  <w:marTop w:val="0"/>
                  <w:marBottom w:val="0"/>
                  <w:divBdr>
                    <w:top w:val="none" w:sz="0" w:space="0" w:color="auto"/>
                    <w:left w:val="none" w:sz="0" w:space="0" w:color="auto"/>
                    <w:bottom w:val="none" w:sz="0" w:space="0" w:color="auto"/>
                    <w:right w:val="none" w:sz="0" w:space="0" w:color="auto"/>
                  </w:divBdr>
                  <w:divsChild>
                    <w:div w:id="184519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24189">
              <w:marLeft w:val="0"/>
              <w:marRight w:val="0"/>
              <w:marTop w:val="0"/>
              <w:marBottom w:val="0"/>
              <w:divBdr>
                <w:top w:val="none" w:sz="0" w:space="0" w:color="auto"/>
                <w:left w:val="none" w:sz="0" w:space="0" w:color="auto"/>
                <w:bottom w:val="none" w:sz="0" w:space="0" w:color="auto"/>
                <w:right w:val="none" w:sz="0" w:space="0" w:color="auto"/>
              </w:divBdr>
              <w:divsChild>
                <w:div w:id="2025129824">
                  <w:marLeft w:val="0"/>
                  <w:marRight w:val="0"/>
                  <w:marTop w:val="0"/>
                  <w:marBottom w:val="0"/>
                  <w:divBdr>
                    <w:top w:val="none" w:sz="0" w:space="0" w:color="auto"/>
                    <w:left w:val="none" w:sz="0" w:space="0" w:color="auto"/>
                    <w:bottom w:val="none" w:sz="0" w:space="0" w:color="auto"/>
                    <w:right w:val="none" w:sz="0" w:space="0" w:color="auto"/>
                  </w:divBdr>
                  <w:divsChild>
                    <w:div w:id="1696928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05305">
              <w:marLeft w:val="0"/>
              <w:marRight w:val="0"/>
              <w:marTop w:val="0"/>
              <w:marBottom w:val="0"/>
              <w:divBdr>
                <w:top w:val="none" w:sz="0" w:space="0" w:color="auto"/>
                <w:left w:val="none" w:sz="0" w:space="0" w:color="auto"/>
                <w:bottom w:val="none" w:sz="0" w:space="0" w:color="auto"/>
                <w:right w:val="none" w:sz="0" w:space="0" w:color="auto"/>
              </w:divBdr>
              <w:divsChild>
                <w:div w:id="1259758125">
                  <w:marLeft w:val="0"/>
                  <w:marRight w:val="0"/>
                  <w:marTop w:val="0"/>
                  <w:marBottom w:val="0"/>
                  <w:divBdr>
                    <w:top w:val="none" w:sz="0" w:space="0" w:color="auto"/>
                    <w:left w:val="none" w:sz="0" w:space="0" w:color="auto"/>
                    <w:bottom w:val="none" w:sz="0" w:space="0" w:color="auto"/>
                    <w:right w:val="none" w:sz="0" w:space="0" w:color="auto"/>
                  </w:divBdr>
                  <w:divsChild>
                    <w:div w:id="265769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5816561">
              <w:marLeft w:val="0"/>
              <w:marRight w:val="0"/>
              <w:marTop w:val="0"/>
              <w:marBottom w:val="0"/>
              <w:divBdr>
                <w:top w:val="none" w:sz="0" w:space="0" w:color="auto"/>
                <w:left w:val="none" w:sz="0" w:space="0" w:color="auto"/>
                <w:bottom w:val="none" w:sz="0" w:space="0" w:color="auto"/>
                <w:right w:val="none" w:sz="0" w:space="0" w:color="auto"/>
              </w:divBdr>
              <w:divsChild>
                <w:div w:id="104663057">
                  <w:marLeft w:val="0"/>
                  <w:marRight w:val="0"/>
                  <w:marTop w:val="0"/>
                  <w:marBottom w:val="0"/>
                  <w:divBdr>
                    <w:top w:val="none" w:sz="0" w:space="0" w:color="auto"/>
                    <w:left w:val="none" w:sz="0" w:space="0" w:color="auto"/>
                    <w:bottom w:val="none" w:sz="0" w:space="0" w:color="auto"/>
                    <w:right w:val="none" w:sz="0" w:space="0" w:color="auto"/>
                  </w:divBdr>
                  <w:divsChild>
                    <w:div w:id="831221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6958215">
              <w:marLeft w:val="0"/>
              <w:marRight w:val="0"/>
              <w:marTop w:val="0"/>
              <w:marBottom w:val="0"/>
              <w:divBdr>
                <w:top w:val="none" w:sz="0" w:space="0" w:color="auto"/>
                <w:left w:val="none" w:sz="0" w:space="0" w:color="auto"/>
                <w:bottom w:val="none" w:sz="0" w:space="0" w:color="auto"/>
                <w:right w:val="none" w:sz="0" w:space="0" w:color="auto"/>
              </w:divBdr>
              <w:divsChild>
                <w:div w:id="82534314">
                  <w:marLeft w:val="0"/>
                  <w:marRight w:val="0"/>
                  <w:marTop w:val="0"/>
                  <w:marBottom w:val="0"/>
                  <w:divBdr>
                    <w:top w:val="none" w:sz="0" w:space="0" w:color="auto"/>
                    <w:left w:val="none" w:sz="0" w:space="0" w:color="auto"/>
                    <w:bottom w:val="none" w:sz="0" w:space="0" w:color="auto"/>
                    <w:right w:val="none" w:sz="0" w:space="0" w:color="auto"/>
                  </w:divBdr>
                  <w:divsChild>
                    <w:div w:id="161243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2994369">
              <w:marLeft w:val="0"/>
              <w:marRight w:val="0"/>
              <w:marTop w:val="0"/>
              <w:marBottom w:val="0"/>
              <w:divBdr>
                <w:top w:val="none" w:sz="0" w:space="0" w:color="auto"/>
                <w:left w:val="none" w:sz="0" w:space="0" w:color="auto"/>
                <w:bottom w:val="none" w:sz="0" w:space="0" w:color="auto"/>
                <w:right w:val="none" w:sz="0" w:space="0" w:color="auto"/>
              </w:divBdr>
              <w:divsChild>
                <w:div w:id="1346790314">
                  <w:marLeft w:val="0"/>
                  <w:marRight w:val="0"/>
                  <w:marTop w:val="0"/>
                  <w:marBottom w:val="0"/>
                  <w:divBdr>
                    <w:top w:val="none" w:sz="0" w:space="0" w:color="auto"/>
                    <w:left w:val="none" w:sz="0" w:space="0" w:color="auto"/>
                    <w:bottom w:val="none" w:sz="0" w:space="0" w:color="auto"/>
                    <w:right w:val="none" w:sz="0" w:space="0" w:color="auto"/>
                  </w:divBdr>
                  <w:divsChild>
                    <w:div w:id="114756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091568">
              <w:marLeft w:val="0"/>
              <w:marRight w:val="0"/>
              <w:marTop w:val="0"/>
              <w:marBottom w:val="0"/>
              <w:divBdr>
                <w:top w:val="none" w:sz="0" w:space="0" w:color="auto"/>
                <w:left w:val="none" w:sz="0" w:space="0" w:color="auto"/>
                <w:bottom w:val="none" w:sz="0" w:space="0" w:color="auto"/>
                <w:right w:val="none" w:sz="0" w:space="0" w:color="auto"/>
              </w:divBdr>
            </w:div>
            <w:div w:id="549726266">
              <w:marLeft w:val="0"/>
              <w:marRight w:val="0"/>
              <w:marTop w:val="0"/>
              <w:marBottom w:val="0"/>
              <w:divBdr>
                <w:top w:val="none" w:sz="0" w:space="0" w:color="auto"/>
                <w:left w:val="none" w:sz="0" w:space="0" w:color="auto"/>
                <w:bottom w:val="none" w:sz="0" w:space="0" w:color="auto"/>
                <w:right w:val="none" w:sz="0" w:space="0" w:color="auto"/>
              </w:divBdr>
              <w:divsChild>
                <w:div w:id="884099868">
                  <w:marLeft w:val="0"/>
                  <w:marRight w:val="0"/>
                  <w:marTop w:val="0"/>
                  <w:marBottom w:val="0"/>
                  <w:divBdr>
                    <w:top w:val="none" w:sz="0" w:space="0" w:color="auto"/>
                    <w:left w:val="none" w:sz="0" w:space="0" w:color="auto"/>
                    <w:bottom w:val="none" w:sz="0" w:space="0" w:color="auto"/>
                    <w:right w:val="none" w:sz="0" w:space="0" w:color="auto"/>
                  </w:divBdr>
                  <w:divsChild>
                    <w:div w:id="2116517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1908347">
              <w:marLeft w:val="0"/>
              <w:marRight w:val="0"/>
              <w:marTop w:val="0"/>
              <w:marBottom w:val="0"/>
              <w:divBdr>
                <w:top w:val="none" w:sz="0" w:space="0" w:color="auto"/>
                <w:left w:val="none" w:sz="0" w:space="0" w:color="auto"/>
                <w:bottom w:val="none" w:sz="0" w:space="0" w:color="auto"/>
                <w:right w:val="none" w:sz="0" w:space="0" w:color="auto"/>
              </w:divBdr>
              <w:divsChild>
                <w:div w:id="296763844">
                  <w:marLeft w:val="0"/>
                  <w:marRight w:val="0"/>
                  <w:marTop w:val="0"/>
                  <w:marBottom w:val="0"/>
                  <w:divBdr>
                    <w:top w:val="none" w:sz="0" w:space="0" w:color="auto"/>
                    <w:left w:val="none" w:sz="0" w:space="0" w:color="auto"/>
                    <w:bottom w:val="none" w:sz="0" w:space="0" w:color="auto"/>
                    <w:right w:val="none" w:sz="0" w:space="0" w:color="auto"/>
                  </w:divBdr>
                  <w:divsChild>
                    <w:div w:id="2092509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504880">
              <w:marLeft w:val="0"/>
              <w:marRight w:val="0"/>
              <w:marTop w:val="0"/>
              <w:marBottom w:val="0"/>
              <w:divBdr>
                <w:top w:val="none" w:sz="0" w:space="0" w:color="auto"/>
                <w:left w:val="none" w:sz="0" w:space="0" w:color="auto"/>
                <w:bottom w:val="none" w:sz="0" w:space="0" w:color="auto"/>
                <w:right w:val="none" w:sz="0" w:space="0" w:color="auto"/>
              </w:divBdr>
              <w:divsChild>
                <w:div w:id="653415687">
                  <w:marLeft w:val="0"/>
                  <w:marRight w:val="0"/>
                  <w:marTop w:val="0"/>
                  <w:marBottom w:val="0"/>
                  <w:divBdr>
                    <w:top w:val="none" w:sz="0" w:space="0" w:color="auto"/>
                    <w:left w:val="none" w:sz="0" w:space="0" w:color="auto"/>
                    <w:bottom w:val="none" w:sz="0" w:space="0" w:color="auto"/>
                    <w:right w:val="none" w:sz="0" w:space="0" w:color="auto"/>
                  </w:divBdr>
                  <w:divsChild>
                    <w:div w:id="2124111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696079">
              <w:marLeft w:val="0"/>
              <w:marRight w:val="0"/>
              <w:marTop w:val="0"/>
              <w:marBottom w:val="0"/>
              <w:divBdr>
                <w:top w:val="none" w:sz="0" w:space="0" w:color="auto"/>
                <w:left w:val="none" w:sz="0" w:space="0" w:color="auto"/>
                <w:bottom w:val="none" w:sz="0" w:space="0" w:color="auto"/>
                <w:right w:val="none" w:sz="0" w:space="0" w:color="auto"/>
              </w:divBdr>
              <w:divsChild>
                <w:div w:id="2085688152">
                  <w:marLeft w:val="0"/>
                  <w:marRight w:val="0"/>
                  <w:marTop w:val="0"/>
                  <w:marBottom w:val="0"/>
                  <w:divBdr>
                    <w:top w:val="none" w:sz="0" w:space="0" w:color="auto"/>
                    <w:left w:val="none" w:sz="0" w:space="0" w:color="auto"/>
                    <w:bottom w:val="none" w:sz="0" w:space="0" w:color="auto"/>
                    <w:right w:val="none" w:sz="0" w:space="0" w:color="auto"/>
                  </w:divBdr>
                  <w:divsChild>
                    <w:div w:id="1067875490">
                      <w:marLeft w:val="0"/>
                      <w:marRight w:val="0"/>
                      <w:marTop w:val="0"/>
                      <w:marBottom w:val="0"/>
                      <w:divBdr>
                        <w:top w:val="none" w:sz="0" w:space="0" w:color="auto"/>
                        <w:left w:val="none" w:sz="0" w:space="0" w:color="auto"/>
                        <w:bottom w:val="none" w:sz="0" w:space="0" w:color="auto"/>
                        <w:right w:val="none" w:sz="0" w:space="0" w:color="auto"/>
                      </w:divBdr>
                      <w:divsChild>
                        <w:div w:id="1953437602">
                          <w:marLeft w:val="0"/>
                          <w:marRight w:val="0"/>
                          <w:marTop w:val="0"/>
                          <w:marBottom w:val="0"/>
                          <w:divBdr>
                            <w:top w:val="none" w:sz="0" w:space="0" w:color="auto"/>
                            <w:left w:val="none" w:sz="0" w:space="0" w:color="auto"/>
                            <w:bottom w:val="none" w:sz="0" w:space="0" w:color="auto"/>
                            <w:right w:val="none" w:sz="0" w:space="0" w:color="auto"/>
                          </w:divBdr>
                        </w:div>
                      </w:divsChild>
                    </w:div>
                    <w:div w:id="1300964658">
                      <w:marLeft w:val="0"/>
                      <w:marRight w:val="0"/>
                      <w:marTop w:val="0"/>
                      <w:marBottom w:val="0"/>
                      <w:divBdr>
                        <w:top w:val="none" w:sz="0" w:space="0" w:color="auto"/>
                        <w:left w:val="none" w:sz="0" w:space="0" w:color="auto"/>
                        <w:bottom w:val="none" w:sz="0" w:space="0" w:color="auto"/>
                        <w:right w:val="none" w:sz="0" w:space="0" w:color="auto"/>
                      </w:divBdr>
                      <w:divsChild>
                        <w:div w:id="1802839301">
                          <w:marLeft w:val="0"/>
                          <w:marRight w:val="0"/>
                          <w:marTop w:val="0"/>
                          <w:marBottom w:val="0"/>
                          <w:divBdr>
                            <w:top w:val="none" w:sz="0" w:space="0" w:color="auto"/>
                            <w:left w:val="none" w:sz="0" w:space="0" w:color="auto"/>
                            <w:bottom w:val="none" w:sz="0" w:space="0" w:color="auto"/>
                            <w:right w:val="none" w:sz="0" w:space="0" w:color="auto"/>
                          </w:divBdr>
                        </w:div>
                      </w:divsChild>
                    </w:div>
                    <w:div w:id="1749766509">
                      <w:marLeft w:val="0"/>
                      <w:marRight w:val="0"/>
                      <w:marTop w:val="0"/>
                      <w:marBottom w:val="0"/>
                      <w:divBdr>
                        <w:top w:val="none" w:sz="0" w:space="0" w:color="auto"/>
                        <w:left w:val="none" w:sz="0" w:space="0" w:color="auto"/>
                        <w:bottom w:val="none" w:sz="0" w:space="0" w:color="auto"/>
                        <w:right w:val="none" w:sz="0" w:space="0" w:color="auto"/>
                      </w:divBdr>
                      <w:divsChild>
                        <w:div w:id="154955660">
                          <w:marLeft w:val="0"/>
                          <w:marRight w:val="0"/>
                          <w:marTop w:val="0"/>
                          <w:marBottom w:val="0"/>
                          <w:divBdr>
                            <w:top w:val="none" w:sz="0" w:space="0" w:color="auto"/>
                            <w:left w:val="none" w:sz="0" w:space="0" w:color="auto"/>
                            <w:bottom w:val="none" w:sz="0" w:space="0" w:color="auto"/>
                            <w:right w:val="none" w:sz="0" w:space="0" w:color="auto"/>
                          </w:divBdr>
                        </w:div>
                      </w:divsChild>
                    </w:div>
                    <w:div w:id="1953436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401629">
              <w:marLeft w:val="0"/>
              <w:marRight w:val="0"/>
              <w:marTop w:val="0"/>
              <w:marBottom w:val="0"/>
              <w:divBdr>
                <w:top w:val="none" w:sz="0" w:space="0" w:color="auto"/>
                <w:left w:val="none" w:sz="0" w:space="0" w:color="auto"/>
                <w:bottom w:val="none" w:sz="0" w:space="0" w:color="auto"/>
                <w:right w:val="none" w:sz="0" w:space="0" w:color="auto"/>
              </w:divBdr>
              <w:divsChild>
                <w:div w:id="1356271962">
                  <w:marLeft w:val="0"/>
                  <w:marRight w:val="0"/>
                  <w:marTop w:val="0"/>
                  <w:marBottom w:val="0"/>
                  <w:divBdr>
                    <w:top w:val="none" w:sz="0" w:space="0" w:color="auto"/>
                    <w:left w:val="none" w:sz="0" w:space="0" w:color="auto"/>
                    <w:bottom w:val="none" w:sz="0" w:space="0" w:color="auto"/>
                    <w:right w:val="none" w:sz="0" w:space="0" w:color="auto"/>
                  </w:divBdr>
                  <w:divsChild>
                    <w:div w:id="270213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3360861">
              <w:marLeft w:val="0"/>
              <w:marRight w:val="0"/>
              <w:marTop w:val="0"/>
              <w:marBottom w:val="0"/>
              <w:divBdr>
                <w:top w:val="none" w:sz="0" w:space="0" w:color="auto"/>
                <w:left w:val="none" w:sz="0" w:space="0" w:color="auto"/>
                <w:bottom w:val="none" w:sz="0" w:space="0" w:color="auto"/>
                <w:right w:val="none" w:sz="0" w:space="0" w:color="auto"/>
              </w:divBdr>
              <w:divsChild>
                <w:div w:id="1301610987">
                  <w:marLeft w:val="0"/>
                  <w:marRight w:val="0"/>
                  <w:marTop w:val="0"/>
                  <w:marBottom w:val="0"/>
                  <w:divBdr>
                    <w:top w:val="none" w:sz="0" w:space="0" w:color="auto"/>
                    <w:left w:val="none" w:sz="0" w:space="0" w:color="auto"/>
                    <w:bottom w:val="none" w:sz="0" w:space="0" w:color="auto"/>
                    <w:right w:val="none" w:sz="0" w:space="0" w:color="auto"/>
                  </w:divBdr>
                  <w:divsChild>
                    <w:div w:id="1693258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796880">
              <w:marLeft w:val="0"/>
              <w:marRight w:val="0"/>
              <w:marTop w:val="0"/>
              <w:marBottom w:val="0"/>
              <w:divBdr>
                <w:top w:val="none" w:sz="0" w:space="0" w:color="auto"/>
                <w:left w:val="none" w:sz="0" w:space="0" w:color="auto"/>
                <w:bottom w:val="none" w:sz="0" w:space="0" w:color="auto"/>
                <w:right w:val="none" w:sz="0" w:space="0" w:color="auto"/>
              </w:divBdr>
              <w:divsChild>
                <w:div w:id="1565985677">
                  <w:marLeft w:val="0"/>
                  <w:marRight w:val="0"/>
                  <w:marTop w:val="0"/>
                  <w:marBottom w:val="0"/>
                  <w:divBdr>
                    <w:top w:val="none" w:sz="0" w:space="0" w:color="auto"/>
                    <w:left w:val="none" w:sz="0" w:space="0" w:color="auto"/>
                    <w:bottom w:val="none" w:sz="0" w:space="0" w:color="auto"/>
                    <w:right w:val="none" w:sz="0" w:space="0" w:color="auto"/>
                  </w:divBdr>
                  <w:divsChild>
                    <w:div w:id="126971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3303970">
              <w:marLeft w:val="0"/>
              <w:marRight w:val="0"/>
              <w:marTop w:val="0"/>
              <w:marBottom w:val="0"/>
              <w:divBdr>
                <w:top w:val="none" w:sz="0" w:space="0" w:color="auto"/>
                <w:left w:val="none" w:sz="0" w:space="0" w:color="auto"/>
                <w:bottom w:val="none" w:sz="0" w:space="0" w:color="auto"/>
                <w:right w:val="none" w:sz="0" w:space="0" w:color="auto"/>
              </w:divBdr>
              <w:divsChild>
                <w:div w:id="1637679282">
                  <w:marLeft w:val="0"/>
                  <w:marRight w:val="0"/>
                  <w:marTop w:val="0"/>
                  <w:marBottom w:val="0"/>
                  <w:divBdr>
                    <w:top w:val="none" w:sz="0" w:space="0" w:color="auto"/>
                    <w:left w:val="none" w:sz="0" w:space="0" w:color="auto"/>
                    <w:bottom w:val="none" w:sz="0" w:space="0" w:color="auto"/>
                    <w:right w:val="none" w:sz="0" w:space="0" w:color="auto"/>
                  </w:divBdr>
                  <w:divsChild>
                    <w:div w:id="1484197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0732571">
              <w:marLeft w:val="0"/>
              <w:marRight w:val="0"/>
              <w:marTop w:val="0"/>
              <w:marBottom w:val="0"/>
              <w:divBdr>
                <w:top w:val="none" w:sz="0" w:space="0" w:color="auto"/>
                <w:left w:val="none" w:sz="0" w:space="0" w:color="auto"/>
                <w:bottom w:val="none" w:sz="0" w:space="0" w:color="auto"/>
                <w:right w:val="none" w:sz="0" w:space="0" w:color="auto"/>
              </w:divBdr>
              <w:divsChild>
                <w:div w:id="2100714770">
                  <w:marLeft w:val="0"/>
                  <w:marRight w:val="0"/>
                  <w:marTop w:val="0"/>
                  <w:marBottom w:val="0"/>
                  <w:divBdr>
                    <w:top w:val="none" w:sz="0" w:space="0" w:color="auto"/>
                    <w:left w:val="none" w:sz="0" w:space="0" w:color="auto"/>
                    <w:bottom w:val="none" w:sz="0" w:space="0" w:color="auto"/>
                    <w:right w:val="none" w:sz="0" w:space="0" w:color="auto"/>
                  </w:divBdr>
                  <w:divsChild>
                    <w:div w:id="1565675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4664455">
              <w:marLeft w:val="0"/>
              <w:marRight w:val="0"/>
              <w:marTop w:val="0"/>
              <w:marBottom w:val="0"/>
              <w:divBdr>
                <w:top w:val="none" w:sz="0" w:space="0" w:color="auto"/>
                <w:left w:val="none" w:sz="0" w:space="0" w:color="auto"/>
                <w:bottom w:val="none" w:sz="0" w:space="0" w:color="auto"/>
                <w:right w:val="none" w:sz="0" w:space="0" w:color="auto"/>
              </w:divBdr>
              <w:divsChild>
                <w:div w:id="421921240">
                  <w:marLeft w:val="0"/>
                  <w:marRight w:val="0"/>
                  <w:marTop w:val="0"/>
                  <w:marBottom w:val="0"/>
                  <w:divBdr>
                    <w:top w:val="none" w:sz="0" w:space="0" w:color="auto"/>
                    <w:left w:val="none" w:sz="0" w:space="0" w:color="auto"/>
                    <w:bottom w:val="none" w:sz="0" w:space="0" w:color="auto"/>
                    <w:right w:val="none" w:sz="0" w:space="0" w:color="auto"/>
                  </w:divBdr>
                  <w:divsChild>
                    <w:div w:id="664892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5888871">
              <w:marLeft w:val="0"/>
              <w:marRight w:val="0"/>
              <w:marTop w:val="0"/>
              <w:marBottom w:val="0"/>
              <w:divBdr>
                <w:top w:val="none" w:sz="0" w:space="0" w:color="auto"/>
                <w:left w:val="none" w:sz="0" w:space="0" w:color="auto"/>
                <w:bottom w:val="none" w:sz="0" w:space="0" w:color="auto"/>
                <w:right w:val="none" w:sz="0" w:space="0" w:color="auto"/>
              </w:divBdr>
              <w:divsChild>
                <w:div w:id="2079278690">
                  <w:marLeft w:val="0"/>
                  <w:marRight w:val="0"/>
                  <w:marTop w:val="0"/>
                  <w:marBottom w:val="0"/>
                  <w:divBdr>
                    <w:top w:val="none" w:sz="0" w:space="0" w:color="auto"/>
                    <w:left w:val="none" w:sz="0" w:space="0" w:color="auto"/>
                    <w:bottom w:val="none" w:sz="0" w:space="0" w:color="auto"/>
                    <w:right w:val="none" w:sz="0" w:space="0" w:color="auto"/>
                  </w:divBdr>
                  <w:divsChild>
                    <w:div w:id="355615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116177">
              <w:marLeft w:val="0"/>
              <w:marRight w:val="0"/>
              <w:marTop w:val="0"/>
              <w:marBottom w:val="0"/>
              <w:divBdr>
                <w:top w:val="none" w:sz="0" w:space="0" w:color="auto"/>
                <w:left w:val="none" w:sz="0" w:space="0" w:color="auto"/>
                <w:bottom w:val="none" w:sz="0" w:space="0" w:color="auto"/>
                <w:right w:val="none" w:sz="0" w:space="0" w:color="auto"/>
              </w:divBdr>
              <w:divsChild>
                <w:div w:id="1034814416">
                  <w:marLeft w:val="0"/>
                  <w:marRight w:val="0"/>
                  <w:marTop w:val="0"/>
                  <w:marBottom w:val="0"/>
                  <w:divBdr>
                    <w:top w:val="none" w:sz="0" w:space="0" w:color="auto"/>
                    <w:left w:val="none" w:sz="0" w:space="0" w:color="auto"/>
                    <w:bottom w:val="none" w:sz="0" w:space="0" w:color="auto"/>
                    <w:right w:val="none" w:sz="0" w:space="0" w:color="auto"/>
                  </w:divBdr>
                  <w:divsChild>
                    <w:div w:id="1513301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204861">
              <w:marLeft w:val="0"/>
              <w:marRight w:val="0"/>
              <w:marTop w:val="0"/>
              <w:marBottom w:val="0"/>
              <w:divBdr>
                <w:top w:val="none" w:sz="0" w:space="0" w:color="auto"/>
                <w:left w:val="none" w:sz="0" w:space="0" w:color="auto"/>
                <w:bottom w:val="none" w:sz="0" w:space="0" w:color="auto"/>
                <w:right w:val="none" w:sz="0" w:space="0" w:color="auto"/>
              </w:divBdr>
              <w:divsChild>
                <w:div w:id="2009555146">
                  <w:marLeft w:val="0"/>
                  <w:marRight w:val="0"/>
                  <w:marTop w:val="0"/>
                  <w:marBottom w:val="0"/>
                  <w:divBdr>
                    <w:top w:val="none" w:sz="0" w:space="0" w:color="auto"/>
                    <w:left w:val="none" w:sz="0" w:space="0" w:color="auto"/>
                    <w:bottom w:val="none" w:sz="0" w:space="0" w:color="auto"/>
                    <w:right w:val="none" w:sz="0" w:space="0" w:color="auto"/>
                  </w:divBdr>
                  <w:divsChild>
                    <w:div w:id="33315577">
                      <w:marLeft w:val="0"/>
                      <w:marRight w:val="0"/>
                      <w:marTop w:val="0"/>
                      <w:marBottom w:val="0"/>
                      <w:divBdr>
                        <w:top w:val="none" w:sz="0" w:space="0" w:color="auto"/>
                        <w:left w:val="none" w:sz="0" w:space="0" w:color="auto"/>
                        <w:bottom w:val="none" w:sz="0" w:space="0" w:color="auto"/>
                        <w:right w:val="none" w:sz="0" w:space="0" w:color="auto"/>
                      </w:divBdr>
                    </w:div>
                    <w:div w:id="138965307">
                      <w:marLeft w:val="0"/>
                      <w:marRight w:val="0"/>
                      <w:marTop w:val="0"/>
                      <w:marBottom w:val="0"/>
                      <w:divBdr>
                        <w:top w:val="none" w:sz="0" w:space="0" w:color="auto"/>
                        <w:left w:val="none" w:sz="0" w:space="0" w:color="auto"/>
                        <w:bottom w:val="none" w:sz="0" w:space="0" w:color="auto"/>
                        <w:right w:val="none" w:sz="0" w:space="0" w:color="auto"/>
                      </w:divBdr>
                      <w:divsChild>
                        <w:div w:id="244464017">
                          <w:marLeft w:val="0"/>
                          <w:marRight w:val="0"/>
                          <w:marTop w:val="0"/>
                          <w:marBottom w:val="0"/>
                          <w:divBdr>
                            <w:top w:val="none" w:sz="0" w:space="0" w:color="auto"/>
                            <w:left w:val="none" w:sz="0" w:space="0" w:color="auto"/>
                            <w:bottom w:val="none" w:sz="0" w:space="0" w:color="auto"/>
                            <w:right w:val="none" w:sz="0" w:space="0" w:color="auto"/>
                          </w:divBdr>
                        </w:div>
                      </w:divsChild>
                    </w:div>
                    <w:div w:id="357043988">
                      <w:marLeft w:val="0"/>
                      <w:marRight w:val="0"/>
                      <w:marTop w:val="0"/>
                      <w:marBottom w:val="0"/>
                      <w:divBdr>
                        <w:top w:val="none" w:sz="0" w:space="0" w:color="auto"/>
                        <w:left w:val="none" w:sz="0" w:space="0" w:color="auto"/>
                        <w:bottom w:val="none" w:sz="0" w:space="0" w:color="auto"/>
                        <w:right w:val="none" w:sz="0" w:space="0" w:color="auto"/>
                      </w:divBdr>
                      <w:divsChild>
                        <w:div w:id="2078432296">
                          <w:marLeft w:val="0"/>
                          <w:marRight w:val="0"/>
                          <w:marTop w:val="0"/>
                          <w:marBottom w:val="0"/>
                          <w:divBdr>
                            <w:top w:val="none" w:sz="0" w:space="0" w:color="auto"/>
                            <w:left w:val="none" w:sz="0" w:space="0" w:color="auto"/>
                            <w:bottom w:val="none" w:sz="0" w:space="0" w:color="auto"/>
                            <w:right w:val="none" w:sz="0" w:space="0" w:color="auto"/>
                          </w:divBdr>
                        </w:div>
                      </w:divsChild>
                    </w:div>
                    <w:div w:id="761873288">
                      <w:marLeft w:val="0"/>
                      <w:marRight w:val="0"/>
                      <w:marTop w:val="0"/>
                      <w:marBottom w:val="0"/>
                      <w:divBdr>
                        <w:top w:val="none" w:sz="0" w:space="0" w:color="auto"/>
                        <w:left w:val="none" w:sz="0" w:space="0" w:color="auto"/>
                        <w:bottom w:val="none" w:sz="0" w:space="0" w:color="auto"/>
                        <w:right w:val="none" w:sz="0" w:space="0" w:color="auto"/>
                      </w:divBdr>
                      <w:divsChild>
                        <w:div w:id="451561782">
                          <w:marLeft w:val="0"/>
                          <w:marRight w:val="0"/>
                          <w:marTop w:val="0"/>
                          <w:marBottom w:val="0"/>
                          <w:divBdr>
                            <w:top w:val="none" w:sz="0" w:space="0" w:color="auto"/>
                            <w:left w:val="none" w:sz="0" w:space="0" w:color="auto"/>
                            <w:bottom w:val="none" w:sz="0" w:space="0" w:color="auto"/>
                            <w:right w:val="none" w:sz="0" w:space="0" w:color="auto"/>
                          </w:divBdr>
                        </w:div>
                      </w:divsChild>
                    </w:div>
                    <w:div w:id="985548798">
                      <w:marLeft w:val="0"/>
                      <w:marRight w:val="0"/>
                      <w:marTop w:val="0"/>
                      <w:marBottom w:val="0"/>
                      <w:divBdr>
                        <w:top w:val="none" w:sz="0" w:space="0" w:color="auto"/>
                        <w:left w:val="none" w:sz="0" w:space="0" w:color="auto"/>
                        <w:bottom w:val="none" w:sz="0" w:space="0" w:color="auto"/>
                        <w:right w:val="none" w:sz="0" w:space="0" w:color="auto"/>
                      </w:divBdr>
                      <w:divsChild>
                        <w:div w:id="241568874">
                          <w:marLeft w:val="0"/>
                          <w:marRight w:val="0"/>
                          <w:marTop w:val="0"/>
                          <w:marBottom w:val="0"/>
                          <w:divBdr>
                            <w:top w:val="none" w:sz="0" w:space="0" w:color="auto"/>
                            <w:left w:val="none" w:sz="0" w:space="0" w:color="auto"/>
                            <w:bottom w:val="none" w:sz="0" w:space="0" w:color="auto"/>
                            <w:right w:val="none" w:sz="0" w:space="0" w:color="auto"/>
                          </w:divBdr>
                        </w:div>
                      </w:divsChild>
                    </w:div>
                    <w:div w:id="1143307666">
                      <w:marLeft w:val="0"/>
                      <w:marRight w:val="0"/>
                      <w:marTop w:val="0"/>
                      <w:marBottom w:val="0"/>
                      <w:divBdr>
                        <w:top w:val="none" w:sz="0" w:space="0" w:color="auto"/>
                        <w:left w:val="none" w:sz="0" w:space="0" w:color="auto"/>
                        <w:bottom w:val="none" w:sz="0" w:space="0" w:color="auto"/>
                        <w:right w:val="none" w:sz="0" w:space="0" w:color="auto"/>
                      </w:divBdr>
                      <w:divsChild>
                        <w:div w:id="2122726102">
                          <w:marLeft w:val="0"/>
                          <w:marRight w:val="0"/>
                          <w:marTop w:val="0"/>
                          <w:marBottom w:val="0"/>
                          <w:divBdr>
                            <w:top w:val="none" w:sz="0" w:space="0" w:color="auto"/>
                            <w:left w:val="none" w:sz="0" w:space="0" w:color="auto"/>
                            <w:bottom w:val="none" w:sz="0" w:space="0" w:color="auto"/>
                            <w:right w:val="none" w:sz="0" w:space="0" w:color="auto"/>
                          </w:divBdr>
                        </w:div>
                      </w:divsChild>
                    </w:div>
                    <w:div w:id="1256790465">
                      <w:marLeft w:val="0"/>
                      <w:marRight w:val="0"/>
                      <w:marTop w:val="0"/>
                      <w:marBottom w:val="0"/>
                      <w:divBdr>
                        <w:top w:val="none" w:sz="0" w:space="0" w:color="auto"/>
                        <w:left w:val="none" w:sz="0" w:space="0" w:color="auto"/>
                        <w:bottom w:val="none" w:sz="0" w:space="0" w:color="auto"/>
                        <w:right w:val="none" w:sz="0" w:space="0" w:color="auto"/>
                      </w:divBdr>
                      <w:divsChild>
                        <w:div w:id="693456797">
                          <w:marLeft w:val="0"/>
                          <w:marRight w:val="0"/>
                          <w:marTop w:val="0"/>
                          <w:marBottom w:val="0"/>
                          <w:divBdr>
                            <w:top w:val="none" w:sz="0" w:space="0" w:color="auto"/>
                            <w:left w:val="none" w:sz="0" w:space="0" w:color="auto"/>
                            <w:bottom w:val="none" w:sz="0" w:space="0" w:color="auto"/>
                            <w:right w:val="none" w:sz="0" w:space="0" w:color="auto"/>
                          </w:divBdr>
                        </w:div>
                      </w:divsChild>
                    </w:div>
                    <w:div w:id="1596356393">
                      <w:marLeft w:val="0"/>
                      <w:marRight w:val="0"/>
                      <w:marTop w:val="0"/>
                      <w:marBottom w:val="0"/>
                      <w:divBdr>
                        <w:top w:val="none" w:sz="0" w:space="0" w:color="auto"/>
                        <w:left w:val="none" w:sz="0" w:space="0" w:color="auto"/>
                        <w:bottom w:val="none" w:sz="0" w:space="0" w:color="auto"/>
                        <w:right w:val="none" w:sz="0" w:space="0" w:color="auto"/>
                      </w:divBdr>
                      <w:divsChild>
                        <w:div w:id="1613517041">
                          <w:marLeft w:val="0"/>
                          <w:marRight w:val="0"/>
                          <w:marTop w:val="0"/>
                          <w:marBottom w:val="0"/>
                          <w:divBdr>
                            <w:top w:val="none" w:sz="0" w:space="0" w:color="auto"/>
                            <w:left w:val="none" w:sz="0" w:space="0" w:color="auto"/>
                            <w:bottom w:val="none" w:sz="0" w:space="0" w:color="auto"/>
                            <w:right w:val="none" w:sz="0" w:space="0" w:color="auto"/>
                          </w:divBdr>
                        </w:div>
                      </w:divsChild>
                    </w:div>
                    <w:div w:id="2029595316">
                      <w:marLeft w:val="0"/>
                      <w:marRight w:val="0"/>
                      <w:marTop w:val="0"/>
                      <w:marBottom w:val="0"/>
                      <w:divBdr>
                        <w:top w:val="none" w:sz="0" w:space="0" w:color="auto"/>
                        <w:left w:val="none" w:sz="0" w:space="0" w:color="auto"/>
                        <w:bottom w:val="none" w:sz="0" w:space="0" w:color="auto"/>
                        <w:right w:val="none" w:sz="0" w:space="0" w:color="auto"/>
                      </w:divBdr>
                      <w:divsChild>
                        <w:div w:id="742138742">
                          <w:marLeft w:val="0"/>
                          <w:marRight w:val="0"/>
                          <w:marTop w:val="0"/>
                          <w:marBottom w:val="0"/>
                          <w:divBdr>
                            <w:top w:val="none" w:sz="0" w:space="0" w:color="auto"/>
                            <w:left w:val="none" w:sz="0" w:space="0" w:color="auto"/>
                            <w:bottom w:val="none" w:sz="0" w:space="0" w:color="auto"/>
                            <w:right w:val="none" w:sz="0" w:space="0" w:color="auto"/>
                          </w:divBdr>
                        </w:div>
                      </w:divsChild>
                    </w:div>
                    <w:div w:id="2031565298">
                      <w:marLeft w:val="0"/>
                      <w:marRight w:val="0"/>
                      <w:marTop w:val="0"/>
                      <w:marBottom w:val="0"/>
                      <w:divBdr>
                        <w:top w:val="none" w:sz="0" w:space="0" w:color="auto"/>
                        <w:left w:val="none" w:sz="0" w:space="0" w:color="auto"/>
                        <w:bottom w:val="none" w:sz="0" w:space="0" w:color="auto"/>
                        <w:right w:val="none" w:sz="0" w:space="0" w:color="auto"/>
                      </w:divBdr>
                      <w:divsChild>
                        <w:div w:id="1966958946">
                          <w:marLeft w:val="0"/>
                          <w:marRight w:val="0"/>
                          <w:marTop w:val="0"/>
                          <w:marBottom w:val="0"/>
                          <w:divBdr>
                            <w:top w:val="none" w:sz="0" w:space="0" w:color="auto"/>
                            <w:left w:val="none" w:sz="0" w:space="0" w:color="auto"/>
                            <w:bottom w:val="none" w:sz="0" w:space="0" w:color="auto"/>
                            <w:right w:val="none" w:sz="0" w:space="0" w:color="auto"/>
                          </w:divBdr>
                        </w:div>
                      </w:divsChild>
                    </w:div>
                    <w:div w:id="2128740536">
                      <w:marLeft w:val="0"/>
                      <w:marRight w:val="0"/>
                      <w:marTop w:val="0"/>
                      <w:marBottom w:val="0"/>
                      <w:divBdr>
                        <w:top w:val="none" w:sz="0" w:space="0" w:color="auto"/>
                        <w:left w:val="none" w:sz="0" w:space="0" w:color="auto"/>
                        <w:bottom w:val="none" w:sz="0" w:space="0" w:color="auto"/>
                        <w:right w:val="none" w:sz="0" w:space="0" w:color="auto"/>
                      </w:divBdr>
                      <w:divsChild>
                        <w:div w:id="1546023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2602285">
              <w:marLeft w:val="0"/>
              <w:marRight w:val="0"/>
              <w:marTop w:val="0"/>
              <w:marBottom w:val="0"/>
              <w:divBdr>
                <w:top w:val="none" w:sz="0" w:space="0" w:color="auto"/>
                <w:left w:val="none" w:sz="0" w:space="0" w:color="auto"/>
                <w:bottom w:val="none" w:sz="0" w:space="0" w:color="auto"/>
                <w:right w:val="none" w:sz="0" w:space="0" w:color="auto"/>
              </w:divBdr>
              <w:divsChild>
                <w:div w:id="480267234">
                  <w:marLeft w:val="0"/>
                  <w:marRight w:val="0"/>
                  <w:marTop w:val="0"/>
                  <w:marBottom w:val="0"/>
                  <w:divBdr>
                    <w:top w:val="none" w:sz="0" w:space="0" w:color="auto"/>
                    <w:left w:val="none" w:sz="0" w:space="0" w:color="auto"/>
                    <w:bottom w:val="none" w:sz="0" w:space="0" w:color="auto"/>
                    <w:right w:val="none" w:sz="0" w:space="0" w:color="auto"/>
                  </w:divBdr>
                  <w:divsChild>
                    <w:div w:id="642851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297440">
              <w:marLeft w:val="0"/>
              <w:marRight w:val="0"/>
              <w:marTop w:val="0"/>
              <w:marBottom w:val="0"/>
              <w:divBdr>
                <w:top w:val="none" w:sz="0" w:space="0" w:color="auto"/>
                <w:left w:val="none" w:sz="0" w:space="0" w:color="auto"/>
                <w:bottom w:val="none" w:sz="0" w:space="0" w:color="auto"/>
                <w:right w:val="none" w:sz="0" w:space="0" w:color="auto"/>
              </w:divBdr>
              <w:divsChild>
                <w:div w:id="712732845">
                  <w:marLeft w:val="0"/>
                  <w:marRight w:val="0"/>
                  <w:marTop w:val="0"/>
                  <w:marBottom w:val="0"/>
                  <w:divBdr>
                    <w:top w:val="none" w:sz="0" w:space="0" w:color="auto"/>
                    <w:left w:val="none" w:sz="0" w:space="0" w:color="auto"/>
                    <w:bottom w:val="none" w:sz="0" w:space="0" w:color="auto"/>
                    <w:right w:val="none" w:sz="0" w:space="0" w:color="auto"/>
                  </w:divBdr>
                  <w:divsChild>
                    <w:div w:id="1923681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302554">
              <w:marLeft w:val="0"/>
              <w:marRight w:val="0"/>
              <w:marTop w:val="0"/>
              <w:marBottom w:val="0"/>
              <w:divBdr>
                <w:top w:val="none" w:sz="0" w:space="0" w:color="auto"/>
                <w:left w:val="none" w:sz="0" w:space="0" w:color="auto"/>
                <w:bottom w:val="none" w:sz="0" w:space="0" w:color="auto"/>
                <w:right w:val="none" w:sz="0" w:space="0" w:color="auto"/>
              </w:divBdr>
              <w:divsChild>
                <w:div w:id="507990487">
                  <w:marLeft w:val="0"/>
                  <w:marRight w:val="0"/>
                  <w:marTop w:val="0"/>
                  <w:marBottom w:val="0"/>
                  <w:divBdr>
                    <w:top w:val="none" w:sz="0" w:space="0" w:color="auto"/>
                    <w:left w:val="none" w:sz="0" w:space="0" w:color="auto"/>
                    <w:bottom w:val="none" w:sz="0" w:space="0" w:color="auto"/>
                    <w:right w:val="none" w:sz="0" w:space="0" w:color="auto"/>
                  </w:divBdr>
                  <w:divsChild>
                    <w:div w:id="721713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6974576">
              <w:marLeft w:val="0"/>
              <w:marRight w:val="0"/>
              <w:marTop w:val="0"/>
              <w:marBottom w:val="0"/>
              <w:divBdr>
                <w:top w:val="none" w:sz="0" w:space="0" w:color="auto"/>
                <w:left w:val="none" w:sz="0" w:space="0" w:color="auto"/>
                <w:bottom w:val="none" w:sz="0" w:space="0" w:color="auto"/>
                <w:right w:val="none" w:sz="0" w:space="0" w:color="auto"/>
              </w:divBdr>
              <w:divsChild>
                <w:div w:id="1188518997">
                  <w:marLeft w:val="0"/>
                  <w:marRight w:val="0"/>
                  <w:marTop w:val="0"/>
                  <w:marBottom w:val="0"/>
                  <w:divBdr>
                    <w:top w:val="none" w:sz="0" w:space="0" w:color="auto"/>
                    <w:left w:val="none" w:sz="0" w:space="0" w:color="auto"/>
                    <w:bottom w:val="none" w:sz="0" w:space="0" w:color="auto"/>
                    <w:right w:val="none" w:sz="0" w:space="0" w:color="auto"/>
                  </w:divBdr>
                  <w:divsChild>
                    <w:div w:id="2012877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191718">
              <w:marLeft w:val="0"/>
              <w:marRight w:val="0"/>
              <w:marTop w:val="0"/>
              <w:marBottom w:val="0"/>
              <w:divBdr>
                <w:top w:val="none" w:sz="0" w:space="0" w:color="auto"/>
                <w:left w:val="none" w:sz="0" w:space="0" w:color="auto"/>
                <w:bottom w:val="none" w:sz="0" w:space="0" w:color="auto"/>
                <w:right w:val="none" w:sz="0" w:space="0" w:color="auto"/>
              </w:divBdr>
              <w:divsChild>
                <w:div w:id="1559508784">
                  <w:marLeft w:val="0"/>
                  <w:marRight w:val="0"/>
                  <w:marTop w:val="0"/>
                  <w:marBottom w:val="0"/>
                  <w:divBdr>
                    <w:top w:val="none" w:sz="0" w:space="0" w:color="auto"/>
                    <w:left w:val="none" w:sz="0" w:space="0" w:color="auto"/>
                    <w:bottom w:val="none" w:sz="0" w:space="0" w:color="auto"/>
                    <w:right w:val="none" w:sz="0" w:space="0" w:color="auto"/>
                  </w:divBdr>
                  <w:divsChild>
                    <w:div w:id="426973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6893403">
              <w:marLeft w:val="0"/>
              <w:marRight w:val="0"/>
              <w:marTop w:val="0"/>
              <w:marBottom w:val="0"/>
              <w:divBdr>
                <w:top w:val="none" w:sz="0" w:space="0" w:color="auto"/>
                <w:left w:val="none" w:sz="0" w:space="0" w:color="auto"/>
                <w:bottom w:val="none" w:sz="0" w:space="0" w:color="auto"/>
                <w:right w:val="none" w:sz="0" w:space="0" w:color="auto"/>
              </w:divBdr>
              <w:divsChild>
                <w:div w:id="760877015">
                  <w:marLeft w:val="0"/>
                  <w:marRight w:val="0"/>
                  <w:marTop w:val="0"/>
                  <w:marBottom w:val="0"/>
                  <w:divBdr>
                    <w:top w:val="none" w:sz="0" w:space="0" w:color="auto"/>
                    <w:left w:val="none" w:sz="0" w:space="0" w:color="auto"/>
                    <w:bottom w:val="none" w:sz="0" w:space="0" w:color="auto"/>
                    <w:right w:val="none" w:sz="0" w:space="0" w:color="auto"/>
                  </w:divBdr>
                  <w:divsChild>
                    <w:div w:id="832718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3983866">
              <w:marLeft w:val="0"/>
              <w:marRight w:val="0"/>
              <w:marTop w:val="0"/>
              <w:marBottom w:val="0"/>
              <w:divBdr>
                <w:top w:val="none" w:sz="0" w:space="0" w:color="auto"/>
                <w:left w:val="none" w:sz="0" w:space="0" w:color="auto"/>
                <w:bottom w:val="none" w:sz="0" w:space="0" w:color="auto"/>
                <w:right w:val="none" w:sz="0" w:space="0" w:color="auto"/>
              </w:divBdr>
              <w:divsChild>
                <w:div w:id="98261033">
                  <w:marLeft w:val="0"/>
                  <w:marRight w:val="0"/>
                  <w:marTop w:val="0"/>
                  <w:marBottom w:val="0"/>
                  <w:divBdr>
                    <w:top w:val="none" w:sz="0" w:space="0" w:color="auto"/>
                    <w:left w:val="none" w:sz="0" w:space="0" w:color="auto"/>
                    <w:bottom w:val="none" w:sz="0" w:space="0" w:color="auto"/>
                    <w:right w:val="none" w:sz="0" w:space="0" w:color="auto"/>
                  </w:divBdr>
                  <w:divsChild>
                    <w:div w:id="1863588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643060">
              <w:marLeft w:val="0"/>
              <w:marRight w:val="0"/>
              <w:marTop w:val="0"/>
              <w:marBottom w:val="0"/>
              <w:divBdr>
                <w:top w:val="none" w:sz="0" w:space="0" w:color="auto"/>
                <w:left w:val="none" w:sz="0" w:space="0" w:color="auto"/>
                <w:bottom w:val="none" w:sz="0" w:space="0" w:color="auto"/>
                <w:right w:val="none" w:sz="0" w:space="0" w:color="auto"/>
              </w:divBdr>
              <w:divsChild>
                <w:div w:id="1930429462">
                  <w:marLeft w:val="0"/>
                  <w:marRight w:val="0"/>
                  <w:marTop w:val="0"/>
                  <w:marBottom w:val="0"/>
                  <w:divBdr>
                    <w:top w:val="none" w:sz="0" w:space="0" w:color="auto"/>
                    <w:left w:val="none" w:sz="0" w:space="0" w:color="auto"/>
                    <w:bottom w:val="none" w:sz="0" w:space="0" w:color="auto"/>
                    <w:right w:val="none" w:sz="0" w:space="0" w:color="auto"/>
                  </w:divBdr>
                  <w:divsChild>
                    <w:div w:id="1169171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541465">
              <w:marLeft w:val="0"/>
              <w:marRight w:val="0"/>
              <w:marTop w:val="0"/>
              <w:marBottom w:val="0"/>
              <w:divBdr>
                <w:top w:val="none" w:sz="0" w:space="0" w:color="auto"/>
                <w:left w:val="none" w:sz="0" w:space="0" w:color="auto"/>
                <w:bottom w:val="none" w:sz="0" w:space="0" w:color="auto"/>
                <w:right w:val="none" w:sz="0" w:space="0" w:color="auto"/>
              </w:divBdr>
              <w:divsChild>
                <w:div w:id="1746878621">
                  <w:marLeft w:val="0"/>
                  <w:marRight w:val="0"/>
                  <w:marTop w:val="0"/>
                  <w:marBottom w:val="0"/>
                  <w:divBdr>
                    <w:top w:val="none" w:sz="0" w:space="0" w:color="auto"/>
                    <w:left w:val="none" w:sz="0" w:space="0" w:color="auto"/>
                    <w:bottom w:val="none" w:sz="0" w:space="0" w:color="auto"/>
                    <w:right w:val="none" w:sz="0" w:space="0" w:color="auto"/>
                  </w:divBdr>
                  <w:divsChild>
                    <w:div w:id="884020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635612">
              <w:marLeft w:val="0"/>
              <w:marRight w:val="0"/>
              <w:marTop w:val="0"/>
              <w:marBottom w:val="0"/>
              <w:divBdr>
                <w:top w:val="none" w:sz="0" w:space="0" w:color="auto"/>
                <w:left w:val="none" w:sz="0" w:space="0" w:color="auto"/>
                <w:bottom w:val="none" w:sz="0" w:space="0" w:color="auto"/>
                <w:right w:val="none" w:sz="0" w:space="0" w:color="auto"/>
              </w:divBdr>
              <w:divsChild>
                <w:div w:id="389236089">
                  <w:marLeft w:val="0"/>
                  <w:marRight w:val="0"/>
                  <w:marTop w:val="0"/>
                  <w:marBottom w:val="0"/>
                  <w:divBdr>
                    <w:top w:val="none" w:sz="0" w:space="0" w:color="auto"/>
                    <w:left w:val="none" w:sz="0" w:space="0" w:color="auto"/>
                    <w:bottom w:val="none" w:sz="0" w:space="0" w:color="auto"/>
                    <w:right w:val="none" w:sz="0" w:space="0" w:color="auto"/>
                  </w:divBdr>
                  <w:divsChild>
                    <w:div w:id="2001081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470977">
              <w:marLeft w:val="0"/>
              <w:marRight w:val="0"/>
              <w:marTop w:val="0"/>
              <w:marBottom w:val="0"/>
              <w:divBdr>
                <w:top w:val="none" w:sz="0" w:space="0" w:color="auto"/>
                <w:left w:val="none" w:sz="0" w:space="0" w:color="auto"/>
                <w:bottom w:val="none" w:sz="0" w:space="0" w:color="auto"/>
                <w:right w:val="none" w:sz="0" w:space="0" w:color="auto"/>
              </w:divBdr>
              <w:divsChild>
                <w:div w:id="94640315">
                  <w:marLeft w:val="0"/>
                  <w:marRight w:val="0"/>
                  <w:marTop w:val="0"/>
                  <w:marBottom w:val="0"/>
                  <w:divBdr>
                    <w:top w:val="none" w:sz="0" w:space="0" w:color="auto"/>
                    <w:left w:val="none" w:sz="0" w:space="0" w:color="auto"/>
                    <w:bottom w:val="none" w:sz="0" w:space="0" w:color="auto"/>
                    <w:right w:val="none" w:sz="0" w:space="0" w:color="auto"/>
                  </w:divBdr>
                  <w:divsChild>
                    <w:div w:id="1879511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569072">
              <w:marLeft w:val="0"/>
              <w:marRight w:val="0"/>
              <w:marTop w:val="0"/>
              <w:marBottom w:val="0"/>
              <w:divBdr>
                <w:top w:val="none" w:sz="0" w:space="0" w:color="auto"/>
                <w:left w:val="none" w:sz="0" w:space="0" w:color="auto"/>
                <w:bottom w:val="none" w:sz="0" w:space="0" w:color="auto"/>
                <w:right w:val="none" w:sz="0" w:space="0" w:color="auto"/>
              </w:divBdr>
              <w:divsChild>
                <w:div w:id="504591844">
                  <w:marLeft w:val="0"/>
                  <w:marRight w:val="0"/>
                  <w:marTop w:val="0"/>
                  <w:marBottom w:val="0"/>
                  <w:divBdr>
                    <w:top w:val="none" w:sz="0" w:space="0" w:color="auto"/>
                    <w:left w:val="none" w:sz="0" w:space="0" w:color="auto"/>
                    <w:bottom w:val="none" w:sz="0" w:space="0" w:color="auto"/>
                    <w:right w:val="none" w:sz="0" w:space="0" w:color="auto"/>
                  </w:divBdr>
                  <w:divsChild>
                    <w:div w:id="230622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608675">
              <w:marLeft w:val="0"/>
              <w:marRight w:val="0"/>
              <w:marTop w:val="0"/>
              <w:marBottom w:val="0"/>
              <w:divBdr>
                <w:top w:val="none" w:sz="0" w:space="0" w:color="auto"/>
                <w:left w:val="none" w:sz="0" w:space="0" w:color="auto"/>
                <w:bottom w:val="none" w:sz="0" w:space="0" w:color="auto"/>
                <w:right w:val="none" w:sz="0" w:space="0" w:color="auto"/>
              </w:divBdr>
              <w:divsChild>
                <w:div w:id="872308792">
                  <w:marLeft w:val="0"/>
                  <w:marRight w:val="0"/>
                  <w:marTop w:val="0"/>
                  <w:marBottom w:val="0"/>
                  <w:divBdr>
                    <w:top w:val="none" w:sz="0" w:space="0" w:color="auto"/>
                    <w:left w:val="none" w:sz="0" w:space="0" w:color="auto"/>
                    <w:bottom w:val="none" w:sz="0" w:space="0" w:color="auto"/>
                    <w:right w:val="none" w:sz="0" w:space="0" w:color="auto"/>
                  </w:divBdr>
                  <w:divsChild>
                    <w:div w:id="1817381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542333">
              <w:marLeft w:val="0"/>
              <w:marRight w:val="0"/>
              <w:marTop w:val="0"/>
              <w:marBottom w:val="0"/>
              <w:divBdr>
                <w:top w:val="none" w:sz="0" w:space="0" w:color="auto"/>
                <w:left w:val="none" w:sz="0" w:space="0" w:color="auto"/>
                <w:bottom w:val="none" w:sz="0" w:space="0" w:color="auto"/>
                <w:right w:val="none" w:sz="0" w:space="0" w:color="auto"/>
              </w:divBdr>
              <w:divsChild>
                <w:div w:id="2051415792">
                  <w:marLeft w:val="0"/>
                  <w:marRight w:val="0"/>
                  <w:marTop w:val="0"/>
                  <w:marBottom w:val="0"/>
                  <w:divBdr>
                    <w:top w:val="none" w:sz="0" w:space="0" w:color="auto"/>
                    <w:left w:val="none" w:sz="0" w:space="0" w:color="auto"/>
                    <w:bottom w:val="none" w:sz="0" w:space="0" w:color="auto"/>
                    <w:right w:val="none" w:sz="0" w:space="0" w:color="auto"/>
                  </w:divBdr>
                  <w:divsChild>
                    <w:div w:id="1475559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943508">
              <w:marLeft w:val="0"/>
              <w:marRight w:val="0"/>
              <w:marTop w:val="0"/>
              <w:marBottom w:val="0"/>
              <w:divBdr>
                <w:top w:val="none" w:sz="0" w:space="0" w:color="auto"/>
                <w:left w:val="none" w:sz="0" w:space="0" w:color="auto"/>
                <w:bottom w:val="none" w:sz="0" w:space="0" w:color="auto"/>
                <w:right w:val="none" w:sz="0" w:space="0" w:color="auto"/>
              </w:divBdr>
              <w:divsChild>
                <w:div w:id="21786281">
                  <w:marLeft w:val="0"/>
                  <w:marRight w:val="0"/>
                  <w:marTop w:val="0"/>
                  <w:marBottom w:val="0"/>
                  <w:divBdr>
                    <w:top w:val="none" w:sz="0" w:space="0" w:color="auto"/>
                    <w:left w:val="none" w:sz="0" w:space="0" w:color="auto"/>
                    <w:bottom w:val="none" w:sz="0" w:space="0" w:color="auto"/>
                    <w:right w:val="none" w:sz="0" w:space="0" w:color="auto"/>
                  </w:divBdr>
                  <w:divsChild>
                    <w:div w:id="191169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573520">
              <w:marLeft w:val="0"/>
              <w:marRight w:val="0"/>
              <w:marTop w:val="0"/>
              <w:marBottom w:val="0"/>
              <w:divBdr>
                <w:top w:val="none" w:sz="0" w:space="0" w:color="auto"/>
                <w:left w:val="none" w:sz="0" w:space="0" w:color="auto"/>
                <w:bottom w:val="none" w:sz="0" w:space="0" w:color="auto"/>
                <w:right w:val="none" w:sz="0" w:space="0" w:color="auto"/>
              </w:divBdr>
              <w:divsChild>
                <w:div w:id="1251618159">
                  <w:marLeft w:val="0"/>
                  <w:marRight w:val="0"/>
                  <w:marTop w:val="0"/>
                  <w:marBottom w:val="0"/>
                  <w:divBdr>
                    <w:top w:val="none" w:sz="0" w:space="0" w:color="auto"/>
                    <w:left w:val="none" w:sz="0" w:space="0" w:color="auto"/>
                    <w:bottom w:val="none" w:sz="0" w:space="0" w:color="auto"/>
                    <w:right w:val="none" w:sz="0" w:space="0" w:color="auto"/>
                  </w:divBdr>
                  <w:divsChild>
                    <w:div w:id="332339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6499496">
          <w:marLeft w:val="0"/>
          <w:marRight w:val="0"/>
          <w:marTop w:val="0"/>
          <w:marBottom w:val="0"/>
          <w:divBdr>
            <w:top w:val="none" w:sz="0" w:space="0" w:color="auto"/>
            <w:left w:val="none" w:sz="0" w:space="0" w:color="auto"/>
            <w:bottom w:val="none" w:sz="0" w:space="0" w:color="auto"/>
            <w:right w:val="none" w:sz="0" w:space="0" w:color="auto"/>
          </w:divBdr>
          <w:divsChild>
            <w:div w:id="286937790">
              <w:marLeft w:val="0"/>
              <w:marRight w:val="0"/>
              <w:marTop w:val="0"/>
              <w:marBottom w:val="0"/>
              <w:divBdr>
                <w:top w:val="none" w:sz="0" w:space="0" w:color="auto"/>
                <w:left w:val="none" w:sz="0" w:space="0" w:color="auto"/>
                <w:bottom w:val="none" w:sz="0" w:space="0" w:color="auto"/>
                <w:right w:val="none" w:sz="0" w:space="0" w:color="auto"/>
              </w:divBdr>
              <w:divsChild>
                <w:div w:id="344095880">
                  <w:marLeft w:val="0"/>
                  <w:marRight w:val="0"/>
                  <w:marTop w:val="0"/>
                  <w:marBottom w:val="0"/>
                  <w:divBdr>
                    <w:top w:val="none" w:sz="0" w:space="0" w:color="auto"/>
                    <w:left w:val="none" w:sz="0" w:space="0" w:color="auto"/>
                    <w:bottom w:val="none" w:sz="0" w:space="0" w:color="auto"/>
                    <w:right w:val="none" w:sz="0" w:space="0" w:color="auto"/>
                  </w:divBdr>
                  <w:divsChild>
                    <w:div w:id="440228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8128746">
              <w:marLeft w:val="0"/>
              <w:marRight w:val="0"/>
              <w:marTop w:val="0"/>
              <w:marBottom w:val="0"/>
              <w:divBdr>
                <w:top w:val="none" w:sz="0" w:space="0" w:color="auto"/>
                <w:left w:val="none" w:sz="0" w:space="0" w:color="auto"/>
                <w:bottom w:val="none" w:sz="0" w:space="0" w:color="auto"/>
                <w:right w:val="none" w:sz="0" w:space="0" w:color="auto"/>
              </w:divBdr>
            </w:div>
            <w:div w:id="1139765113">
              <w:marLeft w:val="0"/>
              <w:marRight w:val="0"/>
              <w:marTop w:val="0"/>
              <w:marBottom w:val="0"/>
              <w:divBdr>
                <w:top w:val="none" w:sz="0" w:space="0" w:color="auto"/>
                <w:left w:val="none" w:sz="0" w:space="0" w:color="auto"/>
                <w:bottom w:val="none" w:sz="0" w:space="0" w:color="auto"/>
                <w:right w:val="none" w:sz="0" w:space="0" w:color="auto"/>
              </w:divBdr>
              <w:divsChild>
                <w:div w:id="433668826">
                  <w:marLeft w:val="0"/>
                  <w:marRight w:val="0"/>
                  <w:marTop w:val="0"/>
                  <w:marBottom w:val="0"/>
                  <w:divBdr>
                    <w:top w:val="none" w:sz="0" w:space="0" w:color="auto"/>
                    <w:left w:val="none" w:sz="0" w:space="0" w:color="auto"/>
                    <w:bottom w:val="none" w:sz="0" w:space="0" w:color="auto"/>
                    <w:right w:val="none" w:sz="0" w:space="0" w:color="auto"/>
                  </w:divBdr>
                  <w:divsChild>
                    <w:div w:id="2063551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1572597">
          <w:marLeft w:val="0"/>
          <w:marRight w:val="0"/>
          <w:marTop w:val="0"/>
          <w:marBottom w:val="0"/>
          <w:divBdr>
            <w:top w:val="none" w:sz="0" w:space="0" w:color="auto"/>
            <w:left w:val="none" w:sz="0" w:space="0" w:color="auto"/>
            <w:bottom w:val="none" w:sz="0" w:space="0" w:color="auto"/>
            <w:right w:val="none" w:sz="0" w:space="0" w:color="auto"/>
          </w:divBdr>
          <w:divsChild>
            <w:div w:id="398476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3096757">
      <w:bodyDiv w:val="1"/>
      <w:marLeft w:val="0"/>
      <w:marRight w:val="0"/>
      <w:marTop w:val="0"/>
      <w:marBottom w:val="0"/>
      <w:divBdr>
        <w:top w:val="none" w:sz="0" w:space="0" w:color="auto"/>
        <w:left w:val="none" w:sz="0" w:space="0" w:color="auto"/>
        <w:bottom w:val="none" w:sz="0" w:space="0" w:color="auto"/>
        <w:right w:val="none" w:sz="0" w:space="0" w:color="auto"/>
      </w:divBdr>
      <w:divsChild>
        <w:div w:id="291249848">
          <w:marLeft w:val="0"/>
          <w:marRight w:val="0"/>
          <w:marTop w:val="0"/>
          <w:marBottom w:val="0"/>
          <w:divBdr>
            <w:top w:val="none" w:sz="0" w:space="0" w:color="auto"/>
            <w:left w:val="none" w:sz="0" w:space="0" w:color="auto"/>
            <w:bottom w:val="none" w:sz="0" w:space="0" w:color="auto"/>
            <w:right w:val="none" w:sz="0" w:space="0" w:color="auto"/>
          </w:divBdr>
        </w:div>
        <w:div w:id="308289080">
          <w:marLeft w:val="0"/>
          <w:marRight w:val="0"/>
          <w:marTop w:val="0"/>
          <w:marBottom w:val="0"/>
          <w:divBdr>
            <w:top w:val="none" w:sz="0" w:space="0" w:color="auto"/>
            <w:left w:val="none" w:sz="0" w:space="0" w:color="auto"/>
            <w:bottom w:val="none" w:sz="0" w:space="0" w:color="auto"/>
            <w:right w:val="none" w:sz="0" w:space="0" w:color="auto"/>
          </w:divBdr>
        </w:div>
      </w:divsChild>
    </w:div>
    <w:div w:id="1341003839">
      <w:bodyDiv w:val="1"/>
      <w:marLeft w:val="0"/>
      <w:marRight w:val="0"/>
      <w:marTop w:val="0"/>
      <w:marBottom w:val="0"/>
      <w:divBdr>
        <w:top w:val="none" w:sz="0" w:space="0" w:color="auto"/>
        <w:left w:val="none" w:sz="0" w:space="0" w:color="auto"/>
        <w:bottom w:val="none" w:sz="0" w:space="0" w:color="auto"/>
        <w:right w:val="none" w:sz="0" w:space="0" w:color="auto"/>
      </w:divBdr>
    </w:div>
    <w:div w:id="1360160050">
      <w:bodyDiv w:val="1"/>
      <w:marLeft w:val="0"/>
      <w:marRight w:val="0"/>
      <w:marTop w:val="0"/>
      <w:marBottom w:val="0"/>
      <w:divBdr>
        <w:top w:val="none" w:sz="0" w:space="0" w:color="auto"/>
        <w:left w:val="none" w:sz="0" w:space="0" w:color="auto"/>
        <w:bottom w:val="none" w:sz="0" w:space="0" w:color="auto"/>
        <w:right w:val="none" w:sz="0" w:space="0" w:color="auto"/>
      </w:divBdr>
      <w:divsChild>
        <w:div w:id="287857435">
          <w:marLeft w:val="0"/>
          <w:marRight w:val="0"/>
          <w:marTop w:val="0"/>
          <w:marBottom w:val="0"/>
          <w:divBdr>
            <w:top w:val="none" w:sz="0" w:space="0" w:color="auto"/>
            <w:left w:val="none" w:sz="0" w:space="0" w:color="auto"/>
            <w:bottom w:val="none" w:sz="0" w:space="0" w:color="auto"/>
            <w:right w:val="none" w:sz="0" w:space="0" w:color="auto"/>
          </w:divBdr>
          <w:divsChild>
            <w:div w:id="275676580">
              <w:marLeft w:val="0"/>
              <w:marRight w:val="0"/>
              <w:marTop w:val="0"/>
              <w:marBottom w:val="0"/>
              <w:divBdr>
                <w:top w:val="none" w:sz="0" w:space="0" w:color="auto"/>
                <w:left w:val="none" w:sz="0" w:space="0" w:color="auto"/>
                <w:bottom w:val="none" w:sz="0" w:space="0" w:color="auto"/>
                <w:right w:val="none" w:sz="0" w:space="0" w:color="auto"/>
              </w:divBdr>
              <w:divsChild>
                <w:div w:id="210579266">
                  <w:marLeft w:val="0"/>
                  <w:marRight w:val="0"/>
                  <w:marTop w:val="0"/>
                  <w:marBottom w:val="0"/>
                  <w:divBdr>
                    <w:top w:val="none" w:sz="0" w:space="0" w:color="auto"/>
                    <w:left w:val="none" w:sz="0" w:space="0" w:color="auto"/>
                    <w:bottom w:val="none" w:sz="0" w:space="0" w:color="auto"/>
                    <w:right w:val="none" w:sz="0" w:space="0" w:color="auto"/>
                  </w:divBdr>
                </w:div>
                <w:div w:id="433943767">
                  <w:marLeft w:val="0"/>
                  <w:marRight w:val="0"/>
                  <w:marTop w:val="0"/>
                  <w:marBottom w:val="0"/>
                  <w:divBdr>
                    <w:top w:val="none" w:sz="0" w:space="0" w:color="auto"/>
                    <w:left w:val="none" w:sz="0" w:space="0" w:color="auto"/>
                    <w:bottom w:val="none" w:sz="0" w:space="0" w:color="auto"/>
                    <w:right w:val="none" w:sz="0" w:space="0" w:color="auto"/>
                  </w:divBdr>
                </w:div>
              </w:divsChild>
            </w:div>
            <w:div w:id="303505726">
              <w:marLeft w:val="0"/>
              <w:marRight w:val="0"/>
              <w:marTop w:val="0"/>
              <w:marBottom w:val="0"/>
              <w:divBdr>
                <w:top w:val="none" w:sz="0" w:space="0" w:color="auto"/>
                <w:left w:val="none" w:sz="0" w:space="0" w:color="auto"/>
                <w:bottom w:val="none" w:sz="0" w:space="0" w:color="auto"/>
                <w:right w:val="none" w:sz="0" w:space="0" w:color="auto"/>
              </w:divBdr>
            </w:div>
            <w:div w:id="576668260">
              <w:marLeft w:val="0"/>
              <w:marRight w:val="0"/>
              <w:marTop w:val="0"/>
              <w:marBottom w:val="0"/>
              <w:divBdr>
                <w:top w:val="none" w:sz="0" w:space="0" w:color="auto"/>
                <w:left w:val="none" w:sz="0" w:space="0" w:color="auto"/>
                <w:bottom w:val="none" w:sz="0" w:space="0" w:color="auto"/>
                <w:right w:val="none" w:sz="0" w:space="0" w:color="auto"/>
              </w:divBdr>
            </w:div>
            <w:div w:id="583883386">
              <w:marLeft w:val="0"/>
              <w:marRight w:val="0"/>
              <w:marTop w:val="0"/>
              <w:marBottom w:val="0"/>
              <w:divBdr>
                <w:top w:val="none" w:sz="0" w:space="0" w:color="auto"/>
                <w:left w:val="none" w:sz="0" w:space="0" w:color="auto"/>
                <w:bottom w:val="none" w:sz="0" w:space="0" w:color="auto"/>
                <w:right w:val="none" w:sz="0" w:space="0" w:color="auto"/>
              </w:divBdr>
            </w:div>
            <w:div w:id="1577469040">
              <w:marLeft w:val="0"/>
              <w:marRight w:val="0"/>
              <w:marTop w:val="0"/>
              <w:marBottom w:val="0"/>
              <w:divBdr>
                <w:top w:val="none" w:sz="0" w:space="0" w:color="auto"/>
                <w:left w:val="none" w:sz="0" w:space="0" w:color="auto"/>
                <w:bottom w:val="none" w:sz="0" w:space="0" w:color="auto"/>
                <w:right w:val="none" w:sz="0" w:space="0" w:color="auto"/>
              </w:divBdr>
            </w:div>
          </w:divsChild>
        </w:div>
        <w:div w:id="1202551863">
          <w:marLeft w:val="0"/>
          <w:marRight w:val="0"/>
          <w:marTop w:val="0"/>
          <w:marBottom w:val="0"/>
          <w:divBdr>
            <w:top w:val="none" w:sz="0" w:space="0" w:color="auto"/>
            <w:left w:val="none" w:sz="0" w:space="0" w:color="auto"/>
            <w:bottom w:val="none" w:sz="0" w:space="0" w:color="auto"/>
            <w:right w:val="none" w:sz="0" w:space="0" w:color="auto"/>
          </w:divBdr>
          <w:divsChild>
            <w:div w:id="576280912">
              <w:marLeft w:val="0"/>
              <w:marRight w:val="0"/>
              <w:marTop w:val="0"/>
              <w:marBottom w:val="0"/>
              <w:divBdr>
                <w:top w:val="none" w:sz="0" w:space="0" w:color="auto"/>
                <w:left w:val="none" w:sz="0" w:space="0" w:color="auto"/>
                <w:bottom w:val="none" w:sz="0" w:space="0" w:color="auto"/>
                <w:right w:val="none" w:sz="0" w:space="0" w:color="auto"/>
              </w:divBdr>
            </w:div>
            <w:div w:id="1986203453">
              <w:marLeft w:val="0"/>
              <w:marRight w:val="0"/>
              <w:marTop w:val="0"/>
              <w:marBottom w:val="0"/>
              <w:divBdr>
                <w:top w:val="none" w:sz="0" w:space="0" w:color="auto"/>
                <w:left w:val="none" w:sz="0" w:space="0" w:color="auto"/>
                <w:bottom w:val="none" w:sz="0" w:space="0" w:color="auto"/>
                <w:right w:val="none" w:sz="0" w:space="0" w:color="auto"/>
              </w:divBdr>
            </w:div>
            <w:div w:id="1993413615">
              <w:marLeft w:val="0"/>
              <w:marRight w:val="0"/>
              <w:marTop w:val="0"/>
              <w:marBottom w:val="0"/>
              <w:divBdr>
                <w:top w:val="none" w:sz="0" w:space="0" w:color="auto"/>
                <w:left w:val="none" w:sz="0" w:space="0" w:color="auto"/>
                <w:bottom w:val="none" w:sz="0" w:space="0" w:color="auto"/>
                <w:right w:val="none" w:sz="0" w:space="0" w:color="auto"/>
              </w:divBdr>
            </w:div>
          </w:divsChild>
        </w:div>
        <w:div w:id="2067294659">
          <w:marLeft w:val="0"/>
          <w:marRight w:val="0"/>
          <w:marTop w:val="0"/>
          <w:marBottom w:val="0"/>
          <w:divBdr>
            <w:top w:val="none" w:sz="0" w:space="0" w:color="auto"/>
            <w:left w:val="none" w:sz="0" w:space="0" w:color="auto"/>
            <w:bottom w:val="none" w:sz="0" w:space="0" w:color="auto"/>
            <w:right w:val="none" w:sz="0" w:space="0" w:color="auto"/>
          </w:divBdr>
          <w:divsChild>
            <w:div w:id="551431156">
              <w:marLeft w:val="0"/>
              <w:marRight w:val="0"/>
              <w:marTop w:val="0"/>
              <w:marBottom w:val="0"/>
              <w:divBdr>
                <w:top w:val="none" w:sz="0" w:space="0" w:color="auto"/>
                <w:left w:val="none" w:sz="0" w:space="0" w:color="auto"/>
                <w:bottom w:val="none" w:sz="0" w:space="0" w:color="auto"/>
                <w:right w:val="none" w:sz="0" w:space="0" w:color="auto"/>
              </w:divBdr>
            </w:div>
            <w:div w:id="1029840786">
              <w:marLeft w:val="0"/>
              <w:marRight w:val="0"/>
              <w:marTop w:val="0"/>
              <w:marBottom w:val="0"/>
              <w:divBdr>
                <w:top w:val="none" w:sz="0" w:space="0" w:color="auto"/>
                <w:left w:val="none" w:sz="0" w:space="0" w:color="auto"/>
                <w:bottom w:val="none" w:sz="0" w:space="0" w:color="auto"/>
                <w:right w:val="none" w:sz="0" w:space="0" w:color="auto"/>
              </w:divBdr>
            </w:div>
            <w:div w:id="1216116668">
              <w:marLeft w:val="0"/>
              <w:marRight w:val="0"/>
              <w:marTop w:val="0"/>
              <w:marBottom w:val="0"/>
              <w:divBdr>
                <w:top w:val="none" w:sz="0" w:space="0" w:color="auto"/>
                <w:left w:val="none" w:sz="0" w:space="0" w:color="auto"/>
                <w:bottom w:val="none" w:sz="0" w:space="0" w:color="auto"/>
                <w:right w:val="none" w:sz="0" w:space="0" w:color="auto"/>
              </w:divBdr>
            </w:div>
            <w:div w:id="1806970803">
              <w:marLeft w:val="0"/>
              <w:marRight w:val="0"/>
              <w:marTop w:val="0"/>
              <w:marBottom w:val="0"/>
              <w:divBdr>
                <w:top w:val="none" w:sz="0" w:space="0" w:color="auto"/>
                <w:left w:val="none" w:sz="0" w:space="0" w:color="auto"/>
                <w:bottom w:val="none" w:sz="0" w:space="0" w:color="auto"/>
                <w:right w:val="none" w:sz="0" w:space="0" w:color="auto"/>
              </w:divBdr>
            </w:div>
            <w:div w:id="1886597767">
              <w:marLeft w:val="0"/>
              <w:marRight w:val="0"/>
              <w:marTop w:val="0"/>
              <w:marBottom w:val="0"/>
              <w:divBdr>
                <w:top w:val="none" w:sz="0" w:space="0" w:color="auto"/>
                <w:left w:val="none" w:sz="0" w:space="0" w:color="auto"/>
                <w:bottom w:val="none" w:sz="0" w:space="0" w:color="auto"/>
                <w:right w:val="none" w:sz="0" w:space="0" w:color="auto"/>
              </w:divBdr>
              <w:divsChild>
                <w:div w:id="1121455368">
                  <w:marLeft w:val="0"/>
                  <w:marRight w:val="0"/>
                  <w:marTop w:val="0"/>
                  <w:marBottom w:val="0"/>
                  <w:divBdr>
                    <w:top w:val="none" w:sz="0" w:space="0" w:color="auto"/>
                    <w:left w:val="none" w:sz="0" w:space="0" w:color="auto"/>
                    <w:bottom w:val="none" w:sz="0" w:space="0" w:color="auto"/>
                    <w:right w:val="none" w:sz="0" w:space="0" w:color="auto"/>
                  </w:divBdr>
                </w:div>
                <w:div w:id="1694451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208719">
          <w:marLeft w:val="0"/>
          <w:marRight w:val="0"/>
          <w:marTop w:val="0"/>
          <w:marBottom w:val="0"/>
          <w:divBdr>
            <w:top w:val="none" w:sz="0" w:space="0" w:color="auto"/>
            <w:left w:val="none" w:sz="0" w:space="0" w:color="auto"/>
            <w:bottom w:val="none" w:sz="0" w:space="0" w:color="auto"/>
            <w:right w:val="none" w:sz="0" w:space="0" w:color="auto"/>
          </w:divBdr>
        </w:div>
      </w:divsChild>
    </w:div>
    <w:div w:id="1375692252">
      <w:bodyDiv w:val="1"/>
      <w:marLeft w:val="0"/>
      <w:marRight w:val="0"/>
      <w:marTop w:val="0"/>
      <w:marBottom w:val="0"/>
      <w:divBdr>
        <w:top w:val="none" w:sz="0" w:space="0" w:color="auto"/>
        <w:left w:val="none" w:sz="0" w:space="0" w:color="auto"/>
        <w:bottom w:val="none" w:sz="0" w:space="0" w:color="auto"/>
        <w:right w:val="none" w:sz="0" w:space="0" w:color="auto"/>
      </w:divBdr>
    </w:div>
    <w:div w:id="1447039322">
      <w:bodyDiv w:val="1"/>
      <w:marLeft w:val="0"/>
      <w:marRight w:val="0"/>
      <w:marTop w:val="0"/>
      <w:marBottom w:val="0"/>
      <w:divBdr>
        <w:top w:val="none" w:sz="0" w:space="0" w:color="auto"/>
        <w:left w:val="none" w:sz="0" w:space="0" w:color="auto"/>
        <w:bottom w:val="none" w:sz="0" w:space="0" w:color="auto"/>
        <w:right w:val="none" w:sz="0" w:space="0" w:color="auto"/>
      </w:divBdr>
    </w:div>
    <w:div w:id="1489858246">
      <w:bodyDiv w:val="1"/>
      <w:marLeft w:val="0"/>
      <w:marRight w:val="0"/>
      <w:marTop w:val="0"/>
      <w:marBottom w:val="0"/>
      <w:divBdr>
        <w:top w:val="none" w:sz="0" w:space="0" w:color="auto"/>
        <w:left w:val="none" w:sz="0" w:space="0" w:color="auto"/>
        <w:bottom w:val="none" w:sz="0" w:space="0" w:color="auto"/>
        <w:right w:val="none" w:sz="0" w:space="0" w:color="auto"/>
      </w:divBdr>
      <w:divsChild>
        <w:div w:id="979918130">
          <w:marLeft w:val="0"/>
          <w:marRight w:val="0"/>
          <w:marTop w:val="0"/>
          <w:marBottom w:val="0"/>
          <w:divBdr>
            <w:top w:val="none" w:sz="0" w:space="0" w:color="auto"/>
            <w:left w:val="none" w:sz="0" w:space="0" w:color="auto"/>
            <w:bottom w:val="none" w:sz="0" w:space="0" w:color="auto"/>
            <w:right w:val="none" w:sz="0" w:space="0" w:color="auto"/>
          </w:divBdr>
          <w:divsChild>
            <w:div w:id="1496649610">
              <w:marLeft w:val="0"/>
              <w:marRight w:val="0"/>
              <w:marTop w:val="0"/>
              <w:marBottom w:val="0"/>
              <w:divBdr>
                <w:top w:val="none" w:sz="0" w:space="0" w:color="auto"/>
                <w:left w:val="none" w:sz="0" w:space="0" w:color="auto"/>
                <w:bottom w:val="none" w:sz="0" w:space="0" w:color="auto"/>
                <w:right w:val="none" w:sz="0" w:space="0" w:color="auto"/>
              </w:divBdr>
              <w:divsChild>
                <w:div w:id="506091358">
                  <w:marLeft w:val="0"/>
                  <w:marRight w:val="0"/>
                  <w:marTop w:val="0"/>
                  <w:marBottom w:val="0"/>
                  <w:divBdr>
                    <w:top w:val="none" w:sz="0" w:space="0" w:color="auto"/>
                    <w:left w:val="none" w:sz="0" w:space="0" w:color="auto"/>
                    <w:bottom w:val="none" w:sz="0" w:space="0" w:color="auto"/>
                    <w:right w:val="none" w:sz="0" w:space="0" w:color="auto"/>
                  </w:divBdr>
                  <w:divsChild>
                    <w:div w:id="1648322044">
                      <w:marLeft w:val="0"/>
                      <w:marRight w:val="0"/>
                      <w:marTop w:val="0"/>
                      <w:marBottom w:val="0"/>
                      <w:divBdr>
                        <w:top w:val="none" w:sz="0" w:space="0" w:color="auto"/>
                        <w:left w:val="none" w:sz="0" w:space="0" w:color="auto"/>
                        <w:bottom w:val="none" w:sz="0" w:space="0" w:color="auto"/>
                        <w:right w:val="none" w:sz="0" w:space="0" w:color="auto"/>
                      </w:divBdr>
                    </w:div>
                  </w:divsChild>
                </w:div>
                <w:div w:id="997345047">
                  <w:marLeft w:val="0"/>
                  <w:marRight w:val="0"/>
                  <w:marTop w:val="0"/>
                  <w:marBottom w:val="0"/>
                  <w:divBdr>
                    <w:top w:val="none" w:sz="0" w:space="0" w:color="auto"/>
                    <w:left w:val="none" w:sz="0" w:space="0" w:color="auto"/>
                    <w:bottom w:val="none" w:sz="0" w:space="0" w:color="auto"/>
                    <w:right w:val="none" w:sz="0" w:space="0" w:color="auto"/>
                  </w:divBdr>
                  <w:divsChild>
                    <w:div w:id="199587958">
                      <w:marLeft w:val="0"/>
                      <w:marRight w:val="0"/>
                      <w:marTop w:val="0"/>
                      <w:marBottom w:val="0"/>
                      <w:divBdr>
                        <w:top w:val="none" w:sz="0" w:space="0" w:color="auto"/>
                        <w:left w:val="none" w:sz="0" w:space="0" w:color="auto"/>
                        <w:bottom w:val="none" w:sz="0" w:space="0" w:color="auto"/>
                        <w:right w:val="none" w:sz="0" w:space="0" w:color="auto"/>
                      </w:divBdr>
                    </w:div>
                    <w:div w:id="397290040">
                      <w:marLeft w:val="0"/>
                      <w:marRight w:val="0"/>
                      <w:marTop w:val="0"/>
                      <w:marBottom w:val="0"/>
                      <w:divBdr>
                        <w:top w:val="none" w:sz="0" w:space="0" w:color="auto"/>
                        <w:left w:val="none" w:sz="0" w:space="0" w:color="auto"/>
                        <w:bottom w:val="none" w:sz="0" w:space="0" w:color="auto"/>
                        <w:right w:val="none" w:sz="0" w:space="0" w:color="auto"/>
                      </w:divBdr>
                      <w:divsChild>
                        <w:div w:id="20400364">
                          <w:marLeft w:val="0"/>
                          <w:marRight w:val="0"/>
                          <w:marTop w:val="0"/>
                          <w:marBottom w:val="0"/>
                          <w:divBdr>
                            <w:top w:val="none" w:sz="0" w:space="0" w:color="auto"/>
                            <w:left w:val="none" w:sz="0" w:space="0" w:color="auto"/>
                            <w:bottom w:val="none" w:sz="0" w:space="0" w:color="auto"/>
                            <w:right w:val="none" w:sz="0" w:space="0" w:color="auto"/>
                          </w:divBdr>
                        </w:div>
                        <w:div w:id="1656106337">
                          <w:marLeft w:val="0"/>
                          <w:marRight w:val="0"/>
                          <w:marTop w:val="0"/>
                          <w:marBottom w:val="0"/>
                          <w:divBdr>
                            <w:top w:val="none" w:sz="0" w:space="0" w:color="auto"/>
                            <w:left w:val="none" w:sz="0" w:space="0" w:color="auto"/>
                            <w:bottom w:val="none" w:sz="0" w:space="0" w:color="auto"/>
                            <w:right w:val="none" w:sz="0" w:space="0" w:color="auto"/>
                          </w:divBdr>
                        </w:div>
                      </w:divsChild>
                    </w:div>
                    <w:div w:id="1057969301">
                      <w:marLeft w:val="0"/>
                      <w:marRight w:val="0"/>
                      <w:marTop w:val="0"/>
                      <w:marBottom w:val="0"/>
                      <w:divBdr>
                        <w:top w:val="none" w:sz="0" w:space="0" w:color="auto"/>
                        <w:left w:val="none" w:sz="0" w:space="0" w:color="auto"/>
                        <w:bottom w:val="none" w:sz="0" w:space="0" w:color="auto"/>
                        <w:right w:val="none" w:sz="0" w:space="0" w:color="auto"/>
                      </w:divBdr>
                      <w:divsChild>
                        <w:div w:id="770197210">
                          <w:marLeft w:val="0"/>
                          <w:marRight w:val="0"/>
                          <w:marTop w:val="0"/>
                          <w:marBottom w:val="0"/>
                          <w:divBdr>
                            <w:top w:val="none" w:sz="0" w:space="0" w:color="auto"/>
                            <w:left w:val="none" w:sz="0" w:space="0" w:color="auto"/>
                            <w:bottom w:val="none" w:sz="0" w:space="0" w:color="auto"/>
                            <w:right w:val="none" w:sz="0" w:space="0" w:color="auto"/>
                          </w:divBdr>
                        </w:div>
                        <w:div w:id="1441684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5791366">
          <w:marLeft w:val="0"/>
          <w:marRight w:val="0"/>
          <w:marTop w:val="0"/>
          <w:marBottom w:val="0"/>
          <w:divBdr>
            <w:top w:val="none" w:sz="0" w:space="0" w:color="auto"/>
            <w:left w:val="none" w:sz="0" w:space="0" w:color="auto"/>
            <w:bottom w:val="none" w:sz="0" w:space="0" w:color="auto"/>
            <w:right w:val="none" w:sz="0" w:space="0" w:color="auto"/>
          </w:divBdr>
          <w:divsChild>
            <w:div w:id="307902062">
              <w:marLeft w:val="0"/>
              <w:marRight w:val="0"/>
              <w:marTop w:val="0"/>
              <w:marBottom w:val="0"/>
              <w:divBdr>
                <w:top w:val="none" w:sz="0" w:space="0" w:color="auto"/>
                <w:left w:val="none" w:sz="0" w:space="0" w:color="auto"/>
                <w:bottom w:val="none" w:sz="0" w:space="0" w:color="auto"/>
                <w:right w:val="none" w:sz="0" w:space="0" w:color="auto"/>
              </w:divBdr>
            </w:div>
            <w:div w:id="601842430">
              <w:marLeft w:val="0"/>
              <w:marRight w:val="0"/>
              <w:marTop w:val="0"/>
              <w:marBottom w:val="0"/>
              <w:divBdr>
                <w:top w:val="none" w:sz="0" w:space="0" w:color="auto"/>
                <w:left w:val="none" w:sz="0" w:space="0" w:color="auto"/>
                <w:bottom w:val="none" w:sz="0" w:space="0" w:color="auto"/>
                <w:right w:val="none" w:sz="0" w:space="0" w:color="auto"/>
              </w:divBdr>
            </w:div>
            <w:div w:id="1130125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218729">
      <w:bodyDiv w:val="1"/>
      <w:marLeft w:val="0"/>
      <w:marRight w:val="0"/>
      <w:marTop w:val="0"/>
      <w:marBottom w:val="0"/>
      <w:divBdr>
        <w:top w:val="none" w:sz="0" w:space="0" w:color="auto"/>
        <w:left w:val="none" w:sz="0" w:space="0" w:color="auto"/>
        <w:bottom w:val="none" w:sz="0" w:space="0" w:color="auto"/>
        <w:right w:val="none" w:sz="0" w:space="0" w:color="auto"/>
      </w:divBdr>
      <w:divsChild>
        <w:div w:id="152457967">
          <w:marLeft w:val="0"/>
          <w:marRight w:val="0"/>
          <w:marTop w:val="0"/>
          <w:marBottom w:val="0"/>
          <w:divBdr>
            <w:top w:val="none" w:sz="0" w:space="0" w:color="auto"/>
            <w:left w:val="none" w:sz="0" w:space="0" w:color="auto"/>
            <w:bottom w:val="none" w:sz="0" w:space="0" w:color="auto"/>
            <w:right w:val="none" w:sz="0" w:space="0" w:color="auto"/>
          </w:divBdr>
        </w:div>
        <w:div w:id="196964869">
          <w:marLeft w:val="0"/>
          <w:marRight w:val="0"/>
          <w:marTop w:val="0"/>
          <w:marBottom w:val="0"/>
          <w:divBdr>
            <w:top w:val="none" w:sz="0" w:space="0" w:color="auto"/>
            <w:left w:val="none" w:sz="0" w:space="0" w:color="auto"/>
            <w:bottom w:val="none" w:sz="0" w:space="0" w:color="auto"/>
            <w:right w:val="none" w:sz="0" w:space="0" w:color="auto"/>
          </w:divBdr>
        </w:div>
        <w:div w:id="743259931">
          <w:marLeft w:val="0"/>
          <w:marRight w:val="0"/>
          <w:marTop w:val="0"/>
          <w:marBottom w:val="0"/>
          <w:divBdr>
            <w:top w:val="none" w:sz="0" w:space="0" w:color="auto"/>
            <w:left w:val="none" w:sz="0" w:space="0" w:color="auto"/>
            <w:bottom w:val="none" w:sz="0" w:space="0" w:color="auto"/>
            <w:right w:val="none" w:sz="0" w:space="0" w:color="auto"/>
          </w:divBdr>
        </w:div>
        <w:div w:id="1345396401">
          <w:marLeft w:val="0"/>
          <w:marRight w:val="0"/>
          <w:marTop w:val="0"/>
          <w:marBottom w:val="0"/>
          <w:divBdr>
            <w:top w:val="none" w:sz="0" w:space="0" w:color="auto"/>
            <w:left w:val="none" w:sz="0" w:space="0" w:color="auto"/>
            <w:bottom w:val="none" w:sz="0" w:space="0" w:color="auto"/>
            <w:right w:val="none" w:sz="0" w:space="0" w:color="auto"/>
          </w:divBdr>
        </w:div>
        <w:div w:id="1997220155">
          <w:marLeft w:val="0"/>
          <w:marRight w:val="0"/>
          <w:marTop w:val="0"/>
          <w:marBottom w:val="0"/>
          <w:divBdr>
            <w:top w:val="none" w:sz="0" w:space="0" w:color="auto"/>
            <w:left w:val="none" w:sz="0" w:space="0" w:color="auto"/>
            <w:bottom w:val="none" w:sz="0" w:space="0" w:color="auto"/>
            <w:right w:val="none" w:sz="0" w:space="0" w:color="auto"/>
          </w:divBdr>
        </w:div>
      </w:divsChild>
    </w:div>
    <w:div w:id="1757167060">
      <w:bodyDiv w:val="1"/>
      <w:marLeft w:val="0"/>
      <w:marRight w:val="0"/>
      <w:marTop w:val="0"/>
      <w:marBottom w:val="0"/>
      <w:divBdr>
        <w:top w:val="none" w:sz="0" w:space="0" w:color="auto"/>
        <w:left w:val="none" w:sz="0" w:space="0" w:color="auto"/>
        <w:bottom w:val="none" w:sz="0" w:space="0" w:color="auto"/>
        <w:right w:val="none" w:sz="0" w:space="0" w:color="auto"/>
      </w:divBdr>
    </w:div>
    <w:div w:id="1839926911">
      <w:bodyDiv w:val="1"/>
      <w:marLeft w:val="0"/>
      <w:marRight w:val="0"/>
      <w:marTop w:val="0"/>
      <w:marBottom w:val="0"/>
      <w:divBdr>
        <w:top w:val="none" w:sz="0" w:space="0" w:color="auto"/>
        <w:left w:val="none" w:sz="0" w:space="0" w:color="auto"/>
        <w:bottom w:val="none" w:sz="0" w:space="0" w:color="auto"/>
        <w:right w:val="none" w:sz="0" w:space="0" w:color="auto"/>
      </w:divBdr>
      <w:divsChild>
        <w:div w:id="466701080">
          <w:marLeft w:val="0"/>
          <w:marRight w:val="0"/>
          <w:marTop w:val="0"/>
          <w:marBottom w:val="0"/>
          <w:divBdr>
            <w:top w:val="none" w:sz="0" w:space="0" w:color="auto"/>
            <w:left w:val="none" w:sz="0" w:space="0" w:color="auto"/>
            <w:bottom w:val="none" w:sz="0" w:space="0" w:color="auto"/>
            <w:right w:val="none" w:sz="0" w:space="0" w:color="auto"/>
          </w:divBdr>
        </w:div>
        <w:div w:id="1068724435">
          <w:marLeft w:val="0"/>
          <w:marRight w:val="0"/>
          <w:marTop w:val="0"/>
          <w:marBottom w:val="0"/>
          <w:divBdr>
            <w:top w:val="none" w:sz="0" w:space="0" w:color="auto"/>
            <w:left w:val="none" w:sz="0" w:space="0" w:color="auto"/>
            <w:bottom w:val="none" w:sz="0" w:space="0" w:color="auto"/>
            <w:right w:val="none" w:sz="0" w:space="0" w:color="auto"/>
          </w:divBdr>
          <w:divsChild>
            <w:div w:id="1620067274">
              <w:marLeft w:val="0"/>
              <w:marRight w:val="0"/>
              <w:marTop w:val="0"/>
              <w:marBottom w:val="0"/>
              <w:divBdr>
                <w:top w:val="none" w:sz="0" w:space="0" w:color="auto"/>
                <w:left w:val="none" w:sz="0" w:space="0" w:color="auto"/>
                <w:bottom w:val="none" w:sz="0" w:space="0" w:color="auto"/>
                <w:right w:val="none" w:sz="0" w:space="0" w:color="auto"/>
              </w:divBdr>
            </w:div>
            <w:div w:id="1760756048">
              <w:marLeft w:val="0"/>
              <w:marRight w:val="0"/>
              <w:marTop w:val="0"/>
              <w:marBottom w:val="0"/>
              <w:divBdr>
                <w:top w:val="none" w:sz="0" w:space="0" w:color="auto"/>
                <w:left w:val="none" w:sz="0" w:space="0" w:color="auto"/>
                <w:bottom w:val="none" w:sz="0" w:space="0" w:color="auto"/>
                <w:right w:val="none" w:sz="0" w:space="0" w:color="auto"/>
              </w:divBdr>
            </w:div>
            <w:div w:id="1921523924">
              <w:marLeft w:val="0"/>
              <w:marRight w:val="0"/>
              <w:marTop w:val="0"/>
              <w:marBottom w:val="0"/>
              <w:divBdr>
                <w:top w:val="none" w:sz="0" w:space="0" w:color="auto"/>
                <w:left w:val="none" w:sz="0" w:space="0" w:color="auto"/>
                <w:bottom w:val="none" w:sz="0" w:space="0" w:color="auto"/>
                <w:right w:val="none" w:sz="0" w:space="0" w:color="auto"/>
              </w:divBdr>
            </w:div>
          </w:divsChild>
        </w:div>
        <w:div w:id="1209953578">
          <w:marLeft w:val="0"/>
          <w:marRight w:val="0"/>
          <w:marTop w:val="0"/>
          <w:marBottom w:val="0"/>
          <w:divBdr>
            <w:top w:val="none" w:sz="0" w:space="0" w:color="auto"/>
            <w:left w:val="none" w:sz="0" w:space="0" w:color="auto"/>
            <w:bottom w:val="none" w:sz="0" w:space="0" w:color="auto"/>
            <w:right w:val="none" w:sz="0" w:space="0" w:color="auto"/>
          </w:divBdr>
          <w:divsChild>
            <w:div w:id="8605903">
              <w:marLeft w:val="0"/>
              <w:marRight w:val="0"/>
              <w:marTop w:val="0"/>
              <w:marBottom w:val="0"/>
              <w:divBdr>
                <w:top w:val="none" w:sz="0" w:space="0" w:color="auto"/>
                <w:left w:val="none" w:sz="0" w:space="0" w:color="auto"/>
                <w:bottom w:val="none" w:sz="0" w:space="0" w:color="auto"/>
                <w:right w:val="none" w:sz="0" w:space="0" w:color="auto"/>
              </w:divBdr>
            </w:div>
            <w:div w:id="867330037">
              <w:marLeft w:val="0"/>
              <w:marRight w:val="0"/>
              <w:marTop w:val="0"/>
              <w:marBottom w:val="0"/>
              <w:divBdr>
                <w:top w:val="none" w:sz="0" w:space="0" w:color="auto"/>
                <w:left w:val="none" w:sz="0" w:space="0" w:color="auto"/>
                <w:bottom w:val="none" w:sz="0" w:space="0" w:color="auto"/>
                <w:right w:val="none" w:sz="0" w:space="0" w:color="auto"/>
              </w:divBdr>
            </w:div>
            <w:div w:id="1191526089">
              <w:marLeft w:val="0"/>
              <w:marRight w:val="0"/>
              <w:marTop w:val="0"/>
              <w:marBottom w:val="0"/>
              <w:divBdr>
                <w:top w:val="none" w:sz="0" w:space="0" w:color="auto"/>
                <w:left w:val="none" w:sz="0" w:space="0" w:color="auto"/>
                <w:bottom w:val="none" w:sz="0" w:space="0" w:color="auto"/>
                <w:right w:val="none" w:sz="0" w:space="0" w:color="auto"/>
              </w:divBdr>
            </w:div>
            <w:div w:id="144704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882078">
      <w:bodyDiv w:val="1"/>
      <w:marLeft w:val="0"/>
      <w:marRight w:val="0"/>
      <w:marTop w:val="0"/>
      <w:marBottom w:val="0"/>
      <w:divBdr>
        <w:top w:val="none" w:sz="0" w:space="0" w:color="auto"/>
        <w:left w:val="none" w:sz="0" w:space="0" w:color="auto"/>
        <w:bottom w:val="none" w:sz="0" w:space="0" w:color="auto"/>
        <w:right w:val="none" w:sz="0" w:space="0" w:color="auto"/>
      </w:divBdr>
      <w:divsChild>
        <w:div w:id="353268823">
          <w:marLeft w:val="0"/>
          <w:marRight w:val="0"/>
          <w:marTop w:val="0"/>
          <w:marBottom w:val="0"/>
          <w:divBdr>
            <w:top w:val="none" w:sz="0" w:space="0" w:color="auto"/>
            <w:left w:val="none" w:sz="0" w:space="0" w:color="auto"/>
            <w:bottom w:val="none" w:sz="0" w:space="0" w:color="auto"/>
            <w:right w:val="none" w:sz="0" w:space="0" w:color="auto"/>
          </w:divBdr>
          <w:divsChild>
            <w:div w:id="1105074168">
              <w:marLeft w:val="0"/>
              <w:marRight w:val="0"/>
              <w:marTop w:val="0"/>
              <w:marBottom w:val="0"/>
              <w:divBdr>
                <w:top w:val="none" w:sz="0" w:space="0" w:color="auto"/>
                <w:left w:val="none" w:sz="0" w:space="0" w:color="auto"/>
                <w:bottom w:val="none" w:sz="0" w:space="0" w:color="auto"/>
                <w:right w:val="none" w:sz="0" w:space="0" w:color="auto"/>
              </w:divBdr>
            </w:div>
          </w:divsChild>
        </w:div>
        <w:div w:id="372971504">
          <w:marLeft w:val="0"/>
          <w:marRight w:val="0"/>
          <w:marTop w:val="0"/>
          <w:marBottom w:val="0"/>
          <w:divBdr>
            <w:top w:val="none" w:sz="0" w:space="0" w:color="auto"/>
            <w:left w:val="none" w:sz="0" w:space="0" w:color="auto"/>
            <w:bottom w:val="none" w:sz="0" w:space="0" w:color="auto"/>
            <w:right w:val="none" w:sz="0" w:space="0" w:color="auto"/>
          </w:divBdr>
          <w:divsChild>
            <w:div w:id="546991569">
              <w:marLeft w:val="0"/>
              <w:marRight w:val="0"/>
              <w:marTop w:val="0"/>
              <w:marBottom w:val="0"/>
              <w:divBdr>
                <w:top w:val="none" w:sz="0" w:space="0" w:color="auto"/>
                <w:left w:val="none" w:sz="0" w:space="0" w:color="auto"/>
                <w:bottom w:val="none" w:sz="0" w:space="0" w:color="auto"/>
                <w:right w:val="none" w:sz="0" w:space="0" w:color="auto"/>
              </w:divBdr>
            </w:div>
            <w:div w:id="1209412165">
              <w:marLeft w:val="0"/>
              <w:marRight w:val="0"/>
              <w:marTop w:val="0"/>
              <w:marBottom w:val="0"/>
              <w:divBdr>
                <w:top w:val="none" w:sz="0" w:space="0" w:color="auto"/>
                <w:left w:val="none" w:sz="0" w:space="0" w:color="auto"/>
                <w:bottom w:val="none" w:sz="0" w:space="0" w:color="auto"/>
                <w:right w:val="none" w:sz="0" w:space="0" w:color="auto"/>
              </w:divBdr>
            </w:div>
          </w:divsChild>
        </w:div>
        <w:div w:id="373584807">
          <w:marLeft w:val="0"/>
          <w:marRight w:val="0"/>
          <w:marTop w:val="0"/>
          <w:marBottom w:val="0"/>
          <w:divBdr>
            <w:top w:val="none" w:sz="0" w:space="0" w:color="auto"/>
            <w:left w:val="none" w:sz="0" w:space="0" w:color="auto"/>
            <w:bottom w:val="none" w:sz="0" w:space="0" w:color="auto"/>
            <w:right w:val="none" w:sz="0" w:space="0" w:color="auto"/>
          </w:divBdr>
          <w:divsChild>
            <w:div w:id="677999645">
              <w:marLeft w:val="0"/>
              <w:marRight w:val="0"/>
              <w:marTop w:val="0"/>
              <w:marBottom w:val="0"/>
              <w:divBdr>
                <w:top w:val="none" w:sz="0" w:space="0" w:color="auto"/>
                <w:left w:val="none" w:sz="0" w:space="0" w:color="auto"/>
                <w:bottom w:val="none" w:sz="0" w:space="0" w:color="auto"/>
                <w:right w:val="none" w:sz="0" w:space="0" w:color="auto"/>
              </w:divBdr>
            </w:div>
            <w:div w:id="2132359516">
              <w:marLeft w:val="0"/>
              <w:marRight w:val="0"/>
              <w:marTop w:val="0"/>
              <w:marBottom w:val="0"/>
              <w:divBdr>
                <w:top w:val="none" w:sz="0" w:space="0" w:color="auto"/>
                <w:left w:val="none" w:sz="0" w:space="0" w:color="auto"/>
                <w:bottom w:val="none" w:sz="0" w:space="0" w:color="auto"/>
                <w:right w:val="none" w:sz="0" w:space="0" w:color="auto"/>
              </w:divBdr>
            </w:div>
          </w:divsChild>
        </w:div>
        <w:div w:id="799346057">
          <w:marLeft w:val="0"/>
          <w:marRight w:val="0"/>
          <w:marTop w:val="0"/>
          <w:marBottom w:val="0"/>
          <w:divBdr>
            <w:top w:val="none" w:sz="0" w:space="0" w:color="auto"/>
            <w:left w:val="none" w:sz="0" w:space="0" w:color="auto"/>
            <w:bottom w:val="none" w:sz="0" w:space="0" w:color="auto"/>
            <w:right w:val="none" w:sz="0" w:space="0" w:color="auto"/>
          </w:divBdr>
          <w:divsChild>
            <w:div w:id="1146312791">
              <w:marLeft w:val="0"/>
              <w:marRight w:val="0"/>
              <w:marTop w:val="0"/>
              <w:marBottom w:val="0"/>
              <w:divBdr>
                <w:top w:val="none" w:sz="0" w:space="0" w:color="auto"/>
                <w:left w:val="none" w:sz="0" w:space="0" w:color="auto"/>
                <w:bottom w:val="none" w:sz="0" w:space="0" w:color="auto"/>
                <w:right w:val="none" w:sz="0" w:space="0" w:color="auto"/>
              </w:divBdr>
            </w:div>
            <w:div w:id="1418213425">
              <w:marLeft w:val="0"/>
              <w:marRight w:val="0"/>
              <w:marTop w:val="0"/>
              <w:marBottom w:val="0"/>
              <w:divBdr>
                <w:top w:val="none" w:sz="0" w:space="0" w:color="auto"/>
                <w:left w:val="none" w:sz="0" w:space="0" w:color="auto"/>
                <w:bottom w:val="none" w:sz="0" w:space="0" w:color="auto"/>
                <w:right w:val="none" w:sz="0" w:space="0" w:color="auto"/>
              </w:divBdr>
            </w:div>
          </w:divsChild>
        </w:div>
        <w:div w:id="906305084">
          <w:marLeft w:val="0"/>
          <w:marRight w:val="0"/>
          <w:marTop w:val="0"/>
          <w:marBottom w:val="0"/>
          <w:divBdr>
            <w:top w:val="none" w:sz="0" w:space="0" w:color="auto"/>
            <w:left w:val="none" w:sz="0" w:space="0" w:color="auto"/>
            <w:bottom w:val="none" w:sz="0" w:space="0" w:color="auto"/>
            <w:right w:val="none" w:sz="0" w:space="0" w:color="auto"/>
          </w:divBdr>
          <w:divsChild>
            <w:div w:id="984041465">
              <w:marLeft w:val="0"/>
              <w:marRight w:val="0"/>
              <w:marTop w:val="0"/>
              <w:marBottom w:val="0"/>
              <w:divBdr>
                <w:top w:val="none" w:sz="0" w:space="0" w:color="auto"/>
                <w:left w:val="none" w:sz="0" w:space="0" w:color="auto"/>
                <w:bottom w:val="none" w:sz="0" w:space="0" w:color="auto"/>
                <w:right w:val="none" w:sz="0" w:space="0" w:color="auto"/>
              </w:divBdr>
            </w:div>
            <w:div w:id="1991403325">
              <w:marLeft w:val="0"/>
              <w:marRight w:val="0"/>
              <w:marTop w:val="0"/>
              <w:marBottom w:val="0"/>
              <w:divBdr>
                <w:top w:val="none" w:sz="0" w:space="0" w:color="auto"/>
                <w:left w:val="none" w:sz="0" w:space="0" w:color="auto"/>
                <w:bottom w:val="none" w:sz="0" w:space="0" w:color="auto"/>
                <w:right w:val="none" w:sz="0" w:space="0" w:color="auto"/>
              </w:divBdr>
            </w:div>
          </w:divsChild>
        </w:div>
        <w:div w:id="1150753123">
          <w:marLeft w:val="0"/>
          <w:marRight w:val="0"/>
          <w:marTop w:val="0"/>
          <w:marBottom w:val="0"/>
          <w:divBdr>
            <w:top w:val="none" w:sz="0" w:space="0" w:color="auto"/>
            <w:left w:val="none" w:sz="0" w:space="0" w:color="auto"/>
            <w:bottom w:val="none" w:sz="0" w:space="0" w:color="auto"/>
            <w:right w:val="none" w:sz="0" w:space="0" w:color="auto"/>
          </w:divBdr>
          <w:divsChild>
            <w:div w:id="243802520">
              <w:marLeft w:val="0"/>
              <w:marRight w:val="0"/>
              <w:marTop w:val="0"/>
              <w:marBottom w:val="0"/>
              <w:divBdr>
                <w:top w:val="none" w:sz="0" w:space="0" w:color="auto"/>
                <w:left w:val="none" w:sz="0" w:space="0" w:color="auto"/>
                <w:bottom w:val="none" w:sz="0" w:space="0" w:color="auto"/>
                <w:right w:val="none" w:sz="0" w:space="0" w:color="auto"/>
              </w:divBdr>
            </w:div>
            <w:div w:id="1409234491">
              <w:marLeft w:val="0"/>
              <w:marRight w:val="0"/>
              <w:marTop w:val="0"/>
              <w:marBottom w:val="0"/>
              <w:divBdr>
                <w:top w:val="none" w:sz="0" w:space="0" w:color="auto"/>
                <w:left w:val="none" w:sz="0" w:space="0" w:color="auto"/>
                <w:bottom w:val="none" w:sz="0" w:space="0" w:color="auto"/>
                <w:right w:val="none" w:sz="0" w:space="0" w:color="auto"/>
              </w:divBdr>
            </w:div>
          </w:divsChild>
        </w:div>
        <w:div w:id="1298098577">
          <w:marLeft w:val="0"/>
          <w:marRight w:val="0"/>
          <w:marTop w:val="0"/>
          <w:marBottom w:val="0"/>
          <w:divBdr>
            <w:top w:val="none" w:sz="0" w:space="0" w:color="auto"/>
            <w:left w:val="none" w:sz="0" w:space="0" w:color="auto"/>
            <w:bottom w:val="none" w:sz="0" w:space="0" w:color="auto"/>
            <w:right w:val="none" w:sz="0" w:space="0" w:color="auto"/>
          </w:divBdr>
          <w:divsChild>
            <w:div w:id="1264075242">
              <w:marLeft w:val="0"/>
              <w:marRight w:val="0"/>
              <w:marTop w:val="0"/>
              <w:marBottom w:val="0"/>
              <w:divBdr>
                <w:top w:val="none" w:sz="0" w:space="0" w:color="auto"/>
                <w:left w:val="none" w:sz="0" w:space="0" w:color="auto"/>
                <w:bottom w:val="none" w:sz="0" w:space="0" w:color="auto"/>
                <w:right w:val="none" w:sz="0" w:space="0" w:color="auto"/>
              </w:divBdr>
            </w:div>
            <w:div w:id="1733771904">
              <w:marLeft w:val="0"/>
              <w:marRight w:val="0"/>
              <w:marTop w:val="0"/>
              <w:marBottom w:val="0"/>
              <w:divBdr>
                <w:top w:val="none" w:sz="0" w:space="0" w:color="auto"/>
                <w:left w:val="none" w:sz="0" w:space="0" w:color="auto"/>
                <w:bottom w:val="none" w:sz="0" w:space="0" w:color="auto"/>
                <w:right w:val="none" w:sz="0" w:space="0" w:color="auto"/>
              </w:divBdr>
            </w:div>
          </w:divsChild>
        </w:div>
        <w:div w:id="1539703158">
          <w:marLeft w:val="0"/>
          <w:marRight w:val="0"/>
          <w:marTop w:val="0"/>
          <w:marBottom w:val="0"/>
          <w:divBdr>
            <w:top w:val="none" w:sz="0" w:space="0" w:color="auto"/>
            <w:left w:val="none" w:sz="0" w:space="0" w:color="auto"/>
            <w:bottom w:val="none" w:sz="0" w:space="0" w:color="auto"/>
            <w:right w:val="none" w:sz="0" w:space="0" w:color="auto"/>
          </w:divBdr>
          <w:divsChild>
            <w:div w:id="1320959156">
              <w:marLeft w:val="0"/>
              <w:marRight w:val="0"/>
              <w:marTop w:val="0"/>
              <w:marBottom w:val="0"/>
              <w:divBdr>
                <w:top w:val="none" w:sz="0" w:space="0" w:color="auto"/>
                <w:left w:val="none" w:sz="0" w:space="0" w:color="auto"/>
                <w:bottom w:val="none" w:sz="0" w:space="0" w:color="auto"/>
                <w:right w:val="none" w:sz="0" w:space="0" w:color="auto"/>
              </w:divBdr>
            </w:div>
            <w:div w:id="1762021470">
              <w:marLeft w:val="0"/>
              <w:marRight w:val="0"/>
              <w:marTop w:val="0"/>
              <w:marBottom w:val="0"/>
              <w:divBdr>
                <w:top w:val="none" w:sz="0" w:space="0" w:color="auto"/>
                <w:left w:val="none" w:sz="0" w:space="0" w:color="auto"/>
                <w:bottom w:val="none" w:sz="0" w:space="0" w:color="auto"/>
                <w:right w:val="none" w:sz="0" w:space="0" w:color="auto"/>
              </w:divBdr>
            </w:div>
          </w:divsChild>
        </w:div>
        <w:div w:id="1680810792">
          <w:marLeft w:val="0"/>
          <w:marRight w:val="0"/>
          <w:marTop w:val="0"/>
          <w:marBottom w:val="0"/>
          <w:divBdr>
            <w:top w:val="none" w:sz="0" w:space="0" w:color="auto"/>
            <w:left w:val="none" w:sz="0" w:space="0" w:color="auto"/>
            <w:bottom w:val="none" w:sz="0" w:space="0" w:color="auto"/>
            <w:right w:val="none" w:sz="0" w:space="0" w:color="auto"/>
          </w:divBdr>
          <w:divsChild>
            <w:div w:id="151679986">
              <w:marLeft w:val="0"/>
              <w:marRight w:val="0"/>
              <w:marTop w:val="0"/>
              <w:marBottom w:val="0"/>
              <w:divBdr>
                <w:top w:val="none" w:sz="0" w:space="0" w:color="auto"/>
                <w:left w:val="none" w:sz="0" w:space="0" w:color="auto"/>
                <w:bottom w:val="none" w:sz="0" w:space="0" w:color="auto"/>
                <w:right w:val="none" w:sz="0" w:space="0" w:color="auto"/>
              </w:divBdr>
            </w:div>
            <w:div w:id="1016232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076133">
      <w:bodyDiv w:val="1"/>
      <w:marLeft w:val="0"/>
      <w:marRight w:val="0"/>
      <w:marTop w:val="0"/>
      <w:marBottom w:val="0"/>
      <w:divBdr>
        <w:top w:val="none" w:sz="0" w:space="0" w:color="auto"/>
        <w:left w:val="none" w:sz="0" w:space="0" w:color="auto"/>
        <w:bottom w:val="none" w:sz="0" w:space="0" w:color="auto"/>
        <w:right w:val="none" w:sz="0" w:space="0" w:color="auto"/>
      </w:divBdr>
    </w:div>
    <w:div w:id="1916157770">
      <w:bodyDiv w:val="1"/>
      <w:marLeft w:val="0"/>
      <w:marRight w:val="0"/>
      <w:marTop w:val="0"/>
      <w:marBottom w:val="0"/>
      <w:divBdr>
        <w:top w:val="none" w:sz="0" w:space="0" w:color="auto"/>
        <w:left w:val="none" w:sz="0" w:space="0" w:color="auto"/>
        <w:bottom w:val="none" w:sz="0" w:space="0" w:color="auto"/>
        <w:right w:val="none" w:sz="0" w:space="0" w:color="auto"/>
      </w:divBdr>
      <w:divsChild>
        <w:div w:id="856699120">
          <w:marLeft w:val="0"/>
          <w:marRight w:val="0"/>
          <w:marTop w:val="0"/>
          <w:marBottom w:val="0"/>
          <w:divBdr>
            <w:top w:val="none" w:sz="0" w:space="0" w:color="auto"/>
            <w:left w:val="none" w:sz="0" w:space="0" w:color="auto"/>
            <w:bottom w:val="none" w:sz="0" w:space="0" w:color="auto"/>
            <w:right w:val="none" w:sz="0" w:space="0" w:color="auto"/>
          </w:divBdr>
        </w:div>
        <w:div w:id="1756903227">
          <w:marLeft w:val="0"/>
          <w:marRight w:val="0"/>
          <w:marTop w:val="0"/>
          <w:marBottom w:val="0"/>
          <w:divBdr>
            <w:top w:val="none" w:sz="0" w:space="0" w:color="auto"/>
            <w:left w:val="none" w:sz="0" w:space="0" w:color="auto"/>
            <w:bottom w:val="none" w:sz="0" w:space="0" w:color="auto"/>
            <w:right w:val="none" w:sz="0" w:space="0" w:color="auto"/>
          </w:divBdr>
        </w:div>
        <w:div w:id="1880387404">
          <w:marLeft w:val="0"/>
          <w:marRight w:val="0"/>
          <w:marTop w:val="0"/>
          <w:marBottom w:val="0"/>
          <w:divBdr>
            <w:top w:val="none" w:sz="0" w:space="0" w:color="auto"/>
            <w:left w:val="none" w:sz="0" w:space="0" w:color="auto"/>
            <w:bottom w:val="none" w:sz="0" w:space="0" w:color="auto"/>
            <w:right w:val="none" w:sz="0" w:space="0" w:color="auto"/>
          </w:divBdr>
        </w:div>
      </w:divsChild>
    </w:div>
    <w:div w:id="2001153172">
      <w:bodyDiv w:val="1"/>
      <w:marLeft w:val="0"/>
      <w:marRight w:val="0"/>
      <w:marTop w:val="0"/>
      <w:marBottom w:val="0"/>
      <w:divBdr>
        <w:top w:val="none" w:sz="0" w:space="0" w:color="auto"/>
        <w:left w:val="none" w:sz="0" w:space="0" w:color="auto"/>
        <w:bottom w:val="none" w:sz="0" w:space="0" w:color="auto"/>
        <w:right w:val="none" w:sz="0" w:space="0" w:color="auto"/>
      </w:divBdr>
      <w:divsChild>
        <w:div w:id="180903315">
          <w:marLeft w:val="0"/>
          <w:marRight w:val="0"/>
          <w:marTop w:val="0"/>
          <w:marBottom w:val="0"/>
          <w:divBdr>
            <w:top w:val="none" w:sz="0" w:space="0" w:color="auto"/>
            <w:left w:val="none" w:sz="0" w:space="0" w:color="auto"/>
            <w:bottom w:val="none" w:sz="0" w:space="0" w:color="auto"/>
            <w:right w:val="none" w:sz="0" w:space="0" w:color="auto"/>
          </w:divBdr>
        </w:div>
        <w:div w:id="749815783">
          <w:marLeft w:val="0"/>
          <w:marRight w:val="0"/>
          <w:marTop w:val="0"/>
          <w:marBottom w:val="0"/>
          <w:divBdr>
            <w:top w:val="none" w:sz="0" w:space="0" w:color="auto"/>
            <w:left w:val="none" w:sz="0" w:space="0" w:color="auto"/>
            <w:bottom w:val="none" w:sz="0" w:space="0" w:color="auto"/>
            <w:right w:val="none" w:sz="0" w:space="0" w:color="auto"/>
          </w:divBdr>
        </w:div>
        <w:div w:id="1295259922">
          <w:marLeft w:val="0"/>
          <w:marRight w:val="0"/>
          <w:marTop w:val="0"/>
          <w:marBottom w:val="0"/>
          <w:divBdr>
            <w:top w:val="none" w:sz="0" w:space="0" w:color="auto"/>
            <w:left w:val="none" w:sz="0" w:space="0" w:color="auto"/>
            <w:bottom w:val="none" w:sz="0" w:space="0" w:color="auto"/>
            <w:right w:val="none" w:sz="0" w:space="0" w:color="auto"/>
          </w:divBdr>
        </w:div>
        <w:div w:id="1756630622">
          <w:marLeft w:val="0"/>
          <w:marRight w:val="0"/>
          <w:marTop w:val="0"/>
          <w:marBottom w:val="0"/>
          <w:divBdr>
            <w:top w:val="none" w:sz="0" w:space="0" w:color="auto"/>
            <w:left w:val="none" w:sz="0" w:space="0" w:color="auto"/>
            <w:bottom w:val="none" w:sz="0" w:space="0" w:color="auto"/>
            <w:right w:val="none" w:sz="0" w:space="0" w:color="auto"/>
          </w:divBdr>
        </w:div>
      </w:divsChild>
    </w:div>
    <w:div w:id="2063140155">
      <w:bodyDiv w:val="1"/>
      <w:marLeft w:val="0"/>
      <w:marRight w:val="0"/>
      <w:marTop w:val="0"/>
      <w:marBottom w:val="0"/>
      <w:divBdr>
        <w:top w:val="none" w:sz="0" w:space="0" w:color="auto"/>
        <w:left w:val="none" w:sz="0" w:space="0" w:color="auto"/>
        <w:bottom w:val="none" w:sz="0" w:space="0" w:color="auto"/>
        <w:right w:val="none" w:sz="0" w:space="0" w:color="auto"/>
      </w:divBdr>
    </w:div>
    <w:div w:id="2125922794">
      <w:bodyDiv w:val="1"/>
      <w:marLeft w:val="0"/>
      <w:marRight w:val="0"/>
      <w:marTop w:val="0"/>
      <w:marBottom w:val="0"/>
      <w:divBdr>
        <w:top w:val="none" w:sz="0" w:space="0" w:color="auto"/>
        <w:left w:val="none" w:sz="0" w:space="0" w:color="auto"/>
        <w:bottom w:val="none" w:sz="0" w:space="0" w:color="auto"/>
        <w:right w:val="none" w:sz="0" w:space="0" w:color="auto"/>
      </w:divBdr>
      <w:divsChild>
        <w:div w:id="701052048">
          <w:marLeft w:val="0"/>
          <w:marRight w:val="0"/>
          <w:marTop w:val="0"/>
          <w:marBottom w:val="0"/>
          <w:divBdr>
            <w:top w:val="none" w:sz="0" w:space="0" w:color="auto"/>
            <w:left w:val="none" w:sz="0" w:space="0" w:color="auto"/>
            <w:bottom w:val="none" w:sz="0" w:space="0" w:color="auto"/>
            <w:right w:val="none" w:sz="0" w:space="0" w:color="auto"/>
          </w:divBdr>
          <w:divsChild>
            <w:div w:id="1092358289">
              <w:marLeft w:val="0"/>
              <w:marRight w:val="0"/>
              <w:marTop w:val="0"/>
              <w:marBottom w:val="0"/>
              <w:divBdr>
                <w:top w:val="none" w:sz="0" w:space="0" w:color="auto"/>
                <w:left w:val="none" w:sz="0" w:space="0" w:color="auto"/>
                <w:bottom w:val="none" w:sz="0" w:space="0" w:color="auto"/>
                <w:right w:val="none" w:sz="0" w:space="0" w:color="auto"/>
              </w:divBdr>
            </w:div>
          </w:divsChild>
        </w:div>
        <w:div w:id="1416319037">
          <w:marLeft w:val="0"/>
          <w:marRight w:val="0"/>
          <w:marTop w:val="0"/>
          <w:marBottom w:val="0"/>
          <w:divBdr>
            <w:top w:val="none" w:sz="0" w:space="0" w:color="auto"/>
            <w:left w:val="none" w:sz="0" w:space="0" w:color="auto"/>
            <w:bottom w:val="none" w:sz="0" w:space="0" w:color="auto"/>
            <w:right w:val="none" w:sz="0" w:space="0" w:color="auto"/>
          </w:divBdr>
          <w:divsChild>
            <w:div w:id="382103761">
              <w:marLeft w:val="0"/>
              <w:marRight w:val="0"/>
              <w:marTop w:val="0"/>
              <w:marBottom w:val="0"/>
              <w:divBdr>
                <w:top w:val="none" w:sz="0" w:space="0" w:color="auto"/>
                <w:left w:val="none" w:sz="0" w:space="0" w:color="auto"/>
                <w:bottom w:val="none" w:sz="0" w:space="0" w:color="auto"/>
                <w:right w:val="none" w:sz="0" w:space="0" w:color="auto"/>
              </w:divBdr>
            </w:div>
            <w:div w:id="736589694">
              <w:marLeft w:val="0"/>
              <w:marRight w:val="0"/>
              <w:marTop w:val="0"/>
              <w:marBottom w:val="0"/>
              <w:divBdr>
                <w:top w:val="none" w:sz="0" w:space="0" w:color="auto"/>
                <w:left w:val="none" w:sz="0" w:space="0" w:color="auto"/>
                <w:bottom w:val="none" w:sz="0" w:space="0" w:color="auto"/>
                <w:right w:val="none" w:sz="0" w:space="0" w:color="auto"/>
              </w:divBdr>
            </w:div>
            <w:div w:id="1446267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6E4513-16CC-4010-B2F7-97A8D3FCAC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5450</Words>
  <Characters>32704</Characters>
  <Application>Microsoft Office Word</Application>
  <DocSecurity>0</DocSecurity>
  <Lines>272</Lines>
  <Paragraphs>76</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38078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Małgorzata Bednarek</dc:creator>
  <cp:lastModifiedBy>Kołakowska Iwona</cp:lastModifiedBy>
  <cp:revision>3</cp:revision>
  <cp:lastPrinted>2021-09-28T10:14:00Z</cp:lastPrinted>
  <dcterms:created xsi:type="dcterms:W3CDTF">2022-04-22T12:39:00Z</dcterms:created>
  <dcterms:modified xsi:type="dcterms:W3CDTF">2022-04-22T12:40:00Z</dcterms:modified>
</cp:coreProperties>
</file>