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E180B8" w14:textId="77777777" w:rsidR="0058575F" w:rsidRPr="008B0B87" w:rsidRDefault="0058575F" w:rsidP="008B0B87">
      <w:pPr>
        <w:keepNext/>
        <w:spacing w:before="120" w:after="0" w:line="360" w:lineRule="auto"/>
        <w:jc w:val="center"/>
        <w:rPr>
          <w:rFonts w:ascii="Times New Roman" w:hAnsi="Times New Roman"/>
          <w:b/>
          <w:sz w:val="24"/>
          <w:szCs w:val="24"/>
        </w:rPr>
      </w:pPr>
      <w:r w:rsidRPr="008B0B87">
        <w:rPr>
          <w:rStyle w:val="Pogrubienie"/>
          <w:rFonts w:ascii="Times New Roman" w:hAnsi="Times New Roman"/>
          <w:b w:val="0"/>
          <w:sz w:val="24"/>
          <w:szCs w:val="24"/>
        </w:rPr>
        <w:t>UZASADNIENIE</w:t>
      </w:r>
    </w:p>
    <w:p w14:paraId="7513FC31" w14:textId="77777777" w:rsidR="0058575F" w:rsidRPr="008B0B87" w:rsidRDefault="0058575F" w:rsidP="008B0B87">
      <w:pPr>
        <w:spacing w:before="120" w:after="0" w:line="360" w:lineRule="auto"/>
        <w:jc w:val="both"/>
        <w:rPr>
          <w:rFonts w:ascii="Times New Roman" w:hAnsi="Times New Roman"/>
          <w:bCs/>
          <w:sz w:val="24"/>
          <w:szCs w:val="24"/>
        </w:rPr>
      </w:pPr>
      <w:r w:rsidRPr="008B0B87">
        <w:rPr>
          <w:rFonts w:ascii="Times New Roman" w:hAnsi="Times New Roman"/>
          <w:bCs/>
          <w:sz w:val="24"/>
          <w:szCs w:val="24"/>
        </w:rPr>
        <w:t>Projekt ustawy przewiduje wprowadzenie zmian w:</w:t>
      </w:r>
    </w:p>
    <w:p w14:paraId="1ABECC7A" w14:textId="460E551F" w:rsidR="0058575F" w:rsidRPr="008B0B87" w:rsidRDefault="0058575F" w:rsidP="008B0B87">
      <w:pPr>
        <w:pStyle w:val="Akapitzlist"/>
        <w:numPr>
          <w:ilvl w:val="0"/>
          <w:numId w:val="1"/>
        </w:numPr>
        <w:spacing w:after="0" w:line="360" w:lineRule="auto"/>
        <w:ind w:left="336" w:hanging="336"/>
        <w:contextualSpacing w:val="0"/>
        <w:jc w:val="both"/>
        <w:rPr>
          <w:rFonts w:ascii="Times New Roman" w:hAnsi="Times New Roman"/>
          <w:bCs/>
          <w:sz w:val="24"/>
          <w:szCs w:val="24"/>
        </w:rPr>
      </w:pPr>
      <w:r w:rsidRPr="008B0B87">
        <w:rPr>
          <w:rFonts w:ascii="Times New Roman" w:hAnsi="Times New Roman"/>
          <w:bCs/>
          <w:sz w:val="24"/>
          <w:szCs w:val="24"/>
        </w:rPr>
        <w:t>ustawie z dnia 18 grudnia 2003 r. o krajowym systemie ewidencji producentów, ewidencji gospodarstw rolnych oraz ewidencji wnios</w:t>
      </w:r>
      <w:r w:rsidR="00D37E1A">
        <w:rPr>
          <w:rFonts w:ascii="Times New Roman" w:hAnsi="Times New Roman"/>
          <w:bCs/>
          <w:sz w:val="24"/>
          <w:szCs w:val="24"/>
        </w:rPr>
        <w:t>ków o przyznanie płatności (Dz. </w:t>
      </w:r>
      <w:r w:rsidRPr="008B0B87">
        <w:rPr>
          <w:rFonts w:ascii="Times New Roman" w:hAnsi="Times New Roman"/>
          <w:bCs/>
          <w:sz w:val="24"/>
          <w:szCs w:val="24"/>
        </w:rPr>
        <w:t xml:space="preserve">U. z 2022 r. poz. 203, z </w:t>
      </w:r>
      <w:proofErr w:type="spellStart"/>
      <w:r w:rsidRPr="008B0B87">
        <w:rPr>
          <w:rFonts w:ascii="Times New Roman" w:hAnsi="Times New Roman"/>
          <w:bCs/>
          <w:sz w:val="24"/>
          <w:szCs w:val="24"/>
        </w:rPr>
        <w:t>późn</w:t>
      </w:r>
      <w:proofErr w:type="spellEnd"/>
      <w:r w:rsidRPr="008B0B87">
        <w:rPr>
          <w:rFonts w:ascii="Times New Roman" w:hAnsi="Times New Roman"/>
          <w:bCs/>
          <w:sz w:val="24"/>
          <w:szCs w:val="24"/>
        </w:rPr>
        <w:t>. zm.), zwanej dalej „ustawą o KSEP”;</w:t>
      </w:r>
    </w:p>
    <w:p w14:paraId="24B734B8" w14:textId="559EF0BC" w:rsidR="0058575F" w:rsidRPr="008B0B87" w:rsidRDefault="0058575F" w:rsidP="008B0B87">
      <w:pPr>
        <w:pStyle w:val="Akapitzlist"/>
        <w:numPr>
          <w:ilvl w:val="0"/>
          <w:numId w:val="1"/>
        </w:numPr>
        <w:spacing w:after="0" w:line="360" w:lineRule="auto"/>
        <w:ind w:left="336" w:hanging="336"/>
        <w:contextualSpacing w:val="0"/>
        <w:jc w:val="both"/>
        <w:rPr>
          <w:rFonts w:ascii="Times New Roman" w:hAnsi="Times New Roman"/>
          <w:bCs/>
          <w:sz w:val="24"/>
          <w:szCs w:val="24"/>
        </w:rPr>
      </w:pPr>
      <w:r w:rsidRPr="008B0B87">
        <w:rPr>
          <w:rFonts w:ascii="Times New Roman" w:hAnsi="Times New Roman"/>
          <w:bCs/>
          <w:sz w:val="24"/>
          <w:szCs w:val="24"/>
        </w:rPr>
        <w:t>ustawie z dnia 28 listopada 2003 r. o wspieraniu rozwoju obszarów wiejskich ze środków pochodzących z Sekcji Gwarancji Euro</w:t>
      </w:r>
      <w:r w:rsidR="00F3216B">
        <w:rPr>
          <w:rFonts w:ascii="Times New Roman" w:hAnsi="Times New Roman"/>
          <w:bCs/>
          <w:sz w:val="24"/>
          <w:szCs w:val="24"/>
        </w:rPr>
        <w:t>pejskiego Funduszu Orientacji i </w:t>
      </w:r>
      <w:r w:rsidRPr="008B0B87">
        <w:rPr>
          <w:rFonts w:ascii="Times New Roman" w:hAnsi="Times New Roman"/>
          <w:bCs/>
          <w:sz w:val="24"/>
          <w:szCs w:val="24"/>
        </w:rPr>
        <w:t>Gwarancji Rolnej (Dz. U. z 2017 r. poz. 1867);</w:t>
      </w:r>
    </w:p>
    <w:p w14:paraId="236E4CDD" w14:textId="45F506AF" w:rsidR="0058575F" w:rsidRPr="008B0B87" w:rsidRDefault="0058575F" w:rsidP="008B0B87">
      <w:pPr>
        <w:pStyle w:val="Akapitzlist"/>
        <w:numPr>
          <w:ilvl w:val="0"/>
          <w:numId w:val="1"/>
        </w:numPr>
        <w:spacing w:after="0" w:line="360" w:lineRule="auto"/>
        <w:ind w:left="336" w:hanging="336"/>
        <w:contextualSpacing w:val="0"/>
        <w:jc w:val="both"/>
        <w:rPr>
          <w:rFonts w:ascii="Times New Roman" w:hAnsi="Times New Roman"/>
          <w:bCs/>
          <w:sz w:val="24"/>
          <w:szCs w:val="24"/>
        </w:rPr>
      </w:pPr>
      <w:r w:rsidRPr="008B0B87">
        <w:rPr>
          <w:rFonts w:ascii="Times New Roman" w:hAnsi="Times New Roman"/>
          <w:bCs/>
          <w:sz w:val="24"/>
          <w:szCs w:val="24"/>
        </w:rPr>
        <w:t>ustawie z dnia 7 marca 2007 r. o wspieraniu rozwoju obszarów wiejskich z udziałem środków Europejskiego Funduszu Rolnego na rzecz Rozwoju Obszarów Wiejskich w ramach Programu Rozwoju Obszarów Wiejskich n</w:t>
      </w:r>
      <w:r w:rsidR="00D37E1A">
        <w:rPr>
          <w:rFonts w:ascii="Times New Roman" w:hAnsi="Times New Roman"/>
          <w:bCs/>
          <w:sz w:val="24"/>
          <w:szCs w:val="24"/>
        </w:rPr>
        <w:t>a lata 2007–2013 (Dz. U. z 2022 </w:t>
      </w:r>
      <w:r w:rsidRPr="008B0B87">
        <w:rPr>
          <w:rFonts w:ascii="Times New Roman" w:hAnsi="Times New Roman"/>
          <w:bCs/>
          <w:sz w:val="24"/>
          <w:szCs w:val="24"/>
        </w:rPr>
        <w:t>r. poz. 387);</w:t>
      </w:r>
    </w:p>
    <w:p w14:paraId="598781D7" w14:textId="77777777" w:rsidR="0058575F" w:rsidRPr="008B0B87" w:rsidRDefault="0058575F" w:rsidP="008B0B87">
      <w:pPr>
        <w:pStyle w:val="Akapitzlist"/>
        <w:numPr>
          <w:ilvl w:val="0"/>
          <w:numId w:val="1"/>
        </w:numPr>
        <w:spacing w:after="0" w:line="360" w:lineRule="auto"/>
        <w:ind w:left="336" w:hanging="336"/>
        <w:contextualSpacing w:val="0"/>
        <w:jc w:val="both"/>
        <w:rPr>
          <w:rFonts w:ascii="Times New Roman" w:hAnsi="Times New Roman"/>
          <w:bCs/>
          <w:sz w:val="24"/>
          <w:szCs w:val="24"/>
        </w:rPr>
      </w:pPr>
      <w:r w:rsidRPr="008B0B87">
        <w:rPr>
          <w:rFonts w:ascii="Times New Roman" w:hAnsi="Times New Roman"/>
          <w:bCs/>
          <w:sz w:val="24"/>
          <w:szCs w:val="24"/>
        </w:rPr>
        <w:t xml:space="preserve">ustawie z dnia 5 lutego 2015 r. o płatnościach w ramach systemów wsparcia bezpośredniego (Dz. U. z 2021 r. poz. 2114, z </w:t>
      </w:r>
      <w:proofErr w:type="spellStart"/>
      <w:r w:rsidRPr="008B0B87">
        <w:rPr>
          <w:rFonts w:ascii="Times New Roman" w:hAnsi="Times New Roman"/>
          <w:bCs/>
          <w:sz w:val="24"/>
          <w:szCs w:val="24"/>
        </w:rPr>
        <w:t>późn</w:t>
      </w:r>
      <w:proofErr w:type="spellEnd"/>
      <w:r w:rsidRPr="008B0B87">
        <w:rPr>
          <w:rFonts w:ascii="Times New Roman" w:hAnsi="Times New Roman"/>
          <w:bCs/>
          <w:sz w:val="24"/>
          <w:szCs w:val="24"/>
        </w:rPr>
        <w:t>. zm.);</w:t>
      </w:r>
    </w:p>
    <w:p w14:paraId="3E8D00DA" w14:textId="7FEC68D2" w:rsidR="0058575F" w:rsidRPr="008B0B87" w:rsidRDefault="0058575F" w:rsidP="008B0B87">
      <w:pPr>
        <w:pStyle w:val="Akapitzlist"/>
        <w:numPr>
          <w:ilvl w:val="0"/>
          <w:numId w:val="1"/>
        </w:numPr>
        <w:spacing w:after="0" w:line="360" w:lineRule="auto"/>
        <w:ind w:left="336" w:hanging="336"/>
        <w:contextualSpacing w:val="0"/>
        <w:jc w:val="both"/>
        <w:rPr>
          <w:rFonts w:ascii="Times New Roman" w:hAnsi="Times New Roman"/>
          <w:bCs/>
          <w:sz w:val="24"/>
          <w:szCs w:val="24"/>
        </w:rPr>
      </w:pPr>
      <w:r w:rsidRPr="008B0B87">
        <w:rPr>
          <w:rFonts w:ascii="Times New Roman" w:hAnsi="Times New Roman"/>
          <w:bCs/>
          <w:sz w:val="24"/>
          <w:szCs w:val="24"/>
        </w:rPr>
        <w:t>ustawie z dnia 20 lutego 2015 r. o wspieraniu rozwoju obszarów wiejskich z udziałem środków Europejskiego Funduszu Rolnego na rzecz Rozwoju Obszarów Wiejskich w ramach Programu Rozwoju Obszarów Wiejskich n</w:t>
      </w:r>
      <w:r w:rsidR="00D37E1A">
        <w:rPr>
          <w:rFonts w:ascii="Times New Roman" w:hAnsi="Times New Roman"/>
          <w:bCs/>
          <w:sz w:val="24"/>
          <w:szCs w:val="24"/>
        </w:rPr>
        <w:t>a lata 2014–2020 (Dz. U. z 2021 </w:t>
      </w:r>
      <w:r w:rsidRPr="008B0B87">
        <w:rPr>
          <w:rFonts w:ascii="Times New Roman" w:hAnsi="Times New Roman"/>
          <w:bCs/>
          <w:sz w:val="24"/>
          <w:szCs w:val="24"/>
        </w:rPr>
        <w:t xml:space="preserve">r. poz. 2137, z </w:t>
      </w:r>
      <w:proofErr w:type="spellStart"/>
      <w:r w:rsidRPr="008B0B87">
        <w:rPr>
          <w:rFonts w:ascii="Times New Roman" w:hAnsi="Times New Roman"/>
          <w:bCs/>
          <w:sz w:val="24"/>
          <w:szCs w:val="24"/>
        </w:rPr>
        <w:t>późn</w:t>
      </w:r>
      <w:proofErr w:type="spellEnd"/>
      <w:r w:rsidRPr="008B0B87">
        <w:rPr>
          <w:rFonts w:ascii="Times New Roman" w:hAnsi="Times New Roman"/>
          <w:bCs/>
          <w:sz w:val="24"/>
          <w:szCs w:val="24"/>
        </w:rPr>
        <w:t>. zm.), zwanej dalej „ustawą PROW 2014–2020”.</w:t>
      </w:r>
    </w:p>
    <w:p w14:paraId="42668CAD" w14:textId="32EE9AFC" w:rsidR="0058575F" w:rsidRPr="008B0B87" w:rsidRDefault="0058575F" w:rsidP="008B0B87">
      <w:pPr>
        <w:pStyle w:val="USTustnpkodeksu"/>
        <w:spacing w:before="120"/>
        <w:ind w:firstLine="0"/>
        <w:rPr>
          <w:rFonts w:ascii="Times New Roman" w:hAnsi="Times New Roman" w:cs="Times New Roman"/>
          <w:sz w:val="24"/>
          <w:szCs w:val="24"/>
        </w:rPr>
      </w:pPr>
      <w:r w:rsidRPr="008B0B87">
        <w:rPr>
          <w:rFonts w:ascii="Times New Roman" w:hAnsi="Times New Roman" w:cs="Times New Roman"/>
          <w:sz w:val="24"/>
          <w:szCs w:val="24"/>
        </w:rPr>
        <w:t>W art. 1 pkt 1 projektowanej ustawy zaproponowano uzupełnienie art. 11 zmienianej ustawy o KSEP przez dodanie regulacji zapewniając</w:t>
      </w:r>
      <w:r w:rsidR="00D37E1A">
        <w:rPr>
          <w:rFonts w:ascii="Times New Roman" w:hAnsi="Times New Roman" w:cs="Times New Roman"/>
          <w:sz w:val="24"/>
          <w:szCs w:val="24"/>
        </w:rPr>
        <w:t>ej możliwość złożenia wniosku o </w:t>
      </w:r>
      <w:r w:rsidRPr="008B0B87">
        <w:rPr>
          <w:rFonts w:ascii="Times New Roman" w:hAnsi="Times New Roman" w:cs="Times New Roman"/>
          <w:sz w:val="24"/>
          <w:szCs w:val="24"/>
        </w:rPr>
        <w:t>wpis do ewidencji producentów za pomocą elektronicznego formularza udostępnionego na stronie internetowej Agencji Restrukturyzacji i Modernizacji Rolnictwa (</w:t>
      </w:r>
      <w:r w:rsidR="00C16594">
        <w:rPr>
          <w:rFonts w:ascii="Times New Roman" w:hAnsi="Times New Roman" w:cs="Times New Roman"/>
          <w:sz w:val="24"/>
          <w:szCs w:val="24"/>
        </w:rPr>
        <w:t>dalej: „</w:t>
      </w:r>
      <w:r w:rsidRPr="008B0B87">
        <w:rPr>
          <w:rFonts w:ascii="Times New Roman" w:hAnsi="Times New Roman" w:cs="Times New Roman"/>
          <w:sz w:val="24"/>
          <w:szCs w:val="24"/>
        </w:rPr>
        <w:t>ARiMR</w:t>
      </w:r>
      <w:r w:rsidR="00C16594">
        <w:rPr>
          <w:rFonts w:ascii="Times New Roman" w:hAnsi="Times New Roman" w:cs="Times New Roman"/>
          <w:sz w:val="24"/>
          <w:szCs w:val="24"/>
        </w:rPr>
        <w:t>”</w:t>
      </w:r>
      <w:r w:rsidRPr="008B0B87">
        <w:rPr>
          <w:rFonts w:ascii="Times New Roman" w:hAnsi="Times New Roman" w:cs="Times New Roman"/>
          <w:sz w:val="24"/>
          <w:szCs w:val="24"/>
        </w:rPr>
        <w:t xml:space="preserve">). </w:t>
      </w:r>
    </w:p>
    <w:p w14:paraId="732FAEBF" w14:textId="34B905CE" w:rsidR="0058575F" w:rsidRPr="008B0B87" w:rsidRDefault="0058575F" w:rsidP="008B0B87">
      <w:pPr>
        <w:pStyle w:val="USTustnpkodeksu"/>
        <w:spacing w:before="120"/>
        <w:ind w:firstLine="0"/>
        <w:rPr>
          <w:rFonts w:ascii="Times New Roman" w:hAnsi="Times New Roman" w:cs="Times New Roman"/>
          <w:sz w:val="24"/>
          <w:szCs w:val="24"/>
        </w:rPr>
      </w:pPr>
      <w:r w:rsidRPr="008B0B87">
        <w:rPr>
          <w:rFonts w:ascii="Times New Roman" w:hAnsi="Times New Roman" w:cs="Times New Roman"/>
          <w:sz w:val="24"/>
          <w:szCs w:val="24"/>
        </w:rPr>
        <w:t>Zgodnie z art. 11 ust. 1 zmienianej ustawy o KSEP wpisu producenta do ewidencji producentów dokonuje się w drodze decyzji administracyjnej, na jego wniosek złożony do kierownika biura powiatowego ARiMR</w:t>
      </w:r>
      <w:r w:rsidRPr="008B0B87" w:rsidDel="0043020D">
        <w:rPr>
          <w:rFonts w:ascii="Times New Roman" w:hAnsi="Times New Roman" w:cs="Times New Roman"/>
          <w:sz w:val="24"/>
          <w:szCs w:val="24"/>
        </w:rPr>
        <w:t xml:space="preserve"> </w:t>
      </w:r>
      <w:r w:rsidRPr="008B0B87">
        <w:rPr>
          <w:rFonts w:ascii="Times New Roman" w:hAnsi="Times New Roman" w:cs="Times New Roman"/>
          <w:sz w:val="24"/>
          <w:szCs w:val="24"/>
        </w:rPr>
        <w:t>właściwego miejscowo, na formularzu opracowanym i udostępnionym przez ARiMR. Obecn</w:t>
      </w:r>
      <w:r w:rsidR="00D37E1A">
        <w:rPr>
          <w:rFonts w:ascii="Times New Roman" w:hAnsi="Times New Roman" w:cs="Times New Roman"/>
          <w:sz w:val="24"/>
          <w:szCs w:val="24"/>
        </w:rPr>
        <w:t>ie wniosek składa się jedynie w </w:t>
      </w:r>
      <w:r w:rsidRPr="008B0B87">
        <w:rPr>
          <w:rFonts w:ascii="Times New Roman" w:hAnsi="Times New Roman" w:cs="Times New Roman"/>
          <w:sz w:val="24"/>
          <w:szCs w:val="24"/>
        </w:rPr>
        <w:t>wersji papierowej.</w:t>
      </w:r>
    </w:p>
    <w:p w14:paraId="074FD6CB" w14:textId="58B0F720" w:rsidR="0058575F" w:rsidRPr="008B0B87" w:rsidRDefault="0058575F" w:rsidP="008B0B87">
      <w:pPr>
        <w:pStyle w:val="USTustnpkodeksu"/>
        <w:spacing w:before="120"/>
        <w:ind w:firstLine="0"/>
        <w:rPr>
          <w:rFonts w:ascii="Times New Roman" w:hAnsi="Times New Roman" w:cs="Times New Roman"/>
          <w:sz w:val="24"/>
          <w:szCs w:val="24"/>
        </w:rPr>
      </w:pPr>
      <w:r w:rsidRPr="008B0B87">
        <w:rPr>
          <w:rFonts w:ascii="Times New Roman" w:hAnsi="Times New Roman" w:cs="Times New Roman"/>
          <w:sz w:val="24"/>
          <w:szCs w:val="24"/>
        </w:rPr>
        <w:t xml:space="preserve">Producentem, zgodnie z art. 3 pkt 2 zmienianej ustawy o KSEP, jest producent rolny, beneficjent programów rybackich, posiadacz zwierzęcia, organizacja producentów, podmiot prowadzący zakład utylizacyjny oraz potencjalny beneficjent. Producentem rolnym, zgodnie z art. 3 pkt 3 zmienianej ustawy o KSEP, jest osoba fizyczna, osoba prawna lub jednostka organizacyjna nieposiadająca osobowości prawnej będąca </w:t>
      </w:r>
      <w:r w:rsidRPr="008B0B87">
        <w:rPr>
          <w:rFonts w:ascii="Times New Roman" w:hAnsi="Times New Roman" w:cs="Times New Roman"/>
          <w:sz w:val="24"/>
          <w:szCs w:val="24"/>
        </w:rPr>
        <w:lastRenderedPageBreak/>
        <w:t>rolnikiem w rozumieniu art. 4 ust. 1 lit. a rozporządzenia Parlamentu Europejskiego i Rady (UE) nr</w:t>
      </w:r>
      <w:r>
        <w:rPr>
          <w:rFonts w:ascii="Times New Roman" w:hAnsi="Times New Roman" w:cs="Times New Roman"/>
          <w:sz w:val="24"/>
          <w:szCs w:val="24"/>
        </w:rPr>
        <w:t xml:space="preserve"> </w:t>
      </w:r>
      <w:r w:rsidRPr="008B0B87">
        <w:rPr>
          <w:rFonts w:ascii="Times New Roman" w:hAnsi="Times New Roman" w:cs="Times New Roman"/>
          <w:sz w:val="24"/>
          <w:szCs w:val="24"/>
        </w:rPr>
        <w:t>1307/2013 z</w:t>
      </w:r>
      <w:r>
        <w:rPr>
          <w:rFonts w:ascii="Times New Roman" w:hAnsi="Times New Roman" w:cs="Times New Roman"/>
          <w:sz w:val="24"/>
          <w:szCs w:val="24"/>
        </w:rPr>
        <w:t xml:space="preserve"> </w:t>
      </w:r>
      <w:r w:rsidRPr="008B0B87">
        <w:rPr>
          <w:rFonts w:ascii="Times New Roman" w:hAnsi="Times New Roman" w:cs="Times New Roman"/>
          <w:sz w:val="24"/>
          <w:szCs w:val="24"/>
        </w:rPr>
        <w:t>dnia 17</w:t>
      </w:r>
      <w:r>
        <w:rPr>
          <w:rFonts w:ascii="Times New Roman" w:hAnsi="Times New Roman" w:cs="Times New Roman"/>
          <w:sz w:val="24"/>
          <w:szCs w:val="24"/>
        </w:rPr>
        <w:t xml:space="preserve"> </w:t>
      </w:r>
      <w:r w:rsidRPr="008B0B87">
        <w:rPr>
          <w:rFonts w:ascii="Times New Roman" w:hAnsi="Times New Roman" w:cs="Times New Roman"/>
          <w:sz w:val="24"/>
          <w:szCs w:val="24"/>
        </w:rPr>
        <w:t>grudnia 2013</w:t>
      </w:r>
      <w:r>
        <w:rPr>
          <w:rFonts w:ascii="Times New Roman" w:hAnsi="Times New Roman" w:cs="Times New Roman"/>
          <w:sz w:val="24"/>
          <w:szCs w:val="24"/>
        </w:rPr>
        <w:t xml:space="preserve"> </w:t>
      </w:r>
      <w:r w:rsidRPr="008B0B87">
        <w:rPr>
          <w:rFonts w:ascii="Times New Roman" w:hAnsi="Times New Roman" w:cs="Times New Roman"/>
          <w:sz w:val="24"/>
          <w:szCs w:val="24"/>
        </w:rPr>
        <w:t>r. ustanawiającego przepisy dotyczące płatności bezpośrednich dla rolników na podstawie systemów wsparcia w</w:t>
      </w:r>
      <w:r>
        <w:rPr>
          <w:rFonts w:ascii="Times New Roman" w:hAnsi="Times New Roman" w:cs="Times New Roman"/>
          <w:sz w:val="24"/>
          <w:szCs w:val="24"/>
        </w:rPr>
        <w:t xml:space="preserve"> </w:t>
      </w:r>
      <w:r w:rsidRPr="008B0B87">
        <w:rPr>
          <w:rFonts w:ascii="Times New Roman" w:hAnsi="Times New Roman" w:cs="Times New Roman"/>
          <w:sz w:val="24"/>
          <w:szCs w:val="24"/>
        </w:rPr>
        <w:t>ramach wspólnej polityki rolnej oraz uchylającego rozporządzenie Rady (WE) nr</w:t>
      </w:r>
      <w:r>
        <w:rPr>
          <w:rFonts w:ascii="Times New Roman" w:hAnsi="Times New Roman" w:cs="Times New Roman"/>
          <w:sz w:val="24"/>
          <w:szCs w:val="24"/>
        </w:rPr>
        <w:t xml:space="preserve"> </w:t>
      </w:r>
      <w:r w:rsidRPr="008B0B87">
        <w:rPr>
          <w:rFonts w:ascii="Times New Roman" w:hAnsi="Times New Roman" w:cs="Times New Roman"/>
          <w:sz w:val="24"/>
          <w:szCs w:val="24"/>
        </w:rPr>
        <w:t>637/2008 i rozporządzenie Rady (WE) nr</w:t>
      </w:r>
      <w:r>
        <w:rPr>
          <w:rFonts w:ascii="Times New Roman" w:hAnsi="Times New Roman" w:cs="Times New Roman"/>
          <w:sz w:val="24"/>
          <w:szCs w:val="24"/>
        </w:rPr>
        <w:t xml:space="preserve"> </w:t>
      </w:r>
      <w:r w:rsidRPr="008B0B87">
        <w:rPr>
          <w:rFonts w:ascii="Times New Roman" w:hAnsi="Times New Roman" w:cs="Times New Roman"/>
          <w:sz w:val="24"/>
          <w:szCs w:val="24"/>
        </w:rPr>
        <w:t xml:space="preserve">73/2009 (Dz. Urz. UE </w:t>
      </w:r>
      <w:r w:rsidR="00D37E1A">
        <w:rPr>
          <w:rFonts w:ascii="Times New Roman" w:hAnsi="Times New Roman" w:cs="Times New Roman"/>
          <w:sz w:val="24"/>
          <w:szCs w:val="24"/>
        </w:rPr>
        <w:t>L 347 z 20.12.2013, str. 608, z </w:t>
      </w:r>
      <w:proofErr w:type="spellStart"/>
      <w:r w:rsidRPr="008B0B87">
        <w:rPr>
          <w:rFonts w:ascii="Times New Roman" w:hAnsi="Times New Roman" w:cs="Times New Roman"/>
          <w:sz w:val="24"/>
          <w:szCs w:val="24"/>
        </w:rPr>
        <w:t>późn</w:t>
      </w:r>
      <w:proofErr w:type="spellEnd"/>
      <w:r w:rsidRPr="008B0B87">
        <w:rPr>
          <w:rFonts w:ascii="Times New Roman" w:hAnsi="Times New Roman" w:cs="Times New Roman"/>
          <w:sz w:val="24"/>
          <w:szCs w:val="24"/>
        </w:rPr>
        <w:t xml:space="preserve">. zm.). </w:t>
      </w:r>
    </w:p>
    <w:p w14:paraId="1CEFD189" w14:textId="75503B25" w:rsidR="0058575F" w:rsidRPr="008B0B87" w:rsidRDefault="0058575F" w:rsidP="008B0B87">
      <w:pPr>
        <w:pStyle w:val="USTustnpkodeksu"/>
        <w:spacing w:before="120"/>
        <w:ind w:firstLine="0"/>
        <w:rPr>
          <w:rFonts w:ascii="Times New Roman" w:hAnsi="Times New Roman" w:cs="Times New Roman"/>
          <w:sz w:val="24"/>
          <w:szCs w:val="24"/>
        </w:rPr>
      </w:pPr>
      <w:r w:rsidRPr="008B0B87">
        <w:rPr>
          <w:rFonts w:ascii="Times New Roman" w:hAnsi="Times New Roman" w:cs="Times New Roman"/>
          <w:sz w:val="24"/>
          <w:szCs w:val="24"/>
        </w:rPr>
        <w:t>W związku z coraz bardziej powszechnym wykorzyst</w:t>
      </w:r>
      <w:r w:rsidR="00D37E1A">
        <w:rPr>
          <w:rFonts w:ascii="Times New Roman" w:hAnsi="Times New Roman" w:cs="Times New Roman"/>
          <w:sz w:val="24"/>
          <w:szCs w:val="24"/>
        </w:rPr>
        <w:t>aniem w rolnictwie cyfryzacji i </w:t>
      </w:r>
      <w:r w:rsidRPr="008B0B87">
        <w:rPr>
          <w:rFonts w:ascii="Times New Roman" w:hAnsi="Times New Roman" w:cs="Times New Roman"/>
          <w:sz w:val="24"/>
          <w:szCs w:val="24"/>
        </w:rPr>
        <w:t>informatyzacji proponuje się, aby wszystkie podmioty upoważnione do wpisu do ewidencji producentów mogły swój wniosek o wpis do w</w:t>
      </w:r>
      <w:r w:rsidR="00D37E1A">
        <w:rPr>
          <w:rFonts w:ascii="Times New Roman" w:hAnsi="Times New Roman" w:cs="Times New Roman"/>
          <w:sz w:val="24"/>
          <w:szCs w:val="24"/>
        </w:rPr>
        <w:t>w. ewidencji złożyć nie tylko w </w:t>
      </w:r>
      <w:r w:rsidRPr="008B0B87">
        <w:rPr>
          <w:rFonts w:ascii="Times New Roman" w:hAnsi="Times New Roman" w:cs="Times New Roman"/>
          <w:sz w:val="24"/>
          <w:szCs w:val="24"/>
        </w:rPr>
        <w:t>postaci papierowej, ale również w postaci elektronicznej.</w:t>
      </w:r>
    </w:p>
    <w:p w14:paraId="3746398E" w14:textId="6691E081" w:rsidR="0058575F" w:rsidRPr="008B0B87" w:rsidRDefault="0058575F" w:rsidP="008B0B87">
      <w:pPr>
        <w:pStyle w:val="USTustnpkodeksu"/>
        <w:spacing w:before="120"/>
        <w:ind w:firstLine="0"/>
        <w:rPr>
          <w:rFonts w:ascii="Times New Roman" w:hAnsi="Times New Roman" w:cs="Times New Roman"/>
          <w:sz w:val="24"/>
          <w:szCs w:val="24"/>
        </w:rPr>
      </w:pPr>
      <w:r w:rsidRPr="008B0B87">
        <w:rPr>
          <w:rFonts w:ascii="Times New Roman" w:hAnsi="Times New Roman" w:cs="Times New Roman"/>
          <w:sz w:val="24"/>
          <w:szCs w:val="24"/>
        </w:rPr>
        <w:t xml:space="preserve">Będzie to zatem dodatkowa opcja, która pozwoli na złożenie ww. wniosku oraz załączników do wniosku bez kontaktu z biurem powiatowym ARiMR lub placówką pocztową. </w:t>
      </w:r>
    </w:p>
    <w:p w14:paraId="1C1ACCB0" w14:textId="2F24E585" w:rsidR="0058575F" w:rsidRPr="008B0B87" w:rsidRDefault="0058575F" w:rsidP="008B0B87">
      <w:pPr>
        <w:spacing w:before="120" w:after="0" w:line="360" w:lineRule="auto"/>
        <w:jc w:val="both"/>
        <w:rPr>
          <w:rFonts w:ascii="Times New Roman" w:hAnsi="Times New Roman"/>
          <w:sz w:val="24"/>
          <w:szCs w:val="24"/>
        </w:rPr>
      </w:pPr>
      <w:r w:rsidRPr="008B0B87">
        <w:rPr>
          <w:rFonts w:ascii="Times New Roman" w:hAnsi="Times New Roman"/>
          <w:bCs/>
          <w:sz w:val="24"/>
          <w:szCs w:val="24"/>
        </w:rPr>
        <w:t>Wniosek o wpis do ewidencji producentów składają po</w:t>
      </w:r>
      <w:r w:rsidR="00D37E1A">
        <w:rPr>
          <w:rFonts w:ascii="Times New Roman" w:hAnsi="Times New Roman"/>
          <w:bCs/>
          <w:sz w:val="24"/>
          <w:szCs w:val="24"/>
        </w:rPr>
        <w:t>dmioty zarówno ubiegające się o </w:t>
      </w:r>
      <w:r w:rsidRPr="008B0B87">
        <w:rPr>
          <w:rFonts w:ascii="Times New Roman" w:hAnsi="Times New Roman"/>
          <w:bCs/>
          <w:sz w:val="24"/>
          <w:szCs w:val="24"/>
        </w:rPr>
        <w:t xml:space="preserve">nadanie numeru identyfikacyjnego i uzyskanie wpisu do ewidencji producentów, jak również producenci już wpisani do ewidencji producentów, którzy składają zgłoszenia aktualizacyjne. </w:t>
      </w:r>
    </w:p>
    <w:p w14:paraId="4B2B3615" w14:textId="1FC8C34F" w:rsidR="0058575F" w:rsidRPr="008B0B87" w:rsidRDefault="0058575F" w:rsidP="008B0B87">
      <w:pPr>
        <w:spacing w:before="120" w:after="0" w:line="360" w:lineRule="auto"/>
        <w:jc w:val="both"/>
        <w:rPr>
          <w:rFonts w:ascii="Times New Roman" w:hAnsi="Times New Roman"/>
          <w:bCs/>
          <w:sz w:val="24"/>
          <w:szCs w:val="24"/>
        </w:rPr>
      </w:pPr>
      <w:r w:rsidRPr="008B0B87">
        <w:rPr>
          <w:rFonts w:ascii="Times New Roman" w:hAnsi="Times New Roman"/>
          <w:bCs/>
          <w:sz w:val="24"/>
          <w:szCs w:val="24"/>
        </w:rPr>
        <w:t xml:space="preserve">W dodawanym ust. 1a w art. 11 ustawy o KSEP zostało ponadto wprowadzone uproszczenie, które dotyczy składania wniosków o wpis do ewidencji producentów </w:t>
      </w:r>
      <w:r w:rsidRPr="008B0B87">
        <w:rPr>
          <w:rFonts w:ascii="Times New Roman" w:hAnsi="Times New Roman"/>
          <w:sz w:val="24"/>
          <w:szCs w:val="24"/>
        </w:rPr>
        <w:t>za pomocą formularza udostępnionego na stronie internetowej ARiMR</w:t>
      </w:r>
      <w:r w:rsidRPr="008B0B87">
        <w:rPr>
          <w:rFonts w:ascii="Times New Roman" w:hAnsi="Times New Roman"/>
          <w:bCs/>
          <w:sz w:val="24"/>
          <w:szCs w:val="24"/>
        </w:rPr>
        <w:t xml:space="preserve"> przez producentów niebędących osobami fizycznymi, w odniesieniu do których występuje reprezentacja jednoosobowa lub wieloosobowa. W takim przypadku osoba lub osoby uprawnione do reprezentacji producenta niebędącego osobą fizyczną będą obowiązane do upoważnienia jednej osoby, która będzie mogła w imieniu tego producenta złożyć wniosek o wpis do ewidencji producentów. Mając na względzie, </w:t>
      </w:r>
      <w:r w:rsidR="00083F6B">
        <w:rPr>
          <w:rFonts w:ascii="Times New Roman" w:hAnsi="Times New Roman"/>
          <w:bCs/>
          <w:sz w:val="24"/>
          <w:szCs w:val="24"/>
        </w:rPr>
        <w:t>że</w:t>
      </w:r>
      <w:r w:rsidRPr="008B0B87">
        <w:rPr>
          <w:rFonts w:ascii="Times New Roman" w:hAnsi="Times New Roman"/>
          <w:bCs/>
          <w:sz w:val="24"/>
          <w:szCs w:val="24"/>
        </w:rPr>
        <w:t xml:space="preserve"> do postępowań w sprawach o wpis do ewidencji producentów stosuje się ustawę z dnia 14 czerwca 1960 r. – Kodeks postępowania administracyjnego (Dz. U. z 2021 r. poz. 735, z </w:t>
      </w:r>
      <w:proofErr w:type="spellStart"/>
      <w:r w:rsidRPr="008B0B87">
        <w:rPr>
          <w:rFonts w:ascii="Times New Roman" w:hAnsi="Times New Roman"/>
          <w:bCs/>
          <w:sz w:val="24"/>
          <w:szCs w:val="24"/>
        </w:rPr>
        <w:t>późn</w:t>
      </w:r>
      <w:proofErr w:type="spellEnd"/>
      <w:r w:rsidRPr="008B0B87">
        <w:rPr>
          <w:rFonts w:ascii="Times New Roman" w:hAnsi="Times New Roman"/>
          <w:bCs/>
          <w:sz w:val="24"/>
          <w:szCs w:val="24"/>
        </w:rPr>
        <w:t>. zm.) (</w:t>
      </w:r>
      <w:r w:rsidR="00083F6B">
        <w:rPr>
          <w:rFonts w:ascii="Times New Roman" w:hAnsi="Times New Roman"/>
          <w:bCs/>
          <w:sz w:val="24"/>
          <w:szCs w:val="24"/>
        </w:rPr>
        <w:t>dalej: „</w:t>
      </w:r>
      <w:r w:rsidRPr="008B0B87">
        <w:rPr>
          <w:rFonts w:ascii="Times New Roman" w:hAnsi="Times New Roman"/>
          <w:bCs/>
          <w:sz w:val="24"/>
          <w:szCs w:val="24"/>
        </w:rPr>
        <w:t>KPA</w:t>
      </w:r>
      <w:r w:rsidR="00083F6B">
        <w:rPr>
          <w:rFonts w:ascii="Times New Roman" w:hAnsi="Times New Roman"/>
          <w:bCs/>
          <w:sz w:val="24"/>
          <w:szCs w:val="24"/>
        </w:rPr>
        <w:t>”</w:t>
      </w:r>
      <w:r w:rsidRPr="008B0B87">
        <w:rPr>
          <w:rFonts w:ascii="Times New Roman" w:hAnsi="Times New Roman"/>
          <w:bCs/>
          <w:sz w:val="24"/>
          <w:szCs w:val="24"/>
        </w:rPr>
        <w:t>), przez osobę upoważnioną należy rozumieć peł</w:t>
      </w:r>
      <w:r w:rsidR="00D37E1A">
        <w:rPr>
          <w:rFonts w:ascii="Times New Roman" w:hAnsi="Times New Roman"/>
          <w:bCs/>
          <w:sz w:val="24"/>
          <w:szCs w:val="24"/>
        </w:rPr>
        <w:t>nomocnika umocowanego zgodnie z </w:t>
      </w:r>
      <w:r w:rsidRPr="008B0B87">
        <w:rPr>
          <w:rFonts w:ascii="Times New Roman" w:hAnsi="Times New Roman"/>
          <w:bCs/>
          <w:sz w:val="24"/>
          <w:szCs w:val="24"/>
        </w:rPr>
        <w:t xml:space="preserve">przepisami KPA. Zgodnie z art. 32 KPA strona może działać przez pełnomocnika, chyba że charakter czynności wymaga jej osobistego działania. Jednocześnie zgodnie z art. 33 § 1 i 2 KPA pełnomocnikiem strony może być osoba fizyczna posiadająca zdolność do czynności prawnych oraz pełnomocnictwo powinno być udzielone na piśmie lub zgłoszone do protokołu. Ponadto zgodnie z art. 33 § 3 KPA pełnomocnik dołącza do </w:t>
      </w:r>
      <w:r w:rsidRPr="008B0B87">
        <w:rPr>
          <w:rFonts w:ascii="Times New Roman" w:hAnsi="Times New Roman"/>
          <w:bCs/>
          <w:sz w:val="24"/>
          <w:szCs w:val="24"/>
        </w:rPr>
        <w:lastRenderedPageBreak/>
        <w:t xml:space="preserve">akt oryginał lub urzędowo poświadczony odpis pełnomocnictwa. Biorąc pod uwagę, że kwestia pełnomocnictwa została uregulowana w przepisach KPA, nie ma konieczności uwzględniania w projektowanych przepisach dodatkowych regulacji. </w:t>
      </w:r>
    </w:p>
    <w:p w14:paraId="53C69BAB" w14:textId="77777777" w:rsidR="0058575F" w:rsidRPr="008B0B87" w:rsidRDefault="0058575F" w:rsidP="008B0B87">
      <w:pPr>
        <w:pStyle w:val="USTustnpkodeksu"/>
        <w:spacing w:before="120"/>
        <w:ind w:firstLine="0"/>
        <w:rPr>
          <w:rFonts w:ascii="Times New Roman" w:hAnsi="Times New Roman" w:cs="Times New Roman"/>
          <w:sz w:val="24"/>
          <w:szCs w:val="24"/>
        </w:rPr>
      </w:pPr>
      <w:r w:rsidRPr="008B0B87">
        <w:rPr>
          <w:rFonts w:ascii="Times New Roman" w:hAnsi="Times New Roman" w:cs="Times New Roman"/>
          <w:sz w:val="24"/>
          <w:szCs w:val="24"/>
        </w:rPr>
        <w:t xml:space="preserve">Zaproponowany sposób składania wniosku o wpis do ewidencji producentów za pomocą elektronicznego formularza udostępnionego na stronie ARiMR, w przypadku producenta niebędącego osobą fizyczną reprezentowanego łącznie przez co najmniej dwie osoby, ma na celu uproszczenie procesu, który w przypadku reprezentacji wieloosobowej wiązałby się z obowiązkiem autoryzacji lub też uwierzytelnienia w aplikacji służącej do składania wniosku przez kilka osób. Wyznaczenie jednej osoby, która będzie uprawniona do złożenia wniosku w imieniu podmiotu z wieloosobową reprezentacją, w znaczący sposób ułatwi oraz przyspieszy proces składania tego wniosku m.in. przez osoby prawne, jak również zminimalizuje ryzyko występowania błędów i nieprawidłowości związanych z prawidłowym jego podpisaniem. </w:t>
      </w:r>
    </w:p>
    <w:p w14:paraId="054ED960" w14:textId="77777777" w:rsidR="0058575F" w:rsidRPr="008B0B87" w:rsidRDefault="0058575F" w:rsidP="008B0B87">
      <w:pPr>
        <w:spacing w:before="120" w:after="0" w:line="360" w:lineRule="auto"/>
        <w:jc w:val="both"/>
        <w:rPr>
          <w:rFonts w:ascii="Times New Roman" w:hAnsi="Times New Roman"/>
          <w:bCs/>
          <w:sz w:val="24"/>
          <w:szCs w:val="24"/>
        </w:rPr>
      </w:pPr>
      <w:r w:rsidRPr="008B0B87">
        <w:rPr>
          <w:rFonts w:ascii="Times New Roman" w:hAnsi="Times New Roman"/>
          <w:bCs/>
          <w:sz w:val="24"/>
          <w:szCs w:val="24"/>
        </w:rPr>
        <w:t xml:space="preserve">Dodawany ust. 1b w art. 11 ustawy o KSEP reguluje elektroniczne składanie załączników do wniosku o wpis do ewidencji producentów wymagających opatrzenia podpisem przez osobę trzecią oraz pozostałych załączników będących innymi dokumentami niż opatrzone podpisem przez osobę trzecią. </w:t>
      </w:r>
    </w:p>
    <w:p w14:paraId="3CF5DAB8" w14:textId="77777777" w:rsidR="0058575F" w:rsidRPr="008B0B87" w:rsidRDefault="0058575F" w:rsidP="008B0B87">
      <w:pPr>
        <w:pStyle w:val="USTustnpkodeksu"/>
        <w:spacing w:before="120"/>
        <w:ind w:firstLine="0"/>
        <w:rPr>
          <w:rFonts w:ascii="Times New Roman" w:hAnsi="Times New Roman" w:cs="Times New Roman"/>
          <w:sz w:val="24"/>
          <w:szCs w:val="24"/>
        </w:rPr>
      </w:pPr>
      <w:r w:rsidRPr="008B0B87">
        <w:rPr>
          <w:rFonts w:ascii="Times New Roman" w:hAnsi="Times New Roman" w:cs="Times New Roman"/>
          <w:sz w:val="24"/>
          <w:szCs w:val="24"/>
        </w:rPr>
        <w:t xml:space="preserve">Biorąc pod uwagę treść art. 12 ust. 4 pkt 2 ustawy </w:t>
      </w:r>
      <w:r w:rsidRPr="008B0B87">
        <w:rPr>
          <w:rFonts w:ascii="Times New Roman" w:hAnsi="Times New Roman" w:cs="Times New Roman"/>
          <w:bCs w:val="0"/>
          <w:sz w:val="24"/>
          <w:szCs w:val="24"/>
        </w:rPr>
        <w:t>o KSEP</w:t>
      </w:r>
      <w:r w:rsidRPr="008B0B87">
        <w:rPr>
          <w:rFonts w:ascii="Times New Roman" w:hAnsi="Times New Roman" w:cs="Times New Roman"/>
          <w:sz w:val="24"/>
          <w:szCs w:val="24"/>
        </w:rPr>
        <w:t xml:space="preserve">, dokumentami stanowiącymi załącznik do wniosku o wpis do ewidencji producentów będą dowody poświadczające samodzielne prowadzenie odrębnego gospodarstwa rolnego. Zgodnie z rozporządzeniem Ministra Rolnictwa i Rozwoju Wsi z dnia 27 września 2019 r. w sprawie szczegółowych wymagań, jakie powinien spełniać wniosek o wpis do ewidencji producentów (Dz. U. poz. 1854) załącznikiem do ww. wniosku jest także kopia decyzji o wstępnym uznaniu lub uznaniu, lub o wpisie do rejestru organizacji producentów. Ponadto, mając na względzie fakt, że do postępowań w sprawach o wpis do ewidencji producentów stosuje się KPA, w przypadku ustanowienia pełnomocnika do sprawy należy dołączyć oryginał lub urzędowo poświadczony odpis pełnomocnictwa, a także dokument poświadczający prawo reprezentacji – w przypadku strony niebędącej osobą fizyczną lub strony nieposiadającej zdolności do czynności prawnych. Mając na względzie powyższe, z uwagi na rodzaj lub formę prawną wnioskodawcy, które mogą mieć wpływ na weryfikację dokumentów złożonych przez ww. podmioty, niecelowe jest wprowadzenie do treści art. 1 pkt 1 projektu ustawy w zakresie art. 11 ust. 1b zmienianej ustawy o KSEP </w:t>
      </w:r>
      <w:r w:rsidRPr="008B0B87">
        <w:rPr>
          <w:rFonts w:ascii="Times New Roman" w:hAnsi="Times New Roman" w:cs="Times New Roman"/>
          <w:sz w:val="24"/>
          <w:szCs w:val="24"/>
        </w:rPr>
        <w:lastRenderedPageBreak/>
        <w:t>zamkniętego katalogu dokumentów, które mogą zostać uznane za załączniki do wniosków inicjujących postępowania prowadzone w ramach ustawy o KSEP.</w:t>
      </w:r>
    </w:p>
    <w:p w14:paraId="3ED48A14" w14:textId="0D4A6420" w:rsidR="0058575F" w:rsidRPr="008B0B87" w:rsidRDefault="0058575F" w:rsidP="008B0B87">
      <w:pPr>
        <w:spacing w:before="120" w:after="0" w:line="360" w:lineRule="auto"/>
        <w:jc w:val="both"/>
        <w:rPr>
          <w:rFonts w:ascii="Times New Roman" w:hAnsi="Times New Roman"/>
          <w:bCs/>
          <w:sz w:val="24"/>
          <w:szCs w:val="24"/>
        </w:rPr>
      </w:pPr>
      <w:r w:rsidRPr="008B0B87">
        <w:rPr>
          <w:rFonts w:ascii="Times New Roman" w:hAnsi="Times New Roman"/>
          <w:bCs/>
          <w:sz w:val="24"/>
          <w:szCs w:val="24"/>
        </w:rPr>
        <w:t>W dodawanym ust. 1c w art. 11 ustawy o KSEP wprowadzono regulację pozwalającą, aby w przypadkach, w których wymagane załączniki, które nie zostały dołączone w postaci elektronicznej do wniosku złożonego za pomocą formularza elektronicznego, mogły być złożone przez podmiot ubiegający się o wpis do ewidencji producentów bezpośrednio w biurze powiatowym ARiMR lub nadane za pośrednictwem operatora pocztowego w rozumieniu ustawy z dnia 23 listopada 2012 r. – Prawo pocztowe (Dz. U. z 2022 r. poz. 896).</w:t>
      </w:r>
    </w:p>
    <w:p w14:paraId="7AC1F4CF" w14:textId="2F830350" w:rsidR="0058575F" w:rsidRPr="008B0B87" w:rsidRDefault="0058575F" w:rsidP="008B0B87">
      <w:pPr>
        <w:spacing w:before="120" w:after="0" w:line="360" w:lineRule="auto"/>
        <w:jc w:val="both"/>
        <w:rPr>
          <w:rFonts w:ascii="Times New Roman" w:hAnsi="Times New Roman"/>
          <w:bCs/>
          <w:sz w:val="24"/>
          <w:szCs w:val="24"/>
        </w:rPr>
      </w:pPr>
      <w:r w:rsidRPr="008B0B87">
        <w:rPr>
          <w:rFonts w:ascii="Times New Roman" w:hAnsi="Times New Roman"/>
          <w:bCs/>
          <w:sz w:val="24"/>
          <w:szCs w:val="24"/>
        </w:rPr>
        <w:t>Dodawany ust. 1d pkt 1 w art. 11 ustawy o KSEP określa sposób uwierzytelnienia osoby składającej wniosek o wpis do ewidencji producentów wraz z załącznikami. Podstawową formą uwierzytelniania stosowaną zarówno w przypadku składania wniosku w celu uzyskania wpisu w ewidencji producentów oraz nadania numeru identyfikacyjnego, a także w przypadku zgłaszania zmian danych będzie sposób określony w art. 20a ust. 1 ustawy z dnia 17 lutego 2005 r. o informatyzacji działalności podmiotów realizujących zadania publiczne (Dz. U. z 2021 r. poz. 2070), to jest profil zaufany i e-dowód.</w:t>
      </w:r>
    </w:p>
    <w:p w14:paraId="7DD99757" w14:textId="0074040C" w:rsidR="0058575F" w:rsidRPr="008B0B87" w:rsidRDefault="0058575F" w:rsidP="0058575F">
      <w:pPr>
        <w:spacing w:before="120" w:after="0" w:line="360" w:lineRule="auto"/>
        <w:jc w:val="both"/>
        <w:rPr>
          <w:rFonts w:ascii="Times New Roman" w:hAnsi="Times New Roman"/>
          <w:bCs/>
          <w:sz w:val="24"/>
          <w:szCs w:val="24"/>
        </w:rPr>
      </w:pPr>
      <w:r w:rsidRPr="008B0B87">
        <w:rPr>
          <w:rFonts w:ascii="Times New Roman" w:hAnsi="Times New Roman"/>
          <w:bCs/>
          <w:sz w:val="24"/>
          <w:szCs w:val="24"/>
        </w:rPr>
        <w:t>W odniesieniu natomiast do wniosków o wpis do ewidencji producentów składanych w celu zgłoszenia zmiany danych, gdzie taki wniosek może złożyć wyłącznie podmiot już wpisany do ewidencji producentów, w dodawanym ust. 1d pkt 2 w art. 11 ustawy o KSEP została dopuszczona również możliwość wykorzystania posiadanego loginu i kodu dostępu uzyskanych na podstawie innych przepisów.</w:t>
      </w:r>
    </w:p>
    <w:p w14:paraId="1F8FE569" w14:textId="0A6DB503" w:rsidR="0058575F" w:rsidRPr="008B0B87" w:rsidRDefault="0058575F" w:rsidP="0058575F">
      <w:pPr>
        <w:spacing w:before="120" w:after="0" w:line="360" w:lineRule="auto"/>
        <w:jc w:val="both"/>
        <w:rPr>
          <w:rFonts w:ascii="Times New Roman" w:hAnsi="Times New Roman"/>
          <w:sz w:val="24"/>
          <w:szCs w:val="24"/>
        </w:rPr>
      </w:pPr>
      <w:r w:rsidRPr="008B0B87">
        <w:rPr>
          <w:rFonts w:ascii="Times New Roman" w:hAnsi="Times New Roman"/>
          <w:bCs/>
          <w:sz w:val="24"/>
          <w:szCs w:val="24"/>
        </w:rPr>
        <w:t>W art. 1 pkt 2 projektowanej ustawy zaproponowano dodanie art. 14a w zmienianej ustawie o KSEP, w którym znalazła się regulacja pozwalająca na wykonywanie elektronicznych kopii dokumentów gromadzonych w ramach postępowań prowadzonych w sprawie wpisu do ewidencji producentów oraz wykreślenia z tej ewidencji.</w:t>
      </w:r>
    </w:p>
    <w:p w14:paraId="6E60A9E9" w14:textId="77777777" w:rsidR="0058575F" w:rsidRPr="008B0B87" w:rsidRDefault="0058575F" w:rsidP="008B0B87">
      <w:pPr>
        <w:spacing w:before="120" w:after="0" w:line="360" w:lineRule="auto"/>
        <w:jc w:val="both"/>
        <w:rPr>
          <w:rFonts w:ascii="Times New Roman" w:hAnsi="Times New Roman"/>
          <w:bCs/>
          <w:sz w:val="24"/>
          <w:szCs w:val="24"/>
        </w:rPr>
      </w:pPr>
      <w:r w:rsidRPr="008B0B87">
        <w:rPr>
          <w:rFonts w:ascii="Times New Roman" w:hAnsi="Times New Roman"/>
          <w:bCs/>
          <w:sz w:val="24"/>
          <w:szCs w:val="24"/>
        </w:rPr>
        <w:t>Regulacja ma na celu ograniczenie kosztów związanych z przechowywaniem dokumentów składających się na zgromadzone w toku postępowania administracyjnego akta spraw dotyczących wpisu do ewidencji producentów lub wykreślenia producentów z tej ewidencji, które ma charakter masowy.</w:t>
      </w:r>
    </w:p>
    <w:p w14:paraId="0D633567" w14:textId="77777777" w:rsidR="0058575F" w:rsidRPr="008B0B87" w:rsidRDefault="0058575F" w:rsidP="008B0B87">
      <w:pPr>
        <w:spacing w:before="120" w:after="0" w:line="360" w:lineRule="auto"/>
        <w:jc w:val="both"/>
        <w:rPr>
          <w:rFonts w:ascii="Times New Roman" w:hAnsi="Times New Roman"/>
          <w:sz w:val="24"/>
          <w:szCs w:val="24"/>
        </w:rPr>
      </w:pPr>
      <w:r w:rsidRPr="008B0B87">
        <w:rPr>
          <w:rFonts w:ascii="Times New Roman" w:hAnsi="Times New Roman"/>
          <w:bCs/>
          <w:sz w:val="24"/>
          <w:szCs w:val="24"/>
        </w:rPr>
        <w:t xml:space="preserve">Proponuje się, aby po zakończeniu postępowania administracyjnego w tych sprawach, a w przypadku przysługiwania stronie prawa wniesienia skargi do sądu administracyjnego, po bezskutecznym upływie terminu przewidzianego na wniesienie tej </w:t>
      </w:r>
      <w:r w:rsidRPr="008B0B87">
        <w:rPr>
          <w:rFonts w:ascii="Times New Roman" w:hAnsi="Times New Roman"/>
          <w:bCs/>
          <w:sz w:val="24"/>
          <w:szCs w:val="24"/>
        </w:rPr>
        <w:lastRenderedPageBreak/>
        <w:t>skargi albo po prawomocnym zakończeniu postępowania sądowo-administracyjnego, w wyniku którego ostateczna decyzja kończąca postępowanie w sprawie nie została wyeliminowana z obrotu prawnego, dokumenty składające się na akta sprawy, o ile powstały w postaci papierowej, były kopiowane elektronicznie i pozostawione w aktach sprawy zamiast ich papierowych oryginałów. Dzięki takiemu rozwiązaniu będą przechowywane jedynie akta sprawy w postaci elektronicznej, co znacząco ograniczy koszty funkcjonowania ARiMR, w tym ograniczy konieczność dodatkowego najmu powierzchni przeznaczonych na tzw. archiwa. Powyższe reguły proponuje się odnieść również do akt spraw rozstrzyganych w postępowaniach nadzwyczajnych przewidzianych w KPA, prowadzonych przed organami administracyjnymi działającymi w strukturze ARiMR.</w:t>
      </w:r>
    </w:p>
    <w:p w14:paraId="3204574F" w14:textId="77777777" w:rsidR="0058575F" w:rsidRPr="008B0B87" w:rsidRDefault="0058575F" w:rsidP="008B0B87">
      <w:pPr>
        <w:spacing w:before="120" w:after="0" w:line="360" w:lineRule="auto"/>
        <w:jc w:val="both"/>
        <w:rPr>
          <w:rFonts w:ascii="Times New Roman" w:hAnsi="Times New Roman"/>
          <w:sz w:val="24"/>
          <w:szCs w:val="24"/>
        </w:rPr>
      </w:pPr>
      <w:r w:rsidRPr="008B0B87">
        <w:rPr>
          <w:rFonts w:ascii="Times New Roman" w:eastAsia="Calibri" w:hAnsi="Times New Roman"/>
          <w:bCs/>
          <w:iCs/>
          <w:sz w:val="24"/>
          <w:szCs w:val="24"/>
        </w:rPr>
        <w:t>Należy zaznaczyć, że rozwiązania zaproponowane w dodawanym art. 14a zmienianej ustawy</w:t>
      </w:r>
      <w:r w:rsidRPr="008B0B87">
        <w:rPr>
          <w:rFonts w:ascii="Times New Roman" w:hAnsi="Times New Roman"/>
          <w:bCs/>
          <w:sz w:val="24"/>
          <w:szCs w:val="24"/>
        </w:rPr>
        <w:t xml:space="preserve"> o KSEP</w:t>
      </w:r>
      <w:r w:rsidRPr="008B0B87">
        <w:rPr>
          <w:rFonts w:ascii="Times New Roman" w:eastAsia="Calibri" w:hAnsi="Times New Roman"/>
          <w:bCs/>
          <w:iCs/>
          <w:sz w:val="24"/>
          <w:szCs w:val="24"/>
        </w:rPr>
        <w:t xml:space="preserve"> mają na celu pozostawianie w aktach spraw elektronicznej kopii dokumentów powstałych w postaci papierowej. Odnoszą się one do zakończonych postępowań administracyjnych w sprawach dotyczących wpisu i wykreślenia z ewidencji producentów prowadzonej przez ARiMR. Biorąc pod uwagę powyższe, nie będą wpływały na zadania sądów, a zatem nie będą wymagały tworzenia w sądach dodatkowych etatów. Cyfryzacja akt sprawy oraz brakowanie skopiowanych elektronicznie dokumentów papierowych będą zadaniami realizowanymi przez ARiMR.</w:t>
      </w:r>
    </w:p>
    <w:p w14:paraId="6B962F96" w14:textId="5CF78911" w:rsidR="0058575F" w:rsidRPr="008B0B87" w:rsidRDefault="0058575F" w:rsidP="008B0B87">
      <w:pPr>
        <w:spacing w:before="120" w:after="0" w:line="360" w:lineRule="auto"/>
        <w:jc w:val="both"/>
        <w:rPr>
          <w:rFonts w:ascii="Times New Roman" w:hAnsi="Times New Roman"/>
          <w:sz w:val="24"/>
          <w:szCs w:val="24"/>
        </w:rPr>
      </w:pPr>
      <w:r w:rsidRPr="008B0B87">
        <w:rPr>
          <w:rFonts w:ascii="Times New Roman" w:eastAsia="Calibri" w:hAnsi="Times New Roman"/>
          <w:bCs/>
          <w:iCs/>
          <w:sz w:val="24"/>
          <w:szCs w:val="24"/>
        </w:rPr>
        <w:t xml:space="preserve">Ponadto w obecnym stanie prawnym kognicja sądów w zakresie objętym ww. rozwiązaniami wynika z regulacji określonej w art. 3a ust. 1 ustawy o KSEP, zgodnie z którą do postępowań w sprawach indywidualnych rozstrzyganych w drodze decyzji stosuje się przepisy KPA, chyba że przepisy ustawy o KSEP stanowią inaczej. Natomiast zgodnie z art. 3 § 2 pkt 1 ustawy z dnia 30 sierpnia 2002 r. – Prawo o postępowaniu przed sądami administracyjnymi (Dz. U. z 2022 r. poz. 329, z </w:t>
      </w:r>
      <w:proofErr w:type="spellStart"/>
      <w:r w:rsidRPr="008B0B87">
        <w:rPr>
          <w:rFonts w:ascii="Times New Roman" w:eastAsia="Calibri" w:hAnsi="Times New Roman"/>
          <w:bCs/>
          <w:iCs/>
          <w:sz w:val="24"/>
          <w:szCs w:val="24"/>
        </w:rPr>
        <w:t>późn</w:t>
      </w:r>
      <w:proofErr w:type="spellEnd"/>
      <w:r w:rsidRPr="008B0B87">
        <w:rPr>
          <w:rFonts w:ascii="Times New Roman" w:eastAsia="Calibri" w:hAnsi="Times New Roman"/>
          <w:bCs/>
          <w:iCs/>
          <w:sz w:val="24"/>
          <w:szCs w:val="24"/>
        </w:rPr>
        <w:t>. zm.) kognicja sądów administracyjnych obejmuje orzekanie w</w:t>
      </w:r>
      <w:r>
        <w:rPr>
          <w:rFonts w:ascii="Times New Roman" w:eastAsia="Calibri" w:hAnsi="Times New Roman"/>
          <w:bCs/>
          <w:iCs/>
          <w:sz w:val="24"/>
          <w:szCs w:val="24"/>
        </w:rPr>
        <w:t xml:space="preserve"> </w:t>
      </w:r>
      <w:r w:rsidRPr="008B0B87">
        <w:rPr>
          <w:rFonts w:ascii="Times New Roman" w:eastAsia="Calibri" w:hAnsi="Times New Roman"/>
          <w:bCs/>
          <w:iCs/>
          <w:sz w:val="24"/>
          <w:szCs w:val="24"/>
        </w:rPr>
        <w:t xml:space="preserve">sprawach ze skarg na decyzje administracyjne. </w:t>
      </w:r>
    </w:p>
    <w:p w14:paraId="7BAC8F0A" w14:textId="7CA8D53F" w:rsidR="0058575F" w:rsidRPr="008B0B87" w:rsidRDefault="0058575F" w:rsidP="008B0B87">
      <w:pPr>
        <w:pStyle w:val="USTustnpkodeksu"/>
        <w:spacing w:before="120"/>
        <w:ind w:firstLine="0"/>
        <w:rPr>
          <w:rFonts w:ascii="Times New Roman" w:hAnsi="Times New Roman" w:cs="Times New Roman"/>
          <w:sz w:val="24"/>
          <w:szCs w:val="24"/>
        </w:rPr>
      </w:pPr>
      <w:r w:rsidRPr="008B0B87">
        <w:rPr>
          <w:rFonts w:ascii="Times New Roman" w:hAnsi="Times New Roman" w:cs="Times New Roman"/>
          <w:sz w:val="24"/>
          <w:szCs w:val="24"/>
        </w:rPr>
        <w:t>Analogiczne rozwiązania wynikają z art. 33 ustawy z dnia 5 lutego 2015</w:t>
      </w:r>
      <w:r>
        <w:rPr>
          <w:rFonts w:ascii="Times New Roman" w:hAnsi="Times New Roman" w:cs="Times New Roman"/>
          <w:sz w:val="24"/>
          <w:szCs w:val="24"/>
        </w:rPr>
        <w:t xml:space="preserve"> </w:t>
      </w:r>
      <w:r w:rsidRPr="008B0B87">
        <w:rPr>
          <w:rFonts w:ascii="Times New Roman" w:hAnsi="Times New Roman" w:cs="Times New Roman"/>
          <w:sz w:val="24"/>
          <w:szCs w:val="24"/>
        </w:rPr>
        <w:t>r. o płatnościach w ramach systemów wsparcia bezpośredniego oraz art. 33 ustawy</w:t>
      </w:r>
      <w:r w:rsidRPr="008B0B87">
        <w:rPr>
          <w:rFonts w:ascii="Times New Roman" w:hAnsi="Times New Roman" w:cs="Times New Roman"/>
          <w:bCs w:val="0"/>
          <w:sz w:val="24"/>
          <w:szCs w:val="24"/>
        </w:rPr>
        <w:t xml:space="preserve"> PROW 2014–2020</w:t>
      </w:r>
      <w:r w:rsidRPr="008B0B87">
        <w:rPr>
          <w:rFonts w:ascii="Times New Roman" w:hAnsi="Times New Roman" w:cs="Times New Roman"/>
          <w:sz w:val="24"/>
          <w:szCs w:val="24"/>
        </w:rPr>
        <w:t xml:space="preserve">. </w:t>
      </w:r>
    </w:p>
    <w:p w14:paraId="25F87516" w14:textId="77777777" w:rsidR="0058575F" w:rsidRPr="008B0B87" w:rsidRDefault="0058575F" w:rsidP="008B0B87">
      <w:pPr>
        <w:pStyle w:val="USTustnpkodeksu"/>
        <w:spacing w:before="120"/>
        <w:ind w:firstLine="0"/>
        <w:rPr>
          <w:rFonts w:ascii="Times New Roman" w:hAnsi="Times New Roman" w:cs="Times New Roman"/>
          <w:sz w:val="24"/>
          <w:szCs w:val="24"/>
        </w:rPr>
      </w:pPr>
      <w:r w:rsidRPr="008B0B87">
        <w:rPr>
          <w:rFonts w:ascii="Times New Roman" w:hAnsi="Times New Roman" w:cs="Times New Roman"/>
          <w:sz w:val="24"/>
          <w:szCs w:val="24"/>
        </w:rPr>
        <w:t>Mając zatem na względzie konieczność zapewnienia spójnych regulacji dotyczących postępowania przez ARiMR z dokumentami, proponuje się dodanie w projektowanym art. 14a ustawy o KSEP tożsamych rozwiązań. Użyte w projektowanych przepisach ustawy o KSEP wyrażenie „elektroniczna kopia dokumentów” pozostaje również spójne z terminologią wynikającą z ww. przepisów.</w:t>
      </w:r>
    </w:p>
    <w:p w14:paraId="47B0899C" w14:textId="63402C78" w:rsidR="0058575F" w:rsidRPr="008B0B87" w:rsidRDefault="0058575F" w:rsidP="008B0B87">
      <w:pPr>
        <w:pStyle w:val="USTustnpkodeksu"/>
        <w:spacing w:before="120"/>
        <w:ind w:firstLine="0"/>
        <w:rPr>
          <w:rFonts w:ascii="Times New Roman" w:hAnsi="Times New Roman" w:cs="Times New Roman"/>
          <w:sz w:val="24"/>
          <w:szCs w:val="24"/>
        </w:rPr>
      </w:pPr>
      <w:r w:rsidRPr="008B0B87">
        <w:rPr>
          <w:rFonts w:ascii="Times New Roman" w:hAnsi="Times New Roman" w:cs="Times New Roman"/>
          <w:sz w:val="24"/>
          <w:szCs w:val="24"/>
        </w:rPr>
        <w:lastRenderedPageBreak/>
        <w:t>Jednocześnie, w związku z zapewnieniem wiarygodności elektronicznych kopii tych dokumentów, proponuje się również, aby po ich skopiowaniu do postaci elektronicznej kopie te były potwierdzane za zgodność z oryginałem kwalifikowanym podpisem elektronicznym lub kwalifikowaną pieczęcią elektroniczną. Rozszerzenie katalogu środków, przy pomocy których będzie uwierzytelniana elektroniczna kopia dokumentów, jest zgodn</w:t>
      </w:r>
      <w:r w:rsidR="00DF0399">
        <w:rPr>
          <w:rFonts w:ascii="Times New Roman" w:hAnsi="Times New Roman" w:cs="Times New Roman"/>
          <w:sz w:val="24"/>
          <w:szCs w:val="24"/>
        </w:rPr>
        <w:t>e</w:t>
      </w:r>
      <w:r w:rsidRPr="008B0B87">
        <w:rPr>
          <w:rFonts w:ascii="Times New Roman" w:hAnsi="Times New Roman" w:cs="Times New Roman"/>
          <w:sz w:val="24"/>
          <w:szCs w:val="24"/>
        </w:rPr>
        <w:t xml:space="preserve"> z art. 14 § </w:t>
      </w:r>
      <w:r w:rsidR="00DF0399">
        <w:rPr>
          <w:rFonts w:ascii="Times New Roman" w:hAnsi="Times New Roman" w:cs="Times New Roman"/>
          <w:sz w:val="24"/>
          <w:szCs w:val="24"/>
        </w:rPr>
        <w:t>1</w:t>
      </w:r>
      <w:r w:rsidRPr="008B0B87">
        <w:rPr>
          <w:rFonts w:ascii="Times New Roman" w:hAnsi="Times New Roman" w:cs="Times New Roman"/>
          <w:sz w:val="24"/>
          <w:szCs w:val="24"/>
        </w:rPr>
        <w:t>a KPA, zgodnie z którym pisma utrwalone w postaci elektronicznej opatruje się kwalifikowanym podpisem elektronicznym, podpisem zaufanym albo podpisem osobistym lub kwalifikowaną pieczęcią elektroniczną organu administracji publicznej ze wskazaniem w treści pisma osoby opatrującej pismo pieczęcią.</w:t>
      </w:r>
    </w:p>
    <w:p w14:paraId="5A9BFD7D" w14:textId="6AB0C43C" w:rsidR="0058575F" w:rsidRPr="008B0B87" w:rsidRDefault="0058575F" w:rsidP="008B0B87">
      <w:pPr>
        <w:spacing w:before="120" w:after="0" w:line="360" w:lineRule="auto"/>
        <w:jc w:val="both"/>
        <w:rPr>
          <w:rFonts w:ascii="Times New Roman" w:hAnsi="Times New Roman"/>
          <w:sz w:val="24"/>
          <w:szCs w:val="24"/>
        </w:rPr>
      </w:pPr>
      <w:r w:rsidRPr="008B0B87">
        <w:rPr>
          <w:rFonts w:ascii="Times New Roman" w:hAnsi="Times New Roman"/>
          <w:bCs/>
          <w:sz w:val="24"/>
          <w:szCs w:val="24"/>
        </w:rPr>
        <w:t>W dodawanym w art. 14a ust. 5 zmienianej ustawy o KSEP proponuje się jednocześnie wyłączenie przepisów o narodowym zasobie archiwalnym i archiwach w odniesieniu do postępowania ze skopiowanymi elektronicznie dokumentami. Zmiana ma na celu przeprowadzenie sprawnego niszczenia dokumentów papierowych przez ARiMR, natomiast elektroniczne akta sprawy będą przechowywane i brakowane przez ARiMR zgodnie z przepisami ustawy z dnia 14 lipca 1983 r. o narodowym zasobie archiwalnym i archiwach (Dz. U. z 2020 r. poz. 164), a</w:t>
      </w:r>
      <w:r>
        <w:rPr>
          <w:rFonts w:ascii="Times New Roman" w:hAnsi="Times New Roman"/>
          <w:bCs/>
          <w:sz w:val="24"/>
          <w:szCs w:val="24"/>
        </w:rPr>
        <w:t xml:space="preserve"> </w:t>
      </w:r>
      <w:r w:rsidRPr="008B0B87">
        <w:rPr>
          <w:rFonts w:ascii="Times New Roman" w:hAnsi="Times New Roman"/>
          <w:bCs/>
          <w:sz w:val="24"/>
          <w:szCs w:val="24"/>
        </w:rPr>
        <w:t>do sposobu postępowania z nimi będą miały odpowiednie zastosowanie przepisy dotyczące postępowania z dokumentami elektronicznymi. W szczególności odpowiednie zastosowanie będą miały przepisy wydane na podstawie art. 5 ust. 2b ustawy z dnia 14 lipca 1983 r. o narodowym zasobie archiwalnym i archiwach, a więc rozporządzenie Ministra Spraw Wewnętrznych i Administracji z dnia 30 października 2006 r. w sprawie szczegółowego sposobu postępowania z dokumentami elektronicznymi (Dz. U. poz. 1518). Reguluje ono w szczególności zasady ewidencjonowania, przechowywania, klasyfikowania i kwalifikowania dokumentów elektronicznych oraz ich zabezpieczania przed utratą i nieuprawnionymi zmianami, a także zasady i tryb brakowania dokumentacji niearchiwalnej oraz zasady i tryb przekazywania materiałów archiwalnych do archiwów państwowych.</w:t>
      </w:r>
    </w:p>
    <w:p w14:paraId="2D5879C1" w14:textId="77777777" w:rsidR="0058575F" w:rsidRPr="008B0B87" w:rsidRDefault="0058575F" w:rsidP="008B0B87">
      <w:pPr>
        <w:pStyle w:val="USTustnpkodeksu"/>
        <w:spacing w:before="120"/>
        <w:ind w:firstLine="0"/>
        <w:rPr>
          <w:rFonts w:ascii="Times New Roman" w:hAnsi="Times New Roman" w:cs="Times New Roman"/>
          <w:sz w:val="24"/>
          <w:szCs w:val="24"/>
        </w:rPr>
      </w:pPr>
      <w:r w:rsidRPr="008B0B87">
        <w:rPr>
          <w:rFonts w:ascii="Times New Roman" w:hAnsi="Times New Roman" w:cs="Times New Roman"/>
          <w:sz w:val="24"/>
          <w:szCs w:val="24"/>
        </w:rPr>
        <w:t xml:space="preserve">Projektowany art. 14a ustawy o KSEP stanowi zatem regulację szczególną w stosunku do przepisów ustawy z dnia 14 lipca 1983 r. o narodowym zasobie archiwalnym i archiwach i wyłącza stosowanie przepisów tej ustawy w odniesieniu do dokumentacji papierowej, która została odwzorowana elektronicznie. </w:t>
      </w:r>
    </w:p>
    <w:p w14:paraId="3643B6AF" w14:textId="2E1A7AFA" w:rsidR="0058575F" w:rsidRPr="008B0B87" w:rsidRDefault="0058575F" w:rsidP="008B0B87">
      <w:pPr>
        <w:pStyle w:val="USTustnpkodeksu"/>
        <w:spacing w:before="120"/>
        <w:ind w:firstLine="0"/>
        <w:rPr>
          <w:rFonts w:ascii="Times New Roman" w:hAnsi="Times New Roman" w:cs="Times New Roman"/>
          <w:sz w:val="24"/>
          <w:szCs w:val="24"/>
        </w:rPr>
      </w:pPr>
      <w:r w:rsidRPr="008B0B87">
        <w:rPr>
          <w:rFonts w:ascii="Times New Roman" w:hAnsi="Times New Roman" w:cs="Times New Roman"/>
          <w:sz w:val="24"/>
          <w:szCs w:val="24"/>
        </w:rPr>
        <w:lastRenderedPageBreak/>
        <w:t xml:space="preserve">Należy wskazać, </w:t>
      </w:r>
      <w:r w:rsidR="008E7E86">
        <w:rPr>
          <w:rFonts w:ascii="Times New Roman" w:hAnsi="Times New Roman" w:cs="Times New Roman"/>
          <w:sz w:val="24"/>
          <w:szCs w:val="24"/>
        </w:rPr>
        <w:t>że</w:t>
      </w:r>
      <w:r w:rsidRPr="008B0B87">
        <w:rPr>
          <w:rFonts w:ascii="Times New Roman" w:hAnsi="Times New Roman" w:cs="Times New Roman"/>
          <w:sz w:val="24"/>
          <w:szCs w:val="24"/>
        </w:rPr>
        <w:t xml:space="preserve"> w przypadku utworzenia elektronicznej kopii dokumentów w postaci i na warunkach określonych w projektowanym art. 14a ust. 3 i 4 ustawy o KSEP brak jest przesłanek do dalszego przechowywania dokumentacji papierowej. Dokumentacja papierowa powstała w elektronicznej kopii dokumentów w wymienionych sprawach prowadzonych papierowo traci znaczenie praktyczne i walory dowodowe, a tym samym będzie niszczona, co nie wymaga wprowadzania regulacji dotyczących sposobu postępowania z tymi dokumentami,</w:t>
      </w:r>
      <w:r>
        <w:rPr>
          <w:rFonts w:ascii="Times New Roman" w:hAnsi="Times New Roman" w:cs="Times New Roman"/>
          <w:sz w:val="24"/>
          <w:szCs w:val="24"/>
        </w:rPr>
        <w:t xml:space="preserve"> </w:t>
      </w:r>
      <w:r w:rsidRPr="008B0B87">
        <w:rPr>
          <w:rFonts w:ascii="Times New Roman" w:hAnsi="Times New Roman" w:cs="Times New Roman"/>
          <w:sz w:val="24"/>
          <w:szCs w:val="24"/>
        </w:rPr>
        <w:t>natomiast przepis szczególny zawarty w projektowanym art. 14a ust. 1 i 2 ustawy o KSEP jest jednoznaczny ze zwolnieniem ze stosowania przepisów rozporządzenia Ministra Kultury i Dziedzictwa Narodowego z dnia 20 października 2015 r. w sprawie klasyfikowania i kwalifikowania dokumentacji, przekazywania materiałów archiwalnych do archiwów państwowych i brakowania dokumentacji niearchiwalnej (Dz. U. z 2019 r. poz. 246). Jednocześnie przepis pozwalający na niszczenie dokumentacji papierowej jednoznacznie określa, że w aktach sprawy pozostawia się elektroniczną kopię dokumentów powstałych w postaci papierowej, a skopiowane elektronicznie dokumenty, czyli dokumenty „papierowe”</w:t>
      </w:r>
      <w:r w:rsidR="000F0824">
        <w:rPr>
          <w:rFonts w:ascii="Times New Roman" w:hAnsi="Times New Roman" w:cs="Times New Roman"/>
          <w:sz w:val="24"/>
          <w:szCs w:val="24"/>
        </w:rPr>
        <w:t>,</w:t>
      </w:r>
      <w:r w:rsidRPr="008B0B87">
        <w:rPr>
          <w:rFonts w:ascii="Times New Roman" w:hAnsi="Times New Roman" w:cs="Times New Roman"/>
          <w:sz w:val="24"/>
          <w:szCs w:val="24"/>
        </w:rPr>
        <w:t xml:space="preserve"> poddaje się niszczeniu. </w:t>
      </w:r>
    </w:p>
    <w:p w14:paraId="5EC41BAF" w14:textId="0A187E0D" w:rsidR="0058575F" w:rsidRPr="008B0B87" w:rsidRDefault="0058575F" w:rsidP="008B0B87">
      <w:pPr>
        <w:pStyle w:val="USTustnpkodeksu"/>
        <w:spacing w:before="120"/>
        <w:ind w:firstLine="0"/>
        <w:rPr>
          <w:rFonts w:ascii="Times New Roman" w:hAnsi="Times New Roman" w:cs="Times New Roman"/>
          <w:sz w:val="24"/>
          <w:szCs w:val="24"/>
        </w:rPr>
      </w:pPr>
      <w:r w:rsidRPr="008B0B87">
        <w:rPr>
          <w:rFonts w:ascii="Times New Roman" w:hAnsi="Times New Roman" w:cs="Times New Roman"/>
          <w:sz w:val="24"/>
          <w:szCs w:val="24"/>
        </w:rPr>
        <w:t>Objęcie skopiowanych elektronicznie dokumentów rygor</w:t>
      </w:r>
      <w:r w:rsidR="00D37E1A">
        <w:rPr>
          <w:rFonts w:ascii="Times New Roman" w:hAnsi="Times New Roman" w:cs="Times New Roman"/>
          <w:sz w:val="24"/>
          <w:szCs w:val="24"/>
        </w:rPr>
        <w:t>ami ustawy z dnia 14 lipca 1983 </w:t>
      </w:r>
      <w:r w:rsidRPr="008B0B87">
        <w:rPr>
          <w:rFonts w:ascii="Times New Roman" w:hAnsi="Times New Roman" w:cs="Times New Roman"/>
          <w:sz w:val="24"/>
          <w:szCs w:val="24"/>
        </w:rPr>
        <w:t>r. o narodowym zasobie archiwalnym i archiwach oznaczałoby w praktyce, że dokumentacja dotycząca tego samego postępowania dwukrotnie podlegałaby konieczności uzyskania zgody dyrektora właściwego archiwum państwowego na niszczenie, najpierw w przypadku brakowania dokumentacji papierowej, a następnie w przypadku brakowania elektronicznego odwzorowania dokumentacji papierowej. Dlatego też w celu uniknięcia wątpliwości interpretacyjnych w projektowanym art. 14a ust. 5 pkt 1 ustawy o KSEP wskazano, że do postępowania ze skopiowanymi elektronicznie dokumentami nie stosuje się przepisów o narodowym zasobie archiwalnym i archiwach.</w:t>
      </w:r>
    </w:p>
    <w:p w14:paraId="2466E6B0" w14:textId="5F65C158" w:rsidR="0058575F" w:rsidRPr="008B0B87" w:rsidRDefault="0058575F" w:rsidP="008B0B87">
      <w:pPr>
        <w:pStyle w:val="USTustnpkodeksu"/>
        <w:spacing w:before="120"/>
        <w:ind w:firstLine="0"/>
        <w:rPr>
          <w:rFonts w:ascii="Times New Roman" w:hAnsi="Times New Roman" w:cs="Times New Roman"/>
          <w:sz w:val="24"/>
          <w:szCs w:val="24"/>
        </w:rPr>
      </w:pPr>
      <w:r w:rsidRPr="008B0B87">
        <w:rPr>
          <w:rFonts w:ascii="Times New Roman" w:hAnsi="Times New Roman" w:cs="Times New Roman"/>
          <w:sz w:val="24"/>
          <w:szCs w:val="24"/>
        </w:rPr>
        <w:t>Jednocześnie należy mieć na uwadze, że dokumentacja elektroniczna będzie przechowywana przez ARiMR w sposób, który zapewnia bezpieczeństwo elektronicznych dokumentów. Umożliwi to wyk</w:t>
      </w:r>
      <w:r w:rsidR="00D37E1A">
        <w:rPr>
          <w:rFonts w:ascii="Times New Roman" w:hAnsi="Times New Roman" w:cs="Times New Roman"/>
          <w:sz w:val="24"/>
          <w:szCs w:val="24"/>
        </w:rPr>
        <w:t xml:space="preserve">onywanie kopii (tzw. </w:t>
      </w:r>
      <w:proofErr w:type="spellStart"/>
      <w:r w:rsidR="00D37E1A">
        <w:rPr>
          <w:rFonts w:ascii="Times New Roman" w:hAnsi="Times New Roman" w:cs="Times New Roman"/>
          <w:sz w:val="24"/>
          <w:szCs w:val="24"/>
        </w:rPr>
        <w:t>back</w:t>
      </w:r>
      <w:proofErr w:type="spellEnd"/>
      <w:r w:rsidR="00D37E1A">
        <w:rPr>
          <w:rFonts w:ascii="Times New Roman" w:hAnsi="Times New Roman" w:cs="Times New Roman"/>
          <w:sz w:val="24"/>
          <w:szCs w:val="24"/>
        </w:rPr>
        <w:t xml:space="preserve"> </w:t>
      </w:r>
      <w:proofErr w:type="spellStart"/>
      <w:r w:rsidR="00D37E1A">
        <w:rPr>
          <w:rFonts w:ascii="Times New Roman" w:hAnsi="Times New Roman" w:cs="Times New Roman"/>
          <w:sz w:val="24"/>
          <w:szCs w:val="24"/>
        </w:rPr>
        <w:t>up</w:t>
      </w:r>
      <w:proofErr w:type="spellEnd"/>
      <w:r w:rsidR="00D37E1A">
        <w:rPr>
          <w:rFonts w:ascii="Times New Roman" w:hAnsi="Times New Roman" w:cs="Times New Roman"/>
          <w:sz w:val="24"/>
          <w:szCs w:val="24"/>
        </w:rPr>
        <w:t>) i </w:t>
      </w:r>
      <w:r w:rsidRPr="008B0B87">
        <w:rPr>
          <w:rFonts w:ascii="Times New Roman" w:hAnsi="Times New Roman" w:cs="Times New Roman"/>
          <w:sz w:val="24"/>
          <w:szCs w:val="24"/>
        </w:rPr>
        <w:t xml:space="preserve">przechowywanie w niezależnych od siebie miejscach, co skutecznie minimalizuje ryzyko jej utraty w wyniku zniszczenia. </w:t>
      </w:r>
    </w:p>
    <w:p w14:paraId="1AACA6D0" w14:textId="77777777" w:rsidR="0058575F" w:rsidRPr="008B0B87" w:rsidRDefault="0058575F" w:rsidP="008B0B87">
      <w:pPr>
        <w:spacing w:before="120" w:after="0" w:line="360" w:lineRule="auto"/>
        <w:jc w:val="both"/>
        <w:rPr>
          <w:rFonts w:ascii="Times New Roman" w:hAnsi="Times New Roman"/>
          <w:sz w:val="24"/>
          <w:szCs w:val="24"/>
        </w:rPr>
      </w:pPr>
      <w:r w:rsidRPr="008B0B87">
        <w:rPr>
          <w:rFonts w:ascii="Times New Roman" w:hAnsi="Times New Roman"/>
          <w:bCs/>
          <w:sz w:val="24"/>
          <w:szCs w:val="24"/>
        </w:rPr>
        <w:t xml:space="preserve">Po zakończeniu postępowania może zaistnieć konieczność wydania akt sprawy na żądanie sądu, organu lub podmiotu, np. w przypadku postępowania o stwierdzenie </w:t>
      </w:r>
      <w:r w:rsidRPr="008B0B87">
        <w:rPr>
          <w:rFonts w:ascii="Times New Roman" w:hAnsi="Times New Roman"/>
          <w:bCs/>
          <w:sz w:val="24"/>
          <w:szCs w:val="24"/>
        </w:rPr>
        <w:lastRenderedPageBreak/>
        <w:t>nieważności ostatecznej decyzji będzie konieczne przekazanie akt sprawy zakończonej tą decyzją organowi wyższego stopnia, który jest właściwy do rozstrzygnięcia sprawy o stwierdzenie jej nieważności. W takiej sytuacji proponuje się, aby organ zamiast oryginału dokumentów składających się na akta sprawy, którymi już nie dysponuje z uwagi na ich zniszczenie, przekazał uwierzytelniony wydruk elektronicznych kopii tych dokumentów.</w:t>
      </w:r>
    </w:p>
    <w:p w14:paraId="6C8827DE" w14:textId="48EC8BE2" w:rsidR="0058575F" w:rsidRPr="008B0B87" w:rsidRDefault="0058575F" w:rsidP="008B0B87">
      <w:pPr>
        <w:pStyle w:val="USTustnpkodeksu"/>
        <w:spacing w:before="120"/>
        <w:ind w:firstLine="0"/>
        <w:rPr>
          <w:rFonts w:ascii="Times New Roman" w:hAnsi="Times New Roman" w:cs="Times New Roman"/>
          <w:sz w:val="24"/>
          <w:szCs w:val="24"/>
        </w:rPr>
      </w:pPr>
      <w:r w:rsidRPr="008B0B87">
        <w:rPr>
          <w:rFonts w:ascii="Times New Roman" w:hAnsi="Times New Roman" w:cs="Times New Roman"/>
          <w:sz w:val="24"/>
          <w:szCs w:val="24"/>
        </w:rPr>
        <w:t>Rozwiązania zaproponowane w projektowanym art. 14a ustawy o KSEP po ich wejściu w życie znajdą zastosowanie również do spraw, w których przed wejściem w życie projektowanej ustawy postępowanie administracyjne zostało zakończone albo w przypadku przysługiwania stronie prawa wniesienia skargi do sądu administracyjnego bezskutecznie upłynął termin na wniesienie tej skargi</w:t>
      </w:r>
      <w:r w:rsidR="002600B9">
        <w:rPr>
          <w:rFonts w:ascii="Times New Roman" w:hAnsi="Times New Roman" w:cs="Times New Roman"/>
          <w:sz w:val="24"/>
          <w:szCs w:val="24"/>
        </w:rPr>
        <w:t>,</w:t>
      </w:r>
      <w:r w:rsidRPr="008B0B87">
        <w:rPr>
          <w:rFonts w:ascii="Times New Roman" w:hAnsi="Times New Roman" w:cs="Times New Roman"/>
          <w:sz w:val="24"/>
          <w:szCs w:val="24"/>
        </w:rPr>
        <w:t xml:space="preserve"> albo prawomocnie zakończyło się postępowanie sądowo-administracyjne, w wyniku którego ostateczna decyzja kończąca postępowanie w sprawie nie została wyeliminowana z obrotu prawnego. Biorąc pod uwagę powyższe, nie ma potrzeby uzupełnienia projektu ustawy o przepis przejściowy uwzględniający zmiany prawne we wskazanym zakresie. </w:t>
      </w:r>
    </w:p>
    <w:p w14:paraId="3E6E533B" w14:textId="1412DBA4" w:rsidR="0058575F" w:rsidRPr="008B0B87" w:rsidRDefault="0058575F" w:rsidP="008B0B87">
      <w:pPr>
        <w:spacing w:before="120" w:after="0" w:line="360" w:lineRule="auto"/>
        <w:jc w:val="both"/>
        <w:rPr>
          <w:rFonts w:ascii="Times New Roman" w:hAnsi="Times New Roman"/>
          <w:bCs/>
          <w:sz w:val="24"/>
          <w:szCs w:val="24"/>
        </w:rPr>
      </w:pPr>
      <w:r w:rsidRPr="008B0B87">
        <w:rPr>
          <w:rFonts w:ascii="Times New Roman" w:hAnsi="Times New Roman"/>
          <w:bCs/>
          <w:sz w:val="24"/>
          <w:szCs w:val="24"/>
        </w:rPr>
        <w:t>W art. 1 pkt 3 projektowanej ustawy zostało rozszerzone upoważnienie ustawowe zawarte w art. 17 zmienianej ustawy o KSEP. W obecnym brzmieniu upoważnienie ustawowe reguluje szczegółowe wymagania, jakie powinien spełniać wniosek o wpis do ewidencji producentów, uwzględniając dane, o których mowa w art. 7, oraz biorąc pod uwagę zapewnienie prawidłowego funkcjonowania systemu. Po zmianie będzie określać również szczegółowe wymagania, jakie powinien spełniać formularz wniosku o wpis do ewidencji producentów</w:t>
      </w:r>
      <w:r w:rsidR="00F76622">
        <w:rPr>
          <w:rFonts w:ascii="Times New Roman" w:hAnsi="Times New Roman"/>
          <w:bCs/>
          <w:sz w:val="24"/>
          <w:szCs w:val="24"/>
        </w:rPr>
        <w:t>,</w:t>
      </w:r>
      <w:r w:rsidRPr="008B0B87">
        <w:rPr>
          <w:rFonts w:ascii="Times New Roman" w:hAnsi="Times New Roman"/>
          <w:bCs/>
          <w:sz w:val="24"/>
          <w:szCs w:val="24"/>
        </w:rPr>
        <w:t xml:space="preserve"> oraz szczegółowe warunki i tryb składania wniosku za pomocą formularza udostępnionego na stronie internetowej ARiMR, w tym format danych, w jakim elektroniczne kopie dokumentów będą dołączane do wniosku, przy uwzględnieniu wymagań określonych w przepisach o informatyzacji działalności podmiotów realizujących zadania publiczne.</w:t>
      </w:r>
    </w:p>
    <w:p w14:paraId="297BC159" w14:textId="35BF2662" w:rsidR="0058575F" w:rsidRPr="008B0B87" w:rsidRDefault="0058575F" w:rsidP="008B0B87">
      <w:pPr>
        <w:pStyle w:val="USTustnpkodeksu"/>
        <w:spacing w:before="120"/>
        <w:ind w:firstLine="0"/>
        <w:rPr>
          <w:rFonts w:ascii="Times New Roman" w:hAnsi="Times New Roman" w:cs="Times New Roman"/>
          <w:sz w:val="24"/>
          <w:szCs w:val="24"/>
        </w:rPr>
      </w:pPr>
      <w:r w:rsidRPr="008B0B87">
        <w:rPr>
          <w:rFonts w:ascii="Times New Roman" w:hAnsi="Times New Roman" w:cs="Times New Roman"/>
          <w:sz w:val="24"/>
          <w:szCs w:val="24"/>
        </w:rPr>
        <w:t xml:space="preserve">Należy wskazać, </w:t>
      </w:r>
      <w:r w:rsidR="0064369D">
        <w:rPr>
          <w:rFonts w:ascii="Times New Roman" w:hAnsi="Times New Roman" w:cs="Times New Roman"/>
          <w:sz w:val="24"/>
          <w:szCs w:val="24"/>
        </w:rPr>
        <w:t>że</w:t>
      </w:r>
      <w:r w:rsidRPr="008B0B87">
        <w:rPr>
          <w:rFonts w:ascii="Times New Roman" w:hAnsi="Times New Roman" w:cs="Times New Roman"/>
          <w:sz w:val="24"/>
          <w:szCs w:val="24"/>
        </w:rPr>
        <w:t xml:space="preserve"> upoważnienie o analogicznej treści zostało zawarte m.in. w art. 22 ust. 11 ustawy z dnia 5 lutego 2015 r. o płatnościach w ramach systemów wsparcia bezpośredniego. Przepis ten stanowi upoważnienie do wydania przez ministra właściwego do spraw rolnictwa aktów wykonawczych określających między innymi format danych, w jakim dokumenty będące załącznikami do wniosku mają być składane do ARiMR w przypadku, gdy są dokumentami elektronicznymi. </w:t>
      </w:r>
    </w:p>
    <w:p w14:paraId="0BB52EAE" w14:textId="4AE17BB2" w:rsidR="0058575F" w:rsidRPr="008B0B87" w:rsidRDefault="0058575F" w:rsidP="008B0B87">
      <w:pPr>
        <w:pStyle w:val="USTustnpkodeksu"/>
        <w:spacing w:before="120"/>
        <w:ind w:firstLine="0"/>
        <w:rPr>
          <w:rFonts w:ascii="Times New Roman" w:hAnsi="Times New Roman" w:cs="Times New Roman"/>
          <w:sz w:val="24"/>
          <w:szCs w:val="24"/>
        </w:rPr>
      </w:pPr>
      <w:r w:rsidRPr="008B0B87">
        <w:rPr>
          <w:rFonts w:ascii="Times New Roman" w:hAnsi="Times New Roman" w:cs="Times New Roman"/>
          <w:sz w:val="24"/>
          <w:szCs w:val="24"/>
        </w:rPr>
        <w:lastRenderedPageBreak/>
        <w:t>Relacja projektowanego art. 17 pkt 2 ustawy o KSEP do zakresu ustawy z dnia 17 lutego 2005 r. o informatyzacji działalności podmiotów realizujących zadania publiczne została wprost określona w upoważnieniu ustawowym zawartym w projektowanym art. 17 pkt 2 ustawy o KSEP, jak również w projektowanym art. 11 ust. 1d ustawy o KSEP, natomiast minimalne wymagania dla systemów teleinformatycznych, w tym specyfikację formatów danych oraz standardy techniczne zapewniające wymianę informacji z udziałem podmiotów publicznych z uwzględnieniem wymiany transgranicznej</w:t>
      </w:r>
      <w:r w:rsidR="00ED14D2">
        <w:rPr>
          <w:rFonts w:ascii="Times New Roman" w:hAnsi="Times New Roman" w:cs="Times New Roman"/>
          <w:sz w:val="24"/>
          <w:szCs w:val="24"/>
        </w:rPr>
        <w:t>,</w:t>
      </w:r>
      <w:r w:rsidRPr="008B0B87">
        <w:rPr>
          <w:rFonts w:ascii="Times New Roman" w:hAnsi="Times New Roman" w:cs="Times New Roman"/>
          <w:sz w:val="24"/>
          <w:szCs w:val="24"/>
        </w:rPr>
        <w:t xml:space="preserve"> określa rozporządzenie Rady Ministrów z dnia 12 kwietnia 2012 r. w sprawie Krajowych Ram Interoperacyjności, minimalnych wymagań dla rejestrów publicznych i wymiany informacji w postaci elektronicznej oraz minimalnych wymagań dla systemów teleinformatycznych (Dz. U. z 2017</w:t>
      </w:r>
      <w:r>
        <w:rPr>
          <w:rFonts w:ascii="Times New Roman" w:hAnsi="Times New Roman" w:cs="Times New Roman"/>
          <w:sz w:val="24"/>
          <w:szCs w:val="24"/>
        </w:rPr>
        <w:t xml:space="preserve"> </w:t>
      </w:r>
      <w:r w:rsidRPr="008B0B87">
        <w:rPr>
          <w:rFonts w:ascii="Times New Roman" w:hAnsi="Times New Roman" w:cs="Times New Roman"/>
          <w:sz w:val="24"/>
          <w:szCs w:val="24"/>
        </w:rPr>
        <w:t>r. poz. 2247).</w:t>
      </w:r>
    </w:p>
    <w:p w14:paraId="40CC774B" w14:textId="51A09984" w:rsidR="0058575F" w:rsidRPr="008B0B87" w:rsidRDefault="0058575F" w:rsidP="008B0B87">
      <w:pPr>
        <w:pStyle w:val="USTustnpkodeksu"/>
        <w:spacing w:before="120"/>
        <w:ind w:firstLine="0"/>
        <w:rPr>
          <w:rFonts w:ascii="Times New Roman" w:hAnsi="Times New Roman" w:cs="Times New Roman"/>
          <w:sz w:val="24"/>
          <w:szCs w:val="24"/>
        </w:rPr>
      </w:pPr>
      <w:r w:rsidRPr="008B0B87">
        <w:rPr>
          <w:rFonts w:ascii="Times New Roman" w:hAnsi="Times New Roman" w:cs="Times New Roman"/>
          <w:sz w:val="24"/>
          <w:szCs w:val="24"/>
        </w:rPr>
        <w:t xml:space="preserve">Jednocześnie należy wskazać, że przepis dotyczący utrzymania w mocy rozporządzenia Ministra Rolnictwa i Rozwoju Wsi </w:t>
      </w:r>
      <w:r w:rsidR="00ED14D2">
        <w:rPr>
          <w:rFonts w:ascii="Times New Roman" w:hAnsi="Times New Roman" w:cs="Times New Roman"/>
          <w:sz w:val="24"/>
          <w:szCs w:val="24"/>
        </w:rPr>
        <w:t xml:space="preserve">z </w:t>
      </w:r>
      <w:r w:rsidRPr="008B0B87">
        <w:rPr>
          <w:rFonts w:ascii="Times New Roman" w:hAnsi="Times New Roman" w:cs="Times New Roman"/>
          <w:sz w:val="24"/>
          <w:szCs w:val="24"/>
        </w:rPr>
        <w:t>dnia 27 września 2019 r. w sprawie szczegółowych wymagań, jakie powinien spełniać wniosek o wpis do ewidencji producentów</w:t>
      </w:r>
      <w:r w:rsidR="00ED14D2">
        <w:rPr>
          <w:rFonts w:ascii="Times New Roman" w:hAnsi="Times New Roman" w:cs="Times New Roman"/>
          <w:sz w:val="24"/>
          <w:szCs w:val="24"/>
        </w:rPr>
        <w:t>,</w:t>
      </w:r>
      <w:r w:rsidRPr="008B0B87">
        <w:rPr>
          <w:rFonts w:ascii="Times New Roman" w:hAnsi="Times New Roman" w:cs="Times New Roman"/>
          <w:sz w:val="24"/>
          <w:szCs w:val="24"/>
        </w:rPr>
        <w:t xml:space="preserve"> wydanego na podstawie upoważnienia ustawowego zawartego w art. 17 zmienianej ustawy o KSEP nie jest uzasadniony. Należy wskazać, że jedynie wyjątkowo można utrzymać w mocy akty wykonawcze wydane na podstawie zmienianego przepisu upoważniającego, jeżeli ten akt nie jest niezgodny z nowelizowaną ustawą. Mając na względzie rozszerzenie zakresu przedmiotowego nowelizowanego upoważnienia ustawowego oraz zmianę przepisów merytorycznych w nowelizowanej ustawie o KSEP, do których odnosi się to upoważnienie, zostanie wydane nowe rozporządzenie, które wejdzie w życie wraz z przepisami merytorycznymi nowelizowanej ustawy o KSEP. Kwestia ta została uregulowana przepisem o wejściu w życie projektowanej ustawy.</w:t>
      </w:r>
    </w:p>
    <w:p w14:paraId="7F0946EB" w14:textId="77777777" w:rsidR="0058575F" w:rsidRPr="008B0B87" w:rsidRDefault="0058575F" w:rsidP="008B0B87">
      <w:pPr>
        <w:spacing w:before="120" w:after="0" w:line="360" w:lineRule="auto"/>
        <w:jc w:val="both"/>
        <w:rPr>
          <w:rFonts w:ascii="Times New Roman" w:hAnsi="Times New Roman"/>
          <w:sz w:val="24"/>
          <w:szCs w:val="24"/>
        </w:rPr>
      </w:pPr>
      <w:r w:rsidRPr="008B0B87">
        <w:rPr>
          <w:rFonts w:ascii="Times New Roman" w:hAnsi="Times New Roman"/>
          <w:bCs/>
          <w:sz w:val="24"/>
          <w:szCs w:val="24"/>
        </w:rPr>
        <w:t>W art. 4 i art. 5 pkt 1 projektowanej ustawy, mając na względzie konieczność zapewnienia spójnych regulacji dotyczących postępowania przez ARiMR z dokumentami, proponuje się, aby analogiczne rozwiązania dotyczące uwierzytelniania elektronicznej kopii dokumentów oraz wyłączenia przepisów o narodowym zasobie archiwalnym i archiwach w odniesieniu do postępowania ze skopiowanymi elektronicznie dokumentami zostały uwzględnione odpowiednio w przepisach ustawy z dnia 5 lutego 2015 r. o płatnościach w ramach systemów wsparcia bezpośredniego oraz ustawy PROW 2014–2020.</w:t>
      </w:r>
    </w:p>
    <w:p w14:paraId="21F29AF0" w14:textId="013049CF" w:rsidR="0058575F" w:rsidRPr="008B0B87" w:rsidRDefault="0058575F" w:rsidP="008B0B87">
      <w:pPr>
        <w:spacing w:before="120" w:after="0" w:line="360" w:lineRule="auto"/>
        <w:jc w:val="both"/>
        <w:rPr>
          <w:rFonts w:ascii="Times New Roman" w:hAnsi="Times New Roman"/>
          <w:bCs/>
          <w:sz w:val="24"/>
          <w:szCs w:val="24"/>
        </w:rPr>
      </w:pPr>
      <w:r w:rsidRPr="008B0B87">
        <w:rPr>
          <w:rFonts w:ascii="Times New Roman" w:hAnsi="Times New Roman"/>
          <w:bCs/>
          <w:sz w:val="24"/>
          <w:szCs w:val="24"/>
        </w:rPr>
        <w:t xml:space="preserve">Biorąc powyższe pod uwagę, te rozwiązania będą miały zastosowanie do tych działań, w ramach których przyznawanie środków następuje w trybie przepisów postępowania administracyjnego zakończonego wydaniem decyzji administracyjnej, to jest do płatności </w:t>
      </w:r>
      <w:r w:rsidRPr="008B0B87">
        <w:rPr>
          <w:rFonts w:ascii="Times New Roman" w:hAnsi="Times New Roman"/>
          <w:bCs/>
          <w:sz w:val="24"/>
          <w:szCs w:val="24"/>
        </w:rPr>
        <w:lastRenderedPageBreak/>
        <w:t xml:space="preserve">w ramach systemów wsparcia bezpośredniego, a w ramach Programu Rozwoju Obszarów Wiejskich na lata 2014–2020 (PROW 2014–2020) – do takich działań jak zalesianie, działanie rolno-środowiskowo-klimatyczne, rolnictwo ekologiczne, płatności dla obszarów z ograniczeniami naturalnymi lub innymi szczególnymi ograniczeniami, dobrostan zwierząt oraz wyjątkowe tymczasowe wsparcie dla rolników, mikroprzedsiębiorstw oraz małych i średnich przedsiębiorstw szczególnie dotkniętych kryzysem związanym z COVID-19. </w:t>
      </w:r>
    </w:p>
    <w:p w14:paraId="732E9C83" w14:textId="3D79C13E" w:rsidR="0058575F" w:rsidRPr="008B0B87" w:rsidRDefault="0058575F" w:rsidP="008B0B87">
      <w:pPr>
        <w:spacing w:before="120" w:after="0" w:line="360" w:lineRule="auto"/>
        <w:jc w:val="both"/>
        <w:rPr>
          <w:rFonts w:ascii="Times New Roman" w:hAnsi="Times New Roman"/>
          <w:sz w:val="24"/>
          <w:szCs w:val="24"/>
        </w:rPr>
      </w:pPr>
      <w:r w:rsidRPr="008B0B87">
        <w:rPr>
          <w:rFonts w:ascii="Times New Roman" w:hAnsi="Times New Roman"/>
          <w:bCs/>
          <w:sz w:val="24"/>
          <w:szCs w:val="24"/>
        </w:rPr>
        <w:t>Obecnie akta papierowe, w ramach postępowań, o których mowa w projektowanych i obowiązujących ww. ustawach</w:t>
      </w:r>
      <w:r w:rsidR="00D3015D">
        <w:rPr>
          <w:rFonts w:ascii="Times New Roman" w:hAnsi="Times New Roman"/>
          <w:bCs/>
          <w:sz w:val="24"/>
          <w:szCs w:val="24"/>
        </w:rPr>
        <w:t>,</w:t>
      </w:r>
      <w:r w:rsidRPr="008B0B87">
        <w:rPr>
          <w:rFonts w:ascii="Times New Roman" w:hAnsi="Times New Roman"/>
          <w:bCs/>
          <w:sz w:val="24"/>
          <w:szCs w:val="24"/>
        </w:rPr>
        <w:t xml:space="preserve"> zajmują 44</w:t>
      </w:r>
      <w:r w:rsidR="00D3015D">
        <w:rPr>
          <w:rFonts w:ascii="Times New Roman" w:hAnsi="Times New Roman"/>
          <w:bCs/>
          <w:sz w:val="24"/>
          <w:szCs w:val="24"/>
        </w:rPr>
        <w:t xml:space="preserve"> </w:t>
      </w:r>
      <w:r w:rsidRPr="008B0B87">
        <w:rPr>
          <w:rFonts w:ascii="Times New Roman" w:hAnsi="Times New Roman"/>
          <w:bCs/>
          <w:sz w:val="24"/>
          <w:szCs w:val="24"/>
        </w:rPr>
        <w:t>157 metrów bieżących. Zatem, biorąc pod uwagę koszty związane z przechowywaniem przedmiotowych akt, proponowana zmiana przepisów umożliwi zastąpienie wersji papierowej akt spraw przez wersję elektroniczną akt tych spraw.</w:t>
      </w:r>
    </w:p>
    <w:p w14:paraId="5E3737B0" w14:textId="77777777" w:rsidR="0058575F" w:rsidRPr="008B0B87" w:rsidRDefault="0058575F" w:rsidP="008B0B87">
      <w:pPr>
        <w:spacing w:before="120" w:after="0" w:line="360" w:lineRule="auto"/>
        <w:jc w:val="both"/>
        <w:rPr>
          <w:rFonts w:ascii="Times New Roman" w:hAnsi="Times New Roman"/>
          <w:bCs/>
          <w:sz w:val="24"/>
          <w:szCs w:val="24"/>
        </w:rPr>
      </w:pPr>
      <w:r w:rsidRPr="008B0B87">
        <w:rPr>
          <w:rFonts w:ascii="Times New Roman" w:hAnsi="Times New Roman"/>
          <w:bCs/>
          <w:sz w:val="24"/>
          <w:szCs w:val="24"/>
        </w:rPr>
        <w:t xml:space="preserve">W art. 2 i art. 3 projektu ustawy proponuje się zmiany umożliwiające elektroniczne składanie wniosków o wypłatę w ramach działania „Zalesianie gruntów rolnych” objętego Planem Rozwoju Obszarów Wiejskich (PROW 2004–2006). Dodatkowo zaproponowano elektroniczny formularz wniosków o przyznanie pomocy, tzw. wniosków transferowych, składanych w przypadku śmierci lub przeniesienia zalesionych gruntów objętych zobowiązaniami zarówno podjętymi w ramach PROW 2004–2006, jak również w ramach działania „Zalesianie gruntów rolnych oraz zalesianie gruntów innych niż rolne” objętego Programem Rozwoju Obszarów Wiejskich na lata 2007–2013 (PROW 2007–2013). </w:t>
      </w:r>
    </w:p>
    <w:p w14:paraId="07603C93" w14:textId="10894B24" w:rsidR="0058575F" w:rsidRPr="008B0B87" w:rsidRDefault="0058575F" w:rsidP="008B0B87">
      <w:pPr>
        <w:spacing w:before="120" w:after="0" w:line="360" w:lineRule="auto"/>
        <w:jc w:val="both"/>
        <w:rPr>
          <w:rFonts w:ascii="Times New Roman" w:hAnsi="Times New Roman"/>
          <w:bCs/>
          <w:sz w:val="24"/>
          <w:szCs w:val="24"/>
        </w:rPr>
      </w:pPr>
      <w:r w:rsidRPr="008B0B87">
        <w:rPr>
          <w:rFonts w:ascii="Times New Roman" w:hAnsi="Times New Roman"/>
          <w:bCs/>
          <w:sz w:val="24"/>
          <w:szCs w:val="24"/>
        </w:rPr>
        <w:t xml:space="preserve">W ramach działania zalesieniowego objętego PROW 2004–2006 beneficjenci nadal realizują wieloletnie zobowiązania w zakresie prowadzenia założonej uprawy leśnej przez okres 20 lat od dnia uzyskania pierwszej płatności na zalesianie. W związku z tym co roku składają w postaci papierowej wnioski o wypłatę premii zalesieniowej. Podobnie jest w sytuacji śmierci beneficjenta lub przeniesienia własności zalesionych gruntów, wówczas pomoc jest przyznawana spadkobiercy lub nowemu właścicielowi po złożeniu wniosku o przyznanie pomocy – tzw. wniosku transferowego, który również jest składany jedynie w formie papierowej. Tego typu wnioski – tzw. wnioski transferowe – składane w postaci papierowej obowiązują również beneficjentów działania zalesieniowego PROW 2007–2013. W innych przypadkach beneficjenci działań zalesieniowych już teraz mogą składać wnioski elektroniczne, to jest wniosek o wypłatę premii zalesieniowej </w:t>
      </w:r>
      <w:r w:rsidRPr="008B0B87">
        <w:rPr>
          <w:rFonts w:ascii="Times New Roman" w:hAnsi="Times New Roman"/>
          <w:bCs/>
          <w:sz w:val="24"/>
          <w:szCs w:val="24"/>
        </w:rPr>
        <w:lastRenderedPageBreak/>
        <w:t>w</w:t>
      </w:r>
      <w:r w:rsidR="00D37E1A">
        <w:rPr>
          <w:rFonts w:ascii="Times New Roman" w:hAnsi="Times New Roman"/>
          <w:bCs/>
          <w:sz w:val="24"/>
          <w:szCs w:val="24"/>
        </w:rPr>
        <w:t> </w:t>
      </w:r>
      <w:r w:rsidRPr="008B0B87">
        <w:rPr>
          <w:rFonts w:ascii="Times New Roman" w:hAnsi="Times New Roman"/>
          <w:bCs/>
          <w:sz w:val="24"/>
          <w:szCs w:val="24"/>
        </w:rPr>
        <w:t>przypadku zobowiązań podjętych w ramach PROW 2007–2013 oraz analogiczne wnioski w przypadku zobowiązań podjętych w ramach PROW 2014–2020.</w:t>
      </w:r>
    </w:p>
    <w:p w14:paraId="12007A85" w14:textId="2E7B38FD" w:rsidR="0058575F" w:rsidRPr="008B0B87" w:rsidRDefault="0058575F" w:rsidP="008B0B87">
      <w:pPr>
        <w:spacing w:before="120" w:after="0" w:line="360" w:lineRule="auto"/>
        <w:jc w:val="both"/>
        <w:rPr>
          <w:rFonts w:ascii="Times New Roman" w:hAnsi="Times New Roman"/>
          <w:sz w:val="24"/>
          <w:szCs w:val="24"/>
        </w:rPr>
      </w:pPr>
      <w:r w:rsidRPr="008B0B87">
        <w:rPr>
          <w:rFonts w:ascii="Times New Roman" w:hAnsi="Times New Roman"/>
          <w:bCs/>
          <w:sz w:val="24"/>
          <w:szCs w:val="24"/>
        </w:rPr>
        <w:t>Proponowane zmiany pozwolą zatem na składanie wniosków w postaci elektronicznej niezależnie od tego, w którym okresie programowania było podjęte zobowiązanie. Stanowić to będzie duże uproszczenie dla beneficjentów, którzy co roku składają wnioski o wypłatę, oraz dla spadkobierców i nowych właścicieli, którzy składają tzw. wnioski transferowe. Wprowadzenie formularzy elektronicznych tych wniosków ułatwi załatwianie spraw, co jest szczególnie istotne w okresie epidemii. Ponadto pozwoli ARiMR na usprawnienie procesu weryfikacji wniosków, a w rezultacie przyspieszy wypłatę środków finansowych na rzecz beneficjentów.</w:t>
      </w:r>
    </w:p>
    <w:p w14:paraId="3768ECC0" w14:textId="4AEEE09F" w:rsidR="0058575F" w:rsidRPr="008B0B87" w:rsidRDefault="0058575F" w:rsidP="008B0B87">
      <w:pPr>
        <w:spacing w:before="120" w:after="0" w:line="360" w:lineRule="auto"/>
        <w:jc w:val="both"/>
        <w:rPr>
          <w:rFonts w:ascii="Times New Roman" w:hAnsi="Times New Roman"/>
          <w:bCs/>
          <w:sz w:val="24"/>
          <w:szCs w:val="24"/>
        </w:rPr>
      </w:pPr>
      <w:r w:rsidRPr="008B0B87">
        <w:rPr>
          <w:rFonts w:ascii="Times New Roman" w:hAnsi="Times New Roman"/>
          <w:bCs/>
          <w:sz w:val="24"/>
          <w:szCs w:val="24"/>
        </w:rPr>
        <w:t xml:space="preserve">Przedmiotowe zmiany są ściśle powiązane ze zmianami wprowadzanymi w ustawie o KSEP, gdyż pomoc w ramach ww. działań zalesieniowych jest przyznawana rolnikowi, który został wpisany do ewidencji producentów, stanowiącej część krajowego systemu ewidencji producentów, ewidencji gospodarstw rolnych oraz ewidencji wniosków o przyznanie płatności. W związku z tym wnioski o wpis do tej ewidencji poprzedzają złożenie wniosków zalesieniowych w przypadku rolników, którzy do tej pory nie posiadali numeru identyfikacyjnego. Tym samym złożenie obu wniosków na formularzach udostępnionych przez ARiMR pozwoli kompleksowo załatwić sprawę w sposób elektroniczny. </w:t>
      </w:r>
    </w:p>
    <w:p w14:paraId="4F4F5093" w14:textId="224B382E" w:rsidR="0058575F" w:rsidRPr="008B0B87" w:rsidRDefault="0058575F" w:rsidP="008B0B87">
      <w:pPr>
        <w:spacing w:before="120" w:after="0" w:line="360" w:lineRule="auto"/>
        <w:jc w:val="both"/>
        <w:rPr>
          <w:rFonts w:ascii="Times New Roman" w:hAnsi="Times New Roman"/>
          <w:sz w:val="24"/>
          <w:szCs w:val="24"/>
        </w:rPr>
      </w:pPr>
      <w:r w:rsidRPr="008B0B87">
        <w:rPr>
          <w:rFonts w:ascii="Times New Roman" w:hAnsi="Times New Roman"/>
          <w:bCs/>
          <w:sz w:val="24"/>
          <w:szCs w:val="24"/>
        </w:rPr>
        <w:t>Mając na względzie zmianę upoważnień ustawowych zawartych w art. 5 ust. 7 ustawy PROW 2004</w:t>
      </w:r>
      <w:r w:rsidRPr="008B0B87">
        <w:rPr>
          <w:rFonts w:ascii="Times New Roman" w:hAnsi="Times New Roman"/>
          <w:sz w:val="24"/>
          <w:szCs w:val="24"/>
        </w:rPr>
        <w:t>–</w:t>
      </w:r>
      <w:r w:rsidRPr="008B0B87">
        <w:rPr>
          <w:rFonts w:ascii="Times New Roman" w:hAnsi="Times New Roman"/>
          <w:bCs/>
          <w:sz w:val="24"/>
          <w:szCs w:val="24"/>
        </w:rPr>
        <w:t>2006 oraz art. 24 ust. 4 ustawy PROW 2007</w:t>
      </w:r>
      <w:r w:rsidRPr="008B0B87">
        <w:rPr>
          <w:rFonts w:ascii="Times New Roman" w:hAnsi="Times New Roman"/>
          <w:sz w:val="24"/>
          <w:szCs w:val="24"/>
        </w:rPr>
        <w:t>–</w:t>
      </w:r>
      <w:r w:rsidRPr="008B0B87">
        <w:rPr>
          <w:rFonts w:ascii="Times New Roman" w:hAnsi="Times New Roman"/>
          <w:bCs/>
          <w:sz w:val="24"/>
          <w:szCs w:val="24"/>
        </w:rPr>
        <w:t>2013, przez Ministra Rolnictwa i Rozwoju Wsi zostaną wydane rozporządzenia w sprawie formularzy wniosków w ramach ww. działań zalesieniowych. Dodatkowo, w związku z uchyleniem ust. 6 w art. 5 ustawy PROW 2004</w:t>
      </w:r>
      <w:r w:rsidRPr="008B0B87">
        <w:rPr>
          <w:rFonts w:ascii="Times New Roman" w:hAnsi="Times New Roman"/>
          <w:sz w:val="24"/>
          <w:szCs w:val="24"/>
        </w:rPr>
        <w:t>–</w:t>
      </w:r>
      <w:r w:rsidRPr="008B0B87">
        <w:rPr>
          <w:rFonts w:ascii="Times New Roman" w:hAnsi="Times New Roman"/>
          <w:bCs/>
          <w:sz w:val="24"/>
          <w:szCs w:val="24"/>
        </w:rPr>
        <w:t>2006 i dodaniem w tym artykule ust. 6a, zostanie wydane rozporządzenie Ministra Rolnictwa i Rozwoju Wsi w sprawie szczegółowych wymagań, jakie powinny spełniać wnioski o pomoc na zalesianie gruntów rolnych oraz wnioski o wypłatę tej pomocy. Przedmiotowe projekty rozporządzeń wejdą w życie wraz z wejściem w życie projektowanej ustawy.</w:t>
      </w:r>
    </w:p>
    <w:p w14:paraId="30D2F48A" w14:textId="3380812D" w:rsidR="0058575F" w:rsidRPr="008B0B87" w:rsidRDefault="0058575F" w:rsidP="0058575F">
      <w:pPr>
        <w:pStyle w:val="ARTartustawynprozporzdzenia"/>
        <w:ind w:firstLine="0"/>
        <w:rPr>
          <w:rFonts w:ascii="Times New Roman" w:hAnsi="Times New Roman" w:cs="Times New Roman"/>
          <w:sz w:val="24"/>
          <w:szCs w:val="24"/>
        </w:rPr>
      </w:pPr>
      <w:r w:rsidRPr="008B0B87">
        <w:rPr>
          <w:rFonts w:ascii="Times New Roman" w:hAnsi="Times New Roman" w:cs="Times New Roman"/>
          <w:bCs/>
          <w:sz w:val="24"/>
          <w:szCs w:val="24"/>
        </w:rPr>
        <w:t xml:space="preserve">W art. 5 w pkt 2 i 3 projektowanej ustawy wprowadzono zmiany mające na celu doprecyzowanie przepisów ustawy PROW 2014–2020, które pozwolą agencji płatniczej na weryfikację (na etapie przed zawarciem umowy o przyznaniu pomocy) spełniania przez podmiot, którego oferta zostanie wybrana jako najkorzystniejsza zgodnie z przepisami ustawy </w:t>
      </w:r>
      <w:r w:rsidRPr="008B0B87">
        <w:rPr>
          <w:rFonts w:ascii="Times New Roman" w:hAnsi="Times New Roman" w:cs="Times New Roman"/>
          <w:sz w:val="24"/>
          <w:szCs w:val="24"/>
        </w:rPr>
        <w:t xml:space="preserve">z dnia 11 września 2019 r. – Prawo zamówień publicznych (Dz. U. </w:t>
      </w:r>
      <w:r w:rsidRPr="008B0B87">
        <w:rPr>
          <w:rFonts w:ascii="Times New Roman" w:hAnsi="Times New Roman" w:cs="Times New Roman"/>
          <w:sz w:val="24"/>
          <w:szCs w:val="24"/>
        </w:rPr>
        <w:lastRenderedPageBreak/>
        <w:t>z</w:t>
      </w:r>
      <w:r w:rsidR="00D37E1A">
        <w:rPr>
          <w:rFonts w:ascii="Times New Roman" w:hAnsi="Times New Roman" w:cs="Times New Roman"/>
          <w:sz w:val="24"/>
          <w:szCs w:val="24"/>
        </w:rPr>
        <w:t> </w:t>
      </w:r>
      <w:r w:rsidRPr="008B0B87">
        <w:rPr>
          <w:rFonts w:ascii="Times New Roman" w:hAnsi="Times New Roman" w:cs="Times New Roman"/>
          <w:sz w:val="24"/>
          <w:szCs w:val="24"/>
        </w:rPr>
        <w:t xml:space="preserve">2021 r. poz. 1129, z </w:t>
      </w:r>
      <w:proofErr w:type="spellStart"/>
      <w:r w:rsidRPr="008B0B87">
        <w:rPr>
          <w:rFonts w:ascii="Times New Roman" w:hAnsi="Times New Roman" w:cs="Times New Roman"/>
          <w:sz w:val="24"/>
          <w:szCs w:val="24"/>
        </w:rPr>
        <w:t>późn</w:t>
      </w:r>
      <w:proofErr w:type="spellEnd"/>
      <w:r w:rsidRPr="008B0B87">
        <w:rPr>
          <w:rFonts w:ascii="Times New Roman" w:hAnsi="Times New Roman" w:cs="Times New Roman"/>
          <w:sz w:val="24"/>
          <w:szCs w:val="24"/>
        </w:rPr>
        <w:t>. zm.) (</w:t>
      </w:r>
      <w:r w:rsidR="009F4B71">
        <w:rPr>
          <w:rFonts w:ascii="Times New Roman" w:hAnsi="Times New Roman" w:cs="Times New Roman"/>
          <w:sz w:val="24"/>
          <w:szCs w:val="24"/>
        </w:rPr>
        <w:t>dalej: „</w:t>
      </w:r>
      <w:r w:rsidRPr="008B0B87">
        <w:rPr>
          <w:rFonts w:ascii="Times New Roman" w:hAnsi="Times New Roman" w:cs="Times New Roman"/>
          <w:sz w:val="24"/>
          <w:szCs w:val="24"/>
        </w:rPr>
        <w:t>PZP</w:t>
      </w:r>
      <w:r w:rsidR="009F4B71">
        <w:rPr>
          <w:rFonts w:ascii="Times New Roman" w:hAnsi="Times New Roman" w:cs="Times New Roman"/>
          <w:sz w:val="24"/>
          <w:szCs w:val="24"/>
        </w:rPr>
        <w:t>”</w:t>
      </w:r>
      <w:r w:rsidRPr="008B0B87">
        <w:rPr>
          <w:rFonts w:ascii="Times New Roman" w:hAnsi="Times New Roman" w:cs="Times New Roman"/>
          <w:sz w:val="24"/>
          <w:szCs w:val="24"/>
        </w:rPr>
        <w:t>)</w:t>
      </w:r>
      <w:r w:rsidRPr="008B0B87">
        <w:rPr>
          <w:rFonts w:ascii="Times New Roman" w:hAnsi="Times New Roman" w:cs="Times New Roman"/>
          <w:bCs/>
          <w:sz w:val="24"/>
          <w:szCs w:val="24"/>
        </w:rPr>
        <w:t>, warunków przyznania pomocy określonych dla beneficjenta wynikających z przepisów Unii Europejskiej, ustawy PROW 2014–2020 oraz rozporządzeń wykonawczych w ramach działań M01 „Transfer wiedzy i działalność informacyjna” oraz M02 „Usługi doradcze, usługi z zakresu zarządzania gospodarstwem rolnym i usługi z zakresu zastępstw</w:t>
      </w:r>
      <w:r w:rsidR="0097111E">
        <w:rPr>
          <w:rFonts w:ascii="Times New Roman" w:hAnsi="Times New Roman" w:cs="Times New Roman"/>
          <w:bCs/>
          <w:sz w:val="24"/>
          <w:szCs w:val="24"/>
        </w:rPr>
        <w:t>”</w:t>
      </w:r>
      <w:r w:rsidRPr="008B0B87">
        <w:rPr>
          <w:rFonts w:ascii="Times New Roman" w:hAnsi="Times New Roman" w:cs="Times New Roman"/>
          <w:bCs/>
          <w:sz w:val="24"/>
          <w:szCs w:val="24"/>
        </w:rPr>
        <w:t xml:space="preserve"> </w:t>
      </w:r>
      <w:r w:rsidRPr="008B0B87">
        <w:rPr>
          <w:rFonts w:ascii="Times New Roman" w:hAnsi="Times New Roman" w:cs="Times New Roman"/>
          <w:sz w:val="24"/>
          <w:szCs w:val="24"/>
        </w:rPr>
        <w:t>(działania M01 i M02)</w:t>
      </w:r>
      <w:r w:rsidRPr="008B0B87">
        <w:rPr>
          <w:rFonts w:ascii="Times New Roman" w:hAnsi="Times New Roman" w:cs="Times New Roman"/>
          <w:bCs/>
          <w:sz w:val="24"/>
          <w:szCs w:val="24"/>
        </w:rPr>
        <w:t xml:space="preserve">. </w:t>
      </w:r>
      <w:r w:rsidRPr="008B0B87">
        <w:rPr>
          <w:rFonts w:ascii="Times New Roman" w:hAnsi="Times New Roman" w:cs="Times New Roman"/>
          <w:sz w:val="24"/>
          <w:szCs w:val="24"/>
        </w:rPr>
        <w:t xml:space="preserve">Zgodnie z obowiązującymi przepisami pomoc jest przyznawana beneficjentowi wyłonionemu zgodnie z PZP. Pomoc jest przyznawana na podstawie umowy o przyznaniu pomocy, zawieranej pod rygorem nieważności w formie pisemnej. Pomoc może zostać przyznana, jeżeli są spełnione warunki przyznania pomocy określone w przepisach </w:t>
      </w:r>
      <w:r w:rsidRPr="008B0B87">
        <w:rPr>
          <w:rFonts w:ascii="Times New Roman" w:hAnsi="Times New Roman" w:cs="Times New Roman"/>
          <w:bCs/>
          <w:sz w:val="24"/>
          <w:szCs w:val="24"/>
        </w:rPr>
        <w:t xml:space="preserve">Unii Europejskiej </w:t>
      </w:r>
      <w:r w:rsidRPr="008B0B87">
        <w:rPr>
          <w:rFonts w:ascii="Times New Roman" w:hAnsi="Times New Roman" w:cs="Times New Roman"/>
          <w:sz w:val="24"/>
          <w:szCs w:val="24"/>
        </w:rPr>
        <w:t xml:space="preserve">dotyczących wsparcia z Europejskiego Funduszu Rolnego na rzecz Rozwoju Obszarów Wiejskich (EFFROW) oraz przepisach ustawy PROW </w:t>
      </w:r>
      <w:r w:rsidRPr="008B0B87">
        <w:rPr>
          <w:rFonts w:ascii="Times New Roman" w:hAnsi="Times New Roman" w:cs="Times New Roman"/>
          <w:bCs/>
          <w:sz w:val="24"/>
          <w:szCs w:val="24"/>
        </w:rPr>
        <w:t>2014–2020</w:t>
      </w:r>
      <w:r w:rsidRPr="008B0B87">
        <w:rPr>
          <w:rFonts w:ascii="Times New Roman" w:hAnsi="Times New Roman" w:cs="Times New Roman"/>
          <w:sz w:val="24"/>
          <w:szCs w:val="24"/>
        </w:rPr>
        <w:t xml:space="preserve">. </w:t>
      </w:r>
    </w:p>
    <w:p w14:paraId="27FC2382" w14:textId="77777777" w:rsidR="0058575F" w:rsidRPr="008B0B87" w:rsidRDefault="0058575F" w:rsidP="0058575F">
      <w:pPr>
        <w:pStyle w:val="ARTartustawynprozporzdzenia"/>
        <w:ind w:firstLine="0"/>
        <w:rPr>
          <w:rFonts w:ascii="Times New Roman" w:hAnsi="Times New Roman" w:cs="Times New Roman"/>
          <w:sz w:val="24"/>
          <w:szCs w:val="24"/>
        </w:rPr>
      </w:pPr>
      <w:r w:rsidRPr="008B0B87">
        <w:rPr>
          <w:rFonts w:ascii="Times New Roman" w:hAnsi="Times New Roman" w:cs="Times New Roman"/>
          <w:sz w:val="24"/>
          <w:szCs w:val="24"/>
        </w:rPr>
        <w:t xml:space="preserve">W związku ze złożonym odwołaniem w ramach jednego z postępowań na wybór beneficjenta ww. działań PROW 2014–2020 Krajowa </w:t>
      </w:r>
      <w:bookmarkStart w:id="0" w:name="highlightHit_0"/>
      <w:bookmarkEnd w:id="0"/>
      <w:r w:rsidRPr="008B0B87">
        <w:rPr>
          <w:rStyle w:val="highlight"/>
          <w:rFonts w:ascii="Times New Roman" w:hAnsi="Times New Roman" w:cs="Times New Roman"/>
          <w:sz w:val="24"/>
          <w:szCs w:val="24"/>
        </w:rPr>
        <w:t>Izba</w:t>
      </w:r>
      <w:r w:rsidRPr="008B0B87">
        <w:rPr>
          <w:rFonts w:ascii="Times New Roman" w:hAnsi="Times New Roman" w:cs="Times New Roman"/>
          <w:sz w:val="24"/>
          <w:szCs w:val="24"/>
        </w:rPr>
        <w:t xml:space="preserve"> Odwoławcza (KIO) w wyroku z dnia 10 listopada 2021 r. zakwestionowała dotychczasowe podejście do określania warunków udziału w postępowaniu z jednoczesnym uwzględnieniem warunków przyznania pomocy wynikających z ustawy PROW </w:t>
      </w:r>
      <w:r w:rsidRPr="008B0B87">
        <w:rPr>
          <w:rFonts w:ascii="Times New Roman" w:hAnsi="Times New Roman" w:cs="Times New Roman"/>
          <w:bCs/>
          <w:sz w:val="24"/>
          <w:szCs w:val="24"/>
        </w:rPr>
        <w:t xml:space="preserve">2014–2020 </w:t>
      </w:r>
      <w:r w:rsidRPr="008B0B87">
        <w:rPr>
          <w:rFonts w:ascii="Times New Roman" w:hAnsi="Times New Roman" w:cs="Times New Roman"/>
          <w:sz w:val="24"/>
          <w:szCs w:val="24"/>
        </w:rPr>
        <w:t>i wskazała na potrzebę wyodrębnienia dwóch etapów procesu przyznawania pomocy:</w:t>
      </w:r>
    </w:p>
    <w:p w14:paraId="0EEAEFBF" w14:textId="77777777" w:rsidR="0058575F" w:rsidRPr="008B0B87" w:rsidRDefault="0058575F" w:rsidP="008B0B87">
      <w:pPr>
        <w:pStyle w:val="PKTpunkt"/>
        <w:ind w:left="284" w:hanging="284"/>
        <w:rPr>
          <w:rFonts w:ascii="Times New Roman" w:hAnsi="Times New Roman" w:cs="Times New Roman"/>
          <w:sz w:val="24"/>
          <w:szCs w:val="24"/>
        </w:rPr>
      </w:pPr>
      <w:r w:rsidRPr="008B0B87">
        <w:rPr>
          <w:rFonts w:ascii="Times New Roman" w:hAnsi="Times New Roman" w:cs="Times New Roman"/>
          <w:sz w:val="24"/>
          <w:szCs w:val="24"/>
        </w:rPr>
        <w:t>1)</w:t>
      </w:r>
      <w:r w:rsidRPr="008B0B87">
        <w:rPr>
          <w:rFonts w:ascii="Times New Roman" w:hAnsi="Times New Roman" w:cs="Times New Roman"/>
          <w:sz w:val="24"/>
          <w:szCs w:val="24"/>
        </w:rPr>
        <w:tab/>
        <w:t>przeprowadzenie najpierw wyboru najkorzystniejszej oferty zgodnie z PZP;</w:t>
      </w:r>
    </w:p>
    <w:p w14:paraId="65FC2ABB" w14:textId="2E4C59CC" w:rsidR="0058575F" w:rsidRPr="008B0B87" w:rsidRDefault="0058575F" w:rsidP="008B0B87">
      <w:pPr>
        <w:pStyle w:val="PKTpunkt"/>
        <w:ind w:left="284" w:hanging="284"/>
        <w:rPr>
          <w:rFonts w:ascii="Times New Roman" w:hAnsi="Times New Roman" w:cs="Times New Roman"/>
          <w:sz w:val="24"/>
          <w:szCs w:val="24"/>
        </w:rPr>
      </w:pPr>
      <w:r w:rsidRPr="008B0B87">
        <w:rPr>
          <w:rFonts w:ascii="Times New Roman" w:hAnsi="Times New Roman" w:cs="Times New Roman"/>
          <w:sz w:val="24"/>
          <w:szCs w:val="24"/>
        </w:rPr>
        <w:t>2)</w:t>
      </w:r>
      <w:r w:rsidRPr="008B0B87">
        <w:rPr>
          <w:rFonts w:ascii="Times New Roman" w:hAnsi="Times New Roman" w:cs="Times New Roman"/>
          <w:sz w:val="24"/>
          <w:szCs w:val="24"/>
        </w:rPr>
        <w:tab/>
        <w:t xml:space="preserve">następnie sprawdzenie spełnienia przez podmiot, którego oferta została wybrana jako najkorzystniejsza, warunków przyznania pomocy określonych w ustawie PROW </w:t>
      </w:r>
      <w:r w:rsidRPr="008B0B87">
        <w:rPr>
          <w:rFonts w:ascii="Times New Roman" w:hAnsi="Times New Roman" w:cs="Times New Roman"/>
          <w:bCs w:val="0"/>
          <w:sz w:val="24"/>
          <w:szCs w:val="24"/>
        </w:rPr>
        <w:t>2014–2020</w:t>
      </w:r>
      <w:r w:rsidRPr="008B0B87">
        <w:rPr>
          <w:rFonts w:ascii="Times New Roman" w:hAnsi="Times New Roman" w:cs="Times New Roman"/>
          <w:sz w:val="24"/>
          <w:szCs w:val="24"/>
        </w:rPr>
        <w:t>, których nie można zastosować na eta</w:t>
      </w:r>
      <w:r w:rsidR="00D37E1A">
        <w:rPr>
          <w:rFonts w:ascii="Times New Roman" w:hAnsi="Times New Roman" w:cs="Times New Roman"/>
          <w:sz w:val="24"/>
          <w:szCs w:val="24"/>
        </w:rPr>
        <w:t>pie prowadzonego postępowania o </w:t>
      </w:r>
      <w:r w:rsidRPr="008B0B87">
        <w:rPr>
          <w:rFonts w:ascii="Times New Roman" w:hAnsi="Times New Roman" w:cs="Times New Roman"/>
          <w:sz w:val="24"/>
          <w:szCs w:val="24"/>
        </w:rPr>
        <w:t>udzielenie zamówienia.</w:t>
      </w:r>
    </w:p>
    <w:p w14:paraId="1600388E" w14:textId="77777777" w:rsidR="0058575F" w:rsidRPr="008B0B87" w:rsidRDefault="0058575F" w:rsidP="0058575F">
      <w:pPr>
        <w:pStyle w:val="ARTartustawynprozporzdzenia"/>
        <w:ind w:firstLine="0"/>
        <w:rPr>
          <w:rFonts w:ascii="Times New Roman" w:hAnsi="Times New Roman" w:cs="Times New Roman"/>
          <w:sz w:val="24"/>
          <w:szCs w:val="24"/>
        </w:rPr>
      </w:pPr>
      <w:r w:rsidRPr="008B0B87">
        <w:rPr>
          <w:rFonts w:ascii="Times New Roman" w:hAnsi="Times New Roman" w:cs="Times New Roman"/>
          <w:sz w:val="24"/>
          <w:szCs w:val="24"/>
        </w:rPr>
        <w:t xml:space="preserve">Proponowana zmiana ustawy PROW </w:t>
      </w:r>
      <w:r w:rsidRPr="008B0B87">
        <w:rPr>
          <w:rFonts w:ascii="Times New Roman" w:hAnsi="Times New Roman" w:cs="Times New Roman"/>
          <w:bCs/>
          <w:sz w:val="24"/>
          <w:szCs w:val="24"/>
        </w:rPr>
        <w:t>2014–2020</w:t>
      </w:r>
      <w:r w:rsidRPr="008B0B87">
        <w:rPr>
          <w:rFonts w:ascii="Times New Roman" w:hAnsi="Times New Roman" w:cs="Times New Roman"/>
          <w:sz w:val="24"/>
          <w:szCs w:val="24"/>
        </w:rPr>
        <w:t xml:space="preserve"> ma na celu doprecyzowanie podstaw prawnych, które umożliwią agencji płatniczej weryfikację (na etapie przed zawarciem umowy o przyznaniu pomocy) spełniania przez podmiot, którego oferta zostanie wybrana jako najkorzystniejsza zgodnie z PZP, warunków przyznania pomocy określonych dla beneficjenta wynikających z przepisów Unii Europejskiej, ustawy PROW </w:t>
      </w:r>
      <w:r w:rsidRPr="008B0B87">
        <w:rPr>
          <w:rFonts w:ascii="Times New Roman" w:hAnsi="Times New Roman" w:cs="Times New Roman"/>
          <w:bCs/>
          <w:sz w:val="24"/>
          <w:szCs w:val="24"/>
        </w:rPr>
        <w:t>2014–2020</w:t>
      </w:r>
      <w:r w:rsidRPr="008B0B87">
        <w:rPr>
          <w:rFonts w:ascii="Times New Roman" w:hAnsi="Times New Roman" w:cs="Times New Roman"/>
          <w:sz w:val="24"/>
          <w:szCs w:val="24"/>
        </w:rPr>
        <w:t xml:space="preserve"> oraz rozporządzeń wykonawczych w ramach działań M01 i M02.</w:t>
      </w:r>
    </w:p>
    <w:p w14:paraId="2186534A" w14:textId="32821E60" w:rsidR="0058575F" w:rsidRPr="008B0B87" w:rsidRDefault="0058575F" w:rsidP="0058575F">
      <w:pPr>
        <w:pStyle w:val="ARTartustawynprozporzdzenia"/>
        <w:ind w:firstLine="0"/>
        <w:rPr>
          <w:rFonts w:ascii="Times New Roman" w:hAnsi="Times New Roman" w:cs="Times New Roman"/>
          <w:sz w:val="24"/>
          <w:szCs w:val="24"/>
        </w:rPr>
      </w:pPr>
      <w:r w:rsidRPr="008B0B87">
        <w:rPr>
          <w:rFonts w:ascii="Times New Roman" w:hAnsi="Times New Roman" w:cs="Times New Roman"/>
          <w:sz w:val="24"/>
          <w:szCs w:val="24"/>
        </w:rPr>
        <w:t>Proponowane zmiany są konieczne, aby zminimalizować zagrożenie niewykorzystania środków finansowych w ramach PROW 2014–2020</w:t>
      </w:r>
      <w:r w:rsidR="000B735C">
        <w:rPr>
          <w:rFonts w:ascii="Times New Roman" w:hAnsi="Times New Roman" w:cs="Times New Roman"/>
          <w:sz w:val="24"/>
          <w:szCs w:val="24"/>
        </w:rPr>
        <w:t>,</w:t>
      </w:r>
      <w:r w:rsidRPr="008B0B87">
        <w:rPr>
          <w:rFonts w:ascii="Times New Roman" w:hAnsi="Times New Roman" w:cs="Times New Roman"/>
          <w:sz w:val="24"/>
          <w:szCs w:val="24"/>
        </w:rPr>
        <w:t xml:space="preserve"> w przypadku gdyby wskazane w wyroku KIO rozumienie obowiązujących przepisów zostało potwierdzone w kolejnych postępowaniach. Potencjalnie istniejące ryzyko zaskarżania treści specyfikacji warunków </w:t>
      </w:r>
      <w:r w:rsidRPr="008B0B87">
        <w:rPr>
          <w:rFonts w:ascii="Times New Roman" w:hAnsi="Times New Roman" w:cs="Times New Roman"/>
          <w:sz w:val="24"/>
          <w:szCs w:val="24"/>
        </w:rPr>
        <w:lastRenderedPageBreak/>
        <w:t>zamówienia w postępowaniach o udzielenie zamówienia publicznego prowadzonych przez agencję płatniczą w ramach działań M01 i M02 może spowodować zatrzymanie wdrażania przedmiotowych działań, a w konsekwencji brak wydatkowania środków finansowych z PROW 2014–2020. Obecnie obowiązujące przepisy, w tym przepisy PZP, w kontekście powyższych wątpliwości interpretacyjnych nie pozwalają zaś agencji płatniczej na wybór beneficjentów przedmiotowych działań zgodnie z przepisami Unii Europejskiej i krajowymi w tym zakresie.</w:t>
      </w:r>
    </w:p>
    <w:p w14:paraId="3935FE19" w14:textId="77777777" w:rsidR="0058575F" w:rsidRPr="008B0B87" w:rsidRDefault="0058575F" w:rsidP="008B0B87">
      <w:pPr>
        <w:pStyle w:val="ARTartustawynprozporzdzenia"/>
        <w:ind w:firstLine="0"/>
        <w:rPr>
          <w:rFonts w:ascii="Times New Roman" w:hAnsi="Times New Roman" w:cs="Times New Roman"/>
          <w:sz w:val="24"/>
          <w:szCs w:val="24"/>
        </w:rPr>
      </w:pPr>
      <w:r w:rsidRPr="008B0B87">
        <w:rPr>
          <w:rFonts w:ascii="Times New Roman" w:hAnsi="Times New Roman" w:cs="Times New Roman"/>
          <w:sz w:val="24"/>
          <w:szCs w:val="24"/>
        </w:rPr>
        <w:t xml:space="preserve">Proponuje się, aby w ramach postępowania o udzielenie zamówienia publicznego w celu wyłonienia beneficjenta działań M01 i M02 w ogłoszeniach o zamówieniu oraz w dokumentacji postępowania (w szczególności w specyfikacji warunków zamówienia) agencja płatnicza każdorazowo wskazywała, jakie warunki przyznania pomocy powinien spełnić oferent przed zawarciem umowy, aby mogła mu zostać przyznana pomoc na podstawie tej umowy, oraz sposób wykazania ich spełnienia. Jeżeli warunki te nie zostaną spełnione (nie zostaną wykazane przez oferenta), pomoc nie zostanie przyznana. Podkreślenia przy tym wymaga, że warunki te będą dotyczyć jedynie warunków przyznania pomocy wynikających z powyższych przepisów. Rozwiązanie to ma na celu z jednej strony uczynienie zadość podstawowej zasadzie, że pomoc może być przyznana jedynie podmiotowi, który spełnia warunki przyznania pomocy określone w przepisach prawa, z drugiej zaś – że beneficjenta ww. działań wyłania się zgodnie z przepisami PZP. Wskazywanie bowiem warunków przyznania pomocy określonych dla beneficjenta wynikających z przepisów Unii Europejskiej, ustawy PROW </w:t>
      </w:r>
      <w:r w:rsidRPr="008B0B87">
        <w:rPr>
          <w:rFonts w:ascii="Times New Roman" w:hAnsi="Times New Roman" w:cs="Times New Roman"/>
          <w:bCs/>
          <w:sz w:val="24"/>
          <w:szCs w:val="24"/>
        </w:rPr>
        <w:t>2014–2020</w:t>
      </w:r>
      <w:r w:rsidRPr="008B0B87">
        <w:rPr>
          <w:rFonts w:ascii="Times New Roman" w:hAnsi="Times New Roman" w:cs="Times New Roman"/>
          <w:sz w:val="24"/>
          <w:szCs w:val="24"/>
        </w:rPr>
        <w:t xml:space="preserve"> oraz rozporządzeń wykonawczych w ramach działań M01 i M02, jako warunków udziału w postępowaniu o udzielenie zamówienia publicznego, budzi wątpliwości w orzecznictwie KIO.</w:t>
      </w:r>
    </w:p>
    <w:p w14:paraId="6761D21B" w14:textId="615C7CD0" w:rsidR="0058575F" w:rsidRPr="008B0B87" w:rsidRDefault="0058575F" w:rsidP="008B0B87">
      <w:pPr>
        <w:pStyle w:val="ARTartustawynprozporzdzenia"/>
        <w:ind w:firstLine="0"/>
        <w:rPr>
          <w:rFonts w:ascii="Times New Roman" w:hAnsi="Times New Roman" w:cs="Times New Roman"/>
          <w:sz w:val="24"/>
          <w:szCs w:val="24"/>
        </w:rPr>
      </w:pPr>
      <w:r w:rsidRPr="008B0B87">
        <w:rPr>
          <w:rFonts w:ascii="Times New Roman" w:hAnsi="Times New Roman" w:cs="Times New Roman"/>
          <w:sz w:val="24"/>
          <w:szCs w:val="24"/>
        </w:rPr>
        <w:t>Projektowane rozwiązanie przewiduje, że podmiot, którego oferta została wybrana jako najkorzystniejsza</w:t>
      </w:r>
      <w:r w:rsidR="00A709BA">
        <w:rPr>
          <w:rFonts w:ascii="Times New Roman" w:hAnsi="Times New Roman" w:cs="Times New Roman"/>
          <w:sz w:val="24"/>
          <w:szCs w:val="24"/>
        </w:rPr>
        <w:t>,</w:t>
      </w:r>
      <w:r w:rsidRPr="008B0B87">
        <w:rPr>
          <w:rFonts w:ascii="Times New Roman" w:hAnsi="Times New Roman" w:cs="Times New Roman"/>
          <w:sz w:val="24"/>
          <w:szCs w:val="24"/>
        </w:rPr>
        <w:t xml:space="preserve"> będzie wzywany przez agencję płatniczą do wykazania spełnienia warunków przyznania tej pomocy w terminie 7 dni od dnia doręczenia wezwania. Jeżeli na to wezwanie podmiot nie wykazał spełnienia warunków przyznania pomocy, przewiduje się ponowne wezwanie przez agencję płatniczą do wykazania spełnienia tych warunków w terminie 7 dni od dnia doręczenia wezwania.</w:t>
      </w:r>
    </w:p>
    <w:p w14:paraId="2EC64B86" w14:textId="77777777" w:rsidR="0058575F" w:rsidRPr="008B0B87" w:rsidRDefault="0058575F" w:rsidP="008B0B87">
      <w:pPr>
        <w:pStyle w:val="ARTartustawynprozporzdzenia"/>
        <w:ind w:firstLine="0"/>
        <w:rPr>
          <w:rFonts w:ascii="Times New Roman" w:hAnsi="Times New Roman" w:cs="Times New Roman"/>
          <w:sz w:val="24"/>
          <w:szCs w:val="24"/>
        </w:rPr>
      </w:pPr>
      <w:r w:rsidRPr="008B0B87">
        <w:rPr>
          <w:rFonts w:ascii="Times New Roman" w:hAnsi="Times New Roman" w:cs="Times New Roman"/>
          <w:sz w:val="24"/>
          <w:szCs w:val="24"/>
        </w:rPr>
        <w:t>W przypadku braku wykazania spełniania warunków przyznania pomocy przez podmiot, którego oferta została wybrana jako najkorzystniejsza, wprowadza się regulację, która pozwoli agencji płatniczej na odmowę przyznania pomocy.</w:t>
      </w:r>
    </w:p>
    <w:p w14:paraId="084C14DF" w14:textId="348C3343" w:rsidR="0058575F" w:rsidRPr="008B0B87" w:rsidRDefault="0058575F" w:rsidP="008B0B87">
      <w:pPr>
        <w:pStyle w:val="ARTartustawynprozporzdzenia"/>
        <w:ind w:firstLine="0"/>
        <w:rPr>
          <w:rFonts w:ascii="Times New Roman" w:hAnsi="Times New Roman" w:cs="Times New Roman"/>
          <w:sz w:val="24"/>
          <w:szCs w:val="24"/>
        </w:rPr>
      </w:pPr>
      <w:r w:rsidRPr="008B0B87">
        <w:rPr>
          <w:rFonts w:ascii="Times New Roman" w:hAnsi="Times New Roman" w:cs="Times New Roman"/>
          <w:sz w:val="24"/>
          <w:szCs w:val="24"/>
        </w:rPr>
        <w:lastRenderedPageBreak/>
        <w:t xml:space="preserve">Ponadto w art. 5 pkt 3 lit. a projektowanej ustawy (zmieniany art. 35 ust. 1 i 2 ustawy PROW </w:t>
      </w:r>
      <w:r w:rsidRPr="008B0B87">
        <w:rPr>
          <w:rFonts w:ascii="Times New Roman" w:hAnsi="Times New Roman" w:cs="Times New Roman"/>
          <w:bCs/>
          <w:sz w:val="24"/>
          <w:szCs w:val="24"/>
        </w:rPr>
        <w:t>2014–2020</w:t>
      </w:r>
      <w:r w:rsidRPr="008B0B87">
        <w:rPr>
          <w:rFonts w:ascii="Times New Roman" w:hAnsi="Times New Roman" w:cs="Times New Roman"/>
          <w:sz w:val="24"/>
          <w:szCs w:val="24"/>
        </w:rPr>
        <w:t xml:space="preserve">) wskazuje się, że w przypadku odmowy przyznania pomocy z przyczyn wskazanych powyżej oferentowi będzie przysługiwała skarga do sądu administracyjnego na zasadach i w trybie określonych dla aktów lub czynności, o których mowa w art. 3 § 2 pkt 4 ustawy z dnia 30 sierpnia 2002 r. – Prawo o postępowaniu przed sądami administracyjnymi. Przewidziana w tych przepisach procedura skargowa nie dotyczy </w:t>
      </w:r>
      <w:proofErr w:type="spellStart"/>
      <w:r w:rsidRPr="008B0B87">
        <w:rPr>
          <w:rFonts w:ascii="Times New Roman" w:hAnsi="Times New Roman" w:cs="Times New Roman"/>
          <w:sz w:val="24"/>
          <w:szCs w:val="24"/>
        </w:rPr>
        <w:t>odwołań</w:t>
      </w:r>
      <w:proofErr w:type="spellEnd"/>
      <w:r w:rsidRPr="008B0B87">
        <w:rPr>
          <w:rFonts w:ascii="Times New Roman" w:hAnsi="Times New Roman" w:cs="Times New Roman"/>
          <w:sz w:val="24"/>
          <w:szCs w:val="24"/>
        </w:rPr>
        <w:t xml:space="preserve"> od decyzji instytucji zamawiającej w obszarze zamówień publicznych, lecz jedynie kontroli przez sąd administracyjny zasadności odmowy przyznania pomocy udzielonej na podstawie przepisów ustawy PROW </w:t>
      </w:r>
      <w:r w:rsidRPr="008B0B87">
        <w:rPr>
          <w:rFonts w:ascii="Times New Roman" w:hAnsi="Times New Roman" w:cs="Times New Roman"/>
          <w:bCs/>
          <w:sz w:val="24"/>
          <w:szCs w:val="24"/>
        </w:rPr>
        <w:t>2014–2020</w:t>
      </w:r>
      <w:r w:rsidRPr="008B0B87">
        <w:rPr>
          <w:rFonts w:ascii="Times New Roman" w:hAnsi="Times New Roman" w:cs="Times New Roman"/>
          <w:sz w:val="24"/>
          <w:szCs w:val="24"/>
        </w:rPr>
        <w:t>.</w:t>
      </w:r>
    </w:p>
    <w:p w14:paraId="69C96389" w14:textId="77777777" w:rsidR="0058575F" w:rsidRPr="008B0B87" w:rsidRDefault="0058575F" w:rsidP="008B0B87">
      <w:pPr>
        <w:pStyle w:val="ARTartustawynprozporzdzenia"/>
        <w:ind w:firstLine="0"/>
        <w:rPr>
          <w:rFonts w:ascii="Times New Roman" w:hAnsi="Times New Roman" w:cs="Times New Roman"/>
          <w:bCs/>
          <w:sz w:val="24"/>
          <w:szCs w:val="24"/>
        </w:rPr>
      </w:pPr>
      <w:r w:rsidRPr="008B0B87">
        <w:rPr>
          <w:rFonts w:ascii="Times New Roman" w:hAnsi="Times New Roman" w:cs="Times New Roman"/>
          <w:sz w:val="24"/>
          <w:szCs w:val="24"/>
        </w:rPr>
        <w:t xml:space="preserve">Dodatkowo w art. 5 pkt 3 lit. b projektowanej ustawy zaproponowano dodanie ust. 3–7 w art. 35 ustawy PROW </w:t>
      </w:r>
      <w:r w:rsidRPr="008B0B87">
        <w:rPr>
          <w:rFonts w:ascii="Times New Roman" w:hAnsi="Times New Roman" w:cs="Times New Roman"/>
          <w:bCs/>
          <w:sz w:val="24"/>
          <w:szCs w:val="24"/>
        </w:rPr>
        <w:t>2014–2020</w:t>
      </w:r>
      <w:r w:rsidRPr="008B0B87">
        <w:rPr>
          <w:rFonts w:ascii="Times New Roman" w:hAnsi="Times New Roman" w:cs="Times New Roman"/>
          <w:sz w:val="24"/>
          <w:szCs w:val="24"/>
        </w:rPr>
        <w:t xml:space="preserve">, które mają na celu uregulowanie trybu postępowania i terminów w przypadku wniesienia skargi do sądu administracyjnego przez podmiot, którego oferta została wybrana jako najkorzystniejsza, a który otrzymał informację o odmowie przyznania pomocy z powodu niespełnienia warunków przyznania pomocy. Po pierwsze w ust. 3 wskazano na możliwość zawarcia, przed wydaniem przez sąd administracyjny prawomocnego orzeczenia, umowy o przyznaniu pomocy z kolejnym wyłonionym w postępowaniu o udzielenie zamówienia publicznego wykonawcą oraz określono przesłankę, kiedy agencja płatnicza będzie mogła skorzystać z takiej możliwości. </w:t>
      </w:r>
      <w:r w:rsidRPr="008B0B87">
        <w:rPr>
          <w:rFonts w:ascii="Times New Roman" w:hAnsi="Times New Roman" w:cs="Times New Roman"/>
          <w:bCs/>
          <w:sz w:val="24"/>
          <w:szCs w:val="24"/>
        </w:rPr>
        <w:t xml:space="preserve">Przesłanka umożliwiająca zawarcie umowy o przyznaniu pomocy z kolejnym wyłonionym w postępowaniu o udzielenie zamówienia publicznego wykonawcą, przed wydaniem przez sąd administracyjny prawomocnego orzeczenia, ziści się, gdy zostanie stwierdzone ryzyko, że </w:t>
      </w:r>
      <w:proofErr w:type="spellStart"/>
      <w:r w:rsidRPr="008B0B87">
        <w:rPr>
          <w:rFonts w:ascii="Times New Roman" w:hAnsi="Times New Roman" w:cs="Times New Roman"/>
          <w:bCs/>
          <w:sz w:val="24"/>
          <w:szCs w:val="24"/>
        </w:rPr>
        <w:t>niezawarcie</w:t>
      </w:r>
      <w:proofErr w:type="spellEnd"/>
      <w:r w:rsidRPr="008B0B87">
        <w:rPr>
          <w:rFonts w:ascii="Times New Roman" w:hAnsi="Times New Roman" w:cs="Times New Roman"/>
          <w:bCs/>
          <w:sz w:val="24"/>
          <w:szCs w:val="24"/>
        </w:rPr>
        <w:t xml:space="preserve"> umowy o przyznaniu pomocy przed wydaniem przez sąd administracyjny prawomocnego orzeczenia mogłoby spowodować negatywne skutki dla terminowego wydatkowania środków finansowych przeznaczonych na realizację operacji w ramach działań, o których mowa w art. 3 ust. 1 pkt 1 i 2 ustawy PROW 2014–2020. Intencją takiego rozwiązania jest wyeliminowanie sytuacji, gdy, uwzględniając zaawansowany etap wdrażania PROW 2014–2020 i zbliżający się termin jego rozliczenia, zbyt długie wstrzymywanie się z zawarciem umowy o przyznaniu pomocy mogłoby skutkować brakiem wydatkowania środków finansowych z PROW 2014–2020.</w:t>
      </w:r>
    </w:p>
    <w:p w14:paraId="6DFC6545" w14:textId="77777777" w:rsidR="0058575F" w:rsidRPr="008B0B87" w:rsidRDefault="0058575F" w:rsidP="008B0B87">
      <w:pPr>
        <w:pStyle w:val="ARTartustawynprozporzdzenia"/>
        <w:ind w:firstLine="0"/>
        <w:rPr>
          <w:rFonts w:ascii="Times New Roman" w:hAnsi="Times New Roman" w:cs="Times New Roman"/>
          <w:bCs/>
          <w:sz w:val="24"/>
          <w:szCs w:val="24"/>
        </w:rPr>
      </w:pPr>
      <w:r w:rsidRPr="008B0B87">
        <w:rPr>
          <w:rFonts w:ascii="Times New Roman" w:hAnsi="Times New Roman" w:cs="Times New Roman"/>
          <w:bCs/>
          <w:sz w:val="24"/>
          <w:szCs w:val="24"/>
        </w:rPr>
        <w:t xml:space="preserve">Po drugie w ust. 4 określono, że w przypadku zawarcia umowy o przyznaniu pomocy z kolejnym wyłonionym w postępowaniu o udzielenie zamówienia publicznego wykonawcą, przed wydaniem przez sąd administracyjny ww. prawomocnego orzeczenia, </w:t>
      </w:r>
      <w:r w:rsidRPr="008B0B87">
        <w:rPr>
          <w:rFonts w:ascii="Times New Roman" w:hAnsi="Times New Roman" w:cs="Times New Roman"/>
          <w:bCs/>
          <w:sz w:val="24"/>
          <w:szCs w:val="24"/>
        </w:rPr>
        <w:lastRenderedPageBreak/>
        <w:t>agencja płatnicza niezwłocznie przekaże sądowi administracyjnemu, do którego została wniesiona skarga, informację o zawarciu umowy o przyznaniu pomocy. Celem takiego rozwiązania jest poinformowanie sądu administracyjnego o okoliczności, która może okazać się kluczową i być niezbędna dla wydania przez ten sąd orzeczenia, o którym mowa w ust. 5.</w:t>
      </w:r>
    </w:p>
    <w:p w14:paraId="06C5F47E" w14:textId="77777777" w:rsidR="0058575F" w:rsidRPr="008B0B87" w:rsidRDefault="0058575F" w:rsidP="008B0B87">
      <w:pPr>
        <w:pStyle w:val="ARTartustawynprozporzdzenia"/>
        <w:ind w:firstLine="0"/>
        <w:rPr>
          <w:rFonts w:ascii="Times New Roman" w:hAnsi="Times New Roman" w:cs="Times New Roman"/>
          <w:sz w:val="24"/>
          <w:szCs w:val="24"/>
        </w:rPr>
      </w:pPr>
      <w:r w:rsidRPr="008B0B87">
        <w:rPr>
          <w:rFonts w:ascii="Times New Roman" w:hAnsi="Times New Roman" w:cs="Times New Roman"/>
          <w:sz w:val="24"/>
          <w:szCs w:val="24"/>
        </w:rPr>
        <w:t>Po trzecie, jeżeli taka umowa o przyznaniu pomocy z kolejnym wykonawcą zostanie jednak zawarta przed wydaniem prawomocnego orzeczenia, w ust. 5 wskazano, że, uwzględniając skargę, sąd administracyjny stwierdza tylko, że ocena spełnienia warunków przyznania pomocy została przeprowadzona w sposób naruszający prawo. Celem tego przepisu jest zatem, aby w omawianym przypadku uwzględnienie skargi nie skutkowało uchyleniem zaskarżonego aktu o odmowie przyznania pomocy, lecz jedynie stwierdzeniem, że ocena spełnienia warunków przyznania pomocy została przeprowadzona w sposób naruszający prawo. Dopuszczenie w takiej sytuacji możliwości wydania orzeczenia uchylającego odmowę przyznania pomocy należy uznać za niezasadne, skoro umowa o przyznaniu pomocy została już zawarta z innym wykonawcą niż ten, który złożył skargę, a zatem nie będzie możliwe zawarcie takiej umowy ze skarżącym.</w:t>
      </w:r>
    </w:p>
    <w:p w14:paraId="734132F4" w14:textId="77777777" w:rsidR="0058575F" w:rsidRPr="008B0B87" w:rsidRDefault="0058575F" w:rsidP="008B0B87">
      <w:pPr>
        <w:pStyle w:val="ARTartustawynprozporzdzenia"/>
        <w:ind w:firstLine="0"/>
        <w:rPr>
          <w:rFonts w:ascii="Times New Roman" w:hAnsi="Times New Roman" w:cs="Times New Roman"/>
          <w:sz w:val="24"/>
          <w:szCs w:val="24"/>
        </w:rPr>
      </w:pPr>
      <w:r w:rsidRPr="008B0B87">
        <w:rPr>
          <w:rFonts w:ascii="Times New Roman" w:hAnsi="Times New Roman" w:cs="Times New Roman"/>
          <w:sz w:val="24"/>
          <w:szCs w:val="24"/>
        </w:rPr>
        <w:t xml:space="preserve">Po czwarte w ust. 6 i 7 w powyższym zakresie wprowadzono skrócone do 30 dni terminy rozpatrywania przez sądy administracyjne skargi i skargi kasacyjnej. Przy przyjęciu takiego rozwiązania podmiotowi, którego oferta została wybrana jako najkorzystniejsza, a który otrzymał informację o odmowie przyznania pomocy z powodu niespełnienia warunków przyznania pomocy, będzie przysługiwać roszczenie o odszkodowanie na zasadach ogólnych. </w:t>
      </w:r>
    </w:p>
    <w:p w14:paraId="274CA8C9" w14:textId="0D985CA9" w:rsidR="0058575F" w:rsidRPr="008B0B87" w:rsidRDefault="0058575F" w:rsidP="0058575F">
      <w:pPr>
        <w:pStyle w:val="ARTartustawynprozporzdzenia"/>
        <w:ind w:firstLine="0"/>
        <w:rPr>
          <w:rFonts w:ascii="Times New Roman" w:hAnsi="Times New Roman" w:cs="Times New Roman"/>
          <w:sz w:val="24"/>
          <w:szCs w:val="24"/>
        </w:rPr>
      </w:pPr>
      <w:r w:rsidRPr="008B0B87">
        <w:rPr>
          <w:rFonts w:ascii="Times New Roman" w:hAnsi="Times New Roman" w:cs="Times New Roman"/>
          <w:sz w:val="24"/>
          <w:szCs w:val="24"/>
        </w:rPr>
        <w:t>Zaproponowane regulacje mają na celu przyspieszenie rozpatrywania spraw dotyczących przyznania pomocy. Takie rozwiązanie jest uzasadnione w związku z koniecznością wyeliminowania niepewności co do tego, czy podnoszone przez beneficjenta zarzuty są słuszne</w:t>
      </w:r>
      <w:r w:rsidR="008B377E">
        <w:rPr>
          <w:rFonts w:ascii="Times New Roman" w:hAnsi="Times New Roman" w:cs="Times New Roman"/>
          <w:sz w:val="24"/>
          <w:szCs w:val="24"/>
        </w:rPr>
        <w:t>,</w:t>
      </w:r>
      <w:r w:rsidRPr="008B0B87">
        <w:rPr>
          <w:rFonts w:ascii="Times New Roman" w:hAnsi="Times New Roman" w:cs="Times New Roman"/>
          <w:sz w:val="24"/>
          <w:szCs w:val="24"/>
        </w:rPr>
        <w:t xml:space="preserve"> i ma również na celu to, aby można było sprawnie i szybko wydatkować środki przeznaczone w ramach działań M01 i M02. W innym przypadku zbyt długie rozpatrywanie skarg może spowodować zatrzymanie wdrażania przedmiotowych działań, a w konsekwencji brak wydatkowania środków finansowych z PROW </w:t>
      </w:r>
      <w:r w:rsidR="00D37E1A">
        <w:rPr>
          <w:rFonts w:ascii="Times New Roman" w:hAnsi="Times New Roman" w:cs="Times New Roman"/>
          <w:sz w:val="24"/>
          <w:szCs w:val="24"/>
        </w:rPr>
        <w:br/>
      </w:r>
      <w:r w:rsidRPr="008B0B87">
        <w:rPr>
          <w:rFonts w:ascii="Times New Roman" w:hAnsi="Times New Roman" w:cs="Times New Roman"/>
          <w:sz w:val="24"/>
          <w:szCs w:val="24"/>
        </w:rPr>
        <w:t xml:space="preserve">2014–2020. </w:t>
      </w:r>
    </w:p>
    <w:p w14:paraId="42F40175" w14:textId="01975980" w:rsidR="0058575F" w:rsidRPr="008B0B87" w:rsidRDefault="0058575F" w:rsidP="008B0B87">
      <w:pPr>
        <w:pStyle w:val="ARTartustawynprozporzdzenia"/>
        <w:ind w:firstLine="0"/>
        <w:rPr>
          <w:rFonts w:ascii="Times New Roman" w:hAnsi="Times New Roman" w:cs="Times New Roman"/>
          <w:sz w:val="24"/>
          <w:szCs w:val="24"/>
        </w:rPr>
      </w:pPr>
      <w:r w:rsidRPr="008B0B87">
        <w:rPr>
          <w:rFonts w:ascii="Times New Roman" w:hAnsi="Times New Roman" w:cs="Times New Roman"/>
          <w:sz w:val="24"/>
          <w:szCs w:val="24"/>
        </w:rPr>
        <w:t xml:space="preserve">Dodatkowo, oprócz odmowy przyznania pomocy, agencja płatnicza będzie uprawniona do zatrzymania wadium (wniesionego w postępowaniu o udzielenie zamówienia </w:t>
      </w:r>
      <w:r w:rsidRPr="008B0B87">
        <w:rPr>
          <w:rFonts w:ascii="Times New Roman" w:hAnsi="Times New Roman" w:cs="Times New Roman"/>
          <w:sz w:val="24"/>
          <w:szCs w:val="24"/>
        </w:rPr>
        <w:lastRenderedPageBreak/>
        <w:t xml:space="preserve">publicznego) z odsetkami, a w przypadku wadium wniesionego w formie gwarancji lub poręczenia – do wystąpienia odpowiednio do gwaranta lub poręczyciela z żądaniem zapłaty wadium. Projektowany przepis w tym zakresie będzie stanowić zatem dodatkową przesłankę zatrzymania wadium za niespełnienie warunków przyznania pomocy, odrębną od przesłanek określonych w PZP (w tym zakresie przepisy te będą miały charakter szczególny w stosunku do przepisów PZP). Należy dodatkowo zauważyć, </w:t>
      </w:r>
      <w:r w:rsidR="008E7E86">
        <w:rPr>
          <w:rFonts w:ascii="Times New Roman" w:hAnsi="Times New Roman" w:cs="Times New Roman"/>
          <w:sz w:val="24"/>
          <w:szCs w:val="24"/>
        </w:rPr>
        <w:t>że</w:t>
      </w:r>
      <w:r w:rsidRPr="008B0B87">
        <w:rPr>
          <w:rFonts w:ascii="Times New Roman" w:hAnsi="Times New Roman" w:cs="Times New Roman"/>
          <w:sz w:val="24"/>
          <w:szCs w:val="24"/>
        </w:rPr>
        <w:t xml:space="preserve"> wskazanie w przepisie przejściowym na możliwość wymagania wniesienia wadium jest adekwatne do art. 97 ust. 1 PZP, z którego wynika, że zamawiający może żądać od wykonawców wniesienia wadium. Ustawodawca zdecydował, aby wprowadzenie takiego wymogu było wyłączną decyzją zamawiającego, bez względu na to, według których przepisów ustawy jest prowadzone postępowanie.</w:t>
      </w:r>
    </w:p>
    <w:p w14:paraId="25E8C890" w14:textId="77777777" w:rsidR="0058575F" w:rsidRPr="008B0B87" w:rsidRDefault="0058575F" w:rsidP="008B0B87">
      <w:pPr>
        <w:pStyle w:val="ARTartustawynprozporzdzenia"/>
        <w:ind w:firstLine="0"/>
        <w:rPr>
          <w:rFonts w:ascii="Times New Roman" w:hAnsi="Times New Roman" w:cs="Times New Roman"/>
          <w:sz w:val="24"/>
          <w:szCs w:val="24"/>
        </w:rPr>
      </w:pPr>
      <w:r w:rsidRPr="008B0B87">
        <w:rPr>
          <w:rFonts w:ascii="Times New Roman" w:hAnsi="Times New Roman" w:cs="Times New Roman"/>
          <w:sz w:val="24"/>
          <w:szCs w:val="24"/>
        </w:rPr>
        <w:t>Jednocześnie proponowana zmiana ma na celu umożliwienie agencji płatniczej przeprowadzenie ponownego badania i oceny ofert pozostałych wykonawców w postępowaniu, wyboru oferty najkorzystniejszej albo unieważnienia postępowania (rozwiązanie analogiczne do art. 263 PZP).</w:t>
      </w:r>
    </w:p>
    <w:p w14:paraId="6E62F4BB" w14:textId="66D62E58" w:rsidR="0058575F" w:rsidRPr="008B0B87" w:rsidRDefault="0058575F" w:rsidP="008B0B87">
      <w:pPr>
        <w:spacing w:before="120" w:after="0" w:line="360" w:lineRule="auto"/>
        <w:jc w:val="both"/>
        <w:rPr>
          <w:rFonts w:ascii="Times New Roman" w:hAnsi="Times New Roman"/>
          <w:bCs/>
          <w:sz w:val="24"/>
          <w:szCs w:val="24"/>
        </w:rPr>
      </w:pPr>
      <w:r w:rsidRPr="008B0B87">
        <w:rPr>
          <w:rFonts w:ascii="Times New Roman" w:hAnsi="Times New Roman"/>
          <w:sz w:val="24"/>
          <w:szCs w:val="24"/>
        </w:rPr>
        <w:t xml:space="preserve">W art. 6 </w:t>
      </w:r>
      <w:r w:rsidRPr="008B0B87">
        <w:rPr>
          <w:rFonts w:ascii="Times New Roman" w:hAnsi="Times New Roman"/>
          <w:bCs/>
          <w:sz w:val="24"/>
          <w:szCs w:val="24"/>
        </w:rPr>
        <w:t>projektu ustawy proponuje się wprowadzenie przepisu przejściowego umożliwiającego wszczęcie postępowania administracyjnego przed dniem wejścia w życie niniejszej ustawy na podstawie wniosków złożonych m.in. za pomocą elektronicznych formularzy wniosków opracowanych i udostępnionych na stronie internetowej ARiMR. Proponowane zmiany są bardzo korzystne dla beneficjentów działania „Zalesianie gruntów rolnych” objętego PROW 2004–2006, gdyż niezależnie od terminu wejścia w życie niniejszej ustawy pozwalają zachować jednolite podejście w ramach tegorocznej kampanii naboru wniosków, która rozpoczyna się 1 czerwca 2022 r. Zaproponowany przepis ma na celu uniknięcie wątpliwości dotyczących złożonych wniosków w ramach działania „Zalesianie gruntów rolnych” objętego PROW 2004–2006 w przypadku wejścia w życie projektowanej ustawy po 1 czerwca 2022 r., a więc po dniu</w:t>
      </w:r>
      <w:r w:rsidR="004B2C73">
        <w:rPr>
          <w:rFonts w:ascii="Times New Roman" w:hAnsi="Times New Roman"/>
          <w:bCs/>
          <w:sz w:val="24"/>
          <w:szCs w:val="24"/>
        </w:rPr>
        <w:t>,</w:t>
      </w:r>
      <w:r w:rsidRPr="008B0B87">
        <w:rPr>
          <w:rFonts w:ascii="Times New Roman" w:hAnsi="Times New Roman"/>
          <w:bCs/>
          <w:sz w:val="24"/>
          <w:szCs w:val="24"/>
        </w:rPr>
        <w:t xml:space="preserve"> kiedy będzie możliwe składanie wniosków na to działanie, a przed wejściem w życie projektowanej ustawy, bowiem ARiMR wprowadza możliwość składania wniosków za pomocą formularza już od 1 czerwca 2022 r. Jest to korzystne rozwiązanie, bowiem dotyczy usankcjonowania wyłącznie formy złożenia wniosku i nie ma wpływu na wydanie rozstrzygnięcia co do przyznania pomocy albo jej wypłaty (nie będą miały wpływu na merytoryczną ocenę wniosków), gdyż rozpatrywanie złożonych wniosków będzie się odbywać już po wejściu w życie projektowanej ustawy.</w:t>
      </w:r>
    </w:p>
    <w:p w14:paraId="6553A184" w14:textId="77777777" w:rsidR="0058575F" w:rsidRPr="008B0B87" w:rsidRDefault="0058575F" w:rsidP="008B0B87">
      <w:pPr>
        <w:pStyle w:val="ARTartustawynprozporzdzenia"/>
        <w:ind w:firstLine="0"/>
        <w:rPr>
          <w:rFonts w:ascii="Times New Roman" w:hAnsi="Times New Roman" w:cs="Times New Roman"/>
          <w:sz w:val="24"/>
          <w:szCs w:val="24"/>
        </w:rPr>
      </w:pPr>
      <w:r w:rsidRPr="008B0B87">
        <w:rPr>
          <w:rFonts w:ascii="Times New Roman" w:hAnsi="Times New Roman" w:cs="Times New Roman"/>
          <w:bCs/>
          <w:sz w:val="24"/>
          <w:szCs w:val="24"/>
        </w:rPr>
        <w:lastRenderedPageBreak/>
        <w:t>Analogiczne podejście będzie miało zastosowanie do tzw. wniosków transferowych, składanych w przypadku śmierci lub przeniesienia zalesionych gruntów objętych zobowiązaniami zarówno podjętymi w ramach PROW 2004–2006, jak również w ramach działania „Zalesianie gruntów rolnych oraz zalesianie gruntów innych niż rolne” PROW 2007–2013.</w:t>
      </w:r>
    </w:p>
    <w:p w14:paraId="54684142" w14:textId="77777777" w:rsidR="0058575F" w:rsidRPr="008B0B87" w:rsidRDefault="0058575F" w:rsidP="008B0B87">
      <w:pPr>
        <w:pStyle w:val="ARTartustawynprozporzdzenia"/>
        <w:ind w:firstLine="0"/>
        <w:rPr>
          <w:rFonts w:ascii="Times New Roman" w:hAnsi="Times New Roman" w:cs="Times New Roman"/>
          <w:sz w:val="24"/>
          <w:szCs w:val="24"/>
        </w:rPr>
      </w:pPr>
      <w:r w:rsidRPr="008B0B87">
        <w:rPr>
          <w:rFonts w:ascii="Times New Roman" w:hAnsi="Times New Roman" w:cs="Times New Roman"/>
          <w:sz w:val="24"/>
          <w:szCs w:val="24"/>
        </w:rPr>
        <w:t>W art. 7 projektowanej ustawy zaproponowano przepis przejściowy</w:t>
      </w:r>
      <w:r w:rsidRPr="008B0B87">
        <w:rPr>
          <w:rFonts w:ascii="Times New Roman" w:hAnsi="Times New Roman" w:cs="Times New Roman"/>
          <w:bCs/>
          <w:sz w:val="24"/>
          <w:szCs w:val="24"/>
        </w:rPr>
        <w:t xml:space="preserve"> </w:t>
      </w:r>
      <w:r w:rsidRPr="008B0B87">
        <w:rPr>
          <w:rFonts w:ascii="Times New Roman" w:hAnsi="Times New Roman" w:cs="Times New Roman"/>
          <w:sz w:val="24"/>
          <w:szCs w:val="24"/>
        </w:rPr>
        <w:t xml:space="preserve">określający, że zmiany wprowadzane w art. 34 i art. 35 ustawy PROW </w:t>
      </w:r>
      <w:r w:rsidRPr="008B0B87">
        <w:rPr>
          <w:rFonts w:ascii="Times New Roman" w:hAnsi="Times New Roman" w:cs="Times New Roman"/>
          <w:bCs/>
          <w:sz w:val="24"/>
          <w:szCs w:val="24"/>
        </w:rPr>
        <w:t xml:space="preserve">2014–2020 </w:t>
      </w:r>
      <w:r w:rsidRPr="008B0B87">
        <w:rPr>
          <w:rFonts w:ascii="Times New Roman" w:hAnsi="Times New Roman" w:cs="Times New Roman"/>
          <w:sz w:val="24"/>
          <w:szCs w:val="24"/>
        </w:rPr>
        <w:t>mają zastosowanie do postępowań wszczętych i niezakończonych przed wejściem w życie tych zmian.</w:t>
      </w:r>
    </w:p>
    <w:p w14:paraId="3E9C67EE" w14:textId="159029E5" w:rsidR="0058575F" w:rsidRPr="008B0B87" w:rsidRDefault="0058575F" w:rsidP="008B0B87">
      <w:pPr>
        <w:pStyle w:val="ARTartustawynprozporzdzenia"/>
        <w:ind w:firstLine="0"/>
        <w:rPr>
          <w:rFonts w:ascii="Times New Roman" w:hAnsi="Times New Roman" w:cs="Times New Roman"/>
          <w:sz w:val="24"/>
          <w:szCs w:val="24"/>
        </w:rPr>
      </w:pPr>
      <w:r w:rsidRPr="008B0B87">
        <w:rPr>
          <w:rFonts w:ascii="Times New Roman" w:hAnsi="Times New Roman" w:cs="Times New Roman"/>
          <w:sz w:val="24"/>
          <w:szCs w:val="24"/>
        </w:rPr>
        <w:t>Projektowane przepisy nie wprowadzają odmiennych od dotychczasowych warunków przyznania pomocy w ramach omawianych działań (wynikających z przepisów Unii Europejskiej, ustawy PROW 2014</w:t>
      </w:r>
      <w:r w:rsidRPr="008B0B87">
        <w:rPr>
          <w:rFonts w:ascii="Times New Roman" w:hAnsi="Times New Roman" w:cs="Times New Roman"/>
          <w:bCs/>
          <w:sz w:val="24"/>
          <w:szCs w:val="24"/>
        </w:rPr>
        <w:t>–</w:t>
      </w:r>
      <w:r w:rsidRPr="008B0B87">
        <w:rPr>
          <w:rFonts w:ascii="Times New Roman" w:hAnsi="Times New Roman" w:cs="Times New Roman"/>
          <w:sz w:val="24"/>
          <w:szCs w:val="24"/>
        </w:rPr>
        <w:t>2020 oraz rozporządzeń wykonawczych do tej ustawy), lecz jedynie przesuwają moment wykazania spełnienia tych warunków przez potencjalnego beneficjenta z etapu postępowania o udzielenie zamówienia publicznego na etap przed zawarciem umowy o przyznaniu pomocy. Zgodnie z dotychczasowym trybem postępowania – warunki przyznania pomocy oraz sposób wykazania ich spełnienia były ujmowane w ogłoszeniu o zamówieniu i dokumentacji zamówienia jako warunki udziału w postępowaniu o udzielenie zamówienia publicznego, co jednak zostało zakwestionowane w wyroku KIO z dnia 10 listopada 2021 r. Warto przy tym zaznaczyć, że nałożenie na podmiot, którego oferta została wybrana jako najkorzystniejsza, obowiązku wykazania spełnienia warunków przyznania pomocy przed zawarciem umowy o jej przyznanie, a więc w terminie późniejszym niż dotychczas, jest rozwiązaniem korzystnym dla tego podmiotu, gdyż ma on więcej czasu na to, aby wykazać spełnienie warunków przyznania pomocy, a co więcej przewidziano w tym zakresie możliwość dwukrotnego wzywania tego podmiotu do wykazania spełnienia tych warunków.</w:t>
      </w:r>
    </w:p>
    <w:p w14:paraId="114BDEF8" w14:textId="26513F68" w:rsidR="0058575F" w:rsidRPr="008B0B87" w:rsidRDefault="0058575F" w:rsidP="008B0B87">
      <w:pPr>
        <w:pStyle w:val="ARTartustawynprozporzdzenia"/>
        <w:ind w:firstLine="0"/>
        <w:rPr>
          <w:rFonts w:ascii="Times New Roman" w:hAnsi="Times New Roman" w:cs="Times New Roman"/>
          <w:sz w:val="24"/>
          <w:szCs w:val="24"/>
        </w:rPr>
      </w:pPr>
      <w:r w:rsidRPr="008B0B87">
        <w:rPr>
          <w:rFonts w:ascii="Times New Roman" w:hAnsi="Times New Roman" w:cs="Times New Roman"/>
          <w:sz w:val="24"/>
          <w:szCs w:val="24"/>
        </w:rPr>
        <w:t xml:space="preserve">W przypadku postępowań o udzielenie zamówień publicznych w celu wyłonienia beneficjenta działań M01 i M02, w których termin składania ofert nie upłynął do dnia wejścia w życie proponowanych zmian, agencja płatnicza dokona zmiany ogłoszenia o zamówieniu, uwzględniając proponowane zmiany w ramach tego postępowania, wydłużając jednocześnie termin na składanie ofert o czas niezbędny na dokonanie zmian przez oferentów. W celu urzeczywistnienia zasady równego traktowania wykonawców agencja płatnicza poinformuje wszystkich wykonawców za pośrednictwem Platformy </w:t>
      </w:r>
      <w:r w:rsidRPr="008B0B87">
        <w:rPr>
          <w:rFonts w:ascii="Times New Roman" w:hAnsi="Times New Roman" w:cs="Times New Roman"/>
          <w:sz w:val="24"/>
          <w:szCs w:val="24"/>
        </w:rPr>
        <w:lastRenderedPageBreak/>
        <w:t>Zakupowej o wprowadzonych zmianach w dokumentach zamówienia. Zastosowanie w tym zakresie będzie miał również art. 90 ust. 1 PZP.</w:t>
      </w:r>
    </w:p>
    <w:p w14:paraId="26B58AD7" w14:textId="77777777" w:rsidR="0058575F" w:rsidRPr="008B0B87" w:rsidRDefault="0058575F" w:rsidP="008B0B87">
      <w:pPr>
        <w:pStyle w:val="ARTartustawynprozporzdzenia"/>
        <w:ind w:firstLine="0"/>
        <w:rPr>
          <w:rFonts w:ascii="Times New Roman" w:hAnsi="Times New Roman" w:cs="Times New Roman"/>
          <w:bCs/>
          <w:sz w:val="24"/>
          <w:szCs w:val="24"/>
        </w:rPr>
      </w:pPr>
      <w:r w:rsidRPr="008B0B87">
        <w:rPr>
          <w:rFonts w:ascii="Times New Roman" w:hAnsi="Times New Roman" w:cs="Times New Roman"/>
          <w:sz w:val="24"/>
          <w:szCs w:val="24"/>
        </w:rPr>
        <w:t xml:space="preserve">W przypadku zaś postępowań, w których termin składania ofert już upłynął, agencja płatnicza będzie mogła unieważnić takie postępowanie, jeżeli uzna, że dalsze prowadzenie postępowania będzie nieuzasadnione. Powyższy przepis przejściowy będzie zatem stanowił dodatkową przesłankę unieważnienia postępowania, odrębną od przesłanek określonych w art. 255 PZP. Projektowany przepis ma charakter fakultatywny i agencja nie jest zobowiązana do unieważnienia postępowania. </w:t>
      </w:r>
      <w:r w:rsidRPr="008B0B87">
        <w:rPr>
          <w:rFonts w:ascii="Times New Roman" w:hAnsi="Times New Roman" w:cs="Times New Roman"/>
          <w:bCs/>
          <w:sz w:val="24"/>
          <w:szCs w:val="24"/>
        </w:rPr>
        <w:t>Projektowany przepis umożliwia jedynie unieważnienie wszczętego postępowania o udzielenie zamówienia publicznego, jeżeli jego dalsze prowadzenie jest nieuzasadnione.</w:t>
      </w:r>
    </w:p>
    <w:p w14:paraId="1D9C1D2B" w14:textId="77777777" w:rsidR="0058575F" w:rsidRPr="008B0B87" w:rsidRDefault="0058575F" w:rsidP="008B0B87">
      <w:pPr>
        <w:pStyle w:val="ARTartustawynprozporzdzenia"/>
        <w:ind w:firstLine="0"/>
        <w:rPr>
          <w:rFonts w:ascii="Times New Roman" w:hAnsi="Times New Roman" w:cs="Times New Roman"/>
          <w:bCs/>
          <w:sz w:val="24"/>
          <w:szCs w:val="24"/>
        </w:rPr>
      </w:pPr>
      <w:r w:rsidRPr="008B0B87">
        <w:rPr>
          <w:rFonts w:ascii="Times New Roman" w:hAnsi="Times New Roman" w:cs="Times New Roman"/>
          <w:bCs/>
          <w:sz w:val="24"/>
          <w:szCs w:val="24"/>
        </w:rPr>
        <w:t>Rozwiązanie takie, w szczególności przesłanka unieważnienia – brak uzasadnienia dla dalszego postępowania – nie jest rozwiązaniem nowym w systemie prawa.</w:t>
      </w:r>
    </w:p>
    <w:p w14:paraId="0917C3E8" w14:textId="51B98B07" w:rsidR="0058575F" w:rsidRPr="008B0B87" w:rsidRDefault="0058575F" w:rsidP="008B0B87">
      <w:pPr>
        <w:pStyle w:val="ARTartustawynprozporzdzenia"/>
        <w:ind w:firstLine="0"/>
        <w:rPr>
          <w:rFonts w:ascii="Times New Roman" w:hAnsi="Times New Roman" w:cs="Times New Roman"/>
          <w:bCs/>
          <w:sz w:val="24"/>
          <w:szCs w:val="24"/>
        </w:rPr>
      </w:pPr>
      <w:r w:rsidRPr="008B0B87">
        <w:rPr>
          <w:rFonts w:ascii="Times New Roman" w:hAnsi="Times New Roman" w:cs="Times New Roman"/>
          <w:bCs/>
          <w:sz w:val="24"/>
          <w:szCs w:val="24"/>
        </w:rPr>
        <w:t>Analogiczne rozwiązanie w zakresie przesłanek unieważn</w:t>
      </w:r>
      <w:r w:rsidR="00D37E1A">
        <w:rPr>
          <w:rFonts w:ascii="Times New Roman" w:hAnsi="Times New Roman" w:cs="Times New Roman"/>
          <w:bCs/>
          <w:sz w:val="24"/>
          <w:szCs w:val="24"/>
        </w:rPr>
        <w:t>ienia postępowania zawiera art. </w:t>
      </w:r>
      <w:r w:rsidRPr="008B0B87">
        <w:rPr>
          <w:rFonts w:ascii="Times New Roman" w:hAnsi="Times New Roman" w:cs="Times New Roman"/>
          <w:bCs/>
          <w:sz w:val="24"/>
          <w:szCs w:val="24"/>
        </w:rPr>
        <w:t>256 PZP, zgodnie z którym zamawiający może unieważnić postępowanie o udzielenie zamówienia odpowiednio przed upływem terminu do składania wniosków o dopuszczenie do udziału w postępowaniu albo przed upływem terminu składania ofert, jeżeli wystąpiły okoliczności powodujące, że dalsze prowadzenie postępowania jest nieuzasadnione. Racjonalny ustawodawca zatem uznał, że zamawiający powinien mieć prawo unieważnić postępowanie, gdy jego dalsze prowadzenie mija się z celem.</w:t>
      </w:r>
    </w:p>
    <w:p w14:paraId="6FC3411E" w14:textId="77777777" w:rsidR="0058575F" w:rsidRPr="008B0B87" w:rsidRDefault="0058575F" w:rsidP="008B0B87">
      <w:pPr>
        <w:pStyle w:val="ARTartustawynprozporzdzenia"/>
        <w:ind w:firstLine="0"/>
        <w:rPr>
          <w:rFonts w:ascii="Times New Roman" w:hAnsi="Times New Roman" w:cs="Times New Roman"/>
          <w:bCs/>
          <w:sz w:val="24"/>
          <w:szCs w:val="24"/>
        </w:rPr>
      </w:pPr>
      <w:r w:rsidRPr="008B0B87">
        <w:rPr>
          <w:rFonts w:ascii="Times New Roman" w:hAnsi="Times New Roman" w:cs="Times New Roman"/>
          <w:bCs/>
          <w:sz w:val="24"/>
          <w:szCs w:val="24"/>
        </w:rPr>
        <w:t>Projektowany przepis rozszerza tę zasadę wynikającą z PZP na etap postępowania po upływie terminu składania ofert. Decydując o skorzystaniu z uprawnienia do unieważnienia postępowania, zamawiający będzie musiał kierować się zasadami określonymi m.in. w art. 17 PZP. Zgodnie zaś z art. 17 ust. 1 pkt 2 PZP zamawiający musi kierować się zasadą uzyskania najlepszych efektów zamówienia, w tym efektów społecznych, środowiskowych oraz gospodarczych, o ile którykolwiek z tych efektów jest możliwy do uzyskania w danym zamówieniu, w stosunku do poniesionych nakładów.</w:t>
      </w:r>
    </w:p>
    <w:p w14:paraId="30A611B0" w14:textId="54A839A4" w:rsidR="0058575F" w:rsidRPr="008B0B87" w:rsidRDefault="0058575F" w:rsidP="008B0B87">
      <w:pPr>
        <w:pStyle w:val="ARTartustawynprozporzdzenia"/>
        <w:ind w:firstLine="0"/>
        <w:rPr>
          <w:rFonts w:ascii="Times New Roman" w:hAnsi="Times New Roman" w:cs="Times New Roman"/>
          <w:bCs/>
          <w:sz w:val="24"/>
          <w:szCs w:val="24"/>
        </w:rPr>
      </w:pPr>
      <w:r w:rsidRPr="008B0B87">
        <w:rPr>
          <w:rFonts w:ascii="Times New Roman" w:hAnsi="Times New Roman" w:cs="Times New Roman"/>
          <w:bCs/>
          <w:sz w:val="24"/>
          <w:szCs w:val="24"/>
        </w:rPr>
        <w:t>Projektowany przepis będzie dotyczył jedynie takich postępowań, które zostały wszczęte i w których termin składania ofert minął przed wejściem w życie projektowanej ustawy. Zatem ten przepis będzie dotyczył co najwyżej kilku postępowań (aktualnie ARiMR prowadzi 3 postępowania w sprawie wyłonienia be</w:t>
      </w:r>
      <w:r w:rsidR="00D37E1A">
        <w:rPr>
          <w:rFonts w:ascii="Times New Roman" w:hAnsi="Times New Roman" w:cs="Times New Roman"/>
          <w:bCs/>
          <w:sz w:val="24"/>
          <w:szCs w:val="24"/>
        </w:rPr>
        <w:t>neficjentów w ramach działań, o </w:t>
      </w:r>
      <w:bookmarkStart w:id="1" w:name="_GoBack"/>
      <w:bookmarkEnd w:id="1"/>
      <w:r w:rsidRPr="008B0B87">
        <w:rPr>
          <w:rFonts w:ascii="Times New Roman" w:hAnsi="Times New Roman" w:cs="Times New Roman"/>
          <w:bCs/>
          <w:sz w:val="24"/>
          <w:szCs w:val="24"/>
        </w:rPr>
        <w:t>których mowa w art. 3 ust. 1 pkt 1 i 2 ustawy PROW 2014–2020).</w:t>
      </w:r>
    </w:p>
    <w:p w14:paraId="6E015517" w14:textId="0F7E2B20" w:rsidR="0058575F" w:rsidRPr="008B0B87" w:rsidRDefault="0058575F" w:rsidP="008B0B87">
      <w:pPr>
        <w:pStyle w:val="ARTartustawynprozporzdzenia"/>
        <w:ind w:firstLine="0"/>
        <w:rPr>
          <w:rFonts w:ascii="Times New Roman" w:hAnsi="Times New Roman" w:cs="Times New Roman"/>
          <w:bCs/>
          <w:sz w:val="24"/>
          <w:szCs w:val="24"/>
        </w:rPr>
      </w:pPr>
      <w:r w:rsidRPr="008B0B87">
        <w:rPr>
          <w:rFonts w:ascii="Times New Roman" w:hAnsi="Times New Roman" w:cs="Times New Roman"/>
          <w:bCs/>
          <w:sz w:val="24"/>
          <w:szCs w:val="24"/>
        </w:rPr>
        <w:lastRenderedPageBreak/>
        <w:t>Możliwość unieważnienia postępowania będzie zatem miała zastosowanie w szczególności w takiej sytuacji, gdy postępowanie zostało wszczęte na dotychczasowych zasadach, to jest gdy warunki przyznania pomocy finansowej w ramach ww. działań zostały określone w warunkach udziału w postępowaniu.</w:t>
      </w:r>
    </w:p>
    <w:p w14:paraId="442A507C" w14:textId="15FA47F2" w:rsidR="0058575F" w:rsidRPr="008B0B87" w:rsidRDefault="0058575F" w:rsidP="008B0B87">
      <w:pPr>
        <w:pStyle w:val="ARTartustawynprozporzdzenia"/>
        <w:ind w:firstLine="0"/>
        <w:rPr>
          <w:rFonts w:ascii="Times New Roman" w:hAnsi="Times New Roman" w:cs="Times New Roman"/>
          <w:bCs/>
          <w:sz w:val="24"/>
          <w:szCs w:val="24"/>
        </w:rPr>
      </w:pPr>
      <w:r w:rsidRPr="008B0B87">
        <w:rPr>
          <w:rFonts w:ascii="Times New Roman" w:hAnsi="Times New Roman" w:cs="Times New Roman"/>
          <w:bCs/>
          <w:sz w:val="24"/>
          <w:szCs w:val="24"/>
        </w:rPr>
        <w:t xml:space="preserve">Po upływie składania ofert nie jest możliwe dokonanie zmiany specyfikacji istotnych warunków zamówienia, ale, mając na uwadze zmianę kierunku orzeczniczego KIO w tym zakresie, a także ryzyko albo skutecznego złożenia odwołania na wybór takiej oferty bądź stwierdzenia nieprawidłowości w toku kontroli, w tym kontroli uprzedniej, prowadzonej przez Urząd Zamówień Publicznych (UZP), zamawiający powinien mieć możliwość unieważnienia takiego postępowania. </w:t>
      </w:r>
    </w:p>
    <w:p w14:paraId="265E8C13" w14:textId="50606A16" w:rsidR="0058575F" w:rsidRPr="008B0B87" w:rsidRDefault="0058575F" w:rsidP="008B0B87">
      <w:pPr>
        <w:pStyle w:val="ARTartustawynprozporzdzenia"/>
        <w:ind w:firstLine="0"/>
        <w:rPr>
          <w:rFonts w:ascii="Times New Roman" w:hAnsi="Times New Roman" w:cs="Times New Roman"/>
          <w:bCs/>
          <w:sz w:val="24"/>
          <w:szCs w:val="24"/>
        </w:rPr>
      </w:pPr>
      <w:r w:rsidRPr="008B0B87">
        <w:rPr>
          <w:rFonts w:ascii="Times New Roman" w:hAnsi="Times New Roman" w:cs="Times New Roman"/>
          <w:bCs/>
          <w:sz w:val="24"/>
          <w:szCs w:val="24"/>
        </w:rPr>
        <w:t>Z jednej strony zatem należy zapewnić, aby wyłoniony w toku postępowania wykonawca spełniał wymogi do przyznania pomocy wynikające z przepisów Unii Europejskiej i krajowych w ramach działań, o których mowa w art. 3 ust. 1 pkt 1 i 2 ustawy PROW 2014–2020, z</w:t>
      </w:r>
      <w:r>
        <w:rPr>
          <w:rFonts w:ascii="Times New Roman" w:hAnsi="Times New Roman" w:cs="Times New Roman"/>
          <w:bCs/>
          <w:sz w:val="24"/>
          <w:szCs w:val="24"/>
        </w:rPr>
        <w:t xml:space="preserve"> </w:t>
      </w:r>
      <w:r w:rsidRPr="008B0B87">
        <w:rPr>
          <w:rFonts w:ascii="Times New Roman" w:hAnsi="Times New Roman" w:cs="Times New Roman"/>
          <w:bCs/>
          <w:sz w:val="24"/>
          <w:szCs w:val="24"/>
        </w:rPr>
        <w:t>drugiej zaś KIO zakwestionowała możliwość weryfikacji tych wymogów na etapie składania ofert, twierdząc, że powinny być one weryfikowane na etapie zawierania umowy (tj. według KIO należy wybrać ofertę i dopiero przed zawarciem umowy weryfikować, czy wykonawca spełnia wymogi przyznania pomocy finansowej w ramach PROW 2014–2020).</w:t>
      </w:r>
    </w:p>
    <w:p w14:paraId="14308561" w14:textId="3DA6DD5D" w:rsidR="0058575F" w:rsidRPr="008B0B87" w:rsidRDefault="0058575F" w:rsidP="008B0B87">
      <w:pPr>
        <w:pStyle w:val="ARTartustawynprozporzdzenia"/>
        <w:ind w:firstLine="0"/>
        <w:rPr>
          <w:rFonts w:ascii="Times New Roman" w:hAnsi="Times New Roman" w:cs="Times New Roman"/>
          <w:bCs/>
          <w:sz w:val="24"/>
          <w:szCs w:val="24"/>
        </w:rPr>
      </w:pPr>
      <w:r w:rsidRPr="008B0B87">
        <w:rPr>
          <w:rFonts w:ascii="Times New Roman" w:hAnsi="Times New Roman" w:cs="Times New Roman"/>
          <w:bCs/>
          <w:sz w:val="24"/>
          <w:szCs w:val="24"/>
        </w:rPr>
        <w:t>Wybór oferty w ramach postępowania prowadzonego na dotychczasowych zasadach jest obarczony ryzykiem skutecznego odwołania do KIO bądź stwierdzenia nieprawidłowości przez UZP z jednej strony, bądź też – z drugiej strony – ryzykiem przyznania pomocy finansowej podmiotowi, który nie spełnia warunków przyznania pomocy finansowej w ramach PROW 2014–2020. Dodatkowo w takiej sytuacji UZP może nałożyć karę pieniężną na zamawiającego.</w:t>
      </w:r>
    </w:p>
    <w:p w14:paraId="247990DD" w14:textId="77777777" w:rsidR="0058575F" w:rsidRPr="008B0B87" w:rsidRDefault="0058575F" w:rsidP="008B0B87">
      <w:pPr>
        <w:pStyle w:val="ARTartustawynprozporzdzenia"/>
        <w:ind w:firstLine="0"/>
        <w:rPr>
          <w:rFonts w:ascii="Times New Roman" w:hAnsi="Times New Roman" w:cs="Times New Roman"/>
          <w:sz w:val="24"/>
          <w:szCs w:val="24"/>
        </w:rPr>
      </w:pPr>
      <w:r w:rsidRPr="008B0B87">
        <w:rPr>
          <w:rFonts w:ascii="Times New Roman" w:hAnsi="Times New Roman" w:cs="Times New Roman"/>
          <w:bCs/>
          <w:sz w:val="24"/>
          <w:szCs w:val="24"/>
        </w:rPr>
        <w:t>Projektowany przepis ma zatem zminimalizować takie ryzyko powstałe nie z przyczyn leżących po stronie zamawiającego, ale z powodu zmiany podejścia do omawianej kwestii przez KIO lub UZP.</w:t>
      </w:r>
    </w:p>
    <w:p w14:paraId="66B731B8" w14:textId="77777777" w:rsidR="0058575F" w:rsidRPr="008B0B87" w:rsidRDefault="0058575F" w:rsidP="008B0B87">
      <w:pPr>
        <w:spacing w:before="120" w:after="0" w:line="360" w:lineRule="auto"/>
        <w:jc w:val="both"/>
        <w:rPr>
          <w:rFonts w:ascii="Times New Roman" w:hAnsi="Times New Roman"/>
          <w:bCs/>
          <w:sz w:val="24"/>
          <w:szCs w:val="24"/>
        </w:rPr>
      </w:pPr>
      <w:r w:rsidRPr="008B0B87">
        <w:rPr>
          <w:rFonts w:ascii="Times New Roman" w:hAnsi="Times New Roman"/>
          <w:bCs/>
          <w:sz w:val="24"/>
          <w:szCs w:val="24"/>
        </w:rPr>
        <w:t xml:space="preserve">W art. 8 projektu ustawy proponuje się, aby projektowana ustawa weszła w życie z dniem następującym po dniu ogłoszenia. Dzięki temu będzie możliwe jak najszybsze wdrożenie przepisów umożliwiających pozostawianie elektronicznej kopii dokumentów powstałych w postaci papierowej. Jednocześnie proponuje się, aby przepisy art. 1 pkt 1 i 3 projektowanej ustawy weszły w życie z dniem 1 stycznia 2023 r., ponieważ z tą datą </w:t>
      </w:r>
      <w:r w:rsidRPr="008B0B87">
        <w:rPr>
          <w:rFonts w:ascii="Times New Roman" w:hAnsi="Times New Roman"/>
          <w:bCs/>
          <w:sz w:val="24"/>
          <w:szCs w:val="24"/>
        </w:rPr>
        <w:lastRenderedPageBreak/>
        <w:t xml:space="preserve">ARiMR uzyska gotowość do udostępnienia na swojej stronie internetowej formularza wniosku o wpis do ewidencji producentów. </w:t>
      </w:r>
    </w:p>
    <w:p w14:paraId="1CFB4BF8" w14:textId="45871971" w:rsidR="0058575F" w:rsidRPr="008B0B87" w:rsidRDefault="0058575F" w:rsidP="008B0B87">
      <w:pPr>
        <w:spacing w:before="120" w:after="0" w:line="360" w:lineRule="auto"/>
        <w:jc w:val="both"/>
        <w:rPr>
          <w:rFonts w:ascii="Times New Roman" w:hAnsi="Times New Roman"/>
          <w:sz w:val="24"/>
          <w:szCs w:val="24"/>
        </w:rPr>
      </w:pPr>
      <w:r w:rsidRPr="008B0B87">
        <w:rPr>
          <w:rFonts w:ascii="Times New Roman" w:eastAsiaTheme="minorEastAsia" w:hAnsi="Times New Roman"/>
          <w:bCs/>
          <w:sz w:val="24"/>
          <w:szCs w:val="24"/>
        </w:rPr>
        <w:t>Za terminem wejścia w życie</w:t>
      </w:r>
      <w:r w:rsidRPr="008B0B87">
        <w:rPr>
          <w:rFonts w:ascii="Times New Roman" w:hAnsi="Times New Roman"/>
          <w:bCs/>
          <w:sz w:val="24"/>
          <w:szCs w:val="24"/>
        </w:rPr>
        <w:t xml:space="preserve"> </w:t>
      </w:r>
      <w:r w:rsidRPr="008B0B87">
        <w:rPr>
          <w:rFonts w:ascii="Times New Roman" w:eastAsiaTheme="minorEastAsia" w:hAnsi="Times New Roman"/>
          <w:bCs/>
          <w:sz w:val="24"/>
          <w:szCs w:val="24"/>
        </w:rPr>
        <w:t xml:space="preserve">projektowanej ustawy z dniem następującym po dniu ogłoszenia przemawia przede wszystkim wzgląd na konieczność sprawnego wydatkowania środków finansowych w ramach działań, o których mowa w art. 3 ust. 1 pkt 1 i 2 ustawy PROW 2014–2020. Równie istotne jest też to, aby pomoc w ramach działań, o których mowa w art. 3 ust. 1 pkt 1 i 2 ustawy PROW 2014–2020, była przyznawana podmiotom, które spełniają warunki przyznania tej pomocy (wynikające z przepisów Unii Europejskiej, ustawy PROW 2014–2020 oraz rozporządzeń wykonawczych do tej ustawy), co w takim samym stopniu odnosi się do postępowań o udzielenie zamówienia publicznego, które dopiero będą wszczynane po wejściu w życie projektowanej ustawy, jak i tych, które znajdują się obecnie w toku. Stanowisko wyrażone w wyroku KIO z dnia 10 listopada 2021 r. uniemożliwia dalsze wdrażanie tych działań na dotychczasowych zasadach, dlatego też bez wejścia w życie przepisów, które są proponowane w przedmiotowym projekcie ustawy, nie ma możliwości kontynuowania wdrażania przedmiotowych działań. Taka sytuacja stanowi realne zagrożenie niewydatkowania środków finansowych dostępnych na te działania, co może skutkować koniecznością ich przesunięcia na inne instrumenty wsparcia PROW 2014–2020 bądź w najgorszym wypadku ich zwrot, co pozbawi rolników możliwości skorzystania z usług doradczych oraz szkoleń, a także doradców rolniczych z możliwości doskonalenia zawodowego w postaci szkoleń oraz studiów podyplomowych. </w:t>
      </w:r>
    </w:p>
    <w:p w14:paraId="6F9E20B0" w14:textId="77777777" w:rsidR="0058575F" w:rsidRPr="008B0B87" w:rsidRDefault="0058575F" w:rsidP="008B0B87">
      <w:pPr>
        <w:spacing w:before="120" w:after="0" w:line="360" w:lineRule="auto"/>
        <w:jc w:val="both"/>
        <w:rPr>
          <w:rFonts w:ascii="Times New Roman" w:hAnsi="Times New Roman"/>
          <w:bCs/>
          <w:sz w:val="24"/>
          <w:szCs w:val="24"/>
        </w:rPr>
      </w:pPr>
      <w:r w:rsidRPr="008B0B87">
        <w:rPr>
          <w:rFonts w:ascii="Times New Roman" w:hAnsi="Times New Roman"/>
          <w:bCs/>
          <w:sz w:val="24"/>
          <w:szCs w:val="24"/>
        </w:rPr>
        <w:t>Proponowany termin wejścia w życie projektowanej ustawy nie narusza zasad demokratycznego państwa prawnego.</w:t>
      </w:r>
    </w:p>
    <w:p w14:paraId="2058F79A" w14:textId="77777777" w:rsidR="0058575F" w:rsidRPr="008B0B87" w:rsidRDefault="0058575F" w:rsidP="008B0B87">
      <w:pPr>
        <w:spacing w:before="120" w:after="0" w:line="360" w:lineRule="auto"/>
        <w:jc w:val="both"/>
        <w:rPr>
          <w:rFonts w:ascii="Times New Roman" w:hAnsi="Times New Roman"/>
          <w:bCs/>
          <w:sz w:val="24"/>
          <w:szCs w:val="24"/>
        </w:rPr>
      </w:pPr>
      <w:r w:rsidRPr="008B0B87">
        <w:rPr>
          <w:rFonts w:ascii="Times New Roman" w:hAnsi="Times New Roman"/>
          <w:bCs/>
          <w:sz w:val="24"/>
          <w:szCs w:val="24"/>
        </w:rPr>
        <w:t>Projekt ustawy nie spowoduje zwiększenia wydatków z budżetu państwa oraz budżetów jednostek samorządu terytorialnego. Nie wpłynie również na konkurencyjność gospodarki.</w:t>
      </w:r>
    </w:p>
    <w:p w14:paraId="101F8592" w14:textId="77777777" w:rsidR="0058575F" w:rsidRPr="008B0B87" w:rsidRDefault="0058575F" w:rsidP="008B0B87">
      <w:pPr>
        <w:spacing w:before="120" w:after="0" w:line="360" w:lineRule="auto"/>
        <w:jc w:val="both"/>
        <w:rPr>
          <w:rFonts w:ascii="Times New Roman" w:hAnsi="Times New Roman"/>
          <w:bCs/>
          <w:sz w:val="24"/>
          <w:szCs w:val="24"/>
        </w:rPr>
      </w:pPr>
      <w:r w:rsidRPr="008B0B87">
        <w:rPr>
          <w:rFonts w:ascii="Times New Roman" w:hAnsi="Times New Roman"/>
          <w:bCs/>
          <w:sz w:val="24"/>
          <w:szCs w:val="24"/>
        </w:rPr>
        <w:t>Projektowane przepisy nie będą miały wpływu na sektor mikro-, małych i średnich przedsiębiorstw.</w:t>
      </w:r>
    </w:p>
    <w:p w14:paraId="2453F57A" w14:textId="77777777" w:rsidR="0058575F" w:rsidRPr="008B0B87" w:rsidRDefault="0058575F" w:rsidP="008B0B87">
      <w:pPr>
        <w:spacing w:before="120" w:after="0" w:line="360" w:lineRule="auto"/>
        <w:jc w:val="both"/>
        <w:rPr>
          <w:rFonts w:ascii="Times New Roman" w:hAnsi="Times New Roman"/>
          <w:bCs/>
          <w:sz w:val="24"/>
          <w:szCs w:val="24"/>
        </w:rPr>
      </w:pPr>
      <w:r w:rsidRPr="008B0B87">
        <w:rPr>
          <w:rFonts w:ascii="Times New Roman" w:hAnsi="Times New Roman"/>
          <w:bCs/>
          <w:sz w:val="24"/>
          <w:szCs w:val="24"/>
        </w:rPr>
        <w:t>Projektowane przepisy nie będą miały wpływu na sytuację ekonomiczną i społeczną rodziny, a także osób niepełnosprawnych oraz osób starszych.</w:t>
      </w:r>
    </w:p>
    <w:p w14:paraId="43FD0F14" w14:textId="77777777" w:rsidR="0058575F" w:rsidRPr="008B0B87" w:rsidRDefault="0058575F" w:rsidP="008B0B87">
      <w:pPr>
        <w:spacing w:before="120" w:after="0" w:line="360" w:lineRule="auto"/>
        <w:jc w:val="both"/>
        <w:rPr>
          <w:rFonts w:ascii="Times New Roman" w:hAnsi="Times New Roman"/>
          <w:bCs/>
          <w:sz w:val="24"/>
          <w:szCs w:val="24"/>
        </w:rPr>
      </w:pPr>
      <w:r w:rsidRPr="008B0B87">
        <w:rPr>
          <w:rFonts w:ascii="Times New Roman" w:hAnsi="Times New Roman"/>
          <w:bCs/>
          <w:sz w:val="24"/>
          <w:szCs w:val="24"/>
        </w:rPr>
        <w:t>Projekt ustawy jest zgodny z prawem Unii Europejskiej.</w:t>
      </w:r>
    </w:p>
    <w:p w14:paraId="5E385039" w14:textId="18E1744E" w:rsidR="0058575F" w:rsidRPr="008B0B87" w:rsidRDefault="0058575F" w:rsidP="008B0B87">
      <w:pPr>
        <w:spacing w:before="120" w:after="0" w:line="360" w:lineRule="auto"/>
        <w:jc w:val="both"/>
        <w:rPr>
          <w:rFonts w:ascii="Times New Roman" w:hAnsi="Times New Roman"/>
          <w:bCs/>
          <w:sz w:val="24"/>
          <w:szCs w:val="24"/>
        </w:rPr>
      </w:pPr>
      <w:r w:rsidRPr="008B0B87">
        <w:rPr>
          <w:rFonts w:ascii="Times New Roman" w:hAnsi="Times New Roman"/>
          <w:bCs/>
          <w:sz w:val="24"/>
          <w:szCs w:val="24"/>
        </w:rPr>
        <w:lastRenderedPageBreak/>
        <w:t>Zgodnie z art. 5 ustawy z dnia 7 lipca 2005 r. o działalności lobbingowej w procesie stanowienia prawa (Dz. U. z 2017 r. poz. 248) proje</w:t>
      </w:r>
      <w:r w:rsidR="00E72AA3">
        <w:rPr>
          <w:rFonts w:ascii="Times New Roman" w:hAnsi="Times New Roman"/>
          <w:bCs/>
          <w:sz w:val="24"/>
          <w:szCs w:val="24"/>
        </w:rPr>
        <w:t>kt ustawy został zamieszczony w </w:t>
      </w:r>
      <w:r w:rsidRPr="008B0B87">
        <w:rPr>
          <w:rFonts w:ascii="Times New Roman" w:hAnsi="Times New Roman"/>
          <w:bCs/>
          <w:sz w:val="24"/>
          <w:szCs w:val="24"/>
        </w:rPr>
        <w:t>Biuletynie Informacji Publicznej na stronie podmi</w:t>
      </w:r>
      <w:r w:rsidR="00E72AA3">
        <w:rPr>
          <w:rFonts w:ascii="Times New Roman" w:hAnsi="Times New Roman"/>
          <w:bCs/>
          <w:sz w:val="24"/>
          <w:szCs w:val="24"/>
        </w:rPr>
        <w:t>otowej Ministerstwa Rolnictwa i </w:t>
      </w:r>
      <w:r w:rsidRPr="008B0B87">
        <w:rPr>
          <w:rFonts w:ascii="Times New Roman" w:hAnsi="Times New Roman"/>
          <w:bCs/>
          <w:sz w:val="24"/>
          <w:szCs w:val="24"/>
        </w:rPr>
        <w:t>Rozwoju Wsi oraz w Biuletynie Informacji Publicznej na stronie podmiotowej Rządowego Centrum Legislacji</w:t>
      </w:r>
      <w:r w:rsidR="00181D71">
        <w:rPr>
          <w:rFonts w:ascii="Times New Roman" w:hAnsi="Times New Roman"/>
          <w:bCs/>
          <w:sz w:val="24"/>
          <w:szCs w:val="24"/>
        </w:rPr>
        <w:t xml:space="preserve"> w serwisie „Rządowy Proces Legislacyjny”</w:t>
      </w:r>
      <w:r w:rsidRPr="008B0B87">
        <w:rPr>
          <w:rFonts w:ascii="Times New Roman" w:hAnsi="Times New Roman"/>
          <w:bCs/>
          <w:sz w:val="24"/>
          <w:szCs w:val="24"/>
        </w:rPr>
        <w:t>.</w:t>
      </w:r>
    </w:p>
    <w:p w14:paraId="316A925E" w14:textId="144D7616" w:rsidR="0058575F" w:rsidRPr="008B0B87" w:rsidRDefault="0058575F" w:rsidP="008B0B87">
      <w:pPr>
        <w:spacing w:before="120" w:after="0" w:line="360" w:lineRule="auto"/>
        <w:jc w:val="both"/>
        <w:rPr>
          <w:rFonts w:ascii="Times New Roman" w:hAnsi="Times New Roman"/>
          <w:sz w:val="24"/>
          <w:szCs w:val="24"/>
        </w:rPr>
      </w:pPr>
      <w:r w:rsidRPr="008B0B87">
        <w:rPr>
          <w:rFonts w:ascii="Times New Roman" w:hAnsi="Times New Roman"/>
          <w:bCs/>
          <w:sz w:val="24"/>
          <w:szCs w:val="24"/>
        </w:rPr>
        <w:t>Projekt ustawy nie wymaga przedstawienia organom i i</w:t>
      </w:r>
      <w:r w:rsidR="00E72AA3">
        <w:rPr>
          <w:rFonts w:ascii="Times New Roman" w:hAnsi="Times New Roman"/>
          <w:bCs/>
          <w:sz w:val="24"/>
          <w:szCs w:val="24"/>
        </w:rPr>
        <w:t>nstytucjom Unii Europejskiej, w </w:t>
      </w:r>
      <w:r w:rsidRPr="008B0B87">
        <w:rPr>
          <w:rFonts w:ascii="Times New Roman" w:hAnsi="Times New Roman"/>
          <w:bCs/>
          <w:sz w:val="24"/>
          <w:szCs w:val="24"/>
        </w:rPr>
        <w:t>tym Europejskiemu Bankowi Centralnemu</w:t>
      </w:r>
      <w:r w:rsidR="00D77A9F">
        <w:rPr>
          <w:rFonts w:ascii="Times New Roman" w:hAnsi="Times New Roman"/>
          <w:bCs/>
          <w:sz w:val="24"/>
          <w:szCs w:val="24"/>
        </w:rPr>
        <w:t>,</w:t>
      </w:r>
      <w:r w:rsidRPr="008B0B87">
        <w:rPr>
          <w:rFonts w:ascii="Times New Roman" w:hAnsi="Times New Roman"/>
          <w:bCs/>
          <w:sz w:val="24"/>
          <w:szCs w:val="24"/>
        </w:rPr>
        <w:t xml:space="preserve"> w trybie § 27 ust. 4 uchwały nr 190 Rady Ministrów z dnia 29 października 2013 r. – Regulam</w:t>
      </w:r>
      <w:r w:rsidR="00E72AA3">
        <w:rPr>
          <w:rFonts w:ascii="Times New Roman" w:hAnsi="Times New Roman"/>
          <w:bCs/>
          <w:sz w:val="24"/>
          <w:szCs w:val="24"/>
        </w:rPr>
        <w:t>in pracy Rady Ministrów (M.P. z </w:t>
      </w:r>
      <w:r w:rsidRPr="008B0B87">
        <w:rPr>
          <w:rFonts w:ascii="Times New Roman" w:hAnsi="Times New Roman"/>
          <w:bCs/>
          <w:sz w:val="24"/>
          <w:szCs w:val="24"/>
        </w:rPr>
        <w:t>2022 r. poz. 348).</w:t>
      </w:r>
    </w:p>
    <w:p w14:paraId="607DFD0F" w14:textId="77777777" w:rsidR="0058575F" w:rsidRPr="008B0B87" w:rsidRDefault="0058575F" w:rsidP="008B0B87">
      <w:pPr>
        <w:spacing w:before="120" w:after="0" w:line="360" w:lineRule="auto"/>
        <w:jc w:val="both"/>
        <w:rPr>
          <w:rFonts w:ascii="Times New Roman" w:hAnsi="Times New Roman"/>
          <w:sz w:val="24"/>
          <w:szCs w:val="24"/>
        </w:rPr>
      </w:pPr>
      <w:r w:rsidRPr="008B0B87">
        <w:rPr>
          <w:rFonts w:ascii="Times New Roman" w:hAnsi="Times New Roman"/>
          <w:bCs/>
          <w:sz w:val="24"/>
          <w:szCs w:val="24"/>
        </w:rPr>
        <w:t>Projekt ustawy nie zawiera przepisów technicznych, w związku z tym nie podlega notyfikacji w rozumieniu przepisów rozporządzenia Rady Ministrów z dnia 23 grudnia 2002 r.</w:t>
      </w:r>
      <w:r w:rsidRPr="008B0B87">
        <w:rPr>
          <w:rFonts w:ascii="Times New Roman" w:hAnsi="Times New Roman"/>
          <w:sz w:val="24"/>
          <w:szCs w:val="24"/>
        </w:rPr>
        <w:t xml:space="preserve"> </w:t>
      </w:r>
      <w:r w:rsidRPr="008B0B87">
        <w:rPr>
          <w:rFonts w:ascii="Times New Roman" w:hAnsi="Times New Roman"/>
          <w:bCs/>
          <w:sz w:val="24"/>
          <w:szCs w:val="24"/>
        </w:rPr>
        <w:t xml:space="preserve">w sprawie sposobu funkcjonowania krajowego systemu notyfikacji norm i aktów prawnych (Dz. U. poz. 2039, z </w:t>
      </w:r>
      <w:proofErr w:type="spellStart"/>
      <w:r w:rsidRPr="008B0B87">
        <w:rPr>
          <w:rFonts w:ascii="Times New Roman" w:hAnsi="Times New Roman"/>
          <w:bCs/>
          <w:sz w:val="24"/>
          <w:szCs w:val="24"/>
        </w:rPr>
        <w:t>późn</w:t>
      </w:r>
      <w:proofErr w:type="spellEnd"/>
      <w:r w:rsidRPr="008B0B87">
        <w:rPr>
          <w:rFonts w:ascii="Times New Roman" w:hAnsi="Times New Roman"/>
          <w:bCs/>
          <w:sz w:val="24"/>
          <w:szCs w:val="24"/>
        </w:rPr>
        <w:t>. zm.).</w:t>
      </w:r>
    </w:p>
    <w:p w14:paraId="5C620B47" w14:textId="0B96DB6C" w:rsidR="0058575F" w:rsidRPr="008B0B87" w:rsidRDefault="0058575F" w:rsidP="0058575F">
      <w:pPr>
        <w:spacing w:before="120" w:after="0" w:line="360" w:lineRule="auto"/>
        <w:jc w:val="both"/>
        <w:rPr>
          <w:rFonts w:ascii="Times New Roman" w:hAnsi="Times New Roman"/>
          <w:sz w:val="24"/>
          <w:szCs w:val="24"/>
        </w:rPr>
      </w:pPr>
      <w:r w:rsidRPr="008B0B87">
        <w:rPr>
          <w:rFonts w:ascii="Times New Roman" w:hAnsi="Times New Roman"/>
          <w:sz w:val="24"/>
          <w:szCs w:val="24"/>
        </w:rPr>
        <w:t>Przewidziane w projekcie ustawy uregulowania nie będ</w:t>
      </w:r>
      <w:r w:rsidR="00A246E5">
        <w:rPr>
          <w:rFonts w:ascii="Times New Roman" w:hAnsi="Times New Roman"/>
          <w:sz w:val="24"/>
          <w:szCs w:val="24"/>
        </w:rPr>
        <w:t>ą stanowiły pomocy publicznej w </w:t>
      </w:r>
      <w:r w:rsidRPr="008B0B87">
        <w:rPr>
          <w:rFonts w:ascii="Times New Roman" w:hAnsi="Times New Roman"/>
          <w:sz w:val="24"/>
          <w:szCs w:val="24"/>
        </w:rPr>
        <w:t xml:space="preserve">rozumieniu art. 107 Traktatu o funkcjonowaniu Unii Europejskiej, a tym samym nie będą wymagały notyfikacji Komisji Europejskiej. </w:t>
      </w:r>
    </w:p>
    <w:p w14:paraId="12B09DDC" w14:textId="5AA241DC" w:rsidR="008E70DC" w:rsidRPr="008B0B87" w:rsidRDefault="0058575F" w:rsidP="008B0B87">
      <w:pPr>
        <w:spacing w:before="120" w:after="0" w:line="360" w:lineRule="auto"/>
        <w:jc w:val="both"/>
        <w:rPr>
          <w:rFonts w:ascii="Times New Roman" w:hAnsi="Times New Roman"/>
          <w:sz w:val="24"/>
          <w:szCs w:val="24"/>
        </w:rPr>
      </w:pPr>
      <w:r w:rsidRPr="008B0B87">
        <w:rPr>
          <w:rFonts w:ascii="Times New Roman" w:hAnsi="Times New Roman"/>
          <w:bCs/>
          <w:sz w:val="24"/>
          <w:szCs w:val="24"/>
        </w:rPr>
        <w:t>Projekt ustawy został umieszczony w Wykazie prac legislacyjnych i programowych Rady Ministrów pod numerem UD298.</w:t>
      </w:r>
    </w:p>
    <w:sectPr w:rsidR="008E70DC" w:rsidRPr="008B0B87" w:rsidSect="00A246E5">
      <w:footerReference w:type="default" r:id="rId8"/>
      <w:pgSz w:w="11906" w:h="16838" w:code="9"/>
      <w:pgMar w:top="1276"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542CE2" w14:textId="77777777" w:rsidR="0058575F" w:rsidRDefault="0058575F" w:rsidP="0058575F">
      <w:pPr>
        <w:spacing w:after="0" w:line="240" w:lineRule="auto"/>
      </w:pPr>
      <w:r>
        <w:separator/>
      </w:r>
    </w:p>
  </w:endnote>
  <w:endnote w:type="continuationSeparator" w:id="0">
    <w:p w14:paraId="7508A02E" w14:textId="77777777" w:rsidR="0058575F" w:rsidRDefault="0058575F" w:rsidP="00585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0082646"/>
      <w:docPartObj>
        <w:docPartGallery w:val="Page Numbers (Bottom of Page)"/>
        <w:docPartUnique/>
      </w:docPartObj>
    </w:sdtPr>
    <w:sdtEndPr>
      <w:rPr>
        <w:rFonts w:ascii="Times New Roman" w:hAnsi="Times New Roman"/>
        <w:sz w:val="24"/>
        <w:szCs w:val="24"/>
      </w:rPr>
    </w:sdtEndPr>
    <w:sdtContent>
      <w:p w14:paraId="02E5E7B3" w14:textId="26F47FBC" w:rsidR="0058575F" w:rsidRPr="008B0B87" w:rsidRDefault="0058575F" w:rsidP="008B0B87">
        <w:pPr>
          <w:pStyle w:val="Stopka"/>
          <w:jc w:val="center"/>
          <w:rPr>
            <w:rFonts w:ascii="Times New Roman" w:hAnsi="Times New Roman"/>
            <w:sz w:val="24"/>
            <w:szCs w:val="24"/>
          </w:rPr>
        </w:pPr>
        <w:r w:rsidRPr="008B0B87">
          <w:rPr>
            <w:rFonts w:ascii="Times New Roman" w:hAnsi="Times New Roman"/>
            <w:sz w:val="24"/>
            <w:szCs w:val="24"/>
          </w:rPr>
          <w:fldChar w:fldCharType="begin"/>
        </w:r>
        <w:r w:rsidRPr="008B0B87">
          <w:rPr>
            <w:rFonts w:ascii="Times New Roman" w:hAnsi="Times New Roman"/>
            <w:sz w:val="24"/>
            <w:szCs w:val="24"/>
          </w:rPr>
          <w:instrText>PAGE   \* MERGEFORMAT</w:instrText>
        </w:r>
        <w:r w:rsidRPr="008B0B87">
          <w:rPr>
            <w:rFonts w:ascii="Times New Roman" w:hAnsi="Times New Roman"/>
            <w:sz w:val="24"/>
            <w:szCs w:val="24"/>
          </w:rPr>
          <w:fldChar w:fldCharType="separate"/>
        </w:r>
        <w:r w:rsidR="00D37E1A">
          <w:rPr>
            <w:rFonts w:ascii="Times New Roman" w:hAnsi="Times New Roman"/>
            <w:noProof/>
            <w:sz w:val="24"/>
            <w:szCs w:val="24"/>
          </w:rPr>
          <w:t>21</w:t>
        </w:r>
        <w:r w:rsidRPr="008B0B87">
          <w:rPr>
            <w:rFonts w:ascii="Times New Roman" w:hAnsi="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0A191F" w14:textId="77777777" w:rsidR="0058575F" w:rsidRDefault="0058575F" w:rsidP="0058575F">
      <w:pPr>
        <w:spacing w:after="0" w:line="240" w:lineRule="auto"/>
      </w:pPr>
      <w:r>
        <w:separator/>
      </w:r>
    </w:p>
  </w:footnote>
  <w:footnote w:type="continuationSeparator" w:id="0">
    <w:p w14:paraId="7B5D92F7" w14:textId="77777777" w:rsidR="0058575F" w:rsidRDefault="0058575F" w:rsidP="005857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F67E1"/>
    <w:multiLevelType w:val="multilevel"/>
    <w:tmpl w:val="C7A8EA62"/>
    <w:lvl w:ilvl="0">
      <w:start w:val="1"/>
      <w:numFmt w:val="decimal"/>
      <w:lvlText w:val="%1)"/>
      <w:lvlJc w:val="left"/>
      <w:pPr>
        <w:ind w:left="530" w:hanging="360"/>
      </w:pPr>
    </w:lvl>
    <w:lvl w:ilvl="1">
      <w:start w:val="1"/>
      <w:numFmt w:val="decimal"/>
      <w:lvlText w:val="%2)"/>
      <w:lvlJc w:val="left"/>
      <w:pPr>
        <w:ind w:left="1250" w:hanging="360"/>
      </w:pPr>
    </w:lvl>
    <w:lvl w:ilvl="2">
      <w:start w:val="1"/>
      <w:numFmt w:val="lowerRoman"/>
      <w:lvlText w:val="%3."/>
      <w:lvlJc w:val="right"/>
      <w:pPr>
        <w:ind w:left="1970" w:hanging="180"/>
      </w:pPr>
    </w:lvl>
    <w:lvl w:ilvl="3">
      <w:start w:val="1"/>
      <w:numFmt w:val="decimal"/>
      <w:lvlText w:val="%4."/>
      <w:lvlJc w:val="left"/>
      <w:pPr>
        <w:ind w:left="2690" w:hanging="360"/>
      </w:pPr>
    </w:lvl>
    <w:lvl w:ilvl="4">
      <w:start w:val="1"/>
      <w:numFmt w:val="lowerLetter"/>
      <w:lvlText w:val="%5."/>
      <w:lvlJc w:val="left"/>
      <w:pPr>
        <w:ind w:left="3410" w:hanging="360"/>
      </w:pPr>
    </w:lvl>
    <w:lvl w:ilvl="5">
      <w:start w:val="1"/>
      <w:numFmt w:val="lowerRoman"/>
      <w:lvlText w:val="%6."/>
      <w:lvlJc w:val="right"/>
      <w:pPr>
        <w:ind w:left="4130" w:hanging="180"/>
      </w:pPr>
    </w:lvl>
    <w:lvl w:ilvl="6">
      <w:start w:val="1"/>
      <w:numFmt w:val="decimal"/>
      <w:lvlText w:val="%7."/>
      <w:lvlJc w:val="left"/>
      <w:pPr>
        <w:ind w:left="4850" w:hanging="360"/>
      </w:pPr>
    </w:lvl>
    <w:lvl w:ilvl="7">
      <w:start w:val="1"/>
      <w:numFmt w:val="lowerLetter"/>
      <w:lvlText w:val="%8."/>
      <w:lvlJc w:val="left"/>
      <w:pPr>
        <w:ind w:left="5570" w:hanging="360"/>
      </w:pPr>
    </w:lvl>
    <w:lvl w:ilvl="8">
      <w:start w:val="1"/>
      <w:numFmt w:val="lowerRoman"/>
      <w:lvlText w:val="%9."/>
      <w:lvlJc w:val="right"/>
      <w:pPr>
        <w:ind w:left="62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75F"/>
    <w:rsid w:val="00077FB2"/>
    <w:rsid w:val="00083F6B"/>
    <w:rsid w:val="000B735C"/>
    <w:rsid w:val="000F0824"/>
    <w:rsid w:val="001144E1"/>
    <w:rsid w:val="00131106"/>
    <w:rsid w:val="00181D71"/>
    <w:rsid w:val="001B142A"/>
    <w:rsid w:val="001E10EE"/>
    <w:rsid w:val="001F2B4E"/>
    <w:rsid w:val="00221772"/>
    <w:rsid w:val="00233FB7"/>
    <w:rsid w:val="002347DB"/>
    <w:rsid w:val="00245527"/>
    <w:rsid w:val="002600B9"/>
    <w:rsid w:val="00297D75"/>
    <w:rsid w:val="002B0762"/>
    <w:rsid w:val="002F1F6C"/>
    <w:rsid w:val="00365938"/>
    <w:rsid w:val="00393AF7"/>
    <w:rsid w:val="00400F9B"/>
    <w:rsid w:val="00415B06"/>
    <w:rsid w:val="00424157"/>
    <w:rsid w:val="00426EDF"/>
    <w:rsid w:val="00494FE8"/>
    <w:rsid w:val="004A3A83"/>
    <w:rsid w:val="004B2C73"/>
    <w:rsid w:val="004D1690"/>
    <w:rsid w:val="0050759F"/>
    <w:rsid w:val="005162D2"/>
    <w:rsid w:val="005648CD"/>
    <w:rsid w:val="0058575F"/>
    <w:rsid w:val="005B105B"/>
    <w:rsid w:val="005F0AA6"/>
    <w:rsid w:val="005F1B87"/>
    <w:rsid w:val="00621715"/>
    <w:rsid w:val="0064369D"/>
    <w:rsid w:val="00643D7C"/>
    <w:rsid w:val="006822E6"/>
    <w:rsid w:val="00683850"/>
    <w:rsid w:val="006A7DF7"/>
    <w:rsid w:val="006B4ADD"/>
    <w:rsid w:val="006B5B80"/>
    <w:rsid w:val="006E5189"/>
    <w:rsid w:val="00712494"/>
    <w:rsid w:val="00731F3B"/>
    <w:rsid w:val="00741C21"/>
    <w:rsid w:val="00753302"/>
    <w:rsid w:val="00755B9F"/>
    <w:rsid w:val="00791409"/>
    <w:rsid w:val="007E0C62"/>
    <w:rsid w:val="008214D2"/>
    <w:rsid w:val="00821C79"/>
    <w:rsid w:val="0084171A"/>
    <w:rsid w:val="00855899"/>
    <w:rsid w:val="00894347"/>
    <w:rsid w:val="008B0B87"/>
    <w:rsid w:val="008B377E"/>
    <w:rsid w:val="008E1007"/>
    <w:rsid w:val="008E70DC"/>
    <w:rsid w:val="008E7E86"/>
    <w:rsid w:val="0090361C"/>
    <w:rsid w:val="0097111E"/>
    <w:rsid w:val="00975E96"/>
    <w:rsid w:val="009E2EC4"/>
    <w:rsid w:val="009F4B71"/>
    <w:rsid w:val="00A246E5"/>
    <w:rsid w:val="00A37E88"/>
    <w:rsid w:val="00A709BA"/>
    <w:rsid w:val="00AA364F"/>
    <w:rsid w:val="00AE035E"/>
    <w:rsid w:val="00B06363"/>
    <w:rsid w:val="00B223B6"/>
    <w:rsid w:val="00B461A0"/>
    <w:rsid w:val="00B7623C"/>
    <w:rsid w:val="00BF0E9B"/>
    <w:rsid w:val="00C16594"/>
    <w:rsid w:val="00C27B09"/>
    <w:rsid w:val="00C75DCA"/>
    <w:rsid w:val="00C867C1"/>
    <w:rsid w:val="00C9700E"/>
    <w:rsid w:val="00CA22AF"/>
    <w:rsid w:val="00CE621B"/>
    <w:rsid w:val="00D3015D"/>
    <w:rsid w:val="00D37E1A"/>
    <w:rsid w:val="00D77A9F"/>
    <w:rsid w:val="00DC1CFC"/>
    <w:rsid w:val="00DF0399"/>
    <w:rsid w:val="00E359C3"/>
    <w:rsid w:val="00E422FD"/>
    <w:rsid w:val="00E72AA3"/>
    <w:rsid w:val="00E73A9B"/>
    <w:rsid w:val="00EA77E7"/>
    <w:rsid w:val="00ED14D2"/>
    <w:rsid w:val="00F26B12"/>
    <w:rsid w:val="00F3216B"/>
    <w:rsid w:val="00F706B1"/>
    <w:rsid w:val="00F76622"/>
    <w:rsid w:val="00F92DB9"/>
    <w:rsid w:val="00FC05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2D5BC"/>
  <w15:chartTrackingRefBased/>
  <w15:docId w15:val="{73B123F2-579C-4781-B675-908338767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8575F"/>
    <w:pPr>
      <w:suppressAutoHyphens/>
      <w:spacing w:after="200" w:line="276" w:lineRule="auto"/>
    </w:pPr>
    <w:rPr>
      <w:rFonts w:ascii="Calibri" w:eastAsia="Times New Roman" w:hAnsi="Calibri"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qFormat/>
    <w:rsid w:val="0058575F"/>
    <w:rPr>
      <w:b/>
      <w:bCs/>
    </w:rPr>
  </w:style>
  <w:style w:type="paragraph" w:customStyle="1" w:styleId="ARTartustawynprozporzdzenia">
    <w:name w:val="ART(§) – art. ustawy (§ np. rozporządzenia)"/>
    <w:qFormat/>
    <w:rsid w:val="0058575F"/>
    <w:pPr>
      <w:suppressAutoHyphens/>
      <w:spacing w:before="120" w:after="0" w:line="360" w:lineRule="auto"/>
      <w:ind w:firstLine="510"/>
      <w:jc w:val="both"/>
    </w:pPr>
    <w:rPr>
      <w:rFonts w:ascii="Times" w:eastAsia="Times New Roman" w:hAnsi="Times" w:cs="Arial"/>
      <w:szCs w:val="20"/>
      <w:lang w:eastAsia="pl-PL"/>
    </w:rPr>
  </w:style>
  <w:style w:type="paragraph" w:customStyle="1" w:styleId="USTustnpkodeksu">
    <w:name w:val="UST(§) – ust. (§ np. kodeksu)"/>
    <w:basedOn w:val="ARTartustawynprozporzdzenia"/>
    <w:qFormat/>
    <w:rsid w:val="0058575F"/>
    <w:pPr>
      <w:spacing w:before="0"/>
    </w:pPr>
    <w:rPr>
      <w:bCs/>
    </w:rPr>
  </w:style>
  <w:style w:type="paragraph" w:customStyle="1" w:styleId="PKTpunkt">
    <w:name w:val="PKT – punkt"/>
    <w:qFormat/>
    <w:rsid w:val="0058575F"/>
    <w:pPr>
      <w:suppressAutoHyphens/>
      <w:spacing w:after="0" w:line="360" w:lineRule="auto"/>
      <w:ind w:left="510" w:hanging="510"/>
      <w:jc w:val="both"/>
    </w:pPr>
    <w:rPr>
      <w:rFonts w:ascii="Times" w:eastAsia="Times New Roman" w:hAnsi="Times" w:cs="Arial"/>
      <w:bCs/>
      <w:szCs w:val="20"/>
      <w:lang w:eastAsia="pl-PL"/>
    </w:rPr>
  </w:style>
  <w:style w:type="paragraph" w:styleId="Akapitzlist">
    <w:name w:val="List Paragraph"/>
    <w:basedOn w:val="Normalny"/>
    <w:qFormat/>
    <w:rsid w:val="0058575F"/>
    <w:pPr>
      <w:ind w:left="720"/>
      <w:contextualSpacing/>
    </w:pPr>
    <w:rPr>
      <w:rFonts w:eastAsia="Calibri"/>
      <w:lang w:eastAsia="en-US"/>
    </w:rPr>
  </w:style>
  <w:style w:type="character" w:customStyle="1" w:styleId="highlight">
    <w:name w:val="highlight"/>
    <w:basedOn w:val="Domylnaczcionkaakapitu"/>
    <w:rsid w:val="0058575F"/>
  </w:style>
  <w:style w:type="paragraph" w:styleId="Tekstdymka">
    <w:name w:val="Balloon Text"/>
    <w:basedOn w:val="Normalny"/>
    <w:link w:val="TekstdymkaZnak"/>
    <w:uiPriority w:val="99"/>
    <w:semiHidden/>
    <w:unhideWhenUsed/>
    <w:rsid w:val="005857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8575F"/>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58575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8575F"/>
    <w:rPr>
      <w:rFonts w:ascii="Calibri" w:eastAsia="Times New Roman" w:hAnsi="Calibri" w:cs="Times New Roman"/>
      <w:lang w:eastAsia="pl-PL"/>
    </w:rPr>
  </w:style>
  <w:style w:type="paragraph" w:styleId="Stopka">
    <w:name w:val="footer"/>
    <w:basedOn w:val="Normalny"/>
    <w:link w:val="StopkaZnak"/>
    <w:uiPriority w:val="99"/>
    <w:unhideWhenUsed/>
    <w:rsid w:val="0058575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8575F"/>
    <w:rPr>
      <w:rFonts w:ascii="Calibri" w:eastAsia="Times New Roman" w:hAnsi="Calibri" w:cs="Times New Roman"/>
      <w:lang w:eastAsia="pl-PL"/>
    </w:rPr>
  </w:style>
  <w:style w:type="character" w:styleId="Odwoaniedokomentarza">
    <w:name w:val="annotation reference"/>
    <w:basedOn w:val="Domylnaczcionkaakapitu"/>
    <w:uiPriority w:val="99"/>
    <w:semiHidden/>
    <w:unhideWhenUsed/>
    <w:rsid w:val="0058575F"/>
    <w:rPr>
      <w:sz w:val="16"/>
      <w:szCs w:val="16"/>
    </w:rPr>
  </w:style>
  <w:style w:type="paragraph" w:styleId="Tekstkomentarza">
    <w:name w:val="annotation text"/>
    <w:basedOn w:val="Normalny"/>
    <w:link w:val="TekstkomentarzaZnak"/>
    <w:uiPriority w:val="99"/>
    <w:semiHidden/>
    <w:unhideWhenUsed/>
    <w:rsid w:val="0058575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8575F"/>
    <w:rPr>
      <w:rFonts w:ascii="Calibri" w:eastAsia="Times New Roman" w:hAnsi="Calibri"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58575F"/>
    <w:rPr>
      <w:b/>
      <w:bCs/>
    </w:rPr>
  </w:style>
  <w:style w:type="character" w:customStyle="1" w:styleId="TematkomentarzaZnak">
    <w:name w:val="Temat komentarza Znak"/>
    <w:basedOn w:val="TekstkomentarzaZnak"/>
    <w:link w:val="Tematkomentarza"/>
    <w:uiPriority w:val="99"/>
    <w:semiHidden/>
    <w:rsid w:val="0058575F"/>
    <w:rPr>
      <w:rFonts w:ascii="Calibri" w:eastAsia="Times New Roman" w:hAnsi="Calibri"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9E5A6-50E2-4461-9554-F601BAAFF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7137</Words>
  <Characters>42825</Characters>
  <Application>Microsoft Office Word</Application>
  <DocSecurity>0</DocSecurity>
  <Lines>356</Lines>
  <Paragraphs>99</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49863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Bodych Dominika</dc:creator>
  <cp:keywords/>
  <dc:description/>
  <cp:lastModifiedBy>Wójcik Aleksandra</cp:lastModifiedBy>
  <cp:revision>3</cp:revision>
  <dcterms:created xsi:type="dcterms:W3CDTF">2022-05-05T10:38:00Z</dcterms:created>
  <dcterms:modified xsi:type="dcterms:W3CDTF">2022-05-05T10:43:00Z</dcterms:modified>
</cp:coreProperties>
</file>