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4DC" w:rsidRPr="00F32CA6" w:rsidRDefault="00DD54DC" w:rsidP="00F32CA6">
      <w:pPr>
        <w:pStyle w:val="OZNRODZAKTUtznustawalubrozporzdzenieiorganwydajcy"/>
      </w:pPr>
      <w:bookmarkStart w:id="0" w:name="_GoBack"/>
      <w:bookmarkEnd w:id="0"/>
      <w:r w:rsidRPr="00F32CA6">
        <w:t>uzasadnieNie</w:t>
      </w:r>
    </w:p>
    <w:p w:rsidR="00DD54DC" w:rsidRDefault="00DD54DC" w:rsidP="008C2398">
      <w:pPr>
        <w:pStyle w:val="NIEARTTEKSTtekstnieartykuowanynppodstprawnarozplubpreambua"/>
        <w:rPr>
          <w:rStyle w:val="Ppogrubienie"/>
        </w:rPr>
      </w:pPr>
    </w:p>
    <w:p w:rsidR="00DD54DC" w:rsidRPr="00F32CA6" w:rsidRDefault="00DD54DC" w:rsidP="008C2398">
      <w:pPr>
        <w:pStyle w:val="NIEARTTEKSTtekstnieartykuowanynppodstprawnarozplubpreambua"/>
        <w:rPr>
          <w:rStyle w:val="Ppogrubienie"/>
        </w:rPr>
      </w:pPr>
      <w:r w:rsidRPr="00F32CA6">
        <w:rPr>
          <w:rStyle w:val="Ppogrubienie"/>
        </w:rPr>
        <w:t>1. Cel projektowanej ustawy</w:t>
      </w:r>
    </w:p>
    <w:p w:rsidR="00DD54DC" w:rsidRDefault="00DD54DC" w:rsidP="005F36D3">
      <w:pPr>
        <w:pStyle w:val="NIEARTTEKSTtekstnieartykuowanynppodstprawnarozplubpreambua"/>
      </w:pPr>
      <w:r>
        <w:t xml:space="preserve">Celem niniejszej ustawy nowelizacyjnej jest doprecyzowanie zawartych w ustawie z dnia 6 czerwca 1997 r. – Kodeks karny wykonawczy (dalej: k.k.w.) zasad stosowania </w:t>
      </w:r>
      <w:r w:rsidRPr="0004637D">
        <w:t>przymusowego leczenia lub przymusowej rehabilitacji skazan</w:t>
      </w:r>
      <w:r>
        <w:t>ych:</w:t>
      </w:r>
    </w:p>
    <w:p w:rsidR="00DD54DC" w:rsidRDefault="00DD54DC" w:rsidP="006B272A">
      <w:pPr>
        <w:pStyle w:val="PKTpunkt"/>
      </w:pPr>
      <w:r>
        <w:t>1)</w:t>
      </w:r>
      <w:r>
        <w:tab/>
        <w:t xml:space="preserve">u których stwierdzono uzależnienie od alkoholu, </w:t>
      </w:r>
      <w:r>
        <w:tab/>
      </w:r>
      <w:r w:rsidRPr="00877E04">
        <w:t>środków odurzających</w:t>
      </w:r>
      <w:r>
        <w:t xml:space="preserve"> lub </w:t>
      </w:r>
      <w:r>
        <w:tab/>
      </w:r>
      <w:r w:rsidRPr="00877E04">
        <w:t>substancji p</w:t>
      </w:r>
      <w:r>
        <w:t>sychotropowych,</w:t>
      </w:r>
    </w:p>
    <w:p w:rsidR="00DD54DC" w:rsidRPr="00877E04" w:rsidRDefault="00DD54DC" w:rsidP="005F36D3">
      <w:pPr>
        <w:pStyle w:val="PKTpunkt"/>
      </w:pPr>
      <w:r>
        <w:t>2)</w:t>
      </w:r>
      <w:r>
        <w:tab/>
        <w:t>za przestępstwa</w:t>
      </w:r>
      <w:r w:rsidRPr="00877E04">
        <w:t xml:space="preserve"> </w:t>
      </w:r>
      <w:r w:rsidRPr="0094431D">
        <w:t>przeciwko wolności seksualnej i obyczajności</w:t>
      </w:r>
      <w:r>
        <w:t xml:space="preserve"> popełnione, w związku z </w:t>
      </w:r>
      <w:r w:rsidRPr="00877E04">
        <w:t>zaburzeniami preferencji seksualnych</w:t>
      </w:r>
      <w:r>
        <w:t xml:space="preserve"> (art. 197–203 Kodeksu karnego).</w:t>
      </w:r>
    </w:p>
    <w:p w:rsidR="00DD54DC" w:rsidRPr="00735791" w:rsidRDefault="00DD54DC" w:rsidP="00877E04">
      <w:pPr>
        <w:pStyle w:val="ARTartustawynprozporzdzenia"/>
      </w:pPr>
    </w:p>
    <w:p w:rsidR="00DD54DC" w:rsidRPr="00F32CA6" w:rsidRDefault="00DD54DC" w:rsidP="008A742B">
      <w:pPr>
        <w:pStyle w:val="NIEARTTEKSTtekstnieartykuowanynppodstprawnarozplubpreambua"/>
        <w:rPr>
          <w:rStyle w:val="Ppogrubienie"/>
        </w:rPr>
      </w:pPr>
      <w:r w:rsidRPr="00F32CA6">
        <w:rPr>
          <w:rStyle w:val="Ppogrubienie"/>
        </w:rPr>
        <w:t xml:space="preserve">2. </w:t>
      </w:r>
      <w:r>
        <w:rPr>
          <w:rStyle w:val="Ppogrubienie"/>
        </w:rPr>
        <w:t>Aktualny s</w:t>
      </w:r>
      <w:r w:rsidRPr="00F32CA6">
        <w:rPr>
          <w:rStyle w:val="Ppogrubienie"/>
        </w:rPr>
        <w:t>tan prawny</w:t>
      </w:r>
    </w:p>
    <w:p w:rsidR="00DD54DC" w:rsidRDefault="00DD54DC" w:rsidP="008423C1">
      <w:pPr>
        <w:pStyle w:val="ARTartustawynprozporzdzenia"/>
      </w:pPr>
      <w:r w:rsidRPr="005D2671">
        <w:t xml:space="preserve">Zgodnie z art. 117 </w:t>
      </w:r>
      <w:r>
        <w:t>k.k.w.</w:t>
      </w:r>
      <w:r w:rsidRPr="005D2671">
        <w:t xml:space="preserve">, skazanych </w:t>
      </w:r>
      <w:r>
        <w:t>uzależnionych (</w:t>
      </w:r>
      <w:r w:rsidRPr="005D2671">
        <w:t>od alkoholu</w:t>
      </w:r>
      <w:r>
        <w:t>,</w:t>
      </w:r>
      <w:r w:rsidRPr="005D2671">
        <w:t xml:space="preserve"> środków odurzających lub substancji psychotropowych</w:t>
      </w:r>
      <w:r>
        <w:t xml:space="preserve">) oraz skazanych za </w:t>
      </w:r>
      <w:r w:rsidRPr="005D2671">
        <w:t xml:space="preserve">przestępstwa </w:t>
      </w:r>
      <w:r w:rsidRPr="0094431D">
        <w:t>przeciwko wolności seksualnej i obyczajności</w:t>
      </w:r>
      <w:r w:rsidRPr="005D2671">
        <w:t xml:space="preserve"> </w:t>
      </w:r>
      <w:r>
        <w:t>(</w:t>
      </w:r>
      <w:r w:rsidRPr="005D2671">
        <w:t>popełnione w związku z zaburzeniem preferencji seksualnych</w:t>
      </w:r>
      <w:r>
        <w:t>)</w:t>
      </w:r>
      <w:r w:rsidRPr="005D2671">
        <w:t xml:space="preserve"> obejmuje się </w:t>
      </w:r>
      <w:r>
        <w:t xml:space="preserve">– </w:t>
      </w:r>
      <w:r w:rsidRPr="005D2671">
        <w:t>za ich zgodą</w:t>
      </w:r>
      <w:r>
        <w:t xml:space="preserve"> – </w:t>
      </w:r>
      <w:r w:rsidRPr="005D2671">
        <w:t>odpowiednim leczeniem lub rehabilitacją</w:t>
      </w:r>
      <w:r>
        <w:t>.</w:t>
      </w:r>
    </w:p>
    <w:p w:rsidR="00DD54DC" w:rsidRDefault="00DD54DC" w:rsidP="008423C1">
      <w:pPr>
        <w:pStyle w:val="ARTartustawynprozporzdzenia"/>
      </w:pPr>
      <w:r>
        <w:t xml:space="preserve">Przepis </w:t>
      </w:r>
      <w:r w:rsidRPr="005D2671">
        <w:t>statuuje więc zasadę dobrowolności poddania się</w:t>
      </w:r>
      <w:r>
        <w:t xml:space="preserve"> leczeniu, a z</w:t>
      </w:r>
      <w:r w:rsidRPr="005D2671">
        <w:t xml:space="preserve">goda powinna być wyrażona </w:t>
      </w:r>
      <w:r>
        <w:t xml:space="preserve">wyraźnie i </w:t>
      </w:r>
      <w:r w:rsidRPr="005D2671">
        <w:t>swo</w:t>
      </w:r>
      <w:r>
        <w:t>bodnie</w:t>
      </w:r>
      <w:r w:rsidRPr="005D2671">
        <w:t>.</w:t>
      </w:r>
      <w:r>
        <w:t xml:space="preserve"> Jeśli jednak </w:t>
      </w:r>
      <w:r w:rsidRPr="005D2671">
        <w:t>skazany odmawia wyrażenia zgody, o</w:t>
      </w:r>
      <w:r>
        <w:t> </w:t>
      </w:r>
      <w:r w:rsidRPr="005D2671">
        <w:t xml:space="preserve">zastosowaniu </w:t>
      </w:r>
      <w:r>
        <w:t xml:space="preserve">leczenia </w:t>
      </w:r>
      <w:r w:rsidRPr="005D2671">
        <w:t xml:space="preserve">orzeka </w:t>
      </w:r>
      <w:r>
        <w:t xml:space="preserve">– działający z urzędu – </w:t>
      </w:r>
      <w:r w:rsidRPr="005D2671">
        <w:t>sąd penitencjarny.</w:t>
      </w:r>
      <w:r>
        <w:t xml:space="preserve"> Jest więc to konstrukcja, zwana w literaturze przedmiotu „dobrowolnym przymusem”, s</w:t>
      </w:r>
      <w:r w:rsidRPr="005D2671">
        <w:t>tanowi</w:t>
      </w:r>
      <w:r>
        <w:t>ąca</w:t>
      </w:r>
      <w:r w:rsidRPr="005D2671">
        <w:t xml:space="preserve"> odstępstwo od zasady swobodnego korzystania przez skazanego ze świadczeń zdrowotnych.</w:t>
      </w:r>
    </w:p>
    <w:p w:rsidR="00DD54DC" w:rsidRDefault="00DD54DC" w:rsidP="008423C1">
      <w:pPr>
        <w:pStyle w:val="ARTartustawynprozporzdzenia"/>
      </w:pPr>
      <w:r>
        <w:t>L</w:t>
      </w:r>
      <w:r w:rsidRPr="005D2671">
        <w:t xml:space="preserve">eczenie </w:t>
      </w:r>
      <w:r>
        <w:t>jest elementem</w:t>
      </w:r>
      <w:r w:rsidRPr="005D2671">
        <w:t xml:space="preserve"> oddziaływania resocjalizacyjnego</w:t>
      </w:r>
      <w:r>
        <w:t xml:space="preserve"> (choć k.k.w. </w:t>
      </w:r>
      <w:r w:rsidRPr="005D2671">
        <w:t>nie przewiduje obowiązku poddawania się przez skazanych resocjalizacji</w:t>
      </w:r>
      <w:r>
        <w:t xml:space="preserve"> – rezygnacja</w:t>
      </w:r>
      <w:r w:rsidRPr="005D2671">
        <w:t xml:space="preserve"> z przymusu resocjalizacyjnego </w:t>
      </w:r>
      <w:r>
        <w:t>wynika z założenia</w:t>
      </w:r>
      <w:r w:rsidRPr="005D2671">
        <w:t>, że skuteczne oddziaływanie na dorosłego człowieka jest możliwe tylko, gdy wyraża on wolę współdziałania</w:t>
      </w:r>
      <w:r>
        <w:t xml:space="preserve">) i aktem </w:t>
      </w:r>
      <w:r w:rsidRPr="005D2671">
        <w:t>ochrony jednostki</w:t>
      </w:r>
      <w:r>
        <w:t>,</w:t>
      </w:r>
      <w:r w:rsidRPr="005D2671">
        <w:t xml:space="preserve"> wbrew jej woli</w:t>
      </w:r>
      <w:r>
        <w:t>,</w:t>
      </w:r>
      <w:r w:rsidRPr="005D2671">
        <w:t xml:space="preserve"> </w:t>
      </w:r>
      <w:r>
        <w:t xml:space="preserve">w razie takiego zaawansowania </w:t>
      </w:r>
      <w:r w:rsidRPr="005D2671">
        <w:t xml:space="preserve">uzależnienia, </w:t>
      </w:r>
      <w:r>
        <w:t xml:space="preserve">że </w:t>
      </w:r>
      <w:r w:rsidRPr="005D2671">
        <w:t>nie jest ona zdolna do podjęcia decyzji</w:t>
      </w:r>
      <w:r>
        <w:t xml:space="preserve"> albo </w:t>
      </w:r>
      <w:r w:rsidRPr="005D2671">
        <w:t>nie chce się leczyć.</w:t>
      </w:r>
    </w:p>
    <w:p w:rsidR="00DD54DC" w:rsidRDefault="00DD54DC" w:rsidP="008423C1">
      <w:pPr>
        <w:pStyle w:val="ARTartustawynprozporzdzenia"/>
      </w:pPr>
      <w:r>
        <w:t>P</w:t>
      </w:r>
      <w:r w:rsidRPr="005D2671">
        <w:t xml:space="preserve">rzepis art. 117 </w:t>
      </w:r>
      <w:r>
        <w:t xml:space="preserve">k.k.w. </w:t>
      </w:r>
      <w:r w:rsidRPr="005D2671">
        <w:t xml:space="preserve">jest elementem systemu </w:t>
      </w:r>
      <w:r>
        <w:t>wykonywania</w:t>
      </w:r>
      <w:r w:rsidRPr="005D2671">
        <w:t xml:space="preserve"> </w:t>
      </w:r>
      <w:r>
        <w:t>wobec skazanego,</w:t>
      </w:r>
      <w:r w:rsidRPr="005D2671">
        <w:t xml:space="preserve"> bez</w:t>
      </w:r>
      <w:r>
        <w:t xml:space="preserve"> jego </w:t>
      </w:r>
      <w:r w:rsidRPr="005D2671">
        <w:t xml:space="preserve">zgody </w:t>
      </w:r>
      <w:r>
        <w:t>(</w:t>
      </w:r>
      <w:r w:rsidRPr="005D2671">
        <w:t>czasem nawet przy ich wyraźnym sprzeciwie</w:t>
      </w:r>
      <w:r>
        <w:t xml:space="preserve">), czynności takich jak badania </w:t>
      </w:r>
      <w:r>
        <w:lastRenderedPageBreak/>
        <w:t>psychologiczne</w:t>
      </w:r>
      <w:r w:rsidRPr="005D2671">
        <w:t xml:space="preserve"> lub psy</w:t>
      </w:r>
      <w:r>
        <w:t>chiatryczne czy zabiegi lekarskie</w:t>
      </w:r>
      <w:r w:rsidRPr="005D2671">
        <w:t>, gdy jego życiu grozi niebezpieczeństwo.</w:t>
      </w:r>
    </w:p>
    <w:p w:rsidR="00DD54DC" w:rsidRDefault="00DD54DC" w:rsidP="009E6D9C">
      <w:pPr>
        <w:pStyle w:val="ARTartustawynprozporzdzenia"/>
      </w:pPr>
      <w:r>
        <w:t>P</w:t>
      </w:r>
      <w:r w:rsidRPr="005D2671">
        <w:t xml:space="preserve">rzymusowe leczenie </w:t>
      </w:r>
      <w:r>
        <w:t xml:space="preserve">skazanego </w:t>
      </w:r>
      <w:r w:rsidRPr="005D2671">
        <w:t xml:space="preserve">nie </w:t>
      </w:r>
      <w:r>
        <w:t xml:space="preserve">jest </w:t>
      </w:r>
      <w:r w:rsidRPr="005D2671">
        <w:t>zabezpie</w:t>
      </w:r>
      <w:r>
        <w:t>czone przymusem bezpośrednim, a j</w:t>
      </w:r>
      <w:r w:rsidRPr="005D2671">
        <w:t xml:space="preserve">edyną formą zabezpieczenia </w:t>
      </w:r>
      <w:r>
        <w:t xml:space="preserve">wykonania odpowiednich </w:t>
      </w:r>
      <w:r w:rsidRPr="005D2671">
        <w:t xml:space="preserve">świadczeń </w:t>
      </w:r>
      <w:r>
        <w:t xml:space="preserve">jest </w:t>
      </w:r>
      <w:r w:rsidRPr="005D2671">
        <w:t xml:space="preserve">odpowiedzialność dyscyplinarna </w:t>
      </w:r>
      <w:r>
        <w:t xml:space="preserve">skazanego </w:t>
      </w:r>
      <w:r w:rsidRPr="005D2671">
        <w:t>(art. 142</w:t>
      </w:r>
      <w:r>
        <w:t xml:space="preserve"> i nast.</w:t>
      </w:r>
      <w:r w:rsidRPr="005D2671">
        <w:t xml:space="preserve"> k.k.w.</w:t>
      </w:r>
      <w:r>
        <w:t xml:space="preserve">; karami są między innymi: nagana, ograniczenie widzeń, umieszczenie w izolatce, </w:t>
      </w:r>
      <w:r w:rsidRPr="005F36D3">
        <w:t>pozbawienie</w:t>
      </w:r>
      <w:r>
        <w:t>:</w:t>
      </w:r>
      <w:r w:rsidRPr="005F36D3">
        <w:t xml:space="preserve"> </w:t>
      </w:r>
      <w:r>
        <w:t xml:space="preserve">nagród lub ulg, </w:t>
      </w:r>
      <w:r w:rsidRPr="005F36D3">
        <w:t>korzystania z</w:t>
      </w:r>
      <w:r>
        <w:t> </w:t>
      </w:r>
      <w:r w:rsidRPr="005F36D3">
        <w:t xml:space="preserve">udziału w </w:t>
      </w:r>
      <w:r>
        <w:t xml:space="preserve">zajęciach, </w:t>
      </w:r>
      <w:r w:rsidRPr="005F36D3">
        <w:t>paczek żywnościowych</w:t>
      </w:r>
      <w:r w:rsidRPr="005D2671">
        <w:t>).</w:t>
      </w:r>
    </w:p>
    <w:p w:rsidR="00DD54DC" w:rsidRPr="005D2671" w:rsidRDefault="00DD54DC" w:rsidP="009E6D9C">
      <w:pPr>
        <w:pStyle w:val="ARTartustawynprozporzdzenia"/>
      </w:pPr>
      <w:r>
        <w:t xml:space="preserve">Administracja penitencjarna </w:t>
      </w:r>
      <w:r w:rsidRPr="005D2671">
        <w:t>nie może fizycznie zmusić skazanego do podjęcia leczenia</w:t>
      </w:r>
      <w:r>
        <w:t xml:space="preserve"> czy też dokonać –</w:t>
      </w:r>
      <w:r w:rsidRPr="005D2671">
        <w:t xml:space="preserve"> wbrew jego woli</w:t>
      </w:r>
      <w:r>
        <w:t xml:space="preserve"> –</w:t>
      </w:r>
      <w:r w:rsidRPr="005D2671">
        <w:t xml:space="preserve"> czynności leczniczych inger</w:t>
      </w:r>
      <w:r>
        <w:t xml:space="preserve">ujących </w:t>
      </w:r>
      <w:r w:rsidRPr="005D2671">
        <w:t>w jego integralność fizyczną lub psychiczną.</w:t>
      </w:r>
    </w:p>
    <w:p w:rsidR="00DD54DC" w:rsidRDefault="00DD54DC" w:rsidP="006B272A">
      <w:pPr>
        <w:pStyle w:val="ARTartustawynprozporzdzenia"/>
      </w:pPr>
      <w:r>
        <w:t>W świetle poglądów wyrażanych w literaturze przedmiotu, należy uznać, że:</w:t>
      </w:r>
    </w:p>
    <w:p w:rsidR="00DD54DC" w:rsidRDefault="00DD54DC" w:rsidP="006B272A">
      <w:pPr>
        <w:pStyle w:val="PKTpunkt"/>
      </w:pPr>
      <w:r>
        <w:t>1)</w:t>
      </w:r>
      <w:r>
        <w:tab/>
        <w:t>samo obowiązkowe leczenie</w:t>
      </w:r>
      <w:r w:rsidRPr="005D2671">
        <w:t xml:space="preserve"> </w:t>
      </w:r>
      <w:r>
        <w:t>skazanego nie stanowi nieuzasadnionej</w:t>
      </w:r>
      <w:r w:rsidRPr="005D2671">
        <w:t xml:space="preserve"> </w:t>
      </w:r>
      <w:r>
        <w:t>ani nadmiernej ingerencji w wolność osobistą</w:t>
      </w:r>
      <w:r w:rsidRPr="005D2671">
        <w:t xml:space="preserve"> skazanego </w:t>
      </w:r>
      <w:r>
        <w:t>i jego prawo</w:t>
      </w:r>
      <w:r w:rsidRPr="005D2671">
        <w:t xml:space="preserve"> do decydowania o </w:t>
      </w:r>
      <w:r>
        <w:t xml:space="preserve">własnym </w:t>
      </w:r>
      <w:r w:rsidRPr="005D2671">
        <w:t>życiu osobistym</w:t>
      </w:r>
      <w:r>
        <w:t>; priorytetem</w:t>
      </w:r>
      <w:r w:rsidRPr="005D2671">
        <w:t xml:space="preserve"> </w:t>
      </w:r>
      <w:r>
        <w:t xml:space="preserve">jest podejmowanie leczenia </w:t>
      </w:r>
      <w:r w:rsidRPr="005D2671">
        <w:t>za zgodą skazanego</w:t>
      </w:r>
      <w:r>
        <w:t xml:space="preserve">, zaś leczenie przymusowe stanowi </w:t>
      </w:r>
      <w:r w:rsidRPr="00696AB1">
        <w:rPr>
          <w:rStyle w:val="Kkursywa"/>
        </w:rPr>
        <w:t>ultimam ratione</w:t>
      </w:r>
      <w:r>
        <w:rPr>
          <w:rStyle w:val="Kkursywa"/>
        </w:rPr>
        <w:t>m</w:t>
      </w:r>
      <w:r>
        <w:t>, bo administracja</w:t>
      </w:r>
      <w:r w:rsidRPr="005D2671">
        <w:t xml:space="preserve"> penitencjar</w:t>
      </w:r>
      <w:r>
        <w:t>na</w:t>
      </w:r>
      <w:r w:rsidRPr="005D2671">
        <w:t xml:space="preserve"> </w:t>
      </w:r>
      <w:r>
        <w:t xml:space="preserve">(w szczególności psychologowie i terapeuci) dąży do skłonienia </w:t>
      </w:r>
      <w:r w:rsidRPr="005D2671">
        <w:t>skazanego do</w:t>
      </w:r>
      <w:r>
        <w:t> </w:t>
      </w:r>
      <w:r w:rsidRPr="005D2671">
        <w:t>współpracy w polepszeniu</w:t>
      </w:r>
      <w:r>
        <w:t xml:space="preserve"> jego kondycji psychofizycznej;</w:t>
      </w:r>
    </w:p>
    <w:p w:rsidR="00DD54DC" w:rsidRPr="005D2671" w:rsidRDefault="00DD54DC" w:rsidP="00B23D34">
      <w:pPr>
        <w:pStyle w:val="PKTpunkt"/>
      </w:pPr>
      <w:r>
        <w:t>2)</w:t>
      </w:r>
      <w:r>
        <w:tab/>
        <w:t>zakres oddziaływania na skazanego jest w ustawodawstwie</w:t>
      </w:r>
      <w:r w:rsidRPr="00353ED9">
        <w:rPr>
          <w:rStyle w:val="IGindeksgrny"/>
        </w:rPr>
        <w:footnoteReference w:id="1"/>
      </w:r>
      <w:r w:rsidRPr="00F27131">
        <w:rPr>
          <w:rStyle w:val="IGindeksgrny"/>
        </w:rPr>
        <w:t>)</w:t>
      </w:r>
      <w:r>
        <w:t xml:space="preserve"> określony w sposób dostatecznie precyzyjny (choć z użyciem pojęć nieostrych), bowiem może być on poddany tylko takiemu leczeniu, które – dodatkowo – musi być „odpowiednie” (</w:t>
      </w:r>
      <w:r w:rsidRPr="005D2671">
        <w:t>adekwatne do stanu zdrowia skazanego</w:t>
      </w:r>
      <w:r>
        <w:t>, musi odpowiadać</w:t>
      </w:r>
      <w:r w:rsidRPr="005D2671">
        <w:t xml:space="preserve"> indywidualnym warunkom terapeutycznym</w:t>
      </w:r>
      <w:r>
        <w:t>), o czym decydują lekarze, psychologowie i terapeuci; n</w:t>
      </w:r>
      <w:r w:rsidRPr="005D2671">
        <w:t xml:space="preserve">ie można </w:t>
      </w:r>
      <w:r>
        <w:t xml:space="preserve">bowiem </w:t>
      </w:r>
      <w:r w:rsidRPr="005D2671">
        <w:t xml:space="preserve">oczekiwać od ustawodawcy </w:t>
      </w:r>
      <w:r>
        <w:t xml:space="preserve">precyzyjnego </w:t>
      </w:r>
      <w:r w:rsidRPr="005D2671">
        <w:t>ustalenia jednorodnego programu przymusowego leczenia dla wszystkich uzależnionych skazanych, a</w:t>
      </w:r>
      <w:r>
        <w:t>ni</w:t>
      </w:r>
      <w:r w:rsidRPr="005D2671">
        <w:t xml:space="preserve"> od sądu penitencjarnego</w:t>
      </w:r>
      <w:r>
        <w:t xml:space="preserve"> – wyboru odpowiednich środków</w:t>
      </w:r>
      <w:r w:rsidRPr="005D2671">
        <w:t xml:space="preserve"> w kwestii wymagającej sp</w:t>
      </w:r>
      <w:r>
        <w:t>ecjalistycznej wiedzy medycznej.</w:t>
      </w:r>
    </w:p>
    <w:p w:rsidR="00DD54DC" w:rsidRDefault="00DD54DC" w:rsidP="007D6EC3">
      <w:pPr>
        <w:pStyle w:val="ARTartustawynprozporzdzenia"/>
      </w:pPr>
      <w:r>
        <w:t xml:space="preserve">W obecnym stanie prawnym jedynym ograniczeniem czasu stosowania przymusowego leczenia jest długość okresu odbywania przez skazanego orzeczonej kary pozbawienia wolności. Sąd penitencjarny </w:t>
      </w:r>
      <w:r w:rsidRPr="005D2671">
        <w:t>nie ma możliwości weryfikacji, czy przesłanki, kt</w:t>
      </w:r>
      <w:r>
        <w:t xml:space="preserve">órych </w:t>
      </w:r>
      <w:r>
        <w:lastRenderedPageBreak/>
        <w:t>spełnienie skutkowało skierowaniem</w:t>
      </w:r>
      <w:r w:rsidRPr="005D2671">
        <w:t xml:space="preserve"> na przymusowe leczenie</w:t>
      </w:r>
      <w:r>
        <w:t xml:space="preserve"> (stwierdzenie uzależnienia i brak zgody na leczenie) pozostają </w:t>
      </w:r>
      <w:r w:rsidRPr="005D2671">
        <w:t>aktualne</w:t>
      </w:r>
      <w:r>
        <w:t>, wobec czego i</w:t>
      </w:r>
      <w:r w:rsidRPr="005D2671">
        <w:t>stnieje ryzyko</w:t>
      </w:r>
      <w:r>
        <w:t xml:space="preserve"> przymusowego poddawania skazanego</w:t>
      </w:r>
      <w:r w:rsidRPr="005D2671">
        <w:t xml:space="preserve"> leczeniu nawet po ich ustaniu</w:t>
      </w:r>
      <w:r>
        <w:t>, czemu sprzyja</w:t>
      </w:r>
      <w:r w:rsidRPr="005D2671">
        <w:t xml:space="preserve"> również </w:t>
      </w:r>
      <w:r>
        <w:t xml:space="preserve">brak </w:t>
      </w:r>
      <w:r w:rsidRPr="005D2671">
        <w:t xml:space="preserve">procesowych instrumentów weryfikacji </w:t>
      </w:r>
      <w:r>
        <w:t xml:space="preserve">ich </w:t>
      </w:r>
      <w:r w:rsidRPr="005D2671">
        <w:t>istnienia.</w:t>
      </w:r>
    </w:p>
    <w:p w:rsidR="00DD54DC" w:rsidRDefault="00DD54DC" w:rsidP="007D6EC3">
      <w:pPr>
        <w:pStyle w:val="ARTartustawynprozporzdzenia"/>
      </w:pPr>
    </w:p>
    <w:p w:rsidR="00DD54DC" w:rsidRDefault="00DD54DC" w:rsidP="00863896">
      <w:pPr>
        <w:pStyle w:val="ARTartustawynprozporzdzenia"/>
        <w:rPr>
          <w:rStyle w:val="Ppogrubienie"/>
        </w:rPr>
      </w:pPr>
      <w:r>
        <w:rPr>
          <w:rStyle w:val="Ppogrubienie"/>
        </w:rPr>
        <w:t xml:space="preserve">3. </w:t>
      </w:r>
      <w:r w:rsidRPr="00F06864">
        <w:rPr>
          <w:rStyle w:val="Ppogrubienie"/>
        </w:rPr>
        <w:t xml:space="preserve">Rozstrzygnięcie </w:t>
      </w:r>
      <w:r>
        <w:rPr>
          <w:rStyle w:val="Ppogrubienie"/>
        </w:rPr>
        <w:t>Trybunału Konstytucyjnego</w:t>
      </w:r>
    </w:p>
    <w:p w:rsidR="00DD54DC" w:rsidRDefault="00DD54DC" w:rsidP="00863896">
      <w:pPr>
        <w:pStyle w:val="ARTartustawynprozporzdzenia"/>
      </w:pPr>
      <w:r>
        <w:t>N</w:t>
      </w:r>
      <w:r w:rsidRPr="007F5144">
        <w:t xml:space="preserve">a </w:t>
      </w:r>
      <w:r>
        <w:t>konieczność</w:t>
      </w:r>
      <w:r w:rsidRPr="007F5144">
        <w:t xml:space="preserve"> </w:t>
      </w:r>
      <w:r>
        <w:t xml:space="preserve">uzupełnienia kodeksowej regulacji </w:t>
      </w:r>
      <w:r w:rsidRPr="0004637D">
        <w:t>przymusowego leczenia skazanego, u którego stwierdzono uzależnienie</w:t>
      </w:r>
      <w:r>
        <w:t xml:space="preserve"> (zakres rozstrzygnięcia stanowił pochodną stanu faktycznego leżącego u podstaw skargi konstytucyjnej), </w:t>
      </w:r>
      <w:r w:rsidRPr="007F5144">
        <w:t>wskazał Trybunał Konstytucyjny</w:t>
      </w:r>
      <w:r>
        <w:t xml:space="preserve"> rozstrzygnięciem z 11</w:t>
      </w:r>
      <w:r w:rsidRPr="007F5144">
        <w:t xml:space="preserve"> </w:t>
      </w:r>
      <w:r>
        <w:t xml:space="preserve">marca </w:t>
      </w:r>
      <w:r w:rsidRPr="007F5144">
        <w:t>202</w:t>
      </w:r>
      <w:r>
        <w:t>1</w:t>
      </w:r>
      <w:r w:rsidRPr="007F5144">
        <w:t> r.</w:t>
      </w:r>
      <w:r>
        <w:t xml:space="preserve"> (</w:t>
      </w:r>
      <w:r w:rsidRPr="007F5144">
        <w:t xml:space="preserve">sygn. akt </w:t>
      </w:r>
      <w:r>
        <w:t>S</w:t>
      </w:r>
      <w:r w:rsidRPr="007F5144">
        <w:t>K</w:t>
      </w:r>
      <w:r>
        <w:t xml:space="preserve"> 9</w:t>
      </w:r>
      <w:r w:rsidRPr="007F5144">
        <w:t>/</w:t>
      </w:r>
      <w:r>
        <w:t xml:space="preserve">18, OTK ZU A </w:t>
      </w:r>
      <w:r w:rsidRPr="007F5144">
        <w:t>poz.</w:t>
      </w:r>
      <w:r>
        <w:t xml:space="preserve"> 21), w którym stwierdził, że art. 117 k.k.w. jest niezgodny:</w:t>
      </w:r>
    </w:p>
    <w:p w:rsidR="00DD54DC" w:rsidRDefault="00DD54DC" w:rsidP="00707D47">
      <w:pPr>
        <w:pStyle w:val="PKTpunkt"/>
      </w:pPr>
      <w:r>
        <w:t>1)</w:t>
      </w:r>
      <w:r>
        <w:tab/>
      </w:r>
      <w:r w:rsidRPr="0004637D">
        <w:t>z art. 41 ust. 1 w związku z art. 31 ust. 3 Konstytucji w zakresie, w jakim nakłada na sąd obowiązek orzeczenia o zastosowaniu leczenia lub rehabilitacji</w:t>
      </w:r>
      <w:r>
        <w:t xml:space="preserve">; Trybunał Konstytucyjny </w:t>
      </w:r>
      <w:r w:rsidRPr="005D2671">
        <w:t xml:space="preserve">uznał, że </w:t>
      </w:r>
      <w:r>
        <w:t>fundamentalna w</w:t>
      </w:r>
      <w:r w:rsidRPr="005D2671">
        <w:t xml:space="preserve">olność osobista jednostki wymaga istnienia </w:t>
      </w:r>
      <w:r>
        <w:t xml:space="preserve">możliwie </w:t>
      </w:r>
      <w:r w:rsidRPr="005D2671">
        <w:t xml:space="preserve">najpełniejszych gwarancji </w:t>
      </w:r>
      <w:r>
        <w:t>realnej, sądowej kontroli</w:t>
      </w:r>
      <w:r w:rsidRPr="005D2671">
        <w:t xml:space="preserve"> konieczności jej ograniczenia lub pozbawienia.</w:t>
      </w:r>
      <w:r>
        <w:t xml:space="preserve"> S</w:t>
      </w:r>
      <w:r w:rsidRPr="005D2671">
        <w:t xml:space="preserve">ąd penitencjarny </w:t>
      </w:r>
      <w:r>
        <w:t>powinien mieć możliwość</w:t>
      </w:r>
      <w:r w:rsidRPr="005D2671">
        <w:t xml:space="preserve"> badania i</w:t>
      </w:r>
      <w:r>
        <w:t> </w:t>
      </w:r>
      <w:r w:rsidRPr="005D2671">
        <w:t>uwzględniania</w:t>
      </w:r>
      <w:r>
        <w:t xml:space="preserve"> </w:t>
      </w:r>
      <w:r w:rsidRPr="005D2671">
        <w:t xml:space="preserve">rzeczywistej potrzeby </w:t>
      </w:r>
      <w:r>
        <w:t xml:space="preserve">przymusowego leczenia, w tym – </w:t>
      </w:r>
      <w:r w:rsidRPr="005D2671">
        <w:t>rozważenia wszystkich okoliczności sprawy</w:t>
      </w:r>
      <w:r>
        <w:t xml:space="preserve">, obejmujących również kwestię tego, </w:t>
      </w:r>
      <w:r w:rsidRPr="005D2671">
        <w:t xml:space="preserve">czy nie zachodzą okoliczności szczególne przemawiające za nieorzekaniem leczenia wobec </w:t>
      </w:r>
      <w:r>
        <w:t xml:space="preserve">uzależnionego </w:t>
      </w:r>
      <w:r w:rsidRPr="005D2671">
        <w:t>skazanego</w:t>
      </w:r>
      <w:r>
        <w:t>;</w:t>
      </w:r>
    </w:p>
    <w:p w:rsidR="00DD54DC" w:rsidRDefault="00DD54DC" w:rsidP="00863896">
      <w:pPr>
        <w:pStyle w:val="PKTpunkt"/>
      </w:pPr>
      <w:r>
        <w:t>2)</w:t>
      </w:r>
      <w:r>
        <w:tab/>
      </w:r>
      <w:r w:rsidRPr="0004637D">
        <w:t>z art. 41 ust. 1 w związku z art. 31 ust. 3 oraz z art. 47 w związku z art. 31 ust. 3 Konstytucji</w:t>
      </w:r>
      <w:r>
        <w:t xml:space="preserve"> w zakresie</w:t>
      </w:r>
      <w:r w:rsidRPr="0004637D">
        <w:t>, w jakim nie określa czasu trwania przymusowego leczenia lub przymusowej rehabilitacji</w:t>
      </w:r>
      <w:r>
        <w:t>, ograniczonego jedynie wymiarem kary pozbawienia wolności;</w:t>
      </w:r>
    </w:p>
    <w:p w:rsidR="00DD54DC" w:rsidRPr="005D2671" w:rsidRDefault="00DD54DC" w:rsidP="00863896">
      <w:pPr>
        <w:pStyle w:val="PKTpunkt"/>
      </w:pPr>
      <w:r>
        <w:t>3)</w:t>
      </w:r>
      <w:r>
        <w:tab/>
      </w:r>
      <w:r w:rsidRPr="0004637D">
        <w:t>z art. 78 Konstytucji w zakresie, w jakim nie przewidu</w:t>
      </w:r>
      <w:r>
        <w:t>je zaskarżenia postanowienia o </w:t>
      </w:r>
      <w:r w:rsidRPr="0004637D">
        <w:t>przymusowym leczeniu lub przymusowej rehabilitacji</w:t>
      </w:r>
      <w:r>
        <w:t xml:space="preserve">; Trybunał Konstytucyjny wskazał tu, że ani </w:t>
      </w:r>
      <w:r w:rsidRPr="005D2671">
        <w:t xml:space="preserve">art. 6 § 1 </w:t>
      </w:r>
      <w:r w:rsidRPr="00301A5F">
        <w:rPr>
          <w:rStyle w:val="Kkursywa"/>
        </w:rPr>
        <w:t>in fine</w:t>
      </w:r>
      <w:r w:rsidRPr="005D2671">
        <w:t xml:space="preserve">, </w:t>
      </w:r>
      <w:r>
        <w:t xml:space="preserve">ani </w:t>
      </w:r>
      <w:r w:rsidRPr="005D2671">
        <w:t>art. 117 k.k.w. nie przewidują możliwości złożenia środka odwoławczego od postanowienia sądu penitencjarnego o przymusowym leczeniu</w:t>
      </w:r>
      <w:r>
        <w:t xml:space="preserve">, co stoi w jaskrawej sprzeczności z </w:t>
      </w:r>
      <w:r w:rsidRPr="005D2671">
        <w:t>art. 78 Konstytucji</w:t>
      </w:r>
      <w:r>
        <w:t>, kreującym</w:t>
      </w:r>
      <w:r w:rsidRPr="005D2671">
        <w:t xml:space="preserve"> prawo podmiotowe </w:t>
      </w:r>
      <w:r>
        <w:t xml:space="preserve">do </w:t>
      </w:r>
      <w:r w:rsidRPr="005D2671">
        <w:t>zaskarżenia orzeczeń lub decyzji</w:t>
      </w:r>
      <w:r>
        <w:t xml:space="preserve">, dla zapobieżenia ich </w:t>
      </w:r>
      <w:r w:rsidRPr="005D2671">
        <w:t xml:space="preserve">arbitralności </w:t>
      </w:r>
      <w:r>
        <w:t>i </w:t>
      </w:r>
      <w:r w:rsidRPr="005D2671">
        <w:t>pomyłkom.</w:t>
      </w:r>
      <w:r>
        <w:t xml:space="preserve"> Postanawiając </w:t>
      </w:r>
      <w:r w:rsidRPr="005D2671">
        <w:t xml:space="preserve">o przymusowym leczeniu skazanego, </w:t>
      </w:r>
      <w:r>
        <w:t>s</w:t>
      </w:r>
      <w:r w:rsidRPr="005D2671">
        <w:t xml:space="preserve">ąd penitencjarny rozstrzyga </w:t>
      </w:r>
      <w:r>
        <w:t xml:space="preserve">samoistną </w:t>
      </w:r>
      <w:r w:rsidRPr="005D2671">
        <w:t>sprawę</w:t>
      </w:r>
      <w:r>
        <w:t xml:space="preserve">, </w:t>
      </w:r>
      <w:r w:rsidRPr="005D2671">
        <w:t>rozpatrywan</w:t>
      </w:r>
      <w:r>
        <w:t>ą</w:t>
      </w:r>
      <w:r w:rsidRPr="005D2671">
        <w:t xml:space="preserve"> w oderwaniu od podstawowej sprawy karnej </w:t>
      </w:r>
      <w:r>
        <w:lastRenderedPageBreak/>
        <w:t>(</w:t>
      </w:r>
      <w:r w:rsidRPr="005D2671">
        <w:t>w ramach której doszło do skazania na karę pozbawienia wolności</w:t>
      </w:r>
      <w:r>
        <w:t>), co po</w:t>
      </w:r>
      <w:r w:rsidRPr="005D2671">
        <w:t>winno być traktowane jako orzeczenie zapadłe w pierwszej instancji.</w:t>
      </w:r>
    </w:p>
    <w:p w:rsidR="00DD54DC" w:rsidRPr="005D2671" w:rsidRDefault="00DD54DC" w:rsidP="00863896">
      <w:pPr>
        <w:pStyle w:val="ARTartustawynprozporzdzenia"/>
      </w:pPr>
      <w:r>
        <w:t xml:space="preserve">Trybunał Konstytucyjny stwierdził, że jego rozstrzygnięcie rodzi </w:t>
      </w:r>
      <w:r w:rsidRPr="005D2671">
        <w:t xml:space="preserve">obowiązek uzupełnienia </w:t>
      </w:r>
      <w:r>
        <w:t>k.k.w. w sposób zapewniający ochronę procesową</w:t>
      </w:r>
      <w:r w:rsidRPr="005D2671">
        <w:t xml:space="preserve"> skazanym, u których stwierdzono uzależnienie od</w:t>
      </w:r>
      <w:r>
        <w:t> </w:t>
      </w:r>
      <w:r w:rsidRPr="005D2671">
        <w:t>alkoholu</w:t>
      </w:r>
      <w:r>
        <w:t xml:space="preserve"> (co ustawodawca może i powinien rozciągnąć również na inne uzależnienia i zaburzenia preferencji seksualnych)</w:t>
      </w:r>
      <w:r w:rsidRPr="005D2671">
        <w:t>.</w:t>
      </w:r>
    </w:p>
    <w:p w:rsidR="00DD54DC" w:rsidRDefault="00DD54DC" w:rsidP="00A34C18">
      <w:pPr>
        <w:pStyle w:val="NIEARTTEKSTtekstnieartykuowanynppodstprawnarozplubpreambua"/>
      </w:pPr>
    </w:p>
    <w:p w:rsidR="00DD54DC" w:rsidRPr="00F32CA6" w:rsidRDefault="00DD54DC" w:rsidP="00A34C18">
      <w:pPr>
        <w:pStyle w:val="NIEARTTEKSTtekstnieartykuowanynppodstprawnarozplubpreambua"/>
        <w:rPr>
          <w:rStyle w:val="Ppogrubienie"/>
        </w:rPr>
      </w:pPr>
      <w:r>
        <w:rPr>
          <w:rStyle w:val="Ppogrubienie"/>
        </w:rPr>
        <w:t>4</w:t>
      </w:r>
      <w:r w:rsidRPr="00F32CA6">
        <w:rPr>
          <w:rStyle w:val="Ppogrubienie"/>
        </w:rPr>
        <w:t>. Projektowany stan prawny</w:t>
      </w:r>
    </w:p>
    <w:p w:rsidR="00DD54DC" w:rsidRDefault="00DD54DC" w:rsidP="00D949E4">
      <w:pPr>
        <w:pStyle w:val="NIEARTTEKSTtekstnieartykuowanynppodstprawnarozplubpreambua"/>
      </w:pPr>
      <w:r>
        <w:t xml:space="preserve">Zgodnie z projektowanym brzmieniem art. 117 k.k.w., w razie braku zgody </w:t>
      </w:r>
      <w:r w:rsidRPr="00C65BC0">
        <w:t>skazanego</w:t>
      </w:r>
      <w:r>
        <w:t xml:space="preserve"> na poddanie się leczeniu lub rehabilitacji, w przedmiocie zastosowania przymusowego</w:t>
      </w:r>
      <w:r w:rsidRPr="00001A1E">
        <w:t xml:space="preserve"> </w:t>
      </w:r>
      <w:r>
        <w:t xml:space="preserve">leczenia lub rehabilitacji </w:t>
      </w:r>
      <w:r w:rsidRPr="00751E2E">
        <w:t>będzie mógł orzec postan</w:t>
      </w:r>
      <w:r>
        <w:t>owieniem sąd penitencjarny.</w:t>
      </w:r>
    </w:p>
    <w:p w:rsidR="00DD54DC" w:rsidRDefault="00DD54DC" w:rsidP="000A54BC">
      <w:pPr>
        <w:pStyle w:val="ARTartustawynprozporzdzenia"/>
      </w:pPr>
      <w:r>
        <w:t>Zgodnie z utrwalonym poglądem, konstytucyjny standard ograniczania lub pozbawiania wolności (art. 41 ust. 1 Konstytucji) sprzeciwia się takim rozwiązaniom ustawowym, które obligują sąd do wydania rozstrzygnięcia ingerującego w wolność osobistą jednostki, pozbawiając sąd koniecznej w tym wypadku swobody decyzyjnej. „Obligatoryjność orzekania wprowadza niedopuszczalny automatyzm w zakresie decydowania o wolności osobistej jednostki, uniemożliwiając sądowi zindywidualizowaną i wszechstronną ocenę.”</w:t>
      </w:r>
      <w:r>
        <w:rPr>
          <w:rStyle w:val="Odwoanieprzypisudolnego"/>
        </w:rPr>
        <w:footnoteReference w:id="2"/>
      </w:r>
      <w:r w:rsidRPr="0093612D">
        <w:rPr>
          <w:rStyle w:val="IGindeksgrny"/>
        </w:rPr>
        <w:t>)</w:t>
      </w:r>
    </w:p>
    <w:p w:rsidR="00DD54DC" w:rsidRDefault="00DD54DC" w:rsidP="000A54BC">
      <w:pPr>
        <w:pStyle w:val="ARTartustawynprozporzdzenia"/>
      </w:pPr>
      <w:r>
        <w:t>Zgodnie z wypowiedzią TK (w sprawie o sygn. akt SK 9/10) „wolność osobista człowieka należy do najbardziej fundamentalnych praw i pozostaje w związku z prawem do bezpieczeństwa osobistego(…). Z tego punktu widzenia, ograniczeniem zakresu procesowych gwarancji byłoby wyłączenie realnej roli sądu w podejmowaniu decyzji o pozbawieniu jednostki wolności osobistej, nawet, jeżeli formalnie decyzję w tym zakresie podejmowałby sąd, ale sprowadzony do roli notarialnej”.</w:t>
      </w:r>
    </w:p>
    <w:p w:rsidR="00DD54DC" w:rsidRDefault="00DD54DC" w:rsidP="00A92D74">
      <w:pPr>
        <w:pStyle w:val="NIEARTTEKSTtekstnieartykuowanynppodstprawnarozplubpreambua"/>
      </w:pPr>
      <w:r>
        <w:t xml:space="preserve">Mając powyższe na uwadze projekt stanowi, że w przeciwieństwie do obowiązującego stanu prawnego sąd decydował będzie w przedmiocie potrzeby stosowania przymusowego leczenia lub rehabilitacji, w przypadku osób uzależnionych od alkoholu albo środków odurzających lub substancji psychotropowych, </w:t>
      </w:r>
      <w:r w:rsidRPr="00C65BC0">
        <w:t xml:space="preserve">po wysłuchaniu opinii </w:t>
      </w:r>
      <w:r>
        <w:t xml:space="preserve">psychiatry i </w:t>
      </w:r>
      <w:r w:rsidRPr="00C65BC0">
        <w:t>psychologa</w:t>
      </w:r>
      <w:r>
        <w:t xml:space="preserve"> albo psychiatry i specjalisty psychoterapii uzależnień</w:t>
      </w:r>
      <w:r w:rsidRPr="00C65BC0">
        <w:t>,</w:t>
      </w:r>
      <w:r>
        <w:t xml:space="preserve"> </w:t>
      </w:r>
      <w:r w:rsidRPr="00C65BC0">
        <w:t>a w sprawach osób z</w:t>
      </w:r>
      <w:r>
        <w:t xml:space="preserve"> </w:t>
      </w:r>
      <w:r w:rsidRPr="00C65BC0">
        <w:t xml:space="preserve">zaburzeniami </w:t>
      </w:r>
      <w:r w:rsidRPr="00C65BC0">
        <w:lastRenderedPageBreak/>
        <w:t xml:space="preserve">preferencji seksualnych </w:t>
      </w:r>
      <w:r>
        <w:t>psychiatry i lekarza seksuologa albo psychiatry i psychologa seksuologa</w:t>
      </w:r>
      <w:r w:rsidRPr="00C65BC0">
        <w:t xml:space="preserve"> lekarza seksuologa lub psychologa seksuologa</w:t>
      </w:r>
      <w:r>
        <w:t xml:space="preserve"> (projektowany § 2)</w:t>
      </w:r>
      <w:r w:rsidRPr="00C65BC0">
        <w:t>.</w:t>
      </w:r>
    </w:p>
    <w:p w:rsidR="00DD54DC" w:rsidRDefault="00DD54DC" w:rsidP="00F27131">
      <w:pPr>
        <w:pStyle w:val="ARTartustawynprozporzdzenia"/>
      </w:pPr>
      <w:r>
        <w:t>Rozwiązanie w postaci orzeczenia wobec skazanego środka wbrew jego zgodzie, stanowi odstępstwo od wyrażonej w art. 30 i art. 41 Konstytucji (i uszczegółowionej w art. 16 ustawy z dnia 6 listopada 2008 r. o prawach pacjenta i Rzeczniku praw pacjenta) zasadzie autonomii praw pacjenta, której kluczowym elementem jest dobrowolność poddania się leczeniu.</w:t>
      </w:r>
    </w:p>
    <w:p w:rsidR="00DD54DC" w:rsidRDefault="00DD54DC" w:rsidP="00F27131">
      <w:pPr>
        <w:pStyle w:val="ARTartustawynprozporzdzenia"/>
      </w:pPr>
      <w:r>
        <w:t>Choć zasada ta nie ma charakteru absolutnego, to jej przełamanie powinno być podejmowane przy zachowaniu przesłanek konieczności i proporcjonalności. Z tego względu, „orzekając o przymusowym leczeniu, sąd penitencjarny winien mieć możliwość badania czy istnieje rzeczywista potrzeba takiego leczenia, w tym rozważenia wszystkich okoliczności sprawy, obejmujących również kwestię tego, czy nie zachodzą okoliczności szczególne przemawiające za nieorzekaniem wobec uzależnionego skazanego leczenia.(…). Orzeczenie takie wymaga posiadania specjalistycznej wiedzy pozwalającej na ocenę stanu zdrowia skazanego (w tym jego zdrowia psychicznego) oraz ocenę skuteczności poddania go określonym świadczeniom zdrowotnym celem poprawy jego stanu zdrowia, a zatem kompetencji ściśle zawarowanych dla osób dysponujących odpowiednim wykształceniem medycznym.”</w:t>
      </w:r>
      <w:r>
        <w:rPr>
          <w:rStyle w:val="Odwoanieprzypisudolnego"/>
        </w:rPr>
        <w:footnoteReference w:id="3"/>
      </w:r>
      <w:r w:rsidRPr="00991A03">
        <w:rPr>
          <w:rStyle w:val="IGindeksgrny"/>
        </w:rPr>
        <w:t>)</w:t>
      </w:r>
    </w:p>
    <w:p w:rsidR="00DD54DC" w:rsidRDefault="00DD54DC" w:rsidP="00BF2E1E">
      <w:pPr>
        <w:pStyle w:val="NIEARTTEKSTtekstnieartykuowanynppodstprawnarozplubpreambua"/>
      </w:pPr>
      <w:r>
        <w:t xml:space="preserve">Sąd określi w postanowieniu </w:t>
      </w:r>
      <w:r w:rsidRPr="00C65BC0">
        <w:t>czas stosowania leczenia</w:t>
      </w:r>
      <w:r>
        <w:t xml:space="preserve">. Nie będzie ono mogło trwać dłużej niż </w:t>
      </w:r>
      <w:r w:rsidRPr="00C65BC0">
        <w:t xml:space="preserve">2 lata od chwili uprawomocnienia się postanowienia, </w:t>
      </w:r>
      <w:r>
        <w:t xml:space="preserve">a zarazem – nie będzie ono mogło być stosowane </w:t>
      </w:r>
      <w:r w:rsidRPr="00C65BC0">
        <w:t>dłuż</w:t>
      </w:r>
      <w:r>
        <w:t xml:space="preserve">ej niż przez </w:t>
      </w:r>
      <w:r w:rsidRPr="00C65BC0">
        <w:t>czas</w:t>
      </w:r>
      <w:r>
        <w:t xml:space="preserve"> pozostały</w:t>
      </w:r>
      <w:r w:rsidRPr="00C65BC0">
        <w:t xml:space="preserve"> skazanemu do odbycia wykonywanej kary pozbawienia wolności</w:t>
      </w:r>
      <w:r>
        <w:t xml:space="preserve"> (projektowany § 3)</w:t>
      </w:r>
      <w:r w:rsidRPr="00C65BC0">
        <w:t>.</w:t>
      </w:r>
      <w:r>
        <w:t xml:space="preserve"> Regulacja ta wzorowana jest na art. 34 ust. 1 ustawy z dnia 26 października 1982 r. o wychowaniu w trzeźwości i przeciwdziałaniu alkoholizmowi oraz analogicznych rozwiązaniach zawartych w art. 30 ust. 2 ustawy z dnia 29 lipca 2005 r. o przeciwdziałaniu narkomanii.</w:t>
      </w:r>
    </w:p>
    <w:p w:rsidR="00DD54DC" w:rsidRDefault="00DD54DC" w:rsidP="00DA1908">
      <w:pPr>
        <w:pStyle w:val="NIEARTTEKSTtekstnieartykuowanynppodstprawnarozplubpreambua"/>
      </w:pPr>
      <w:r w:rsidRPr="00C65BC0">
        <w:t xml:space="preserve">Na </w:t>
      </w:r>
      <w:r>
        <w:t xml:space="preserve">wszystkie postanowienia zapadające w przedmiocie </w:t>
      </w:r>
      <w:r w:rsidRPr="0060396D">
        <w:t>objęcia skazanego przymusowym leczeniem</w:t>
      </w:r>
      <w:r>
        <w:t xml:space="preserve"> albo w zakresie zmiany lub uchylenia takiego obowiązku stronom (skazanemu i jego obrońcy oraz prokuratorowi) oraz dyrektorowi zakładu karnego przysługiwać będzie </w:t>
      </w:r>
      <w:r w:rsidRPr="00C65BC0">
        <w:t>zażalenie</w:t>
      </w:r>
      <w:r>
        <w:t xml:space="preserve">, co </w:t>
      </w:r>
      <w:r w:rsidRPr="0060396D">
        <w:t>umożliwi procesową weryfi</w:t>
      </w:r>
      <w:r>
        <w:t>kację zasadności rozstrzygnięć</w:t>
      </w:r>
      <w:r w:rsidRPr="0060396D">
        <w:t xml:space="preserve"> są</w:t>
      </w:r>
      <w:r>
        <w:t>du penitencjarnego</w:t>
      </w:r>
      <w:r w:rsidRPr="0060396D">
        <w:t>.</w:t>
      </w:r>
    </w:p>
    <w:p w:rsidR="00DD54DC" w:rsidRPr="00F32CA6" w:rsidRDefault="00DD54DC" w:rsidP="005F36D3">
      <w:pPr>
        <w:pStyle w:val="NIEARTTEKSTtekstnieartykuowanynppodstprawnarozplubpreambua"/>
        <w:rPr>
          <w:rStyle w:val="Ppogrubienie"/>
        </w:rPr>
      </w:pPr>
      <w:r>
        <w:rPr>
          <w:rStyle w:val="Ppogrubienie"/>
        </w:rPr>
        <w:lastRenderedPageBreak/>
        <w:t>5</w:t>
      </w:r>
      <w:r w:rsidRPr="00F32CA6">
        <w:rPr>
          <w:rStyle w:val="Ppogrubienie"/>
        </w:rPr>
        <w:t xml:space="preserve">. </w:t>
      </w:r>
      <w:r>
        <w:rPr>
          <w:rStyle w:val="Ppogrubienie"/>
        </w:rPr>
        <w:t>Skutki i wyniki konsultacji</w:t>
      </w:r>
    </w:p>
    <w:p w:rsidR="00DD54DC" w:rsidRPr="005A5544" w:rsidRDefault="00DD54DC" w:rsidP="00D76519">
      <w:pPr>
        <w:pStyle w:val="NIEARTTEKSTtekstnieartykuowanynppodstprawnarozplubpreambua"/>
      </w:pPr>
      <w:r w:rsidRPr="005A5544">
        <w:t xml:space="preserve">Oczekiwane skutki społeczne, gospodarcze i finansowe oraz </w:t>
      </w:r>
      <w:r w:rsidRPr="00D76519">
        <w:t>wyniki</w:t>
      </w:r>
      <w:r w:rsidRPr="005A5544">
        <w:t xml:space="preserve"> konsultacji zosta</w:t>
      </w:r>
      <w:r>
        <w:t>ły</w:t>
      </w:r>
      <w:r w:rsidRPr="005A5544">
        <w:t xml:space="preserve"> przedstawione w Ocenie Skutków Regulacji. Nadesłane w ramach konsultacji opinie i uwagi </w:t>
      </w:r>
      <w:r>
        <w:t>są</w:t>
      </w:r>
      <w:r w:rsidRPr="005A5544">
        <w:t xml:space="preserve"> zamieszczone na senackiej stronie internetowej.</w:t>
      </w:r>
    </w:p>
    <w:p w:rsidR="00DD54DC" w:rsidRDefault="00DD54DC" w:rsidP="005F36D3">
      <w:pPr>
        <w:pStyle w:val="NIEARTTEKSTtekstnieartykuowanynppodstprawnarozplubpreambua"/>
        <w:rPr>
          <w:rStyle w:val="Ppogrubienie"/>
        </w:rPr>
      </w:pPr>
    </w:p>
    <w:p w:rsidR="00DD54DC" w:rsidRPr="00F32CA6" w:rsidRDefault="00DD54DC" w:rsidP="005F36D3">
      <w:pPr>
        <w:pStyle w:val="NIEARTTEKSTtekstnieartykuowanynppodstprawnarozplubpreambua"/>
        <w:rPr>
          <w:rStyle w:val="Ppogrubienie"/>
        </w:rPr>
      </w:pPr>
      <w:r>
        <w:rPr>
          <w:rStyle w:val="Ppogrubienie"/>
        </w:rPr>
        <w:t>6</w:t>
      </w:r>
      <w:r w:rsidRPr="00F32CA6">
        <w:rPr>
          <w:rStyle w:val="Ppogrubienie"/>
        </w:rPr>
        <w:t>. Oświadczenie o zgodności z prawem Unii Europejskiej</w:t>
      </w:r>
    </w:p>
    <w:p w:rsidR="00DD54DC" w:rsidRPr="005A5544" w:rsidRDefault="00DD54DC" w:rsidP="00D76519">
      <w:pPr>
        <w:pStyle w:val="NIEARTTEKSTtekstnieartykuowanynppodstprawnarozplubpreambua"/>
      </w:pPr>
      <w:r w:rsidRPr="005A5544">
        <w:t xml:space="preserve">Zakres przedmiotowy </w:t>
      </w:r>
      <w:r w:rsidRPr="00D76519">
        <w:t>projektowanej</w:t>
      </w:r>
      <w:r w:rsidRPr="005A5544">
        <w:t xml:space="preserve"> ustawy nie jest objęty prawem Unii Europejskiej.</w:t>
      </w:r>
    </w:p>
    <w:p w:rsidR="00EF75BE" w:rsidRPr="00CC11AE" w:rsidRDefault="00EF75BE" w:rsidP="00DD54DC">
      <w:pPr>
        <w:pStyle w:val="OZNRODZAKTUtznustawalubrozporzdzenieiorganwydajcy"/>
        <w:spacing w:after="360"/>
      </w:pPr>
    </w:p>
    <w:sectPr w:rsidR="00EF75BE" w:rsidRPr="00CC11AE" w:rsidSect="00D802CC">
      <w:headerReference w:type="default" r:id="rId7"/>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2E0" w:rsidRDefault="002B72E0">
      <w:r>
        <w:separator/>
      </w:r>
    </w:p>
  </w:endnote>
  <w:endnote w:type="continuationSeparator" w:id="0">
    <w:p w:rsidR="002B72E0" w:rsidRDefault="002B7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2E0" w:rsidRDefault="002B72E0">
      <w:r>
        <w:separator/>
      </w:r>
    </w:p>
  </w:footnote>
  <w:footnote w:type="continuationSeparator" w:id="0">
    <w:p w:rsidR="002B72E0" w:rsidRDefault="002B72E0">
      <w:r>
        <w:continuationSeparator/>
      </w:r>
    </w:p>
  </w:footnote>
  <w:footnote w:id="1">
    <w:p w:rsidR="00DD54DC" w:rsidRDefault="00DD54DC" w:rsidP="00353ED9">
      <w:pPr>
        <w:pStyle w:val="ODNONIKtreodnonika"/>
      </w:pPr>
      <w:r>
        <w:rPr>
          <w:rStyle w:val="Odwoanieprzypisudolnego"/>
        </w:rPr>
        <w:footnoteRef/>
      </w:r>
      <w:r w:rsidRPr="00F27131">
        <w:rPr>
          <w:rStyle w:val="IGindeksgrny"/>
        </w:rPr>
        <w:t>)</w:t>
      </w:r>
      <w:r>
        <w:rPr>
          <w:rStyle w:val="IGindeksgrny"/>
        </w:rPr>
        <w:tab/>
      </w:r>
      <w:r>
        <w:t>Biorąc pod uwagę standard legislacyjny wynikający z k.k.w., ustawy o zawodach medycznych, ustawy o </w:t>
      </w:r>
      <w:r w:rsidRPr="005D2671">
        <w:t>wychowaniu w trzeźwości</w:t>
      </w:r>
      <w:r>
        <w:t xml:space="preserve"> i przeciwdziałaniu alkoholizmowi, ustawy o przeciwdziałaniu narkomanii, czy </w:t>
      </w:r>
      <w:r w:rsidRPr="005D2671">
        <w:t>ustawy o zapobieganiu oraz zwalczaniu zakażeń i chorób zakaźnych u ludzi</w:t>
      </w:r>
      <w:r>
        <w:t>.</w:t>
      </w:r>
    </w:p>
  </w:footnote>
  <w:footnote w:id="2">
    <w:p w:rsidR="00DD54DC" w:rsidRDefault="00DD54DC" w:rsidP="0093612D">
      <w:pPr>
        <w:pStyle w:val="ODNONIKtreodnonika"/>
      </w:pPr>
      <w:r>
        <w:rPr>
          <w:rStyle w:val="Odwoanieprzypisudolnego"/>
        </w:rPr>
        <w:footnoteRef/>
      </w:r>
      <w:r w:rsidRPr="0093612D">
        <w:rPr>
          <w:rStyle w:val="IGindeksgrny"/>
        </w:rPr>
        <w:t>)</w:t>
      </w:r>
      <w:r>
        <w:tab/>
        <w:t>P. Daniluk, Glosa do wyroku Trybunału Konstytucyjnego z 17.07 2013 r. (SK 9/10), Państwo i Prawo 2015/3, s. 135.</w:t>
      </w:r>
    </w:p>
  </w:footnote>
  <w:footnote w:id="3">
    <w:p w:rsidR="00DD54DC" w:rsidRDefault="00DD54DC" w:rsidP="000A54BC">
      <w:pPr>
        <w:pStyle w:val="ODNONIKtreodnonika"/>
      </w:pPr>
      <w:r>
        <w:rPr>
          <w:rStyle w:val="Odwoanieprzypisudolnego"/>
        </w:rPr>
        <w:footnoteRef/>
      </w:r>
      <w:r w:rsidRPr="00991A03">
        <w:rPr>
          <w:rStyle w:val="IGindeksgrny"/>
        </w:rPr>
        <w:t>)</w:t>
      </w:r>
      <w:r>
        <w:t xml:space="preserve"> Opinia Ministra Zdrowia z dnia 25 stycznia 2022 r. przesłana w ramach konsultacji niniejszego projektu ustawy, str.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DD54DC" w:rsidP="00B371CC">
    <w:pPr>
      <w:pStyle w:val="Nagwek"/>
      <w:jc w:val="center"/>
    </w:pPr>
    <w:r>
      <w:t xml:space="preserve">– </w:t>
    </w:r>
    <w:r>
      <w:fldChar w:fldCharType="begin"/>
    </w:r>
    <w:r>
      <w:instrText xml:space="preserve"> PAGE  \* MERGEFORMAT </w:instrText>
    </w:r>
    <w:r>
      <w:fldChar w:fldCharType="separate"/>
    </w:r>
    <w:r w:rsidR="00D80960">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5BE"/>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B72E0"/>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4488C"/>
    <w:rsid w:val="00354EB9"/>
    <w:rsid w:val="00360929"/>
    <w:rsid w:val="003674B0"/>
    <w:rsid w:val="0037727C"/>
    <w:rsid w:val="00380904"/>
    <w:rsid w:val="003823EE"/>
    <w:rsid w:val="00382960"/>
    <w:rsid w:val="003846F7"/>
    <w:rsid w:val="00385B39"/>
    <w:rsid w:val="00386785"/>
    <w:rsid w:val="00387132"/>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5D87"/>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2116"/>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4A23"/>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960"/>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D54DC"/>
    <w:rsid w:val="00DE1554"/>
    <w:rsid w:val="00DE590F"/>
    <w:rsid w:val="00DE7DC1"/>
    <w:rsid w:val="00DF0AAA"/>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EF75BE"/>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46773B4-DD0F-4D35-B541-533579689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F75BE"/>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1"/>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2"/>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29"/>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87132"/>
    <w:rPr>
      <w:bCs/>
    </w:rPr>
  </w:style>
  <w:style w:type="paragraph" w:customStyle="1" w:styleId="OZNZACZNIKAwskazanienrzacznika">
    <w:name w:val="OZN_ZAŁĄCZNIKA – wskazanie nr załącznika"/>
    <w:basedOn w:val="OZNPROJEKTUwskazaniedatylubwersjiprojektu"/>
    <w:uiPriority w:val="28"/>
    <w:qFormat/>
    <w:rsid w:val="00387132"/>
    <w:pPr>
      <w:keepNext/>
    </w:pPr>
    <w:rPr>
      <w:b/>
      <w:u w:val="none"/>
    </w:rPr>
  </w:style>
  <w:style w:type="character" w:customStyle="1" w:styleId="IGindeksgrny">
    <w:name w:val="_IG_ – indeks górny"/>
    <w:basedOn w:val="Domylnaczcionkaakapitu"/>
    <w:uiPriority w:val="2"/>
    <w:qFormat/>
    <w:rsid w:val="00387132"/>
    <w:rPr>
      <w:b w:val="0"/>
      <w:i w:val="0"/>
      <w:vanish w:val="0"/>
      <w:spacing w:val="0"/>
      <w:vertAlign w:val="superscript"/>
    </w:rPr>
  </w:style>
  <w:style w:type="character" w:customStyle="1" w:styleId="Ppogrubienie">
    <w:name w:val="_P_ – pogrubienie"/>
    <w:basedOn w:val="Domylnaczcionkaakapitu"/>
    <w:uiPriority w:val="1"/>
    <w:qFormat/>
    <w:rsid w:val="00387132"/>
    <w:rPr>
      <w:b/>
    </w:rPr>
  </w:style>
  <w:style w:type="character" w:customStyle="1" w:styleId="Kkursywa">
    <w:name w:val="_K_ – kursywa"/>
    <w:basedOn w:val="Domylnaczcionkaakapitu"/>
    <w:uiPriority w:val="1"/>
    <w:qFormat/>
    <w:rsid w:val="00387132"/>
    <w:rPr>
      <w:i/>
    </w:rPr>
  </w:style>
  <w:style w:type="paragraph" w:styleId="Tekstpodstawowy">
    <w:name w:val="Body Text"/>
    <w:basedOn w:val="Normalny"/>
    <w:link w:val="TekstpodstawowyZnak"/>
    <w:uiPriority w:val="99"/>
    <w:semiHidden/>
    <w:rsid w:val="004D5D87"/>
    <w:pPr>
      <w:spacing w:after="120"/>
    </w:pPr>
  </w:style>
  <w:style w:type="character" w:customStyle="1" w:styleId="TekstpodstawowyZnak">
    <w:name w:val="Tekst podstawowy Znak"/>
    <w:basedOn w:val="Domylnaczcionkaakapitu"/>
    <w:link w:val="Tekstpodstawowy"/>
    <w:uiPriority w:val="99"/>
    <w:semiHidden/>
    <w:rsid w:val="004D5D87"/>
    <w:rPr>
      <w:rFonts w:ascii="Times New Roman" w:eastAsiaTheme="minorEastAsia" w:hAnsi="Times New Roman" w:cs="Arial"/>
      <w:szCs w:val="20"/>
    </w:rPr>
  </w:style>
  <w:style w:type="paragraph" w:customStyle="1" w:styleId="akapit">
    <w:name w:val="akapit"/>
    <w:basedOn w:val="Normalny"/>
    <w:uiPriority w:val="99"/>
    <w:rsid w:val="004D5D87"/>
    <w:pPr>
      <w:widowControl/>
      <w:autoSpaceDE/>
      <w:autoSpaceDN/>
      <w:adjustRightInd/>
      <w:ind w:firstLine="85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1</TotalTime>
  <Pages>6</Pages>
  <Words>1586</Words>
  <Characters>9522</Characters>
  <Application>Microsoft Office Word</Application>
  <DocSecurity>0</DocSecurity>
  <Lines>79</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11086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Justyna Mazur</dc:creator>
  <cp:lastModifiedBy>Grzegorz Molesztak</cp:lastModifiedBy>
  <cp:revision>4</cp:revision>
  <cp:lastPrinted>2022-04-28T12:21:00Z</cp:lastPrinted>
  <dcterms:created xsi:type="dcterms:W3CDTF">2022-04-28T12:07:00Z</dcterms:created>
  <dcterms:modified xsi:type="dcterms:W3CDTF">2022-05-11T09:46:00Z</dcterms:modified>
</cp:coreProperties>
</file>