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068817" w14:textId="77777777" w:rsidR="00C379F9" w:rsidRDefault="001450B1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Projekt </w:t>
      </w:r>
    </w:p>
    <w:p w14:paraId="7F068818" w14:textId="77777777" w:rsidR="00C379F9" w:rsidRDefault="00C379F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74A91E4" w14:textId="040CABF2" w:rsidR="009B2512" w:rsidRDefault="001450B1" w:rsidP="009B251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USTAWA</w:t>
      </w:r>
    </w:p>
    <w:p w14:paraId="64616FE1" w14:textId="6194FECC" w:rsidR="009B2512" w:rsidRDefault="001450B1" w:rsidP="009B2512">
      <w:pPr>
        <w:keepNext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 dnia ……… 2022 r.</w:t>
      </w:r>
    </w:p>
    <w:p w14:paraId="7F06881B" w14:textId="77777777" w:rsidR="00C379F9" w:rsidRDefault="001450B1">
      <w:pPr>
        <w:keepNext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 tymczasowym sposobie ustalania stopy oprocentowania w umowach o kredyt hipoteczny ze zmienną stopą oprocentowania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footnoteReference w:id="1"/>
      </w:r>
    </w:p>
    <w:p w14:paraId="7F06881C" w14:textId="77777777" w:rsidR="00C379F9" w:rsidRDefault="00C379F9">
      <w:pPr>
        <w:keepNext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06881D" w14:textId="77777777" w:rsidR="00C379F9" w:rsidRDefault="001450B1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Art. 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1. Ustawa określa tymczasowy sposób ustalania stopy procentowej, o której mowa w art. 29 ust. 1 pkt 8 ustawy z dnia 23 marca 2017 r. o kredycie hipotecznym oraz o nadzorze nad pośrednikami kredytu hipotecznego i agentami (Dz. U. z 2020 r. poz. 1027 i 2320), zwanej dalej „ustawą o kredycie hipotecznym”, na podstawie której jest obliczana wysokość rat kapitałowo-odsetkowych, w umowach o kredyt hipoteczny dotyczących kredytu hipotecznego oprocentowanego w całości lub w części zmienną stopą oprocentowania kredytu hipotecznego, zwaną dalej „zmienną stopą oprocentowania”.</w:t>
      </w:r>
    </w:p>
    <w:p w14:paraId="7F06881E" w14:textId="77777777" w:rsidR="00C379F9" w:rsidRDefault="001450B1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Sposób ustalania zmiennej stopy oprocentowania zgodnie z niniejszą ustawą stosuje się do konsumenta w rozumieniu art. 22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ustawy z dnia 23 kwietnia 1964 r. – Kodeks cywilny (Dz. U. z 2020 r. poz. 1740 i 2320 oraz z 2021 r. poz. 1509 i 2459), który zawarł umowę o kredyt hipoteczny w rozumieniu art. 3 ustawy o kredycie hipotecznym w celu nabycia pierwszej nieruchomości przeznaczonej na własne potrzeby mieszkaniowe, zwanego dalej „osobą uprawnioną”.</w:t>
      </w:r>
    </w:p>
    <w:p w14:paraId="7F06881F" w14:textId="77777777" w:rsidR="00C379F9" w:rsidRDefault="001450B1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Ustalenie zmiennej stopy oprocentowania zgodnie z ustawą nie stanowi zdarzenia regulacyjnego.</w:t>
      </w:r>
    </w:p>
    <w:p w14:paraId="7F068820" w14:textId="77777777" w:rsidR="00C379F9" w:rsidRDefault="001450B1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Ustawa nie ma zastosowania do kredytów hipotecznych udzielonych po dniu 31 grudnia 2021 r. lub w walucie innej niż złoty.</w:t>
      </w:r>
    </w:p>
    <w:p w14:paraId="7F068821" w14:textId="77777777" w:rsidR="00C379F9" w:rsidRDefault="00C379F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068822" w14:textId="77777777" w:rsidR="00C379F9" w:rsidRDefault="001450B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Art. 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1. Ustalenie zmiennej stopy oprocentowania następuje na wniosek osoby uprawnionej, składany do kredytodawcy, o którym mowa w art. 4 pkt 8 ustawy o kredycie hipotecznym, zwanego dalej „kredytodawcą”.</w:t>
      </w:r>
    </w:p>
    <w:p w14:paraId="7F068823" w14:textId="77777777" w:rsidR="00C379F9" w:rsidRDefault="001450B1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We wniosku, o którym mowa w ust. 1, osoba uprawniona:</w:t>
      </w:r>
    </w:p>
    <w:p w14:paraId="7F068824" w14:textId="77777777" w:rsidR="00C379F9" w:rsidRDefault="001450B1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podaje imię i nazwisko, adres zamieszkania, numer PESEL, o ile został nadany, numer dowodu osobistego albo rodzaj i numer innego dokumentu potwierdzającego tożsamość oraz numer identyfikacyjny umowy kredytowej;</w:t>
      </w:r>
    </w:p>
    <w:p w14:paraId="7F068825" w14:textId="77777777" w:rsidR="00C379F9" w:rsidRDefault="001450B1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składa oświadczenie o wykorzystaniu kredytu hipotecznego na pierwszą nieruchomość przeznaczoną na własne potrzeby mieszkaniowe, którego wzór określa załącznik nr 1 do ustawy.</w:t>
      </w:r>
    </w:p>
    <w:p w14:paraId="7F068826" w14:textId="77777777" w:rsidR="00C379F9" w:rsidRDefault="001450B1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Oświadczenie, o którym mowa w ust. 2 pkt 2, osoba uprawniona składa pod rygorem odpowiedzialności karnej za złożenie fałszywego oświadczenia wynikającej z art. 233 § 6 ustawy z dnia 6 czerwca 1997 r. – Kodeks karny (Dz. U. z 2021 r. poz. 2345 i 2447).</w:t>
      </w:r>
    </w:p>
    <w:p w14:paraId="7F068827" w14:textId="77777777" w:rsidR="00C379F9" w:rsidRDefault="00C379F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068828" w14:textId="77777777" w:rsidR="00C379F9" w:rsidRDefault="001450B1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Art. 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Dla kredytów hipotecznych oprocentowanych:</w:t>
      </w:r>
    </w:p>
    <w:p w14:paraId="7F068829" w14:textId="77777777" w:rsidR="00C379F9" w:rsidRDefault="001450B1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całości zmienną stopą oprocentowania, stopa ta przyjmuje wartość stałą, równą stopie oprocentowania kredytu hipotecznego ustalonej na dzień 1 grudnia 2019 r.;</w:t>
      </w:r>
    </w:p>
    <w:p w14:paraId="7F06882A" w14:textId="77777777" w:rsidR="00C379F9" w:rsidRDefault="001450B1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części zmienną stopą oprocentowania, dla części oprocentowanej zmienną stopą oprocentowania, stopa ta przyjmuje wartość stałą, równą stopie oprocentowania części kredytu hipotecznego podlegającej zmiennemu oprocentowaniu ustalonej na dzień 1 grudnia 2019 r.</w:t>
      </w:r>
    </w:p>
    <w:p w14:paraId="7F06882B" w14:textId="77777777" w:rsidR="00C379F9" w:rsidRDefault="001450B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na okres 12 miesięcy od dnia ustalenia zmiennej stopy oprocentowania, nie dłużej jednak niż do dnia przypadającego po upływie 15 miesięcy od dnia wejścia w życie ustawy.</w:t>
      </w:r>
    </w:p>
    <w:p w14:paraId="7F06882C" w14:textId="77777777" w:rsidR="00C379F9" w:rsidRDefault="001450B1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Jeżeli wysokość marży służącej do ustalenia zmiennej stopy oprocentowania zgodnie z ust. 1 jest wyższa niż wysokość marży służącej do ustalenia zmiennej stopy oprocentowania na dzień wejścia w życie ustawy, to marża ta zachowuje wartość z dnia wejścia w życie ustawy. Pozostałe zasady ustalania zmiennej stropy oprocentowania wynikające z ust. 1 stosuje się.</w:t>
      </w:r>
    </w:p>
    <w:p w14:paraId="7F06882D" w14:textId="77777777" w:rsidR="00C379F9" w:rsidRDefault="00C379F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06882E" w14:textId="77777777" w:rsidR="00C379F9" w:rsidRDefault="001450B1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Art. 4. </w:t>
      </w:r>
      <w:r>
        <w:rPr>
          <w:rFonts w:ascii="Times New Roman" w:eastAsia="Times New Roman" w:hAnsi="Times New Roman" w:cs="Times New Roman"/>
          <w:sz w:val="24"/>
          <w:szCs w:val="24"/>
        </w:rPr>
        <w:t>Kredytodawca ustala zmienną stopę oprocentowania i przekazuje osobie uprawnionej informację o ustaleniu wysokości zmiennej stopy oprocentowania wraz z nowym harmonogramem spłat, zgodnie z określonym w umowie o kredyt hipoteczny sposobem przekazywania informacji, w terminie 30 dni od dnia otrzymania wniosku, o którym mowa w art. 2 ust. 1.</w:t>
      </w:r>
    </w:p>
    <w:p w14:paraId="7F06882F" w14:textId="77777777" w:rsidR="00C379F9" w:rsidRDefault="00C379F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068830" w14:textId="77777777" w:rsidR="00C379F9" w:rsidRDefault="001450B1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Art. 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 ustawie z dnia 9 października 2015 r. o wsparciu kredytobiorców, którzy zaciągnęli kredyt mieszkaniowy i znajdują się w trudnej sytuacji finansowej (Dz. U. z 2022 r. poz. 298) wprowadza się następujące zmiany:</w:t>
      </w:r>
    </w:p>
    <w:p w14:paraId="11E68690" w14:textId="77777777" w:rsidR="00E11186" w:rsidRDefault="001450B1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art. 3 pkt 2 otrzymuje brzmienie:</w:t>
      </w:r>
    </w:p>
    <w:p w14:paraId="7F068831" w14:textId="2BCA7B3C" w:rsidR="00C379F9" w:rsidRDefault="001450B1" w:rsidP="00E11186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„2)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wartość wskaźnika RdD przekracza 30%, lub”;</w:t>
      </w:r>
    </w:p>
    <w:p w14:paraId="52A119E7" w14:textId="77777777" w:rsidR="00E11186" w:rsidRDefault="001450B1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art. 16a ust. 3 otrzymuje brzmienie:</w:t>
      </w:r>
    </w:p>
    <w:p w14:paraId="7F068832" w14:textId="66A13CA9" w:rsidR="00C379F9" w:rsidRDefault="001450B1" w:rsidP="00E11186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„3. Kwartalne wpłaty kredytodawców nie mogą przekraczać równowartości iloczynu wartości bilansowej brutto posiadanego portfela kredytów mieszkaniowych, o której mowa w ust. 2, oraz stawki wynoszącej 2,5%.”.</w:t>
      </w:r>
    </w:p>
    <w:p w14:paraId="7F068833" w14:textId="77777777" w:rsidR="00C379F9" w:rsidRDefault="00C379F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068834" w14:textId="77777777" w:rsidR="00C379F9" w:rsidRDefault="001450B1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Art. 6. </w:t>
      </w:r>
      <w:r>
        <w:rPr>
          <w:rFonts w:ascii="Times New Roman" w:eastAsia="Times New Roman" w:hAnsi="Times New Roman" w:cs="Times New Roman"/>
          <w:sz w:val="24"/>
          <w:szCs w:val="24"/>
        </w:rPr>
        <w:t>Ustawa wchodzi w życie po upływie 14 dni od dnia ogłoszenia.</w:t>
      </w:r>
      <w:r>
        <w:br w:type="page"/>
      </w:r>
    </w:p>
    <w:p w14:paraId="7F068835" w14:textId="77777777" w:rsidR="00C379F9" w:rsidRDefault="001450B1">
      <w:pPr>
        <w:keepNext/>
        <w:spacing w:line="36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Załącznik do ustawy z dnia … 2022 r. (Dz. U. z … r. poz. …)</w:t>
      </w:r>
    </w:p>
    <w:p w14:paraId="7F068836" w14:textId="77777777" w:rsidR="00C379F9" w:rsidRDefault="00C379F9">
      <w:pPr>
        <w:keepNext/>
        <w:spacing w:line="36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</w:p>
    <w:p w14:paraId="7F068837" w14:textId="77777777" w:rsidR="00C379F9" w:rsidRDefault="001450B1">
      <w:pPr>
        <w:keepNext/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Załącznik nr 1</w:t>
      </w:r>
    </w:p>
    <w:p w14:paraId="7F068838" w14:textId="77777777" w:rsidR="00C379F9" w:rsidRDefault="001450B1">
      <w:pPr>
        <w:keepNext/>
        <w:spacing w:line="360" w:lineRule="auto"/>
        <w:jc w:val="center"/>
        <w:rPr>
          <w:rFonts w:ascii="Times New Roman" w:eastAsia="Times New Roman" w:hAnsi="Times New Roman" w:cs="Times New Roman"/>
          <w:i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mallCaps/>
          <w:sz w:val="24"/>
          <w:szCs w:val="24"/>
        </w:rPr>
        <w:t>wzór</w:t>
      </w:r>
    </w:p>
    <w:p w14:paraId="7F068839" w14:textId="77777777" w:rsidR="00C379F9" w:rsidRDefault="001450B1">
      <w:pPr>
        <w:keepNext/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……………………</w:t>
      </w:r>
    </w:p>
    <w:p w14:paraId="7F06883A" w14:textId="77777777" w:rsidR="00C379F9" w:rsidRDefault="001450B1">
      <w:pPr>
        <w:keepNext/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(miejscowość, data)</w:t>
      </w:r>
    </w:p>
    <w:p w14:paraId="7F06883B" w14:textId="77777777" w:rsidR="00C379F9" w:rsidRDefault="00C379F9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06883C" w14:textId="77777777" w:rsidR="00C379F9" w:rsidRDefault="00C379F9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06883D" w14:textId="77777777" w:rsidR="00C379F9" w:rsidRDefault="001450B1">
      <w:pPr>
        <w:keepNext/>
        <w:spacing w:line="360" w:lineRule="auto"/>
        <w:jc w:val="center"/>
        <w:rPr>
          <w:rFonts w:ascii="Times New Roman" w:eastAsia="Times New Roman" w:hAnsi="Times New Roman" w:cs="Times New Roman"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smallCaps/>
          <w:sz w:val="24"/>
          <w:szCs w:val="24"/>
        </w:rPr>
        <w:t>OŚWIADCZENIE O WYKORZYSTANIU KREDYTU HIPOTECZNEGO NA PIERWSZĄ NIERUCHOMOŚĆ PRZEZNACZONĄ NA WŁASNE POTRZEBY MIESZKANIOWE</w:t>
      </w:r>
    </w:p>
    <w:p w14:paraId="7F06883E" w14:textId="77777777" w:rsidR="00C379F9" w:rsidRDefault="00C379F9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06883F" w14:textId="77777777" w:rsidR="00C379F9" w:rsidRDefault="00C379F9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068840" w14:textId="77777777" w:rsidR="00C379F9" w:rsidRDefault="001450B1">
      <w:pPr>
        <w:spacing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Oświadczam, że umowa o kredyt hipoteczny zawarta w ……… (miejscowość) dnia ……… (dzień, miesiąc, rok) numer ……… (numer umowy) pomiędzy ……… (dane konsumenta podane w umowie o kredyt hipoteczny) a ……… (dane kredytodawcy podane w umowie o kredyt hipoteczny) dotyczy kredytu hipotecznego wykorzystanego na nabycie pierwszej nieruchomości przeznaczonej na własne potrzeby mieszkaniowe. Jestem świadomy / świadoma (niepotrzebne skreślić) odpowiedzialności karnej za złożenie fałszywego oświadczenia.</w:t>
      </w:r>
    </w:p>
    <w:p w14:paraId="7F068841" w14:textId="77777777" w:rsidR="00C379F9" w:rsidRDefault="00C379F9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068842" w14:textId="77777777" w:rsidR="00C379F9" w:rsidRDefault="001450B1">
      <w:pPr>
        <w:keepNext/>
        <w:spacing w:line="36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……………………..</w:t>
      </w:r>
    </w:p>
    <w:p w14:paraId="7F068843" w14:textId="77777777" w:rsidR="00C379F9" w:rsidRDefault="001450B1">
      <w:pPr>
        <w:keepNext/>
        <w:spacing w:line="36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(podpis konsumenta)</w:t>
      </w:r>
    </w:p>
    <w:p w14:paraId="7F068844" w14:textId="37773DE2" w:rsidR="00C379F9" w:rsidRDefault="00C379F9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379F9">
      <w:footerReference w:type="default" r:id="rId7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AD5F37" w14:textId="77777777" w:rsidR="00D1304C" w:rsidRDefault="00D1304C">
      <w:pPr>
        <w:spacing w:line="240" w:lineRule="auto"/>
      </w:pPr>
      <w:r>
        <w:separator/>
      </w:r>
    </w:p>
  </w:endnote>
  <w:endnote w:type="continuationSeparator" w:id="0">
    <w:p w14:paraId="7F4E2757" w14:textId="77777777" w:rsidR="00D1304C" w:rsidRDefault="00D130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792509947"/>
      <w:docPartObj>
        <w:docPartGallery w:val="Page Numbers (Bottom of Page)"/>
        <w:docPartUnique/>
      </w:docPartObj>
    </w:sdtPr>
    <w:sdtEndPr/>
    <w:sdtContent>
      <w:p w14:paraId="68738316" w14:textId="61B3D237" w:rsidR="00E11186" w:rsidRPr="00E11186" w:rsidRDefault="00E11186">
        <w:pPr>
          <w:pStyle w:val="Stopka"/>
          <w:jc w:val="center"/>
          <w:rPr>
            <w:rFonts w:ascii="Times New Roman" w:hAnsi="Times New Roman" w:cs="Times New Roman"/>
          </w:rPr>
        </w:pPr>
        <w:r w:rsidRPr="00E11186">
          <w:rPr>
            <w:rFonts w:ascii="Times New Roman" w:hAnsi="Times New Roman" w:cs="Times New Roman"/>
          </w:rPr>
          <w:fldChar w:fldCharType="begin"/>
        </w:r>
        <w:r w:rsidRPr="00E11186">
          <w:rPr>
            <w:rFonts w:ascii="Times New Roman" w:hAnsi="Times New Roman" w:cs="Times New Roman"/>
          </w:rPr>
          <w:instrText>PAGE   \* MERGEFORMAT</w:instrText>
        </w:r>
        <w:r w:rsidRPr="00E11186">
          <w:rPr>
            <w:rFonts w:ascii="Times New Roman" w:hAnsi="Times New Roman" w:cs="Times New Roman"/>
          </w:rPr>
          <w:fldChar w:fldCharType="separate"/>
        </w:r>
        <w:r w:rsidR="00904957" w:rsidRPr="00904957">
          <w:rPr>
            <w:rFonts w:ascii="Times New Roman" w:hAnsi="Times New Roman" w:cs="Times New Roman"/>
            <w:noProof/>
            <w:lang w:val="pl-PL"/>
          </w:rPr>
          <w:t>4</w:t>
        </w:r>
        <w:r w:rsidRPr="00E11186">
          <w:rPr>
            <w:rFonts w:ascii="Times New Roman" w:hAnsi="Times New Roman" w:cs="Times New Roman"/>
          </w:rPr>
          <w:fldChar w:fldCharType="end"/>
        </w:r>
      </w:p>
    </w:sdtContent>
  </w:sdt>
  <w:p w14:paraId="469BB7DC" w14:textId="77777777" w:rsidR="00E11186" w:rsidRPr="00E11186" w:rsidRDefault="00E11186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FFA629" w14:textId="77777777" w:rsidR="00D1304C" w:rsidRDefault="00D1304C">
      <w:pPr>
        <w:spacing w:line="240" w:lineRule="auto"/>
      </w:pPr>
      <w:r>
        <w:separator/>
      </w:r>
    </w:p>
  </w:footnote>
  <w:footnote w:type="continuationSeparator" w:id="0">
    <w:p w14:paraId="53F194AF" w14:textId="77777777" w:rsidR="00D1304C" w:rsidRDefault="00D1304C">
      <w:pPr>
        <w:spacing w:line="240" w:lineRule="auto"/>
      </w:pPr>
      <w:r>
        <w:continuationSeparator/>
      </w:r>
    </w:p>
  </w:footnote>
  <w:footnote w:id="1">
    <w:p w14:paraId="7F068877" w14:textId="77777777" w:rsidR="00C379F9" w:rsidRDefault="001450B1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Niniejszą ustawą zmienia się ustawę z dnia 9 października 2015 r. o wsparciu kredytobiorców, którzy zaciągnęli kredyt mieszkaniowy i znajdują się w trudnej sytuacji finansowej.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F14549"/>
    <w:multiLevelType w:val="multilevel"/>
    <w:tmpl w:val="8946B886"/>
    <w:lvl w:ilvl="0">
      <w:start w:val="1"/>
      <w:numFmt w:val="decimal"/>
      <w:lvlText w:val="%1)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84C72D7"/>
    <w:multiLevelType w:val="multilevel"/>
    <w:tmpl w:val="F1B8E398"/>
    <w:lvl w:ilvl="0">
      <w:start w:val="1"/>
      <w:numFmt w:val="decimal"/>
      <w:lvlText w:val="%1)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89F67E0"/>
    <w:multiLevelType w:val="multilevel"/>
    <w:tmpl w:val="7632ED0E"/>
    <w:lvl w:ilvl="0">
      <w:start w:val="1"/>
      <w:numFmt w:val="decimal"/>
      <w:lvlText w:val="%1)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A087BDB"/>
    <w:multiLevelType w:val="multilevel"/>
    <w:tmpl w:val="A7F265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9F9"/>
    <w:rsid w:val="001450B1"/>
    <w:rsid w:val="00904957"/>
    <w:rsid w:val="009B2512"/>
    <w:rsid w:val="00C379F9"/>
    <w:rsid w:val="00D1304C"/>
    <w:rsid w:val="00E1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68817"/>
  <w15:docId w15:val="{34EEBA73-F63E-4C55-8424-BBE920DAA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E1118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1186"/>
  </w:style>
  <w:style w:type="paragraph" w:styleId="Stopka">
    <w:name w:val="footer"/>
    <w:basedOn w:val="Normalny"/>
    <w:link w:val="StopkaZnak"/>
    <w:uiPriority w:val="99"/>
    <w:unhideWhenUsed/>
    <w:rsid w:val="00E1118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1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722</Words>
  <Characters>4334</Characters>
  <Application>Microsoft Office Word</Application>
  <DocSecurity>0</DocSecurity>
  <Lines>36</Lines>
  <Paragraphs>10</Paragraphs>
  <ScaleCrop>false</ScaleCrop>
  <Company/>
  <LinksUpToDate>false</LinksUpToDate>
  <CharactersWithSpaces>5046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Radosław Koba</dc:creator>
  <cp:lastModifiedBy>Grzegorz Molesztak</cp:lastModifiedBy>
  <cp:revision>4</cp:revision>
  <dcterms:created xsi:type="dcterms:W3CDTF">2022-04-07T13:43:00Z</dcterms:created>
  <dcterms:modified xsi:type="dcterms:W3CDTF">2022-05-17T13:10:00Z</dcterms:modified>
</cp:coreProperties>
</file>