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68845" w14:textId="77777777" w:rsidR="00C379F9" w:rsidRDefault="001450B1">
      <w:pPr>
        <w:pStyle w:val="Nagwek2"/>
        <w:widowControl w:val="0"/>
        <w:spacing w:before="0" w:after="0" w:line="360" w:lineRule="auto"/>
        <w:jc w:val="center"/>
        <w:rPr>
          <w:rFonts w:ascii="Times New Roman" w:eastAsia="Times New Roman" w:hAnsi="Times New Roman" w:cs="Times New Roman"/>
          <w:b/>
          <w:sz w:val="24"/>
          <w:szCs w:val="24"/>
        </w:rPr>
      </w:pPr>
      <w:bookmarkStart w:id="0" w:name="_wx43esp0foaq" w:colFirst="0" w:colLast="0"/>
      <w:bookmarkEnd w:id="0"/>
      <w:r>
        <w:rPr>
          <w:rFonts w:ascii="Times New Roman" w:eastAsia="Times New Roman" w:hAnsi="Times New Roman" w:cs="Times New Roman"/>
          <w:b/>
          <w:sz w:val="24"/>
          <w:szCs w:val="24"/>
        </w:rPr>
        <w:t>UZASADNIENIE</w:t>
      </w:r>
    </w:p>
    <w:p w14:paraId="7F068846" w14:textId="77777777" w:rsidR="00C379F9" w:rsidRDefault="00C379F9"/>
    <w:p w14:paraId="7F068847" w14:textId="77777777" w:rsidR="00C379F9" w:rsidRDefault="001450B1">
      <w:pPr>
        <w:pStyle w:val="Nagwek3"/>
        <w:widowControl w:val="0"/>
        <w:numPr>
          <w:ilvl w:val="0"/>
          <w:numId w:val="2"/>
        </w:numPr>
        <w:spacing w:before="0" w:after="0" w:line="360" w:lineRule="auto"/>
        <w:jc w:val="both"/>
        <w:rPr>
          <w:rFonts w:ascii="Times New Roman" w:eastAsia="Times New Roman" w:hAnsi="Times New Roman" w:cs="Times New Roman"/>
          <w:b/>
          <w:sz w:val="24"/>
          <w:szCs w:val="24"/>
        </w:rPr>
      </w:pPr>
      <w:bookmarkStart w:id="1" w:name="_m7nk6bd53kpt" w:colFirst="0" w:colLast="0"/>
      <w:bookmarkEnd w:id="1"/>
      <w:r>
        <w:rPr>
          <w:rFonts w:ascii="Times New Roman" w:eastAsia="Times New Roman" w:hAnsi="Times New Roman" w:cs="Times New Roman"/>
          <w:b/>
          <w:color w:val="000000"/>
          <w:sz w:val="24"/>
          <w:szCs w:val="24"/>
        </w:rPr>
        <w:t xml:space="preserve">Cel zmian i rzeczywisty stan w dziedzinie, której dotyczy zmiana </w:t>
      </w:r>
    </w:p>
    <w:p w14:paraId="7F068848"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49"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marcu 2022 r. inflacja w Polsce (mierzona rdr) po raz pierwszy w XXI w. przekroczyła 10 proc. Miliony gospodarstw domowych mierzą się ze wzrostem kosztów utrzymania. W celu przeciwdziałania inflacji Rada Polityki Pieniężnej w październiku 2021 r. podjęła pierwszą z serii decyzji o podwyżkach stóp procentowych. Decyzje te poprzedzone były wieloma miesiącami zapewnień ze strony Przewodniczącego RPP o braku konieczności podwyższania stóp procentowych.</w:t>
      </w:r>
    </w:p>
    <w:p w14:paraId="7F06884A"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4B"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Szacuje się, że obecnie w Polsce są ponad 2 mln kredytów hipotecznych. Większość z nich to kredyty hipoteczne o zmiennym oprocentowaniu, w związku z czym wysokość rat uzależniona jest od stawki referencyjnej WIBOR (Warsaw Interbank Offered Rate). W wydanej w grudniu 2019 r. Rekomendacji S Komisja Nadzoru Finansowego nałożyła na banki obowiązek oferowania klientom kredytów o stałej lub okresowo stałej stopie procentowej. Rekomendacja miała być wprowadzona przez banki do końca 2020 r. Do tego czasu wiele banków nawet nie oferowały klientom innych kredytów hipotecznych niż te o zmiennym oprocentowaniu, a po tym okresie kredyty o stałym oprocentowaniu były mało konkurencyjne względem kredytów o zmiennym oprocentowaniu. Wielu kredytobiorców nie zostało także należycie poinformowanych, że zmienna stopa oprocentowania ich kredytu może w przyszłości skutkować drastycznymi podwyżkami rat. </w:t>
      </w:r>
    </w:p>
    <w:p w14:paraId="7F06884C"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4D"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WIBOR ustalany jest na podstawie deklarowanego kosztu, po jakim największe banki gotowe są pożyczać pieniądze między sobą. W związku z tym wysokość wskaźnika silnie zależy od stóp procentowych określanych przez RPP. Stawka WIBOR 3M jeszcze we wrześniu 2021 r. – przed pierwszą z podwyżek stóp procentowych – wynosiła niecałe 0,25 proc. 6 kwietnia 2022 r. było to już 4,92 proc., czyli najwięcej od 2013 r. W związku z wciąż rosnącą inflacją można się spodziewać dalszych podwyżek stóp procentowych, a za nimi – wzrostu WIBOR.</w:t>
      </w:r>
    </w:p>
    <w:p w14:paraId="7F06884F"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50"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Drastyczny wzrost WIBOR w ciągu zaledwie kilku miesięcy oznacza dla wielu polskich rodzin poważną wyrwę w miesięcznym budżecie. W </w:t>
      </w:r>
      <w:bookmarkStart w:id="2" w:name="_GoBack"/>
      <w:bookmarkEnd w:id="2"/>
      <w:r>
        <w:rPr>
          <w:rFonts w:ascii="Times New Roman" w:eastAsia="Times New Roman" w:hAnsi="Times New Roman" w:cs="Times New Roman"/>
          <w:sz w:val="24"/>
          <w:szCs w:val="24"/>
        </w:rPr>
        <w:t xml:space="preserve">przypadku zakupu mieszkania za 300 tys. zł w </w:t>
      </w:r>
      <w:r>
        <w:rPr>
          <w:rFonts w:ascii="Times New Roman" w:eastAsia="Times New Roman" w:hAnsi="Times New Roman" w:cs="Times New Roman"/>
          <w:sz w:val="24"/>
          <w:szCs w:val="24"/>
        </w:rPr>
        <w:lastRenderedPageBreak/>
        <w:t>kredycie na 25 lat ostatnie miesiące przyniosły podwyżkę raty kredytu o ok. 700-850 zł, tj. o ok. 60 proc. Przyzwolenie państwa na tę sytuację stanowi pogwałcenie art. 75 Konstytucji Rzeczypospolitej Polskiej, według którego „władze publiczne prowadzą politykę sprzyjającą zaspokojeniu potrzeb mieszkaniowych obywateli, w szczególności przeciwdziałają bezdomności, wspierają rozwój budownictwa socjalnego oraz popierają działania obywateli zmierzające do uzyskania własnego mieszkania”.</w:t>
      </w:r>
    </w:p>
    <w:p w14:paraId="7F068851"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52" w14:textId="77777777" w:rsidR="00C379F9" w:rsidRDefault="001450B1">
      <w:pPr>
        <w:pStyle w:val="Nagwek3"/>
        <w:widowControl w:val="0"/>
        <w:numPr>
          <w:ilvl w:val="0"/>
          <w:numId w:val="2"/>
        </w:numPr>
        <w:spacing w:before="0" w:after="0" w:line="360" w:lineRule="auto"/>
        <w:jc w:val="both"/>
        <w:rPr>
          <w:rFonts w:ascii="Times New Roman" w:eastAsia="Times New Roman" w:hAnsi="Times New Roman" w:cs="Times New Roman"/>
          <w:b/>
          <w:sz w:val="24"/>
          <w:szCs w:val="24"/>
        </w:rPr>
      </w:pPr>
      <w:bookmarkStart w:id="3" w:name="_hipumcq7n82w" w:colFirst="0" w:colLast="0"/>
      <w:bookmarkEnd w:id="3"/>
      <w:r>
        <w:rPr>
          <w:rFonts w:ascii="Times New Roman" w:eastAsia="Times New Roman" w:hAnsi="Times New Roman" w:cs="Times New Roman"/>
          <w:b/>
          <w:color w:val="000000"/>
          <w:sz w:val="24"/>
          <w:szCs w:val="24"/>
        </w:rPr>
        <w:t>Proponowane zmiany</w:t>
      </w:r>
    </w:p>
    <w:p w14:paraId="7F068853"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54"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projektowanej ustawie o tymczasowym sposobie ustalania stopy oprocentowania w umowach o kredyt hipoteczny ze zmienną stopą oprocentowania proponuje się wprowadzenie przepisów chroniących indywidualnych kredytobiorców przed wzrostem rat. Projekt dotyczy jedynie kredytów hipotecznych na pierwsze mieszkanie, wykorzystywane do zaspokojenia indywidualnych potrzeb mieszkaniowych kredytobiorcy. Projektodawca chce w ten sposób uniknąć działania w interesie podmiotów nabywających mieszkania w celach inwestycyjnych. </w:t>
      </w:r>
    </w:p>
    <w:p w14:paraId="7F068855"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56"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 wskazano zakres przedmiotowy regulacji. Zaproponowany tymczasowy sposób ustalania stopy oprocentowania dotyczy wyłącznie umów o kredyt hipoteczny dotyczących kredytu hipotecznego oprocentowanego w całości lub w części zmienną stopą oprocentowania, udzielonego w złotym do dnia 31 grudnia 2021 r. w celu nabycia pierwszej nieruchomości przeznaczonej na własne potrzeby mieszkaniowe. Zgodnie z art. 2 ustalenie zmiennej stopy oprocentowania następowałoby na wniosek kredytobiorcy, do którego załączone byłoby oświadczenie o wykorzystaniu kredytu hipotecznego na pierwszą nieruchomość przeznaczoną na własne potrzeby mieszkaniowe. Wzór oświadczenia określony został w załączniku nr 1 do projektu ustawy.</w:t>
      </w:r>
    </w:p>
    <w:p w14:paraId="7F068857" w14:textId="77777777" w:rsidR="00C379F9" w:rsidRDefault="00C379F9">
      <w:pPr>
        <w:widowControl w:val="0"/>
        <w:spacing w:line="360" w:lineRule="auto"/>
        <w:jc w:val="both"/>
        <w:rPr>
          <w:rFonts w:ascii="Times New Roman" w:eastAsia="Times New Roman" w:hAnsi="Times New Roman" w:cs="Times New Roman"/>
          <w:sz w:val="24"/>
          <w:szCs w:val="24"/>
        </w:rPr>
      </w:pPr>
    </w:p>
    <w:p w14:paraId="1F13DCF9" w14:textId="77777777" w:rsidR="00E11186"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3 określa, że ustalenie zmiennej stopy oprocentowania następowałoby na podstawie stawek WIBOR z dnia 1 grudnia 2019 r. Zmienna stopa oprocentowania przyjmowałaby wartość stałą na okres 12 miesięcy, nie dłużej jednak niż do dnia utraty mocy przez ustawę. W art. 4 określono, że bank miałby obowiązek ustalić zmienną stopę oprocentowania w terminie do 30 dni od dnia otrzymania wniosku.</w:t>
      </w:r>
    </w:p>
    <w:p w14:paraId="2171C037" w14:textId="77777777" w:rsidR="00E11186" w:rsidRDefault="00E11186">
      <w:pPr>
        <w:widowControl w:val="0"/>
        <w:spacing w:line="360" w:lineRule="auto"/>
        <w:jc w:val="both"/>
        <w:rPr>
          <w:rFonts w:ascii="Times New Roman" w:eastAsia="Times New Roman" w:hAnsi="Times New Roman" w:cs="Times New Roman"/>
          <w:sz w:val="24"/>
          <w:szCs w:val="24"/>
        </w:rPr>
      </w:pPr>
    </w:p>
    <w:p w14:paraId="7F06885A" w14:textId="58110ECD"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5 nowelizuje ustawę z dnia 9 października 2015 r. o wsparciu kredytobiorców, którzy zaciągnęli kredyt mieszkaniowy i znajdują się w trudnej sytuacji finansowej. Zgodnie z wprowadzanymi zmianami, rozszerza się grupę uprawnionych do wsparcia z Funduszu Wsparcia Kredytobiorców o kredytobiorców, dla których stosunek wydatków związanych z obsługą miesięcznej raty kapitałowej i odsetkowej kredytu mieszkaniowego do miesięcznego dochodu gospodarstwa domowego przekracza 30% (w miejsce dotychczasowych 50%), a także podnosi się maksymalną możliwą do ustalenia przez Radę Funduszu wpłatę kredytodawcy na rzecz Funduszu o 1,5 punktu procentowego.</w:t>
      </w:r>
    </w:p>
    <w:p w14:paraId="7F06885B"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5C"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6 ustanawia vacatio legis na standardowy okres 14 dni od dnia ogłoszenia ustawy.</w:t>
      </w:r>
    </w:p>
    <w:p w14:paraId="7F06885D"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5E" w14:textId="77777777" w:rsidR="00C379F9" w:rsidRDefault="001450B1">
      <w:pPr>
        <w:pStyle w:val="Nagwek3"/>
        <w:widowControl w:val="0"/>
        <w:numPr>
          <w:ilvl w:val="0"/>
          <w:numId w:val="2"/>
        </w:numPr>
        <w:spacing w:before="0" w:after="0" w:line="360" w:lineRule="auto"/>
        <w:jc w:val="both"/>
        <w:rPr>
          <w:rFonts w:ascii="Times New Roman" w:eastAsia="Times New Roman" w:hAnsi="Times New Roman" w:cs="Times New Roman"/>
          <w:b/>
          <w:sz w:val="24"/>
          <w:szCs w:val="24"/>
        </w:rPr>
      </w:pPr>
      <w:bookmarkStart w:id="4" w:name="_o3fv8molx2nm" w:colFirst="0" w:colLast="0"/>
      <w:bookmarkEnd w:id="4"/>
      <w:r>
        <w:rPr>
          <w:rFonts w:ascii="Times New Roman" w:eastAsia="Times New Roman" w:hAnsi="Times New Roman" w:cs="Times New Roman"/>
          <w:b/>
          <w:color w:val="000000"/>
          <w:sz w:val="24"/>
          <w:szCs w:val="24"/>
        </w:rPr>
        <w:t>Przewidywane skutki społeczne, gospodarcze, finansowe i prawne.</w:t>
      </w:r>
    </w:p>
    <w:p w14:paraId="7F06885F"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60"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Proponowany projekt ustawy będzie mieć pozytywny wpływ na sytuację finansową ok. 2 mln gospodarstw domowych, dla których mieszkanie objęte kredytem hipotecznym stanowi sposób na zaspokojenie swoich potrzeb mieszkaniowych. Będzie też miał pozytywny wpływ na postrzeganie państwa jako podmiotu wypełniającego swoje konstytucyjne zobowiązania wobec obywateli oraz reprezentującego słabszą stronę umowy pomiędzy obywatelem a bankiem, którą zawsze stanowi obywatel.</w:t>
      </w:r>
    </w:p>
    <w:p w14:paraId="7F068861"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62"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Proponowana ustawa obniży zyski sektora bankowego, który do tej pory znacząco zyskiwał na sytuacji ekonomicznej, przerzucając koszty na indywidualne gospodarstwa domowe. Sytuacja sektora bankowego w Polsce jest stabilna i projektodawca nie przewiduje, żeby spadek zysków miał negatywnie odbić się na polskiej gospodarce.</w:t>
      </w:r>
    </w:p>
    <w:p w14:paraId="7F068863"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64" w14:textId="77777777" w:rsidR="00C379F9" w:rsidRDefault="001450B1">
      <w:pPr>
        <w:pStyle w:val="Nagwek3"/>
        <w:widowControl w:val="0"/>
        <w:numPr>
          <w:ilvl w:val="0"/>
          <w:numId w:val="2"/>
        </w:numPr>
        <w:spacing w:before="0" w:after="0" w:line="360" w:lineRule="auto"/>
        <w:jc w:val="both"/>
        <w:rPr>
          <w:rFonts w:ascii="Times New Roman" w:eastAsia="Times New Roman" w:hAnsi="Times New Roman" w:cs="Times New Roman"/>
          <w:b/>
          <w:sz w:val="24"/>
          <w:szCs w:val="24"/>
        </w:rPr>
      </w:pPr>
      <w:bookmarkStart w:id="5" w:name="_t9qm41igyxgj" w:colFirst="0" w:colLast="0"/>
      <w:bookmarkEnd w:id="5"/>
      <w:r>
        <w:rPr>
          <w:rFonts w:ascii="Times New Roman" w:eastAsia="Times New Roman" w:hAnsi="Times New Roman" w:cs="Times New Roman"/>
          <w:b/>
          <w:color w:val="000000"/>
          <w:sz w:val="24"/>
          <w:szCs w:val="24"/>
        </w:rPr>
        <w:t>Finansowanie</w:t>
      </w:r>
    </w:p>
    <w:p w14:paraId="7F068865"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66" w14:textId="54433CE4"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 nie zakłada</w:t>
      </w:r>
      <w:r w:rsidR="00E11186">
        <w:rPr>
          <w:rFonts w:ascii="Times New Roman" w:eastAsia="Times New Roman" w:hAnsi="Times New Roman" w:cs="Times New Roman"/>
          <w:sz w:val="24"/>
          <w:szCs w:val="24"/>
        </w:rPr>
        <w:t xml:space="preserve"> </w:t>
      </w:r>
      <w:r w:rsidR="009B2512">
        <w:rPr>
          <w:rFonts w:ascii="Times New Roman" w:eastAsia="Times New Roman" w:hAnsi="Times New Roman" w:cs="Times New Roman"/>
          <w:sz w:val="24"/>
          <w:szCs w:val="24"/>
        </w:rPr>
        <w:t>wprowadzenia rozwiązań wymagających finansowania ze strony budżetu państwa.</w:t>
      </w:r>
    </w:p>
    <w:p w14:paraId="7F068867"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68" w14:textId="77777777" w:rsidR="00C379F9" w:rsidRDefault="001450B1">
      <w:pPr>
        <w:pStyle w:val="Nagwek3"/>
        <w:widowControl w:val="0"/>
        <w:numPr>
          <w:ilvl w:val="0"/>
          <w:numId w:val="2"/>
        </w:numPr>
        <w:spacing w:before="0" w:after="0" w:line="360" w:lineRule="auto"/>
        <w:jc w:val="both"/>
        <w:rPr>
          <w:rFonts w:ascii="Times New Roman" w:eastAsia="Times New Roman" w:hAnsi="Times New Roman" w:cs="Times New Roman"/>
          <w:b/>
          <w:sz w:val="24"/>
          <w:szCs w:val="24"/>
        </w:rPr>
      </w:pPr>
      <w:bookmarkStart w:id="6" w:name="_281wi0ou8tbr" w:colFirst="0" w:colLast="0"/>
      <w:bookmarkEnd w:id="6"/>
      <w:r>
        <w:rPr>
          <w:rFonts w:ascii="Times New Roman" w:eastAsia="Times New Roman" w:hAnsi="Times New Roman" w:cs="Times New Roman"/>
          <w:b/>
          <w:color w:val="000000"/>
          <w:sz w:val="24"/>
          <w:szCs w:val="24"/>
        </w:rPr>
        <w:lastRenderedPageBreak/>
        <w:t>Założenia projektów podstawowych aktów wykonawczych</w:t>
      </w:r>
    </w:p>
    <w:p w14:paraId="7F068869"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Projekt ustawy nie zakłada wydania dodatkowych aktów wykonawczych.</w:t>
      </w:r>
    </w:p>
    <w:p w14:paraId="7F06886A"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6B" w14:textId="77777777" w:rsidR="00C379F9" w:rsidRDefault="001450B1">
      <w:pPr>
        <w:pStyle w:val="Nagwek3"/>
        <w:widowControl w:val="0"/>
        <w:numPr>
          <w:ilvl w:val="0"/>
          <w:numId w:val="2"/>
        </w:numPr>
        <w:spacing w:before="0" w:after="0" w:line="360" w:lineRule="auto"/>
        <w:jc w:val="both"/>
        <w:rPr>
          <w:rFonts w:ascii="Times New Roman" w:eastAsia="Times New Roman" w:hAnsi="Times New Roman" w:cs="Times New Roman"/>
          <w:b/>
          <w:sz w:val="24"/>
          <w:szCs w:val="24"/>
        </w:rPr>
      </w:pPr>
      <w:bookmarkStart w:id="7" w:name="_s6nibip3dt3x" w:colFirst="0" w:colLast="0"/>
      <w:bookmarkEnd w:id="7"/>
      <w:r>
        <w:rPr>
          <w:rFonts w:ascii="Times New Roman" w:eastAsia="Times New Roman" w:hAnsi="Times New Roman" w:cs="Times New Roman"/>
          <w:b/>
          <w:color w:val="000000"/>
          <w:sz w:val="24"/>
          <w:szCs w:val="24"/>
        </w:rPr>
        <w:t>Oświadczenie o zgodności projektu ustawy z prawem Unii Europejskiej.</w:t>
      </w:r>
    </w:p>
    <w:p w14:paraId="7F06886C" w14:textId="77777777" w:rsidR="00C379F9" w:rsidRDefault="00C379F9">
      <w:pPr>
        <w:ind w:left="720"/>
      </w:pPr>
    </w:p>
    <w:p w14:paraId="7F06886D"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Proponowana ustawa jest zgodna z prawem Unii Europejskiej.</w:t>
      </w:r>
    </w:p>
    <w:p w14:paraId="7F06886E"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6F" w14:textId="77777777" w:rsidR="00C379F9" w:rsidRDefault="001450B1">
      <w:pPr>
        <w:pStyle w:val="Nagwek3"/>
        <w:widowControl w:val="0"/>
        <w:numPr>
          <w:ilvl w:val="0"/>
          <w:numId w:val="2"/>
        </w:numPr>
        <w:spacing w:before="0" w:after="0" w:line="360" w:lineRule="auto"/>
        <w:jc w:val="both"/>
        <w:rPr>
          <w:rFonts w:ascii="Times New Roman" w:eastAsia="Times New Roman" w:hAnsi="Times New Roman" w:cs="Times New Roman"/>
          <w:b/>
          <w:sz w:val="24"/>
          <w:szCs w:val="24"/>
        </w:rPr>
      </w:pPr>
      <w:bookmarkStart w:id="8" w:name="_kzdaks9uoykm" w:colFirst="0" w:colLast="0"/>
      <w:bookmarkEnd w:id="8"/>
      <w:r>
        <w:rPr>
          <w:rFonts w:ascii="Times New Roman" w:eastAsia="Times New Roman" w:hAnsi="Times New Roman" w:cs="Times New Roman"/>
          <w:b/>
          <w:color w:val="000000"/>
          <w:sz w:val="24"/>
          <w:szCs w:val="24"/>
        </w:rPr>
        <w:t>Oświadczenie o zgodności z Konstytucją RP</w:t>
      </w:r>
    </w:p>
    <w:p w14:paraId="7F068870"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71"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ocenie wnioskodawcy proponowane przepisy są zgodne z Konstytucją RP, a wręcz stanowią realizację jej zasad, zwłaszcza przytaczanego wcześniej art. 75, który mówi o obowiązku władz publicznych w zakresie sprzyjania zaspokajania potrzeb mieszkaniowych obywateli.</w:t>
      </w:r>
    </w:p>
    <w:p w14:paraId="7F068872"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73" w14:textId="77777777" w:rsidR="00C379F9" w:rsidRDefault="001450B1">
      <w:pPr>
        <w:pStyle w:val="Nagwek3"/>
        <w:widowControl w:val="0"/>
        <w:numPr>
          <w:ilvl w:val="0"/>
          <w:numId w:val="2"/>
        </w:numPr>
        <w:spacing w:before="0" w:after="0" w:line="360" w:lineRule="auto"/>
        <w:jc w:val="both"/>
        <w:rPr>
          <w:rFonts w:ascii="Times New Roman" w:eastAsia="Times New Roman" w:hAnsi="Times New Roman" w:cs="Times New Roman"/>
          <w:b/>
          <w:sz w:val="24"/>
          <w:szCs w:val="24"/>
        </w:rPr>
      </w:pPr>
      <w:bookmarkStart w:id="9" w:name="_206ubo7dj45a" w:colFirst="0" w:colLast="0"/>
      <w:bookmarkEnd w:id="9"/>
      <w:r>
        <w:rPr>
          <w:rFonts w:ascii="Times New Roman" w:eastAsia="Times New Roman" w:hAnsi="Times New Roman" w:cs="Times New Roman"/>
          <w:b/>
          <w:color w:val="000000"/>
          <w:sz w:val="24"/>
          <w:szCs w:val="24"/>
        </w:rPr>
        <w:t>Wpływ na działalność mikroprzedsiębiorców oraz małych i średnich przedsiębiorców</w:t>
      </w:r>
    </w:p>
    <w:p w14:paraId="7F068874" w14:textId="77777777" w:rsidR="00C379F9" w:rsidRDefault="00C379F9">
      <w:pPr>
        <w:widowControl w:val="0"/>
        <w:spacing w:line="360" w:lineRule="auto"/>
        <w:jc w:val="both"/>
        <w:rPr>
          <w:rFonts w:ascii="Times New Roman" w:eastAsia="Times New Roman" w:hAnsi="Times New Roman" w:cs="Times New Roman"/>
          <w:sz w:val="24"/>
          <w:szCs w:val="24"/>
        </w:rPr>
      </w:pPr>
    </w:p>
    <w:p w14:paraId="7F068875" w14:textId="77777777" w:rsidR="00C379F9" w:rsidRDefault="001450B1">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 ustawy nie dotyczy działalności mikroprzedsiębiorców oraz małych i średnich przedsiębiorców.</w:t>
      </w:r>
    </w:p>
    <w:p w14:paraId="7F068876" w14:textId="77777777" w:rsidR="00C379F9" w:rsidRDefault="00C379F9">
      <w:pPr>
        <w:rPr>
          <w:rFonts w:ascii="Times New Roman" w:eastAsia="Times New Roman" w:hAnsi="Times New Roman" w:cs="Times New Roman"/>
          <w:sz w:val="24"/>
          <w:szCs w:val="24"/>
        </w:rPr>
      </w:pPr>
    </w:p>
    <w:sectPr w:rsidR="00C379F9" w:rsidSect="00907A68">
      <w:footerReference w:type="default" r:id="rId7"/>
      <w:pgSz w:w="12240" w:h="15840"/>
      <w:pgMar w:top="1440" w:right="1440" w:bottom="1440" w:left="1440" w:header="720" w:footer="720" w:gutter="0"/>
      <w:pgNumType w:start="5"/>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88A409" w14:textId="77777777" w:rsidR="00D956B8" w:rsidRDefault="00D956B8">
      <w:pPr>
        <w:spacing w:line="240" w:lineRule="auto"/>
      </w:pPr>
      <w:r>
        <w:separator/>
      </w:r>
    </w:p>
  </w:endnote>
  <w:endnote w:type="continuationSeparator" w:id="0">
    <w:p w14:paraId="7474678F" w14:textId="77777777" w:rsidR="00D956B8" w:rsidRDefault="00D956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92509947"/>
      <w:docPartObj>
        <w:docPartGallery w:val="Page Numbers (Bottom of Page)"/>
        <w:docPartUnique/>
      </w:docPartObj>
    </w:sdtPr>
    <w:sdtEndPr/>
    <w:sdtContent>
      <w:p w14:paraId="68738316" w14:textId="61B3D237" w:rsidR="00E11186" w:rsidRPr="00E11186" w:rsidRDefault="00E11186">
        <w:pPr>
          <w:pStyle w:val="Stopka"/>
          <w:jc w:val="center"/>
          <w:rPr>
            <w:rFonts w:ascii="Times New Roman" w:hAnsi="Times New Roman" w:cs="Times New Roman"/>
          </w:rPr>
        </w:pPr>
        <w:r w:rsidRPr="00E11186">
          <w:rPr>
            <w:rFonts w:ascii="Times New Roman" w:hAnsi="Times New Roman" w:cs="Times New Roman"/>
          </w:rPr>
          <w:fldChar w:fldCharType="begin"/>
        </w:r>
        <w:r w:rsidRPr="00E11186">
          <w:rPr>
            <w:rFonts w:ascii="Times New Roman" w:hAnsi="Times New Roman" w:cs="Times New Roman"/>
          </w:rPr>
          <w:instrText>PAGE   \* MERGEFORMAT</w:instrText>
        </w:r>
        <w:r w:rsidRPr="00E11186">
          <w:rPr>
            <w:rFonts w:ascii="Times New Roman" w:hAnsi="Times New Roman" w:cs="Times New Roman"/>
          </w:rPr>
          <w:fldChar w:fldCharType="separate"/>
        </w:r>
        <w:r w:rsidR="00907A68" w:rsidRPr="00907A68">
          <w:rPr>
            <w:rFonts w:ascii="Times New Roman" w:hAnsi="Times New Roman" w:cs="Times New Roman"/>
            <w:noProof/>
            <w:lang w:val="pl-PL"/>
          </w:rPr>
          <w:t>6</w:t>
        </w:r>
        <w:r w:rsidRPr="00E11186">
          <w:rPr>
            <w:rFonts w:ascii="Times New Roman" w:hAnsi="Times New Roman" w:cs="Times New Roman"/>
          </w:rPr>
          <w:fldChar w:fldCharType="end"/>
        </w:r>
      </w:p>
    </w:sdtContent>
  </w:sdt>
  <w:p w14:paraId="469BB7DC" w14:textId="77777777" w:rsidR="00E11186" w:rsidRPr="00E11186" w:rsidRDefault="00E11186">
    <w:pPr>
      <w:pStyle w:val="Stopka"/>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253F0E" w14:textId="77777777" w:rsidR="00D956B8" w:rsidRDefault="00D956B8">
      <w:pPr>
        <w:spacing w:line="240" w:lineRule="auto"/>
      </w:pPr>
      <w:r>
        <w:separator/>
      </w:r>
    </w:p>
  </w:footnote>
  <w:footnote w:type="continuationSeparator" w:id="0">
    <w:p w14:paraId="50245221" w14:textId="77777777" w:rsidR="00D956B8" w:rsidRDefault="00D956B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F14549"/>
    <w:multiLevelType w:val="multilevel"/>
    <w:tmpl w:val="8946B88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84C72D7"/>
    <w:multiLevelType w:val="multilevel"/>
    <w:tmpl w:val="F1B8E398"/>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89F67E0"/>
    <w:multiLevelType w:val="multilevel"/>
    <w:tmpl w:val="7632ED0E"/>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A087BDB"/>
    <w:multiLevelType w:val="multilevel"/>
    <w:tmpl w:val="A7F265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9F9"/>
    <w:rsid w:val="001450B1"/>
    <w:rsid w:val="00907A68"/>
    <w:rsid w:val="009B2512"/>
    <w:rsid w:val="00C379F9"/>
    <w:rsid w:val="00D956B8"/>
    <w:rsid w:val="00E11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8817"/>
  <w15:docId w15:val="{34EEBA73-F63E-4C55-8424-BBE920DA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Nagwek">
    <w:name w:val="header"/>
    <w:basedOn w:val="Normalny"/>
    <w:link w:val="NagwekZnak"/>
    <w:uiPriority w:val="99"/>
    <w:unhideWhenUsed/>
    <w:rsid w:val="00E11186"/>
    <w:pPr>
      <w:tabs>
        <w:tab w:val="center" w:pos="4536"/>
        <w:tab w:val="right" w:pos="9072"/>
      </w:tabs>
      <w:spacing w:line="240" w:lineRule="auto"/>
    </w:pPr>
  </w:style>
  <w:style w:type="character" w:customStyle="1" w:styleId="NagwekZnak">
    <w:name w:val="Nagłówek Znak"/>
    <w:basedOn w:val="Domylnaczcionkaakapitu"/>
    <w:link w:val="Nagwek"/>
    <w:uiPriority w:val="99"/>
    <w:rsid w:val="00E11186"/>
  </w:style>
  <w:style w:type="paragraph" w:styleId="Stopka">
    <w:name w:val="footer"/>
    <w:basedOn w:val="Normalny"/>
    <w:link w:val="StopkaZnak"/>
    <w:uiPriority w:val="99"/>
    <w:unhideWhenUsed/>
    <w:rsid w:val="00E11186"/>
    <w:pPr>
      <w:tabs>
        <w:tab w:val="center" w:pos="4536"/>
        <w:tab w:val="right" w:pos="9072"/>
      </w:tabs>
      <w:spacing w:line="240" w:lineRule="auto"/>
    </w:pPr>
  </w:style>
  <w:style w:type="character" w:customStyle="1" w:styleId="StopkaZnak">
    <w:name w:val="Stopka Znak"/>
    <w:basedOn w:val="Domylnaczcionkaakapitu"/>
    <w:link w:val="Stopka"/>
    <w:uiPriority w:val="99"/>
    <w:rsid w:val="00E11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956</Words>
  <Characters>5741</Characters>
  <Application>Microsoft Office Word</Application>
  <DocSecurity>0</DocSecurity>
  <Lines>47</Lines>
  <Paragraphs>13</Paragraphs>
  <ScaleCrop>false</ScaleCrop>
  <Company/>
  <LinksUpToDate>false</LinksUpToDate>
  <CharactersWithSpaces>6684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Koba</dc:creator>
  <cp:lastModifiedBy>Grzegorz Molesztak</cp:lastModifiedBy>
  <cp:revision>4</cp:revision>
  <dcterms:created xsi:type="dcterms:W3CDTF">2022-04-07T13:43:00Z</dcterms:created>
  <dcterms:modified xsi:type="dcterms:W3CDTF">2022-05-17T13:12:00Z</dcterms:modified>
</cp:coreProperties>
</file>