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1B" w14:textId="77777777" w:rsidR="009F0365" w:rsidRDefault="00CB08B9">
      <w:pPr>
        <w:rPr>
          <w:b/>
        </w:rPr>
      </w:pPr>
      <w:bookmarkStart w:id="0" w:name="_GoBack"/>
      <w:bookmarkEnd w:id="0"/>
      <w:r>
        <w:rPr>
          <w:b/>
        </w:rPr>
        <w:t>Uzasadnienie</w:t>
      </w:r>
    </w:p>
    <w:p w14:paraId="0000001C" w14:textId="77777777" w:rsidR="009F0365" w:rsidRDefault="009F0365"/>
    <w:p w14:paraId="0000001D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Projekt ustawy ma na celu rozszerzenie kręgu osób (kredytobiorców), które mogą skorzystać z pomocy Funduszu.</w:t>
      </w:r>
    </w:p>
    <w:p w14:paraId="0000001E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Fundusz Wsparcia Kredytobiorców przeznaczony jest dla osób fizycznych, które znalazły się w trudnej sytuacji finansowej, a są zobowiązane do spłaty rat kredytu mieszkaniowego znacznie obciążającego domowy budżet.</w:t>
      </w:r>
    </w:p>
    <w:p w14:paraId="0000001F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Fundusz Wsparcia Kredytobiorców działa od 2</w:t>
      </w:r>
      <w:r>
        <w:rPr>
          <w:rFonts w:ascii="Times" w:eastAsia="Times" w:hAnsi="Times" w:cs="Times"/>
          <w:color w:val="000000"/>
          <w:szCs w:val="24"/>
        </w:rPr>
        <w:t>020 r. i można otrzymać z niego nawet 72 tys. zł rozłożone na 36 transz po 2 tys. zł każda.</w:t>
      </w:r>
    </w:p>
    <w:p w14:paraId="00000020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 xml:space="preserve">Po spłacie kredytu </w:t>
      </w:r>
      <w:r>
        <w:rPr>
          <w:rFonts w:ascii="Times" w:eastAsia="Times" w:hAnsi="Times" w:cs="Times"/>
        </w:rPr>
        <w:t>jest</w:t>
      </w:r>
      <w:r>
        <w:rPr>
          <w:rFonts w:ascii="Times" w:eastAsia="Times" w:hAnsi="Times" w:cs="Times"/>
          <w:color w:val="000000"/>
          <w:szCs w:val="24"/>
        </w:rPr>
        <w:t xml:space="preserve"> jeszcze dwa lata na ustabilizowanie swojej sytuacji finansowej. Spłata zostanie podzielona na 144 raty po 500 zł. Na spłacających regularnie</w:t>
      </w:r>
      <w:r>
        <w:rPr>
          <w:rFonts w:ascii="Times" w:eastAsia="Times" w:hAnsi="Times" w:cs="Times"/>
          <w:color w:val="000000"/>
          <w:szCs w:val="24"/>
        </w:rPr>
        <w:t xml:space="preserve"> i terminowo swoje należności czeka dodatkowy bonus. Jeśli bez opóźnień spłacone zostanie 100 rat, pozostałe będą umorzone. Chodzi dokładnie o umorzenie ostatnich 44 rat, czyli 22 tys. zł.</w:t>
      </w:r>
    </w:p>
    <w:p w14:paraId="00000021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Wsparcie przeznaczone jest dla osób prywatnych. Aby ubiegać się o w</w:t>
      </w:r>
      <w:r>
        <w:rPr>
          <w:rFonts w:ascii="Times" w:eastAsia="Times" w:hAnsi="Times" w:cs="Times"/>
          <w:color w:val="000000"/>
          <w:szCs w:val="24"/>
        </w:rPr>
        <w:t>sparcie z Funduszu Wsparcia Kredytobiorców, należy spełnić chociaż jeden z trzech poniższych warunków</w:t>
      </w:r>
      <w:r>
        <w:rPr>
          <w:rFonts w:ascii="Times" w:eastAsia="Times" w:hAnsi="Times" w:cs="Times"/>
        </w:rPr>
        <w:t>:</w:t>
      </w:r>
    </w:p>
    <w:p w14:paraId="00000022" w14:textId="77777777" w:rsidR="009F0365" w:rsidRDefault="00CB08B9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w</w:t>
      </w:r>
      <w:r>
        <w:rPr>
          <w:rFonts w:ascii="Times" w:eastAsia="Times" w:hAnsi="Times" w:cs="Times"/>
          <w:color w:val="000000"/>
          <w:szCs w:val="24"/>
        </w:rPr>
        <w:t xml:space="preserve"> dniu złożenia wniosku co najmniej jeden z kredytobiorców musi mieć status bezrobotnego;</w:t>
      </w:r>
    </w:p>
    <w:p w14:paraId="00000023" w14:textId="77777777" w:rsidR="009F0365" w:rsidRDefault="00CB08B9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m</w:t>
      </w:r>
      <w:r>
        <w:rPr>
          <w:rFonts w:ascii="Times" w:eastAsia="Times" w:hAnsi="Times" w:cs="Times"/>
          <w:color w:val="000000"/>
          <w:szCs w:val="24"/>
        </w:rPr>
        <w:t>iesięczne koszty obsługi kredytu przekraczają połowę miesięcznych dochodów gospodarstwa domowego;</w:t>
      </w:r>
    </w:p>
    <w:p w14:paraId="00000024" w14:textId="77777777" w:rsidR="009F0365" w:rsidRDefault="00CB08B9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m</w:t>
      </w:r>
      <w:r>
        <w:rPr>
          <w:rFonts w:ascii="Times" w:eastAsia="Times" w:hAnsi="Times" w:cs="Times"/>
          <w:color w:val="000000"/>
          <w:szCs w:val="24"/>
        </w:rPr>
        <w:t xml:space="preserve">iesięczny dochód po odjęciu raty kredytu nie przekracza 1552 zł dla gospodarstwa jednoosobowego i 1200 zł na osobę w gospodarstwie wieloosobowym (kwoty od 1 </w:t>
      </w:r>
      <w:r>
        <w:rPr>
          <w:rFonts w:ascii="Times" w:eastAsia="Times" w:hAnsi="Times" w:cs="Times"/>
          <w:color w:val="000000"/>
          <w:szCs w:val="24"/>
        </w:rPr>
        <w:t>stycznia 2022 r.).</w:t>
      </w:r>
    </w:p>
    <w:p w14:paraId="00000025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 xml:space="preserve">Środki, którymi dysponuje Fundusz, pochodzą z wpłat banków i są powiązane z liczbą kredytów hipotecznych z zaległościami dłuższymi niż 90 dni. Fundusz działa na podstawie ustawy </w:t>
      </w:r>
      <w:r>
        <w:rPr>
          <w:rFonts w:ascii="Times" w:eastAsia="Times" w:hAnsi="Times" w:cs="Times"/>
        </w:rPr>
        <w:t xml:space="preserve">z dnia 9 października 2015 r. </w:t>
      </w:r>
      <w:r>
        <w:rPr>
          <w:rFonts w:ascii="Times" w:eastAsia="Times" w:hAnsi="Times" w:cs="Times"/>
          <w:color w:val="000000"/>
          <w:szCs w:val="24"/>
        </w:rPr>
        <w:t>o wsparciu kredytobiorców, kt</w:t>
      </w:r>
      <w:r>
        <w:rPr>
          <w:rFonts w:ascii="Times" w:eastAsia="Times" w:hAnsi="Times" w:cs="Times"/>
          <w:color w:val="000000"/>
          <w:szCs w:val="24"/>
        </w:rPr>
        <w:t>órzy zaciągnęli kredyt mieszkaniowy i znajdują się w trudnej sytuacji finansowej</w:t>
      </w:r>
      <w:r>
        <w:rPr>
          <w:rFonts w:ascii="Times" w:eastAsia="Times" w:hAnsi="Times" w:cs="Times"/>
        </w:rPr>
        <w:t>.</w:t>
      </w:r>
    </w:p>
    <w:p w14:paraId="00000026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Aktualnie środki Funduszu Wsparcia Kredytobiorców wynosiły 607,4 mln zł na koniec 2021 r. (</w:t>
      </w:r>
      <w:r>
        <w:rPr>
          <w:rFonts w:ascii="Times" w:eastAsia="Times" w:hAnsi="Times" w:cs="Times"/>
        </w:rPr>
        <w:t>“</w:t>
      </w:r>
      <w:r>
        <w:rPr>
          <w:rFonts w:ascii="Times" w:eastAsia="Times" w:hAnsi="Times" w:cs="Times"/>
          <w:color w:val="000000"/>
          <w:szCs w:val="24"/>
        </w:rPr>
        <w:t>W tym momencie środki na jego koncie wynoszą na dzień 31 grudnia 2021 r. 607,4 mln</w:t>
      </w:r>
      <w:r>
        <w:rPr>
          <w:rFonts w:ascii="Times" w:eastAsia="Times" w:hAnsi="Times" w:cs="Times"/>
          <w:color w:val="000000"/>
          <w:szCs w:val="24"/>
        </w:rPr>
        <w:t xml:space="preserve"> zł. W tym roku widzimy znaczne zainteresowanie funkcjonowaniem tego funduszu. Do dnia 31 grudnia wypłacono wypłaty w kwocie ponad 20 mln zł" - powiedział wiceminister finansów Piotr Patkowski w Sejmie, odpowiadając na pytania posłów.)</w:t>
      </w:r>
    </w:p>
    <w:p w14:paraId="00000027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lastRenderedPageBreak/>
        <w:t xml:space="preserve">Aktualnie określone </w:t>
      </w:r>
      <w:r>
        <w:rPr>
          <w:rFonts w:ascii="Times" w:eastAsia="Times" w:hAnsi="Times" w:cs="Times"/>
          <w:color w:val="000000"/>
          <w:szCs w:val="24"/>
        </w:rPr>
        <w:t>w ustawie limity pomocy udzielanej kredytobiorc</w:t>
      </w:r>
      <w:r>
        <w:rPr>
          <w:rFonts w:ascii="Times" w:eastAsia="Times" w:hAnsi="Times" w:cs="Times"/>
        </w:rPr>
        <w:t>om</w:t>
      </w:r>
      <w:r>
        <w:rPr>
          <w:rFonts w:ascii="Times" w:eastAsia="Times" w:hAnsi="Times" w:cs="Times"/>
          <w:color w:val="000000"/>
          <w:szCs w:val="24"/>
        </w:rPr>
        <w:t xml:space="preserve"> są nieadekwatne do sytuacji ekonomicznej w kraju. Na skutek wzrostu inflacji i gwałtownego wzrostu st</w:t>
      </w:r>
      <w:r>
        <w:rPr>
          <w:rFonts w:ascii="Times" w:eastAsia="Times" w:hAnsi="Times" w:cs="Times"/>
        </w:rPr>
        <w:t>ó</w:t>
      </w:r>
      <w:r>
        <w:rPr>
          <w:rFonts w:ascii="Times" w:eastAsia="Times" w:hAnsi="Times" w:cs="Times"/>
          <w:color w:val="000000"/>
          <w:szCs w:val="24"/>
        </w:rPr>
        <w:t>p procentowych znacząco zwiększyła się liczba kredytów, które mogą być zagrożone nieterminową spłatą. Na</w:t>
      </w:r>
      <w:r>
        <w:rPr>
          <w:rFonts w:ascii="Times" w:eastAsia="Times" w:hAnsi="Times" w:cs="Times"/>
          <w:color w:val="000000"/>
          <w:szCs w:val="24"/>
        </w:rPr>
        <w:t>wet sam wiceminister finansów przyznaje, że zauważono znaczący wzrost zainteresowania udzielaną przez Fundusz pomocą.</w:t>
      </w:r>
    </w:p>
    <w:p w14:paraId="00000028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 xml:space="preserve">W zaistniałej sytuacji konieczne jest urealnienie limitów dochodowych uprawniających do skorzystania z funduszu  poprzez ich podwyższenie </w:t>
      </w:r>
      <w:r>
        <w:rPr>
          <w:rFonts w:ascii="Times" w:eastAsia="Times" w:hAnsi="Times" w:cs="Times"/>
          <w:color w:val="000000"/>
          <w:szCs w:val="24"/>
        </w:rPr>
        <w:t>i niełączenie z limitami wskazanymi w art. 8 ust. 1 pkt 1 lub 2 lub 2  ustawy z dnia 12 marca 2004 r. o pomocy społecznej.</w:t>
      </w:r>
    </w:p>
    <w:p w14:paraId="00000029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 xml:space="preserve">Z tym samych względów konieczne jest również </w:t>
      </w:r>
      <w:r>
        <w:rPr>
          <w:rFonts w:ascii="Times" w:eastAsia="Times" w:hAnsi="Times" w:cs="Times"/>
        </w:rPr>
        <w:t>podniesienie</w:t>
      </w:r>
      <w:r>
        <w:rPr>
          <w:rFonts w:ascii="Times" w:eastAsia="Times" w:hAnsi="Times" w:cs="Times"/>
          <w:color w:val="000000"/>
          <w:szCs w:val="24"/>
        </w:rPr>
        <w:t xml:space="preserve"> ustawowego limitu </w:t>
      </w:r>
      <w:r>
        <w:rPr>
          <w:rFonts w:ascii="Times" w:eastAsia="Times" w:hAnsi="Times" w:cs="Times"/>
        </w:rPr>
        <w:t>jednej transzy</w:t>
      </w:r>
      <w:r>
        <w:rPr>
          <w:rFonts w:ascii="Times" w:eastAsia="Times" w:hAnsi="Times" w:cs="Times"/>
          <w:color w:val="000000"/>
          <w:szCs w:val="24"/>
        </w:rPr>
        <w:t xml:space="preserve"> </w:t>
      </w:r>
      <w:r>
        <w:rPr>
          <w:rFonts w:ascii="Times" w:eastAsia="Times" w:hAnsi="Times" w:cs="Times"/>
        </w:rPr>
        <w:t>wsparcia</w:t>
      </w:r>
      <w:r>
        <w:rPr>
          <w:rFonts w:ascii="Times" w:eastAsia="Times" w:hAnsi="Times" w:cs="Times"/>
          <w:color w:val="000000"/>
          <w:szCs w:val="24"/>
        </w:rPr>
        <w:t xml:space="preserve"> z 2000 zł na 4000 zł</w:t>
      </w:r>
      <w:r>
        <w:rPr>
          <w:rFonts w:ascii="Times" w:eastAsia="Times" w:hAnsi="Times" w:cs="Times"/>
        </w:rPr>
        <w:t>, przy jednoc</w:t>
      </w:r>
      <w:r>
        <w:rPr>
          <w:rFonts w:ascii="Times" w:eastAsia="Times" w:hAnsi="Times" w:cs="Times"/>
        </w:rPr>
        <w:t xml:space="preserve">zesnym utrzymaniu kwoty całkowitego limitu, a zmniejszeniu liczby transz. </w:t>
      </w:r>
    </w:p>
    <w:p w14:paraId="0000002A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Z uwagi na duże środki zgromadzone w Funduszu nie będzie miał on problemów z wypłatą wsparcia w zwiększonych kwotach.</w:t>
      </w:r>
    </w:p>
    <w:p w14:paraId="0000002B" w14:textId="77777777" w:rsidR="009F0365" w:rsidRDefault="009F0365"/>
    <w:p w14:paraId="0000002C" w14:textId="77777777" w:rsidR="009F0365" w:rsidRDefault="00CB08B9">
      <w:pPr>
        <w:rPr>
          <w:b/>
        </w:rPr>
      </w:pPr>
      <w:r>
        <w:rPr>
          <w:b/>
        </w:rPr>
        <w:t>Ocena skutków regulacji</w:t>
      </w:r>
    </w:p>
    <w:p w14:paraId="0000002D" w14:textId="77777777" w:rsidR="009F0365" w:rsidRDefault="009F0365"/>
    <w:p w14:paraId="0000002E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b/>
          <w:color w:val="000000"/>
          <w:szCs w:val="24"/>
        </w:rPr>
      </w:pPr>
      <w:r>
        <w:rPr>
          <w:rFonts w:ascii="Times" w:eastAsia="Times" w:hAnsi="Times" w:cs="Times"/>
          <w:b/>
          <w:color w:val="000000"/>
          <w:szCs w:val="24"/>
        </w:rPr>
        <w:t>Istota projektu</w:t>
      </w:r>
    </w:p>
    <w:p w14:paraId="0000002F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 xml:space="preserve">Projekt ustawy ma na celu otwarcie </w:t>
      </w:r>
      <w:r>
        <w:rPr>
          <w:rFonts w:ascii="Times" w:eastAsia="Times" w:hAnsi="Times" w:cs="Times"/>
        </w:rPr>
        <w:t>dla szerszej grupy kredytobiorców</w:t>
      </w:r>
      <w:r>
        <w:rPr>
          <w:rFonts w:ascii="Times" w:eastAsia="Times" w:hAnsi="Times" w:cs="Times"/>
          <w:color w:val="000000"/>
          <w:szCs w:val="24"/>
        </w:rPr>
        <w:t xml:space="preserve"> pomocy, która może być udzielona przez Fundusz. W aktualnej sytuacji ekonomicznej, w związku z gwałtownym wzrostem oprocentowania kredytów i inflacją, dotychczasowe limity określone w ust</w:t>
      </w:r>
      <w:r>
        <w:rPr>
          <w:rFonts w:ascii="Times" w:eastAsia="Times" w:hAnsi="Times" w:cs="Times"/>
          <w:color w:val="000000"/>
          <w:szCs w:val="24"/>
        </w:rPr>
        <w:t xml:space="preserve">awie są nieadekwatne. W najgorszym </w:t>
      </w:r>
      <w:r>
        <w:rPr>
          <w:rFonts w:ascii="Times" w:eastAsia="Times" w:hAnsi="Times" w:cs="Times"/>
        </w:rPr>
        <w:t>scenariuszu</w:t>
      </w:r>
      <w:r>
        <w:rPr>
          <w:rFonts w:ascii="Times" w:eastAsia="Times" w:hAnsi="Times" w:cs="Times"/>
          <w:color w:val="000000"/>
          <w:szCs w:val="24"/>
        </w:rPr>
        <w:t xml:space="preserve"> przy ich utrzymaniu nawet osoba, która dostanie wsparcie z Funduszu, nie będzie w stanie spłacić rosnących rat kredytu. </w:t>
      </w:r>
    </w:p>
    <w:p w14:paraId="00000030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W projekcie proponuje się z jednej strony dostosowanie warunków udzielenia pomocy do inf</w:t>
      </w:r>
      <w:r>
        <w:rPr>
          <w:rFonts w:ascii="Times" w:eastAsia="Times" w:hAnsi="Times" w:cs="Times"/>
          <w:color w:val="000000"/>
          <w:szCs w:val="24"/>
        </w:rPr>
        <w:t xml:space="preserve">lacji, z drugiej podniesienie do 4000 zł górnej granicy udzielonego miesięcznie wsparcia.  </w:t>
      </w:r>
    </w:p>
    <w:p w14:paraId="00000031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b/>
          <w:color w:val="000000"/>
          <w:szCs w:val="24"/>
        </w:rPr>
        <w:t xml:space="preserve">Koszty wprowadzenia zmian </w:t>
      </w:r>
      <w:r>
        <w:rPr>
          <w:rFonts w:ascii="Times" w:eastAsia="Times" w:hAnsi="Times" w:cs="Times"/>
          <w:color w:val="000000"/>
          <w:szCs w:val="24"/>
        </w:rPr>
        <w:t xml:space="preserve"> </w:t>
      </w:r>
    </w:p>
    <w:p w14:paraId="00000032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</w:rPr>
        <w:t>Ś</w:t>
      </w:r>
      <w:r>
        <w:rPr>
          <w:rFonts w:ascii="Times" w:eastAsia="Times" w:hAnsi="Times" w:cs="Times"/>
          <w:color w:val="000000"/>
          <w:szCs w:val="24"/>
        </w:rPr>
        <w:t xml:space="preserve">rodki Funduszu Wsparcia Kredytobiorców wynosiły 607,4 mln zł na koniec 2021 r. </w:t>
      </w:r>
    </w:p>
    <w:p w14:paraId="00000033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Z danych przedstawionych przez Bank Gospodarstwa Krajow</w:t>
      </w:r>
      <w:r>
        <w:rPr>
          <w:rFonts w:ascii="Times" w:eastAsia="Times" w:hAnsi="Times" w:cs="Times"/>
          <w:color w:val="000000"/>
          <w:szCs w:val="24"/>
        </w:rPr>
        <w:t>ego wynika, że dotychczas z pomocy skorzystało 1500 gospodarstw domowych.</w:t>
      </w:r>
    </w:p>
    <w:p w14:paraId="00000034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 xml:space="preserve">Przyjmując założenie wzrostu przyjętych wniosków do 3000 wniosków i przyznania każdemu maksymalnej pomocy w wysokości 4000 zł miesięcznie, wydatki Funduszu z tytułu </w:t>
      </w:r>
      <w:r>
        <w:rPr>
          <w:rFonts w:ascii="Times" w:eastAsia="Times" w:hAnsi="Times" w:cs="Times"/>
          <w:color w:val="000000"/>
          <w:szCs w:val="24"/>
        </w:rPr>
        <w:lastRenderedPageBreak/>
        <w:t>udzielonej pomocy</w:t>
      </w:r>
      <w:r>
        <w:rPr>
          <w:rFonts w:ascii="Times" w:eastAsia="Times" w:hAnsi="Times" w:cs="Times"/>
          <w:color w:val="000000"/>
          <w:szCs w:val="24"/>
        </w:rPr>
        <w:t xml:space="preserve"> wyniosą 144 </w:t>
      </w:r>
      <w:r>
        <w:rPr>
          <w:rFonts w:ascii="Times" w:eastAsia="Times" w:hAnsi="Times" w:cs="Times"/>
        </w:rPr>
        <w:t>mln</w:t>
      </w:r>
      <w:r>
        <w:rPr>
          <w:rFonts w:ascii="Times" w:eastAsia="Times" w:hAnsi="Times" w:cs="Times"/>
          <w:color w:val="000000"/>
          <w:szCs w:val="24"/>
        </w:rPr>
        <w:t xml:space="preserve"> zł. </w:t>
      </w:r>
      <w:r>
        <w:rPr>
          <w:rFonts w:ascii="Times" w:eastAsia="Times" w:hAnsi="Times" w:cs="Times"/>
        </w:rPr>
        <w:t>Jest to</w:t>
      </w:r>
      <w:r>
        <w:rPr>
          <w:rFonts w:ascii="Times" w:eastAsia="Times" w:hAnsi="Times" w:cs="Times"/>
          <w:color w:val="000000"/>
          <w:szCs w:val="24"/>
        </w:rPr>
        <w:t xml:space="preserve"> </w:t>
      </w:r>
      <w:r>
        <w:rPr>
          <w:rFonts w:ascii="Times" w:eastAsia="Times" w:hAnsi="Times" w:cs="Times"/>
        </w:rPr>
        <w:t>koszt</w:t>
      </w:r>
      <w:r>
        <w:rPr>
          <w:rFonts w:ascii="Times" w:eastAsia="Times" w:hAnsi="Times" w:cs="Times"/>
          <w:color w:val="000000"/>
          <w:szCs w:val="24"/>
        </w:rPr>
        <w:t>, któr</w:t>
      </w:r>
      <w:r>
        <w:rPr>
          <w:rFonts w:ascii="Times" w:eastAsia="Times" w:hAnsi="Times" w:cs="Times"/>
        </w:rPr>
        <w:t>y</w:t>
      </w:r>
      <w:r>
        <w:rPr>
          <w:rFonts w:ascii="Times" w:eastAsia="Times" w:hAnsi="Times" w:cs="Times"/>
          <w:color w:val="000000"/>
          <w:szCs w:val="24"/>
        </w:rPr>
        <w:t xml:space="preserve"> Fundusz może bez żadnego problemu ponieść.</w:t>
      </w:r>
    </w:p>
    <w:p w14:paraId="00000035" w14:textId="77777777" w:rsidR="009F0365" w:rsidRDefault="009F0365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b/>
        </w:rPr>
      </w:pPr>
    </w:p>
    <w:p w14:paraId="00000036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b/>
          <w:color w:val="000000"/>
          <w:szCs w:val="24"/>
        </w:rPr>
      </w:pPr>
      <w:r>
        <w:rPr>
          <w:rFonts w:ascii="Times" w:eastAsia="Times" w:hAnsi="Times" w:cs="Times"/>
          <w:b/>
          <w:color w:val="000000"/>
          <w:szCs w:val="24"/>
        </w:rPr>
        <w:t>Notyfikacja</w:t>
      </w:r>
    </w:p>
    <w:p w14:paraId="00000037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Przedłożony projekt ustawy nie zawiera przepisów technicznych w rozumieniu rozporządzenia Rady Ministrów z dnia 23 grudnia 2002 r. w sprawie sposobu funkcjono</w:t>
      </w:r>
      <w:r>
        <w:rPr>
          <w:rFonts w:ascii="Times" w:eastAsia="Times" w:hAnsi="Times" w:cs="Times"/>
          <w:color w:val="000000"/>
          <w:szCs w:val="24"/>
        </w:rPr>
        <w:t xml:space="preserve">wania krajowego systemu notyfikacji norm i aktów prawnych (Dz. U. poz. 2039 oraz z 2004 r. poz. 597) i nie podlega notyfikacji Komisji Europejskiej. </w:t>
      </w:r>
    </w:p>
    <w:p w14:paraId="00000038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Projekt ustawy nie wymaga przedstawienia właściwym organom i instytucjom Unii Europejskiej, w tym Europejs</w:t>
      </w:r>
      <w:r>
        <w:rPr>
          <w:rFonts w:ascii="Times" w:eastAsia="Times" w:hAnsi="Times" w:cs="Times"/>
          <w:color w:val="000000"/>
          <w:szCs w:val="24"/>
        </w:rPr>
        <w:t xml:space="preserve">kiemu Bankowi Centralnemu, w celu uzyskania opinii, dokonania powiadomienia, konsultacji albo uzgodnienia. </w:t>
      </w:r>
    </w:p>
    <w:p w14:paraId="00000039" w14:textId="77777777" w:rsidR="009F0365" w:rsidRDefault="009F0365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</w:rPr>
      </w:pPr>
    </w:p>
    <w:p w14:paraId="0000003A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b/>
          <w:color w:val="000000"/>
          <w:szCs w:val="24"/>
        </w:rPr>
      </w:pPr>
      <w:r>
        <w:rPr>
          <w:rFonts w:ascii="Times" w:eastAsia="Times" w:hAnsi="Times" w:cs="Times"/>
          <w:b/>
          <w:color w:val="000000"/>
          <w:szCs w:val="24"/>
        </w:rPr>
        <w:t>Wpływ na działalność mikroprzedsiębiorców, małych i średnich przedsiębiorców</w:t>
      </w:r>
    </w:p>
    <w:p w14:paraId="0000003B" w14:textId="77777777" w:rsidR="009F0365" w:rsidRDefault="00CB08B9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Projekt nie będzie miał wpływu na działalność mikroprzedsiębiorców, ma</w:t>
      </w:r>
      <w:r>
        <w:rPr>
          <w:rFonts w:ascii="Times" w:eastAsia="Times" w:hAnsi="Times" w:cs="Times"/>
          <w:color w:val="000000"/>
          <w:szCs w:val="24"/>
        </w:rPr>
        <w:t>łych i średnich przedsiębiorców.</w:t>
      </w:r>
    </w:p>
    <w:p w14:paraId="0000003C" w14:textId="77777777" w:rsidR="009F0365" w:rsidRDefault="009F0365">
      <w:bookmarkStart w:id="1" w:name="_heading=h.gjdgxs" w:colFirst="0" w:colLast="0"/>
      <w:bookmarkEnd w:id="1"/>
    </w:p>
    <w:sectPr w:rsidR="009F0365">
      <w:headerReference w:type="default" r:id="rId8"/>
      <w:pgSz w:w="11906" w:h="16838"/>
      <w:pgMar w:top="1560" w:right="1434" w:bottom="1560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417EEF" w14:textId="77777777" w:rsidR="00CB08B9" w:rsidRDefault="00CB08B9">
      <w:pPr>
        <w:spacing w:line="240" w:lineRule="auto"/>
      </w:pPr>
      <w:r>
        <w:separator/>
      </w:r>
    </w:p>
  </w:endnote>
  <w:endnote w:type="continuationSeparator" w:id="0">
    <w:p w14:paraId="5CEBA89A" w14:textId="77777777" w:rsidR="00CB08B9" w:rsidRDefault="00CB08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81F624" w14:textId="77777777" w:rsidR="00CB08B9" w:rsidRDefault="00CB08B9">
      <w:pPr>
        <w:spacing w:line="240" w:lineRule="auto"/>
      </w:pPr>
      <w:r>
        <w:separator/>
      </w:r>
    </w:p>
  </w:footnote>
  <w:footnote w:type="continuationSeparator" w:id="0">
    <w:p w14:paraId="44450E30" w14:textId="77777777" w:rsidR="00CB08B9" w:rsidRDefault="00CB08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D" w14:textId="77777777" w:rsidR="009F0365" w:rsidRDefault="00CB08B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Times" w:eastAsia="Times" w:hAnsi="Times" w:cs="Times"/>
        <w:color w:val="000000"/>
        <w:szCs w:val="24"/>
      </w:rPr>
    </w:pPr>
    <w:r>
      <w:rPr>
        <w:rFonts w:ascii="Times" w:eastAsia="Times" w:hAnsi="Times" w:cs="Times"/>
        <w:color w:val="000000"/>
        <w:szCs w:val="24"/>
      </w:rPr>
      <w:t xml:space="preserve">– </w:t>
    </w:r>
    <w:r>
      <w:rPr>
        <w:rFonts w:ascii="Times" w:eastAsia="Times" w:hAnsi="Times" w:cs="Times"/>
        <w:color w:val="000000"/>
        <w:szCs w:val="24"/>
      </w:rPr>
      <w:fldChar w:fldCharType="begin"/>
    </w:r>
    <w:r>
      <w:rPr>
        <w:rFonts w:ascii="Times" w:eastAsia="Times" w:hAnsi="Times" w:cs="Times"/>
        <w:color w:val="000000"/>
        <w:szCs w:val="24"/>
      </w:rPr>
      <w:instrText>PAGE</w:instrText>
    </w:r>
    <w:r w:rsidR="0070702F">
      <w:rPr>
        <w:rFonts w:ascii="Times" w:eastAsia="Times" w:hAnsi="Times" w:cs="Times"/>
        <w:color w:val="000000"/>
        <w:szCs w:val="24"/>
      </w:rPr>
      <w:fldChar w:fldCharType="separate"/>
    </w:r>
    <w:r w:rsidR="0070702F">
      <w:rPr>
        <w:rFonts w:ascii="Times" w:eastAsia="Times" w:hAnsi="Times" w:cs="Times"/>
        <w:noProof/>
        <w:color w:val="000000"/>
        <w:szCs w:val="24"/>
      </w:rPr>
      <w:t>2</w:t>
    </w:r>
    <w:r>
      <w:rPr>
        <w:rFonts w:ascii="Times" w:eastAsia="Times" w:hAnsi="Times" w:cs="Times"/>
        <w:color w:val="000000"/>
        <w:szCs w:val="24"/>
      </w:rPr>
      <w:fldChar w:fldCharType="end"/>
    </w:r>
    <w:r>
      <w:rPr>
        <w:rFonts w:ascii="Times" w:eastAsia="Times" w:hAnsi="Times" w:cs="Times"/>
        <w:color w:val="000000"/>
        <w:szCs w:val="24"/>
      </w:rP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449FC"/>
    <w:multiLevelType w:val="multilevel"/>
    <w:tmpl w:val="11483B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365"/>
    <w:rsid w:val="0070702F"/>
    <w:rsid w:val="009F0365"/>
    <w:rsid w:val="00CB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834BF-FBAE-43DD-8E34-B8D0DD061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widowControl w:val="0"/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autoSpaceDE w:val="0"/>
      <w:autoSpaceDN w:val="0"/>
      <w:adjustRightInd w:val="0"/>
    </w:pPr>
    <w:rPr>
      <w:rFonts w:eastAsiaTheme="minorEastAsia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754F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eastAsiaTheme="minorEastAsia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eastAsiaTheme="minorEastAsia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eastAsiaTheme="minorEastAsia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eastAsiaTheme="minorEastAsia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eastAsiaTheme="minorEastAsia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754F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81330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1330C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qNvRe9Uvre705X6cKiJUe1vjsg==">AMUW2mXzfYOIOVrrMYGrIslyzAJ8PsDwS/V7Wdsz69B2q+Y/W+qfg+jJh4W7op/7PFu3HHYUaq/fpoRmWf0JAq2rVaRJZU+2K2r3LLwl7kVpGBtCLAW476z6T1xy7kfvtDhoAv+lBhdA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4233</Characters>
  <Application>Microsoft Office Word</Application>
  <DocSecurity>0</DocSecurity>
  <Lines>35</Lines>
  <Paragraphs>9</Paragraphs>
  <ScaleCrop>false</ScaleCrop>
  <Company/>
  <LinksUpToDate>false</LinksUpToDate>
  <CharactersWithSpaces>4929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Malinowska-Wójcicka</dc:creator>
  <cp:lastModifiedBy>Grzegorz Molesztak</cp:lastModifiedBy>
  <cp:revision>2</cp:revision>
  <dcterms:created xsi:type="dcterms:W3CDTF">2022-04-07T16:18:00Z</dcterms:created>
  <dcterms:modified xsi:type="dcterms:W3CDTF">2022-05-17T13:35:00Z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